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E1A1C57">
      <w:pPr>
        <w:tabs>
          <w:tab w:val="left" w:pos="420"/>
        </w:tabs>
        <w:snapToGrid w:val="0"/>
        <w:spacing w:line="360" w:lineRule="auto"/>
        <w:jc w:val="center"/>
        <w:rPr>
          <w:rFonts w:asciiTheme="minorEastAsia" w:hAnsiTheme="minorEastAsia" w:eastAsiaTheme="minorEastAsia" w:cstheme="minorEastAsia"/>
          <w:b/>
          <w:spacing w:val="36"/>
          <w:sz w:val="44"/>
          <w:szCs w:val="44"/>
        </w:rPr>
      </w:pPr>
    </w:p>
    <w:p w14:paraId="4909DCBD">
      <w:pPr>
        <w:tabs>
          <w:tab w:val="left" w:pos="420"/>
        </w:tabs>
        <w:snapToGrid w:val="0"/>
        <w:spacing w:line="360" w:lineRule="auto"/>
        <w:jc w:val="center"/>
        <w:rPr>
          <w:rFonts w:asciiTheme="minorEastAsia" w:hAnsiTheme="minorEastAsia" w:eastAsiaTheme="minorEastAsia" w:cstheme="minorEastAsia"/>
          <w:b/>
          <w:spacing w:val="36"/>
          <w:sz w:val="44"/>
          <w:szCs w:val="44"/>
        </w:rPr>
      </w:pPr>
      <w:r>
        <w:rPr>
          <w:rFonts w:hint="eastAsia" w:asciiTheme="minorEastAsia" w:hAnsiTheme="minorEastAsia" w:eastAsiaTheme="minorEastAsia" w:cstheme="minorEastAsia"/>
          <w:b/>
          <w:spacing w:val="36"/>
          <w:sz w:val="44"/>
          <w:szCs w:val="44"/>
        </w:rPr>
        <w:t>沈丘县水利局沈丘县全域供水特许</w:t>
      </w:r>
    </w:p>
    <w:p w14:paraId="0AFF04C4">
      <w:pPr>
        <w:tabs>
          <w:tab w:val="left" w:pos="420"/>
        </w:tabs>
        <w:snapToGrid w:val="0"/>
        <w:spacing w:line="360" w:lineRule="auto"/>
        <w:jc w:val="center"/>
        <w:rPr>
          <w:rFonts w:asciiTheme="minorEastAsia" w:hAnsiTheme="minorEastAsia" w:eastAsiaTheme="minorEastAsia" w:cstheme="minorEastAsia"/>
          <w:b/>
          <w:spacing w:val="36"/>
          <w:sz w:val="72"/>
          <w:szCs w:val="72"/>
        </w:rPr>
      </w:pPr>
      <w:r>
        <w:rPr>
          <w:rFonts w:hint="eastAsia" w:asciiTheme="minorEastAsia" w:hAnsiTheme="minorEastAsia" w:eastAsiaTheme="minorEastAsia" w:cstheme="minorEastAsia"/>
          <w:b/>
          <w:spacing w:val="36"/>
          <w:sz w:val="44"/>
          <w:szCs w:val="44"/>
        </w:rPr>
        <w:t>经营项目</w:t>
      </w:r>
    </w:p>
    <w:p w14:paraId="78E76E7D">
      <w:pPr>
        <w:tabs>
          <w:tab w:val="left" w:pos="315"/>
          <w:tab w:val="left" w:pos="8820"/>
        </w:tabs>
        <w:snapToGrid w:val="0"/>
        <w:spacing w:line="360" w:lineRule="auto"/>
        <w:ind w:right="267" w:rightChars="127"/>
        <w:jc w:val="center"/>
        <w:rPr>
          <w:rFonts w:asciiTheme="minorEastAsia" w:hAnsiTheme="minorEastAsia" w:eastAsiaTheme="minorEastAsia" w:cstheme="minorEastAsia"/>
          <w:b/>
          <w:bCs/>
          <w:sz w:val="48"/>
        </w:rPr>
      </w:pPr>
    </w:p>
    <w:p w14:paraId="3E25ED42">
      <w:pPr>
        <w:tabs>
          <w:tab w:val="left" w:pos="420"/>
        </w:tabs>
        <w:snapToGrid w:val="0"/>
        <w:spacing w:line="360" w:lineRule="auto"/>
        <w:jc w:val="center"/>
        <w:rPr>
          <w:rFonts w:asciiTheme="minorEastAsia" w:hAnsiTheme="minorEastAsia" w:eastAsiaTheme="minorEastAsia" w:cstheme="minorEastAsia"/>
          <w:b/>
          <w:bCs/>
          <w:kern w:val="0"/>
          <w:sz w:val="60"/>
          <w:szCs w:val="60"/>
        </w:rPr>
      </w:pPr>
      <w:r>
        <w:rPr>
          <w:rFonts w:hint="eastAsia" w:asciiTheme="minorEastAsia" w:hAnsiTheme="minorEastAsia" w:eastAsiaTheme="minorEastAsia" w:cstheme="minorEastAsia"/>
          <w:b/>
          <w:bCs/>
          <w:kern w:val="0"/>
          <w:sz w:val="60"/>
          <w:szCs w:val="60"/>
        </w:rPr>
        <w:t xml:space="preserve"> </w:t>
      </w:r>
    </w:p>
    <w:p w14:paraId="36CC85D9">
      <w:pPr>
        <w:tabs>
          <w:tab w:val="left" w:pos="420"/>
        </w:tabs>
        <w:snapToGrid w:val="0"/>
        <w:spacing w:line="360" w:lineRule="auto"/>
        <w:jc w:val="center"/>
        <w:rPr>
          <w:rFonts w:asciiTheme="minorEastAsia" w:hAnsiTheme="minorEastAsia" w:eastAsiaTheme="minorEastAsia" w:cstheme="minorEastAsia"/>
          <w:b/>
          <w:bCs/>
          <w:kern w:val="0"/>
          <w:sz w:val="100"/>
          <w:szCs w:val="100"/>
        </w:rPr>
      </w:pPr>
      <w:r>
        <w:rPr>
          <w:rFonts w:hint="eastAsia" w:asciiTheme="minorEastAsia" w:hAnsiTheme="minorEastAsia" w:eastAsiaTheme="minorEastAsia" w:cstheme="minorEastAsia"/>
          <w:b/>
          <w:bCs/>
          <w:kern w:val="0"/>
          <w:sz w:val="100"/>
          <w:szCs w:val="100"/>
        </w:rPr>
        <w:t>招标文件</w:t>
      </w:r>
    </w:p>
    <w:p w14:paraId="7B9DA2F8">
      <w:pPr>
        <w:tabs>
          <w:tab w:val="left" w:pos="420"/>
        </w:tabs>
        <w:snapToGrid w:val="0"/>
        <w:spacing w:line="360" w:lineRule="auto"/>
        <w:jc w:val="center"/>
        <w:rPr>
          <w:rFonts w:asciiTheme="minorEastAsia" w:hAnsiTheme="minorEastAsia" w:eastAsiaTheme="minorEastAsia" w:cstheme="minorEastAsia"/>
          <w:b/>
          <w:bCs/>
          <w:kern w:val="0"/>
          <w:sz w:val="40"/>
          <w:szCs w:val="40"/>
        </w:rPr>
      </w:pPr>
      <w:r>
        <w:rPr>
          <w:rFonts w:hint="eastAsia" w:asciiTheme="minorEastAsia" w:hAnsiTheme="minorEastAsia" w:eastAsiaTheme="minorEastAsia" w:cstheme="minorEastAsia"/>
          <w:b/>
          <w:bCs/>
          <w:kern w:val="0"/>
          <w:sz w:val="40"/>
          <w:szCs w:val="40"/>
        </w:rPr>
        <w:t>项目编号：沈财招标采购-2026-8</w:t>
      </w:r>
    </w:p>
    <w:p w14:paraId="455C4932">
      <w:pPr>
        <w:tabs>
          <w:tab w:val="left" w:pos="420"/>
        </w:tabs>
        <w:snapToGrid w:val="0"/>
        <w:spacing w:line="360" w:lineRule="auto"/>
        <w:jc w:val="center"/>
        <w:rPr>
          <w:rFonts w:asciiTheme="minorEastAsia" w:hAnsiTheme="minorEastAsia" w:eastAsiaTheme="minorEastAsia" w:cstheme="minorEastAsia"/>
          <w:b/>
          <w:bCs/>
          <w:kern w:val="0"/>
          <w:sz w:val="40"/>
          <w:szCs w:val="40"/>
        </w:rPr>
      </w:pPr>
    </w:p>
    <w:p w14:paraId="6175D964">
      <w:pPr>
        <w:tabs>
          <w:tab w:val="left" w:pos="315"/>
          <w:tab w:val="left" w:pos="8820"/>
        </w:tabs>
        <w:snapToGrid w:val="0"/>
        <w:spacing w:line="360" w:lineRule="auto"/>
        <w:ind w:right="267" w:rightChars="127"/>
        <w:jc w:val="center"/>
        <w:rPr>
          <w:rFonts w:asciiTheme="minorEastAsia" w:hAnsiTheme="minorEastAsia" w:eastAsiaTheme="minorEastAsia" w:cstheme="minorEastAsia"/>
          <w:sz w:val="44"/>
        </w:rPr>
      </w:pPr>
    </w:p>
    <w:p w14:paraId="1EF4EADE">
      <w:pPr>
        <w:tabs>
          <w:tab w:val="left" w:pos="315"/>
          <w:tab w:val="left" w:pos="8820"/>
        </w:tabs>
        <w:snapToGrid w:val="0"/>
        <w:spacing w:line="360" w:lineRule="auto"/>
        <w:ind w:right="267" w:rightChars="127"/>
        <w:rPr>
          <w:rFonts w:asciiTheme="minorEastAsia" w:hAnsiTheme="minorEastAsia" w:eastAsiaTheme="minorEastAsia" w:cstheme="minorEastAsia"/>
          <w:sz w:val="44"/>
        </w:rPr>
      </w:pPr>
    </w:p>
    <w:p w14:paraId="591605FE">
      <w:pPr>
        <w:tabs>
          <w:tab w:val="left" w:pos="315"/>
          <w:tab w:val="left" w:pos="8820"/>
        </w:tabs>
        <w:snapToGrid w:val="0"/>
        <w:spacing w:line="360" w:lineRule="auto"/>
        <w:ind w:right="267" w:rightChars="127"/>
        <w:rPr>
          <w:rFonts w:asciiTheme="minorEastAsia" w:hAnsiTheme="minorEastAsia" w:eastAsiaTheme="minorEastAsia" w:cstheme="minorEastAsia"/>
          <w:sz w:val="44"/>
        </w:rPr>
      </w:pPr>
    </w:p>
    <w:p w14:paraId="28603A38">
      <w:pPr>
        <w:tabs>
          <w:tab w:val="left" w:pos="315"/>
          <w:tab w:val="left" w:pos="8820"/>
        </w:tabs>
        <w:snapToGrid w:val="0"/>
        <w:spacing w:line="360" w:lineRule="auto"/>
        <w:ind w:right="267" w:rightChars="127"/>
        <w:rPr>
          <w:rFonts w:asciiTheme="minorEastAsia" w:hAnsiTheme="minorEastAsia" w:eastAsiaTheme="minorEastAsia" w:cstheme="minorEastAsia"/>
          <w:sz w:val="36"/>
        </w:rPr>
      </w:pPr>
    </w:p>
    <w:p w14:paraId="2E19C46A">
      <w:pPr>
        <w:pStyle w:val="23"/>
        <w:snapToGrid w:val="0"/>
        <w:spacing w:line="360" w:lineRule="auto"/>
        <w:ind w:firstLine="1285" w:firstLineChars="400"/>
        <w:rPr>
          <w:rFonts w:ascii="宋体" w:hAnsi="宋体" w:eastAsia="宋体" w:cs="宋体"/>
          <w:sz w:val="32"/>
          <w:szCs w:val="32"/>
        </w:rPr>
      </w:pPr>
      <w:r>
        <w:rPr>
          <w:rFonts w:hint="eastAsia" w:ascii="宋体" w:hAnsi="宋体" w:eastAsia="宋体" w:cs="宋体"/>
          <w:sz w:val="32"/>
          <w:szCs w:val="32"/>
        </w:rPr>
        <w:t>招   标   人：沈丘县水利局</w:t>
      </w:r>
    </w:p>
    <w:p w14:paraId="2E143558">
      <w:pPr>
        <w:pStyle w:val="23"/>
        <w:snapToGrid w:val="0"/>
        <w:spacing w:line="360" w:lineRule="auto"/>
        <w:ind w:firstLine="1285" w:firstLineChars="400"/>
        <w:rPr>
          <w:rFonts w:ascii="宋体" w:hAnsi="宋体" w:eastAsia="宋体" w:cs="宋体"/>
          <w:sz w:val="32"/>
          <w:szCs w:val="32"/>
        </w:rPr>
      </w:pPr>
      <w:r>
        <w:rPr>
          <w:rFonts w:hint="eastAsia" w:ascii="宋体" w:hAnsi="宋体" w:eastAsia="宋体" w:cs="宋体"/>
          <w:sz w:val="32"/>
          <w:szCs w:val="32"/>
        </w:rPr>
        <w:t>招标代理机构：凌辉建设工程咨询有限公司</w:t>
      </w:r>
    </w:p>
    <w:p w14:paraId="6105ACE0">
      <w:pPr>
        <w:pStyle w:val="23"/>
        <w:snapToGrid w:val="0"/>
        <w:spacing w:line="360" w:lineRule="auto"/>
        <w:jc w:val="center"/>
        <w:rPr>
          <w:rFonts w:ascii="宋体" w:hAnsi="宋体" w:eastAsia="宋体" w:cs="宋体"/>
          <w:sz w:val="32"/>
          <w:szCs w:val="32"/>
        </w:rPr>
      </w:pPr>
      <w:r>
        <w:rPr>
          <w:rFonts w:hint="eastAsia" w:ascii="宋体" w:hAnsi="宋体" w:eastAsia="宋体" w:cs="宋体"/>
          <w:sz w:val="32"/>
          <w:szCs w:val="32"/>
        </w:rPr>
        <w:t>二〇二六年四月</w:t>
      </w:r>
    </w:p>
    <w:p w14:paraId="35B474B4"/>
    <w:p w14:paraId="1713D44A">
      <w:pPr>
        <w:pStyle w:val="23"/>
        <w:jc w:val="center"/>
        <w:rPr>
          <w:rFonts w:ascii="宋体" w:hAnsi="宋体" w:eastAsia="宋体" w:cs="宋体"/>
        </w:rPr>
      </w:pPr>
    </w:p>
    <w:p w14:paraId="012C2EC8">
      <w:pPr>
        <w:tabs>
          <w:tab w:val="left" w:pos="4620"/>
        </w:tabs>
        <w:spacing w:line="500" w:lineRule="exact"/>
        <w:jc w:val="center"/>
        <w:rPr>
          <w:rFonts w:ascii="宋体" w:hAnsi="宋体" w:cs="宋体"/>
          <w:b/>
          <w:sz w:val="36"/>
          <w:szCs w:val="36"/>
        </w:rPr>
      </w:pPr>
      <w:r>
        <w:rPr>
          <w:rFonts w:hint="eastAsia" w:ascii="宋体" w:hAnsi="宋体" w:cs="宋体"/>
          <w:b/>
          <w:sz w:val="36"/>
          <w:szCs w:val="36"/>
        </w:rPr>
        <w:t>目  录</w:t>
      </w:r>
    </w:p>
    <w:p w14:paraId="32001E65">
      <w:pPr>
        <w:pStyle w:val="58"/>
        <w:tabs>
          <w:tab w:val="right" w:leader="dot" w:pos="8390"/>
        </w:tabs>
        <w:rPr>
          <w:szCs w:val="28"/>
        </w:rPr>
      </w:pPr>
      <w:bookmarkStart w:id="0" w:name="_Hlt519045295"/>
      <w:bookmarkEnd w:id="0"/>
      <w:bookmarkStart w:id="1" w:name="_Hlt533241375"/>
      <w:bookmarkEnd w:id="1"/>
      <w:bookmarkStart w:id="2" w:name="_Hlt526418134"/>
      <w:bookmarkEnd w:id="2"/>
      <w:r>
        <w:rPr>
          <w:rFonts w:hint="eastAsia" w:ascii="宋体" w:hAnsi="宋体" w:cs="宋体"/>
          <w:bCs/>
          <w:caps/>
          <w:szCs w:val="28"/>
        </w:rPr>
        <w:fldChar w:fldCharType="begin"/>
      </w:r>
      <w:r>
        <w:rPr>
          <w:rFonts w:hint="eastAsia" w:ascii="宋体" w:hAnsi="宋体" w:cs="宋体"/>
          <w:bCs/>
          <w:caps/>
          <w:szCs w:val="28"/>
        </w:rPr>
        <w:instrText xml:space="preserve"> TOC \o "1-3" \h \z </w:instrText>
      </w:r>
      <w:r>
        <w:rPr>
          <w:rFonts w:hint="eastAsia" w:ascii="宋体" w:hAnsi="宋体" w:cs="宋体"/>
          <w:bCs/>
          <w:caps/>
          <w:szCs w:val="28"/>
        </w:rPr>
        <w:fldChar w:fldCharType="separate"/>
      </w:r>
      <w:r>
        <w:fldChar w:fldCharType="begin"/>
      </w:r>
      <w:r>
        <w:instrText xml:space="preserve"> HYPERLINK \l "_Toc14324" </w:instrText>
      </w:r>
      <w:r>
        <w:fldChar w:fldCharType="separate"/>
      </w:r>
      <w:r>
        <w:rPr>
          <w:rFonts w:hint="eastAsia" w:ascii="宋体" w:hAnsi="宋体" w:cs="宋体"/>
          <w:szCs w:val="28"/>
        </w:rPr>
        <w:t>第一章 招标公告</w:t>
      </w:r>
      <w:r>
        <w:rPr>
          <w:szCs w:val="28"/>
        </w:rPr>
        <w:tab/>
      </w:r>
      <w:r>
        <w:rPr>
          <w:szCs w:val="28"/>
        </w:rPr>
        <w:fldChar w:fldCharType="begin"/>
      </w:r>
      <w:r>
        <w:rPr>
          <w:szCs w:val="28"/>
        </w:rPr>
        <w:instrText xml:space="preserve"> PAGEREF _Toc14324 \h </w:instrText>
      </w:r>
      <w:r>
        <w:rPr>
          <w:szCs w:val="28"/>
        </w:rPr>
        <w:fldChar w:fldCharType="separate"/>
      </w:r>
      <w:r>
        <w:rPr>
          <w:szCs w:val="28"/>
        </w:rPr>
        <w:t>3</w:t>
      </w:r>
      <w:r>
        <w:rPr>
          <w:szCs w:val="28"/>
        </w:rPr>
        <w:fldChar w:fldCharType="end"/>
      </w:r>
      <w:r>
        <w:rPr>
          <w:szCs w:val="28"/>
        </w:rPr>
        <w:fldChar w:fldCharType="end"/>
      </w:r>
    </w:p>
    <w:p w14:paraId="2D460612">
      <w:pPr>
        <w:pStyle w:val="58"/>
        <w:tabs>
          <w:tab w:val="right" w:leader="dot" w:pos="8390"/>
        </w:tabs>
        <w:rPr>
          <w:szCs w:val="28"/>
        </w:rPr>
      </w:pPr>
      <w:r>
        <w:fldChar w:fldCharType="begin"/>
      </w:r>
      <w:r>
        <w:instrText xml:space="preserve"> HYPERLINK \l "_Toc1847" </w:instrText>
      </w:r>
      <w:r>
        <w:fldChar w:fldCharType="separate"/>
      </w:r>
      <w:r>
        <w:rPr>
          <w:rFonts w:hint="eastAsia" w:ascii="宋体" w:hAnsi="宋体" w:cs="宋体"/>
          <w:bCs/>
          <w:szCs w:val="28"/>
        </w:rPr>
        <w:t>第二章 投标人须知前附表</w:t>
      </w:r>
      <w:r>
        <w:rPr>
          <w:szCs w:val="28"/>
        </w:rPr>
        <w:tab/>
      </w:r>
      <w:r>
        <w:rPr>
          <w:szCs w:val="28"/>
        </w:rPr>
        <w:fldChar w:fldCharType="begin"/>
      </w:r>
      <w:r>
        <w:rPr>
          <w:szCs w:val="28"/>
        </w:rPr>
        <w:instrText xml:space="preserve"> PAGEREF _Toc1847 \h </w:instrText>
      </w:r>
      <w:r>
        <w:rPr>
          <w:szCs w:val="28"/>
        </w:rPr>
        <w:fldChar w:fldCharType="separate"/>
      </w:r>
      <w:r>
        <w:rPr>
          <w:szCs w:val="28"/>
        </w:rPr>
        <w:t>7</w:t>
      </w:r>
      <w:r>
        <w:rPr>
          <w:szCs w:val="28"/>
        </w:rPr>
        <w:fldChar w:fldCharType="end"/>
      </w:r>
      <w:r>
        <w:rPr>
          <w:szCs w:val="28"/>
        </w:rPr>
        <w:fldChar w:fldCharType="end"/>
      </w:r>
    </w:p>
    <w:p w14:paraId="74B9C81B">
      <w:pPr>
        <w:pStyle w:val="58"/>
        <w:tabs>
          <w:tab w:val="right" w:leader="dot" w:pos="8390"/>
        </w:tabs>
        <w:rPr>
          <w:szCs w:val="28"/>
        </w:rPr>
      </w:pPr>
      <w:r>
        <w:fldChar w:fldCharType="begin"/>
      </w:r>
      <w:r>
        <w:instrText xml:space="preserve"> HYPERLINK \l "_Toc26729" </w:instrText>
      </w:r>
      <w:r>
        <w:fldChar w:fldCharType="separate"/>
      </w:r>
      <w:r>
        <w:rPr>
          <w:rFonts w:hint="eastAsia" w:ascii="宋体" w:hAnsi="宋体" w:cs="宋体"/>
          <w:bCs/>
          <w:szCs w:val="28"/>
        </w:rPr>
        <w:t>第三章 服务需求</w:t>
      </w:r>
      <w:r>
        <w:rPr>
          <w:szCs w:val="28"/>
        </w:rPr>
        <w:tab/>
      </w:r>
      <w:r>
        <w:rPr>
          <w:szCs w:val="28"/>
        </w:rPr>
        <w:fldChar w:fldCharType="begin"/>
      </w:r>
      <w:r>
        <w:rPr>
          <w:szCs w:val="28"/>
        </w:rPr>
        <w:instrText xml:space="preserve"> PAGEREF _Toc26729 \h </w:instrText>
      </w:r>
      <w:r>
        <w:rPr>
          <w:szCs w:val="28"/>
        </w:rPr>
        <w:fldChar w:fldCharType="separate"/>
      </w:r>
      <w:r>
        <w:rPr>
          <w:szCs w:val="28"/>
        </w:rPr>
        <w:t>9</w:t>
      </w:r>
      <w:r>
        <w:rPr>
          <w:szCs w:val="28"/>
        </w:rPr>
        <w:fldChar w:fldCharType="end"/>
      </w:r>
      <w:r>
        <w:rPr>
          <w:szCs w:val="28"/>
        </w:rPr>
        <w:fldChar w:fldCharType="end"/>
      </w:r>
    </w:p>
    <w:p w14:paraId="7C971C59">
      <w:pPr>
        <w:pStyle w:val="58"/>
        <w:tabs>
          <w:tab w:val="right" w:leader="dot" w:pos="8390"/>
        </w:tabs>
        <w:rPr>
          <w:szCs w:val="28"/>
        </w:rPr>
      </w:pPr>
      <w:r>
        <w:fldChar w:fldCharType="begin"/>
      </w:r>
      <w:r>
        <w:instrText xml:space="preserve"> HYPERLINK \l "_Toc22711" </w:instrText>
      </w:r>
      <w:r>
        <w:fldChar w:fldCharType="separate"/>
      </w:r>
      <w:r>
        <w:rPr>
          <w:rFonts w:hint="eastAsia" w:ascii="宋体" w:hAnsi="宋体" w:cs="宋体"/>
          <w:bCs/>
          <w:szCs w:val="28"/>
        </w:rPr>
        <w:t>第四章 评标办法</w:t>
      </w:r>
      <w:r>
        <w:rPr>
          <w:szCs w:val="28"/>
        </w:rPr>
        <w:tab/>
      </w:r>
      <w:r>
        <w:rPr>
          <w:szCs w:val="28"/>
        </w:rPr>
        <w:fldChar w:fldCharType="begin"/>
      </w:r>
      <w:r>
        <w:rPr>
          <w:szCs w:val="28"/>
        </w:rPr>
        <w:instrText xml:space="preserve"> PAGEREF _Toc22711 \h </w:instrText>
      </w:r>
      <w:r>
        <w:rPr>
          <w:szCs w:val="28"/>
        </w:rPr>
        <w:fldChar w:fldCharType="separate"/>
      </w:r>
      <w:r>
        <w:rPr>
          <w:szCs w:val="28"/>
        </w:rPr>
        <w:t>41</w:t>
      </w:r>
      <w:r>
        <w:rPr>
          <w:szCs w:val="28"/>
        </w:rPr>
        <w:fldChar w:fldCharType="end"/>
      </w:r>
      <w:r>
        <w:rPr>
          <w:szCs w:val="28"/>
        </w:rPr>
        <w:fldChar w:fldCharType="end"/>
      </w:r>
    </w:p>
    <w:p w14:paraId="17B39E5E">
      <w:pPr>
        <w:pStyle w:val="58"/>
        <w:tabs>
          <w:tab w:val="right" w:leader="dot" w:pos="8390"/>
        </w:tabs>
        <w:rPr>
          <w:szCs w:val="28"/>
        </w:rPr>
      </w:pPr>
      <w:r>
        <w:fldChar w:fldCharType="begin"/>
      </w:r>
      <w:r>
        <w:instrText xml:space="preserve"> HYPERLINK \l "_Toc19136" </w:instrText>
      </w:r>
      <w:r>
        <w:fldChar w:fldCharType="separate"/>
      </w:r>
      <w:r>
        <w:rPr>
          <w:rFonts w:hint="eastAsia" w:ascii="宋体" w:hAnsi="宋体" w:cs="宋体"/>
          <w:bCs/>
          <w:szCs w:val="28"/>
        </w:rPr>
        <w:t>第五章 投标人须知</w:t>
      </w:r>
      <w:r>
        <w:rPr>
          <w:szCs w:val="28"/>
        </w:rPr>
        <w:tab/>
      </w:r>
      <w:r>
        <w:rPr>
          <w:szCs w:val="28"/>
        </w:rPr>
        <w:fldChar w:fldCharType="begin"/>
      </w:r>
      <w:r>
        <w:rPr>
          <w:szCs w:val="28"/>
        </w:rPr>
        <w:instrText xml:space="preserve"> PAGEREF _Toc19136 \h </w:instrText>
      </w:r>
      <w:r>
        <w:rPr>
          <w:szCs w:val="28"/>
        </w:rPr>
        <w:fldChar w:fldCharType="separate"/>
      </w:r>
      <w:r>
        <w:rPr>
          <w:szCs w:val="28"/>
        </w:rPr>
        <w:t>48</w:t>
      </w:r>
      <w:r>
        <w:rPr>
          <w:szCs w:val="28"/>
        </w:rPr>
        <w:fldChar w:fldCharType="end"/>
      </w:r>
      <w:r>
        <w:rPr>
          <w:szCs w:val="28"/>
        </w:rPr>
        <w:fldChar w:fldCharType="end"/>
      </w:r>
    </w:p>
    <w:p w14:paraId="7C8A561F">
      <w:pPr>
        <w:pStyle w:val="58"/>
        <w:tabs>
          <w:tab w:val="right" w:leader="dot" w:pos="8390"/>
        </w:tabs>
        <w:rPr>
          <w:rFonts w:ascii="宋体" w:hAnsi="宋体" w:cs="宋体"/>
          <w:bCs/>
          <w:caps/>
          <w:szCs w:val="28"/>
        </w:rPr>
      </w:pPr>
      <w:r>
        <w:fldChar w:fldCharType="begin"/>
      </w:r>
      <w:r>
        <w:instrText xml:space="preserve"> HYPERLINK \l "_Toc25768" </w:instrText>
      </w:r>
      <w:r>
        <w:fldChar w:fldCharType="separate"/>
      </w:r>
      <w:r>
        <w:rPr>
          <w:rFonts w:hint="eastAsia" w:ascii="宋体" w:hAnsi="宋体" w:cs="宋体"/>
          <w:bCs/>
          <w:caps/>
          <w:szCs w:val="28"/>
        </w:rPr>
        <w:t>第六章 合同条款及格式</w:t>
      </w:r>
      <w:r>
        <w:rPr>
          <w:szCs w:val="28"/>
        </w:rPr>
        <w:tab/>
      </w:r>
      <w:r>
        <w:rPr>
          <w:rFonts w:hint="eastAsia" w:ascii="宋体" w:hAnsi="宋体" w:cs="宋体"/>
          <w:bCs/>
          <w:caps/>
          <w:szCs w:val="28"/>
        </w:rPr>
        <w:t>6</w:t>
      </w:r>
      <w:r>
        <w:rPr>
          <w:rFonts w:hint="eastAsia" w:ascii="宋体" w:hAnsi="宋体" w:cs="宋体"/>
          <w:bCs/>
          <w:caps/>
          <w:szCs w:val="28"/>
        </w:rPr>
        <w:fldChar w:fldCharType="end"/>
      </w:r>
      <w:r>
        <w:rPr>
          <w:rFonts w:hint="eastAsia" w:ascii="宋体" w:hAnsi="宋体" w:cs="宋体"/>
          <w:bCs/>
          <w:caps/>
          <w:szCs w:val="28"/>
        </w:rPr>
        <w:t>1</w:t>
      </w:r>
    </w:p>
    <w:p w14:paraId="2F17D63B">
      <w:pPr>
        <w:pStyle w:val="58"/>
        <w:tabs>
          <w:tab w:val="right" w:leader="dot" w:pos="8390"/>
        </w:tabs>
        <w:rPr>
          <w:szCs w:val="28"/>
        </w:rPr>
      </w:pPr>
      <w:r>
        <w:fldChar w:fldCharType="begin"/>
      </w:r>
      <w:r>
        <w:instrText xml:space="preserve"> HYPERLINK \l "_Toc31363" </w:instrText>
      </w:r>
      <w:r>
        <w:fldChar w:fldCharType="separate"/>
      </w:r>
      <w:r>
        <w:rPr>
          <w:rFonts w:hint="eastAsia" w:ascii="宋体" w:hAnsi="宋体" w:cs="宋体"/>
          <w:bCs/>
          <w:szCs w:val="28"/>
        </w:rPr>
        <w:t>第七章 投标文件格式</w:t>
      </w:r>
      <w:r>
        <w:rPr>
          <w:szCs w:val="28"/>
        </w:rPr>
        <w:tab/>
      </w:r>
      <w:r>
        <w:rPr>
          <w:szCs w:val="28"/>
        </w:rPr>
        <w:fldChar w:fldCharType="begin"/>
      </w:r>
      <w:r>
        <w:rPr>
          <w:szCs w:val="28"/>
        </w:rPr>
        <w:instrText xml:space="preserve"> PAGEREF _Toc31363 \h </w:instrText>
      </w:r>
      <w:r>
        <w:rPr>
          <w:szCs w:val="28"/>
        </w:rPr>
        <w:fldChar w:fldCharType="separate"/>
      </w:r>
      <w:r>
        <w:rPr>
          <w:szCs w:val="28"/>
        </w:rPr>
        <w:t>62</w:t>
      </w:r>
      <w:r>
        <w:rPr>
          <w:szCs w:val="28"/>
        </w:rPr>
        <w:fldChar w:fldCharType="end"/>
      </w:r>
      <w:r>
        <w:rPr>
          <w:szCs w:val="28"/>
        </w:rPr>
        <w:fldChar w:fldCharType="end"/>
      </w:r>
    </w:p>
    <w:p w14:paraId="0AF134B9">
      <w:pPr>
        <w:pStyle w:val="45"/>
        <w:tabs>
          <w:tab w:val="right" w:leader="dot" w:pos="8390"/>
        </w:tabs>
        <w:rPr>
          <w:sz w:val="28"/>
          <w:szCs w:val="28"/>
        </w:rPr>
      </w:pPr>
      <w:r>
        <w:fldChar w:fldCharType="begin"/>
      </w:r>
      <w:r>
        <w:instrText xml:space="preserve"> HYPERLINK \l "_Toc21726" </w:instrText>
      </w:r>
      <w:r>
        <w:fldChar w:fldCharType="separate"/>
      </w:r>
      <w:r>
        <w:rPr>
          <w:rFonts w:hint="eastAsia" w:ascii="宋体" w:hAnsi="宋体" w:cs="宋体"/>
          <w:sz w:val="28"/>
          <w:szCs w:val="28"/>
        </w:rPr>
        <w:t>周口市政府采购合同融资政策告知函</w:t>
      </w:r>
      <w:r>
        <w:rPr>
          <w:sz w:val="28"/>
          <w:szCs w:val="28"/>
        </w:rPr>
        <w:tab/>
      </w:r>
      <w:r>
        <w:rPr>
          <w:sz w:val="28"/>
          <w:szCs w:val="28"/>
        </w:rPr>
        <w:fldChar w:fldCharType="begin"/>
      </w:r>
      <w:r>
        <w:rPr>
          <w:sz w:val="28"/>
          <w:szCs w:val="28"/>
        </w:rPr>
        <w:instrText xml:space="preserve"> PAGEREF _Toc21726 \h </w:instrText>
      </w:r>
      <w:r>
        <w:rPr>
          <w:sz w:val="28"/>
          <w:szCs w:val="28"/>
        </w:rPr>
        <w:fldChar w:fldCharType="separate"/>
      </w:r>
      <w:r>
        <w:rPr>
          <w:sz w:val="28"/>
          <w:szCs w:val="28"/>
        </w:rPr>
        <w:t>72</w:t>
      </w:r>
      <w:r>
        <w:rPr>
          <w:sz w:val="28"/>
          <w:szCs w:val="28"/>
        </w:rPr>
        <w:fldChar w:fldCharType="end"/>
      </w:r>
      <w:r>
        <w:rPr>
          <w:sz w:val="28"/>
          <w:szCs w:val="28"/>
        </w:rPr>
        <w:fldChar w:fldCharType="end"/>
      </w:r>
    </w:p>
    <w:p w14:paraId="37CCAB9B">
      <w:pPr>
        <w:pStyle w:val="58"/>
        <w:tabs>
          <w:tab w:val="right" w:leader="dot" w:pos="8390"/>
        </w:tabs>
        <w:rPr>
          <w:rFonts w:ascii="宋体" w:hAnsi="宋体" w:cs="宋体"/>
          <w:bCs/>
          <w:caps/>
          <w:sz w:val="32"/>
          <w:szCs w:val="32"/>
        </w:rPr>
      </w:pPr>
      <w:r>
        <w:rPr>
          <w:rFonts w:hint="eastAsia" w:ascii="宋体" w:hAnsi="宋体" w:cs="宋体"/>
          <w:bCs/>
          <w:caps/>
          <w:szCs w:val="28"/>
        </w:rPr>
        <w:fldChar w:fldCharType="end"/>
      </w:r>
    </w:p>
    <w:p w14:paraId="6AF1CD73">
      <w:pPr>
        <w:pStyle w:val="58"/>
        <w:tabs>
          <w:tab w:val="right" w:leader="dot" w:pos="8390"/>
        </w:tabs>
        <w:rPr>
          <w:rFonts w:ascii="宋体" w:hAnsi="宋体" w:cs="宋体"/>
          <w:bCs/>
          <w:caps/>
          <w:sz w:val="32"/>
          <w:szCs w:val="32"/>
        </w:rPr>
      </w:pPr>
    </w:p>
    <w:p w14:paraId="763ED909">
      <w:pPr>
        <w:pStyle w:val="58"/>
        <w:tabs>
          <w:tab w:val="right" w:leader="dot" w:pos="8390"/>
        </w:tabs>
        <w:rPr>
          <w:rFonts w:ascii="宋体" w:hAnsi="宋体" w:cs="宋体"/>
          <w:bCs/>
          <w:caps/>
          <w:sz w:val="32"/>
          <w:szCs w:val="32"/>
        </w:rPr>
      </w:pPr>
    </w:p>
    <w:p w14:paraId="7D7008BF">
      <w:pPr>
        <w:pStyle w:val="58"/>
        <w:tabs>
          <w:tab w:val="right" w:leader="dot" w:pos="8390"/>
        </w:tabs>
        <w:rPr>
          <w:rFonts w:ascii="宋体" w:hAnsi="宋体" w:cs="宋体"/>
          <w:bCs/>
          <w:caps/>
          <w:sz w:val="32"/>
          <w:szCs w:val="32"/>
        </w:rPr>
      </w:pPr>
    </w:p>
    <w:p w14:paraId="32444E24">
      <w:pPr>
        <w:pStyle w:val="58"/>
        <w:tabs>
          <w:tab w:val="right" w:leader="dot" w:pos="8390"/>
        </w:tabs>
        <w:rPr>
          <w:rFonts w:ascii="宋体" w:hAnsi="宋体" w:cs="宋体"/>
          <w:bCs/>
          <w:caps/>
          <w:sz w:val="32"/>
          <w:szCs w:val="32"/>
        </w:rPr>
      </w:pPr>
    </w:p>
    <w:p w14:paraId="485F2C84">
      <w:pPr>
        <w:rPr>
          <w:rFonts w:ascii="宋体" w:hAnsi="宋体" w:cs="宋体"/>
          <w:b/>
          <w:bCs/>
          <w:caps/>
          <w:sz w:val="24"/>
          <w:szCs w:val="24"/>
        </w:rPr>
      </w:pPr>
    </w:p>
    <w:p w14:paraId="1FC523D1">
      <w:pPr>
        <w:rPr>
          <w:rFonts w:ascii="宋体" w:hAnsi="宋体" w:cs="宋体"/>
          <w:b/>
          <w:bCs/>
          <w:caps/>
          <w:sz w:val="24"/>
          <w:szCs w:val="24"/>
        </w:rPr>
      </w:pPr>
    </w:p>
    <w:p w14:paraId="44F23C94">
      <w:pPr>
        <w:rPr>
          <w:rFonts w:ascii="宋体" w:hAnsi="宋体" w:cs="宋体"/>
          <w:b/>
          <w:bCs/>
          <w:caps/>
          <w:sz w:val="24"/>
          <w:szCs w:val="24"/>
        </w:rPr>
      </w:pPr>
    </w:p>
    <w:p w14:paraId="23E81089">
      <w:pPr>
        <w:rPr>
          <w:rFonts w:ascii="宋体" w:hAnsi="宋体" w:cs="宋体"/>
          <w:b/>
          <w:bCs/>
          <w:caps/>
          <w:sz w:val="24"/>
          <w:szCs w:val="24"/>
        </w:rPr>
      </w:pPr>
    </w:p>
    <w:p w14:paraId="1FAE5813">
      <w:pPr>
        <w:rPr>
          <w:rFonts w:ascii="宋体" w:hAnsi="宋体" w:cs="宋体"/>
          <w:b/>
          <w:bCs/>
          <w:caps/>
          <w:sz w:val="24"/>
          <w:szCs w:val="24"/>
        </w:rPr>
      </w:pPr>
    </w:p>
    <w:p w14:paraId="2675B7D8">
      <w:pPr>
        <w:jc w:val="center"/>
        <w:rPr>
          <w:rFonts w:ascii="宋体" w:hAnsi="宋体" w:cs="宋体"/>
          <w:b/>
          <w:bCs/>
          <w:caps/>
          <w:sz w:val="24"/>
          <w:szCs w:val="24"/>
        </w:rPr>
      </w:pPr>
      <w:r>
        <w:rPr>
          <w:rFonts w:hint="eastAsia" w:ascii="宋体" w:hAnsi="宋体" w:cs="宋体"/>
          <w:b/>
          <w:bCs/>
          <w:caps/>
          <w:sz w:val="24"/>
          <w:szCs w:val="24"/>
        </w:rPr>
        <w:br w:type="page"/>
      </w:r>
    </w:p>
    <w:p w14:paraId="0CEE17C5">
      <w:pPr>
        <w:pStyle w:val="3"/>
        <w:numPr>
          <w:ilvl w:val="0"/>
          <w:numId w:val="17"/>
        </w:numPr>
        <w:spacing w:before="0" w:after="0" w:line="240" w:lineRule="auto"/>
        <w:ind w:firstLine="0"/>
        <w:rPr>
          <w:rFonts w:ascii="宋体" w:hAnsi="宋体" w:eastAsia="宋体" w:cs="宋体"/>
        </w:rPr>
      </w:pPr>
      <w:bookmarkStart w:id="3" w:name="_Toc28426_WPSOffice_Level1"/>
      <w:r>
        <w:rPr>
          <w:rFonts w:hint="eastAsia" w:ascii="宋体" w:hAnsi="宋体" w:eastAsia="宋体" w:cs="宋体"/>
        </w:rPr>
        <w:t xml:space="preserve"> </w:t>
      </w:r>
      <w:bookmarkStart w:id="4" w:name="_Toc14324"/>
      <w:r>
        <w:rPr>
          <w:rFonts w:hint="eastAsia" w:ascii="宋体" w:hAnsi="宋体" w:eastAsia="宋体" w:cs="宋体"/>
        </w:rPr>
        <w:t>招标公告</w:t>
      </w:r>
      <w:bookmarkEnd w:id="3"/>
      <w:bookmarkEnd w:id="4"/>
    </w:p>
    <w:p w14:paraId="586A8B2C"/>
    <w:p w14:paraId="225ADAA8">
      <w:pPr>
        <w:spacing w:line="360" w:lineRule="auto"/>
        <w:ind w:firstLine="480" w:firstLineChars="200"/>
        <w:jc w:val="left"/>
        <w:rPr>
          <w:rFonts w:ascii="宋体" w:hAnsi="宋体" w:cs="宋体"/>
          <w:sz w:val="24"/>
          <w:szCs w:val="24"/>
        </w:rPr>
      </w:pPr>
      <w:r>
        <w:rPr>
          <w:rFonts w:hint="eastAsia" w:ascii="宋体" w:hAnsi="宋体" w:cs="宋体"/>
          <w:sz w:val="24"/>
          <w:szCs w:val="24"/>
        </w:rPr>
        <w:t>项目概况</w:t>
      </w:r>
    </w:p>
    <w:p w14:paraId="67C3130D">
      <w:pPr>
        <w:spacing w:line="360" w:lineRule="auto"/>
        <w:ind w:firstLine="480" w:firstLineChars="200"/>
        <w:jc w:val="left"/>
        <w:rPr>
          <w:rFonts w:ascii="宋体" w:hAnsi="宋体" w:cs="宋体"/>
          <w:sz w:val="24"/>
          <w:szCs w:val="24"/>
        </w:rPr>
      </w:pPr>
      <w:r>
        <w:rPr>
          <w:rFonts w:hint="eastAsia" w:ascii="宋体" w:hAnsi="宋体" w:cs="宋体"/>
          <w:sz w:val="24"/>
          <w:szCs w:val="24"/>
        </w:rPr>
        <w:t xml:space="preserve"> 沈丘县水利局沈丘县全域供水特许经营项目的潜在投标人应在周口市公共资源交易中心网（http://jyzx.zhoukou.gov.cn）获取招标文件，并于2026年</w:t>
      </w:r>
      <w:r>
        <w:rPr>
          <w:rFonts w:hint="eastAsia" w:ascii="宋体" w:hAnsi="宋体" w:cs="宋体"/>
          <w:sz w:val="24"/>
          <w:szCs w:val="24"/>
          <w:lang w:val="en-US" w:eastAsia="zh-CN"/>
        </w:rPr>
        <w:t>5</w:t>
      </w:r>
      <w:r>
        <w:rPr>
          <w:rFonts w:hint="eastAsia" w:ascii="宋体" w:hAnsi="宋体" w:cs="宋体"/>
          <w:sz w:val="24"/>
          <w:szCs w:val="24"/>
        </w:rPr>
        <w:t>月</w:t>
      </w:r>
      <w:r>
        <w:rPr>
          <w:rFonts w:hint="eastAsia" w:ascii="宋体" w:hAnsi="宋体" w:cs="宋体"/>
          <w:sz w:val="24"/>
          <w:szCs w:val="24"/>
          <w:lang w:val="en-US" w:eastAsia="zh-CN"/>
        </w:rPr>
        <w:t>26</w:t>
      </w:r>
      <w:r>
        <w:rPr>
          <w:rFonts w:hint="eastAsia" w:ascii="宋体" w:hAnsi="宋体" w:cs="宋体"/>
          <w:sz w:val="24"/>
          <w:szCs w:val="24"/>
        </w:rPr>
        <w:t>日10点00分（北京时间）前递交投标文件。</w:t>
      </w:r>
    </w:p>
    <w:p w14:paraId="4ACC3A91">
      <w:pPr>
        <w:spacing w:line="360" w:lineRule="auto"/>
        <w:ind w:firstLine="480" w:firstLineChars="200"/>
        <w:jc w:val="left"/>
        <w:rPr>
          <w:rFonts w:ascii="宋体" w:hAnsi="宋体" w:cs="宋体"/>
          <w:sz w:val="24"/>
          <w:szCs w:val="24"/>
        </w:rPr>
      </w:pPr>
      <w:bookmarkStart w:id="5" w:name="_Toc35393621"/>
      <w:bookmarkStart w:id="6" w:name="_Toc28359079"/>
      <w:bookmarkStart w:id="7" w:name="_Toc28359002"/>
      <w:bookmarkStart w:id="8" w:name="_Toc35393790"/>
      <w:bookmarkStart w:id="9" w:name="_Hlk24379207"/>
      <w:r>
        <w:rPr>
          <w:rFonts w:hint="eastAsia" w:ascii="宋体" w:hAnsi="宋体" w:cs="宋体"/>
          <w:sz w:val="24"/>
          <w:szCs w:val="24"/>
        </w:rPr>
        <w:t>一、项目基本情况</w:t>
      </w:r>
      <w:bookmarkEnd w:id="5"/>
      <w:bookmarkEnd w:id="6"/>
      <w:bookmarkEnd w:id="7"/>
      <w:bookmarkEnd w:id="8"/>
    </w:p>
    <w:p w14:paraId="79C7EA7E">
      <w:pPr>
        <w:spacing w:line="360" w:lineRule="auto"/>
        <w:ind w:firstLine="480" w:firstLineChars="200"/>
        <w:jc w:val="left"/>
        <w:rPr>
          <w:rFonts w:ascii="宋体" w:hAnsi="宋体" w:cs="宋体"/>
          <w:sz w:val="24"/>
          <w:szCs w:val="24"/>
        </w:rPr>
      </w:pPr>
      <w:r>
        <w:rPr>
          <w:rFonts w:hint="eastAsia" w:ascii="宋体" w:hAnsi="宋体" w:cs="宋体"/>
          <w:sz w:val="24"/>
          <w:szCs w:val="24"/>
        </w:rPr>
        <w:t>项目编号：沈财招标采购-2026-8</w:t>
      </w:r>
    </w:p>
    <w:p w14:paraId="5501BBFD">
      <w:pPr>
        <w:spacing w:line="360" w:lineRule="auto"/>
        <w:ind w:firstLine="480" w:firstLineChars="200"/>
        <w:jc w:val="left"/>
        <w:rPr>
          <w:rFonts w:ascii="宋体" w:hAnsi="宋体" w:cs="宋体"/>
          <w:sz w:val="24"/>
          <w:szCs w:val="24"/>
        </w:rPr>
      </w:pPr>
      <w:r>
        <w:rPr>
          <w:rFonts w:hint="eastAsia" w:ascii="宋体" w:hAnsi="宋体" w:cs="宋体"/>
          <w:sz w:val="24"/>
          <w:szCs w:val="24"/>
        </w:rPr>
        <w:t>项目名称：沈丘县水利局沈丘县全域供水特许经营项目</w:t>
      </w:r>
    </w:p>
    <w:bookmarkEnd w:id="9"/>
    <w:p w14:paraId="0535B444">
      <w:pPr>
        <w:spacing w:line="360" w:lineRule="auto"/>
        <w:ind w:firstLine="480" w:firstLineChars="200"/>
        <w:jc w:val="left"/>
        <w:rPr>
          <w:rFonts w:ascii="宋体" w:hAnsi="宋体" w:cs="宋体"/>
          <w:sz w:val="24"/>
          <w:szCs w:val="24"/>
        </w:rPr>
      </w:pPr>
      <w:r>
        <w:rPr>
          <w:rFonts w:hint="eastAsia" w:ascii="宋体" w:hAnsi="宋体" w:cs="宋体"/>
          <w:sz w:val="24"/>
          <w:szCs w:val="24"/>
        </w:rPr>
        <w:t>预算金额：250985700.00元</w:t>
      </w:r>
    </w:p>
    <w:p w14:paraId="111B6E6D">
      <w:pPr>
        <w:pStyle w:val="25"/>
        <w:adjustRightInd w:val="0"/>
        <w:snapToGrid w:val="0"/>
        <w:spacing w:line="360" w:lineRule="auto"/>
        <w:ind w:firstLine="480" w:firstLineChars="200"/>
      </w:pPr>
      <w:r>
        <w:rPr>
          <w:rFonts w:hint="eastAsia" w:hAnsi="宋体" w:cs="宋体"/>
          <w:color w:val="000000"/>
          <w:kern w:val="0"/>
          <w:sz w:val="24"/>
          <w:szCs w:val="24"/>
        </w:rPr>
        <w:t>采购方式：公开招标</w:t>
      </w:r>
    </w:p>
    <w:p w14:paraId="6DBD0CFD">
      <w:pPr>
        <w:spacing w:line="360" w:lineRule="auto"/>
        <w:ind w:firstLine="480" w:firstLineChars="200"/>
        <w:jc w:val="left"/>
        <w:rPr>
          <w:rFonts w:ascii="宋体" w:hAnsi="宋体" w:cs="宋体"/>
          <w:sz w:val="24"/>
          <w:szCs w:val="24"/>
        </w:rPr>
      </w:pPr>
      <w:r>
        <w:rPr>
          <w:rFonts w:hint="eastAsia" w:ascii="宋体" w:hAnsi="宋体" w:cs="宋体"/>
          <w:sz w:val="24"/>
          <w:szCs w:val="24"/>
        </w:rPr>
        <w:t>包别划分：</w:t>
      </w:r>
      <w:r>
        <w:rPr>
          <w:rFonts w:hint="eastAsia" w:ascii="宋体" w:hAnsi="宋体" w:cs="宋体"/>
          <w:sz w:val="24"/>
          <w:szCs w:val="24"/>
          <w:u w:val="single"/>
        </w:rPr>
        <w:t xml:space="preserve"> 1 </w:t>
      </w:r>
      <w:r>
        <w:rPr>
          <w:rFonts w:hint="eastAsia" w:ascii="宋体" w:hAnsi="宋体" w:cs="宋体"/>
          <w:sz w:val="24"/>
          <w:szCs w:val="24"/>
        </w:rPr>
        <w:t>个包</w:t>
      </w:r>
    </w:p>
    <w:tbl>
      <w:tblPr>
        <w:tblStyle w:val="71"/>
        <w:tblpPr w:leftFromText="180" w:rightFromText="180" w:vertAnchor="text" w:horzAnchor="margin" w:tblpXSpec="center" w:tblpY="154"/>
        <w:tblW w:w="9988" w:type="dxa"/>
        <w:tblInd w:w="60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9"/>
        <w:gridCol w:w="4871"/>
        <w:gridCol w:w="1984"/>
        <w:gridCol w:w="1984"/>
      </w:tblGrid>
      <w:tr w14:paraId="3CB08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1149" w:type="dxa"/>
            <w:vAlign w:val="center"/>
          </w:tcPr>
          <w:p w14:paraId="627B99E7">
            <w:pPr>
              <w:spacing w:line="360" w:lineRule="auto"/>
              <w:jc w:val="center"/>
              <w:rPr>
                <w:rFonts w:ascii="宋体" w:hAnsi="宋体" w:cs="宋体"/>
                <w:sz w:val="24"/>
                <w:szCs w:val="24"/>
              </w:rPr>
            </w:pPr>
            <w:r>
              <w:rPr>
                <w:rFonts w:hint="eastAsia" w:ascii="宋体" w:hAnsi="宋体" w:cs="宋体"/>
                <w:sz w:val="24"/>
                <w:szCs w:val="24"/>
              </w:rPr>
              <w:t>包号</w:t>
            </w:r>
          </w:p>
        </w:tc>
        <w:tc>
          <w:tcPr>
            <w:tcW w:w="4871" w:type="dxa"/>
            <w:vAlign w:val="center"/>
          </w:tcPr>
          <w:p w14:paraId="1CD58866">
            <w:pPr>
              <w:spacing w:line="360" w:lineRule="auto"/>
              <w:jc w:val="center"/>
              <w:rPr>
                <w:rFonts w:ascii="宋体" w:hAnsi="宋体" w:cs="宋体"/>
                <w:sz w:val="24"/>
                <w:szCs w:val="24"/>
              </w:rPr>
            </w:pPr>
            <w:r>
              <w:rPr>
                <w:rFonts w:hint="eastAsia" w:ascii="宋体" w:hAnsi="宋体" w:cs="宋体"/>
                <w:sz w:val="24"/>
                <w:szCs w:val="24"/>
              </w:rPr>
              <w:t>包名称</w:t>
            </w:r>
          </w:p>
        </w:tc>
        <w:tc>
          <w:tcPr>
            <w:tcW w:w="1984" w:type="dxa"/>
            <w:vAlign w:val="center"/>
          </w:tcPr>
          <w:p w14:paraId="71CFBF0F">
            <w:pPr>
              <w:spacing w:line="360" w:lineRule="auto"/>
              <w:jc w:val="center"/>
              <w:rPr>
                <w:rFonts w:ascii="宋体" w:hAnsi="宋体" w:cs="宋体"/>
                <w:sz w:val="24"/>
                <w:szCs w:val="24"/>
              </w:rPr>
            </w:pPr>
            <w:r>
              <w:rPr>
                <w:rFonts w:hint="eastAsia" w:ascii="宋体" w:hAnsi="宋体" w:cs="宋体"/>
                <w:sz w:val="24"/>
                <w:szCs w:val="24"/>
              </w:rPr>
              <w:t>包预算</w:t>
            </w:r>
          </w:p>
          <w:p w14:paraId="08BA137B">
            <w:pPr>
              <w:spacing w:line="360" w:lineRule="auto"/>
              <w:jc w:val="center"/>
              <w:rPr>
                <w:rFonts w:ascii="宋体" w:hAnsi="宋体" w:cs="宋体"/>
                <w:sz w:val="24"/>
                <w:szCs w:val="24"/>
              </w:rPr>
            </w:pPr>
            <w:r>
              <w:rPr>
                <w:rFonts w:hint="eastAsia" w:ascii="宋体" w:hAnsi="宋体" w:cs="宋体"/>
                <w:sz w:val="24"/>
                <w:szCs w:val="24"/>
              </w:rPr>
              <w:t>（元）</w:t>
            </w:r>
          </w:p>
        </w:tc>
        <w:tc>
          <w:tcPr>
            <w:tcW w:w="1984" w:type="dxa"/>
            <w:vAlign w:val="center"/>
          </w:tcPr>
          <w:p w14:paraId="284653C1">
            <w:pPr>
              <w:spacing w:line="360" w:lineRule="auto"/>
              <w:jc w:val="center"/>
              <w:rPr>
                <w:rFonts w:ascii="宋体" w:hAnsi="宋体" w:cs="宋体"/>
                <w:sz w:val="24"/>
                <w:szCs w:val="24"/>
              </w:rPr>
            </w:pPr>
            <w:r>
              <w:rPr>
                <w:rFonts w:hint="eastAsia" w:ascii="宋体" w:hAnsi="宋体" w:cs="宋体"/>
                <w:sz w:val="24"/>
                <w:szCs w:val="24"/>
              </w:rPr>
              <w:t>包最高限价</w:t>
            </w:r>
          </w:p>
          <w:p w14:paraId="525FC4B1">
            <w:pPr>
              <w:spacing w:line="360" w:lineRule="auto"/>
              <w:jc w:val="center"/>
              <w:rPr>
                <w:rFonts w:ascii="宋体" w:hAnsi="宋体" w:cs="宋体"/>
                <w:sz w:val="24"/>
                <w:szCs w:val="24"/>
              </w:rPr>
            </w:pPr>
            <w:r>
              <w:rPr>
                <w:rFonts w:hint="eastAsia" w:ascii="宋体" w:hAnsi="宋体" w:cs="宋体"/>
                <w:sz w:val="24"/>
                <w:szCs w:val="24"/>
              </w:rPr>
              <w:t>（元）</w:t>
            </w:r>
          </w:p>
        </w:tc>
      </w:tr>
      <w:tr w14:paraId="61AB8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trPr>
        <w:tc>
          <w:tcPr>
            <w:tcW w:w="1149" w:type="dxa"/>
            <w:vAlign w:val="center"/>
          </w:tcPr>
          <w:p w14:paraId="26F4CA14">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ZK202604282-1</w:t>
            </w:r>
          </w:p>
        </w:tc>
        <w:tc>
          <w:tcPr>
            <w:tcW w:w="4871" w:type="dxa"/>
            <w:vAlign w:val="center"/>
          </w:tcPr>
          <w:p w14:paraId="3A78B00D">
            <w:pPr>
              <w:spacing w:line="360" w:lineRule="auto"/>
              <w:jc w:val="center"/>
              <w:rPr>
                <w:rFonts w:ascii="宋体" w:hAnsi="宋体" w:cs="宋体"/>
                <w:sz w:val="24"/>
                <w:szCs w:val="24"/>
              </w:rPr>
            </w:pPr>
            <w:r>
              <w:rPr>
                <w:rFonts w:hint="eastAsia" w:ascii="宋体" w:hAnsi="宋体" w:cs="宋体"/>
                <w:sz w:val="24"/>
                <w:szCs w:val="24"/>
              </w:rPr>
              <w:t>沈丘县水利局沈丘县全域供水特许经营项目</w:t>
            </w:r>
          </w:p>
        </w:tc>
        <w:tc>
          <w:tcPr>
            <w:tcW w:w="1984" w:type="dxa"/>
            <w:vAlign w:val="center"/>
          </w:tcPr>
          <w:p w14:paraId="2CA05560">
            <w:pPr>
              <w:spacing w:line="360" w:lineRule="auto"/>
              <w:jc w:val="center"/>
              <w:rPr>
                <w:rFonts w:ascii="宋体" w:hAnsi="宋体" w:cs="宋体"/>
                <w:sz w:val="24"/>
                <w:szCs w:val="24"/>
              </w:rPr>
            </w:pPr>
            <w:r>
              <w:rPr>
                <w:rFonts w:hint="eastAsia" w:ascii="宋体" w:hAnsi="宋体" w:cs="宋体"/>
                <w:sz w:val="24"/>
                <w:szCs w:val="24"/>
              </w:rPr>
              <w:t>250985700.00</w:t>
            </w:r>
          </w:p>
        </w:tc>
        <w:tc>
          <w:tcPr>
            <w:tcW w:w="1984" w:type="dxa"/>
            <w:vAlign w:val="center"/>
          </w:tcPr>
          <w:p w14:paraId="58185F45">
            <w:pPr>
              <w:spacing w:line="360" w:lineRule="auto"/>
              <w:jc w:val="center"/>
              <w:rPr>
                <w:rFonts w:ascii="宋体" w:hAnsi="宋体" w:cs="宋体"/>
                <w:sz w:val="24"/>
                <w:szCs w:val="24"/>
              </w:rPr>
            </w:pPr>
            <w:r>
              <w:rPr>
                <w:rFonts w:hint="eastAsia" w:ascii="宋体" w:hAnsi="宋体" w:cs="宋体"/>
                <w:sz w:val="24"/>
                <w:szCs w:val="24"/>
              </w:rPr>
              <w:t>250985700.00</w:t>
            </w:r>
          </w:p>
        </w:tc>
      </w:tr>
    </w:tbl>
    <w:p w14:paraId="4A25C3CE">
      <w:pPr>
        <w:spacing w:line="360" w:lineRule="auto"/>
        <w:ind w:firstLine="200" w:firstLineChars="200"/>
        <w:jc w:val="left"/>
        <w:rPr>
          <w:rFonts w:ascii="宋体" w:hAnsi="宋体" w:cs="宋体"/>
          <w:sz w:val="10"/>
          <w:szCs w:val="10"/>
        </w:rPr>
      </w:pPr>
    </w:p>
    <w:p w14:paraId="08F4E7A7">
      <w:pPr>
        <w:spacing w:line="360" w:lineRule="auto"/>
        <w:ind w:firstLine="480" w:firstLineChars="200"/>
        <w:jc w:val="left"/>
        <w:rPr>
          <w:rFonts w:ascii="宋体" w:hAnsi="宋体" w:cs="宋体"/>
          <w:sz w:val="24"/>
          <w:szCs w:val="24"/>
        </w:rPr>
      </w:pPr>
      <w:r>
        <w:rPr>
          <w:rFonts w:hint="eastAsia" w:ascii="宋体" w:hAnsi="宋体" w:cs="宋体"/>
          <w:sz w:val="24"/>
          <w:szCs w:val="24"/>
        </w:rPr>
        <w:t>采购需求：沈丘县全域供水特许经营，详见采购文件。</w:t>
      </w:r>
    </w:p>
    <w:p w14:paraId="2CDCC27D">
      <w:pPr>
        <w:spacing w:line="360" w:lineRule="auto"/>
        <w:ind w:firstLine="480" w:firstLineChars="200"/>
        <w:jc w:val="left"/>
        <w:rPr>
          <w:rFonts w:ascii="宋体" w:hAnsi="宋体" w:cs="宋体"/>
          <w:sz w:val="24"/>
          <w:szCs w:val="24"/>
        </w:rPr>
      </w:pPr>
      <w:r>
        <w:rPr>
          <w:rFonts w:hint="eastAsia" w:ascii="宋体" w:hAnsi="宋体" w:cs="宋体"/>
          <w:sz w:val="24"/>
          <w:szCs w:val="24"/>
        </w:rPr>
        <w:t>合同履行期限：35年</w:t>
      </w:r>
    </w:p>
    <w:p w14:paraId="229CD551">
      <w:pPr>
        <w:spacing w:line="360" w:lineRule="auto"/>
        <w:ind w:firstLine="480" w:firstLineChars="200"/>
        <w:jc w:val="left"/>
        <w:rPr>
          <w:rFonts w:ascii="宋体" w:hAnsi="宋体" w:cs="宋体"/>
          <w:sz w:val="24"/>
          <w:szCs w:val="24"/>
        </w:rPr>
      </w:pPr>
      <w:bookmarkStart w:id="10" w:name="_Toc28359080"/>
      <w:bookmarkStart w:id="11" w:name="_Toc35393791"/>
      <w:bookmarkStart w:id="12" w:name="_Toc35393622"/>
      <w:bookmarkStart w:id="13" w:name="_Toc28359003"/>
      <w:r>
        <w:rPr>
          <w:rFonts w:hint="eastAsia" w:ascii="宋体" w:hAnsi="宋体" w:cs="宋体"/>
          <w:sz w:val="24"/>
          <w:szCs w:val="24"/>
        </w:rPr>
        <w:t>资金来源：本项目总投资为25098.57万元，其中：沈丘县全域供水特许经营权评估价值25000.77万元，前期费用97.8万元（包含项目资产评估费、特许经营项目相关咨询服务费，具体金额以最终合同为准）。其中</w:t>
      </w:r>
      <w:r>
        <w:rPr>
          <w:rFonts w:hint="eastAsia" w:ascii="宋体" w:hAnsi="宋体" w:cs="宋体"/>
          <w:sz w:val="24"/>
          <w:szCs w:val="24"/>
          <w:lang w:eastAsia="zh-Hans"/>
        </w:rPr>
        <w:t>项目资本金</w:t>
      </w:r>
      <w:r>
        <w:rPr>
          <w:rFonts w:hint="eastAsia" w:ascii="宋体" w:hAnsi="宋体" w:cs="宋体"/>
          <w:sz w:val="24"/>
          <w:szCs w:val="24"/>
        </w:rPr>
        <w:t>5098.57</w:t>
      </w:r>
      <w:r>
        <w:rPr>
          <w:rFonts w:hint="eastAsia" w:ascii="宋体" w:hAnsi="宋体" w:cs="宋体"/>
          <w:sz w:val="24"/>
          <w:szCs w:val="24"/>
          <w:lang w:eastAsia="zh-Hans"/>
        </w:rPr>
        <w:t>万元</w:t>
      </w:r>
      <w:r>
        <w:rPr>
          <w:rFonts w:hint="eastAsia" w:ascii="宋体" w:hAnsi="宋体" w:cs="宋体"/>
          <w:sz w:val="24"/>
          <w:szCs w:val="24"/>
        </w:rPr>
        <w:t>，</w:t>
      </w:r>
      <w:r>
        <w:rPr>
          <w:rFonts w:hint="eastAsia" w:ascii="宋体" w:hAnsi="宋体" w:cs="宋体"/>
          <w:sz w:val="24"/>
          <w:szCs w:val="24"/>
          <w:lang w:eastAsia="zh-Hans"/>
        </w:rPr>
        <w:t>占总投资的</w:t>
      </w:r>
      <w:r>
        <w:rPr>
          <w:rFonts w:hint="eastAsia" w:ascii="宋体" w:hAnsi="宋体" w:cs="宋体"/>
          <w:sz w:val="24"/>
          <w:szCs w:val="24"/>
        </w:rPr>
        <w:t>20.31%；项目</w:t>
      </w:r>
      <w:r>
        <w:rPr>
          <w:rFonts w:hint="eastAsia" w:ascii="宋体" w:hAnsi="宋体" w:cs="宋体"/>
          <w:sz w:val="24"/>
          <w:szCs w:val="24"/>
          <w:lang w:eastAsia="zh-Hans"/>
        </w:rPr>
        <w:t>融资金额</w:t>
      </w:r>
      <w:r>
        <w:rPr>
          <w:rFonts w:hint="eastAsia" w:ascii="宋体" w:hAnsi="宋体" w:cs="宋体"/>
          <w:sz w:val="24"/>
          <w:szCs w:val="24"/>
        </w:rPr>
        <w:t>20000.00</w:t>
      </w:r>
      <w:r>
        <w:rPr>
          <w:rFonts w:hint="eastAsia" w:ascii="宋体" w:hAnsi="宋体" w:cs="宋体"/>
          <w:sz w:val="24"/>
          <w:szCs w:val="24"/>
          <w:lang w:eastAsia="zh-Hans"/>
        </w:rPr>
        <w:t>万元，占总投资的</w:t>
      </w:r>
      <w:r>
        <w:rPr>
          <w:rFonts w:hint="eastAsia" w:ascii="宋体" w:hAnsi="宋体" w:cs="宋体"/>
          <w:sz w:val="24"/>
          <w:szCs w:val="24"/>
        </w:rPr>
        <w:t>79.69%</w:t>
      </w:r>
      <w:r>
        <w:rPr>
          <w:rFonts w:hint="eastAsia" w:ascii="宋体" w:hAnsi="宋体" w:cs="宋体"/>
          <w:sz w:val="24"/>
          <w:szCs w:val="24"/>
          <w:lang w:eastAsia="zh-Hans"/>
        </w:rPr>
        <w:t>。</w:t>
      </w:r>
    </w:p>
    <w:p w14:paraId="597880FE">
      <w:pPr>
        <w:spacing w:line="360" w:lineRule="auto"/>
        <w:ind w:firstLine="480" w:firstLineChars="200"/>
        <w:jc w:val="left"/>
        <w:rPr>
          <w:rFonts w:ascii="宋体" w:hAnsi="宋体" w:cs="宋体"/>
          <w:sz w:val="24"/>
          <w:szCs w:val="24"/>
        </w:rPr>
      </w:pPr>
      <w:r>
        <w:rPr>
          <w:rFonts w:hint="eastAsia" w:ascii="宋体" w:hAnsi="宋体" w:cs="宋体"/>
          <w:sz w:val="24"/>
          <w:szCs w:val="24"/>
        </w:rPr>
        <w:t>特许经营实施方式：本项目拟采用“TOT”方式实施；</w:t>
      </w:r>
    </w:p>
    <w:p w14:paraId="76223F0F">
      <w:pPr>
        <w:spacing w:line="360" w:lineRule="auto"/>
        <w:ind w:firstLine="480" w:firstLineChars="200"/>
        <w:jc w:val="left"/>
        <w:rPr>
          <w:rFonts w:ascii="宋体" w:hAnsi="宋体" w:cs="宋体"/>
          <w:sz w:val="24"/>
          <w:szCs w:val="24"/>
        </w:rPr>
      </w:pPr>
      <w:r>
        <w:rPr>
          <w:rFonts w:hint="eastAsia" w:ascii="宋体" w:hAnsi="宋体" w:cs="宋体"/>
          <w:sz w:val="24"/>
          <w:szCs w:val="24"/>
        </w:rPr>
        <w:t>回报机制：本项目回报机制为使用者付费；</w:t>
      </w:r>
    </w:p>
    <w:p w14:paraId="0F5EF16A">
      <w:pPr>
        <w:spacing w:line="360" w:lineRule="auto"/>
        <w:ind w:firstLine="480" w:firstLineChars="200"/>
        <w:jc w:val="left"/>
        <w:rPr>
          <w:rFonts w:ascii="宋体" w:hAnsi="宋体" w:cs="宋体"/>
          <w:sz w:val="24"/>
          <w:szCs w:val="24"/>
        </w:rPr>
      </w:pPr>
      <w:r>
        <w:rPr>
          <w:rFonts w:hint="eastAsia" w:ascii="宋体" w:hAnsi="宋体" w:cs="宋体"/>
          <w:sz w:val="24"/>
          <w:szCs w:val="24"/>
        </w:rPr>
        <w:t>是否接受进口产品：否</w:t>
      </w:r>
    </w:p>
    <w:p w14:paraId="3851752F">
      <w:pPr>
        <w:spacing w:line="360" w:lineRule="auto"/>
        <w:ind w:firstLine="480" w:firstLineChars="200"/>
        <w:jc w:val="left"/>
        <w:rPr>
          <w:rFonts w:ascii="宋体" w:hAnsi="宋体" w:cs="宋体"/>
          <w:sz w:val="24"/>
          <w:szCs w:val="24"/>
        </w:rPr>
      </w:pPr>
      <w:r>
        <w:rPr>
          <w:rFonts w:hint="eastAsia" w:ascii="宋体" w:hAnsi="宋体" w:cs="宋体"/>
          <w:sz w:val="24"/>
          <w:szCs w:val="24"/>
        </w:rPr>
        <w:t>本项目是否接受联合体投标：否</w:t>
      </w:r>
    </w:p>
    <w:p w14:paraId="4F334C8F">
      <w:pPr>
        <w:spacing w:line="360" w:lineRule="auto"/>
        <w:ind w:firstLine="480" w:firstLineChars="200"/>
        <w:jc w:val="left"/>
        <w:rPr>
          <w:rFonts w:ascii="宋体" w:hAnsi="宋体" w:cs="宋体"/>
          <w:sz w:val="24"/>
          <w:szCs w:val="24"/>
        </w:rPr>
      </w:pPr>
      <w:r>
        <w:rPr>
          <w:rFonts w:hint="eastAsia" w:ascii="宋体" w:hAnsi="宋体" w:cs="宋体"/>
          <w:sz w:val="24"/>
          <w:szCs w:val="24"/>
        </w:rPr>
        <w:t>本项目是否为只面向中小企业采购：否</w:t>
      </w:r>
    </w:p>
    <w:p w14:paraId="3F3F44C3">
      <w:pPr>
        <w:spacing w:line="360" w:lineRule="auto"/>
        <w:ind w:firstLine="480" w:firstLineChars="200"/>
        <w:jc w:val="left"/>
        <w:rPr>
          <w:rFonts w:ascii="宋体" w:hAnsi="宋体" w:cs="宋体"/>
          <w:sz w:val="24"/>
          <w:szCs w:val="24"/>
        </w:rPr>
      </w:pPr>
      <w:r>
        <w:rPr>
          <w:rFonts w:hint="eastAsia" w:ascii="宋体" w:hAnsi="宋体" w:cs="宋体"/>
          <w:sz w:val="24"/>
          <w:szCs w:val="24"/>
        </w:rPr>
        <w:t>二、申请人的资格要求：</w:t>
      </w:r>
      <w:bookmarkEnd w:id="10"/>
      <w:bookmarkEnd w:id="11"/>
      <w:bookmarkEnd w:id="12"/>
      <w:bookmarkEnd w:id="13"/>
    </w:p>
    <w:p w14:paraId="7834FA8A">
      <w:pPr>
        <w:spacing w:line="360" w:lineRule="auto"/>
        <w:ind w:firstLine="480" w:firstLineChars="200"/>
        <w:jc w:val="left"/>
        <w:rPr>
          <w:rFonts w:ascii="宋体" w:hAnsi="宋体" w:cs="宋体"/>
          <w:sz w:val="24"/>
          <w:szCs w:val="24"/>
        </w:rPr>
      </w:pPr>
      <w:r>
        <w:rPr>
          <w:rFonts w:hint="eastAsia" w:ascii="宋体" w:hAnsi="宋体" w:cs="宋体"/>
          <w:sz w:val="24"/>
          <w:szCs w:val="24"/>
        </w:rPr>
        <w:t>1.满足《中华人民共和国政府采购法》第二十二条规定；</w:t>
      </w:r>
    </w:p>
    <w:p w14:paraId="0003F1DD">
      <w:pPr>
        <w:pStyle w:val="25"/>
        <w:adjustRightInd w:val="0"/>
        <w:snapToGrid w:val="0"/>
        <w:spacing w:line="360" w:lineRule="auto"/>
        <w:ind w:firstLine="480" w:firstLineChars="200"/>
        <w:rPr>
          <w:rFonts w:hAnsi="宋体" w:cs="宋体"/>
          <w:sz w:val="24"/>
          <w:szCs w:val="24"/>
        </w:rPr>
      </w:pPr>
      <w:r>
        <w:rPr>
          <w:rFonts w:hint="eastAsia" w:hAnsi="宋体" w:cs="宋体"/>
          <w:sz w:val="24"/>
          <w:szCs w:val="24"/>
        </w:rPr>
        <w:t>（1）具有独立承担民事责任的能力（企业营业执照等证明文件）；</w:t>
      </w:r>
    </w:p>
    <w:p w14:paraId="6B27E4A6">
      <w:pPr>
        <w:pStyle w:val="25"/>
        <w:adjustRightInd w:val="0"/>
        <w:snapToGrid w:val="0"/>
        <w:spacing w:line="360" w:lineRule="auto"/>
        <w:ind w:firstLine="480" w:firstLineChars="200"/>
        <w:rPr>
          <w:rFonts w:hAnsi="宋体" w:cs="宋体"/>
          <w:sz w:val="24"/>
          <w:szCs w:val="24"/>
        </w:rPr>
      </w:pPr>
      <w:r>
        <w:rPr>
          <w:rFonts w:hint="eastAsia" w:hAnsi="宋体" w:cs="宋体"/>
          <w:sz w:val="24"/>
          <w:szCs w:val="24"/>
        </w:rPr>
        <w:t>（2）具有良好的商业信誉和健全的财务会计制度（供应商应提供2023年、2024年、2025年度经独立审计机构出具的财务审计报告（包括资产负债表、现金流量表、利润表），若企业成立年限不足三年的，提供自企业成立之日起至今的财务报表）；</w:t>
      </w:r>
    </w:p>
    <w:p w14:paraId="59EF40D9">
      <w:pPr>
        <w:pStyle w:val="25"/>
        <w:adjustRightInd w:val="0"/>
        <w:snapToGrid w:val="0"/>
        <w:spacing w:line="360" w:lineRule="auto"/>
        <w:ind w:firstLine="480" w:firstLineChars="200"/>
        <w:rPr>
          <w:rFonts w:hAnsi="宋体" w:cs="宋体"/>
          <w:sz w:val="24"/>
          <w:szCs w:val="24"/>
        </w:rPr>
      </w:pPr>
      <w:r>
        <w:rPr>
          <w:rFonts w:hint="eastAsia" w:hAnsi="宋体" w:cs="宋体"/>
          <w:sz w:val="24"/>
          <w:szCs w:val="24"/>
        </w:rPr>
        <w:t>（3）具有履行合同所必需的设备和专业技术能力（提供承诺书，格式自拟）；</w:t>
      </w:r>
    </w:p>
    <w:p w14:paraId="6C6C1B88">
      <w:pPr>
        <w:pStyle w:val="25"/>
        <w:adjustRightInd w:val="0"/>
        <w:snapToGrid w:val="0"/>
        <w:spacing w:line="360" w:lineRule="auto"/>
        <w:ind w:firstLine="480" w:firstLineChars="200"/>
        <w:rPr>
          <w:rFonts w:hAnsi="宋体" w:cs="宋体"/>
          <w:sz w:val="24"/>
          <w:szCs w:val="24"/>
        </w:rPr>
      </w:pPr>
      <w:r>
        <w:rPr>
          <w:rFonts w:hint="eastAsia" w:hAnsi="宋体" w:cs="宋体"/>
          <w:sz w:val="24"/>
          <w:szCs w:val="24"/>
        </w:rPr>
        <w:t>（4）有依法缴纳税收和社会保障资金的良好记录（提供2025年4月1日以来连续6个月缴纳的税收凭据、社会保险凭据，依法免税或不需要缴纳社会保障资金的供应商应提供相应的证明文件）；</w:t>
      </w:r>
    </w:p>
    <w:p w14:paraId="70195D4C">
      <w:pPr>
        <w:pStyle w:val="25"/>
        <w:adjustRightInd w:val="0"/>
        <w:snapToGrid w:val="0"/>
        <w:spacing w:line="360" w:lineRule="auto"/>
        <w:ind w:firstLine="480" w:firstLineChars="200"/>
      </w:pPr>
      <w:r>
        <w:rPr>
          <w:rFonts w:hint="eastAsia" w:hAnsi="宋体" w:cs="宋体"/>
          <w:sz w:val="24"/>
          <w:szCs w:val="24"/>
        </w:rPr>
        <w:t>（5）参加政府采购活动前三年内，在经营活动中没有重大违法记录（提供没有重大违法记录的书面声明函，格式自拟）；</w:t>
      </w:r>
    </w:p>
    <w:p w14:paraId="5022187E">
      <w:pPr>
        <w:spacing w:line="360" w:lineRule="auto"/>
        <w:ind w:firstLine="480" w:firstLineChars="200"/>
        <w:jc w:val="left"/>
        <w:rPr>
          <w:rFonts w:ascii="宋体" w:hAnsi="宋体" w:cs="宋体"/>
          <w:sz w:val="24"/>
          <w:szCs w:val="24"/>
        </w:rPr>
      </w:pPr>
      <w:bookmarkStart w:id="14" w:name="_Toc28359004"/>
      <w:bookmarkStart w:id="15" w:name="_Toc28359081"/>
      <w:r>
        <w:rPr>
          <w:rFonts w:hint="eastAsia" w:ascii="宋体" w:hAnsi="宋体" w:cs="宋体"/>
          <w:sz w:val="24"/>
          <w:szCs w:val="24"/>
        </w:rPr>
        <w:t xml:space="preserve">2.落实政府采购政策需满足的资格要求：促进中小企业和监狱企业发展扶持政策、政府强制采购节能产品强制采购、节能产品及环境标志产品优先采购、促进残疾人就业政府采购政策。  </w:t>
      </w:r>
    </w:p>
    <w:p w14:paraId="082577CD">
      <w:pPr>
        <w:spacing w:line="360" w:lineRule="auto"/>
        <w:ind w:firstLine="480" w:firstLineChars="200"/>
        <w:jc w:val="left"/>
        <w:rPr>
          <w:rFonts w:ascii="宋体" w:hAnsi="宋体" w:cs="宋体"/>
          <w:sz w:val="24"/>
          <w:szCs w:val="24"/>
        </w:rPr>
      </w:pPr>
      <w:r>
        <w:rPr>
          <w:rFonts w:hint="eastAsia" w:ascii="宋体" w:hAnsi="宋体" w:cs="宋体"/>
          <w:sz w:val="24"/>
          <w:szCs w:val="24"/>
        </w:rPr>
        <w:t>3.本项目的特定资格要求：</w:t>
      </w:r>
    </w:p>
    <w:p w14:paraId="6016C95A">
      <w:pPr>
        <w:spacing w:line="360" w:lineRule="auto"/>
        <w:ind w:firstLine="480" w:firstLineChars="200"/>
        <w:jc w:val="left"/>
        <w:rPr>
          <w:rFonts w:ascii="宋体" w:hAnsi="宋体" w:cs="宋体"/>
          <w:sz w:val="24"/>
          <w:szCs w:val="24"/>
        </w:rPr>
      </w:pPr>
      <w:r>
        <w:rPr>
          <w:rFonts w:hint="eastAsia" w:ascii="宋体" w:hAnsi="宋体" w:cs="宋体"/>
          <w:sz w:val="24"/>
          <w:szCs w:val="24"/>
        </w:rPr>
        <w:t>3.1财务要求：供应商须具有不低于20000.00万元的资金实力或融资能力，以提供银行出具的自有资金证明或授信额度证明或金融机构出具的贷款或融资意向书/函/合同为准。</w:t>
      </w:r>
    </w:p>
    <w:p w14:paraId="0529E2F8">
      <w:pPr>
        <w:spacing w:line="360" w:lineRule="auto"/>
        <w:ind w:firstLine="480" w:firstLineChars="200"/>
        <w:jc w:val="left"/>
        <w:rPr>
          <w:rFonts w:ascii="宋体" w:hAnsi="宋体" w:cs="宋体"/>
          <w:sz w:val="24"/>
          <w:szCs w:val="24"/>
        </w:rPr>
      </w:pPr>
      <w:r>
        <w:rPr>
          <w:rFonts w:hint="eastAsia" w:ascii="宋体" w:hAnsi="宋体" w:cs="宋体"/>
          <w:sz w:val="24"/>
          <w:szCs w:val="24"/>
        </w:rPr>
        <w:t>3.2根据《关于在政府采购活动中查询及使用信用记录有关问题的通知》（财库[2016]125号）和豫财购【2016】15号的规定，对列入失信被执行人、重大税收违法案件当事人名单、政府采购严重违法失信行为记录名单，拒绝其参与本次政府采购活动。供应商须通过“信用中国”网www.creditchina.gov.cn)、“中国执行信息公开网”（zxgk.court.gov.cn）对列入“失信被执行人、重大税收违法失信主体、政府采购严重违法失信行为记录名单”企业和法定代表人的查询，通过“中国政府采购网”（www.ccgp.gov.cn）对“政府采购严重违法失信行为信息记录”企业信用记录查询（查询日期为公告发布之日起至投标截止之日止）。</w:t>
      </w:r>
    </w:p>
    <w:p w14:paraId="2940799B">
      <w:pPr>
        <w:spacing w:line="360" w:lineRule="auto"/>
        <w:ind w:firstLine="480" w:firstLineChars="200"/>
        <w:jc w:val="left"/>
        <w:rPr>
          <w:rFonts w:ascii="宋体" w:hAnsi="宋体" w:cs="宋体"/>
          <w:sz w:val="24"/>
          <w:szCs w:val="24"/>
        </w:rPr>
      </w:pPr>
      <w:bookmarkStart w:id="16" w:name="_Toc35393623"/>
      <w:bookmarkStart w:id="17" w:name="_Toc35393792"/>
      <w:r>
        <w:rPr>
          <w:rFonts w:hint="eastAsia" w:ascii="宋体" w:hAnsi="宋体" w:cs="宋体"/>
          <w:sz w:val="24"/>
          <w:szCs w:val="24"/>
        </w:rPr>
        <w:t xml:space="preserve">3.3单位负责人为同一人或者存在控股、管理关系的不同单位，均不得参加同一标段（或同一包）投标或者未划分标段（或包）的同一合同项下的政府采购活动（提供“全国企业信用信息公示系统”或天眼查中公司信息、股东及出资信息查询截图）。 </w:t>
      </w:r>
    </w:p>
    <w:p w14:paraId="7AAB830C">
      <w:pPr>
        <w:spacing w:line="360" w:lineRule="auto"/>
        <w:ind w:firstLine="480" w:firstLineChars="200"/>
        <w:jc w:val="left"/>
        <w:rPr>
          <w:rFonts w:ascii="宋体" w:hAnsi="宋体" w:cs="宋体"/>
          <w:sz w:val="24"/>
          <w:szCs w:val="24"/>
        </w:rPr>
      </w:pPr>
      <w:r>
        <w:rPr>
          <w:rFonts w:hint="eastAsia" w:ascii="宋体" w:hAnsi="宋体" w:cs="宋体"/>
          <w:sz w:val="24"/>
          <w:szCs w:val="24"/>
        </w:rPr>
        <w:t>3.4本项目不接受联合体投标。</w:t>
      </w:r>
    </w:p>
    <w:p w14:paraId="749C6B0B">
      <w:pPr>
        <w:spacing w:line="360" w:lineRule="auto"/>
        <w:ind w:firstLine="480" w:firstLineChars="200"/>
        <w:jc w:val="left"/>
        <w:rPr>
          <w:rFonts w:ascii="宋体" w:hAnsi="宋体" w:cs="宋体"/>
          <w:sz w:val="24"/>
          <w:szCs w:val="24"/>
        </w:rPr>
      </w:pPr>
      <w:r>
        <w:rPr>
          <w:rFonts w:hint="eastAsia" w:ascii="宋体" w:hAnsi="宋体" w:cs="宋体"/>
          <w:sz w:val="24"/>
          <w:szCs w:val="24"/>
        </w:rPr>
        <w:t>三、获取招标文件</w:t>
      </w:r>
      <w:bookmarkEnd w:id="14"/>
      <w:bookmarkEnd w:id="15"/>
      <w:bookmarkEnd w:id="16"/>
      <w:bookmarkEnd w:id="17"/>
    </w:p>
    <w:p w14:paraId="361E6F81">
      <w:pPr>
        <w:spacing w:line="360" w:lineRule="auto"/>
        <w:ind w:firstLine="480" w:firstLineChars="200"/>
        <w:jc w:val="left"/>
        <w:rPr>
          <w:rFonts w:ascii="宋体" w:hAnsi="宋体" w:cs="宋体"/>
          <w:sz w:val="24"/>
          <w:szCs w:val="24"/>
        </w:rPr>
      </w:pPr>
      <w:r>
        <w:rPr>
          <w:rFonts w:hint="eastAsia" w:ascii="宋体" w:hAnsi="宋体" w:cs="宋体"/>
          <w:sz w:val="24"/>
          <w:szCs w:val="24"/>
        </w:rPr>
        <w:t>1.时间： 2026年</w:t>
      </w:r>
      <w:r>
        <w:rPr>
          <w:rFonts w:hint="eastAsia" w:ascii="宋体" w:hAnsi="宋体" w:cs="宋体"/>
          <w:sz w:val="24"/>
          <w:szCs w:val="24"/>
          <w:lang w:val="en-US" w:eastAsia="zh-CN"/>
        </w:rPr>
        <w:t>5</w:t>
      </w:r>
      <w:r>
        <w:rPr>
          <w:rFonts w:hint="eastAsia" w:ascii="宋体" w:hAnsi="宋体" w:cs="宋体"/>
          <w:sz w:val="24"/>
          <w:szCs w:val="24"/>
        </w:rPr>
        <w:t>月</w:t>
      </w:r>
      <w:r>
        <w:rPr>
          <w:rFonts w:hint="eastAsia" w:ascii="宋体" w:hAnsi="宋体" w:cs="宋体"/>
          <w:sz w:val="24"/>
          <w:szCs w:val="24"/>
          <w:lang w:val="en-US" w:eastAsia="zh-CN"/>
        </w:rPr>
        <w:t>6</w:t>
      </w:r>
      <w:r>
        <w:rPr>
          <w:rFonts w:hint="eastAsia" w:ascii="宋体" w:hAnsi="宋体" w:cs="宋体"/>
          <w:sz w:val="24"/>
          <w:szCs w:val="24"/>
        </w:rPr>
        <w:t>日至2026年</w:t>
      </w:r>
      <w:r>
        <w:rPr>
          <w:rFonts w:hint="eastAsia" w:ascii="宋体" w:hAnsi="宋体" w:cs="宋体"/>
          <w:sz w:val="24"/>
          <w:szCs w:val="24"/>
          <w:lang w:val="en-US" w:eastAsia="zh-CN"/>
        </w:rPr>
        <w:t>5</w:t>
      </w:r>
      <w:r>
        <w:rPr>
          <w:rFonts w:hint="eastAsia" w:ascii="宋体" w:hAnsi="宋体" w:cs="宋体"/>
          <w:sz w:val="24"/>
          <w:szCs w:val="24"/>
        </w:rPr>
        <w:t>月</w:t>
      </w:r>
      <w:r>
        <w:rPr>
          <w:rFonts w:hint="eastAsia" w:ascii="宋体" w:hAnsi="宋体" w:cs="宋体"/>
          <w:sz w:val="24"/>
          <w:szCs w:val="24"/>
          <w:lang w:val="en-US" w:eastAsia="zh-CN"/>
        </w:rPr>
        <w:t>12</w:t>
      </w:r>
      <w:r>
        <w:rPr>
          <w:rFonts w:hint="eastAsia" w:ascii="宋体" w:hAnsi="宋体" w:cs="宋体"/>
          <w:sz w:val="24"/>
          <w:szCs w:val="24"/>
        </w:rPr>
        <w:t>日，</w:t>
      </w:r>
      <w:r>
        <w:rPr>
          <w:rFonts w:ascii="宋体" w:hAnsi="宋体" w:cs="宋体"/>
          <w:sz w:val="24"/>
          <w:szCs w:val="24"/>
        </w:rPr>
        <w:t>每天上午00:00至12:00，下午12:00至23:59（北京时间，法定节假日除外。）</w:t>
      </w:r>
    </w:p>
    <w:p w14:paraId="6E64B6DE">
      <w:pPr>
        <w:spacing w:line="360" w:lineRule="auto"/>
        <w:ind w:firstLine="480" w:firstLineChars="200"/>
        <w:jc w:val="left"/>
        <w:rPr>
          <w:rFonts w:ascii="宋体" w:hAnsi="宋体" w:cs="宋体"/>
          <w:sz w:val="24"/>
          <w:szCs w:val="24"/>
        </w:rPr>
      </w:pPr>
      <w:r>
        <w:rPr>
          <w:rFonts w:hint="eastAsia" w:ascii="宋体" w:hAnsi="宋体" w:cs="宋体"/>
          <w:sz w:val="24"/>
          <w:szCs w:val="24"/>
        </w:rPr>
        <w:t>2.地点：周口市公共资源交易中心网（http://jyzx.zhoukou.gov.cn）</w:t>
      </w:r>
    </w:p>
    <w:p w14:paraId="275C7118">
      <w:pPr>
        <w:spacing w:line="360" w:lineRule="auto"/>
        <w:ind w:firstLine="480" w:firstLineChars="200"/>
        <w:jc w:val="left"/>
        <w:rPr>
          <w:rFonts w:ascii="宋体" w:hAnsi="宋体" w:cs="宋体"/>
          <w:sz w:val="24"/>
          <w:szCs w:val="24"/>
        </w:rPr>
      </w:pPr>
      <w:r>
        <w:rPr>
          <w:rFonts w:hint="eastAsia" w:ascii="宋体" w:hAnsi="宋体" w:cs="宋体"/>
          <w:sz w:val="24"/>
          <w:szCs w:val="24"/>
        </w:rPr>
        <w:t>3.方式：供应商请在网站自主注册后下载采购文件（zkzf格式）及资料，需办理CA数字证书后方可提交响应文件，具体办理事宜请查阅周口市公共资源交易中心网站。</w:t>
      </w:r>
    </w:p>
    <w:p w14:paraId="506C537C">
      <w:pPr>
        <w:spacing w:line="360" w:lineRule="auto"/>
        <w:ind w:firstLine="480" w:firstLineChars="200"/>
        <w:jc w:val="left"/>
        <w:rPr>
          <w:rFonts w:ascii="宋体" w:hAnsi="宋体" w:cs="宋体"/>
          <w:sz w:val="24"/>
          <w:szCs w:val="24"/>
        </w:rPr>
      </w:pPr>
      <w:r>
        <w:rPr>
          <w:rFonts w:hint="eastAsia" w:ascii="宋体" w:hAnsi="宋体" w:cs="宋体"/>
          <w:sz w:val="24"/>
          <w:szCs w:val="24"/>
        </w:rPr>
        <w:t>4.售价：0</w:t>
      </w:r>
    </w:p>
    <w:p w14:paraId="1BF9A956">
      <w:pPr>
        <w:spacing w:line="360" w:lineRule="auto"/>
        <w:ind w:firstLine="480" w:firstLineChars="200"/>
        <w:jc w:val="left"/>
        <w:rPr>
          <w:rFonts w:ascii="宋体" w:hAnsi="宋体" w:cs="宋体"/>
          <w:sz w:val="24"/>
          <w:szCs w:val="24"/>
        </w:rPr>
      </w:pPr>
      <w:bookmarkStart w:id="18" w:name="_Toc28359082"/>
      <w:bookmarkStart w:id="19" w:name="_Toc28359005"/>
      <w:bookmarkStart w:id="20" w:name="_Toc35393624"/>
      <w:bookmarkStart w:id="21" w:name="_Toc35393793"/>
      <w:r>
        <w:rPr>
          <w:rFonts w:hint="eastAsia" w:ascii="宋体" w:hAnsi="宋体" w:cs="宋体"/>
          <w:sz w:val="24"/>
          <w:szCs w:val="24"/>
        </w:rPr>
        <w:t>四、投标</w:t>
      </w:r>
      <w:bookmarkEnd w:id="18"/>
      <w:bookmarkEnd w:id="19"/>
      <w:r>
        <w:rPr>
          <w:rFonts w:hint="eastAsia" w:ascii="宋体" w:hAnsi="宋体" w:cs="宋体"/>
          <w:sz w:val="24"/>
          <w:szCs w:val="24"/>
        </w:rPr>
        <w:t>截止时间及地点</w:t>
      </w:r>
      <w:bookmarkEnd w:id="20"/>
      <w:bookmarkEnd w:id="21"/>
    </w:p>
    <w:p w14:paraId="57F47B35">
      <w:pPr>
        <w:spacing w:line="360" w:lineRule="auto"/>
        <w:ind w:firstLine="480" w:firstLineChars="200"/>
        <w:jc w:val="left"/>
        <w:rPr>
          <w:rFonts w:ascii="宋体" w:hAnsi="宋体" w:cs="宋体"/>
          <w:color w:val="auto"/>
          <w:sz w:val="24"/>
          <w:szCs w:val="24"/>
        </w:rPr>
      </w:pPr>
      <w:r>
        <w:rPr>
          <w:rFonts w:hint="eastAsia" w:ascii="宋体" w:hAnsi="宋体" w:cs="宋体"/>
          <w:color w:val="auto"/>
          <w:sz w:val="24"/>
          <w:szCs w:val="24"/>
        </w:rPr>
        <w:t>时间：2026年</w:t>
      </w:r>
      <w:r>
        <w:rPr>
          <w:rFonts w:hint="eastAsia" w:ascii="宋体" w:hAnsi="宋体" w:cs="宋体"/>
          <w:color w:val="auto"/>
          <w:sz w:val="24"/>
          <w:szCs w:val="24"/>
          <w:lang w:val="en-US" w:eastAsia="zh-CN"/>
        </w:rPr>
        <w:t>5</w:t>
      </w:r>
      <w:r>
        <w:rPr>
          <w:rFonts w:hint="eastAsia" w:ascii="宋体" w:hAnsi="宋体" w:cs="宋体"/>
          <w:color w:val="auto"/>
          <w:sz w:val="24"/>
          <w:szCs w:val="24"/>
        </w:rPr>
        <w:t>月</w:t>
      </w:r>
      <w:r>
        <w:rPr>
          <w:rFonts w:hint="eastAsia" w:ascii="宋体" w:hAnsi="宋体" w:cs="宋体"/>
          <w:color w:val="auto"/>
          <w:sz w:val="24"/>
          <w:szCs w:val="24"/>
          <w:lang w:val="en-US" w:eastAsia="zh-CN"/>
        </w:rPr>
        <w:t>26</w:t>
      </w:r>
      <w:r>
        <w:rPr>
          <w:rFonts w:hint="eastAsia" w:ascii="宋体" w:hAnsi="宋体" w:cs="宋体"/>
          <w:color w:val="auto"/>
          <w:sz w:val="24"/>
          <w:szCs w:val="24"/>
        </w:rPr>
        <w:t>日10点00分（北京时间）</w:t>
      </w:r>
    </w:p>
    <w:p w14:paraId="274650F8">
      <w:pPr>
        <w:spacing w:line="360" w:lineRule="auto"/>
        <w:ind w:firstLine="480" w:firstLineChars="200"/>
        <w:jc w:val="left"/>
        <w:rPr>
          <w:rFonts w:ascii="宋体" w:hAnsi="宋体" w:cs="宋体"/>
          <w:color w:val="auto"/>
          <w:sz w:val="24"/>
          <w:szCs w:val="24"/>
        </w:rPr>
      </w:pPr>
      <w:r>
        <w:rPr>
          <w:rFonts w:hint="eastAsia" w:ascii="宋体" w:hAnsi="宋体" w:cs="宋体"/>
          <w:color w:val="auto"/>
          <w:sz w:val="24"/>
          <w:szCs w:val="24"/>
        </w:rPr>
        <w:t>地点：周口市公共资源交易中心第</w:t>
      </w:r>
      <w:r>
        <w:rPr>
          <w:rFonts w:hint="eastAsia" w:ascii="宋体" w:hAnsi="宋体" w:cs="宋体"/>
          <w:color w:val="auto"/>
          <w:sz w:val="24"/>
          <w:szCs w:val="24"/>
          <w:lang w:val="en-US" w:eastAsia="zh-CN"/>
        </w:rPr>
        <w:t>九</w:t>
      </w:r>
      <w:r>
        <w:rPr>
          <w:rFonts w:hint="eastAsia" w:ascii="宋体" w:hAnsi="宋体" w:cs="宋体"/>
          <w:color w:val="auto"/>
          <w:sz w:val="24"/>
          <w:szCs w:val="24"/>
        </w:rPr>
        <w:t>开标室</w:t>
      </w:r>
    </w:p>
    <w:p w14:paraId="459B7C38">
      <w:pPr>
        <w:spacing w:line="360" w:lineRule="auto"/>
        <w:ind w:firstLine="480" w:firstLineChars="200"/>
        <w:jc w:val="left"/>
        <w:rPr>
          <w:rFonts w:ascii="宋体" w:hAnsi="宋体" w:cs="宋体"/>
          <w:color w:val="auto"/>
          <w:sz w:val="24"/>
          <w:szCs w:val="24"/>
        </w:rPr>
      </w:pPr>
      <w:bookmarkStart w:id="22" w:name="_Toc35393625"/>
      <w:bookmarkStart w:id="23" w:name="_Toc28359084"/>
      <w:bookmarkStart w:id="24" w:name="_Toc28359007"/>
      <w:bookmarkStart w:id="25" w:name="_Toc35393794"/>
      <w:r>
        <w:rPr>
          <w:rFonts w:hint="eastAsia" w:ascii="宋体" w:hAnsi="宋体" w:cs="宋体"/>
          <w:color w:val="auto"/>
          <w:sz w:val="24"/>
          <w:szCs w:val="24"/>
        </w:rPr>
        <w:t>五、开标时间及地点</w:t>
      </w:r>
    </w:p>
    <w:p w14:paraId="677911EA">
      <w:pPr>
        <w:spacing w:line="360" w:lineRule="auto"/>
        <w:ind w:firstLine="480" w:firstLineChars="200"/>
        <w:jc w:val="left"/>
        <w:rPr>
          <w:rFonts w:ascii="宋体" w:hAnsi="宋体" w:cs="宋体"/>
          <w:color w:val="auto"/>
          <w:sz w:val="24"/>
          <w:szCs w:val="24"/>
        </w:rPr>
      </w:pPr>
      <w:r>
        <w:rPr>
          <w:rFonts w:hint="eastAsia" w:ascii="宋体" w:hAnsi="宋体" w:cs="宋体"/>
          <w:color w:val="auto"/>
          <w:sz w:val="24"/>
          <w:szCs w:val="24"/>
        </w:rPr>
        <w:t>1.时间：2026年</w:t>
      </w:r>
      <w:r>
        <w:rPr>
          <w:rFonts w:hint="eastAsia" w:ascii="宋体" w:hAnsi="宋体" w:cs="宋体"/>
          <w:color w:val="auto"/>
          <w:sz w:val="24"/>
          <w:szCs w:val="24"/>
          <w:lang w:val="en-US" w:eastAsia="zh-CN"/>
        </w:rPr>
        <w:t>5</w:t>
      </w:r>
      <w:r>
        <w:rPr>
          <w:rFonts w:hint="eastAsia" w:ascii="宋体" w:hAnsi="宋体" w:cs="宋体"/>
          <w:color w:val="auto"/>
          <w:sz w:val="24"/>
          <w:szCs w:val="24"/>
        </w:rPr>
        <w:t>月</w:t>
      </w:r>
      <w:r>
        <w:rPr>
          <w:rFonts w:hint="eastAsia" w:ascii="宋体" w:hAnsi="宋体" w:cs="宋体"/>
          <w:color w:val="auto"/>
          <w:sz w:val="24"/>
          <w:szCs w:val="24"/>
          <w:lang w:val="en-US" w:eastAsia="zh-CN"/>
        </w:rPr>
        <w:t>26</w:t>
      </w:r>
      <w:r>
        <w:rPr>
          <w:rFonts w:hint="eastAsia" w:ascii="宋体" w:hAnsi="宋体" w:cs="宋体"/>
          <w:color w:val="auto"/>
          <w:sz w:val="24"/>
          <w:szCs w:val="24"/>
        </w:rPr>
        <w:t>日10时00分（北京时间）</w:t>
      </w:r>
    </w:p>
    <w:p w14:paraId="4329EFEE">
      <w:pPr>
        <w:spacing w:line="360" w:lineRule="auto"/>
        <w:ind w:firstLine="480" w:firstLineChars="200"/>
        <w:jc w:val="left"/>
        <w:rPr>
          <w:rFonts w:ascii="宋体" w:hAnsi="宋体" w:cs="宋体"/>
          <w:color w:val="auto"/>
          <w:sz w:val="24"/>
          <w:szCs w:val="24"/>
        </w:rPr>
      </w:pPr>
      <w:r>
        <w:rPr>
          <w:rFonts w:hint="eastAsia" w:ascii="宋体" w:hAnsi="宋体" w:cs="宋体"/>
          <w:color w:val="auto"/>
          <w:sz w:val="24"/>
          <w:szCs w:val="24"/>
        </w:rPr>
        <w:t>2.地点：周口市公共资源交易中心第</w:t>
      </w:r>
      <w:r>
        <w:rPr>
          <w:rFonts w:hint="eastAsia" w:ascii="宋体" w:hAnsi="宋体" w:cs="宋体"/>
          <w:color w:val="auto"/>
          <w:sz w:val="24"/>
          <w:szCs w:val="24"/>
          <w:lang w:val="en-US" w:eastAsia="zh-CN"/>
        </w:rPr>
        <w:t>九</w:t>
      </w:r>
      <w:r>
        <w:rPr>
          <w:rFonts w:hint="eastAsia" w:ascii="宋体" w:hAnsi="宋体" w:cs="宋体"/>
          <w:color w:val="auto"/>
          <w:sz w:val="24"/>
          <w:szCs w:val="24"/>
        </w:rPr>
        <w:t>开标室（政采407-1）</w:t>
      </w:r>
    </w:p>
    <w:bookmarkEnd w:id="22"/>
    <w:bookmarkEnd w:id="23"/>
    <w:bookmarkEnd w:id="24"/>
    <w:bookmarkEnd w:id="25"/>
    <w:p w14:paraId="37C4EF6B">
      <w:pPr>
        <w:spacing w:line="360" w:lineRule="auto"/>
        <w:ind w:firstLine="480" w:firstLineChars="200"/>
        <w:jc w:val="left"/>
        <w:rPr>
          <w:rFonts w:ascii="宋体" w:hAnsi="宋体" w:cs="宋体"/>
          <w:sz w:val="24"/>
          <w:szCs w:val="24"/>
        </w:rPr>
      </w:pPr>
      <w:r>
        <w:rPr>
          <w:rFonts w:hint="eastAsia" w:ascii="宋体" w:hAnsi="宋体" w:cs="宋体"/>
          <w:sz w:val="24"/>
          <w:szCs w:val="24"/>
        </w:rPr>
        <w:t>六、发布公告的媒介及招标公告期限</w:t>
      </w:r>
    </w:p>
    <w:p w14:paraId="18DF0B51">
      <w:pPr>
        <w:spacing w:line="360" w:lineRule="auto"/>
        <w:ind w:firstLine="480" w:firstLineChars="200"/>
        <w:jc w:val="left"/>
        <w:rPr>
          <w:rFonts w:ascii="宋体" w:hAnsi="宋体" w:cs="宋体"/>
          <w:sz w:val="24"/>
          <w:szCs w:val="24"/>
        </w:rPr>
      </w:pPr>
      <w:r>
        <w:rPr>
          <w:rFonts w:hint="eastAsia" w:ascii="宋体" w:hAnsi="宋体" w:cs="宋体"/>
          <w:sz w:val="24"/>
          <w:szCs w:val="24"/>
        </w:rPr>
        <w:t>本次招标公告在《河南省政府采购网》《中国招标投标公共服务平台网》《周口市公共资源交易中心网》上发布， 招标公告期限为五个工作日 。</w:t>
      </w:r>
    </w:p>
    <w:p w14:paraId="717610A8">
      <w:pPr>
        <w:spacing w:line="360" w:lineRule="auto"/>
        <w:ind w:firstLine="480" w:firstLineChars="200"/>
        <w:jc w:val="left"/>
        <w:rPr>
          <w:rFonts w:ascii="宋体" w:hAnsi="宋体" w:cs="宋体"/>
          <w:sz w:val="24"/>
          <w:szCs w:val="24"/>
        </w:rPr>
      </w:pPr>
      <w:bookmarkStart w:id="26" w:name="_Toc28359085"/>
      <w:bookmarkStart w:id="27" w:name="_Toc35393796"/>
      <w:bookmarkStart w:id="28" w:name="_Toc35393627"/>
      <w:bookmarkStart w:id="29" w:name="_Toc28359008"/>
      <w:r>
        <w:rPr>
          <w:rFonts w:hint="eastAsia" w:ascii="宋体" w:hAnsi="宋体" w:cs="宋体"/>
          <w:sz w:val="24"/>
          <w:szCs w:val="24"/>
        </w:rPr>
        <w:t>七、其他补充事宜</w:t>
      </w:r>
    </w:p>
    <w:p w14:paraId="15650B13">
      <w:pPr>
        <w:spacing w:line="360" w:lineRule="auto"/>
        <w:ind w:firstLine="480" w:firstLineChars="200"/>
        <w:jc w:val="left"/>
        <w:rPr>
          <w:rFonts w:ascii="宋体" w:hAnsi="宋体" w:cs="宋体"/>
          <w:sz w:val="24"/>
          <w:szCs w:val="24"/>
        </w:rPr>
      </w:pPr>
      <w:r>
        <w:rPr>
          <w:rFonts w:hint="eastAsia" w:ascii="宋体" w:hAnsi="宋体" w:cs="宋体"/>
          <w:sz w:val="24"/>
          <w:szCs w:val="24"/>
        </w:rPr>
        <w:t>监督单位：</w:t>
      </w:r>
      <w:r>
        <w:rPr>
          <w:rFonts w:ascii="宋体" w:hAnsi="宋体" w:cs="宋体"/>
          <w:color w:val="000000"/>
          <w:sz w:val="24"/>
          <w:szCs w:val="24"/>
        </w:rPr>
        <w:t>沈丘县财政局</w:t>
      </w:r>
    </w:p>
    <w:p w14:paraId="2C66DA7F">
      <w:pPr>
        <w:spacing w:line="360" w:lineRule="auto"/>
        <w:ind w:firstLine="480" w:firstLineChars="200"/>
        <w:jc w:val="left"/>
        <w:rPr>
          <w:rFonts w:ascii="宋体" w:hAnsi="宋体" w:cs="宋体"/>
          <w:sz w:val="24"/>
          <w:szCs w:val="24"/>
        </w:rPr>
      </w:pPr>
      <w:r>
        <w:rPr>
          <w:rFonts w:hint="eastAsia" w:ascii="宋体" w:hAnsi="宋体" w:cs="宋体"/>
          <w:sz w:val="24"/>
          <w:szCs w:val="24"/>
        </w:rPr>
        <w:t>联系方式：</w:t>
      </w:r>
      <w:r>
        <w:rPr>
          <w:rFonts w:ascii="宋体" w:hAnsi="宋体" w:cs="宋体"/>
          <w:color w:val="000000"/>
          <w:sz w:val="24"/>
          <w:szCs w:val="24"/>
        </w:rPr>
        <w:t>0394-5104466</w:t>
      </w:r>
      <w:r>
        <w:rPr>
          <w:rFonts w:hint="eastAsia" w:ascii="宋体" w:hAnsi="宋体" w:cs="宋体"/>
          <w:color w:val="000000"/>
          <w:sz w:val="24"/>
          <w:szCs w:val="24"/>
        </w:rPr>
        <w:t xml:space="preserve"> </w:t>
      </w:r>
    </w:p>
    <w:p w14:paraId="266ECB62">
      <w:pPr>
        <w:spacing w:line="360" w:lineRule="auto"/>
        <w:ind w:firstLine="480" w:firstLineChars="200"/>
        <w:jc w:val="left"/>
        <w:rPr>
          <w:rFonts w:ascii="宋体" w:hAnsi="宋体" w:cs="宋体"/>
          <w:sz w:val="24"/>
          <w:szCs w:val="24"/>
        </w:rPr>
      </w:pPr>
      <w:r>
        <w:rPr>
          <w:rFonts w:hint="eastAsia" w:ascii="宋体" w:hAnsi="宋体" w:cs="宋体"/>
          <w:sz w:val="24"/>
          <w:szCs w:val="24"/>
        </w:rPr>
        <w:t>八、对本次招标提出询问，请按以下方式联系。</w:t>
      </w:r>
      <w:bookmarkEnd w:id="26"/>
      <w:bookmarkEnd w:id="27"/>
      <w:bookmarkEnd w:id="28"/>
      <w:bookmarkEnd w:id="29"/>
    </w:p>
    <w:p w14:paraId="32CC90F1">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1.采购人信息</w:t>
      </w:r>
    </w:p>
    <w:p w14:paraId="7309B9C1">
      <w:pPr>
        <w:spacing w:line="360" w:lineRule="auto"/>
        <w:ind w:firstLine="480" w:firstLineChars="200"/>
        <w:jc w:val="left"/>
        <w:rPr>
          <w:rFonts w:ascii="宋体" w:hAnsi="宋体" w:cs="宋体"/>
          <w:color w:val="000000"/>
          <w:sz w:val="24"/>
          <w:szCs w:val="24"/>
        </w:rPr>
      </w:pPr>
      <w:bookmarkStart w:id="30" w:name="_Toc28359086"/>
      <w:bookmarkStart w:id="31" w:name="_Toc28359009"/>
      <w:r>
        <w:rPr>
          <w:rFonts w:hint="eastAsia" w:ascii="宋体" w:hAnsi="宋体" w:cs="宋体"/>
          <w:color w:val="000000"/>
          <w:sz w:val="24"/>
          <w:szCs w:val="24"/>
        </w:rPr>
        <w:t>名 称：沈丘县水利局　　　　　　　　　　　　</w:t>
      </w:r>
    </w:p>
    <w:p w14:paraId="5CBC8877">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地址：</w:t>
      </w:r>
      <w:r>
        <w:rPr>
          <w:rFonts w:hint="eastAsia" w:ascii="宋体" w:hAnsi="宋体" w:cs="宋体"/>
          <w:color w:val="000000"/>
          <w:sz w:val="24"/>
          <w:szCs w:val="24"/>
          <w:lang w:val="en-US" w:eastAsia="zh-CN"/>
        </w:rPr>
        <w:t>沈丘县境内</w:t>
      </w:r>
      <w:r>
        <w:rPr>
          <w:rFonts w:hint="eastAsia" w:ascii="宋体" w:hAnsi="宋体" w:cs="宋体"/>
          <w:color w:val="000000"/>
          <w:sz w:val="24"/>
          <w:szCs w:val="24"/>
        </w:rPr>
        <w:t>　　　　　　　　　　　　</w:t>
      </w:r>
    </w:p>
    <w:p w14:paraId="171CD4CB">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 xml:space="preserve">项目联系人：宋振东    </w:t>
      </w:r>
    </w:p>
    <w:p w14:paraId="52D23D61">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联系方式：15839480815</w:t>
      </w:r>
    </w:p>
    <w:p w14:paraId="747D7DC9">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2.采购代理机构信息</w:t>
      </w:r>
      <w:bookmarkEnd w:id="30"/>
      <w:bookmarkEnd w:id="31"/>
    </w:p>
    <w:p w14:paraId="7CB7C4BB">
      <w:pPr>
        <w:pStyle w:val="25"/>
        <w:adjustRightInd w:val="0"/>
        <w:snapToGrid w:val="0"/>
        <w:spacing w:line="360" w:lineRule="auto"/>
        <w:ind w:firstLine="480" w:firstLineChars="200"/>
        <w:rPr>
          <w:rFonts w:hAnsi="宋体" w:cs="宋体"/>
          <w:color w:val="000000"/>
          <w:sz w:val="24"/>
          <w:szCs w:val="24"/>
        </w:rPr>
      </w:pPr>
      <w:r>
        <w:rPr>
          <w:rFonts w:hint="eastAsia" w:hAnsi="宋体" w:cs="宋体"/>
          <w:color w:val="000000"/>
          <w:sz w:val="24"/>
          <w:szCs w:val="24"/>
        </w:rPr>
        <w:t>名称：凌辉建设工程咨询有限公司　　　　　　　　　　　　</w:t>
      </w:r>
    </w:p>
    <w:p w14:paraId="368841E0">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地址：河南省郑州市金水区天明路86号凯瑞大厦2楼210</w:t>
      </w:r>
    </w:p>
    <w:p w14:paraId="096C81B9">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 xml:space="preserve">项目联系人：秦化清              </w:t>
      </w:r>
    </w:p>
    <w:p w14:paraId="524DCBA3">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联系方式：</w:t>
      </w:r>
      <w:bookmarkStart w:id="32" w:name="_Toc28359087"/>
      <w:bookmarkStart w:id="33" w:name="_Toc28359010"/>
      <w:r>
        <w:rPr>
          <w:rFonts w:hint="eastAsia" w:ascii="宋体" w:hAnsi="宋体" w:cs="宋体"/>
          <w:color w:val="000000"/>
          <w:sz w:val="24"/>
          <w:szCs w:val="24"/>
        </w:rPr>
        <w:t>18569999969</w:t>
      </w:r>
    </w:p>
    <w:bookmarkEnd w:id="32"/>
    <w:bookmarkEnd w:id="33"/>
    <w:p w14:paraId="682347F8">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3.项目联系方式</w:t>
      </w:r>
    </w:p>
    <w:p w14:paraId="3B322B65">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项目联系人：秦化清</w:t>
      </w:r>
    </w:p>
    <w:p w14:paraId="54D5A96C">
      <w:pPr>
        <w:pStyle w:val="117"/>
        <w:ind w:firstLine="480" w:firstLineChars="200"/>
        <w:rPr>
          <w:color w:val="000000"/>
        </w:rPr>
      </w:pPr>
      <w:r>
        <w:rPr>
          <w:rFonts w:hint="eastAsia" w:ascii="宋体" w:hAnsi="宋体" w:cs="宋体"/>
          <w:color w:val="000000"/>
          <w:sz w:val="24"/>
          <w:szCs w:val="24"/>
        </w:rPr>
        <w:t>联系方式： 18569999969</w:t>
      </w:r>
    </w:p>
    <w:p w14:paraId="6325E54F">
      <w:pPr>
        <w:pStyle w:val="117"/>
        <w:ind w:firstLine="0" w:firstLineChars="0"/>
      </w:pPr>
    </w:p>
    <w:p w14:paraId="70FB19DC">
      <w:pPr>
        <w:pStyle w:val="51"/>
        <w:adjustRightInd w:val="0"/>
        <w:spacing w:line="360" w:lineRule="auto"/>
        <w:ind w:firstLine="3360" w:firstLineChars="1400"/>
        <w:jc w:val="right"/>
        <w:rPr>
          <w:rFonts w:ascii="宋体" w:hAnsi="宋体" w:cs="宋体"/>
        </w:rPr>
      </w:pPr>
      <w:r>
        <w:rPr>
          <w:rFonts w:hint="eastAsia" w:ascii="宋体" w:hAnsi="宋体" w:cs="宋体"/>
          <w:sz w:val="24"/>
          <w:szCs w:val="24"/>
        </w:rPr>
        <w:t>　</w:t>
      </w:r>
    </w:p>
    <w:p w14:paraId="467A7BF2">
      <w:pPr>
        <w:spacing w:line="360" w:lineRule="auto"/>
        <w:ind w:firstLine="3360" w:firstLineChars="1400"/>
        <w:jc w:val="left"/>
        <w:rPr>
          <w:rFonts w:ascii="宋体" w:hAnsi="宋体" w:cs="宋体"/>
          <w:sz w:val="24"/>
          <w:szCs w:val="24"/>
        </w:rPr>
      </w:pPr>
      <w:r>
        <w:rPr>
          <w:rFonts w:hint="eastAsia" w:ascii="宋体" w:hAnsi="宋体" w:cs="宋体"/>
          <w:sz w:val="24"/>
          <w:szCs w:val="24"/>
        </w:rPr>
        <w:t>　　　　　　　　</w:t>
      </w:r>
    </w:p>
    <w:p w14:paraId="4DCB6A2E">
      <w:pPr>
        <w:pStyle w:val="3"/>
        <w:numPr>
          <w:ilvl w:val="0"/>
          <w:numId w:val="17"/>
        </w:numPr>
        <w:spacing w:before="0" w:after="0" w:line="240" w:lineRule="auto"/>
        <w:ind w:firstLine="0"/>
        <w:rPr>
          <w:rFonts w:ascii="宋体" w:hAnsi="宋体" w:eastAsia="宋体" w:cs="宋体"/>
        </w:rPr>
        <w:sectPr>
          <w:footerReference r:id="rId3" w:type="default"/>
          <w:pgSz w:w="11906" w:h="16838"/>
          <w:pgMar w:top="1440" w:right="1758" w:bottom="1440" w:left="1758" w:header="851" w:footer="992" w:gutter="0"/>
          <w:cols w:space="720" w:num="1"/>
          <w:docGrid w:linePitch="312" w:charSpace="0"/>
        </w:sectPr>
      </w:pPr>
      <w:bookmarkStart w:id="34" w:name="_Hlt510343011"/>
      <w:bookmarkStart w:id="35" w:name="_Hlt510342998"/>
      <w:bookmarkStart w:id="36" w:name="_Toc1847"/>
      <w:bookmarkStart w:id="37" w:name="_Toc7329_WPSOffice_Level1"/>
    </w:p>
    <w:p w14:paraId="2F519118">
      <w:pPr>
        <w:pStyle w:val="3"/>
        <w:numPr>
          <w:ilvl w:val="0"/>
          <w:numId w:val="17"/>
        </w:numPr>
        <w:spacing w:before="0" w:after="0" w:line="240" w:lineRule="auto"/>
        <w:ind w:firstLine="0"/>
        <w:rPr>
          <w:rFonts w:ascii="宋体" w:hAnsi="宋体" w:eastAsia="宋体" w:cs="宋体"/>
        </w:rPr>
      </w:pPr>
      <w:r>
        <w:rPr>
          <w:rFonts w:hint="eastAsia" w:ascii="宋体" w:hAnsi="宋体" w:eastAsia="宋体" w:cs="宋体"/>
        </w:rPr>
        <w:t>投标人须</w:t>
      </w:r>
      <w:bookmarkEnd w:id="34"/>
      <w:r>
        <w:rPr>
          <w:rFonts w:hint="eastAsia" w:ascii="宋体" w:hAnsi="宋体" w:eastAsia="宋体" w:cs="宋体"/>
        </w:rPr>
        <w:t>知前</w:t>
      </w:r>
      <w:bookmarkEnd w:id="35"/>
      <w:r>
        <w:rPr>
          <w:rFonts w:hint="eastAsia" w:ascii="宋体" w:hAnsi="宋体" w:eastAsia="宋体" w:cs="宋体"/>
        </w:rPr>
        <w:t>附表</w:t>
      </w:r>
      <w:bookmarkEnd w:id="36"/>
      <w:bookmarkEnd w:id="37"/>
    </w:p>
    <w:tbl>
      <w:tblPr>
        <w:tblStyle w:val="71"/>
        <w:tblW w:w="101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2833"/>
        <w:gridCol w:w="6519"/>
      </w:tblGrid>
      <w:tr w14:paraId="46280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 w:hRule="atLeast"/>
          <w:tblHeader/>
          <w:jc w:val="center"/>
        </w:trPr>
        <w:tc>
          <w:tcPr>
            <w:tcW w:w="788" w:type="dxa"/>
            <w:vAlign w:val="center"/>
          </w:tcPr>
          <w:p w14:paraId="31B6E819">
            <w:pPr>
              <w:rPr>
                <w:rFonts w:ascii="宋体" w:hAnsi="宋体" w:cs="宋体"/>
                <w:sz w:val="24"/>
                <w:szCs w:val="24"/>
              </w:rPr>
            </w:pPr>
            <w:r>
              <w:rPr>
                <w:rFonts w:hint="eastAsia" w:ascii="宋体" w:hAnsi="宋体" w:cs="宋体"/>
                <w:sz w:val="24"/>
                <w:szCs w:val="24"/>
              </w:rPr>
              <w:t>序号</w:t>
            </w:r>
          </w:p>
        </w:tc>
        <w:tc>
          <w:tcPr>
            <w:tcW w:w="2833" w:type="dxa"/>
            <w:vAlign w:val="center"/>
          </w:tcPr>
          <w:p w14:paraId="37808B16">
            <w:pPr>
              <w:rPr>
                <w:rFonts w:ascii="宋体" w:hAnsi="宋体" w:cs="宋体"/>
                <w:sz w:val="24"/>
                <w:szCs w:val="24"/>
              </w:rPr>
            </w:pPr>
            <w:r>
              <w:rPr>
                <w:rFonts w:hint="eastAsia" w:ascii="宋体" w:hAnsi="宋体" w:cs="宋体"/>
                <w:sz w:val="24"/>
                <w:szCs w:val="24"/>
              </w:rPr>
              <w:t>内容</w:t>
            </w:r>
          </w:p>
        </w:tc>
        <w:tc>
          <w:tcPr>
            <w:tcW w:w="6519" w:type="dxa"/>
            <w:vAlign w:val="center"/>
          </w:tcPr>
          <w:p w14:paraId="782A7C7C">
            <w:pPr>
              <w:rPr>
                <w:rFonts w:ascii="宋体" w:hAnsi="宋体" w:cs="宋体"/>
                <w:sz w:val="24"/>
                <w:szCs w:val="24"/>
              </w:rPr>
            </w:pPr>
            <w:r>
              <w:rPr>
                <w:rFonts w:hint="eastAsia" w:ascii="宋体" w:hAnsi="宋体" w:cs="宋体"/>
                <w:sz w:val="24"/>
                <w:szCs w:val="24"/>
              </w:rPr>
              <w:t>说明与要求</w:t>
            </w:r>
          </w:p>
        </w:tc>
      </w:tr>
      <w:tr w14:paraId="58BB6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0" w:hRule="atLeast"/>
          <w:tblHeader/>
          <w:jc w:val="center"/>
        </w:trPr>
        <w:tc>
          <w:tcPr>
            <w:tcW w:w="788" w:type="dxa"/>
            <w:vAlign w:val="center"/>
          </w:tcPr>
          <w:p w14:paraId="687B9CD7">
            <w:pPr>
              <w:rPr>
                <w:rFonts w:ascii="宋体" w:hAnsi="宋体" w:cs="宋体"/>
                <w:sz w:val="24"/>
                <w:szCs w:val="24"/>
              </w:rPr>
            </w:pPr>
            <w:r>
              <w:rPr>
                <w:rFonts w:hint="eastAsia" w:ascii="宋体" w:hAnsi="宋体" w:cs="宋体"/>
                <w:sz w:val="24"/>
                <w:szCs w:val="24"/>
              </w:rPr>
              <w:t>1</w:t>
            </w:r>
          </w:p>
        </w:tc>
        <w:tc>
          <w:tcPr>
            <w:tcW w:w="2833" w:type="dxa"/>
            <w:vAlign w:val="center"/>
          </w:tcPr>
          <w:p w14:paraId="676FD895">
            <w:pPr>
              <w:rPr>
                <w:rFonts w:ascii="宋体" w:hAnsi="宋体" w:cs="宋体"/>
                <w:sz w:val="24"/>
                <w:szCs w:val="24"/>
              </w:rPr>
            </w:pPr>
            <w:r>
              <w:rPr>
                <w:rFonts w:hint="eastAsia" w:ascii="宋体" w:hAnsi="宋体" w:cs="宋体"/>
                <w:sz w:val="24"/>
                <w:szCs w:val="24"/>
              </w:rPr>
              <w:t>采购人</w:t>
            </w:r>
          </w:p>
        </w:tc>
        <w:tc>
          <w:tcPr>
            <w:tcW w:w="6519" w:type="dxa"/>
            <w:vAlign w:val="center"/>
          </w:tcPr>
          <w:p w14:paraId="3C2F2FB9">
            <w:pPr>
              <w:rPr>
                <w:rFonts w:ascii="宋体" w:hAnsi="宋体" w:cs="宋体"/>
                <w:sz w:val="24"/>
                <w:szCs w:val="24"/>
              </w:rPr>
            </w:pPr>
            <w:r>
              <w:rPr>
                <w:rFonts w:hint="eastAsia" w:ascii="宋体" w:hAnsi="宋体" w:cs="宋体"/>
                <w:sz w:val="24"/>
                <w:szCs w:val="24"/>
              </w:rPr>
              <w:t>沈丘县水利局</w:t>
            </w:r>
          </w:p>
        </w:tc>
      </w:tr>
      <w:tr w14:paraId="278F6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7" w:hRule="atLeast"/>
          <w:tblHeader/>
          <w:jc w:val="center"/>
        </w:trPr>
        <w:tc>
          <w:tcPr>
            <w:tcW w:w="788" w:type="dxa"/>
            <w:vAlign w:val="center"/>
          </w:tcPr>
          <w:p w14:paraId="591A40B6">
            <w:pPr>
              <w:rPr>
                <w:rFonts w:ascii="宋体" w:hAnsi="宋体" w:cs="宋体"/>
                <w:sz w:val="24"/>
                <w:szCs w:val="24"/>
              </w:rPr>
            </w:pPr>
            <w:r>
              <w:rPr>
                <w:rFonts w:hint="eastAsia" w:ascii="宋体" w:hAnsi="宋体" w:cs="宋体"/>
                <w:sz w:val="24"/>
                <w:szCs w:val="24"/>
              </w:rPr>
              <w:t>2</w:t>
            </w:r>
          </w:p>
        </w:tc>
        <w:tc>
          <w:tcPr>
            <w:tcW w:w="2833" w:type="dxa"/>
            <w:vAlign w:val="center"/>
          </w:tcPr>
          <w:p w14:paraId="336B1589">
            <w:pPr>
              <w:rPr>
                <w:rFonts w:ascii="宋体" w:hAnsi="宋体" w:cs="宋体"/>
                <w:sz w:val="24"/>
                <w:szCs w:val="24"/>
              </w:rPr>
            </w:pPr>
            <w:r>
              <w:rPr>
                <w:rFonts w:hint="eastAsia" w:ascii="宋体" w:hAnsi="宋体" w:cs="宋体"/>
                <w:sz w:val="24"/>
                <w:szCs w:val="24"/>
              </w:rPr>
              <w:t>委托人</w:t>
            </w:r>
          </w:p>
        </w:tc>
        <w:tc>
          <w:tcPr>
            <w:tcW w:w="6519" w:type="dxa"/>
            <w:vAlign w:val="center"/>
          </w:tcPr>
          <w:p w14:paraId="51DEE04A">
            <w:pPr>
              <w:rPr>
                <w:rFonts w:ascii="宋体" w:hAnsi="宋体" w:cs="宋体"/>
                <w:sz w:val="24"/>
                <w:szCs w:val="24"/>
              </w:rPr>
            </w:pPr>
            <w:r>
              <w:rPr>
                <w:rFonts w:hint="eastAsia" w:ascii="宋体" w:hAnsi="宋体" w:cs="宋体"/>
                <w:sz w:val="24"/>
                <w:szCs w:val="24"/>
              </w:rPr>
              <w:t xml:space="preserve">项目联系人：宋振东    </w:t>
            </w:r>
          </w:p>
          <w:p w14:paraId="483281A0">
            <w:pPr>
              <w:rPr>
                <w:rFonts w:ascii="宋体" w:hAnsi="宋体" w:cs="宋体"/>
                <w:sz w:val="24"/>
                <w:szCs w:val="24"/>
              </w:rPr>
            </w:pPr>
            <w:r>
              <w:rPr>
                <w:rFonts w:hint="eastAsia" w:ascii="宋体" w:hAnsi="宋体" w:cs="宋体"/>
                <w:sz w:val="24"/>
                <w:szCs w:val="24"/>
              </w:rPr>
              <w:t>联系方式：15839480815</w:t>
            </w:r>
          </w:p>
        </w:tc>
      </w:tr>
      <w:tr w14:paraId="5F550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blHeader/>
          <w:jc w:val="center"/>
        </w:trPr>
        <w:tc>
          <w:tcPr>
            <w:tcW w:w="788" w:type="dxa"/>
            <w:vAlign w:val="center"/>
          </w:tcPr>
          <w:p w14:paraId="4F484236">
            <w:pPr>
              <w:rPr>
                <w:rFonts w:ascii="宋体" w:hAnsi="宋体" w:cs="宋体"/>
                <w:sz w:val="24"/>
                <w:szCs w:val="24"/>
              </w:rPr>
            </w:pPr>
            <w:r>
              <w:rPr>
                <w:rFonts w:hint="eastAsia" w:ascii="宋体" w:hAnsi="宋体" w:cs="宋体"/>
                <w:sz w:val="24"/>
                <w:szCs w:val="24"/>
              </w:rPr>
              <w:t>3</w:t>
            </w:r>
          </w:p>
        </w:tc>
        <w:tc>
          <w:tcPr>
            <w:tcW w:w="2833" w:type="dxa"/>
            <w:vAlign w:val="center"/>
          </w:tcPr>
          <w:p w14:paraId="625D9083">
            <w:pPr>
              <w:rPr>
                <w:rFonts w:ascii="宋体" w:hAnsi="宋体" w:cs="宋体"/>
                <w:sz w:val="24"/>
                <w:szCs w:val="24"/>
              </w:rPr>
            </w:pPr>
            <w:r>
              <w:rPr>
                <w:rFonts w:hint="eastAsia" w:ascii="宋体" w:hAnsi="宋体" w:cs="宋体"/>
                <w:sz w:val="24"/>
                <w:szCs w:val="24"/>
              </w:rPr>
              <w:t>采购代理机构</w:t>
            </w:r>
          </w:p>
        </w:tc>
        <w:tc>
          <w:tcPr>
            <w:tcW w:w="6519" w:type="dxa"/>
            <w:vAlign w:val="center"/>
          </w:tcPr>
          <w:p w14:paraId="2456D168">
            <w:pPr>
              <w:rPr>
                <w:rFonts w:ascii="宋体" w:hAnsi="宋体" w:cs="宋体"/>
                <w:sz w:val="24"/>
                <w:szCs w:val="24"/>
              </w:rPr>
            </w:pPr>
            <w:r>
              <w:rPr>
                <w:rFonts w:hint="eastAsia" w:ascii="宋体" w:hAnsi="宋体" w:cs="宋体"/>
                <w:sz w:val="24"/>
                <w:szCs w:val="24"/>
              </w:rPr>
              <w:t>名称：凌辉建设工程咨询有限公司　　　　　　　　　　　　</w:t>
            </w:r>
          </w:p>
          <w:p w14:paraId="0A95A803">
            <w:pPr>
              <w:rPr>
                <w:rFonts w:ascii="宋体" w:hAnsi="宋体" w:cs="宋体"/>
                <w:sz w:val="24"/>
                <w:szCs w:val="24"/>
              </w:rPr>
            </w:pPr>
            <w:r>
              <w:rPr>
                <w:rFonts w:hint="eastAsia" w:ascii="宋体" w:hAnsi="宋体" w:cs="宋体"/>
                <w:sz w:val="24"/>
                <w:szCs w:val="24"/>
              </w:rPr>
              <w:t>地址：河南省郑州市金水区天明路86号凯瑞大厦2楼210</w:t>
            </w:r>
          </w:p>
          <w:p w14:paraId="07FC14EF">
            <w:pPr>
              <w:rPr>
                <w:rFonts w:ascii="宋体" w:hAnsi="宋体" w:cs="宋体"/>
                <w:sz w:val="24"/>
                <w:szCs w:val="24"/>
              </w:rPr>
            </w:pPr>
            <w:r>
              <w:rPr>
                <w:rFonts w:hint="eastAsia" w:ascii="宋体" w:hAnsi="宋体" w:cs="宋体"/>
                <w:sz w:val="24"/>
                <w:szCs w:val="24"/>
              </w:rPr>
              <w:t xml:space="preserve">项目联系人：秦化清              </w:t>
            </w:r>
          </w:p>
          <w:p w14:paraId="7BB45E73">
            <w:pPr>
              <w:rPr>
                <w:rFonts w:ascii="宋体" w:hAnsi="宋体" w:cs="宋体"/>
                <w:sz w:val="24"/>
                <w:szCs w:val="24"/>
              </w:rPr>
            </w:pPr>
            <w:r>
              <w:rPr>
                <w:rFonts w:hint="eastAsia" w:ascii="宋体" w:hAnsi="宋体" w:cs="宋体"/>
                <w:sz w:val="24"/>
                <w:szCs w:val="24"/>
              </w:rPr>
              <w:t>联系方式：18569999969</w:t>
            </w:r>
          </w:p>
        </w:tc>
      </w:tr>
      <w:tr w14:paraId="7A2A8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blHeader/>
          <w:jc w:val="center"/>
        </w:trPr>
        <w:tc>
          <w:tcPr>
            <w:tcW w:w="788" w:type="dxa"/>
            <w:vAlign w:val="center"/>
          </w:tcPr>
          <w:p w14:paraId="3366516F">
            <w:pPr>
              <w:rPr>
                <w:rFonts w:ascii="宋体" w:hAnsi="宋体" w:cs="宋体"/>
                <w:sz w:val="24"/>
                <w:szCs w:val="24"/>
              </w:rPr>
            </w:pPr>
            <w:r>
              <w:rPr>
                <w:rFonts w:hint="eastAsia" w:ascii="宋体" w:hAnsi="宋体" w:cs="宋体"/>
                <w:sz w:val="24"/>
                <w:szCs w:val="24"/>
              </w:rPr>
              <w:t>4</w:t>
            </w:r>
          </w:p>
        </w:tc>
        <w:tc>
          <w:tcPr>
            <w:tcW w:w="2833" w:type="dxa"/>
            <w:vAlign w:val="center"/>
          </w:tcPr>
          <w:p w14:paraId="432B5125">
            <w:pPr>
              <w:rPr>
                <w:rFonts w:ascii="宋体" w:hAnsi="宋体" w:cs="宋体"/>
                <w:sz w:val="24"/>
                <w:szCs w:val="24"/>
              </w:rPr>
            </w:pPr>
            <w:r>
              <w:rPr>
                <w:rFonts w:hint="eastAsia" w:ascii="宋体" w:hAnsi="宋体" w:cs="宋体"/>
                <w:sz w:val="24"/>
                <w:szCs w:val="24"/>
              </w:rPr>
              <w:t>项目名称</w:t>
            </w:r>
          </w:p>
        </w:tc>
        <w:tc>
          <w:tcPr>
            <w:tcW w:w="6519" w:type="dxa"/>
            <w:vAlign w:val="center"/>
          </w:tcPr>
          <w:p w14:paraId="50F5E315">
            <w:pPr>
              <w:rPr>
                <w:rFonts w:ascii="宋体" w:hAnsi="宋体" w:cs="宋体"/>
                <w:sz w:val="24"/>
                <w:szCs w:val="24"/>
              </w:rPr>
            </w:pPr>
            <w:r>
              <w:rPr>
                <w:rFonts w:hint="eastAsia" w:ascii="宋体" w:hAnsi="宋体" w:cs="宋体"/>
                <w:sz w:val="24"/>
                <w:szCs w:val="24"/>
              </w:rPr>
              <w:t>沈丘县水利局沈丘县全域供水特许经营项目</w:t>
            </w:r>
          </w:p>
        </w:tc>
      </w:tr>
      <w:tr w14:paraId="1A2C3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blHeader/>
          <w:jc w:val="center"/>
        </w:trPr>
        <w:tc>
          <w:tcPr>
            <w:tcW w:w="788" w:type="dxa"/>
            <w:vAlign w:val="center"/>
          </w:tcPr>
          <w:p w14:paraId="28EF318F">
            <w:pPr>
              <w:rPr>
                <w:rFonts w:ascii="宋体" w:hAnsi="宋体" w:cs="宋体"/>
                <w:sz w:val="24"/>
                <w:szCs w:val="24"/>
              </w:rPr>
            </w:pPr>
            <w:r>
              <w:rPr>
                <w:rFonts w:hint="eastAsia" w:ascii="宋体" w:hAnsi="宋体" w:cs="宋体"/>
                <w:sz w:val="24"/>
                <w:szCs w:val="24"/>
              </w:rPr>
              <w:t>5</w:t>
            </w:r>
          </w:p>
        </w:tc>
        <w:tc>
          <w:tcPr>
            <w:tcW w:w="2833" w:type="dxa"/>
            <w:vAlign w:val="center"/>
          </w:tcPr>
          <w:p w14:paraId="1F88194B">
            <w:pPr>
              <w:rPr>
                <w:rFonts w:ascii="宋体" w:hAnsi="宋体" w:cs="宋体"/>
                <w:sz w:val="24"/>
                <w:szCs w:val="24"/>
              </w:rPr>
            </w:pPr>
            <w:r>
              <w:rPr>
                <w:rFonts w:hint="eastAsia" w:ascii="宋体" w:hAnsi="宋体" w:cs="宋体"/>
                <w:sz w:val="24"/>
                <w:szCs w:val="24"/>
              </w:rPr>
              <w:t>项目编号</w:t>
            </w:r>
          </w:p>
        </w:tc>
        <w:tc>
          <w:tcPr>
            <w:tcW w:w="6519" w:type="dxa"/>
            <w:vAlign w:val="center"/>
          </w:tcPr>
          <w:p w14:paraId="163B6E48">
            <w:pPr>
              <w:rPr>
                <w:rFonts w:ascii="宋体" w:hAnsi="宋体" w:cs="宋体"/>
                <w:sz w:val="24"/>
                <w:szCs w:val="24"/>
              </w:rPr>
            </w:pPr>
            <w:r>
              <w:rPr>
                <w:rFonts w:hint="eastAsia" w:ascii="宋体" w:hAnsi="宋体" w:cs="宋体"/>
                <w:sz w:val="24"/>
                <w:szCs w:val="24"/>
              </w:rPr>
              <w:t>沈财招标采购-2026-8</w:t>
            </w:r>
          </w:p>
        </w:tc>
      </w:tr>
      <w:tr w14:paraId="0F405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blHeader/>
          <w:jc w:val="center"/>
        </w:trPr>
        <w:tc>
          <w:tcPr>
            <w:tcW w:w="788" w:type="dxa"/>
            <w:vAlign w:val="center"/>
          </w:tcPr>
          <w:p w14:paraId="4CE52A0E">
            <w:pPr>
              <w:rPr>
                <w:rFonts w:ascii="宋体" w:hAnsi="宋体" w:cs="宋体"/>
                <w:sz w:val="24"/>
                <w:szCs w:val="24"/>
              </w:rPr>
            </w:pPr>
            <w:r>
              <w:rPr>
                <w:rFonts w:hint="eastAsia" w:ascii="宋体" w:hAnsi="宋体" w:cs="宋体"/>
                <w:sz w:val="24"/>
                <w:szCs w:val="24"/>
              </w:rPr>
              <w:t>6</w:t>
            </w:r>
          </w:p>
        </w:tc>
        <w:tc>
          <w:tcPr>
            <w:tcW w:w="2833" w:type="dxa"/>
            <w:vAlign w:val="center"/>
          </w:tcPr>
          <w:p w14:paraId="2320456D">
            <w:pPr>
              <w:rPr>
                <w:rFonts w:ascii="宋体" w:hAnsi="宋体" w:cs="宋体"/>
                <w:sz w:val="24"/>
                <w:szCs w:val="24"/>
              </w:rPr>
            </w:pPr>
            <w:r>
              <w:rPr>
                <w:rFonts w:hint="eastAsia" w:ascii="宋体" w:hAnsi="宋体" w:cs="宋体"/>
                <w:sz w:val="24"/>
                <w:szCs w:val="24"/>
              </w:rPr>
              <w:t>项目性质</w:t>
            </w:r>
          </w:p>
        </w:tc>
        <w:tc>
          <w:tcPr>
            <w:tcW w:w="6519" w:type="dxa"/>
            <w:vAlign w:val="center"/>
          </w:tcPr>
          <w:p w14:paraId="2103062B">
            <w:pPr>
              <w:rPr>
                <w:rFonts w:ascii="宋体" w:hAnsi="宋体" w:cs="宋体"/>
                <w:sz w:val="24"/>
                <w:szCs w:val="24"/>
              </w:rPr>
            </w:pPr>
            <w:r>
              <w:rPr>
                <w:rFonts w:hint="eastAsia" w:ascii="宋体" w:hAnsi="宋体" w:cs="宋体"/>
                <w:sz w:val="24"/>
                <w:szCs w:val="24"/>
              </w:rPr>
              <w:t>服务类</w:t>
            </w:r>
          </w:p>
        </w:tc>
      </w:tr>
      <w:tr w14:paraId="603D5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blHeader/>
          <w:jc w:val="center"/>
        </w:trPr>
        <w:tc>
          <w:tcPr>
            <w:tcW w:w="788" w:type="dxa"/>
            <w:vAlign w:val="center"/>
          </w:tcPr>
          <w:p w14:paraId="2A690E4A">
            <w:pPr>
              <w:rPr>
                <w:rFonts w:ascii="宋体" w:hAnsi="宋体" w:cs="宋体"/>
                <w:sz w:val="24"/>
                <w:szCs w:val="24"/>
              </w:rPr>
            </w:pPr>
            <w:r>
              <w:rPr>
                <w:rFonts w:hint="eastAsia" w:ascii="宋体" w:hAnsi="宋体" w:cs="宋体"/>
                <w:sz w:val="24"/>
                <w:szCs w:val="24"/>
              </w:rPr>
              <w:t>7</w:t>
            </w:r>
          </w:p>
        </w:tc>
        <w:tc>
          <w:tcPr>
            <w:tcW w:w="2833" w:type="dxa"/>
            <w:vAlign w:val="center"/>
          </w:tcPr>
          <w:p w14:paraId="3A746CA7">
            <w:pPr>
              <w:rPr>
                <w:rFonts w:ascii="宋体" w:hAnsi="宋体" w:cs="宋体"/>
                <w:sz w:val="24"/>
                <w:szCs w:val="24"/>
              </w:rPr>
            </w:pPr>
            <w:r>
              <w:rPr>
                <w:rFonts w:hint="eastAsia" w:ascii="宋体" w:hAnsi="宋体" w:cs="宋体"/>
                <w:sz w:val="24"/>
                <w:szCs w:val="24"/>
              </w:rPr>
              <w:t>资金来源</w:t>
            </w:r>
          </w:p>
        </w:tc>
        <w:tc>
          <w:tcPr>
            <w:tcW w:w="6519" w:type="dxa"/>
            <w:vAlign w:val="center"/>
          </w:tcPr>
          <w:p w14:paraId="593C5AFC">
            <w:pPr>
              <w:rPr>
                <w:rFonts w:ascii="宋体" w:hAnsi="宋体" w:cs="宋体"/>
                <w:sz w:val="24"/>
                <w:szCs w:val="24"/>
              </w:rPr>
            </w:pPr>
            <w:r>
              <w:rPr>
                <w:rFonts w:hint="eastAsia" w:ascii="宋体" w:hAnsi="宋体" w:cs="宋体"/>
                <w:b/>
                <w:bCs/>
                <w:sz w:val="24"/>
                <w:szCs w:val="24"/>
              </w:rPr>
              <w:t>非财政资金</w:t>
            </w:r>
          </w:p>
        </w:tc>
      </w:tr>
      <w:tr w14:paraId="062475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5" w:hRule="atLeast"/>
          <w:tblHeader/>
          <w:jc w:val="center"/>
        </w:trPr>
        <w:tc>
          <w:tcPr>
            <w:tcW w:w="788" w:type="dxa"/>
            <w:vAlign w:val="center"/>
          </w:tcPr>
          <w:p w14:paraId="1023B944">
            <w:pPr>
              <w:rPr>
                <w:rFonts w:ascii="宋体" w:hAnsi="宋体" w:cs="宋体"/>
                <w:sz w:val="24"/>
                <w:szCs w:val="24"/>
              </w:rPr>
            </w:pPr>
            <w:r>
              <w:rPr>
                <w:rFonts w:hint="eastAsia" w:ascii="宋体" w:hAnsi="宋体" w:cs="宋体"/>
                <w:sz w:val="24"/>
                <w:szCs w:val="24"/>
              </w:rPr>
              <w:t>8</w:t>
            </w:r>
          </w:p>
        </w:tc>
        <w:tc>
          <w:tcPr>
            <w:tcW w:w="2833" w:type="dxa"/>
          </w:tcPr>
          <w:p w14:paraId="7AEF77BD">
            <w:pPr>
              <w:rPr>
                <w:rFonts w:ascii="宋体" w:hAnsi="宋体" w:cs="宋体"/>
                <w:sz w:val="24"/>
                <w:szCs w:val="24"/>
              </w:rPr>
            </w:pPr>
            <w:r>
              <w:rPr>
                <w:rFonts w:hint="eastAsia" w:ascii="宋体" w:hAnsi="宋体" w:cs="宋体"/>
                <w:sz w:val="24"/>
                <w:szCs w:val="24"/>
              </w:rPr>
              <w:t>包别划分</w:t>
            </w:r>
          </w:p>
        </w:tc>
        <w:tc>
          <w:tcPr>
            <w:tcW w:w="6519" w:type="dxa"/>
            <w:vAlign w:val="center"/>
          </w:tcPr>
          <w:p w14:paraId="70DFE32C">
            <w:pPr>
              <w:rPr>
                <w:rFonts w:ascii="宋体" w:hAnsi="宋体" w:cs="宋体"/>
                <w:sz w:val="24"/>
                <w:szCs w:val="24"/>
              </w:rPr>
            </w:pPr>
            <w:r>
              <w:rPr>
                <w:rFonts w:hint="eastAsia" w:ascii="宋体" w:hAnsi="宋体" w:cs="宋体"/>
                <w:sz w:val="24"/>
                <w:szCs w:val="24"/>
              </w:rPr>
              <w:t>本次招标为1个包</w:t>
            </w:r>
          </w:p>
        </w:tc>
      </w:tr>
      <w:tr w14:paraId="4873A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blHeader/>
          <w:jc w:val="center"/>
        </w:trPr>
        <w:tc>
          <w:tcPr>
            <w:tcW w:w="788" w:type="dxa"/>
            <w:vAlign w:val="center"/>
          </w:tcPr>
          <w:p w14:paraId="064653DF">
            <w:pPr>
              <w:rPr>
                <w:rFonts w:ascii="宋体" w:hAnsi="宋体" w:cs="宋体"/>
                <w:sz w:val="24"/>
                <w:szCs w:val="24"/>
              </w:rPr>
            </w:pPr>
            <w:r>
              <w:rPr>
                <w:rFonts w:hint="eastAsia" w:ascii="宋体" w:hAnsi="宋体" w:cs="宋体"/>
                <w:sz w:val="24"/>
                <w:szCs w:val="24"/>
              </w:rPr>
              <w:t>9</w:t>
            </w:r>
          </w:p>
        </w:tc>
        <w:tc>
          <w:tcPr>
            <w:tcW w:w="2833" w:type="dxa"/>
            <w:vAlign w:val="center"/>
          </w:tcPr>
          <w:p w14:paraId="6058BB29">
            <w:pPr>
              <w:rPr>
                <w:rFonts w:ascii="宋体" w:hAnsi="宋体" w:cs="宋体"/>
                <w:sz w:val="24"/>
                <w:szCs w:val="24"/>
              </w:rPr>
            </w:pPr>
            <w:r>
              <w:rPr>
                <w:rFonts w:hint="eastAsia" w:ascii="宋体" w:hAnsi="宋体" w:cs="宋体"/>
                <w:sz w:val="24"/>
                <w:szCs w:val="24"/>
              </w:rPr>
              <w:t>联合体投标</w:t>
            </w:r>
          </w:p>
        </w:tc>
        <w:tc>
          <w:tcPr>
            <w:tcW w:w="6519" w:type="dxa"/>
            <w:vAlign w:val="center"/>
          </w:tcPr>
          <w:p w14:paraId="66D44B1B">
            <w:pPr>
              <w:rPr>
                <w:rFonts w:ascii="宋体" w:hAnsi="宋体" w:cs="宋体"/>
                <w:sz w:val="24"/>
                <w:szCs w:val="24"/>
              </w:rPr>
            </w:pPr>
            <w:r>
              <w:rPr>
                <w:rFonts w:hint="eastAsia" w:ascii="宋体" w:hAnsi="宋体" w:cs="宋体"/>
                <w:sz w:val="24"/>
                <w:szCs w:val="24"/>
              </w:rPr>
              <w:t>不允许</w:t>
            </w:r>
          </w:p>
        </w:tc>
      </w:tr>
      <w:tr w14:paraId="7F6F9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blHeader/>
          <w:jc w:val="center"/>
        </w:trPr>
        <w:tc>
          <w:tcPr>
            <w:tcW w:w="788" w:type="dxa"/>
            <w:vAlign w:val="center"/>
          </w:tcPr>
          <w:p w14:paraId="2E7338D7">
            <w:pPr>
              <w:rPr>
                <w:rFonts w:ascii="宋体" w:hAnsi="宋体" w:cs="宋体"/>
                <w:sz w:val="24"/>
                <w:szCs w:val="24"/>
              </w:rPr>
            </w:pPr>
            <w:r>
              <w:rPr>
                <w:rFonts w:hint="eastAsia" w:ascii="宋体" w:hAnsi="宋体" w:cs="宋体"/>
                <w:sz w:val="24"/>
                <w:szCs w:val="24"/>
              </w:rPr>
              <w:t>10</w:t>
            </w:r>
          </w:p>
        </w:tc>
        <w:tc>
          <w:tcPr>
            <w:tcW w:w="2833" w:type="dxa"/>
            <w:vAlign w:val="center"/>
          </w:tcPr>
          <w:p w14:paraId="3368CF7D">
            <w:pPr>
              <w:rPr>
                <w:rFonts w:ascii="宋体" w:hAnsi="宋体" w:cs="宋体"/>
                <w:sz w:val="24"/>
                <w:szCs w:val="24"/>
              </w:rPr>
            </w:pPr>
            <w:r>
              <w:rPr>
                <w:rFonts w:hint="eastAsia" w:ascii="宋体" w:hAnsi="宋体" w:cs="宋体"/>
                <w:sz w:val="24"/>
                <w:szCs w:val="24"/>
              </w:rPr>
              <w:t>投标有效期</w:t>
            </w:r>
          </w:p>
        </w:tc>
        <w:tc>
          <w:tcPr>
            <w:tcW w:w="6519" w:type="dxa"/>
            <w:vAlign w:val="center"/>
          </w:tcPr>
          <w:p w14:paraId="14F57C87">
            <w:pPr>
              <w:rPr>
                <w:rFonts w:ascii="宋体" w:hAnsi="宋体" w:cs="宋体"/>
                <w:sz w:val="24"/>
                <w:szCs w:val="24"/>
              </w:rPr>
            </w:pPr>
            <w:r>
              <w:rPr>
                <w:rFonts w:hint="eastAsia" w:ascii="宋体" w:hAnsi="宋体" w:cs="宋体"/>
                <w:sz w:val="24"/>
                <w:szCs w:val="24"/>
              </w:rPr>
              <w:t>开标后60天</w:t>
            </w:r>
          </w:p>
        </w:tc>
      </w:tr>
      <w:tr w14:paraId="1EB77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2" w:hRule="atLeast"/>
          <w:tblHeader/>
          <w:jc w:val="center"/>
        </w:trPr>
        <w:tc>
          <w:tcPr>
            <w:tcW w:w="788" w:type="dxa"/>
            <w:vAlign w:val="center"/>
          </w:tcPr>
          <w:p w14:paraId="2A8EBEB1">
            <w:pPr>
              <w:rPr>
                <w:rFonts w:ascii="宋体" w:hAnsi="宋体" w:cs="宋体"/>
                <w:sz w:val="24"/>
                <w:szCs w:val="24"/>
              </w:rPr>
            </w:pPr>
            <w:r>
              <w:rPr>
                <w:rFonts w:hint="eastAsia" w:ascii="宋体" w:hAnsi="宋体" w:cs="宋体"/>
                <w:sz w:val="24"/>
                <w:szCs w:val="24"/>
              </w:rPr>
              <w:t>11</w:t>
            </w:r>
          </w:p>
        </w:tc>
        <w:tc>
          <w:tcPr>
            <w:tcW w:w="2833" w:type="dxa"/>
            <w:vAlign w:val="center"/>
          </w:tcPr>
          <w:p w14:paraId="13057E5A">
            <w:pPr>
              <w:rPr>
                <w:rFonts w:ascii="宋体" w:hAnsi="宋体" w:cs="宋体"/>
                <w:sz w:val="24"/>
                <w:szCs w:val="24"/>
              </w:rPr>
            </w:pPr>
            <w:r>
              <w:rPr>
                <w:rFonts w:hint="eastAsia" w:ascii="宋体" w:hAnsi="宋体" w:cs="宋体"/>
                <w:sz w:val="24"/>
                <w:szCs w:val="24"/>
              </w:rPr>
              <w:t>服务地点</w:t>
            </w:r>
          </w:p>
        </w:tc>
        <w:tc>
          <w:tcPr>
            <w:tcW w:w="6519" w:type="dxa"/>
            <w:vAlign w:val="center"/>
          </w:tcPr>
          <w:p w14:paraId="44BE8C79">
            <w:pPr>
              <w:rPr>
                <w:rFonts w:ascii="宋体" w:hAnsi="宋体" w:cs="宋体"/>
                <w:sz w:val="24"/>
                <w:szCs w:val="24"/>
              </w:rPr>
            </w:pPr>
            <w:r>
              <w:rPr>
                <w:rFonts w:hint="eastAsia" w:ascii="宋体" w:hAnsi="宋体" w:cs="宋体"/>
                <w:sz w:val="24"/>
                <w:szCs w:val="24"/>
              </w:rPr>
              <w:t>采购人指定地点</w:t>
            </w:r>
          </w:p>
        </w:tc>
      </w:tr>
      <w:tr w14:paraId="1B548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2" w:hRule="atLeast"/>
          <w:tblHeader/>
          <w:jc w:val="center"/>
        </w:trPr>
        <w:tc>
          <w:tcPr>
            <w:tcW w:w="788" w:type="dxa"/>
            <w:vAlign w:val="center"/>
          </w:tcPr>
          <w:p w14:paraId="533DE627">
            <w:pPr>
              <w:rPr>
                <w:rFonts w:ascii="宋体" w:hAnsi="宋体" w:cs="宋体"/>
                <w:sz w:val="24"/>
                <w:szCs w:val="24"/>
              </w:rPr>
            </w:pPr>
            <w:r>
              <w:rPr>
                <w:rFonts w:hint="eastAsia" w:ascii="宋体" w:hAnsi="宋体" w:cs="宋体"/>
                <w:sz w:val="24"/>
                <w:szCs w:val="24"/>
              </w:rPr>
              <w:t>12</w:t>
            </w:r>
          </w:p>
        </w:tc>
        <w:tc>
          <w:tcPr>
            <w:tcW w:w="2833" w:type="dxa"/>
            <w:vAlign w:val="center"/>
          </w:tcPr>
          <w:p w14:paraId="342981B7">
            <w:pPr>
              <w:rPr>
                <w:rFonts w:ascii="宋体" w:hAnsi="宋体" w:cs="宋体"/>
                <w:sz w:val="24"/>
                <w:szCs w:val="24"/>
              </w:rPr>
            </w:pPr>
            <w:r>
              <w:rPr>
                <w:rFonts w:hint="eastAsia" w:ascii="宋体" w:hAnsi="宋体" w:cs="宋体"/>
                <w:sz w:val="24"/>
                <w:szCs w:val="24"/>
              </w:rPr>
              <w:t>服务期限</w:t>
            </w:r>
          </w:p>
        </w:tc>
        <w:tc>
          <w:tcPr>
            <w:tcW w:w="6519" w:type="dxa"/>
            <w:vAlign w:val="center"/>
          </w:tcPr>
          <w:p w14:paraId="3D27F709">
            <w:pPr>
              <w:rPr>
                <w:rFonts w:ascii="宋体" w:hAnsi="宋体" w:cs="宋体"/>
                <w:sz w:val="24"/>
                <w:szCs w:val="24"/>
              </w:rPr>
            </w:pPr>
            <w:r>
              <w:rPr>
                <w:rFonts w:hint="eastAsia" w:ascii="宋体" w:hAnsi="宋体" w:cs="宋体"/>
                <w:sz w:val="24"/>
                <w:szCs w:val="24"/>
              </w:rPr>
              <w:t>35年</w:t>
            </w:r>
          </w:p>
        </w:tc>
      </w:tr>
      <w:tr w14:paraId="7C981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blHeader/>
          <w:jc w:val="center"/>
        </w:trPr>
        <w:tc>
          <w:tcPr>
            <w:tcW w:w="788" w:type="dxa"/>
            <w:vAlign w:val="center"/>
          </w:tcPr>
          <w:p w14:paraId="28647028">
            <w:pPr>
              <w:rPr>
                <w:rFonts w:ascii="宋体" w:hAnsi="宋体" w:cs="宋体"/>
                <w:sz w:val="24"/>
                <w:szCs w:val="24"/>
              </w:rPr>
            </w:pPr>
            <w:r>
              <w:rPr>
                <w:rFonts w:hint="eastAsia" w:ascii="宋体" w:hAnsi="宋体" w:cs="宋体"/>
                <w:sz w:val="24"/>
                <w:szCs w:val="24"/>
              </w:rPr>
              <w:t>13</w:t>
            </w:r>
          </w:p>
        </w:tc>
        <w:tc>
          <w:tcPr>
            <w:tcW w:w="2833" w:type="dxa"/>
            <w:vAlign w:val="center"/>
          </w:tcPr>
          <w:p w14:paraId="29CC12AB">
            <w:pPr>
              <w:rPr>
                <w:rFonts w:ascii="宋体" w:hAnsi="宋体" w:cs="宋体"/>
                <w:sz w:val="24"/>
                <w:szCs w:val="24"/>
              </w:rPr>
            </w:pPr>
            <w:r>
              <w:rPr>
                <w:rFonts w:hint="eastAsia" w:ascii="宋体" w:hAnsi="宋体" w:cs="宋体"/>
                <w:sz w:val="24"/>
                <w:szCs w:val="24"/>
              </w:rPr>
              <w:t>投标保证金金额</w:t>
            </w:r>
          </w:p>
        </w:tc>
        <w:tc>
          <w:tcPr>
            <w:tcW w:w="6519" w:type="dxa"/>
            <w:vAlign w:val="center"/>
          </w:tcPr>
          <w:p w14:paraId="4F9F6D50">
            <w:pPr>
              <w:rPr>
                <w:rFonts w:ascii="宋体" w:hAnsi="宋体" w:cs="宋体"/>
                <w:sz w:val="24"/>
                <w:szCs w:val="24"/>
              </w:rPr>
            </w:pPr>
            <w:r>
              <w:rPr>
                <w:rFonts w:hint="eastAsia" w:ascii="宋体" w:hAnsi="宋体" w:cs="宋体"/>
                <w:sz w:val="24"/>
                <w:szCs w:val="24"/>
              </w:rPr>
              <w:t>不需要缴纳投标保证金</w:t>
            </w:r>
          </w:p>
        </w:tc>
      </w:tr>
      <w:tr w14:paraId="184B1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2" w:hRule="atLeast"/>
          <w:tblHeader/>
          <w:jc w:val="center"/>
        </w:trPr>
        <w:tc>
          <w:tcPr>
            <w:tcW w:w="788" w:type="dxa"/>
            <w:vAlign w:val="center"/>
          </w:tcPr>
          <w:p w14:paraId="6850900A">
            <w:pPr>
              <w:rPr>
                <w:rFonts w:ascii="宋体" w:hAnsi="宋体" w:cs="宋体"/>
                <w:sz w:val="24"/>
                <w:szCs w:val="24"/>
              </w:rPr>
            </w:pPr>
            <w:r>
              <w:rPr>
                <w:rFonts w:hint="eastAsia" w:ascii="宋体" w:hAnsi="宋体" w:cs="宋体"/>
                <w:sz w:val="24"/>
                <w:szCs w:val="24"/>
              </w:rPr>
              <w:t>14</w:t>
            </w:r>
          </w:p>
        </w:tc>
        <w:tc>
          <w:tcPr>
            <w:tcW w:w="2833" w:type="dxa"/>
            <w:vAlign w:val="center"/>
          </w:tcPr>
          <w:p w14:paraId="0217A5F9">
            <w:pPr>
              <w:rPr>
                <w:rFonts w:ascii="宋体" w:hAnsi="宋体" w:cs="宋体"/>
                <w:sz w:val="24"/>
                <w:szCs w:val="24"/>
              </w:rPr>
            </w:pPr>
            <w:r>
              <w:rPr>
                <w:rFonts w:hint="eastAsia" w:ascii="宋体" w:hAnsi="宋体" w:cs="宋体"/>
                <w:sz w:val="24"/>
                <w:szCs w:val="24"/>
              </w:rPr>
              <w:t>答疑</w:t>
            </w:r>
          </w:p>
        </w:tc>
        <w:tc>
          <w:tcPr>
            <w:tcW w:w="6519" w:type="dxa"/>
            <w:vAlign w:val="center"/>
          </w:tcPr>
          <w:p w14:paraId="3F6FE7EE">
            <w:pPr>
              <w:rPr>
                <w:rFonts w:ascii="宋体" w:hAnsi="宋体" w:cs="宋体"/>
                <w:sz w:val="24"/>
                <w:szCs w:val="24"/>
              </w:rPr>
            </w:pPr>
            <w:r>
              <w:rPr>
                <w:rFonts w:hint="eastAsia" w:ascii="宋体" w:hAnsi="宋体" w:cs="宋体"/>
                <w:sz w:val="24"/>
                <w:szCs w:val="24"/>
              </w:rPr>
              <w:t>疑问的提出与答疑获取详见招标文件第二部分第五章投标人须知第36条。</w:t>
            </w:r>
          </w:p>
          <w:p w14:paraId="30556983">
            <w:pPr>
              <w:rPr>
                <w:rFonts w:ascii="宋体" w:hAnsi="宋体" w:cs="宋体"/>
                <w:sz w:val="24"/>
                <w:szCs w:val="24"/>
              </w:rPr>
            </w:pPr>
            <w:r>
              <w:rPr>
                <w:rFonts w:hint="eastAsia" w:ascii="宋体" w:hAnsi="宋体" w:cs="宋体"/>
                <w:sz w:val="24"/>
                <w:szCs w:val="24"/>
              </w:rPr>
              <w:t>对招标文件进行的澄清、更正或更改，将在网站上及时发布，该公告内容为招标文件的组成部分，对投标人具有同样约束力效力。投标人应主动上网查询。不承担投标人未及时关注相关信息引发的相关责任。</w:t>
            </w:r>
          </w:p>
        </w:tc>
      </w:tr>
      <w:tr w14:paraId="06656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blHeader/>
          <w:jc w:val="center"/>
        </w:trPr>
        <w:tc>
          <w:tcPr>
            <w:tcW w:w="788" w:type="dxa"/>
            <w:vAlign w:val="center"/>
          </w:tcPr>
          <w:p w14:paraId="0FAD3C13">
            <w:pPr>
              <w:rPr>
                <w:rFonts w:ascii="宋体" w:hAnsi="宋体" w:cs="宋体"/>
                <w:sz w:val="24"/>
                <w:szCs w:val="24"/>
              </w:rPr>
            </w:pPr>
            <w:r>
              <w:rPr>
                <w:rFonts w:hint="eastAsia" w:ascii="宋体" w:hAnsi="宋体" w:cs="宋体"/>
                <w:sz w:val="24"/>
                <w:szCs w:val="24"/>
              </w:rPr>
              <w:t>15</w:t>
            </w:r>
          </w:p>
        </w:tc>
        <w:tc>
          <w:tcPr>
            <w:tcW w:w="2833" w:type="dxa"/>
            <w:vAlign w:val="center"/>
          </w:tcPr>
          <w:p w14:paraId="65ABFFAE">
            <w:pPr>
              <w:rPr>
                <w:rFonts w:ascii="宋体" w:hAnsi="宋体" w:cs="宋体"/>
                <w:sz w:val="24"/>
                <w:szCs w:val="24"/>
              </w:rPr>
            </w:pPr>
            <w:r>
              <w:rPr>
                <w:rFonts w:hint="eastAsia" w:ascii="宋体" w:hAnsi="宋体" w:cs="宋体"/>
                <w:sz w:val="24"/>
                <w:szCs w:val="24"/>
              </w:rPr>
              <w:t>勘察现场</w:t>
            </w:r>
          </w:p>
        </w:tc>
        <w:tc>
          <w:tcPr>
            <w:tcW w:w="6519" w:type="dxa"/>
            <w:vAlign w:val="center"/>
          </w:tcPr>
          <w:p w14:paraId="72CE0043">
            <w:pPr>
              <w:rPr>
                <w:rFonts w:ascii="宋体" w:hAnsi="宋体" w:cs="宋体"/>
                <w:sz w:val="24"/>
                <w:szCs w:val="24"/>
              </w:rPr>
            </w:pPr>
            <w:r>
              <w:rPr>
                <w:rFonts w:hint="eastAsia" w:ascii="宋体" w:hAnsi="宋体" w:cs="宋体"/>
                <w:sz w:val="24"/>
                <w:szCs w:val="24"/>
              </w:rPr>
              <w:t>不组织，供应商自行勘察。</w:t>
            </w:r>
          </w:p>
        </w:tc>
      </w:tr>
      <w:tr w14:paraId="2E3B4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2" w:hRule="atLeast"/>
          <w:tblHeader/>
          <w:jc w:val="center"/>
        </w:trPr>
        <w:tc>
          <w:tcPr>
            <w:tcW w:w="788" w:type="dxa"/>
            <w:vAlign w:val="center"/>
          </w:tcPr>
          <w:p w14:paraId="6F299468">
            <w:pPr>
              <w:rPr>
                <w:rFonts w:ascii="宋体" w:hAnsi="宋体" w:cs="宋体"/>
                <w:sz w:val="24"/>
                <w:szCs w:val="24"/>
              </w:rPr>
            </w:pPr>
            <w:r>
              <w:rPr>
                <w:rFonts w:hint="eastAsia" w:ascii="宋体" w:hAnsi="宋体" w:cs="宋体"/>
                <w:sz w:val="24"/>
                <w:szCs w:val="24"/>
              </w:rPr>
              <w:t>16</w:t>
            </w:r>
          </w:p>
        </w:tc>
        <w:tc>
          <w:tcPr>
            <w:tcW w:w="2833" w:type="dxa"/>
            <w:vAlign w:val="center"/>
          </w:tcPr>
          <w:p w14:paraId="24DFBA34">
            <w:pPr>
              <w:rPr>
                <w:rFonts w:ascii="宋体" w:hAnsi="宋体" w:cs="宋体"/>
                <w:sz w:val="24"/>
                <w:szCs w:val="24"/>
              </w:rPr>
            </w:pPr>
            <w:r>
              <w:rPr>
                <w:rFonts w:hint="eastAsia" w:ascii="宋体" w:hAnsi="宋体" w:cs="宋体"/>
                <w:sz w:val="24"/>
                <w:szCs w:val="24"/>
              </w:rPr>
              <w:t>投标文件</w:t>
            </w:r>
          </w:p>
        </w:tc>
        <w:tc>
          <w:tcPr>
            <w:tcW w:w="6519" w:type="dxa"/>
            <w:vAlign w:val="center"/>
          </w:tcPr>
          <w:p w14:paraId="11F9934B">
            <w:pPr>
              <w:rPr>
                <w:rFonts w:ascii="宋体" w:hAnsi="宋体" w:cs="宋体"/>
                <w:sz w:val="24"/>
                <w:szCs w:val="24"/>
              </w:rPr>
            </w:pPr>
            <w:r>
              <w:rPr>
                <w:rFonts w:hint="eastAsia" w:ascii="宋体" w:hAnsi="宋体" w:cs="宋体"/>
                <w:sz w:val="24"/>
                <w:szCs w:val="24"/>
              </w:rPr>
              <w:t>1、投标文件为使用周口市公共资源交易中心提供的电子标书制作工具软件（</w:t>
            </w:r>
            <w:r>
              <w:rPr>
                <w:rFonts w:hint="eastAsia" w:ascii="宋体" w:hAnsi="宋体" w:cs="宋体"/>
              </w:rPr>
              <w:t>http://jyzx.zhoukou.gov.cn</w:t>
            </w:r>
            <w:r>
              <w:rPr>
                <w:rFonts w:hint="eastAsia" w:ascii="宋体" w:hAnsi="宋体" w:cs="宋体"/>
                <w:sz w:val="24"/>
                <w:szCs w:val="24"/>
              </w:rPr>
              <w:t>网上下载）制作生成的电子加密文件，应在投标截止时间前通过周口市公共资源交易中心会员系统上传。投标截止时间前不上传电子投标文件或者在开标时间不进行电子投标文件解密，均视为自动放弃投标。</w:t>
            </w:r>
          </w:p>
          <w:p w14:paraId="429809D3">
            <w:pPr>
              <w:pStyle w:val="51"/>
              <w:rPr>
                <w:rFonts w:ascii="宋体" w:hAnsi="宋体" w:cs="宋体"/>
              </w:rPr>
            </w:pPr>
            <w:r>
              <w:rPr>
                <w:rFonts w:hint="eastAsia" w:ascii="宋体" w:hAnsi="宋体" w:cs="宋体"/>
                <w:sz w:val="24"/>
                <w:szCs w:val="24"/>
              </w:rPr>
              <w:t>2、本项目实行网上远程开标无须到现场提交响应文件，未加密的电子投标文件和纸质文件不再提交。</w:t>
            </w:r>
          </w:p>
        </w:tc>
      </w:tr>
      <w:tr w14:paraId="3F086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blHeader/>
          <w:jc w:val="center"/>
        </w:trPr>
        <w:tc>
          <w:tcPr>
            <w:tcW w:w="788" w:type="dxa"/>
            <w:vAlign w:val="center"/>
          </w:tcPr>
          <w:p w14:paraId="66F18094">
            <w:pPr>
              <w:rPr>
                <w:rFonts w:ascii="宋体" w:hAnsi="宋体" w:cs="宋体"/>
                <w:sz w:val="24"/>
                <w:szCs w:val="24"/>
              </w:rPr>
            </w:pPr>
            <w:r>
              <w:rPr>
                <w:rFonts w:hint="eastAsia" w:ascii="宋体" w:hAnsi="宋体" w:cs="宋体"/>
                <w:sz w:val="24"/>
                <w:szCs w:val="24"/>
              </w:rPr>
              <w:t>17</w:t>
            </w:r>
          </w:p>
        </w:tc>
        <w:tc>
          <w:tcPr>
            <w:tcW w:w="2833" w:type="dxa"/>
            <w:vAlign w:val="center"/>
          </w:tcPr>
          <w:p w14:paraId="18B33675">
            <w:pPr>
              <w:rPr>
                <w:rFonts w:ascii="宋体" w:hAnsi="宋体" w:cs="宋体"/>
                <w:sz w:val="24"/>
                <w:szCs w:val="24"/>
              </w:rPr>
            </w:pPr>
            <w:r>
              <w:rPr>
                <w:rFonts w:hint="eastAsia" w:ascii="宋体" w:hAnsi="宋体" w:cs="宋体"/>
                <w:sz w:val="24"/>
                <w:szCs w:val="24"/>
              </w:rPr>
              <w:t>投标时间及地点</w:t>
            </w:r>
          </w:p>
        </w:tc>
        <w:tc>
          <w:tcPr>
            <w:tcW w:w="6519" w:type="dxa"/>
            <w:vAlign w:val="center"/>
          </w:tcPr>
          <w:p w14:paraId="6538EC7F">
            <w:pPr>
              <w:rPr>
                <w:rFonts w:ascii="宋体" w:hAnsi="宋体" w:cs="宋体"/>
                <w:sz w:val="24"/>
                <w:szCs w:val="24"/>
              </w:rPr>
            </w:pPr>
            <w:r>
              <w:rPr>
                <w:rFonts w:hint="eastAsia" w:ascii="宋体" w:hAnsi="宋体" w:cs="宋体"/>
                <w:sz w:val="24"/>
                <w:szCs w:val="24"/>
              </w:rPr>
              <w:t>投标截止时间：</w:t>
            </w:r>
            <w:r>
              <w:rPr>
                <w:rFonts w:hint="eastAsia" w:ascii="宋体" w:hAnsi="宋体" w:cs="宋体"/>
                <w:sz w:val="24"/>
                <w:szCs w:val="24"/>
                <w:lang w:val="en-US" w:eastAsia="zh-CN"/>
              </w:rPr>
              <w:t>2026</w:t>
            </w:r>
            <w:r>
              <w:rPr>
                <w:rFonts w:hint="eastAsia" w:ascii="宋体" w:hAnsi="宋体" w:cs="宋体"/>
                <w:sz w:val="24"/>
                <w:szCs w:val="24"/>
              </w:rPr>
              <w:t>年</w:t>
            </w:r>
            <w:r>
              <w:rPr>
                <w:rFonts w:hint="eastAsia" w:ascii="宋体" w:hAnsi="宋体" w:cs="宋体"/>
                <w:sz w:val="24"/>
                <w:szCs w:val="24"/>
                <w:lang w:val="en-US" w:eastAsia="zh-CN"/>
              </w:rPr>
              <w:t>5</w:t>
            </w:r>
            <w:r>
              <w:rPr>
                <w:rFonts w:hint="eastAsia" w:ascii="宋体" w:hAnsi="宋体" w:cs="宋体"/>
                <w:sz w:val="24"/>
                <w:szCs w:val="24"/>
              </w:rPr>
              <w:t>月</w:t>
            </w:r>
            <w:r>
              <w:rPr>
                <w:rFonts w:hint="eastAsia" w:ascii="宋体" w:hAnsi="宋体" w:cs="宋体"/>
                <w:sz w:val="24"/>
                <w:szCs w:val="24"/>
                <w:lang w:val="en-US" w:eastAsia="zh-CN"/>
              </w:rPr>
              <w:t>26</w:t>
            </w:r>
            <w:r>
              <w:rPr>
                <w:rFonts w:hint="eastAsia" w:ascii="宋体" w:hAnsi="宋体" w:cs="宋体"/>
                <w:sz w:val="24"/>
                <w:szCs w:val="24"/>
              </w:rPr>
              <w:t xml:space="preserve">日 （见招标公告）      </w:t>
            </w:r>
          </w:p>
          <w:p w14:paraId="122B8A75">
            <w:pPr>
              <w:rPr>
                <w:rFonts w:ascii="宋体" w:hAnsi="宋体"/>
                <w:sz w:val="24"/>
              </w:rPr>
            </w:pPr>
            <w:r>
              <w:rPr>
                <w:rFonts w:hint="eastAsia" w:ascii="宋体" w:hAnsi="宋体" w:cs="宋体"/>
                <w:sz w:val="24"/>
                <w:szCs w:val="24"/>
              </w:rPr>
              <w:t>标书递交地点：</w:t>
            </w:r>
            <w:r>
              <w:rPr>
                <w:rFonts w:hint="eastAsia" w:ascii="宋体" w:hAnsi="宋体"/>
                <w:sz w:val="24"/>
              </w:rPr>
              <w:t>周口市公共资源交易中心网</w:t>
            </w:r>
          </w:p>
          <w:p w14:paraId="1EE4FDE6">
            <w:pPr>
              <w:rPr>
                <w:rFonts w:ascii="宋体" w:hAnsi="宋体" w:cs="宋体"/>
                <w:sz w:val="24"/>
                <w:szCs w:val="24"/>
              </w:rPr>
            </w:pPr>
            <w:r>
              <w:rPr>
                <w:rFonts w:hint="eastAsia" w:ascii="宋体" w:hAnsi="宋体"/>
                <w:sz w:val="24"/>
              </w:rPr>
              <w:t>网址：周口市公共资源电子交易服务平台会员系统（网址</w:t>
            </w:r>
            <w:r>
              <w:rPr>
                <w:rFonts w:hint="eastAsia" w:ascii="宋体" w:hAnsi="宋体"/>
              </w:rPr>
              <w:t>http://jyzx.zhoukou.gov.cn）</w:t>
            </w:r>
          </w:p>
          <w:p w14:paraId="3683CCF4">
            <w:pPr>
              <w:rPr>
                <w:rFonts w:ascii="宋体" w:hAnsi="宋体" w:cs="宋体"/>
                <w:sz w:val="24"/>
                <w:szCs w:val="24"/>
              </w:rPr>
            </w:pPr>
            <w:r>
              <w:rPr>
                <w:rFonts w:hint="eastAsia" w:ascii="宋体" w:hAnsi="宋体" w:cs="宋体"/>
                <w:sz w:val="24"/>
                <w:szCs w:val="24"/>
              </w:rPr>
              <w:t>（本项目实行网上远程开标无须到现场提交响应文件）</w:t>
            </w:r>
          </w:p>
        </w:tc>
      </w:tr>
      <w:tr w14:paraId="0C92E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6" w:hRule="atLeast"/>
          <w:tblHeader/>
          <w:jc w:val="center"/>
        </w:trPr>
        <w:tc>
          <w:tcPr>
            <w:tcW w:w="788" w:type="dxa"/>
            <w:vAlign w:val="center"/>
          </w:tcPr>
          <w:p w14:paraId="35AFF1AA">
            <w:pPr>
              <w:rPr>
                <w:rFonts w:ascii="宋体" w:hAnsi="宋体" w:cs="宋体"/>
                <w:sz w:val="24"/>
                <w:szCs w:val="24"/>
              </w:rPr>
            </w:pPr>
            <w:r>
              <w:rPr>
                <w:rFonts w:hint="eastAsia" w:ascii="宋体" w:hAnsi="宋体" w:cs="宋体"/>
                <w:sz w:val="24"/>
                <w:szCs w:val="24"/>
              </w:rPr>
              <w:t>18</w:t>
            </w:r>
          </w:p>
        </w:tc>
        <w:tc>
          <w:tcPr>
            <w:tcW w:w="2833" w:type="dxa"/>
            <w:vAlign w:val="center"/>
          </w:tcPr>
          <w:p w14:paraId="0BC8B875">
            <w:pPr>
              <w:rPr>
                <w:rFonts w:ascii="宋体" w:hAnsi="宋体" w:cs="宋体"/>
                <w:sz w:val="24"/>
                <w:szCs w:val="24"/>
              </w:rPr>
            </w:pPr>
            <w:r>
              <w:rPr>
                <w:rFonts w:hint="eastAsia" w:ascii="宋体" w:hAnsi="宋体" w:cs="宋体"/>
                <w:sz w:val="24"/>
                <w:szCs w:val="24"/>
              </w:rPr>
              <w:t>开标时间及地点</w:t>
            </w:r>
          </w:p>
        </w:tc>
        <w:tc>
          <w:tcPr>
            <w:tcW w:w="6519" w:type="dxa"/>
            <w:vAlign w:val="center"/>
          </w:tcPr>
          <w:p w14:paraId="053281AE">
            <w:pPr>
              <w:rPr>
                <w:rFonts w:ascii="宋体" w:hAnsi="宋体" w:cs="宋体"/>
                <w:sz w:val="24"/>
                <w:szCs w:val="24"/>
              </w:rPr>
            </w:pPr>
            <w:r>
              <w:rPr>
                <w:rFonts w:hint="eastAsia" w:ascii="宋体" w:hAnsi="宋体" w:cs="宋体"/>
                <w:sz w:val="24"/>
                <w:szCs w:val="24"/>
              </w:rPr>
              <w:t>开标时间：</w:t>
            </w:r>
            <w:r>
              <w:rPr>
                <w:rFonts w:hint="eastAsia" w:ascii="宋体" w:hAnsi="宋体" w:cs="宋体"/>
                <w:sz w:val="24"/>
                <w:szCs w:val="24"/>
                <w:lang w:val="en-US" w:eastAsia="zh-CN"/>
              </w:rPr>
              <w:t>2026</w:t>
            </w:r>
            <w:r>
              <w:rPr>
                <w:rFonts w:hint="eastAsia" w:ascii="宋体" w:hAnsi="宋体" w:cs="宋体"/>
                <w:sz w:val="24"/>
                <w:szCs w:val="24"/>
              </w:rPr>
              <w:t>年</w:t>
            </w:r>
            <w:r>
              <w:rPr>
                <w:rFonts w:hint="eastAsia" w:ascii="宋体" w:hAnsi="宋体" w:cs="宋体"/>
                <w:sz w:val="24"/>
                <w:szCs w:val="24"/>
                <w:lang w:val="en-US" w:eastAsia="zh-CN"/>
              </w:rPr>
              <w:t>5</w:t>
            </w:r>
            <w:r>
              <w:rPr>
                <w:rFonts w:hint="eastAsia" w:ascii="宋体" w:hAnsi="宋体" w:cs="宋体"/>
                <w:sz w:val="24"/>
                <w:szCs w:val="24"/>
              </w:rPr>
              <w:t>月</w:t>
            </w:r>
            <w:r>
              <w:rPr>
                <w:rFonts w:hint="eastAsia" w:ascii="宋体" w:hAnsi="宋体" w:cs="宋体"/>
                <w:sz w:val="24"/>
                <w:szCs w:val="24"/>
                <w:lang w:val="en-US" w:eastAsia="zh-CN"/>
              </w:rPr>
              <w:t>26</w:t>
            </w:r>
            <w:r>
              <w:rPr>
                <w:rFonts w:hint="eastAsia" w:ascii="宋体" w:hAnsi="宋体" w:cs="宋体"/>
                <w:sz w:val="24"/>
                <w:szCs w:val="24"/>
              </w:rPr>
              <w:t xml:space="preserve">日 （见招标公告）      </w:t>
            </w:r>
          </w:p>
          <w:p w14:paraId="50ECA1CE">
            <w:pPr>
              <w:rPr>
                <w:rFonts w:ascii="宋体" w:hAnsi="宋体" w:cs="宋体"/>
                <w:sz w:val="24"/>
                <w:szCs w:val="24"/>
              </w:rPr>
            </w:pPr>
            <w:r>
              <w:rPr>
                <w:rFonts w:hint="eastAsia" w:ascii="宋体" w:hAnsi="宋体" w:cs="宋体"/>
                <w:sz w:val="24"/>
                <w:szCs w:val="24"/>
              </w:rPr>
              <w:t>开标地点：周口市光明路与政通路交叉口向北100米路东(周口市公共资源交易中心四楼开标室)</w:t>
            </w:r>
          </w:p>
        </w:tc>
      </w:tr>
      <w:tr w14:paraId="48DCE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6" w:hRule="atLeast"/>
          <w:tblHeader/>
          <w:jc w:val="center"/>
        </w:trPr>
        <w:tc>
          <w:tcPr>
            <w:tcW w:w="788" w:type="dxa"/>
            <w:vAlign w:val="center"/>
          </w:tcPr>
          <w:p w14:paraId="3CEFA0F4">
            <w:pPr>
              <w:rPr>
                <w:rFonts w:ascii="宋体" w:hAnsi="宋体" w:cs="宋体"/>
                <w:sz w:val="24"/>
                <w:szCs w:val="24"/>
              </w:rPr>
            </w:pPr>
            <w:r>
              <w:rPr>
                <w:rFonts w:hint="eastAsia" w:ascii="宋体" w:hAnsi="宋体" w:cs="宋体"/>
                <w:sz w:val="24"/>
                <w:szCs w:val="24"/>
              </w:rPr>
              <w:t>19</w:t>
            </w:r>
          </w:p>
        </w:tc>
        <w:tc>
          <w:tcPr>
            <w:tcW w:w="2833" w:type="dxa"/>
            <w:vAlign w:val="center"/>
          </w:tcPr>
          <w:p w14:paraId="0EA301B0">
            <w:pPr>
              <w:rPr>
                <w:rFonts w:ascii="宋体" w:hAnsi="宋体" w:cs="宋体"/>
                <w:sz w:val="24"/>
                <w:szCs w:val="24"/>
              </w:rPr>
            </w:pPr>
            <w:r>
              <w:rPr>
                <w:rFonts w:hint="eastAsia" w:ascii="宋体" w:hAnsi="宋体" w:cs="宋体"/>
                <w:sz w:val="24"/>
                <w:szCs w:val="24"/>
              </w:rPr>
              <w:t>评标委员会的组建</w:t>
            </w:r>
          </w:p>
          <w:p w14:paraId="4A03FCC1">
            <w:pPr>
              <w:rPr>
                <w:rFonts w:ascii="宋体" w:hAnsi="宋体" w:cs="宋体"/>
                <w:sz w:val="24"/>
                <w:szCs w:val="24"/>
              </w:rPr>
            </w:pPr>
          </w:p>
        </w:tc>
        <w:tc>
          <w:tcPr>
            <w:tcW w:w="6519" w:type="dxa"/>
            <w:vAlign w:val="center"/>
          </w:tcPr>
          <w:p w14:paraId="2D135BCB">
            <w:pPr>
              <w:rPr>
                <w:rFonts w:ascii="宋体" w:hAnsi="宋体" w:cs="宋体"/>
                <w:sz w:val="24"/>
                <w:szCs w:val="24"/>
              </w:rPr>
            </w:pPr>
            <w:r>
              <w:rPr>
                <w:rFonts w:hint="eastAsia" w:ascii="宋体" w:hAnsi="宋体" w:cs="宋体"/>
                <w:sz w:val="24"/>
                <w:szCs w:val="24"/>
              </w:rPr>
              <w:t>评标委员会构成:7人，其中采购人代表2人，有关技术、经济等方面的专家5人(其中至少各有一名财务和法律专家);评标专家确定方式:在开标前从河南省政府采购评标专家中随机抽取。</w:t>
            </w:r>
          </w:p>
        </w:tc>
      </w:tr>
      <w:tr w14:paraId="6CCF2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blHeader/>
          <w:jc w:val="center"/>
        </w:trPr>
        <w:tc>
          <w:tcPr>
            <w:tcW w:w="788" w:type="dxa"/>
            <w:vAlign w:val="center"/>
          </w:tcPr>
          <w:p w14:paraId="201FEC81">
            <w:pPr>
              <w:rPr>
                <w:rFonts w:ascii="宋体" w:hAnsi="宋体" w:cs="宋体"/>
                <w:sz w:val="24"/>
                <w:szCs w:val="24"/>
              </w:rPr>
            </w:pPr>
            <w:r>
              <w:rPr>
                <w:rFonts w:hint="eastAsia" w:ascii="宋体" w:hAnsi="宋体" w:cs="宋体"/>
                <w:sz w:val="24"/>
                <w:szCs w:val="24"/>
              </w:rPr>
              <w:t>20</w:t>
            </w:r>
          </w:p>
        </w:tc>
        <w:tc>
          <w:tcPr>
            <w:tcW w:w="2833" w:type="dxa"/>
            <w:vAlign w:val="center"/>
          </w:tcPr>
          <w:p w14:paraId="4460449E">
            <w:pPr>
              <w:rPr>
                <w:rFonts w:ascii="宋体" w:hAnsi="宋体" w:cs="宋体"/>
                <w:sz w:val="24"/>
                <w:szCs w:val="24"/>
              </w:rPr>
            </w:pPr>
            <w:r>
              <w:rPr>
                <w:rFonts w:hint="eastAsia" w:ascii="宋体" w:hAnsi="宋体" w:cs="宋体"/>
                <w:sz w:val="24"/>
                <w:szCs w:val="24"/>
              </w:rPr>
              <w:t>评标办法</w:t>
            </w:r>
          </w:p>
        </w:tc>
        <w:tc>
          <w:tcPr>
            <w:tcW w:w="6519" w:type="dxa"/>
            <w:vAlign w:val="center"/>
          </w:tcPr>
          <w:p w14:paraId="34C60E7A">
            <w:pPr>
              <w:rPr>
                <w:rFonts w:ascii="宋体" w:hAnsi="宋体" w:cs="宋体"/>
                <w:sz w:val="24"/>
                <w:szCs w:val="24"/>
              </w:rPr>
            </w:pPr>
            <w:r>
              <w:rPr>
                <w:rFonts w:hint="eastAsia" w:ascii="宋体" w:hAnsi="宋体" w:cs="宋体"/>
                <w:sz w:val="24"/>
                <w:szCs w:val="24"/>
              </w:rPr>
              <w:t>综合评分法 详见招标文件第一部分第四章评标办法</w:t>
            </w:r>
          </w:p>
        </w:tc>
      </w:tr>
      <w:tr w14:paraId="78DC9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2" w:hRule="atLeast"/>
          <w:tblHeader/>
          <w:jc w:val="center"/>
        </w:trPr>
        <w:tc>
          <w:tcPr>
            <w:tcW w:w="788" w:type="dxa"/>
            <w:vAlign w:val="center"/>
          </w:tcPr>
          <w:p w14:paraId="5DD3A444">
            <w:pPr>
              <w:rPr>
                <w:rFonts w:ascii="宋体" w:hAnsi="宋体" w:cs="宋体"/>
                <w:sz w:val="24"/>
                <w:szCs w:val="24"/>
              </w:rPr>
            </w:pPr>
            <w:r>
              <w:rPr>
                <w:rFonts w:hint="eastAsia" w:ascii="宋体" w:hAnsi="宋体" w:cs="宋体"/>
                <w:sz w:val="24"/>
                <w:szCs w:val="24"/>
              </w:rPr>
              <w:t>21</w:t>
            </w:r>
          </w:p>
        </w:tc>
        <w:tc>
          <w:tcPr>
            <w:tcW w:w="2833" w:type="dxa"/>
            <w:vAlign w:val="center"/>
          </w:tcPr>
          <w:p w14:paraId="0D84F7F2">
            <w:pPr>
              <w:rPr>
                <w:rFonts w:ascii="宋体" w:hAnsi="宋体" w:cs="宋体"/>
                <w:sz w:val="24"/>
                <w:szCs w:val="24"/>
              </w:rPr>
            </w:pPr>
            <w:r>
              <w:rPr>
                <w:rFonts w:hint="eastAsia" w:ascii="宋体" w:hAnsi="宋体" w:cs="宋体"/>
                <w:sz w:val="24"/>
                <w:szCs w:val="24"/>
              </w:rPr>
              <w:t>招标控制价</w:t>
            </w:r>
          </w:p>
        </w:tc>
        <w:tc>
          <w:tcPr>
            <w:tcW w:w="6519" w:type="dxa"/>
            <w:vAlign w:val="center"/>
          </w:tcPr>
          <w:p w14:paraId="0FE091BB">
            <w:pPr>
              <w:rPr>
                <w:rFonts w:ascii="宋体" w:hAnsi="宋体" w:cs="宋体"/>
                <w:sz w:val="24"/>
                <w:szCs w:val="24"/>
              </w:rPr>
            </w:pPr>
            <w:r>
              <w:rPr>
                <w:rFonts w:hint="eastAsia" w:ascii="宋体" w:hAnsi="宋体" w:cs="宋体"/>
                <w:sz w:val="24"/>
                <w:szCs w:val="24"/>
              </w:rPr>
              <w:t>（1）存量资产特许经营权转让价款≥25098</w:t>
            </w:r>
            <w:r>
              <w:rPr>
                <w:rFonts w:hint="eastAsia" w:ascii="宋体" w:hAnsi="宋体" w:cs="宋体"/>
                <w:sz w:val="24"/>
                <w:szCs w:val="24"/>
                <w:lang w:val="en-US" w:eastAsia="zh-CN"/>
              </w:rPr>
              <w:t>.</w:t>
            </w:r>
            <w:r>
              <w:rPr>
                <w:rFonts w:hint="eastAsia" w:ascii="宋体" w:hAnsi="宋体" w:cs="宋体"/>
                <w:sz w:val="24"/>
                <w:szCs w:val="24"/>
              </w:rPr>
              <w:t>57万元；</w:t>
            </w:r>
          </w:p>
          <w:p w14:paraId="18E82A5C">
            <w:pPr>
              <w:rPr>
                <w:rFonts w:ascii="宋体" w:hAnsi="宋体" w:cs="宋体"/>
                <w:sz w:val="24"/>
                <w:szCs w:val="24"/>
              </w:rPr>
            </w:pPr>
            <w:r>
              <w:rPr>
                <w:rFonts w:hint="eastAsia" w:ascii="宋体" w:hAnsi="宋体" w:cs="宋体"/>
                <w:sz w:val="24"/>
                <w:szCs w:val="24"/>
              </w:rPr>
              <w:t>（2）特许经营期限≤35年。</w:t>
            </w:r>
          </w:p>
          <w:p w14:paraId="796FF962">
            <w:pPr>
              <w:rPr>
                <w:rFonts w:ascii="宋体" w:hAnsi="宋体" w:cs="宋体"/>
                <w:sz w:val="24"/>
                <w:szCs w:val="24"/>
              </w:rPr>
            </w:pPr>
            <w:r>
              <w:rPr>
                <w:rFonts w:hint="eastAsia" w:ascii="宋体" w:hAnsi="宋体" w:cs="宋体"/>
                <w:b/>
                <w:bCs/>
                <w:sz w:val="24"/>
                <w:szCs w:val="24"/>
              </w:rPr>
              <w:t>（注：（1）报价高于（含等于）本项目招标控制价为有效投标报价；（2）报价低于（含等于）本项目招标控制价为有效投标报价；否则为无效标。</w:t>
            </w:r>
          </w:p>
        </w:tc>
      </w:tr>
      <w:tr w14:paraId="1D82C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2" w:hRule="atLeast"/>
          <w:tblHeader/>
          <w:jc w:val="center"/>
        </w:trPr>
        <w:tc>
          <w:tcPr>
            <w:tcW w:w="788" w:type="dxa"/>
            <w:vAlign w:val="center"/>
          </w:tcPr>
          <w:p w14:paraId="063C6E04">
            <w:pPr>
              <w:rPr>
                <w:rFonts w:ascii="宋体" w:hAnsi="宋体" w:cs="宋体"/>
                <w:sz w:val="24"/>
                <w:szCs w:val="24"/>
              </w:rPr>
            </w:pPr>
            <w:r>
              <w:rPr>
                <w:rFonts w:hint="eastAsia" w:ascii="宋体" w:hAnsi="宋体"/>
                <w:sz w:val="24"/>
                <w:szCs w:val="24"/>
              </w:rPr>
              <w:t>22</w:t>
            </w:r>
          </w:p>
        </w:tc>
        <w:tc>
          <w:tcPr>
            <w:tcW w:w="2833" w:type="dxa"/>
            <w:vAlign w:val="center"/>
          </w:tcPr>
          <w:p w14:paraId="58D73320">
            <w:pPr>
              <w:rPr>
                <w:rFonts w:ascii="宋体" w:hAnsi="宋体" w:cs="宋体"/>
                <w:sz w:val="24"/>
                <w:szCs w:val="24"/>
              </w:rPr>
            </w:pPr>
            <w:r>
              <w:rPr>
                <w:rFonts w:hint="eastAsia" w:ascii="宋体" w:hAnsi="宋体"/>
                <w:sz w:val="24"/>
                <w:szCs w:val="24"/>
              </w:rPr>
              <w:t>该项目的所属行业</w:t>
            </w:r>
          </w:p>
        </w:tc>
        <w:tc>
          <w:tcPr>
            <w:tcW w:w="6519" w:type="dxa"/>
            <w:vAlign w:val="center"/>
          </w:tcPr>
          <w:p w14:paraId="7F88D0D1">
            <w:pPr>
              <w:rPr>
                <w:rFonts w:ascii="宋体" w:hAnsi="宋体" w:cs="宋体"/>
                <w:sz w:val="24"/>
                <w:szCs w:val="24"/>
              </w:rPr>
            </w:pPr>
            <w:r>
              <w:rPr>
                <w:rFonts w:hint="eastAsia" w:ascii="宋体" w:hAnsi="宋体" w:cs="宋体"/>
                <w:sz w:val="24"/>
                <w:szCs w:val="24"/>
              </w:rPr>
              <w:t>其他未列明行业</w:t>
            </w:r>
          </w:p>
        </w:tc>
      </w:tr>
    </w:tbl>
    <w:p w14:paraId="0B0989A3">
      <w:pPr>
        <w:pStyle w:val="25"/>
        <w:rPr>
          <w:rFonts w:hAnsi="宋体" w:cs="宋体"/>
        </w:rPr>
      </w:pPr>
    </w:p>
    <w:p w14:paraId="1116ECE7">
      <w:pPr>
        <w:pStyle w:val="96"/>
        <w:rPr>
          <w:rFonts w:hAnsi="宋体"/>
        </w:rPr>
      </w:pPr>
    </w:p>
    <w:p w14:paraId="09690BDD">
      <w:pPr>
        <w:pStyle w:val="96"/>
        <w:rPr>
          <w:rFonts w:hAnsi="宋体"/>
        </w:rPr>
      </w:pPr>
    </w:p>
    <w:p w14:paraId="58CF59BF">
      <w:pPr>
        <w:pStyle w:val="96"/>
        <w:rPr>
          <w:rFonts w:hAnsi="宋体"/>
        </w:rPr>
      </w:pPr>
    </w:p>
    <w:p w14:paraId="07B00D65">
      <w:pPr>
        <w:pStyle w:val="96"/>
        <w:rPr>
          <w:rFonts w:hAnsi="宋体"/>
        </w:rPr>
      </w:pPr>
    </w:p>
    <w:p w14:paraId="17655216">
      <w:pPr>
        <w:pStyle w:val="96"/>
        <w:rPr>
          <w:rFonts w:hAnsi="宋体"/>
        </w:rPr>
      </w:pPr>
    </w:p>
    <w:p w14:paraId="3B33F669">
      <w:pPr>
        <w:pStyle w:val="96"/>
        <w:rPr>
          <w:rFonts w:hAnsi="宋体"/>
        </w:rPr>
      </w:pPr>
    </w:p>
    <w:p w14:paraId="2ADBFDBD">
      <w:pPr>
        <w:pStyle w:val="96"/>
        <w:rPr>
          <w:rFonts w:hAnsi="宋体"/>
        </w:rPr>
      </w:pPr>
    </w:p>
    <w:p w14:paraId="25CA4BD9">
      <w:pPr>
        <w:pStyle w:val="96"/>
        <w:rPr>
          <w:rFonts w:hAnsi="宋体"/>
        </w:rPr>
      </w:pPr>
    </w:p>
    <w:p w14:paraId="6DD2F429">
      <w:pPr>
        <w:pStyle w:val="96"/>
        <w:rPr>
          <w:rFonts w:hAnsi="宋体"/>
        </w:rPr>
      </w:pPr>
    </w:p>
    <w:p w14:paraId="314D78FE">
      <w:pPr>
        <w:pStyle w:val="96"/>
        <w:rPr>
          <w:rFonts w:hAnsi="宋体"/>
        </w:rPr>
      </w:pPr>
    </w:p>
    <w:p w14:paraId="12FB9535">
      <w:pPr>
        <w:pStyle w:val="96"/>
        <w:rPr>
          <w:rFonts w:hAnsi="宋体"/>
        </w:rPr>
      </w:pPr>
    </w:p>
    <w:p w14:paraId="48E76A48">
      <w:pPr>
        <w:pStyle w:val="96"/>
        <w:rPr>
          <w:rFonts w:hAnsi="宋体"/>
        </w:rPr>
      </w:pPr>
    </w:p>
    <w:p w14:paraId="13F791CB">
      <w:pPr>
        <w:pStyle w:val="96"/>
        <w:rPr>
          <w:rFonts w:hAnsi="宋体"/>
        </w:rPr>
      </w:pPr>
    </w:p>
    <w:p w14:paraId="57C54CA9">
      <w:pPr>
        <w:pStyle w:val="3"/>
        <w:numPr>
          <w:ilvl w:val="0"/>
          <w:numId w:val="17"/>
        </w:numPr>
        <w:spacing w:before="0" w:after="0" w:line="240" w:lineRule="auto"/>
        <w:ind w:firstLine="0"/>
        <w:rPr>
          <w:rFonts w:ascii="宋体" w:hAnsi="宋体" w:eastAsia="宋体" w:cs="宋体"/>
        </w:rPr>
      </w:pPr>
      <w:bookmarkStart w:id="38" w:name="_Hlt509650027"/>
      <w:bookmarkEnd w:id="38"/>
      <w:bookmarkStart w:id="39" w:name="_Hlt516969057"/>
      <w:bookmarkEnd w:id="39"/>
      <w:bookmarkStart w:id="40" w:name="_Hlt509650351"/>
      <w:bookmarkEnd w:id="40"/>
      <w:bookmarkStart w:id="41" w:name="_Hlt519045778"/>
      <w:bookmarkEnd w:id="41"/>
      <w:bookmarkStart w:id="42" w:name="_Toc26729"/>
      <w:bookmarkStart w:id="43" w:name="_Toc220232390"/>
      <w:bookmarkStart w:id="44" w:name="_Toc450_WPSOffice_Level1"/>
      <w:r>
        <w:rPr>
          <w:rFonts w:hint="eastAsia" w:ascii="宋体" w:hAnsi="宋体" w:eastAsia="宋体" w:cs="宋体"/>
        </w:rPr>
        <w:t>服务需求</w:t>
      </w:r>
      <w:bookmarkEnd w:id="42"/>
      <w:bookmarkEnd w:id="43"/>
      <w:bookmarkEnd w:id="44"/>
    </w:p>
    <w:p w14:paraId="64ED195F">
      <w:pPr>
        <w:spacing w:line="360" w:lineRule="auto"/>
        <w:ind w:firstLine="480" w:firstLineChars="200"/>
        <w:rPr>
          <w:rFonts w:ascii="宋体" w:hAnsi="宋体" w:cs="宋体"/>
          <w:sz w:val="24"/>
          <w:szCs w:val="28"/>
        </w:rPr>
      </w:pPr>
      <w:bookmarkStart w:id="45" w:name="_Hlt509716920"/>
      <w:bookmarkEnd w:id="45"/>
      <w:r>
        <w:rPr>
          <w:rFonts w:hint="eastAsia" w:ascii="宋体" w:hAnsi="宋体" w:cs="宋体"/>
          <w:sz w:val="24"/>
          <w:szCs w:val="28"/>
        </w:rPr>
        <w:t>前注：</w:t>
      </w:r>
    </w:p>
    <w:p w14:paraId="7BE7B28B">
      <w:pPr>
        <w:spacing w:line="360" w:lineRule="auto"/>
        <w:ind w:firstLine="480" w:firstLineChars="200"/>
        <w:rPr>
          <w:rFonts w:ascii="宋体" w:hAnsi="宋体" w:cs="宋体"/>
          <w:sz w:val="24"/>
          <w:szCs w:val="28"/>
        </w:rPr>
      </w:pPr>
      <w:r>
        <w:rPr>
          <w:rFonts w:hint="eastAsia" w:ascii="宋体" w:hAnsi="宋体" w:cs="宋体"/>
          <w:sz w:val="24"/>
          <w:szCs w:val="28"/>
        </w:rPr>
        <w:t>1）本需求中提出的技术方案仅为参考，如无明确限制，投标人可以进行优化，提供满足用户实际需要的更优（或者性能实质上不低于的）</w:t>
      </w:r>
      <w:r>
        <w:rPr>
          <w:rFonts w:hint="eastAsia" w:ascii="宋体" w:hAnsi="宋体" w:cs="宋体"/>
          <w:sz w:val="24"/>
          <w:szCs w:val="24"/>
        </w:rPr>
        <w:t>技术方案或者设备配置，且此方案或配置须经评委会审核认可；</w:t>
      </w:r>
      <w:r>
        <w:rPr>
          <w:rFonts w:hint="eastAsia" w:ascii="宋体" w:hAnsi="宋体" w:cs="宋体"/>
          <w:sz w:val="24"/>
          <w:szCs w:val="24"/>
        </w:rPr>
        <w:cr/>
      </w:r>
      <w:r>
        <w:rPr>
          <w:rFonts w:hint="eastAsia" w:ascii="宋体" w:hAnsi="宋体" w:cs="宋体"/>
          <w:sz w:val="24"/>
          <w:szCs w:val="24"/>
        </w:rPr>
        <w:t xml:space="preserve">    2）为鼓励不同品牌的充分竞争，如某设备的某技术参数或要求属于个别品牌专有，则该技术参数及要求不具有限制性，投标人可对该参数或要求进行适当调整，并应当说明调整的理由，且此调整须经评委会审核认可；</w:t>
      </w:r>
    </w:p>
    <w:p w14:paraId="4A495275">
      <w:pPr>
        <w:spacing w:line="360" w:lineRule="auto"/>
        <w:ind w:firstLine="480" w:firstLineChars="200"/>
        <w:rPr>
          <w:rFonts w:ascii="宋体" w:hAnsi="宋体" w:cs="宋体"/>
          <w:sz w:val="24"/>
          <w:szCs w:val="28"/>
        </w:rPr>
      </w:pPr>
      <w:r>
        <w:rPr>
          <w:rFonts w:hint="eastAsia" w:ascii="宋体" w:hAnsi="宋体" w:cs="宋体"/>
          <w:sz w:val="24"/>
          <w:szCs w:val="28"/>
        </w:rPr>
        <w:t>3）为有助于投标人选择投标产品，项目需求中提供了推荐品牌（或型号）、参考品牌（或型号）等，但这些品牌（或型号）仅供参考，并无限制性。投标人可以选择性能不低于推荐（或参考）的品牌（或型号）的其他品牌产品，但投标时应当提供有关技术证明资料，未提供的可能导致投标无效；</w:t>
      </w:r>
      <w:r>
        <w:rPr>
          <w:rFonts w:hint="eastAsia" w:ascii="宋体" w:hAnsi="宋体" w:cs="宋体"/>
          <w:sz w:val="24"/>
          <w:szCs w:val="28"/>
        </w:rPr>
        <w:cr/>
      </w:r>
      <w:r>
        <w:rPr>
          <w:rFonts w:hint="eastAsia" w:ascii="宋体" w:hAnsi="宋体" w:cs="宋体"/>
          <w:sz w:val="24"/>
          <w:szCs w:val="28"/>
        </w:rPr>
        <w:t xml:space="preserve">    4）投标人应当在投标文件中列出完成本项目并通过验收所需的所有各项服务等明细表及全部费用。中标人必须保证整体通过用户方及有关主管部门验收,所发生的验收费用由中标人承担；投标人应自行踏勘现场，如投标人因未及时踏勘现场而导致的报价缺项漏项废标、或中标后无法完工，投标人自行承担一切后果；</w:t>
      </w:r>
      <w:r>
        <w:rPr>
          <w:rFonts w:hint="eastAsia" w:ascii="宋体" w:hAnsi="宋体" w:cs="宋体"/>
          <w:sz w:val="24"/>
          <w:szCs w:val="28"/>
        </w:rPr>
        <w:cr/>
      </w:r>
      <w:r>
        <w:rPr>
          <w:rFonts w:hint="eastAsia" w:ascii="宋体" w:hAnsi="宋体" w:cs="宋体"/>
          <w:sz w:val="24"/>
          <w:szCs w:val="28"/>
        </w:rPr>
        <w:t xml:space="preserve">    5）如对本招标文件有任何疑问或澄清要求，请按本招标文件“投标人须知前附表”中约定联系采购人，或接受答疑截止时间前联系采购人。否则视同理解和接受</w:t>
      </w:r>
      <w:bookmarkStart w:id="46" w:name="_Toc6821_WPSOffice_Level2"/>
      <w:r>
        <w:rPr>
          <w:rFonts w:hint="eastAsia" w:ascii="宋体" w:hAnsi="宋体" w:cs="宋体"/>
          <w:sz w:val="24"/>
          <w:szCs w:val="28"/>
        </w:rPr>
        <w:t>；</w:t>
      </w:r>
    </w:p>
    <w:p w14:paraId="7A85E890">
      <w:pPr>
        <w:spacing w:line="360" w:lineRule="auto"/>
        <w:ind w:firstLine="480" w:firstLineChars="200"/>
        <w:rPr>
          <w:rFonts w:ascii="宋体" w:hAnsi="宋体" w:cs="宋体"/>
          <w:sz w:val="24"/>
          <w:szCs w:val="28"/>
        </w:rPr>
      </w:pPr>
      <w:r>
        <w:rPr>
          <w:rFonts w:hint="eastAsia" w:ascii="宋体" w:hAnsi="宋体" w:cs="宋体"/>
          <w:sz w:val="24"/>
          <w:szCs w:val="28"/>
        </w:rPr>
        <w:t>6）本项目鼓励民营企业参与。</w:t>
      </w:r>
    </w:p>
    <w:p w14:paraId="496FC6EC">
      <w:pPr>
        <w:spacing w:line="360" w:lineRule="auto"/>
        <w:ind w:firstLine="643" w:firstLineChars="200"/>
        <w:rPr>
          <w:rFonts w:ascii="宋体" w:hAnsi="宋体" w:cs="宋体"/>
          <w:b/>
          <w:sz w:val="32"/>
          <w:szCs w:val="32"/>
        </w:rPr>
      </w:pPr>
    </w:p>
    <w:p w14:paraId="3EBD8218">
      <w:pPr>
        <w:spacing w:line="360" w:lineRule="auto"/>
        <w:ind w:firstLine="643" w:firstLineChars="200"/>
        <w:rPr>
          <w:rFonts w:ascii="宋体" w:hAnsi="宋体" w:cs="宋体"/>
          <w:b/>
          <w:sz w:val="32"/>
          <w:szCs w:val="32"/>
        </w:rPr>
      </w:pPr>
    </w:p>
    <w:p w14:paraId="3B43D453">
      <w:pPr>
        <w:spacing w:line="360" w:lineRule="auto"/>
        <w:ind w:firstLine="643" w:firstLineChars="200"/>
        <w:rPr>
          <w:rFonts w:ascii="宋体" w:hAnsi="宋体" w:cs="宋体"/>
          <w:b/>
          <w:sz w:val="32"/>
          <w:szCs w:val="32"/>
        </w:rPr>
      </w:pPr>
    </w:p>
    <w:bookmarkEnd w:id="46"/>
    <w:p w14:paraId="36221CFA">
      <w:pPr>
        <w:jc w:val="left"/>
        <w:rPr>
          <w:rFonts w:ascii="宋体" w:hAnsi="宋体" w:cs="宋体"/>
        </w:rPr>
        <w:sectPr>
          <w:pgSz w:w="11906" w:h="16838"/>
          <w:pgMar w:top="1440" w:right="1758" w:bottom="1440" w:left="1758" w:header="851" w:footer="992" w:gutter="0"/>
          <w:cols w:space="720" w:num="1"/>
          <w:docGrid w:linePitch="312" w:charSpace="0"/>
        </w:sectPr>
      </w:pPr>
    </w:p>
    <w:p w14:paraId="41B8F4C8">
      <w:pPr>
        <w:pStyle w:val="80"/>
        <w:snapToGrid w:val="0"/>
        <w:spacing w:line="360" w:lineRule="auto"/>
        <w:rPr>
          <w:rFonts w:ascii="宋体" w:hAnsi="宋体" w:cs="宋体"/>
          <w:b/>
          <w:bCs/>
          <w:sz w:val="24"/>
          <w:szCs w:val="28"/>
        </w:rPr>
      </w:pPr>
      <w:bookmarkStart w:id="47" w:name="_Toc21109"/>
      <w:bookmarkStart w:id="48" w:name="_Toc14806_WPSOffice_Level2"/>
      <w:r>
        <w:rPr>
          <w:rFonts w:hint="eastAsia" w:ascii="宋体" w:hAnsi="宋体" w:cs="宋体"/>
          <w:b/>
          <w:bCs/>
          <w:sz w:val="24"/>
          <w:szCs w:val="28"/>
        </w:rPr>
        <w:t>1.</w:t>
      </w:r>
      <w:r>
        <w:rPr>
          <w:rFonts w:ascii="宋体" w:hAnsi="宋体" w:cs="宋体"/>
          <w:b/>
          <w:bCs/>
          <w:sz w:val="24"/>
          <w:szCs w:val="28"/>
        </w:rPr>
        <w:t>项目</w:t>
      </w:r>
      <w:bookmarkEnd w:id="47"/>
      <w:r>
        <w:rPr>
          <w:rFonts w:ascii="宋体" w:hAnsi="宋体" w:cs="宋体"/>
          <w:b/>
          <w:bCs/>
          <w:sz w:val="24"/>
          <w:szCs w:val="28"/>
        </w:rPr>
        <w:t>名称</w:t>
      </w:r>
    </w:p>
    <w:p w14:paraId="7858234B">
      <w:pPr>
        <w:pStyle w:val="80"/>
        <w:snapToGrid w:val="0"/>
        <w:spacing w:line="360" w:lineRule="auto"/>
        <w:ind w:firstLine="480" w:firstLineChars="200"/>
        <w:rPr>
          <w:rFonts w:ascii="宋体" w:hAnsi="宋体" w:cs="宋体"/>
          <w:sz w:val="24"/>
          <w:szCs w:val="28"/>
        </w:rPr>
      </w:pPr>
      <w:r>
        <w:rPr>
          <w:rFonts w:hint="eastAsia" w:ascii="宋体" w:hAnsi="宋体" w:cs="宋体"/>
          <w:sz w:val="24"/>
          <w:szCs w:val="28"/>
        </w:rPr>
        <w:t>沈丘县水利局</w:t>
      </w:r>
      <w:r>
        <w:rPr>
          <w:rFonts w:ascii="宋体" w:hAnsi="宋体" w:cs="宋体"/>
          <w:sz w:val="24"/>
          <w:szCs w:val="28"/>
        </w:rPr>
        <w:t>沈丘县全域供水特许经营项目</w:t>
      </w:r>
      <w:r>
        <w:rPr>
          <w:rFonts w:hint="eastAsia" w:ascii="宋体" w:hAnsi="宋体" w:cs="宋体"/>
          <w:sz w:val="24"/>
          <w:szCs w:val="28"/>
        </w:rPr>
        <w:t>（</w:t>
      </w:r>
      <w:r>
        <w:rPr>
          <w:rFonts w:ascii="宋体" w:hAnsi="宋体" w:cs="宋体"/>
          <w:sz w:val="24"/>
          <w:szCs w:val="28"/>
        </w:rPr>
        <w:t>以下简称</w:t>
      </w:r>
      <w:r>
        <w:rPr>
          <w:rFonts w:hint="eastAsia" w:ascii="宋体" w:hAnsi="宋体" w:cs="宋体"/>
          <w:sz w:val="24"/>
          <w:szCs w:val="28"/>
        </w:rPr>
        <w:t>“</w:t>
      </w:r>
      <w:r>
        <w:rPr>
          <w:rFonts w:ascii="宋体" w:hAnsi="宋体" w:cs="宋体"/>
          <w:sz w:val="24"/>
          <w:szCs w:val="28"/>
        </w:rPr>
        <w:t>项目</w:t>
      </w:r>
      <w:r>
        <w:rPr>
          <w:rFonts w:hint="eastAsia" w:ascii="宋体" w:hAnsi="宋体" w:cs="宋体"/>
          <w:sz w:val="24"/>
          <w:szCs w:val="28"/>
        </w:rPr>
        <w:t>”</w:t>
      </w:r>
      <w:r>
        <w:rPr>
          <w:rFonts w:ascii="宋体" w:hAnsi="宋体" w:cs="宋体"/>
          <w:sz w:val="24"/>
          <w:szCs w:val="28"/>
        </w:rPr>
        <w:t>或</w:t>
      </w:r>
      <w:r>
        <w:rPr>
          <w:rFonts w:hint="eastAsia" w:ascii="宋体" w:hAnsi="宋体" w:cs="宋体"/>
          <w:sz w:val="24"/>
          <w:szCs w:val="28"/>
        </w:rPr>
        <w:t>“</w:t>
      </w:r>
      <w:r>
        <w:rPr>
          <w:rFonts w:ascii="宋体" w:hAnsi="宋体" w:cs="宋体"/>
          <w:sz w:val="24"/>
          <w:szCs w:val="28"/>
        </w:rPr>
        <w:t>本项目</w:t>
      </w:r>
      <w:r>
        <w:rPr>
          <w:rFonts w:hint="eastAsia" w:ascii="宋体" w:hAnsi="宋体" w:cs="宋体"/>
          <w:sz w:val="24"/>
          <w:szCs w:val="28"/>
        </w:rPr>
        <w:t>”）</w:t>
      </w:r>
    </w:p>
    <w:p w14:paraId="2DC2829C">
      <w:pPr>
        <w:pStyle w:val="80"/>
        <w:snapToGrid w:val="0"/>
        <w:spacing w:line="360" w:lineRule="auto"/>
        <w:rPr>
          <w:rFonts w:ascii="宋体" w:hAnsi="宋体" w:cs="宋体"/>
          <w:b/>
          <w:bCs/>
          <w:sz w:val="24"/>
          <w:szCs w:val="28"/>
        </w:rPr>
      </w:pPr>
      <w:r>
        <w:rPr>
          <w:rFonts w:hint="eastAsia" w:ascii="宋体" w:hAnsi="宋体" w:cs="宋体"/>
          <w:b/>
          <w:bCs/>
          <w:sz w:val="24"/>
          <w:szCs w:val="28"/>
        </w:rPr>
        <w:t>2.</w:t>
      </w:r>
      <w:r>
        <w:rPr>
          <w:rFonts w:ascii="宋体" w:hAnsi="宋体" w:cs="宋体"/>
          <w:b/>
          <w:bCs/>
          <w:sz w:val="24"/>
          <w:szCs w:val="28"/>
        </w:rPr>
        <w:t>存量资产内容</w:t>
      </w:r>
    </w:p>
    <w:p w14:paraId="4F32310F">
      <w:pPr>
        <w:pStyle w:val="80"/>
        <w:snapToGrid w:val="0"/>
        <w:spacing w:line="360" w:lineRule="auto"/>
        <w:ind w:firstLine="480" w:firstLineChars="200"/>
        <w:rPr>
          <w:rFonts w:ascii="宋体" w:hAnsi="宋体" w:cs="宋体"/>
          <w:sz w:val="24"/>
          <w:szCs w:val="28"/>
        </w:rPr>
      </w:pPr>
      <w:r>
        <w:rPr>
          <w:rFonts w:ascii="宋体" w:hAnsi="宋体" w:cs="宋体"/>
          <w:sz w:val="24"/>
          <w:szCs w:val="28"/>
        </w:rPr>
        <w:t>本项目供水特许经营权授权范围内存量资产内容主要为沈丘县</w:t>
      </w:r>
      <w:r>
        <w:rPr>
          <w:rFonts w:hint="eastAsia" w:ascii="宋体" w:hAnsi="宋体" w:cs="宋体"/>
          <w:sz w:val="24"/>
          <w:szCs w:val="28"/>
        </w:rPr>
        <w:t>南水北调水厂</w:t>
      </w:r>
      <w:r>
        <w:rPr>
          <w:rFonts w:ascii="宋体" w:hAnsi="宋体" w:cs="宋体"/>
          <w:sz w:val="24"/>
          <w:szCs w:val="28"/>
        </w:rPr>
        <w:t>出厂流量计</w:t>
      </w:r>
      <w:r>
        <w:rPr>
          <w:rFonts w:hint="eastAsia" w:ascii="宋体" w:hAnsi="宋体" w:cs="宋体"/>
          <w:sz w:val="24"/>
          <w:szCs w:val="28"/>
        </w:rPr>
        <w:t>（不含出厂流量计）</w:t>
      </w:r>
      <w:r>
        <w:rPr>
          <w:rFonts w:ascii="宋体" w:hAnsi="宋体" w:cs="宋体"/>
          <w:sz w:val="24"/>
          <w:szCs w:val="28"/>
        </w:rPr>
        <w:t>至</w:t>
      </w:r>
      <w:r>
        <w:rPr>
          <w:rFonts w:hint="eastAsia" w:ascii="宋体" w:hAnsi="宋体" w:cs="宋体"/>
          <w:sz w:val="24"/>
          <w:szCs w:val="28"/>
        </w:rPr>
        <w:t>城区</w:t>
      </w:r>
      <w:r>
        <w:rPr>
          <w:rFonts w:ascii="宋体" w:hAnsi="宋体" w:cs="宋体"/>
          <w:sz w:val="24"/>
          <w:szCs w:val="28"/>
        </w:rPr>
        <w:t>用户终端的管道及沟槽等</w:t>
      </w:r>
      <w:r>
        <w:rPr>
          <w:rFonts w:hint="eastAsia" w:ascii="宋体" w:hAnsi="宋体" w:cs="宋体"/>
          <w:sz w:val="24"/>
          <w:szCs w:val="28"/>
        </w:rPr>
        <w:t>；城乡供水一体化水厂出厂流量计（不含出厂流量计）至</w:t>
      </w:r>
      <w:r>
        <w:rPr>
          <w:rFonts w:ascii="宋体" w:hAnsi="宋体" w:cs="宋体"/>
          <w:sz w:val="24"/>
          <w:szCs w:val="28"/>
        </w:rPr>
        <w:t>乡镇</w:t>
      </w:r>
      <w:r>
        <w:rPr>
          <w:rFonts w:hint="eastAsia" w:ascii="宋体" w:hAnsi="宋体" w:cs="宋体"/>
          <w:sz w:val="24"/>
          <w:szCs w:val="28"/>
        </w:rPr>
        <w:t>20座</w:t>
      </w:r>
      <w:r>
        <w:rPr>
          <w:rFonts w:ascii="宋体" w:hAnsi="宋体" w:cs="宋体"/>
          <w:sz w:val="24"/>
          <w:szCs w:val="28"/>
        </w:rPr>
        <w:t>水厂</w:t>
      </w:r>
      <w:r>
        <w:rPr>
          <w:rFonts w:hint="eastAsia" w:ascii="宋体" w:hAnsi="宋体" w:cs="宋体"/>
          <w:sz w:val="24"/>
          <w:szCs w:val="28"/>
        </w:rPr>
        <w:t>站出厂流量计</w:t>
      </w:r>
      <w:r>
        <w:rPr>
          <w:rFonts w:ascii="宋体" w:hAnsi="宋体" w:cs="宋体"/>
          <w:sz w:val="24"/>
          <w:szCs w:val="28"/>
        </w:rPr>
        <w:t>的</w:t>
      </w:r>
      <w:r>
        <w:rPr>
          <w:rFonts w:hint="eastAsia" w:ascii="宋体" w:hAnsi="宋体" w:cs="宋体"/>
          <w:sz w:val="24"/>
          <w:szCs w:val="28"/>
        </w:rPr>
        <w:t>输水管网、建构筑物及其他辅助设施、</w:t>
      </w:r>
      <w:r>
        <w:rPr>
          <w:rFonts w:ascii="宋体" w:hAnsi="宋体" w:cs="宋体"/>
          <w:sz w:val="24"/>
          <w:szCs w:val="28"/>
        </w:rPr>
        <w:t>机器设备等，截止评估基准日，该部分资产均正常使用。</w:t>
      </w:r>
      <w:r>
        <w:rPr>
          <w:rFonts w:hint="eastAsia" w:ascii="宋体" w:hAnsi="宋体" w:cs="宋体"/>
          <w:sz w:val="24"/>
          <w:szCs w:val="28"/>
        </w:rPr>
        <w:t>存量资产主要为：</w:t>
      </w:r>
    </w:p>
    <w:p w14:paraId="33250C38">
      <w:pPr>
        <w:pStyle w:val="80"/>
        <w:snapToGrid w:val="0"/>
        <w:spacing w:line="360" w:lineRule="auto"/>
        <w:ind w:firstLine="480" w:firstLineChars="200"/>
        <w:rPr>
          <w:rFonts w:ascii="宋体" w:hAnsi="宋体" w:cs="宋体"/>
          <w:sz w:val="24"/>
          <w:szCs w:val="28"/>
        </w:rPr>
      </w:pPr>
      <w:r>
        <w:rPr>
          <w:rFonts w:hint="eastAsia" w:ascii="宋体" w:hAnsi="宋体" w:cs="宋体"/>
          <w:sz w:val="24"/>
          <w:szCs w:val="28"/>
        </w:rPr>
        <w:t>（1）城区管道及沟槽</w:t>
      </w:r>
    </w:p>
    <w:p w14:paraId="58666419">
      <w:pPr>
        <w:pStyle w:val="80"/>
        <w:snapToGrid w:val="0"/>
        <w:spacing w:line="360" w:lineRule="auto"/>
        <w:ind w:firstLine="480" w:firstLineChars="200"/>
        <w:rPr>
          <w:rFonts w:ascii="宋体" w:hAnsi="宋体" w:cs="宋体"/>
          <w:sz w:val="24"/>
          <w:szCs w:val="28"/>
        </w:rPr>
      </w:pPr>
      <w:r>
        <w:rPr>
          <w:rFonts w:hint="eastAsia" w:ascii="宋体" w:hAnsi="宋体" w:cs="宋体"/>
          <w:sz w:val="24"/>
          <w:szCs w:val="28"/>
        </w:rPr>
        <w:t>城区主要为颖水路、建设路、吉祥路、兆丰大道、华佗路、纬三路、S211、人民大道、长安东路、经一街、站前大道、纬一路、经二街、经三街、建设路东、肖洼路口、东村楼、泰安路、阳光路、东环路、纬二路、泰安西路、颍河大道、兆丰大道路西、泰安东路、丙申路、文化路、西环路、新安街、新华街、新华北街、尚德路、交通西路、滨河西路、长安路、长征路、永安路、华佗西路、颍河大道南、长安西路、交通路、丙申中路、丙申西路、滨河东路、金光路、群贤路、颖水线、富康线A、富康线B、和谐路、泰富线、兴旺线、昌盛线、聚鑫线、永安线、省乡线、西环线、吉祥线、华富线、兆丰线、北东线、人民线、长富线、乡道线、华佗西线、西铁线、迎宾线、迎村线、S102、滨河线、兆丰南线、高铁线路段、主管网至高营供水站、陈口供水站、王庄供水站、范营供水站、西孙楼供水站、大辛营供水站、滕营供水站、高门供水站、大王楼供水站、张庄供水站、小辛营供水站、王营供水站的约217.89km供水管道及沟槽等。</w:t>
      </w:r>
    </w:p>
    <w:p w14:paraId="0EBEA7AA">
      <w:pPr>
        <w:pStyle w:val="80"/>
        <w:snapToGrid w:val="0"/>
        <w:spacing w:line="360" w:lineRule="auto"/>
        <w:ind w:firstLine="480" w:firstLineChars="200"/>
        <w:rPr>
          <w:rFonts w:ascii="宋体" w:hAnsi="宋体" w:cs="宋体"/>
          <w:sz w:val="24"/>
          <w:szCs w:val="28"/>
        </w:rPr>
      </w:pPr>
      <w:r>
        <w:rPr>
          <w:rFonts w:hint="eastAsia" w:ascii="宋体" w:hAnsi="宋体" w:cs="宋体"/>
          <w:sz w:val="24"/>
          <w:szCs w:val="28"/>
        </w:rPr>
        <w:t>（2）城乡一体化水厂至乡镇20座水厂站的输水管网</w:t>
      </w:r>
    </w:p>
    <w:p w14:paraId="47A13F06">
      <w:pPr>
        <w:pStyle w:val="80"/>
        <w:snapToGrid w:val="0"/>
        <w:spacing w:line="360" w:lineRule="auto"/>
        <w:ind w:firstLine="480" w:firstLineChars="200"/>
        <w:rPr>
          <w:rFonts w:ascii="宋体" w:hAnsi="宋体" w:cs="宋体"/>
          <w:sz w:val="24"/>
          <w:szCs w:val="28"/>
        </w:rPr>
      </w:pPr>
      <w:r>
        <w:rPr>
          <w:rFonts w:hint="eastAsia" w:ascii="宋体" w:hAnsi="宋体" w:cs="宋体"/>
          <w:sz w:val="24"/>
          <w:szCs w:val="28"/>
        </w:rPr>
        <w:t>地表水厂至乡镇20座水厂站的输水管网主要为沙颍河北片区主管道、白集支线、卞路口支线、新安集支线、北杨集支线、洪山支线、纸店支线、沙颍河南片区主管道、莲池支线、付井支线、石槽支线、周营支线、赵德营支线、范营支线、冯营支线、大邢庄支线、老城支线、留福支线、刘庄店支线、李老庄支线，总长约158.09km。</w:t>
      </w:r>
    </w:p>
    <w:p w14:paraId="27ABA698">
      <w:pPr>
        <w:pStyle w:val="80"/>
        <w:snapToGrid w:val="0"/>
        <w:spacing w:line="360" w:lineRule="auto"/>
        <w:ind w:firstLine="480" w:firstLineChars="200"/>
        <w:rPr>
          <w:rFonts w:ascii="宋体" w:hAnsi="宋体" w:cs="宋体"/>
          <w:sz w:val="24"/>
          <w:szCs w:val="28"/>
        </w:rPr>
      </w:pPr>
      <w:r>
        <w:rPr>
          <w:rFonts w:hint="eastAsia" w:ascii="宋体" w:hAnsi="宋体" w:cs="宋体"/>
          <w:sz w:val="24"/>
          <w:szCs w:val="28"/>
        </w:rPr>
        <w:t>（3）乡镇供水厂站建构筑物及其他辅助设施</w:t>
      </w:r>
    </w:p>
    <w:p w14:paraId="18CB8340">
      <w:pPr>
        <w:pStyle w:val="80"/>
        <w:snapToGrid w:val="0"/>
        <w:spacing w:line="360" w:lineRule="auto"/>
        <w:ind w:firstLine="480" w:firstLineChars="200"/>
        <w:rPr>
          <w:rFonts w:ascii="宋体" w:hAnsi="宋体" w:cs="宋体"/>
          <w:sz w:val="24"/>
          <w:szCs w:val="28"/>
        </w:rPr>
      </w:pPr>
      <w:r>
        <w:rPr>
          <w:rFonts w:hint="eastAsia" w:ascii="宋体" w:hAnsi="宋体" w:cs="宋体"/>
          <w:sz w:val="24"/>
          <w:szCs w:val="28"/>
        </w:rPr>
        <w:t>沈丘县乡镇供水厂站共20座，分别为付井水厂、大邢庄水厂、北杨集水厂、冯营水厂、老城水厂、李老庄水厂、卞路口水厂、白集水厂、周营水厂、新安集水厂、纸店水厂、洪山水厂、石槽水厂、赵德营水厂、范营水厂、刘庄店水厂、留福水厂、莲池镇供水站（3座）水厂建构筑物及进水管网分别为办公及生活用房、库房、发电机房、井房、泵房、水源井等。</w:t>
      </w:r>
    </w:p>
    <w:p w14:paraId="5254DDD9">
      <w:pPr>
        <w:pStyle w:val="80"/>
        <w:snapToGrid w:val="0"/>
        <w:spacing w:line="360" w:lineRule="auto"/>
        <w:ind w:firstLine="480" w:firstLineChars="200"/>
        <w:rPr>
          <w:rFonts w:ascii="宋体" w:hAnsi="宋体" w:cs="宋体"/>
          <w:sz w:val="24"/>
          <w:szCs w:val="28"/>
        </w:rPr>
      </w:pPr>
      <w:r>
        <w:rPr>
          <w:rFonts w:hint="eastAsia" w:ascii="宋体" w:hAnsi="宋体" w:cs="宋体"/>
          <w:sz w:val="24"/>
          <w:szCs w:val="28"/>
        </w:rPr>
        <w:t>（4）乡镇供水机器设备</w:t>
      </w:r>
    </w:p>
    <w:p w14:paraId="56928420">
      <w:pPr>
        <w:pStyle w:val="80"/>
        <w:snapToGrid w:val="0"/>
        <w:spacing w:line="360" w:lineRule="auto"/>
        <w:ind w:firstLine="480" w:firstLineChars="200"/>
        <w:rPr>
          <w:rFonts w:ascii="宋体" w:hAnsi="宋体" w:cs="宋体"/>
          <w:sz w:val="24"/>
          <w:szCs w:val="28"/>
        </w:rPr>
      </w:pPr>
      <w:r>
        <w:rPr>
          <w:rFonts w:hint="eastAsia" w:ascii="宋体" w:hAnsi="宋体" w:cs="宋体"/>
          <w:sz w:val="24"/>
          <w:szCs w:val="28"/>
        </w:rPr>
        <w:t>主要为20座水厂站供水相关的管道增压泵、次氯酸钠发生器、配电柜、水质分析仪、监控、一体化加压泵站等。</w:t>
      </w:r>
    </w:p>
    <w:p w14:paraId="1C848F57">
      <w:pPr>
        <w:pStyle w:val="80"/>
        <w:snapToGrid w:val="0"/>
        <w:spacing w:line="360" w:lineRule="auto"/>
        <w:jc w:val="center"/>
        <w:rPr>
          <w:rFonts w:ascii="宋体" w:hAnsi="宋体" w:cs="宋体"/>
          <w:b/>
          <w:bCs/>
          <w:sz w:val="24"/>
          <w:szCs w:val="28"/>
        </w:rPr>
      </w:pPr>
      <w:r>
        <w:rPr>
          <w:rFonts w:ascii="宋体" w:hAnsi="宋体" w:cs="宋体"/>
          <w:b/>
          <w:bCs/>
          <w:sz w:val="24"/>
          <w:szCs w:val="28"/>
        </w:rPr>
        <w:t>存量资产基本信息汇总表</w:t>
      </w:r>
    </w:p>
    <w:tbl>
      <w:tblPr>
        <w:tblStyle w:val="7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0"/>
        <w:gridCol w:w="1455"/>
        <w:gridCol w:w="1027"/>
        <w:gridCol w:w="1391"/>
        <w:gridCol w:w="4424"/>
      </w:tblGrid>
      <w:tr w14:paraId="7669D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0" w:type="dxa"/>
            <w:vAlign w:val="center"/>
          </w:tcPr>
          <w:p w14:paraId="414C2D2B">
            <w:pPr>
              <w:pStyle w:val="80"/>
              <w:snapToGrid w:val="0"/>
              <w:spacing w:line="360" w:lineRule="auto"/>
              <w:jc w:val="center"/>
              <w:rPr>
                <w:rFonts w:ascii="宋体" w:hAnsi="宋体" w:cs="宋体"/>
                <w:sz w:val="24"/>
                <w:szCs w:val="28"/>
              </w:rPr>
            </w:pPr>
            <w:r>
              <w:rPr>
                <w:rFonts w:hint="eastAsia" w:ascii="宋体" w:hAnsi="宋体" w:cs="宋体"/>
                <w:sz w:val="24"/>
                <w:szCs w:val="28"/>
              </w:rPr>
              <w:t>序号</w:t>
            </w:r>
          </w:p>
        </w:tc>
        <w:tc>
          <w:tcPr>
            <w:tcW w:w="1455" w:type="dxa"/>
            <w:vAlign w:val="center"/>
          </w:tcPr>
          <w:p w14:paraId="5A4ABCBF">
            <w:pPr>
              <w:pStyle w:val="80"/>
              <w:snapToGrid w:val="0"/>
              <w:spacing w:line="360" w:lineRule="auto"/>
              <w:jc w:val="center"/>
              <w:rPr>
                <w:rFonts w:ascii="宋体" w:hAnsi="宋体" w:cs="宋体"/>
                <w:sz w:val="24"/>
                <w:szCs w:val="28"/>
              </w:rPr>
            </w:pPr>
            <w:r>
              <w:rPr>
                <w:rFonts w:ascii="宋体" w:hAnsi="宋体" w:cs="宋体"/>
                <w:sz w:val="24"/>
                <w:szCs w:val="28"/>
              </w:rPr>
              <w:t>资产</w:t>
            </w:r>
          </w:p>
          <w:p w14:paraId="3987CBCA">
            <w:pPr>
              <w:pStyle w:val="80"/>
              <w:snapToGrid w:val="0"/>
              <w:spacing w:line="360" w:lineRule="auto"/>
              <w:jc w:val="center"/>
              <w:rPr>
                <w:rFonts w:ascii="宋体" w:hAnsi="宋体" w:cs="宋体"/>
                <w:sz w:val="24"/>
                <w:szCs w:val="28"/>
              </w:rPr>
            </w:pPr>
            <w:r>
              <w:rPr>
                <w:rFonts w:ascii="宋体" w:hAnsi="宋体" w:cs="宋体"/>
                <w:sz w:val="24"/>
                <w:szCs w:val="28"/>
              </w:rPr>
              <w:t>类别</w:t>
            </w:r>
          </w:p>
        </w:tc>
        <w:tc>
          <w:tcPr>
            <w:tcW w:w="1027" w:type="dxa"/>
            <w:vAlign w:val="center"/>
          </w:tcPr>
          <w:p w14:paraId="25DC1BD3">
            <w:pPr>
              <w:pStyle w:val="80"/>
              <w:snapToGrid w:val="0"/>
              <w:spacing w:line="360" w:lineRule="auto"/>
              <w:jc w:val="center"/>
              <w:rPr>
                <w:rFonts w:ascii="宋体" w:hAnsi="宋体" w:cs="宋体"/>
                <w:sz w:val="24"/>
                <w:szCs w:val="28"/>
              </w:rPr>
            </w:pPr>
            <w:r>
              <w:rPr>
                <w:rFonts w:ascii="宋体" w:hAnsi="宋体" w:cs="宋体"/>
                <w:sz w:val="24"/>
                <w:szCs w:val="28"/>
              </w:rPr>
              <w:t>资产建成时间</w:t>
            </w:r>
          </w:p>
        </w:tc>
        <w:tc>
          <w:tcPr>
            <w:tcW w:w="1391" w:type="dxa"/>
            <w:vAlign w:val="center"/>
          </w:tcPr>
          <w:p w14:paraId="2222F545">
            <w:pPr>
              <w:pStyle w:val="80"/>
              <w:snapToGrid w:val="0"/>
              <w:spacing w:line="360" w:lineRule="auto"/>
              <w:jc w:val="center"/>
              <w:rPr>
                <w:rFonts w:ascii="宋体" w:hAnsi="宋体" w:cs="宋体"/>
                <w:sz w:val="24"/>
                <w:szCs w:val="28"/>
              </w:rPr>
            </w:pPr>
            <w:r>
              <w:rPr>
                <w:rFonts w:ascii="宋体" w:hAnsi="宋体" w:cs="宋体"/>
                <w:sz w:val="24"/>
                <w:szCs w:val="28"/>
              </w:rPr>
              <w:t>数量</w:t>
            </w:r>
          </w:p>
        </w:tc>
        <w:tc>
          <w:tcPr>
            <w:tcW w:w="4424" w:type="dxa"/>
            <w:vAlign w:val="center"/>
          </w:tcPr>
          <w:p w14:paraId="2F47AA95">
            <w:pPr>
              <w:pStyle w:val="80"/>
              <w:snapToGrid w:val="0"/>
              <w:spacing w:line="360" w:lineRule="auto"/>
              <w:jc w:val="center"/>
              <w:rPr>
                <w:rFonts w:ascii="宋体" w:hAnsi="宋体" w:cs="宋体"/>
                <w:sz w:val="24"/>
                <w:szCs w:val="28"/>
              </w:rPr>
            </w:pPr>
            <w:r>
              <w:rPr>
                <w:rFonts w:hint="eastAsia" w:ascii="宋体" w:hAnsi="宋体" w:cs="宋体"/>
                <w:sz w:val="24"/>
                <w:szCs w:val="28"/>
              </w:rPr>
              <w:t>存量资产说明</w:t>
            </w:r>
          </w:p>
        </w:tc>
      </w:tr>
      <w:tr w14:paraId="0BF06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0" w:type="dxa"/>
            <w:vAlign w:val="center"/>
          </w:tcPr>
          <w:p w14:paraId="058EB174">
            <w:pPr>
              <w:pStyle w:val="80"/>
              <w:snapToGrid w:val="0"/>
              <w:spacing w:line="360" w:lineRule="auto"/>
              <w:jc w:val="center"/>
              <w:rPr>
                <w:rFonts w:ascii="宋体" w:hAnsi="宋体" w:cs="宋体"/>
                <w:sz w:val="24"/>
                <w:szCs w:val="28"/>
              </w:rPr>
            </w:pPr>
            <w:r>
              <w:rPr>
                <w:rFonts w:hint="eastAsia" w:ascii="宋体" w:hAnsi="宋体" w:cs="宋体"/>
                <w:sz w:val="24"/>
                <w:szCs w:val="28"/>
              </w:rPr>
              <w:t>1</w:t>
            </w:r>
          </w:p>
        </w:tc>
        <w:tc>
          <w:tcPr>
            <w:tcW w:w="1455" w:type="dxa"/>
            <w:vAlign w:val="center"/>
          </w:tcPr>
          <w:p w14:paraId="53305446">
            <w:pPr>
              <w:pStyle w:val="80"/>
              <w:snapToGrid w:val="0"/>
              <w:spacing w:line="360" w:lineRule="auto"/>
              <w:jc w:val="center"/>
              <w:rPr>
                <w:rFonts w:ascii="宋体" w:hAnsi="宋体" w:cs="宋体"/>
                <w:sz w:val="24"/>
                <w:szCs w:val="28"/>
              </w:rPr>
            </w:pPr>
            <w:r>
              <w:rPr>
                <w:rFonts w:hint="eastAsia" w:ascii="宋体" w:hAnsi="宋体" w:cs="宋体"/>
                <w:sz w:val="24"/>
                <w:szCs w:val="28"/>
              </w:rPr>
              <w:t>城区供水</w:t>
            </w:r>
            <w:r>
              <w:rPr>
                <w:rFonts w:ascii="宋体" w:hAnsi="宋体" w:cs="宋体"/>
                <w:sz w:val="24"/>
                <w:szCs w:val="28"/>
              </w:rPr>
              <w:t>管道及沟槽</w:t>
            </w:r>
          </w:p>
        </w:tc>
        <w:tc>
          <w:tcPr>
            <w:tcW w:w="1027" w:type="dxa"/>
            <w:vAlign w:val="center"/>
          </w:tcPr>
          <w:p w14:paraId="14B4E4B1">
            <w:pPr>
              <w:pStyle w:val="80"/>
              <w:snapToGrid w:val="0"/>
              <w:spacing w:line="360" w:lineRule="auto"/>
              <w:jc w:val="center"/>
              <w:rPr>
                <w:rFonts w:ascii="宋体" w:hAnsi="宋体" w:cs="宋体"/>
                <w:sz w:val="24"/>
                <w:szCs w:val="28"/>
              </w:rPr>
            </w:pPr>
            <w:r>
              <w:rPr>
                <w:rFonts w:ascii="宋体" w:hAnsi="宋体" w:cs="宋体"/>
                <w:sz w:val="24"/>
                <w:szCs w:val="28"/>
              </w:rPr>
              <w:t>2005年-2024年</w:t>
            </w:r>
          </w:p>
        </w:tc>
        <w:tc>
          <w:tcPr>
            <w:tcW w:w="1391" w:type="dxa"/>
            <w:vAlign w:val="center"/>
          </w:tcPr>
          <w:p w14:paraId="00D8CAF9">
            <w:pPr>
              <w:pStyle w:val="80"/>
              <w:snapToGrid w:val="0"/>
              <w:spacing w:line="360" w:lineRule="auto"/>
              <w:jc w:val="center"/>
              <w:rPr>
                <w:rFonts w:ascii="宋体" w:hAnsi="宋体" w:cs="宋体"/>
                <w:sz w:val="24"/>
                <w:szCs w:val="28"/>
              </w:rPr>
            </w:pPr>
            <w:r>
              <w:rPr>
                <w:rFonts w:hint="eastAsia" w:ascii="宋体" w:hAnsi="宋体" w:cs="宋体"/>
                <w:sz w:val="24"/>
                <w:szCs w:val="28"/>
              </w:rPr>
              <w:t>约</w:t>
            </w:r>
            <w:r>
              <w:rPr>
                <w:rFonts w:ascii="宋体" w:hAnsi="宋体" w:cs="宋体"/>
                <w:sz w:val="24"/>
                <w:szCs w:val="28"/>
              </w:rPr>
              <w:t>217.89</w:t>
            </w:r>
            <w:r>
              <w:rPr>
                <w:rFonts w:hint="eastAsia" w:ascii="宋体" w:hAnsi="宋体" w:cs="宋体"/>
                <w:sz w:val="24"/>
                <w:szCs w:val="28"/>
              </w:rPr>
              <w:t>k</w:t>
            </w:r>
            <w:r>
              <w:rPr>
                <w:rFonts w:ascii="宋体" w:hAnsi="宋体" w:cs="宋体"/>
                <w:sz w:val="24"/>
                <w:szCs w:val="28"/>
              </w:rPr>
              <w:t>m</w:t>
            </w:r>
          </w:p>
        </w:tc>
        <w:tc>
          <w:tcPr>
            <w:tcW w:w="4424" w:type="dxa"/>
            <w:vAlign w:val="center"/>
          </w:tcPr>
          <w:p w14:paraId="091AC76A">
            <w:pPr>
              <w:pStyle w:val="80"/>
              <w:snapToGrid w:val="0"/>
              <w:spacing w:line="360" w:lineRule="auto"/>
              <w:jc w:val="center"/>
              <w:rPr>
                <w:rFonts w:ascii="宋体" w:hAnsi="宋体" w:cs="宋体"/>
                <w:sz w:val="24"/>
                <w:szCs w:val="28"/>
              </w:rPr>
            </w:pPr>
            <w:r>
              <w:rPr>
                <w:rFonts w:ascii="宋体" w:hAnsi="宋体" w:cs="宋体"/>
                <w:sz w:val="24"/>
                <w:szCs w:val="28"/>
              </w:rPr>
              <w:t>城区</w:t>
            </w:r>
            <w:r>
              <w:rPr>
                <w:rFonts w:hint="eastAsia" w:ascii="宋体" w:hAnsi="宋体" w:cs="宋体"/>
                <w:sz w:val="24"/>
                <w:szCs w:val="28"/>
              </w:rPr>
              <w:t>供水管道及沟槽中管道管径主要为</w:t>
            </w:r>
            <w:r>
              <w:rPr>
                <w:rFonts w:ascii="宋体" w:hAnsi="宋体" w:cs="宋体"/>
                <w:sz w:val="24"/>
                <w:szCs w:val="28"/>
              </w:rPr>
              <w:t>DN100-DN1500</w:t>
            </w:r>
            <w:r>
              <w:rPr>
                <w:rFonts w:hint="eastAsia" w:ascii="宋体" w:hAnsi="宋体" w:cs="宋体"/>
                <w:sz w:val="24"/>
                <w:szCs w:val="28"/>
              </w:rPr>
              <w:t>，材质分别为：</w:t>
            </w:r>
            <w:r>
              <w:rPr>
                <w:rFonts w:ascii="宋体" w:hAnsi="宋体" w:cs="宋体"/>
                <w:sz w:val="24"/>
                <w:szCs w:val="28"/>
              </w:rPr>
              <w:t>PE、PVC、球墨铸铁、顶管钢筋砼、内外涂塑钢管</w:t>
            </w:r>
            <w:r>
              <w:rPr>
                <w:rFonts w:hint="eastAsia" w:ascii="宋体" w:hAnsi="宋体" w:cs="宋体"/>
                <w:sz w:val="24"/>
                <w:szCs w:val="28"/>
              </w:rPr>
              <w:t>。</w:t>
            </w:r>
          </w:p>
        </w:tc>
      </w:tr>
      <w:tr w14:paraId="22040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0" w:type="dxa"/>
            <w:vAlign w:val="center"/>
          </w:tcPr>
          <w:p w14:paraId="43614048">
            <w:pPr>
              <w:pStyle w:val="80"/>
              <w:snapToGrid w:val="0"/>
              <w:spacing w:line="360" w:lineRule="auto"/>
              <w:jc w:val="center"/>
              <w:rPr>
                <w:rFonts w:ascii="宋体" w:hAnsi="宋体" w:cs="宋体"/>
                <w:sz w:val="24"/>
                <w:szCs w:val="28"/>
              </w:rPr>
            </w:pPr>
            <w:r>
              <w:rPr>
                <w:rFonts w:hint="eastAsia" w:ascii="宋体" w:hAnsi="宋体" w:cs="宋体"/>
                <w:sz w:val="24"/>
                <w:szCs w:val="28"/>
              </w:rPr>
              <w:t>2</w:t>
            </w:r>
          </w:p>
        </w:tc>
        <w:tc>
          <w:tcPr>
            <w:tcW w:w="1455" w:type="dxa"/>
            <w:vAlign w:val="center"/>
          </w:tcPr>
          <w:p w14:paraId="041C81D1">
            <w:pPr>
              <w:pStyle w:val="80"/>
              <w:snapToGrid w:val="0"/>
              <w:spacing w:line="360" w:lineRule="auto"/>
              <w:jc w:val="center"/>
              <w:rPr>
                <w:rFonts w:ascii="宋体" w:hAnsi="宋体" w:cs="宋体"/>
                <w:sz w:val="24"/>
                <w:szCs w:val="28"/>
              </w:rPr>
            </w:pPr>
            <w:r>
              <w:rPr>
                <w:rFonts w:hint="eastAsia" w:ascii="宋体" w:hAnsi="宋体" w:cs="宋体"/>
                <w:sz w:val="24"/>
                <w:szCs w:val="28"/>
              </w:rPr>
              <w:t>城乡一体化水厂至乡镇20座水厂站的输水管网</w:t>
            </w:r>
          </w:p>
        </w:tc>
        <w:tc>
          <w:tcPr>
            <w:tcW w:w="1027" w:type="dxa"/>
            <w:vAlign w:val="center"/>
          </w:tcPr>
          <w:p w14:paraId="0FA27C8D">
            <w:pPr>
              <w:pStyle w:val="80"/>
              <w:snapToGrid w:val="0"/>
              <w:spacing w:line="360" w:lineRule="auto"/>
              <w:jc w:val="center"/>
              <w:rPr>
                <w:rFonts w:ascii="宋体" w:hAnsi="宋体" w:cs="宋体"/>
                <w:sz w:val="24"/>
                <w:szCs w:val="28"/>
              </w:rPr>
            </w:pPr>
            <w:r>
              <w:rPr>
                <w:rFonts w:hint="eastAsia" w:ascii="宋体" w:hAnsi="宋体" w:cs="宋体"/>
                <w:sz w:val="24"/>
                <w:szCs w:val="28"/>
              </w:rPr>
              <w:t>2025年</w:t>
            </w:r>
          </w:p>
        </w:tc>
        <w:tc>
          <w:tcPr>
            <w:tcW w:w="1391" w:type="dxa"/>
            <w:vAlign w:val="center"/>
          </w:tcPr>
          <w:p w14:paraId="5E2EEEAB">
            <w:pPr>
              <w:pStyle w:val="80"/>
              <w:snapToGrid w:val="0"/>
              <w:spacing w:line="360" w:lineRule="auto"/>
              <w:jc w:val="center"/>
              <w:rPr>
                <w:rFonts w:ascii="宋体" w:hAnsi="宋体" w:cs="宋体"/>
                <w:sz w:val="24"/>
                <w:szCs w:val="28"/>
              </w:rPr>
            </w:pPr>
            <w:r>
              <w:rPr>
                <w:rFonts w:ascii="宋体" w:hAnsi="宋体" w:cs="宋体"/>
                <w:sz w:val="24"/>
                <w:szCs w:val="28"/>
              </w:rPr>
              <w:t>约158.09km</w:t>
            </w:r>
          </w:p>
        </w:tc>
        <w:tc>
          <w:tcPr>
            <w:tcW w:w="4424" w:type="dxa"/>
            <w:vAlign w:val="center"/>
          </w:tcPr>
          <w:p w14:paraId="4A4546DA">
            <w:pPr>
              <w:pStyle w:val="80"/>
              <w:snapToGrid w:val="0"/>
              <w:spacing w:line="360" w:lineRule="auto"/>
              <w:jc w:val="center"/>
              <w:rPr>
                <w:rFonts w:ascii="宋体" w:hAnsi="宋体" w:cs="宋体"/>
                <w:sz w:val="24"/>
                <w:szCs w:val="28"/>
              </w:rPr>
            </w:pPr>
            <w:r>
              <w:rPr>
                <w:rFonts w:ascii="宋体" w:hAnsi="宋体" w:cs="宋体"/>
                <w:sz w:val="24"/>
                <w:szCs w:val="28"/>
              </w:rPr>
              <w:t>管道管径主要为DN</w:t>
            </w:r>
            <w:r>
              <w:rPr>
                <w:rFonts w:hint="eastAsia" w:ascii="宋体" w:hAnsi="宋体" w:cs="宋体"/>
                <w:sz w:val="24"/>
                <w:szCs w:val="28"/>
              </w:rPr>
              <w:t>4</w:t>
            </w:r>
            <w:r>
              <w:rPr>
                <w:rFonts w:ascii="宋体" w:hAnsi="宋体" w:cs="宋体"/>
                <w:sz w:val="24"/>
                <w:szCs w:val="28"/>
              </w:rPr>
              <w:t>00-DN</w:t>
            </w:r>
            <w:r>
              <w:rPr>
                <w:rFonts w:hint="eastAsia" w:ascii="宋体" w:hAnsi="宋体" w:cs="宋体"/>
                <w:sz w:val="24"/>
                <w:szCs w:val="28"/>
              </w:rPr>
              <w:t>8</w:t>
            </w:r>
            <w:r>
              <w:rPr>
                <w:rFonts w:ascii="宋体" w:hAnsi="宋体" w:cs="宋体"/>
                <w:sz w:val="24"/>
                <w:szCs w:val="28"/>
              </w:rPr>
              <w:t>00，材质分别为：PE</w:t>
            </w:r>
            <w:r>
              <w:rPr>
                <w:rFonts w:hint="eastAsia" w:ascii="宋体" w:hAnsi="宋体" w:cs="宋体"/>
                <w:sz w:val="24"/>
                <w:szCs w:val="28"/>
              </w:rPr>
              <w:t>、</w:t>
            </w:r>
            <w:r>
              <w:rPr>
                <w:rFonts w:ascii="宋体" w:hAnsi="宋体" w:cs="宋体"/>
                <w:sz w:val="24"/>
                <w:szCs w:val="28"/>
              </w:rPr>
              <w:t>球墨铸铁</w:t>
            </w:r>
            <w:r>
              <w:rPr>
                <w:rFonts w:hint="eastAsia" w:ascii="宋体" w:hAnsi="宋体" w:cs="宋体"/>
                <w:sz w:val="24"/>
                <w:szCs w:val="28"/>
              </w:rPr>
              <w:t>管。</w:t>
            </w:r>
          </w:p>
        </w:tc>
      </w:tr>
      <w:tr w14:paraId="48B64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0" w:type="dxa"/>
            <w:vAlign w:val="center"/>
          </w:tcPr>
          <w:p w14:paraId="39B966CF">
            <w:pPr>
              <w:pStyle w:val="80"/>
              <w:snapToGrid w:val="0"/>
              <w:spacing w:line="360" w:lineRule="auto"/>
              <w:jc w:val="center"/>
              <w:rPr>
                <w:rFonts w:ascii="宋体" w:hAnsi="宋体" w:cs="宋体"/>
                <w:sz w:val="24"/>
                <w:szCs w:val="28"/>
              </w:rPr>
            </w:pPr>
            <w:r>
              <w:rPr>
                <w:rFonts w:hint="eastAsia" w:ascii="宋体" w:hAnsi="宋体" w:cs="宋体"/>
                <w:sz w:val="24"/>
                <w:szCs w:val="28"/>
              </w:rPr>
              <w:t>3</w:t>
            </w:r>
          </w:p>
        </w:tc>
        <w:tc>
          <w:tcPr>
            <w:tcW w:w="1455" w:type="dxa"/>
            <w:vAlign w:val="center"/>
          </w:tcPr>
          <w:p w14:paraId="5E4BEEAB">
            <w:pPr>
              <w:pStyle w:val="80"/>
              <w:snapToGrid w:val="0"/>
              <w:spacing w:line="360" w:lineRule="auto"/>
              <w:jc w:val="center"/>
              <w:rPr>
                <w:rFonts w:ascii="宋体" w:hAnsi="宋体" w:cs="宋体"/>
                <w:sz w:val="24"/>
                <w:szCs w:val="28"/>
              </w:rPr>
            </w:pPr>
            <w:r>
              <w:rPr>
                <w:rFonts w:hint="eastAsia" w:ascii="宋体" w:hAnsi="宋体" w:cs="宋体"/>
                <w:sz w:val="24"/>
                <w:szCs w:val="28"/>
              </w:rPr>
              <w:t>乡镇供水厂建构筑物及其他辅助设施</w:t>
            </w:r>
          </w:p>
        </w:tc>
        <w:tc>
          <w:tcPr>
            <w:tcW w:w="1027" w:type="dxa"/>
            <w:vAlign w:val="center"/>
          </w:tcPr>
          <w:p w14:paraId="226C25E7">
            <w:pPr>
              <w:pStyle w:val="80"/>
              <w:snapToGrid w:val="0"/>
              <w:spacing w:line="360" w:lineRule="auto"/>
              <w:jc w:val="center"/>
              <w:rPr>
                <w:rFonts w:ascii="宋体" w:hAnsi="宋体" w:cs="宋体"/>
                <w:sz w:val="24"/>
                <w:szCs w:val="28"/>
              </w:rPr>
            </w:pPr>
            <w:r>
              <w:rPr>
                <w:rFonts w:ascii="宋体" w:hAnsi="宋体" w:cs="宋体"/>
                <w:sz w:val="24"/>
                <w:szCs w:val="28"/>
              </w:rPr>
              <w:t>2006年-2012年</w:t>
            </w:r>
          </w:p>
        </w:tc>
        <w:tc>
          <w:tcPr>
            <w:tcW w:w="1391" w:type="dxa"/>
            <w:vAlign w:val="center"/>
          </w:tcPr>
          <w:p w14:paraId="36964260">
            <w:pPr>
              <w:pStyle w:val="80"/>
              <w:snapToGrid w:val="0"/>
              <w:spacing w:line="360" w:lineRule="auto"/>
              <w:jc w:val="center"/>
              <w:rPr>
                <w:rFonts w:ascii="宋体" w:hAnsi="宋体" w:cs="宋体"/>
                <w:sz w:val="24"/>
                <w:szCs w:val="28"/>
              </w:rPr>
            </w:pPr>
            <w:r>
              <w:rPr>
                <w:rFonts w:hint="eastAsia" w:ascii="宋体" w:hAnsi="宋体" w:cs="宋体"/>
                <w:sz w:val="24"/>
                <w:szCs w:val="28"/>
              </w:rPr>
              <w:t>454</w:t>
            </w:r>
            <w:r>
              <w:rPr>
                <w:rFonts w:ascii="宋体" w:hAnsi="宋体" w:cs="宋体"/>
                <w:sz w:val="24"/>
                <w:szCs w:val="28"/>
              </w:rPr>
              <w:t>项</w:t>
            </w:r>
          </w:p>
        </w:tc>
        <w:tc>
          <w:tcPr>
            <w:tcW w:w="4424" w:type="dxa"/>
            <w:vAlign w:val="center"/>
          </w:tcPr>
          <w:p w14:paraId="19487826">
            <w:pPr>
              <w:pStyle w:val="80"/>
              <w:snapToGrid w:val="0"/>
              <w:spacing w:line="360" w:lineRule="auto"/>
              <w:jc w:val="center"/>
              <w:rPr>
                <w:rFonts w:ascii="宋体" w:hAnsi="宋体" w:cs="宋体"/>
                <w:sz w:val="24"/>
                <w:szCs w:val="28"/>
              </w:rPr>
            </w:pPr>
            <w:r>
              <w:rPr>
                <w:rFonts w:ascii="宋体" w:hAnsi="宋体" w:cs="宋体"/>
                <w:sz w:val="24"/>
                <w:szCs w:val="28"/>
              </w:rPr>
              <w:t>乡镇</w:t>
            </w:r>
            <w:r>
              <w:rPr>
                <w:rFonts w:hint="eastAsia" w:ascii="宋体" w:hAnsi="宋体" w:cs="宋体"/>
                <w:sz w:val="24"/>
                <w:szCs w:val="28"/>
              </w:rPr>
              <w:t>20座供水厂建构筑物及进水管网主要为：办公及生活用房、库房、发电机房、井房、泵房、水源井等。</w:t>
            </w:r>
          </w:p>
        </w:tc>
      </w:tr>
      <w:tr w14:paraId="4AE37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0" w:type="dxa"/>
            <w:vAlign w:val="center"/>
          </w:tcPr>
          <w:p w14:paraId="17E1EFA6">
            <w:pPr>
              <w:pStyle w:val="80"/>
              <w:snapToGrid w:val="0"/>
              <w:spacing w:line="360" w:lineRule="auto"/>
              <w:jc w:val="center"/>
              <w:rPr>
                <w:rFonts w:ascii="宋体" w:hAnsi="宋体" w:cs="宋体"/>
                <w:sz w:val="24"/>
                <w:szCs w:val="28"/>
              </w:rPr>
            </w:pPr>
            <w:r>
              <w:rPr>
                <w:rFonts w:hint="eastAsia" w:ascii="宋体" w:hAnsi="宋体" w:cs="宋体"/>
                <w:sz w:val="24"/>
                <w:szCs w:val="28"/>
              </w:rPr>
              <w:t>3</w:t>
            </w:r>
          </w:p>
        </w:tc>
        <w:tc>
          <w:tcPr>
            <w:tcW w:w="1455" w:type="dxa"/>
            <w:vAlign w:val="center"/>
          </w:tcPr>
          <w:p w14:paraId="0CD9E8DB">
            <w:pPr>
              <w:pStyle w:val="80"/>
              <w:snapToGrid w:val="0"/>
              <w:spacing w:line="360" w:lineRule="auto"/>
              <w:jc w:val="center"/>
              <w:rPr>
                <w:rFonts w:ascii="宋体" w:hAnsi="宋体" w:cs="宋体"/>
                <w:sz w:val="24"/>
                <w:szCs w:val="28"/>
              </w:rPr>
            </w:pPr>
            <w:r>
              <w:rPr>
                <w:rFonts w:hint="eastAsia" w:ascii="宋体" w:hAnsi="宋体" w:cs="宋体"/>
                <w:sz w:val="24"/>
                <w:szCs w:val="28"/>
              </w:rPr>
              <w:t>乡镇供水</w:t>
            </w:r>
            <w:r>
              <w:rPr>
                <w:rFonts w:ascii="宋体" w:hAnsi="宋体" w:cs="宋体"/>
                <w:sz w:val="24"/>
                <w:szCs w:val="28"/>
              </w:rPr>
              <w:t>机器</w:t>
            </w:r>
          </w:p>
          <w:p w14:paraId="5C034A4B">
            <w:pPr>
              <w:pStyle w:val="80"/>
              <w:snapToGrid w:val="0"/>
              <w:spacing w:line="360" w:lineRule="auto"/>
              <w:jc w:val="center"/>
              <w:rPr>
                <w:rFonts w:ascii="宋体" w:hAnsi="宋体" w:cs="宋体"/>
                <w:sz w:val="24"/>
                <w:szCs w:val="28"/>
              </w:rPr>
            </w:pPr>
            <w:r>
              <w:rPr>
                <w:rFonts w:ascii="宋体" w:hAnsi="宋体" w:cs="宋体"/>
                <w:sz w:val="24"/>
                <w:szCs w:val="28"/>
              </w:rPr>
              <w:t>设备</w:t>
            </w:r>
          </w:p>
        </w:tc>
        <w:tc>
          <w:tcPr>
            <w:tcW w:w="1027" w:type="dxa"/>
            <w:vAlign w:val="center"/>
          </w:tcPr>
          <w:p w14:paraId="6846165D">
            <w:pPr>
              <w:pStyle w:val="80"/>
              <w:snapToGrid w:val="0"/>
              <w:spacing w:line="360" w:lineRule="auto"/>
              <w:jc w:val="center"/>
              <w:rPr>
                <w:rFonts w:ascii="宋体" w:hAnsi="宋体" w:cs="宋体"/>
                <w:sz w:val="24"/>
                <w:szCs w:val="28"/>
              </w:rPr>
            </w:pPr>
            <w:r>
              <w:rPr>
                <w:rFonts w:ascii="宋体" w:hAnsi="宋体" w:cs="宋体"/>
                <w:sz w:val="24"/>
                <w:szCs w:val="28"/>
              </w:rPr>
              <w:t>/</w:t>
            </w:r>
          </w:p>
        </w:tc>
        <w:tc>
          <w:tcPr>
            <w:tcW w:w="1391" w:type="dxa"/>
            <w:vAlign w:val="center"/>
          </w:tcPr>
          <w:p w14:paraId="4CA8EC9F">
            <w:pPr>
              <w:pStyle w:val="80"/>
              <w:snapToGrid w:val="0"/>
              <w:spacing w:line="360" w:lineRule="auto"/>
              <w:jc w:val="center"/>
              <w:rPr>
                <w:rFonts w:ascii="宋体" w:hAnsi="宋体" w:cs="宋体"/>
                <w:sz w:val="24"/>
                <w:szCs w:val="28"/>
              </w:rPr>
            </w:pPr>
            <w:r>
              <w:rPr>
                <w:rFonts w:ascii="宋体" w:hAnsi="宋体" w:cs="宋体"/>
                <w:sz w:val="24"/>
                <w:szCs w:val="28"/>
              </w:rPr>
              <w:t>1</w:t>
            </w:r>
            <w:r>
              <w:rPr>
                <w:rFonts w:hint="eastAsia" w:ascii="宋体" w:hAnsi="宋体" w:cs="宋体"/>
                <w:sz w:val="24"/>
                <w:szCs w:val="28"/>
              </w:rPr>
              <w:t>28</w:t>
            </w:r>
            <w:r>
              <w:rPr>
                <w:rFonts w:ascii="宋体" w:hAnsi="宋体" w:cs="宋体"/>
                <w:sz w:val="24"/>
                <w:szCs w:val="28"/>
              </w:rPr>
              <w:t>项</w:t>
            </w:r>
          </w:p>
        </w:tc>
        <w:tc>
          <w:tcPr>
            <w:tcW w:w="4424" w:type="dxa"/>
            <w:vAlign w:val="center"/>
          </w:tcPr>
          <w:p w14:paraId="5C632C2D">
            <w:pPr>
              <w:pStyle w:val="80"/>
              <w:snapToGrid w:val="0"/>
              <w:spacing w:line="360" w:lineRule="auto"/>
              <w:jc w:val="center"/>
              <w:rPr>
                <w:rFonts w:ascii="宋体" w:hAnsi="宋体" w:cs="宋体"/>
                <w:sz w:val="24"/>
                <w:szCs w:val="28"/>
              </w:rPr>
            </w:pPr>
            <w:r>
              <w:rPr>
                <w:rFonts w:ascii="宋体" w:hAnsi="宋体" w:cs="宋体"/>
                <w:sz w:val="24"/>
                <w:szCs w:val="28"/>
              </w:rPr>
              <w:t>乡镇供水机器设备</w:t>
            </w:r>
            <w:r>
              <w:rPr>
                <w:rFonts w:hint="eastAsia" w:ascii="宋体" w:hAnsi="宋体" w:cs="宋体"/>
                <w:sz w:val="24"/>
                <w:szCs w:val="28"/>
              </w:rPr>
              <w:t>主要为管道增压泵、次氯酸钠发生器、配电柜、水质分析仪、监控、一体化加压泵站等。</w:t>
            </w:r>
          </w:p>
        </w:tc>
      </w:tr>
    </w:tbl>
    <w:p w14:paraId="49616328">
      <w:pPr>
        <w:pStyle w:val="80"/>
        <w:snapToGrid w:val="0"/>
        <w:spacing w:line="360" w:lineRule="auto"/>
      </w:pPr>
    </w:p>
    <w:p w14:paraId="7BCB35A1">
      <w:pPr>
        <w:snapToGrid w:val="0"/>
        <w:spacing w:line="360" w:lineRule="auto"/>
        <w:rPr>
          <w:rFonts w:ascii="宋体" w:hAnsi="宋体" w:cs="宋体"/>
          <w:b/>
          <w:bCs/>
          <w:sz w:val="24"/>
          <w:szCs w:val="28"/>
        </w:rPr>
      </w:pPr>
      <w:r>
        <w:rPr>
          <w:rFonts w:hint="eastAsia" w:ascii="宋体" w:hAnsi="宋体" w:cs="宋体"/>
          <w:b/>
          <w:bCs/>
          <w:sz w:val="24"/>
          <w:szCs w:val="28"/>
        </w:rPr>
        <w:t>3.</w:t>
      </w:r>
      <w:r>
        <w:rPr>
          <w:rFonts w:ascii="宋体" w:hAnsi="宋体" w:cs="宋体"/>
          <w:b/>
          <w:bCs/>
          <w:sz w:val="24"/>
          <w:szCs w:val="28"/>
        </w:rPr>
        <w:t>投资规模及资金来源</w:t>
      </w:r>
    </w:p>
    <w:p w14:paraId="5F580A75">
      <w:pPr>
        <w:snapToGrid w:val="0"/>
        <w:spacing w:line="360" w:lineRule="auto"/>
        <w:ind w:firstLine="480" w:firstLineChars="200"/>
        <w:rPr>
          <w:rFonts w:ascii="宋体" w:hAnsi="宋体" w:cs="宋体"/>
          <w:sz w:val="24"/>
          <w:szCs w:val="28"/>
        </w:rPr>
      </w:pPr>
      <w:r>
        <w:rPr>
          <w:rFonts w:hint="eastAsia" w:ascii="宋体" w:hAnsi="宋体" w:cs="宋体"/>
          <w:sz w:val="24"/>
          <w:szCs w:val="28"/>
        </w:rPr>
        <w:t>（1）投资规模</w:t>
      </w:r>
    </w:p>
    <w:p w14:paraId="5474DAD0">
      <w:pPr>
        <w:snapToGrid w:val="0"/>
        <w:spacing w:line="360" w:lineRule="auto"/>
        <w:ind w:firstLine="480" w:firstLineChars="200"/>
        <w:rPr>
          <w:rFonts w:ascii="宋体" w:hAnsi="宋体" w:cs="宋体"/>
          <w:sz w:val="24"/>
          <w:szCs w:val="28"/>
          <w:lang w:eastAsia="zh-Hans"/>
        </w:rPr>
      </w:pPr>
      <w:r>
        <w:rPr>
          <w:rFonts w:hint="eastAsia" w:ascii="宋体" w:hAnsi="宋体" w:cs="宋体"/>
          <w:sz w:val="24"/>
          <w:szCs w:val="28"/>
        </w:rPr>
        <w:t>本项目总投资为25098.57万元，其中：沈丘县全域供水特许经营权评估价值25000.77万元，前期费用97.8万元（包含项目资产评估费、特许经营项目相关咨询服务费，具体金额以最终合同为准）。</w:t>
      </w:r>
    </w:p>
    <w:p w14:paraId="50679330">
      <w:pPr>
        <w:snapToGrid w:val="0"/>
        <w:spacing w:line="360" w:lineRule="auto"/>
        <w:ind w:firstLine="480" w:firstLineChars="200"/>
        <w:rPr>
          <w:rFonts w:ascii="宋体" w:hAnsi="宋体" w:cs="宋体"/>
          <w:sz w:val="24"/>
          <w:szCs w:val="28"/>
        </w:rPr>
      </w:pPr>
      <w:r>
        <w:rPr>
          <w:rFonts w:hint="eastAsia" w:ascii="宋体" w:hAnsi="宋体" w:cs="宋体"/>
          <w:sz w:val="24"/>
          <w:szCs w:val="28"/>
        </w:rPr>
        <w:t>（2）资金来源</w:t>
      </w:r>
    </w:p>
    <w:p w14:paraId="11E910D5">
      <w:pPr>
        <w:snapToGrid w:val="0"/>
        <w:spacing w:line="360" w:lineRule="auto"/>
        <w:ind w:firstLine="480" w:firstLineChars="200"/>
        <w:rPr>
          <w:rFonts w:ascii="宋体" w:hAnsi="宋体" w:cs="宋体"/>
          <w:sz w:val="24"/>
          <w:szCs w:val="28"/>
        </w:rPr>
      </w:pPr>
      <w:r>
        <w:rPr>
          <w:rFonts w:hint="eastAsia" w:ascii="宋体" w:hAnsi="宋体" w:cs="宋体"/>
          <w:sz w:val="24"/>
          <w:szCs w:val="28"/>
          <w:lang w:eastAsia="zh-Hans"/>
        </w:rPr>
        <w:t>项目资本金</w:t>
      </w:r>
      <w:r>
        <w:rPr>
          <w:rFonts w:hint="eastAsia" w:ascii="宋体" w:hAnsi="宋体" w:cs="宋体"/>
          <w:sz w:val="24"/>
          <w:szCs w:val="28"/>
        </w:rPr>
        <w:t>5098.57</w:t>
      </w:r>
      <w:r>
        <w:rPr>
          <w:rFonts w:hint="eastAsia" w:ascii="宋体" w:hAnsi="宋体" w:cs="宋体"/>
          <w:sz w:val="24"/>
          <w:szCs w:val="28"/>
          <w:lang w:eastAsia="zh-Hans"/>
        </w:rPr>
        <w:t>万元</w:t>
      </w:r>
      <w:r>
        <w:rPr>
          <w:rFonts w:hint="eastAsia" w:ascii="宋体" w:hAnsi="宋体" w:cs="宋体"/>
          <w:sz w:val="24"/>
          <w:szCs w:val="28"/>
        </w:rPr>
        <w:t>，</w:t>
      </w:r>
      <w:r>
        <w:rPr>
          <w:rFonts w:hint="eastAsia" w:ascii="宋体" w:hAnsi="宋体" w:cs="宋体"/>
          <w:sz w:val="24"/>
          <w:szCs w:val="28"/>
          <w:lang w:eastAsia="zh-Hans"/>
        </w:rPr>
        <w:t>占总投资的</w:t>
      </w:r>
      <w:r>
        <w:rPr>
          <w:rFonts w:hint="eastAsia" w:ascii="宋体" w:hAnsi="宋体" w:cs="宋体"/>
          <w:sz w:val="24"/>
          <w:szCs w:val="28"/>
        </w:rPr>
        <w:t>20.31%。项目</w:t>
      </w:r>
      <w:r>
        <w:rPr>
          <w:rFonts w:hint="eastAsia" w:ascii="宋体" w:hAnsi="宋体" w:cs="宋体"/>
          <w:sz w:val="24"/>
          <w:szCs w:val="28"/>
          <w:lang w:eastAsia="zh-Hans"/>
        </w:rPr>
        <w:t>融资金额</w:t>
      </w:r>
      <w:r>
        <w:rPr>
          <w:rFonts w:hint="eastAsia" w:ascii="宋体" w:hAnsi="宋体" w:cs="宋体"/>
          <w:sz w:val="24"/>
          <w:szCs w:val="28"/>
        </w:rPr>
        <w:t>20000.00</w:t>
      </w:r>
      <w:r>
        <w:rPr>
          <w:rFonts w:hint="eastAsia" w:ascii="宋体" w:hAnsi="宋体" w:cs="宋体"/>
          <w:sz w:val="24"/>
          <w:szCs w:val="28"/>
          <w:lang w:eastAsia="zh-Hans"/>
        </w:rPr>
        <w:t>万元，占总投资的</w:t>
      </w:r>
      <w:r>
        <w:rPr>
          <w:rFonts w:hint="eastAsia" w:ascii="宋体" w:hAnsi="宋体" w:cs="宋体"/>
          <w:sz w:val="24"/>
          <w:szCs w:val="28"/>
        </w:rPr>
        <w:t>79.69%</w:t>
      </w:r>
      <w:r>
        <w:rPr>
          <w:rFonts w:hint="eastAsia" w:ascii="宋体" w:hAnsi="宋体" w:cs="宋体"/>
          <w:sz w:val="24"/>
          <w:szCs w:val="28"/>
          <w:lang w:eastAsia="zh-Hans"/>
        </w:rPr>
        <w:t>。</w:t>
      </w:r>
    </w:p>
    <w:p w14:paraId="5B96547F">
      <w:pPr>
        <w:snapToGrid w:val="0"/>
        <w:spacing w:line="360" w:lineRule="auto"/>
        <w:rPr>
          <w:rFonts w:ascii="宋体" w:hAnsi="宋体" w:cs="宋体"/>
          <w:b/>
          <w:bCs/>
          <w:sz w:val="24"/>
          <w:szCs w:val="28"/>
        </w:rPr>
      </w:pPr>
      <w:bookmarkStart w:id="49" w:name="_Toc301"/>
      <w:r>
        <w:rPr>
          <w:rFonts w:hint="eastAsia" w:ascii="宋体" w:hAnsi="宋体" w:cs="宋体"/>
          <w:b/>
          <w:bCs/>
          <w:sz w:val="24"/>
          <w:szCs w:val="28"/>
        </w:rPr>
        <w:t>4.</w:t>
      </w:r>
      <w:r>
        <w:rPr>
          <w:rFonts w:ascii="宋体" w:hAnsi="宋体" w:cs="宋体"/>
          <w:b/>
          <w:bCs/>
          <w:sz w:val="24"/>
          <w:szCs w:val="28"/>
        </w:rPr>
        <w:t>项目实施机构及政府出资人代表</w:t>
      </w:r>
      <w:bookmarkEnd w:id="49"/>
    </w:p>
    <w:p w14:paraId="3D32F0AD">
      <w:pPr>
        <w:snapToGrid w:val="0"/>
        <w:spacing w:line="360" w:lineRule="auto"/>
        <w:ind w:firstLine="482" w:firstLineChars="200"/>
        <w:rPr>
          <w:rFonts w:ascii="宋体" w:hAnsi="宋体" w:cs="宋体"/>
          <w:b/>
          <w:bCs/>
          <w:sz w:val="24"/>
          <w:szCs w:val="28"/>
        </w:rPr>
      </w:pPr>
      <w:r>
        <w:rPr>
          <w:rFonts w:hint="eastAsia" w:ascii="宋体" w:hAnsi="宋体" w:cs="宋体"/>
          <w:b/>
          <w:bCs/>
          <w:sz w:val="24"/>
          <w:szCs w:val="28"/>
        </w:rPr>
        <w:t>项目实施机构</w:t>
      </w:r>
    </w:p>
    <w:p w14:paraId="1B1A124C">
      <w:pPr>
        <w:snapToGrid w:val="0"/>
        <w:spacing w:line="360" w:lineRule="auto"/>
        <w:ind w:firstLine="480" w:firstLineChars="200"/>
        <w:rPr>
          <w:rFonts w:ascii="宋体" w:hAnsi="宋体" w:cs="宋体"/>
          <w:sz w:val="24"/>
          <w:szCs w:val="28"/>
        </w:rPr>
      </w:pPr>
      <w:r>
        <w:rPr>
          <w:rFonts w:hint="eastAsia" w:ascii="宋体" w:hAnsi="宋体" w:cs="宋体"/>
          <w:sz w:val="24"/>
          <w:szCs w:val="28"/>
        </w:rPr>
        <w:t>（1）</w:t>
      </w:r>
      <w:r>
        <w:rPr>
          <w:rFonts w:ascii="宋体" w:hAnsi="宋体" w:cs="宋体"/>
          <w:sz w:val="24"/>
          <w:szCs w:val="28"/>
        </w:rPr>
        <w:t>基本情况</w:t>
      </w:r>
    </w:p>
    <w:p w14:paraId="186D1698">
      <w:pPr>
        <w:snapToGrid w:val="0"/>
        <w:spacing w:line="360" w:lineRule="auto"/>
        <w:ind w:firstLine="480" w:firstLineChars="200"/>
        <w:rPr>
          <w:rFonts w:ascii="宋体" w:hAnsi="宋体" w:cs="宋体"/>
          <w:sz w:val="24"/>
          <w:szCs w:val="28"/>
        </w:rPr>
      </w:pPr>
      <w:r>
        <w:rPr>
          <w:rFonts w:ascii="宋体" w:hAnsi="宋体" w:cs="宋体"/>
          <w:sz w:val="24"/>
          <w:szCs w:val="28"/>
        </w:rPr>
        <w:t>机构名称：</w:t>
      </w:r>
      <w:r>
        <w:rPr>
          <w:rFonts w:hint="eastAsia" w:ascii="宋体" w:hAnsi="宋体" w:cs="宋体"/>
          <w:sz w:val="24"/>
          <w:szCs w:val="28"/>
        </w:rPr>
        <w:t>沈丘县水利局</w:t>
      </w:r>
    </w:p>
    <w:p w14:paraId="45751340">
      <w:pPr>
        <w:snapToGrid w:val="0"/>
        <w:spacing w:line="360" w:lineRule="auto"/>
        <w:ind w:firstLine="480" w:firstLineChars="200"/>
        <w:rPr>
          <w:rFonts w:ascii="宋体" w:hAnsi="宋体" w:cs="宋体"/>
          <w:sz w:val="24"/>
          <w:szCs w:val="28"/>
        </w:rPr>
      </w:pPr>
      <w:r>
        <w:rPr>
          <w:rFonts w:ascii="宋体" w:hAnsi="宋体" w:cs="宋体"/>
          <w:sz w:val="24"/>
          <w:szCs w:val="28"/>
        </w:rPr>
        <w:t>统一社会信用代码：114117280059325281</w:t>
      </w:r>
    </w:p>
    <w:p w14:paraId="6FFEFAA6">
      <w:pPr>
        <w:snapToGrid w:val="0"/>
        <w:spacing w:line="360" w:lineRule="auto"/>
        <w:ind w:firstLine="480" w:firstLineChars="200"/>
        <w:rPr>
          <w:rFonts w:ascii="宋体" w:hAnsi="宋体" w:cs="宋体"/>
          <w:sz w:val="24"/>
          <w:szCs w:val="28"/>
        </w:rPr>
      </w:pPr>
      <w:r>
        <w:rPr>
          <w:rFonts w:ascii="宋体" w:hAnsi="宋体" w:cs="宋体"/>
          <w:sz w:val="24"/>
          <w:szCs w:val="28"/>
        </w:rPr>
        <w:t>机构地址：沈丘县槐店回族镇兆丰大道北段御景国际综合办公楼</w:t>
      </w:r>
    </w:p>
    <w:p w14:paraId="4CF3C44D">
      <w:pPr>
        <w:snapToGrid w:val="0"/>
        <w:spacing w:line="360" w:lineRule="auto"/>
        <w:ind w:firstLine="480" w:firstLineChars="200"/>
        <w:rPr>
          <w:rFonts w:ascii="宋体" w:hAnsi="宋体" w:cs="宋体"/>
          <w:sz w:val="24"/>
          <w:szCs w:val="28"/>
        </w:rPr>
      </w:pPr>
      <w:r>
        <w:rPr>
          <w:rFonts w:hint="eastAsia" w:ascii="宋体" w:hAnsi="宋体" w:cs="宋体"/>
          <w:sz w:val="24"/>
          <w:szCs w:val="28"/>
        </w:rPr>
        <w:t>（2）</w:t>
      </w:r>
      <w:r>
        <w:rPr>
          <w:rFonts w:ascii="宋体" w:hAnsi="宋体" w:cs="宋体"/>
          <w:sz w:val="24"/>
          <w:szCs w:val="28"/>
        </w:rPr>
        <w:t>机构职责</w:t>
      </w:r>
    </w:p>
    <w:p w14:paraId="1FDA19F5">
      <w:pPr>
        <w:snapToGrid w:val="0"/>
        <w:spacing w:line="360" w:lineRule="auto"/>
        <w:ind w:firstLine="480" w:firstLineChars="200"/>
        <w:rPr>
          <w:rFonts w:ascii="宋体" w:hAnsi="宋体" w:cs="宋体"/>
          <w:sz w:val="24"/>
          <w:szCs w:val="28"/>
        </w:rPr>
      </w:pPr>
      <w:r>
        <w:rPr>
          <w:rFonts w:ascii="宋体" w:hAnsi="宋体" w:cs="宋体"/>
          <w:sz w:val="24"/>
          <w:szCs w:val="28"/>
        </w:rPr>
        <w:t>贯彻执行党和国家有关水利工作方针政策，负责全县水资源的统一管理和监督工作</w:t>
      </w:r>
      <w:r>
        <w:rPr>
          <w:rFonts w:hint="eastAsia" w:ascii="宋体" w:hAnsi="宋体" w:cs="宋体"/>
          <w:sz w:val="24"/>
          <w:szCs w:val="28"/>
        </w:rPr>
        <w:t>；</w:t>
      </w:r>
      <w:r>
        <w:rPr>
          <w:rFonts w:ascii="宋体" w:hAnsi="宋体" w:cs="宋体"/>
          <w:sz w:val="24"/>
          <w:szCs w:val="28"/>
        </w:rPr>
        <w:t>负责保障水资源的合理开发利用。指导和组织编制、审查、申报水利综合规划、专业规划、专项规划</w:t>
      </w:r>
      <w:r>
        <w:rPr>
          <w:rFonts w:hint="eastAsia" w:ascii="宋体" w:hAnsi="宋体" w:cs="宋体"/>
          <w:sz w:val="24"/>
          <w:szCs w:val="28"/>
        </w:rPr>
        <w:t>；</w:t>
      </w:r>
      <w:r>
        <w:rPr>
          <w:rFonts w:ascii="宋体" w:hAnsi="宋体" w:cs="宋体"/>
          <w:sz w:val="24"/>
          <w:szCs w:val="28"/>
        </w:rPr>
        <w:t>负责生活、生产经营和生态环境用水的统筹和保障</w:t>
      </w:r>
      <w:r>
        <w:rPr>
          <w:rFonts w:hint="eastAsia" w:ascii="宋体" w:hAnsi="宋体" w:cs="宋体"/>
          <w:sz w:val="24"/>
          <w:szCs w:val="28"/>
        </w:rPr>
        <w:t>；</w:t>
      </w:r>
      <w:r>
        <w:rPr>
          <w:rFonts w:ascii="宋体" w:hAnsi="宋体" w:cs="宋体"/>
          <w:sz w:val="24"/>
          <w:szCs w:val="28"/>
        </w:rPr>
        <w:t>按规定制定水利工程建设有关制度并组织实施</w:t>
      </w:r>
      <w:r>
        <w:rPr>
          <w:rFonts w:hint="eastAsia" w:ascii="宋体" w:hAnsi="宋体" w:cs="宋体"/>
          <w:sz w:val="24"/>
          <w:szCs w:val="28"/>
        </w:rPr>
        <w:t>；</w:t>
      </w:r>
      <w:r>
        <w:rPr>
          <w:rFonts w:ascii="宋体" w:hAnsi="宋体" w:cs="宋体"/>
          <w:sz w:val="24"/>
          <w:szCs w:val="28"/>
        </w:rPr>
        <w:t>负责水资源保护工作</w:t>
      </w:r>
      <w:r>
        <w:rPr>
          <w:rFonts w:hint="eastAsia" w:ascii="宋体" w:hAnsi="宋体" w:cs="宋体"/>
          <w:sz w:val="24"/>
          <w:szCs w:val="28"/>
        </w:rPr>
        <w:t>；</w:t>
      </w:r>
      <w:r>
        <w:rPr>
          <w:rFonts w:ascii="宋体" w:hAnsi="宋体" w:cs="宋体"/>
          <w:sz w:val="24"/>
          <w:szCs w:val="28"/>
        </w:rPr>
        <w:t>负责全县水利设施、水域及其岸线的管理、保护与综合利用</w:t>
      </w:r>
      <w:r>
        <w:rPr>
          <w:rFonts w:hint="eastAsia" w:ascii="宋体" w:hAnsi="宋体" w:cs="宋体"/>
          <w:sz w:val="24"/>
          <w:szCs w:val="28"/>
        </w:rPr>
        <w:t>；</w:t>
      </w:r>
      <w:r>
        <w:rPr>
          <w:rFonts w:ascii="宋体" w:hAnsi="宋体" w:cs="宋体"/>
          <w:sz w:val="24"/>
          <w:szCs w:val="28"/>
        </w:rPr>
        <w:t>贯彻落实国家和省、市、县南水北调工程运行管理和后续工程建设的法律、法规和政策，参与制定县南水北调工程供用水政策</w:t>
      </w:r>
      <w:r>
        <w:rPr>
          <w:rFonts w:hint="eastAsia" w:ascii="宋体" w:hAnsi="宋体" w:cs="宋体"/>
          <w:sz w:val="24"/>
          <w:szCs w:val="28"/>
        </w:rPr>
        <w:t>；</w:t>
      </w:r>
      <w:r>
        <w:rPr>
          <w:rFonts w:ascii="宋体" w:hAnsi="宋体" w:cs="宋体"/>
          <w:sz w:val="24"/>
          <w:szCs w:val="28"/>
        </w:rPr>
        <w:t>负责水土保持工作。负责建设项目水土保持监督管理工作</w:t>
      </w:r>
      <w:r>
        <w:rPr>
          <w:rFonts w:hint="eastAsia" w:ascii="宋体" w:hAnsi="宋体" w:cs="宋体"/>
          <w:sz w:val="24"/>
          <w:szCs w:val="28"/>
        </w:rPr>
        <w:t>；</w:t>
      </w:r>
      <w:r>
        <w:rPr>
          <w:rFonts w:ascii="宋体" w:hAnsi="宋体" w:cs="宋体"/>
          <w:sz w:val="24"/>
          <w:szCs w:val="28"/>
        </w:rPr>
        <w:t>负责农村水利工作</w:t>
      </w:r>
      <w:r>
        <w:rPr>
          <w:rFonts w:hint="eastAsia" w:ascii="宋体" w:hAnsi="宋体" w:cs="宋体"/>
          <w:sz w:val="24"/>
          <w:szCs w:val="28"/>
        </w:rPr>
        <w:t>；</w:t>
      </w:r>
      <w:r>
        <w:rPr>
          <w:rFonts w:ascii="宋体" w:hAnsi="宋体" w:cs="宋体"/>
          <w:sz w:val="24"/>
          <w:szCs w:val="28"/>
        </w:rPr>
        <w:t>完成县委、县政府交办的其他任务。</w:t>
      </w:r>
    </w:p>
    <w:p w14:paraId="3B3EA853">
      <w:pPr>
        <w:snapToGrid w:val="0"/>
        <w:spacing w:line="360" w:lineRule="auto"/>
        <w:ind w:firstLine="480" w:firstLineChars="200"/>
        <w:rPr>
          <w:rFonts w:ascii="宋体" w:hAnsi="宋体" w:cs="宋体"/>
          <w:sz w:val="24"/>
          <w:szCs w:val="28"/>
        </w:rPr>
      </w:pPr>
      <w:r>
        <w:rPr>
          <w:rFonts w:hint="eastAsia" w:ascii="宋体" w:hAnsi="宋体" w:cs="宋体"/>
          <w:sz w:val="24"/>
          <w:szCs w:val="28"/>
        </w:rPr>
        <w:t>（3）</w:t>
      </w:r>
      <w:r>
        <w:rPr>
          <w:rFonts w:ascii="宋体" w:hAnsi="宋体" w:cs="宋体"/>
          <w:sz w:val="24"/>
          <w:szCs w:val="28"/>
        </w:rPr>
        <w:t>项目职责</w:t>
      </w:r>
    </w:p>
    <w:p w14:paraId="10954C35">
      <w:pPr>
        <w:snapToGrid w:val="0"/>
        <w:spacing w:line="360" w:lineRule="auto"/>
        <w:ind w:firstLine="480" w:firstLineChars="200"/>
        <w:rPr>
          <w:rFonts w:ascii="宋体" w:hAnsi="宋体" w:cs="宋体"/>
          <w:sz w:val="24"/>
          <w:szCs w:val="28"/>
        </w:rPr>
      </w:pPr>
      <w:r>
        <w:rPr>
          <w:rFonts w:hint="eastAsia" w:ascii="宋体" w:hAnsi="宋体" w:cs="宋体"/>
          <w:sz w:val="24"/>
          <w:szCs w:val="28"/>
        </w:rPr>
        <w:t>沈丘县水利局</w:t>
      </w:r>
      <w:r>
        <w:rPr>
          <w:rFonts w:ascii="宋体" w:hAnsi="宋体" w:cs="宋体"/>
          <w:sz w:val="24"/>
          <w:szCs w:val="28"/>
        </w:rPr>
        <w:t>作为特许经营项目实施机构，负责特许经营方案编制、特许经营者选择、特许经营协议签订、项目实施监管、合作期满移交接收等工作。</w:t>
      </w:r>
    </w:p>
    <w:p w14:paraId="5CAD1E3A">
      <w:pPr>
        <w:snapToGrid w:val="0"/>
        <w:spacing w:line="360" w:lineRule="auto"/>
        <w:ind w:firstLine="482" w:firstLineChars="200"/>
        <w:rPr>
          <w:rFonts w:ascii="宋体" w:hAnsi="宋体" w:cs="宋体"/>
          <w:sz w:val="24"/>
          <w:szCs w:val="28"/>
        </w:rPr>
      </w:pPr>
      <w:bookmarkStart w:id="50" w:name="_Toc14158"/>
      <w:r>
        <w:rPr>
          <w:rFonts w:hint="eastAsia" w:ascii="宋体" w:hAnsi="宋体" w:cs="宋体"/>
          <w:b/>
          <w:bCs/>
          <w:sz w:val="24"/>
          <w:szCs w:val="28"/>
        </w:rPr>
        <w:t>政府出资人代表</w:t>
      </w:r>
      <w:bookmarkEnd w:id="50"/>
    </w:p>
    <w:p w14:paraId="49C93749">
      <w:pPr>
        <w:snapToGrid w:val="0"/>
        <w:spacing w:line="360" w:lineRule="auto"/>
        <w:ind w:firstLine="480" w:firstLineChars="200"/>
        <w:rPr>
          <w:rFonts w:ascii="宋体" w:hAnsi="宋体" w:cs="宋体"/>
          <w:sz w:val="24"/>
          <w:szCs w:val="28"/>
        </w:rPr>
      </w:pPr>
      <w:r>
        <w:rPr>
          <w:rFonts w:hint="eastAsia" w:ascii="宋体" w:hAnsi="宋体" w:cs="宋体"/>
          <w:sz w:val="24"/>
          <w:szCs w:val="28"/>
        </w:rPr>
        <w:t>（1）基本情况</w:t>
      </w:r>
    </w:p>
    <w:p w14:paraId="34C1B3DF">
      <w:pPr>
        <w:snapToGrid w:val="0"/>
        <w:spacing w:line="360" w:lineRule="auto"/>
        <w:ind w:firstLine="480" w:firstLineChars="200"/>
        <w:rPr>
          <w:rFonts w:ascii="宋体" w:hAnsi="宋体" w:cs="宋体"/>
          <w:sz w:val="24"/>
          <w:szCs w:val="28"/>
        </w:rPr>
      </w:pPr>
      <w:r>
        <w:rPr>
          <w:rFonts w:hint="eastAsia" w:ascii="宋体" w:hAnsi="宋体" w:cs="宋体"/>
          <w:sz w:val="24"/>
          <w:szCs w:val="28"/>
        </w:rPr>
        <w:t>名称：沈丘县城乡投资集团有限公司</w:t>
      </w:r>
    </w:p>
    <w:p w14:paraId="74F50A36">
      <w:pPr>
        <w:snapToGrid w:val="0"/>
        <w:spacing w:line="360" w:lineRule="auto"/>
        <w:ind w:firstLine="480" w:firstLineChars="200"/>
        <w:rPr>
          <w:rFonts w:ascii="宋体" w:hAnsi="宋体" w:cs="宋体"/>
          <w:sz w:val="24"/>
          <w:szCs w:val="28"/>
        </w:rPr>
      </w:pPr>
      <w:r>
        <w:rPr>
          <w:rFonts w:hint="eastAsia" w:ascii="宋体" w:hAnsi="宋体" w:cs="宋体"/>
          <w:sz w:val="24"/>
          <w:szCs w:val="28"/>
        </w:rPr>
        <w:t>住所：沈丘县行政新区尚德路中段路东县财政局院内</w:t>
      </w:r>
    </w:p>
    <w:p w14:paraId="2FAA4901">
      <w:pPr>
        <w:snapToGrid w:val="0"/>
        <w:spacing w:line="360" w:lineRule="auto"/>
        <w:ind w:firstLine="480" w:firstLineChars="200"/>
        <w:rPr>
          <w:rFonts w:ascii="宋体" w:hAnsi="宋体" w:cs="宋体"/>
          <w:sz w:val="24"/>
          <w:szCs w:val="28"/>
        </w:rPr>
      </w:pPr>
      <w:r>
        <w:rPr>
          <w:rFonts w:hint="eastAsia" w:ascii="宋体" w:hAnsi="宋体" w:cs="宋体"/>
          <w:sz w:val="24"/>
          <w:szCs w:val="28"/>
        </w:rPr>
        <w:t>统一社会信用代码：91411624567268964A</w:t>
      </w:r>
    </w:p>
    <w:p w14:paraId="029BFDA2">
      <w:pPr>
        <w:snapToGrid w:val="0"/>
        <w:spacing w:line="360" w:lineRule="auto"/>
        <w:ind w:firstLine="480" w:firstLineChars="200"/>
        <w:rPr>
          <w:rFonts w:ascii="宋体" w:hAnsi="宋体" w:cs="宋体"/>
          <w:sz w:val="24"/>
          <w:szCs w:val="28"/>
        </w:rPr>
      </w:pPr>
      <w:r>
        <w:rPr>
          <w:rFonts w:hint="eastAsia" w:ascii="宋体" w:hAnsi="宋体" w:cs="宋体"/>
          <w:sz w:val="24"/>
          <w:szCs w:val="28"/>
        </w:rPr>
        <w:t>（2）项目职责</w:t>
      </w:r>
    </w:p>
    <w:p w14:paraId="508EEAFF">
      <w:pPr>
        <w:snapToGrid w:val="0"/>
        <w:spacing w:line="360" w:lineRule="auto"/>
        <w:ind w:firstLine="480" w:firstLineChars="200"/>
        <w:rPr>
          <w:rFonts w:ascii="宋体" w:hAnsi="宋体" w:cs="宋体"/>
          <w:sz w:val="24"/>
          <w:szCs w:val="28"/>
        </w:rPr>
      </w:pPr>
      <w:r>
        <w:rPr>
          <w:rFonts w:hint="eastAsia" w:ascii="宋体" w:hAnsi="宋体" w:cs="宋体"/>
          <w:sz w:val="24"/>
          <w:szCs w:val="28"/>
        </w:rPr>
        <w:t>作为政府出资人代表</w:t>
      </w:r>
      <w:r>
        <w:rPr>
          <w:rFonts w:ascii="宋体" w:hAnsi="宋体" w:cs="宋体"/>
          <w:sz w:val="24"/>
          <w:szCs w:val="28"/>
        </w:rPr>
        <w:t>负责与特许经营者共同组建项目公司负责本项目的投融资、运营维护和移交工作</w:t>
      </w:r>
      <w:r>
        <w:rPr>
          <w:rFonts w:hint="eastAsia" w:ascii="宋体" w:hAnsi="宋体" w:cs="宋体"/>
          <w:sz w:val="24"/>
          <w:szCs w:val="28"/>
        </w:rPr>
        <w:t>。</w:t>
      </w:r>
    </w:p>
    <w:p w14:paraId="5A91742F">
      <w:pPr>
        <w:snapToGrid w:val="0"/>
        <w:spacing w:line="360" w:lineRule="auto"/>
        <w:rPr>
          <w:rFonts w:ascii="宋体" w:hAnsi="宋体" w:cs="宋体"/>
          <w:b/>
          <w:bCs/>
          <w:sz w:val="24"/>
          <w:szCs w:val="28"/>
        </w:rPr>
      </w:pPr>
      <w:bookmarkStart w:id="51" w:name="_Toc4725"/>
      <w:r>
        <w:rPr>
          <w:rFonts w:hint="eastAsia" w:ascii="宋体" w:hAnsi="宋体" w:cs="宋体"/>
          <w:b/>
          <w:bCs/>
          <w:sz w:val="24"/>
          <w:szCs w:val="28"/>
        </w:rPr>
        <w:t>5.</w:t>
      </w:r>
      <w:r>
        <w:rPr>
          <w:rFonts w:ascii="宋体" w:hAnsi="宋体" w:cs="宋体"/>
          <w:b/>
          <w:bCs/>
          <w:sz w:val="24"/>
          <w:szCs w:val="28"/>
        </w:rPr>
        <w:t>特许经营主要内容</w:t>
      </w:r>
      <w:bookmarkEnd w:id="51"/>
    </w:p>
    <w:p w14:paraId="724F7D79">
      <w:pPr>
        <w:snapToGrid w:val="0"/>
        <w:spacing w:line="360" w:lineRule="auto"/>
        <w:ind w:firstLine="480" w:firstLineChars="200"/>
        <w:rPr>
          <w:rFonts w:ascii="宋体" w:hAnsi="宋体" w:cs="宋体"/>
          <w:sz w:val="24"/>
          <w:szCs w:val="28"/>
        </w:rPr>
      </w:pPr>
      <w:r>
        <w:rPr>
          <w:rFonts w:hint="eastAsia" w:ascii="宋体" w:hAnsi="宋体" w:cs="宋体"/>
          <w:sz w:val="24"/>
          <w:szCs w:val="28"/>
        </w:rPr>
        <w:t>（1）</w:t>
      </w:r>
      <w:r>
        <w:rPr>
          <w:rFonts w:ascii="宋体" w:hAnsi="宋体" w:cs="宋体"/>
          <w:sz w:val="24"/>
          <w:szCs w:val="28"/>
        </w:rPr>
        <w:t>收费方式和渠道</w:t>
      </w:r>
    </w:p>
    <w:p w14:paraId="38EA7F98">
      <w:pPr>
        <w:snapToGrid w:val="0"/>
        <w:spacing w:line="360" w:lineRule="auto"/>
        <w:ind w:firstLine="480" w:firstLineChars="200"/>
        <w:rPr>
          <w:rFonts w:ascii="宋体" w:hAnsi="宋体" w:cs="宋体"/>
          <w:sz w:val="24"/>
          <w:szCs w:val="28"/>
        </w:rPr>
      </w:pPr>
      <w:r>
        <w:rPr>
          <w:rFonts w:hint="eastAsia" w:ascii="宋体" w:hAnsi="宋体" w:cs="宋体"/>
          <w:sz w:val="24"/>
          <w:szCs w:val="28"/>
        </w:rPr>
        <w:t>本项目中标特许经营者负责：</w:t>
      </w:r>
    </w:p>
    <w:p w14:paraId="67ED2886">
      <w:pPr>
        <w:snapToGrid w:val="0"/>
        <w:spacing w:line="360" w:lineRule="auto"/>
        <w:ind w:firstLine="480" w:firstLineChars="200"/>
        <w:rPr>
          <w:rFonts w:ascii="宋体" w:hAnsi="宋体" w:cs="宋体"/>
          <w:sz w:val="24"/>
          <w:szCs w:val="28"/>
        </w:rPr>
      </w:pPr>
      <w:r>
        <w:rPr>
          <w:rFonts w:hint="eastAsia" w:ascii="宋体" w:hAnsi="宋体" w:cs="宋体"/>
          <w:sz w:val="24"/>
          <w:szCs w:val="28"/>
        </w:rPr>
        <w:t>地表水厂出厂流量计至城区用户终端的运营维护及用户水表更新重置，向用户提供供水服务。城区用户按照“一户一表”原则，根据用户终端水表计量按照地方价格文件收取水费，用户可通过移动支付（微信、支付宝）、银行代扣、营业大厅现场缴纳等多种方式，按月缴纳水费；</w:t>
      </w:r>
    </w:p>
    <w:p w14:paraId="1B802E37">
      <w:pPr>
        <w:snapToGrid w:val="0"/>
        <w:spacing w:line="360" w:lineRule="auto"/>
        <w:ind w:firstLine="480" w:firstLineChars="200"/>
        <w:rPr>
          <w:rFonts w:ascii="宋体" w:hAnsi="宋体" w:cs="宋体"/>
          <w:sz w:val="24"/>
          <w:szCs w:val="28"/>
        </w:rPr>
      </w:pPr>
      <w:r>
        <w:rPr>
          <w:rFonts w:hint="eastAsia" w:ascii="宋体" w:hAnsi="宋体" w:cs="宋体"/>
          <w:sz w:val="24"/>
          <w:szCs w:val="28"/>
        </w:rPr>
        <w:t>地表水厂出厂流量计至乡镇</w:t>
      </w:r>
      <w:r>
        <w:rPr>
          <w:rFonts w:ascii="宋体" w:hAnsi="宋体" w:cs="宋体"/>
          <w:sz w:val="24"/>
          <w:szCs w:val="28"/>
        </w:rPr>
        <w:t>20</w:t>
      </w:r>
      <w:r>
        <w:rPr>
          <w:rFonts w:hint="eastAsia" w:ascii="宋体" w:hAnsi="宋体" w:cs="宋体"/>
          <w:sz w:val="24"/>
          <w:szCs w:val="28"/>
        </w:rPr>
        <w:t>座水厂站出厂流量计的运营维护，按照《水利部关于加快推动农村供水高质量发展的指导意见》：“积极推进县域统管，依托水务供水或水投公司等，建立健全管理平台，推进农村供水县域或片区统一管理、统一运行、统一维护……通过政府与社会资本合作＋村级管水员相结合等方式”文件要求，向用户提供供水服务。由于乡镇20个水厂站与收费系统绑定，项目公司按照地方供水定价文件收取水费后，根据乡镇20座水厂站与村级管水员签订的“趸售协议”，依据协议约定的趸售价格及水厂站出厂流量计计量水量按月结算趸售水费。</w:t>
      </w:r>
    </w:p>
    <w:p w14:paraId="30C17A75">
      <w:pPr>
        <w:snapToGrid w:val="0"/>
        <w:spacing w:line="360" w:lineRule="auto"/>
        <w:ind w:firstLine="480" w:firstLineChars="200"/>
        <w:rPr>
          <w:rFonts w:ascii="宋体" w:hAnsi="宋体" w:cs="宋体"/>
          <w:sz w:val="24"/>
          <w:szCs w:val="28"/>
        </w:rPr>
      </w:pPr>
      <w:r>
        <w:rPr>
          <w:rFonts w:hint="eastAsia" w:ascii="宋体" w:hAnsi="宋体" w:cs="宋体"/>
          <w:sz w:val="24"/>
          <w:szCs w:val="28"/>
        </w:rPr>
        <w:t>本项目</w:t>
      </w:r>
      <w:r>
        <w:rPr>
          <w:rFonts w:ascii="宋体" w:hAnsi="宋体" w:cs="宋体"/>
          <w:sz w:val="24"/>
          <w:szCs w:val="28"/>
        </w:rPr>
        <w:t>不涉及补贴运营的情形，不因采用政府和社会资本合作模式额外新增地方财政未来支出责任。</w:t>
      </w:r>
    </w:p>
    <w:p w14:paraId="58565F95">
      <w:pPr>
        <w:snapToGrid w:val="0"/>
        <w:spacing w:line="360" w:lineRule="auto"/>
        <w:rPr>
          <w:rFonts w:ascii="宋体" w:hAnsi="宋体" w:cs="宋体"/>
          <w:b/>
          <w:bCs/>
          <w:sz w:val="24"/>
          <w:szCs w:val="28"/>
        </w:rPr>
      </w:pPr>
      <w:r>
        <w:rPr>
          <w:rFonts w:hint="eastAsia" w:ascii="宋体" w:hAnsi="宋体" w:cs="宋体"/>
          <w:b/>
          <w:bCs/>
          <w:sz w:val="24"/>
          <w:szCs w:val="28"/>
        </w:rPr>
        <w:t>6.</w:t>
      </w:r>
      <w:r>
        <w:rPr>
          <w:rFonts w:ascii="宋体" w:hAnsi="宋体" w:cs="宋体"/>
          <w:b/>
          <w:bCs/>
          <w:sz w:val="24"/>
          <w:szCs w:val="28"/>
        </w:rPr>
        <w:t>特许经营实施方式</w:t>
      </w:r>
    </w:p>
    <w:p w14:paraId="7480FE03">
      <w:pPr>
        <w:snapToGrid w:val="0"/>
        <w:spacing w:line="360" w:lineRule="auto"/>
        <w:ind w:firstLine="480" w:firstLineChars="200"/>
        <w:rPr>
          <w:rFonts w:ascii="宋体" w:hAnsi="宋体" w:cs="宋体"/>
          <w:sz w:val="24"/>
          <w:szCs w:val="28"/>
        </w:rPr>
      </w:pPr>
      <w:r>
        <w:rPr>
          <w:rFonts w:ascii="宋体" w:hAnsi="宋体" w:cs="宋体"/>
          <w:sz w:val="24"/>
          <w:szCs w:val="28"/>
        </w:rPr>
        <w:t>根据国务院办公厅转发国家发展改革委、财政部《关于规范实施政府和社会资本合作新机制的指导意见》的通知国办函〔2023〕115号文件第一条第2项要求：</w:t>
      </w:r>
      <w:r>
        <w:rPr>
          <w:rFonts w:hint="eastAsia" w:ascii="宋体" w:hAnsi="宋体" w:cs="宋体"/>
          <w:sz w:val="24"/>
          <w:szCs w:val="28"/>
        </w:rPr>
        <w:t>“</w:t>
      </w:r>
      <w:r>
        <w:rPr>
          <w:rFonts w:ascii="宋体" w:hAnsi="宋体" w:cs="宋体"/>
          <w:sz w:val="24"/>
          <w:szCs w:val="28"/>
        </w:rPr>
        <w:t>全部采取特许经营模式。政府和社会资本合作应全部采取特许经营模式实施，根据项目实际情况，合理采用建设—运营—移交（BOT）、转让—运营—移交（TOT）、改建—运营—移交（ROT）、建设—拥有—运营—移交（BOOT）、设计—建设—融资—运营—移交（DBFOT）等具体实施方式，并在合同中明确约定建设和运营期间的资产权属，清晰界定各方权责利关系。</w:t>
      </w:r>
      <w:r>
        <w:rPr>
          <w:rFonts w:hint="eastAsia" w:ascii="宋体" w:hAnsi="宋体" w:cs="宋体"/>
          <w:sz w:val="24"/>
          <w:szCs w:val="28"/>
        </w:rPr>
        <w:t>”</w:t>
      </w:r>
      <w:r>
        <w:rPr>
          <w:rFonts w:ascii="宋体" w:hAnsi="宋体" w:cs="宋体"/>
          <w:sz w:val="24"/>
          <w:szCs w:val="28"/>
        </w:rPr>
        <w:t>特许经营者通过支付转让价款，在特许经营期内获得项目资产的运营权及收益权，期满后将项目资产无偿移交给实施机构。因此本项目适宜采用“TOT”方式实施。</w:t>
      </w:r>
    </w:p>
    <w:p w14:paraId="603B9BDD">
      <w:pPr>
        <w:snapToGrid w:val="0"/>
        <w:spacing w:line="360" w:lineRule="auto"/>
        <w:ind w:firstLine="480" w:firstLineChars="200"/>
        <w:rPr>
          <w:rFonts w:ascii="宋体" w:hAnsi="宋体" w:cs="宋体"/>
          <w:sz w:val="24"/>
          <w:szCs w:val="28"/>
        </w:rPr>
      </w:pPr>
      <w:r>
        <w:rPr>
          <w:rFonts w:ascii="宋体" w:hAnsi="宋体" w:cs="宋体"/>
          <w:sz w:val="24"/>
          <w:szCs w:val="28"/>
        </w:rPr>
        <w:t>TOT（转让-运营-移交）：南水北调水厂出厂流量计至城区用户终端、城乡一体化水厂出厂流量计至乡镇20座水厂站出厂流量计存量供水设施的转让、运营维护和期满移交。</w:t>
      </w:r>
    </w:p>
    <w:p w14:paraId="47C87EAF">
      <w:pPr>
        <w:snapToGrid w:val="0"/>
        <w:spacing w:line="360" w:lineRule="auto"/>
        <w:rPr>
          <w:rFonts w:ascii="宋体" w:hAnsi="宋体" w:cs="宋体"/>
          <w:b/>
          <w:bCs/>
          <w:sz w:val="24"/>
          <w:szCs w:val="28"/>
        </w:rPr>
      </w:pPr>
      <w:r>
        <w:rPr>
          <w:rFonts w:hint="eastAsia" w:ascii="宋体" w:hAnsi="宋体" w:cs="宋体"/>
          <w:b/>
          <w:bCs/>
          <w:sz w:val="24"/>
          <w:szCs w:val="28"/>
        </w:rPr>
        <w:t>7.</w:t>
      </w:r>
      <w:r>
        <w:rPr>
          <w:rFonts w:ascii="宋体" w:hAnsi="宋体" w:cs="宋体"/>
          <w:b/>
          <w:bCs/>
          <w:sz w:val="24"/>
          <w:szCs w:val="28"/>
        </w:rPr>
        <w:t>特许经营期限</w:t>
      </w:r>
    </w:p>
    <w:p w14:paraId="01A6775F">
      <w:pPr>
        <w:snapToGrid w:val="0"/>
        <w:spacing w:line="360" w:lineRule="auto"/>
        <w:ind w:firstLine="480" w:firstLineChars="200"/>
        <w:rPr>
          <w:rFonts w:ascii="宋体" w:hAnsi="宋体" w:cs="宋体"/>
          <w:sz w:val="24"/>
          <w:szCs w:val="28"/>
        </w:rPr>
      </w:pPr>
      <w:r>
        <w:rPr>
          <w:rFonts w:ascii="宋体" w:hAnsi="宋体" w:cs="宋体"/>
          <w:sz w:val="24"/>
          <w:szCs w:val="28"/>
        </w:rPr>
        <w:t>参考《国务院办公厅转发国家发展改革委、财政部〈关于规范实施政府和社会资本合作新机制的指导意见〉的通知》（国办函〔2023〕115号）：“项目经营收入能够覆盖建设投资和运营成本、具备一定投资回报，不因采用政府和社会资本合作模式额外新增地方财政未来支出责任……根据国家有关规定和项目建设投资、运营成本、投资回收年限等，合理确定特许经营期限，充分保障特许经营者合法权益。特许经营期限原则上不超过40年，投资规模大、回报周期长的特许经营项目可以根据实际情况适当延长，法律法规另有规定的除外。”</w:t>
      </w:r>
    </w:p>
    <w:p w14:paraId="7FEE562B">
      <w:pPr>
        <w:snapToGrid w:val="0"/>
        <w:spacing w:line="360" w:lineRule="auto"/>
        <w:ind w:firstLine="480" w:firstLineChars="200"/>
        <w:rPr>
          <w:rFonts w:ascii="宋体" w:hAnsi="宋体" w:cs="宋体"/>
          <w:sz w:val="24"/>
          <w:szCs w:val="28"/>
        </w:rPr>
      </w:pPr>
      <w:r>
        <w:rPr>
          <w:rFonts w:ascii="宋体" w:hAnsi="宋体" w:cs="宋体"/>
          <w:sz w:val="24"/>
          <w:szCs w:val="28"/>
        </w:rPr>
        <w:t>基于本项目投资规模大、投资回收期长及公共服务的持续性和稳定性，项目特许经营期为</w:t>
      </w:r>
      <w:r>
        <w:rPr>
          <w:rFonts w:hint="eastAsia" w:ascii="宋体" w:hAnsi="宋体" w:cs="宋体"/>
          <w:sz w:val="24"/>
          <w:szCs w:val="28"/>
        </w:rPr>
        <w:t>35</w:t>
      </w:r>
      <w:r>
        <w:rPr>
          <w:rFonts w:ascii="宋体" w:hAnsi="宋体" w:cs="宋体"/>
          <w:sz w:val="24"/>
          <w:szCs w:val="28"/>
        </w:rPr>
        <w:t>年，运营期3</w:t>
      </w:r>
      <w:r>
        <w:rPr>
          <w:rFonts w:hint="eastAsia" w:ascii="宋体" w:hAnsi="宋体" w:cs="宋体"/>
          <w:sz w:val="24"/>
          <w:szCs w:val="28"/>
        </w:rPr>
        <w:t>5</w:t>
      </w:r>
      <w:r>
        <w:rPr>
          <w:rFonts w:ascii="宋体" w:hAnsi="宋体" w:cs="宋体"/>
          <w:sz w:val="24"/>
          <w:szCs w:val="28"/>
        </w:rPr>
        <w:t>年，运营期起始日为双方完成存量资产移交工作并签订资产移交清单之日</w:t>
      </w:r>
      <w:r>
        <w:rPr>
          <w:rFonts w:hint="eastAsia" w:ascii="宋体" w:hAnsi="宋体" w:cs="宋体"/>
          <w:sz w:val="24"/>
          <w:szCs w:val="28"/>
        </w:rPr>
        <w:t>起</w:t>
      </w:r>
      <w:r>
        <w:rPr>
          <w:rFonts w:ascii="宋体" w:hAnsi="宋体" w:cs="宋体"/>
          <w:sz w:val="24"/>
          <w:szCs w:val="28"/>
        </w:rPr>
        <w:t>，终止日为特许经营期满之日。</w:t>
      </w:r>
    </w:p>
    <w:p w14:paraId="4E31AA05">
      <w:pPr>
        <w:pStyle w:val="4"/>
        <w:tabs>
          <w:tab w:val="left" w:pos="420"/>
        </w:tabs>
        <w:snapToGrid w:val="0"/>
        <w:spacing w:before="0" w:after="0" w:line="360" w:lineRule="auto"/>
        <w:jc w:val="both"/>
        <w:rPr>
          <w:rFonts w:hAnsi="宋体" w:cs="宋体"/>
          <w:sz w:val="24"/>
          <w:szCs w:val="28"/>
        </w:rPr>
      </w:pPr>
      <w:bookmarkStart w:id="52" w:name="_Toc4366"/>
      <w:r>
        <w:rPr>
          <w:rFonts w:hint="eastAsia" w:hAnsi="宋体" w:cs="宋体"/>
          <w:sz w:val="24"/>
          <w:szCs w:val="28"/>
        </w:rPr>
        <w:t>8.</w:t>
      </w:r>
      <w:r>
        <w:rPr>
          <w:rFonts w:hAnsi="宋体" w:cs="宋体"/>
          <w:sz w:val="24"/>
          <w:szCs w:val="28"/>
        </w:rPr>
        <w:t>特许经营服务范围</w:t>
      </w:r>
      <w:bookmarkEnd w:id="52"/>
    </w:p>
    <w:p w14:paraId="040C4888">
      <w:pPr>
        <w:snapToGrid w:val="0"/>
        <w:spacing w:line="360" w:lineRule="auto"/>
        <w:ind w:firstLine="480" w:firstLineChars="200"/>
        <w:rPr>
          <w:rFonts w:ascii="宋体" w:hAnsi="宋体" w:cs="宋体"/>
          <w:sz w:val="24"/>
          <w:szCs w:val="28"/>
        </w:rPr>
      </w:pPr>
      <w:r>
        <w:rPr>
          <w:rFonts w:ascii="宋体" w:hAnsi="宋体" w:cs="宋体"/>
          <w:sz w:val="24"/>
          <w:szCs w:val="28"/>
        </w:rPr>
        <w:t>本项目特许经营服务范围为：南水北调水厂出厂流量计（不含出厂流量计）至东城街道、北城街道、槐店回族镇城区供水管网覆盖范围内的用户终端；城乡一体化水厂出厂流量计（不含出厂流量计）至付井水厂、大邢庄水厂、北杨集水厂、冯营水厂、老城水厂、李老庄水厂、卞路口水厂、白集水厂、周营水厂、新安集水厂、纸店水厂、洪山水厂、石槽水厂、赵德营水厂、范营水厂、刘庄店水厂、留福水厂、莲池镇供水站（3座）合计20座水厂站出厂流量计的连接管网、20座供水厂站及供水设施。</w:t>
      </w:r>
    </w:p>
    <w:p w14:paraId="169143FA">
      <w:pPr>
        <w:jc w:val="center"/>
      </w:pPr>
      <w:r>
        <w:drawing>
          <wp:inline distT="0" distB="0" distL="114300" distR="114300">
            <wp:extent cx="4522470" cy="3623310"/>
            <wp:effectExtent l="0" t="0" r="11430" b="1524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7"/>
                    <a:stretch>
                      <a:fillRect/>
                    </a:stretch>
                  </pic:blipFill>
                  <pic:spPr>
                    <a:xfrm>
                      <a:off x="0" y="0"/>
                      <a:ext cx="4522470" cy="3623310"/>
                    </a:xfrm>
                    <a:prstGeom prst="rect">
                      <a:avLst/>
                    </a:prstGeom>
                    <a:noFill/>
                    <a:ln>
                      <a:noFill/>
                    </a:ln>
                  </pic:spPr>
                </pic:pic>
              </a:graphicData>
            </a:graphic>
          </wp:inline>
        </w:drawing>
      </w:r>
    </w:p>
    <w:p w14:paraId="59FBB50D">
      <w:pPr>
        <w:jc w:val="center"/>
      </w:pPr>
      <w:r>
        <w:rPr>
          <w:rFonts w:hint="eastAsia"/>
        </w:rPr>
        <w:t>图1 沈丘县城区供水范围示意图</w:t>
      </w:r>
    </w:p>
    <w:p w14:paraId="01117744">
      <w:r>
        <w:drawing>
          <wp:inline distT="0" distB="0" distL="114300" distR="114300">
            <wp:extent cx="5267960" cy="6885940"/>
            <wp:effectExtent l="0" t="0" r="8890" b="1016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8"/>
                    <a:stretch>
                      <a:fillRect/>
                    </a:stretch>
                  </pic:blipFill>
                  <pic:spPr>
                    <a:xfrm>
                      <a:off x="0" y="0"/>
                      <a:ext cx="5267960" cy="6885940"/>
                    </a:xfrm>
                    <a:prstGeom prst="rect">
                      <a:avLst/>
                    </a:prstGeom>
                    <a:noFill/>
                    <a:ln>
                      <a:noFill/>
                    </a:ln>
                  </pic:spPr>
                </pic:pic>
              </a:graphicData>
            </a:graphic>
          </wp:inline>
        </w:drawing>
      </w:r>
    </w:p>
    <w:p w14:paraId="1D1C7560">
      <w:pPr>
        <w:jc w:val="center"/>
      </w:pPr>
      <w:r>
        <w:rPr>
          <w:rFonts w:hint="eastAsia"/>
        </w:rPr>
        <w:t>图2 沈丘县乡镇供水厂范围示意图</w:t>
      </w:r>
    </w:p>
    <w:p w14:paraId="348D25B3">
      <w:pPr>
        <w:pStyle w:val="3"/>
        <w:tabs>
          <w:tab w:val="left" w:pos="420"/>
        </w:tabs>
        <w:snapToGrid w:val="0"/>
        <w:spacing w:before="0" w:after="0" w:line="360" w:lineRule="auto"/>
        <w:ind w:firstLine="0"/>
        <w:jc w:val="left"/>
        <w:rPr>
          <w:rFonts w:ascii="宋体" w:hAnsi="宋体" w:eastAsia="宋体" w:cs="宋体"/>
          <w:sz w:val="24"/>
          <w:szCs w:val="28"/>
        </w:rPr>
      </w:pPr>
      <w:bookmarkStart w:id="53" w:name="_Toc6350"/>
      <w:bookmarkStart w:id="54" w:name="_Toc445932938"/>
      <w:bookmarkStart w:id="55" w:name="_Toc31247"/>
      <w:bookmarkStart w:id="56" w:name="_Toc15251"/>
      <w:bookmarkStart w:id="57" w:name="_Toc22548"/>
      <w:bookmarkStart w:id="58" w:name="_Toc25904"/>
      <w:bookmarkStart w:id="59" w:name="_Toc18143"/>
      <w:bookmarkStart w:id="60" w:name="_Toc12489"/>
      <w:bookmarkStart w:id="61" w:name="_Toc30632"/>
      <w:bookmarkStart w:id="62" w:name="_Toc24944"/>
      <w:bookmarkStart w:id="63" w:name="_Toc29904"/>
      <w:bookmarkStart w:id="64" w:name="_Toc21521"/>
      <w:r>
        <w:rPr>
          <w:rFonts w:hint="eastAsia" w:ascii="宋体" w:hAnsi="宋体" w:eastAsia="宋体" w:cs="宋体"/>
          <w:sz w:val="24"/>
          <w:szCs w:val="28"/>
        </w:rPr>
        <w:t>9.资产权属</w:t>
      </w:r>
      <w:bookmarkEnd w:id="53"/>
      <w:bookmarkEnd w:id="54"/>
      <w:bookmarkEnd w:id="55"/>
      <w:bookmarkEnd w:id="56"/>
      <w:bookmarkEnd w:id="57"/>
      <w:bookmarkEnd w:id="58"/>
      <w:bookmarkEnd w:id="59"/>
      <w:bookmarkEnd w:id="60"/>
      <w:bookmarkEnd w:id="61"/>
      <w:bookmarkEnd w:id="62"/>
      <w:bookmarkEnd w:id="63"/>
    </w:p>
    <w:p w14:paraId="667CF986">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特许经营期内，存量资产所有权归属政府方，项目公司仅拥有经营权和收益权。特许经营期满后，项目公司须将该部分资产按照特许经营协议约定完好、无偿、无债务和无权利瑕疵的移交给项目实施机构或政府指定的其他机构。若特许经营期内通过新建或改造形成的新增供水相关资产，根据资金性质来源，双方一事一议，另行协商约定。</w:t>
      </w:r>
    </w:p>
    <w:p w14:paraId="7845AA2E">
      <w:pPr>
        <w:pStyle w:val="3"/>
        <w:tabs>
          <w:tab w:val="left" w:pos="420"/>
        </w:tabs>
        <w:snapToGrid w:val="0"/>
        <w:spacing w:before="0" w:after="0" w:line="360" w:lineRule="auto"/>
        <w:ind w:firstLine="0"/>
        <w:jc w:val="left"/>
        <w:rPr>
          <w:rFonts w:ascii="宋体" w:hAnsi="宋体" w:eastAsia="宋体" w:cs="宋体"/>
          <w:sz w:val="24"/>
          <w:szCs w:val="28"/>
        </w:rPr>
      </w:pPr>
      <w:bookmarkStart w:id="65" w:name="_Toc6361"/>
      <w:r>
        <w:rPr>
          <w:rFonts w:hint="eastAsia" w:ascii="宋体" w:hAnsi="宋体" w:eastAsia="宋体" w:cs="宋体"/>
          <w:sz w:val="24"/>
          <w:szCs w:val="28"/>
        </w:rPr>
        <w:t>10.</w:t>
      </w:r>
      <w:r>
        <w:rPr>
          <w:rFonts w:ascii="宋体" w:hAnsi="宋体" w:eastAsia="宋体" w:cs="宋体"/>
          <w:sz w:val="24"/>
          <w:szCs w:val="28"/>
        </w:rPr>
        <w:t>政府</w:t>
      </w:r>
      <w:r>
        <w:rPr>
          <w:rFonts w:hint="eastAsia" w:ascii="宋体" w:hAnsi="宋体" w:eastAsia="宋体" w:cs="宋体"/>
          <w:sz w:val="24"/>
          <w:szCs w:val="28"/>
        </w:rPr>
        <w:t>方</w:t>
      </w:r>
      <w:r>
        <w:rPr>
          <w:rFonts w:ascii="宋体" w:hAnsi="宋体" w:eastAsia="宋体" w:cs="宋体"/>
          <w:sz w:val="24"/>
          <w:szCs w:val="28"/>
        </w:rPr>
        <w:t>承诺和保障</w:t>
      </w:r>
      <w:bookmarkEnd w:id="64"/>
      <w:bookmarkEnd w:id="65"/>
    </w:p>
    <w:p w14:paraId="6BF9CC9D">
      <w:pPr>
        <w:pStyle w:val="4"/>
        <w:tabs>
          <w:tab w:val="left" w:pos="420"/>
        </w:tabs>
        <w:snapToGrid w:val="0"/>
        <w:spacing w:before="0" w:after="0" w:line="360" w:lineRule="auto"/>
        <w:ind w:firstLine="480" w:firstLineChars="200"/>
        <w:jc w:val="left"/>
        <w:rPr>
          <w:rFonts w:hAnsi="宋体" w:cs="宋体"/>
          <w:b w:val="0"/>
          <w:bCs w:val="0"/>
          <w:sz w:val="24"/>
          <w:szCs w:val="28"/>
        </w:rPr>
      </w:pPr>
      <w:bookmarkStart w:id="66" w:name="_Toc148"/>
      <w:r>
        <w:rPr>
          <w:rFonts w:hint="eastAsia" w:hAnsi="宋体" w:cs="宋体"/>
          <w:b w:val="0"/>
          <w:bCs w:val="0"/>
          <w:sz w:val="24"/>
          <w:szCs w:val="28"/>
        </w:rPr>
        <w:t>（1）</w:t>
      </w:r>
      <w:r>
        <w:rPr>
          <w:rFonts w:hAnsi="宋体" w:cs="宋体"/>
          <w:b w:val="0"/>
          <w:bCs w:val="0"/>
          <w:sz w:val="24"/>
          <w:szCs w:val="28"/>
        </w:rPr>
        <w:t>协调与政府部门的联系</w:t>
      </w:r>
      <w:bookmarkEnd w:id="66"/>
    </w:p>
    <w:p w14:paraId="0A7DCBE9">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项目合作期内</w:t>
      </w:r>
      <w:r>
        <w:rPr>
          <w:rFonts w:ascii="宋体" w:hAnsi="宋体" w:cs="宋体"/>
          <w:sz w:val="24"/>
          <w:szCs w:val="28"/>
        </w:rPr>
        <w:t>负责协调项目公司与政府有关部门的联系。</w:t>
      </w:r>
    </w:p>
    <w:p w14:paraId="356BF982">
      <w:pPr>
        <w:pStyle w:val="4"/>
        <w:tabs>
          <w:tab w:val="left" w:pos="420"/>
        </w:tabs>
        <w:snapToGrid w:val="0"/>
        <w:spacing w:before="0" w:after="0" w:line="360" w:lineRule="auto"/>
        <w:ind w:firstLine="480" w:firstLineChars="200"/>
        <w:jc w:val="left"/>
        <w:rPr>
          <w:rFonts w:hAnsi="宋体" w:cs="宋体"/>
          <w:b w:val="0"/>
          <w:bCs w:val="0"/>
          <w:sz w:val="24"/>
          <w:szCs w:val="28"/>
        </w:rPr>
      </w:pPr>
      <w:bookmarkStart w:id="67" w:name="_Toc18587"/>
      <w:r>
        <w:rPr>
          <w:rFonts w:hint="eastAsia" w:hAnsi="宋体" w:cs="宋体"/>
          <w:b w:val="0"/>
          <w:bCs w:val="0"/>
          <w:sz w:val="24"/>
          <w:szCs w:val="28"/>
        </w:rPr>
        <w:t>（2）</w:t>
      </w:r>
      <w:r>
        <w:rPr>
          <w:rFonts w:hAnsi="宋体" w:cs="宋体"/>
          <w:b w:val="0"/>
          <w:bCs w:val="0"/>
          <w:sz w:val="24"/>
          <w:szCs w:val="28"/>
        </w:rPr>
        <w:t>特许经营权的有效性</w:t>
      </w:r>
      <w:bookmarkEnd w:id="67"/>
    </w:p>
    <w:p w14:paraId="09C68EEB">
      <w:pPr>
        <w:snapToGrid w:val="0"/>
        <w:spacing w:line="360" w:lineRule="auto"/>
        <w:ind w:firstLine="480" w:firstLineChars="200"/>
        <w:jc w:val="left"/>
        <w:rPr>
          <w:rFonts w:ascii="宋体" w:hAnsi="宋体" w:cs="宋体"/>
          <w:sz w:val="24"/>
          <w:szCs w:val="28"/>
        </w:rPr>
      </w:pPr>
      <w:r>
        <w:rPr>
          <w:rFonts w:ascii="宋体" w:hAnsi="宋体" w:cs="宋体"/>
          <w:sz w:val="24"/>
          <w:szCs w:val="28"/>
        </w:rPr>
        <w:t>政府</w:t>
      </w:r>
      <w:r>
        <w:rPr>
          <w:rFonts w:hint="eastAsia" w:ascii="宋体" w:hAnsi="宋体" w:cs="宋体"/>
          <w:sz w:val="24"/>
          <w:szCs w:val="28"/>
        </w:rPr>
        <w:t>方</w:t>
      </w:r>
      <w:r>
        <w:rPr>
          <w:rFonts w:ascii="宋体" w:hAnsi="宋体" w:cs="宋体"/>
          <w:sz w:val="24"/>
          <w:szCs w:val="28"/>
        </w:rPr>
        <w:t>承诺特许经营期内，</w:t>
      </w:r>
      <w:r>
        <w:rPr>
          <w:rFonts w:hint="eastAsia" w:ascii="宋体" w:hAnsi="宋体" w:cs="宋体"/>
          <w:sz w:val="24"/>
          <w:szCs w:val="28"/>
        </w:rPr>
        <w:t>依法保持按照特许经营协议授予中标特许经营者从事本项目特许经营活动的相关权利在特许经营期内合法有效。实施机构</w:t>
      </w:r>
      <w:r>
        <w:rPr>
          <w:rFonts w:ascii="宋体" w:hAnsi="宋体" w:cs="宋体"/>
          <w:sz w:val="24"/>
          <w:szCs w:val="28"/>
        </w:rPr>
        <w:t>和政府部门不以任何方式将已授予</w:t>
      </w:r>
      <w:r>
        <w:rPr>
          <w:rFonts w:hint="eastAsia" w:ascii="宋体" w:hAnsi="宋体" w:cs="宋体"/>
          <w:sz w:val="24"/>
          <w:szCs w:val="28"/>
        </w:rPr>
        <w:t>中标特许经营者</w:t>
      </w:r>
      <w:r>
        <w:rPr>
          <w:rFonts w:ascii="宋体" w:hAnsi="宋体" w:cs="宋体"/>
          <w:sz w:val="24"/>
          <w:szCs w:val="28"/>
        </w:rPr>
        <w:t>的本项目特许经营相关权利的全部或部分重复授予第三方，或者以任何方式减少特许经营授权的内容、妨碍</w:t>
      </w:r>
      <w:r>
        <w:rPr>
          <w:rFonts w:hint="eastAsia" w:ascii="宋体" w:hAnsi="宋体" w:cs="宋体"/>
          <w:sz w:val="24"/>
          <w:szCs w:val="28"/>
        </w:rPr>
        <w:t>中标特许经营者</w:t>
      </w:r>
      <w:r>
        <w:rPr>
          <w:rFonts w:ascii="宋体" w:hAnsi="宋体" w:cs="宋体"/>
          <w:sz w:val="24"/>
          <w:szCs w:val="28"/>
        </w:rPr>
        <w:t>行使特许经营的相关权利</w:t>
      </w:r>
      <w:r>
        <w:rPr>
          <w:rFonts w:hint="eastAsia" w:ascii="宋体" w:hAnsi="宋体" w:cs="宋体"/>
          <w:sz w:val="24"/>
          <w:szCs w:val="28"/>
        </w:rPr>
        <w:t>。</w:t>
      </w:r>
    </w:p>
    <w:p w14:paraId="6E80B827">
      <w:pPr>
        <w:pStyle w:val="4"/>
        <w:tabs>
          <w:tab w:val="left" w:pos="420"/>
        </w:tabs>
        <w:snapToGrid w:val="0"/>
        <w:spacing w:before="0" w:after="0" w:line="360" w:lineRule="auto"/>
        <w:ind w:firstLine="480" w:firstLineChars="200"/>
        <w:jc w:val="left"/>
        <w:rPr>
          <w:rFonts w:hAnsi="宋体" w:cs="宋体"/>
          <w:b w:val="0"/>
          <w:bCs w:val="0"/>
          <w:sz w:val="24"/>
          <w:szCs w:val="28"/>
        </w:rPr>
      </w:pPr>
      <w:bookmarkStart w:id="68" w:name="_Toc27217"/>
      <w:r>
        <w:rPr>
          <w:rFonts w:hint="eastAsia" w:hAnsi="宋体" w:cs="宋体"/>
          <w:b w:val="0"/>
          <w:bCs w:val="0"/>
          <w:sz w:val="24"/>
          <w:szCs w:val="28"/>
        </w:rPr>
        <w:t>（3）</w:t>
      </w:r>
      <w:r>
        <w:rPr>
          <w:rFonts w:hAnsi="宋体" w:cs="宋体"/>
          <w:b w:val="0"/>
          <w:bCs w:val="0"/>
          <w:sz w:val="24"/>
          <w:szCs w:val="28"/>
        </w:rPr>
        <w:t>存量资产移交</w:t>
      </w:r>
      <w:r>
        <w:rPr>
          <w:rFonts w:hint="eastAsia" w:hAnsi="宋体" w:cs="宋体"/>
          <w:b w:val="0"/>
          <w:bCs w:val="0"/>
          <w:sz w:val="24"/>
          <w:szCs w:val="28"/>
        </w:rPr>
        <w:t>及人员安置</w:t>
      </w:r>
      <w:bookmarkEnd w:id="68"/>
    </w:p>
    <w:p w14:paraId="11CA074A">
      <w:pPr>
        <w:snapToGrid w:val="0"/>
        <w:spacing w:line="360" w:lineRule="auto"/>
        <w:ind w:firstLine="480" w:firstLineChars="200"/>
        <w:jc w:val="left"/>
        <w:rPr>
          <w:rFonts w:ascii="宋体" w:hAnsi="宋体" w:cs="宋体"/>
          <w:sz w:val="24"/>
          <w:szCs w:val="28"/>
        </w:rPr>
      </w:pPr>
      <w:r>
        <w:rPr>
          <w:rFonts w:ascii="宋体" w:hAnsi="宋体" w:cs="宋体"/>
          <w:sz w:val="24"/>
          <w:szCs w:val="28"/>
        </w:rPr>
        <w:t>政府方应在特许经营协议签订后</w:t>
      </w:r>
      <w:r>
        <w:rPr>
          <w:rFonts w:hint="eastAsia" w:ascii="宋体" w:hAnsi="宋体" w:cs="宋体"/>
          <w:sz w:val="24"/>
          <w:szCs w:val="28"/>
        </w:rPr>
        <w:t>15</w:t>
      </w:r>
      <w:r>
        <w:rPr>
          <w:rFonts w:ascii="宋体" w:hAnsi="宋体" w:cs="宋体"/>
          <w:sz w:val="24"/>
          <w:szCs w:val="28"/>
        </w:rPr>
        <w:t>日内</w:t>
      </w:r>
      <w:r>
        <w:rPr>
          <w:rFonts w:hint="eastAsia" w:ascii="宋体" w:hAnsi="宋体" w:cs="宋体"/>
          <w:sz w:val="24"/>
          <w:szCs w:val="28"/>
        </w:rPr>
        <w:t>确定存量资产移交清单及人员安置方案，</w:t>
      </w:r>
      <w:r>
        <w:rPr>
          <w:rFonts w:ascii="宋体" w:hAnsi="宋体" w:cs="宋体"/>
          <w:sz w:val="24"/>
          <w:szCs w:val="28"/>
        </w:rPr>
        <w:t>特许经营协议签订后30日内完成存量资产移交</w:t>
      </w:r>
      <w:r>
        <w:rPr>
          <w:rFonts w:hint="eastAsia" w:ascii="宋体" w:hAnsi="宋体" w:cs="宋体"/>
          <w:sz w:val="24"/>
          <w:szCs w:val="28"/>
        </w:rPr>
        <w:t>及人员安置工作</w:t>
      </w:r>
      <w:r>
        <w:rPr>
          <w:rFonts w:ascii="宋体" w:hAnsi="宋体" w:cs="宋体"/>
          <w:sz w:val="24"/>
          <w:szCs w:val="28"/>
        </w:rPr>
        <w:t>。</w:t>
      </w:r>
    </w:p>
    <w:p w14:paraId="3703A363">
      <w:pPr>
        <w:pStyle w:val="4"/>
        <w:tabs>
          <w:tab w:val="left" w:pos="420"/>
        </w:tabs>
        <w:snapToGrid w:val="0"/>
        <w:spacing w:before="0" w:after="0" w:line="360" w:lineRule="auto"/>
        <w:ind w:firstLine="480" w:firstLineChars="200"/>
        <w:jc w:val="left"/>
        <w:rPr>
          <w:rFonts w:hAnsi="宋体" w:cs="宋体"/>
          <w:b w:val="0"/>
          <w:bCs w:val="0"/>
          <w:sz w:val="24"/>
          <w:szCs w:val="28"/>
        </w:rPr>
      </w:pPr>
      <w:bookmarkStart w:id="69" w:name="_Toc29054"/>
      <w:r>
        <w:rPr>
          <w:rFonts w:hint="eastAsia" w:hAnsi="宋体" w:cs="宋体"/>
          <w:b w:val="0"/>
          <w:bCs w:val="0"/>
          <w:sz w:val="24"/>
          <w:szCs w:val="28"/>
        </w:rPr>
        <w:t>（4）</w:t>
      </w:r>
      <w:r>
        <w:rPr>
          <w:rFonts w:hAnsi="宋体" w:cs="宋体"/>
          <w:b w:val="0"/>
          <w:bCs w:val="0"/>
          <w:sz w:val="24"/>
          <w:szCs w:val="28"/>
        </w:rPr>
        <w:t>提供项目相关审批手续和融资证明文件</w:t>
      </w:r>
      <w:bookmarkEnd w:id="69"/>
    </w:p>
    <w:p w14:paraId="63FD685F">
      <w:pPr>
        <w:snapToGrid w:val="0"/>
        <w:spacing w:line="360" w:lineRule="auto"/>
        <w:ind w:firstLine="480" w:firstLineChars="200"/>
        <w:jc w:val="left"/>
        <w:rPr>
          <w:rFonts w:ascii="宋体" w:hAnsi="宋体" w:cs="宋体"/>
          <w:sz w:val="24"/>
          <w:szCs w:val="28"/>
        </w:rPr>
      </w:pPr>
      <w:r>
        <w:rPr>
          <w:rFonts w:ascii="宋体" w:hAnsi="宋体" w:cs="宋体"/>
          <w:sz w:val="24"/>
          <w:szCs w:val="28"/>
        </w:rPr>
        <w:t>提供项目相关的审批手续（包含项目立项审批、竣工决算、竣工验收、土地权属证明、房产权属证明等）、运营资料（项目图纸、人事资料等）等融资和运营所必需的资料或文件。</w:t>
      </w:r>
    </w:p>
    <w:p w14:paraId="5961BAB5">
      <w:pPr>
        <w:pStyle w:val="4"/>
        <w:tabs>
          <w:tab w:val="left" w:pos="420"/>
        </w:tabs>
        <w:snapToGrid w:val="0"/>
        <w:spacing w:before="0" w:after="0" w:line="360" w:lineRule="auto"/>
        <w:ind w:firstLine="480" w:firstLineChars="200"/>
        <w:jc w:val="left"/>
        <w:rPr>
          <w:rFonts w:hAnsi="宋体" w:cs="宋体"/>
          <w:b w:val="0"/>
          <w:bCs w:val="0"/>
          <w:sz w:val="24"/>
          <w:szCs w:val="28"/>
        </w:rPr>
      </w:pPr>
      <w:bookmarkStart w:id="70" w:name="_Toc18936"/>
      <w:r>
        <w:rPr>
          <w:rFonts w:hint="eastAsia" w:hAnsi="宋体" w:cs="宋体"/>
          <w:b w:val="0"/>
          <w:bCs w:val="0"/>
          <w:sz w:val="24"/>
          <w:szCs w:val="28"/>
        </w:rPr>
        <w:t>（5）关闭特许经营范围内的自备井</w:t>
      </w:r>
      <w:bookmarkEnd w:id="70"/>
    </w:p>
    <w:p w14:paraId="7517C1B1">
      <w:pPr>
        <w:snapToGrid w:val="0"/>
        <w:spacing w:line="360" w:lineRule="auto"/>
        <w:ind w:firstLine="480" w:firstLineChars="200"/>
        <w:jc w:val="left"/>
        <w:rPr>
          <w:rFonts w:ascii="宋体" w:hAnsi="宋体" w:cs="宋体"/>
          <w:sz w:val="24"/>
          <w:szCs w:val="28"/>
        </w:rPr>
      </w:pPr>
      <w:r>
        <w:rPr>
          <w:rFonts w:ascii="宋体" w:hAnsi="宋体" w:cs="宋体"/>
          <w:sz w:val="24"/>
          <w:szCs w:val="28"/>
        </w:rPr>
        <w:t>政府</w:t>
      </w:r>
      <w:r>
        <w:rPr>
          <w:rFonts w:hint="eastAsia" w:ascii="宋体" w:hAnsi="宋体" w:cs="宋体"/>
          <w:sz w:val="24"/>
          <w:szCs w:val="28"/>
        </w:rPr>
        <w:t>方</w:t>
      </w:r>
      <w:r>
        <w:rPr>
          <w:rFonts w:ascii="宋体" w:hAnsi="宋体" w:cs="宋体"/>
          <w:sz w:val="24"/>
          <w:szCs w:val="28"/>
        </w:rPr>
        <w:t>承诺依据国家法律法规，</w:t>
      </w:r>
      <w:r>
        <w:rPr>
          <w:rFonts w:hint="eastAsia" w:ascii="宋体" w:hAnsi="宋体" w:cs="宋体"/>
          <w:sz w:val="24"/>
          <w:szCs w:val="28"/>
        </w:rPr>
        <w:t>在</w:t>
      </w:r>
      <w:r>
        <w:rPr>
          <w:rFonts w:ascii="宋体" w:hAnsi="宋体" w:cs="宋体"/>
          <w:sz w:val="24"/>
          <w:szCs w:val="28"/>
        </w:rPr>
        <w:t>特许经营协议签订后</w:t>
      </w:r>
      <w:r>
        <w:rPr>
          <w:rFonts w:hint="eastAsia" w:ascii="宋体" w:hAnsi="宋体" w:cs="宋体"/>
          <w:sz w:val="24"/>
          <w:szCs w:val="28"/>
        </w:rPr>
        <w:t>1年</w:t>
      </w:r>
      <w:r>
        <w:rPr>
          <w:rFonts w:ascii="宋体" w:hAnsi="宋体" w:cs="宋体"/>
          <w:sz w:val="24"/>
          <w:szCs w:val="28"/>
        </w:rPr>
        <w:t>内</w:t>
      </w:r>
      <w:r>
        <w:rPr>
          <w:rFonts w:hint="eastAsia" w:ascii="宋体" w:hAnsi="宋体" w:cs="宋体"/>
          <w:sz w:val="24"/>
          <w:szCs w:val="28"/>
        </w:rPr>
        <w:t>将</w:t>
      </w:r>
      <w:r>
        <w:rPr>
          <w:rFonts w:ascii="宋体" w:hAnsi="宋体" w:cs="宋体"/>
          <w:sz w:val="24"/>
          <w:szCs w:val="28"/>
        </w:rPr>
        <w:t>公共供水管网覆盖</w:t>
      </w:r>
      <w:r>
        <w:rPr>
          <w:rFonts w:hint="eastAsia" w:ascii="宋体" w:hAnsi="宋体" w:cs="宋体"/>
          <w:sz w:val="24"/>
          <w:szCs w:val="28"/>
        </w:rPr>
        <w:t>区域内的居民小区、</w:t>
      </w:r>
      <w:r>
        <w:rPr>
          <w:rFonts w:ascii="宋体" w:hAnsi="宋体" w:cs="宋体"/>
          <w:sz w:val="24"/>
          <w:szCs w:val="28"/>
        </w:rPr>
        <w:t>企事业单位自备井</w:t>
      </w:r>
      <w:r>
        <w:rPr>
          <w:rFonts w:hint="eastAsia" w:ascii="宋体" w:hAnsi="宋体" w:cs="宋体"/>
          <w:sz w:val="24"/>
          <w:szCs w:val="28"/>
        </w:rPr>
        <w:t>全部关停</w:t>
      </w:r>
      <w:r>
        <w:rPr>
          <w:rFonts w:ascii="宋体" w:hAnsi="宋体" w:cs="宋体"/>
          <w:sz w:val="24"/>
          <w:szCs w:val="28"/>
        </w:rPr>
        <w:t>，确保特许经营者的</w:t>
      </w:r>
      <w:r>
        <w:rPr>
          <w:rFonts w:hint="eastAsia" w:ascii="宋体" w:hAnsi="宋体" w:cs="宋体"/>
          <w:sz w:val="24"/>
          <w:szCs w:val="28"/>
        </w:rPr>
        <w:t>权力</w:t>
      </w:r>
      <w:r>
        <w:rPr>
          <w:rFonts w:ascii="宋体" w:hAnsi="宋体" w:cs="宋体"/>
          <w:sz w:val="24"/>
          <w:szCs w:val="28"/>
        </w:rPr>
        <w:t>不被非法侵占。</w:t>
      </w:r>
    </w:p>
    <w:p w14:paraId="44D40E92">
      <w:pPr>
        <w:pStyle w:val="4"/>
        <w:tabs>
          <w:tab w:val="left" w:pos="420"/>
        </w:tabs>
        <w:snapToGrid w:val="0"/>
        <w:spacing w:before="0" w:after="0" w:line="360" w:lineRule="auto"/>
        <w:ind w:firstLine="480" w:firstLineChars="200"/>
        <w:jc w:val="left"/>
        <w:rPr>
          <w:rFonts w:hAnsi="宋体" w:cs="宋体"/>
          <w:b w:val="0"/>
          <w:bCs w:val="0"/>
          <w:sz w:val="24"/>
          <w:szCs w:val="28"/>
        </w:rPr>
      </w:pPr>
      <w:bookmarkStart w:id="71" w:name="_Toc7609"/>
      <w:r>
        <w:rPr>
          <w:rFonts w:hint="eastAsia" w:hAnsi="宋体" w:cs="宋体"/>
          <w:b w:val="0"/>
          <w:bCs w:val="0"/>
          <w:sz w:val="24"/>
          <w:szCs w:val="28"/>
        </w:rPr>
        <w:t>（6）保障水源、水质稳定性</w:t>
      </w:r>
      <w:bookmarkEnd w:id="71"/>
    </w:p>
    <w:p w14:paraId="20AC60C3">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本项目自水厂购买成品水，政府方需保障取水指标及水质满足项目需求。</w:t>
      </w:r>
    </w:p>
    <w:p w14:paraId="15D521D9">
      <w:pPr>
        <w:pStyle w:val="4"/>
        <w:tabs>
          <w:tab w:val="left" w:pos="420"/>
        </w:tabs>
        <w:snapToGrid w:val="0"/>
        <w:spacing w:before="0" w:after="0" w:line="360" w:lineRule="auto"/>
        <w:ind w:firstLine="480" w:firstLineChars="200"/>
        <w:jc w:val="left"/>
        <w:rPr>
          <w:rFonts w:hAnsi="宋体" w:cs="宋体"/>
          <w:b w:val="0"/>
          <w:bCs w:val="0"/>
          <w:sz w:val="24"/>
          <w:szCs w:val="28"/>
        </w:rPr>
      </w:pPr>
      <w:bookmarkStart w:id="72" w:name="_Toc21848"/>
      <w:r>
        <w:rPr>
          <w:rFonts w:hint="eastAsia" w:hAnsi="宋体" w:cs="宋体"/>
          <w:b w:val="0"/>
          <w:bCs w:val="0"/>
          <w:sz w:val="24"/>
          <w:szCs w:val="28"/>
        </w:rPr>
        <w:t>（7）</w:t>
      </w:r>
      <w:r>
        <w:rPr>
          <w:rFonts w:hAnsi="宋体" w:cs="宋体"/>
          <w:b w:val="0"/>
          <w:bCs w:val="0"/>
          <w:sz w:val="24"/>
          <w:szCs w:val="28"/>
        </w:rPr>
        <w:t>争取政策支持</w:t>
      </w:r>
      <w:bookmarkEnd w:id="72"/>
    </w:p>
    <w:p w14:paraId="495E854A">
      <w:pPr>
        <w:snapToGrid w:val="0"/>
        <w:spacing w:line="360" w:lineRule="auto"/>
        <w:ind w:firstLine="480" w:firstLineChars="200"/>
        <w:jc w:val="left"/>
        <w:rPr>
          <w:rFonts w:ascii="宋体" w:hAnsi="宋体" w:cs="宋体"/>
          <w:sz w:val="24"/>
          <w:szCs w:val="28"/>
        </w:rPr>
      </w:pPr>
      <w:r>
        <w:rPr>
          <w:rFonts w:ascii="宋体" w:hAnsi="宋体" w:cs="宋体"/>
          <w:sz w:val="24"/>
          <w:szCs w:val="28"/>
        </w:rPr>
        <w:t>就本项目依法申请国家或省市相关专项或奖励资金、相关税收优惠政策向乙方提供协助</w:t>
      </w:r>
      <w:r>
        <w:rPr>
          <w:rFonts w:hint="eastAsia" w:ascii="宋体" w:hAnsi="宋体" w:cs="宋体"/>
          <w:sz w:val="24"/>
          <w:szCs w:val="28"/>
        </w:rPr>
        <w:t>。</w:t>
      </w:r>
    </w:p>
    <w:p w14:paraId="464C6438">
      <w:pPr>
        <w:snapToGrid w:val="0"/>
        <w:spacing w:line="360" w:lineRule="auto"/>
        <w:jc w:val="left"/>
        <w:rPr>
          <w:rFonts w:ascii="宋体" w:hAnsi="宋体" w:cs="宋体"/>
          <w:b/>
          <w:bCs/>
          <w:sz w:val="24"/>
          <w:szCs w:val="28"/>
        </w:rPr>
      </w:pPr>
      <w:bookmarkStart w:id="73" w:name="_Toc10035"/>
      <w:bookmarkStart w:id="74" w:name="_Toc9356"/>
      <w:bookmarkStart w:id="75" w:name="_Toc9327"/>
      <w:bookmarkStart w:id="76" w:name="_Toc10621"/>
      <w:bookmarkStart w:id="77" w:name="_Toc17732"/>
      <w:r>
        <w:rPr>
          <w:rFonts w:hint="eastAsia" w:ascii="宋体" w:hAnsi="宋体" w:cs="宋体"/>
          <w:b/>
          <w:bCs/>
          <w:sz w:val="24"/>
          <w:szCs w:val="28"/>
        </w:rPr>
        <w:t>11.</w:t>
      </w:r>
      <w:r>
        <w:rPr>
          <w:rFonts w:ascii="宋体" w:hAnsi="宋体" w:cs="宋体"/>
          <w:b/>
          <w:bCs/>
          <w:sz w:val="24"/>
          <w:szCs w:val="28"/>
        </w:rPr>
        <w:t>运营服务要求</w:t>
      </w:r>
      <w:bookmarkEnd w:id="73"/>
      <w:bookmarkEnd w:id="74"/>
      <w:bookmarkEnd w:id="75"/>
      <w:bookmarkEnd w:id="76"/>
      <w:bookmarkEnd w:id="77"/>
    </w:p>
    <w:p w14:paraId="1380031E">
      <w:pPr>
        <w:snapToGrid w:val="0"/>
        <w:spacing w:line="360" w:lineRule="auto"/>
        <w:ind w:firstLine="480" w:firstLineChars="200"/>
        <w:jc w:val="left"/>
        <w:rPr>
          <w:rFonts w:ascii="宋体" w:hAnsi="宋体" w:cs="宋体"/>
          <w:sz w:val="24"/>
          <w:szCs w:val="28"/>
        </w:rPr>
      </w:pPr>
      <w:bookmarkStart w:id="78" w:name="_Toc32237"/>
      <w:bookmarkStart w:id="79" w:name="_Toc8196"/>
      <w:bookmarkStart w:id="80" w:name="_Toc505"/>
      <w:bookmarkStart w:id="81" w:name="_Toc25832"/>
      <w:bookmarkStart w:id="82" w:name="_Toc30616"/>
      <w:bookmarkStart w:id="83" w:name="_Toc25773"/>
      <w:bookmarkStart w:id="84" w:name="_Toc4106"/>
      <w:bookmarkStart w:id="85" w:name="_Toc11368"/>
      <w:bookmarkStart w:id="86" w:name="_Toc15044"/>
      <w:bookmarkStart w:id="87" w:name="_Toc241363051"/>
      <w:r>
        <w:rPr>
          <w:rFonts w:hint="eastAsia" w:ascii="宋体" w:hAnsi="宋体" w:cs="宋体"/>
          <w:sz w:val="24"/>
          <w:szCs w:val="28"/>
        </w:rPr>
        <w:t>（1）遵循的标准和质量规范</w:t>
      </w:r>
      <w:bookmarkEnd w:id="78"/>
      <w:bookmarkEnd w:id="79"/>
      <w:bookmarkEnd w:id="80"/>
      <w:bookmarkEnd w:id="81"/>
      <w:bookmarkEnd w:id="82"/>
      <w:bookmarkEnd w:id="83"/>
      <w:bookmarkEnd w:id="84"/>
    </w:p>
    <w:p w14:paraId="2443155E">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本项目供水水质需符合国家《生活饮用水卫生标准》</w:t>
      </w:r>
      <w:r>
        <w:rPr>
          <w:rFonts w:ascii="宋体" w:hAnsi="宋体" w:cs="宋体"/>
          <w:sz w:val="24"/>
          <w:szCs w:val="28"/>
          <w:lang w:val="zh-CN"/>
        </w:rPr>
        <w:t>（</w:t>
      </w:r>
      <w:r>
        <w:rPr>
          <w:rFonts w:hint="eastAsia" w:ascii="宋体" w:hAnsi="宋体" w:cs="宋体"/>
          <w:sz w:val="24"/>
          <w:szCs w:val="28"/>
        </w:rPr>
        <w:t>GB5749-2022</w:t>
      </w:r>
      <w:r>
        <w:rPr>
          <w:rFonts w:hint="eastAsia" w:ascii="宋体" w:hAnsi="宋体" w:cs="宋体"/>
          <w:sz w:val="24"/>
          <w:szCs w:val="28"/>
          <w:lang w:val="zh-CN"/>
        </w:rPr>
        <w:t>）</w:t>
      </w:r>
      <w:r>
        <w:rPr>
          <w:rFonts w:hint="eastAsia" w:ascii="宋体" w:hAnsi="宋体" w:cs="宋体"/>
          <w:sz w:val="24"/>
          <w:szCs w:val="28"/>
        </w:rPr>
        <w:t>要求；</w:t>
      </w:r>
      <w:r>
        <w:rPr>
          <w:rFonts w:ascii="宋体" w:hAnsi="宋体" w:cs="宋体"/>
          <w:sz w:val="24"/>
          <w:szCs w:val="28"/>
          <w:lang w:val="zh-CN"/>
        </w:rPr>
        <w:t>供水水压需满足《城市给水工程项目规范》（GB55026-2022</w:t>
      </w:r>
      <w:r>
        <w:rPr>
          <w:rFonts w:hint="eastAsia" w:ascii="宋体" w:hAnsi="宋体" w:cs="宋体"/>
          <w:sz w:val="24"/>
          <w:szCs w:val="28"/>
          <w:lang w:val="zh-CN"/>
        </w:rPr>
        <w:t>）；</w:t>
      </w:r>
      <w:r>
        <w:rPr>
          <w:rFonts w:hint="eastAsia" w:ascii="宋体" w:hAnsi="宋体" w:cs="宋体"/>
          <w:sz w:val="24"/>
          <w:szCs w:val="28"/>
        </w:rPr>
        <w:t>项目运营管理需</w:t>
      </w:r>
      <w:r>
        <w:rPr>
          <w:rFonts w:ascii="宋体" w:hAnsi="宋体" w:cs="宋体"/>
          <w:sz w:val="24"/>
          <w:szCs w:val="28"/>
          <w:lang w:val="zh-CN"/>
        </w:rPr>
        <w:t>符合《城镇供水管网运行、维护及安全技术规程》（CJJ207-2013）</w:t>
      </w:r>
      <w:r>
        <w:rPr>
          <w:rFonts w:hint="eastAsia" w:ascii="宋体" w:hAnsi="宋体" w:cs="宋体"/>
          <w:sz w:val="24"/>
          <w:szCs w:val="28"/>
        </w:rPr>
        <w:t>；供水服务须符合《城镇供水服务》（GB/T32063-2015）《供水条例》（第831号）</w:t>
      </w:r>
      <w:r>
        <w:rPr>
          <w:rFonts w:ascii="宋体" w:hAnsi="宋体" w:cs="宋体"/>
          <w:sz w:val="24"/>
          <w:szCs w:val="28"/>
        </w:rPr>
        <w:t>《村镇供水工程技术规范》（GB/T43824-2024）</w:t>
      </w:r>
      <w:r>
        <w:rPr>
          <w:rFonts w:hint="eastAsia" w:ascii="宋体" w:hAnsi="宋体" w:cs="宋体"/>
          <w:sz w:val="24"/>
          <w:szCs w:val="28"/>
        </w:rPr>
        <w:t>。</w:t>
      </w:r>
    </w:p>
    <w:p w14:paraId="2F589F03">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若国家相关规范或技术标准发生变化，以最新要求为准。</w:t>
      </w:r>
    </w:p>
    <w:bookmarkEnd w:id="85"/>
    <w:bookmarkEnd w:id="86"/>
    <w:bookmarkEnd w:id="87"/>
    <w:p w14:paraId="52B251A0">
      <w:pPr>
        <w:snapToGrid w:val="0"/>
        <w:spacing w:line="360" w:lineRule="auto"/>
        <w:jc w:val="left"/>
        <w:rPr>
          <w:rFonts w:ascii="宋体" w:hAnsi="宋体" w:cs="宋体"/>
          <w:b/>
          <w:bCs/>
          <w:sz w:val="24"/>
          <w:szCs w:val="28"/>
        </w:rPr>
      </w:pPr>
      <w:bookmarkStart w:id="88" w:name="_Toc18370"/>
      <w:bookmarkStart w:id="89" w:name="_Toc16757"/>
      <w:bookmarkStart w:id="90" w:name="_Toc6113"/>
      <w:bookmarkStart w:id="91" w:name="_Toc5950"/>
      <w:bookmarkStart w:id="92" w:name="_Toc27840"/>
      <w:bookmarkStart w:id="93" w:name="_Toc23647"/>
      <w:bookmarkStart w:id="94" w:name="_Toc1864072132"/>
      <w:bookmarkStart w:id="95" w:name="_Toc9682"/>
      <w:bookmarkStart w:id="96" w:name="_Toc5865"/>
      <w:bookmarkStart w:id="97" w:name="_Toc14353"/>
      <w:r>
        <w:rPr>
          <w:rFonts w:hint="eastAsia" w:ascii="宋体" w:hAnsi="宋体" w:cs="宋体"/>
          <w:b/>
          <w:bCs/>
          <w:sz w:val="24"/>
          <w:szCs w:val="28"/>
        </w:rPr>
        <w:t>14.主要风险识别和分析</w:t>
      </w:r>
      <w:bookmarkEnd w:id="88"/>
      <w:bookmarkEnd w:id="89"/>
      <w:bookmarkEnd w:id="90"/>
      <w:bookmarkEnd w:id="91"/>
      <w:bookmarkEnd w:id="92"/>
      <w:bookmarkEnd w:id="93"/>
      <w:bookmarkEnd w:id="94"/>
      <w:bookmarkEnd w:id="95"/>
      <w:bookmarkEnd w:id="96"/>
      <w:bookmarkEnd w:id="97"/>
    </w:p>
    <w:p w14:paraId="3F9AEA47">
      <w:pPr>
        <w:snapToGrid w:val="0"/>
        <w:spacing w:line="360" w:lineRule="auto"/>
        <w:ind w:firstLine="480" w:firstLineChars="200"/>
        <w:jc w:val="left"/>
        <w:rPr>
          <w:rFonts w:ascii="宋体" w:hAnsi="宋体" w:cs="宋体"/>
          <w:sz w:val="24"/>
          <w:szCs w:val="28"/>
        </w:rPr>
      </w:pPr>
      <w:bookmarkStart w:id="98" w:name="（一）资产转让风险"/>
      <w:bookmarkEnd w:id="98"/>
      <w:r>
        <w:rPr>
          <w:rFonts w:hint="eastAsia" w:ascii="宋体" w:hAnsi="宋体" w:cs="宋体"/>
          <w:sz w:val="24"/>
          <w:szCs w:val="28"/>
        </w:rPr>
        <w:t>本方案从项目自身角度，对项目准备、运营、移交阶段进行风险识别和分析，主要包括政策、社会风险、环境风险、资金风险、不可抗力风险、前期资产转让、项目资金风险、运营管理风险、项目移交风险9大类风险。</w:t>
      </w:r>
    </w:p>
    <w:p w14:paraId="66D119E4">
      <w:pPr>
        <w:pStyle w:val="554"/>
      </w:pPr>
      <w:bookmarkStart w:id="99" w:name="_Toc30346"/>
      <w:r>
        <w:rPr>
          <w:rFonts w:hint="eastAsia"/>
        </w:rPr>
        <w:t>表2-1</w:t>
      </w:r>
      <w:r>
        <w:t>项目风险识别一览表</w:t>
      </w:r>
      <w:bookmarkEnd w:id="99"/>
    </w:p>
    <w:tbl>
      <w:tblPr>
        <w:tblStyle w:val="71"/>
        <w:tblW w:w="4998" w:type="pct"/>
        <w:tblInd w:w="0" w:type="dxa"/>
        <w:tblLayout w:type="autofit"/>
        <w:tblCellMar>
          <w:top w:w="0" w:type="dxa"/>
          <w:left w:w="108" w:type="dxa"/>
          <w:bottom w:w="0" w:type="dxa"/>
          <w:right w:w="108" w:type="dxa"/>
        </w:tblCellMar>
      </w:tblPr>
      <w:tblGrid>
        <w:gridCol w:w="1801"/>
        <w:gridCol w:w="2079"/>
        <w:gridCol w:w="4639"/>
      </w:tblGrid>
      <w:tr w14:paraId="2C8E5653">
        <w:tblPrEx>
          <w:tblCellMar>
            <w:top w:w="0" w:type="dxa"/>
            <w:left w:w="108" w:type="dxa"/>
            <w:bottom w:w="0" w:type="dxa"/>
            <w:right w:w="108" w:type="dxa"/>
          </w:tblCellMar>
        </w:tblPrEx>
        <w:trPr>
          <w:trHeight w:val="454" w:hRule="atLeast"/>
          <w:tblHeader/>
        </w:trPr>
        <w:tc>
          <w:tcPr>
            <w:tcW w:w="10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467EE2">
            <w:pPr>
              <w:pStyle w:val="594"/>
              <w:rPr>
                <w:b/>
                <w:bCs/>
              </w:rPr>
            </w:pPr>
            <w:r>
              <w:rPr>
                <w:rFonts w:hint="eastAsia"/>
                <w:b/>
                <w:bCs/>
              </w:rPr>
              <w:t>风险类别</w:t>
            </w:r>
          </w:p>
        </w:tc>
        <w:tc>
          <w:tcPr>
            <w:tcW w:w="122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7E112E">
            <w:pPr>
              <w:pStyle w:val="594"/>
              <w:rPr>
                <w:b/>
                <w:bCs/>
              </w:rPr>
            </w:pPr>
            <w:r>
              <w:rPr>
                <w:rFonts w:hint="eastAsia"/>
                <w:b/>
                <w:bCs/>
              </w:rPr>
              <w:t>风险分析</w:t>
            </w: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FE259D1">
            <w:pPr>
              <w:pStyle w:val="594"/>
              <w:rPr>
                <w:b/>
                <w:bCs/>
              </w:rPr>
            </w:pPr>
            <w:r>
              <w:rPr>
                <w:rFonts w:hint="eastAsia"/>
                <w:b/>
                <w:bCs/>
              </w:rPr>
              <w:t>风险描述</w:t>
            </w:r>
          </w:p>
        </w:tc>
      </w:tr>
      <w:tr w14:paraId="30FB74B9">
        <w:tblPrEx>
          <w:tblCellMar>
            <w:top w:w="0" w:type="dxa"/>
            <w:left w:w="108" w:type="dxa"/>
            <w:bottom w:w="0" w:type="dxa"/>
            <w:right w:w="108" w:type="dxa"/>
          </w:tblCellMar>
        </w:tblPrEx>
        <w:trPr>
          <w:trHeight w:val="454" w:hRule="atLeast"/>
        </w:trPr>
        <w:tc>
          <w:tcPr>
            <w:tcW w:w="105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588DC56">
            <w:pPr>
              <w:pStyle w:val="594"/>
            </w:pPr>
            <w:r>
              <w:rPr>
                <w:rFonts w:hint="eastAsia"/>
              </w:rPr>
              <w:t>法律政策调整风险</w:t>
            </w:r>
          </w:p>
        </w:tc>
        <w:tc>
          <w:tcPr>
            <w:tcW w:w="122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AE395D">
            <w:pPr>
              <w:pStyle w:val="594"/>
            </w:pPr>
            <w:r>
              <w:rPr>
                <w:rFonts w:hint="eastAsia"/>
              </w:rPr>
              <w:t>本级政府不可控</w:t>
            </w: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A89110">
            <w:pPr>
              <w:pStyle w:val="594"/>
              <w:jc w:val="left"/>
            </w:pPr>
            <w:r>
              <w:rPr>
                <w:rFonts w:hint="eastAsia"/>
              </w:rPr>
              <w:t>国家层面法律、政策变动，如行业标准、税收政策等，本级政府无法干预，冲击项目运营基础，导致运营受阻、成本收益改变。</w:t>
            </w:r>
          </w:p>
        </w:tc>
      </w:tr>
      <w:tr w14:paraId="6B6A8D65">
        <w:tblPrEx>
          <w:tblCellMar>
            <w:top w:w="0" w:type="dxa"/>
            <w:left w:w="108" w:type="dxa"/>
            <w:bottom w:w="0" w:type="dxa"/>
            <w:right w:w="108" w:type="dxa"/>
          </w:tblCellMar>
        </w:tblPrEx>
        <w:trPr>
          <w:trHeight w:val="825" w:hRule="atLeast"/>
        </w:trPr>
        <w:tc>
          <w:tcPr>
            <w:tcW w:w="105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5FA0991">
            <w:pPr>
              <w:pStyle w:val="594"/>
            </w:pPr>
          </w:p>
        </w:tc>
        <w:tc>
          <w:tcPr>
            <w:tcW w:w="122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B8F30D">
            <w:pPr>
              <w:pStyle w:val="594"/>
            </w:pPr>
            <w:r>
              <w:rPr>
                <w:rFonts w:hint="eastAsia"/>
              </w:rPr>
              <w:t>本级政府可控</w:t>
            </w: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EB308F">
            <w:pPr>
              <w:pStyle w:val="594"/>
              <w:jc w:val="left"/>
            </w:pPr>
            <w:r>
              <w:rPr>
                <w:rFonts w:hint="eastAsia"/>
              </w:rPr>
              <w:t>运营期内，本级政府因地方规划调整、行业监督管理要求、项目管理要求变动，影响项目运营模式、收益，可能使运营暂停、调整。</w:t>
            </w:r>
          </w:p>
        </w:tc>
      </w:tr>
      <w:tr w14:paraId="1DC0BF52">
        <w:tblPrEx>
          <w:tblCellMar>
            <w:top w:w="0" w:type="dxa"/>
            <w:left w:w="108" w:type="dxa"/>
            <w:bottom w:w="0" w:type="dxa"/>
            <w:right w:w="108" w:type="dxa"/>
          </w:tblCellMar>
        </w:tblPrEx>
        <w:trPr>
          <w:trHeight w:val="454" w:hRule="atLeast"/>
        </w:trPr>
        <w:tc>
          <w:tcPr>
            <w:tcW w:w="105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47B5B78">
            <w:pPr>
              <w:pStyle w:val="594"/>
            </w:pPr>
            <w:r>
              <w:rPr>
                <w:rFonts w:hint="eastAsia"/>
              </w:rPr>
              <w:t>社会风险</w:t>
            </w:r>
          </w:p>
        </w:tc>
        <w:tc>
          <w:tcPr>
            <w:tcW w:w="122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2E80DD">
            <w:pPr>
              <w:pStyle w:val="594"/>
            </w:pPr>
            <w:r>
              <w:rPr>
                <w:rFonts w:hint="eastAsia"/>
              </w:rPr>
              <w:t>公众投诉风险</w:t>
            </w: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E9684A">
            <w:pPr>
              <w:pStyle w:val="594"/>
              <w:jc w:val="left"/>
            </w:pPr>
            <w:r>
              <w:rPr>
                <w:rFonts w:hint="eastAsia"/>
              </w:rPr>
              <w:t>运营服务（如公共设施运营的服务质量、效率）未达到公众预期，引发公众投诉、抗议，甚至抵制使用，影响项目运营秩序与口碑。</w:t>
            </w:r>
          </w:p>
        </w:tc>
      </w:tr>
      <w:tr w14:paraId="18466F43">
        <w:tblPrEx>
          <w:tblCellMar>
            <w:top w:w="0" w:type="dxa"/>
            <w:left w:w="108" w:type="dxa"/>
            <w:bottom w:w="0" w:type="dxa"/>
            <w:right w:w="108" w:type="dxa"/>
          </w:tblCellMar>
        </w:tblPrEx>
        <w:trPr>
          <w:trHeight w:val="454" w:hRule="atLeast"/>
        </w:trPr>
        <w:tc>
          <w:tcPr>
            <w:tcW w:w="105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EB20AC1">
            <w:pPr>
              <w:pStyle w:val="594"/>
            </w:pPr>
          </w:p>
        </w:tc>
        <w:tc>
          <w:tcPr>
            <w:tcW w:w="122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EA6A30">
            <w:pPr>
              <w:pStyle w:val="594"/>
            </w:pPr>
            <w:r>
              <w:rPr>
                <w:rFonts w:hint="eastAsia"/>
              </w:rPr>
              <w:t>运营劳资纠纷风险</w:t>
            </w: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337A55">
            <w:pPr>
              <w:pStyle w:val="594"/>
              <w:jc w:val="left"/>
            </w:pPr>
            <w:r>
              <w:rPr>
                <w:rFonts w:hint="eastAsia"/>
              </w:rPr>
              <w:t>运营单位与员工因薪酬、工作条件、劳动合同等产生纠纷，引发罢工、劳动仲裁，中断运营服务，增加运营管理成本。</w:t>
            </w:r>
          </w:p>
        </w:tc>
      </w:tr>
      <w:tr w14:paraId="1D5C79BE">
        <w:tblPrEx>
          <w:tblCellMar>
            <w:top w:w="0" w:type="dxa"/>
            <w:left w:w="108" w:type="dxa"/>
            <w:bottom w:w="0" w:type="dxa"/>
            <w:right w:w="108" w:type="dxa"/>
          </w:tblCellMar>
        </w:tblPrEx>
        <w:trPr>
          <w:trHeight w:val="454" w:hRule="atLeast"/>
        </w:trPr>
        <w:tc>
          <w:tcPr>
            <w:tcW w:w="105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14F4836">
            <w:pPr>
              <w:pStyle w:val="594"/>
            </w:pPr>
            <w:r>
              <w:rPr>
                <w:rFonts w:hint="eastAsia"/>
              </w:rPr>
              <w:t>环境风险</w:t>
            </w:r>
          </w:p>
        </w:tc>
        <w:tc>
          <w:tcPr>
            <w:tcW w:w="122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EE5E83C">
            <w:pPr>
              <w:pStyle w:val="594"/>
            </w:pPr>
            <w:r>
              <w:rPr>
                <w:rFonts w:hint="eastAsia"/>
              </w:rPr>
              <w:t>运营环境合规风险</w:t>
            </w: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60A75B">
            <w:pPr>
              <w:pStyle w:val="594"/>
              <w:jc w:val="left"/>
            </w:pPr>
            <w:r>
              <w:rPr>
                <w:rFonts w:hint="eastAsia"/>
              </w:rPr>
              <w:t>运营产生的废气、废水、噪声等，若未达标排放，面临环保部门处罚。</w:t>
            </w:r>
          </w:p>
        </w:tc>
      </w:tr>
      <w:tr w14:paraId="123EFCED">
        <w:tblPrEx>
          <w:tblCellMar>
            <w:top w:w="0" w:type="dxa"/>
            <w:left w:w="108" w:type="dxa"/>
            <w:bottom w:w="0" w:type="dxa"/>
            <w:right w:w="108" w:type="dxa"/>
          </w:tblCellMar>
        </w:tblPrEx>
        <w:trPr>
          <w:trHeight w:val="454" w:hRule="atLeast"/>
        </w:trPr>
        <w:tc>
          <w:tcPr>
            <w:tcW w:w="105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C68EE43">
            <w:pPr>
              <w:pStyle w:val="594"/>
            </w:pPr>
          </w:p>
        </w:tc>
        <w:tc>
          <w:tcPr>
            <w:tcW w:w="122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B4D93C7">
            <w:pPr>
              <w:pStyle w:val="594"/>
            </w:pP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83EC82C">
            <w:pPr>
              <w:pStyle w:val="594"/>
              <w:jc w:val="left"/>
            </w:pPr>
            <w:r>
              <w:rPr>
                <w:rFonts w:hint="eastAsia"/>
              </w:rPr>
              <w:t>因节能减排、环保标准提升，水厂现有设备设施不满足新规要求，需追加投资。</w:t>
            </w:r>
          </w:p>
        </w:tc>
      </w:tr>
      <w:tr w14:paraId="58FDBF81">
        <w:tblPrEx>
          <w:tblCellMar>
            <w:top w:w="0" w:type="dxa"/>
            <w:left w:w="108" w:type="dxa"/>
            <w:bottom w:w="0" w:type="dxa"/>
            <w:right w:w="108" w:type="dxa"/>
          </w:tblCellMar>
        </w:tblPrEx>
        <w:trPr>
          <w:trHeight w:val="454" w:hRule="atLeast"/>
        </w:trPr>
        <w:tc>
          <w:tcPr>
            <w:tcW w:w="105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AB789A">
            <w:pPr>
              <w:pStyle w:val="594"/>
            </w:pPr>
            <w:r>
              <w:rPr>
                <w:rFonts w:hint="eastAsia"/>
              </w:rPr>
              <w:t>不可抗力风险</w:t>
            </w:r>
          </w:p>
        </w:tc>
        <w:tc>
          <w:tcPr>
            <w:tcW w:w="122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DBF6EB">
            <w:pPr>
              <w:pStyle w:val="594"/>
            </w:pPr>
            <w:r>
              <w:rPr>
                <w:rFonts w:hint="eastAsia"/>
              </w:rPr>
              <w:t>不可抗力风险</w:t>
            </w: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5FD1AD9">
            <w:pPr>
              <w:pStyle w:val="594"/>
              <w:jc w:val="left"/>
            </w:pPr>
            <w:r>
              <w:rPr>
                <w:rFonts w:hint="eastAsia"/>
              </w:rPr>
              <w:t>运营期间遭遇地震、洪水、台风、自然灾害外，战争、公共卫生事件等不可抗力，导致损坏运营设施，运营区域受限，中断运营服务，增加设施修复、运营恢复成本。</w:t>
            </w:r>
          </w:p>
        </w:tc>
      </w:tr>
      <w:tr w14:paraId="08EBF38C">
        <w:tblPrEx>
          <w:tblCellMar>
            <w:top w:w="0" w:type="dxa"/>
            <w:left w:w="108" w:type="dxa"/>
            <w:bottom w:w="0" w:type="dxa"/>
            <w:right w:w="108" w:type="dxa"/>
          </w:tblCellMar>
        </w:tblPrEx>
        <w:trPr>
          <w:trHeight w:val="454" w:hRule="atLeast"/>
        </w:trPr>
        <w:tc>
          <w:tcPr>
            <w:tcW w:w="1057" w:type="pct"/>
            <w:vMerge w:val="restart"/>
            <w:tcBorders>
              <w:top w:val="single" w:color="000000" w:sz="4" w:space="0"/>
              <w:left w:val="single" w:color="000000" w:sz="4" w:space="0"/>
              <w:right w:val="single" w:color="000000" w:sz="4" w:space="0"/>
            </w:tcBorders>
            <w:shd w:val="clear" w:color="auto" w:fill="FFFFFF"/>
            <w:vAlign w:val="center"/>
          </w:tcPr>
          <w:p w14:paraId="1823DF58">
            <w:pPr>
              <w:pStyle w:val="594"/>
              <w:ind w:left="0" w:firstLine="0" w:firstLineChars="0"/>
              <w:rPr>
                <w:rFonts w:ascii="Times New Roman" w:hAnsi="Times New Roman" w:eastAsiaTheme="minorEastAsia" w:cstheme="minorBidi"/>
                <w:kern w:val="2"/>
                <w:sz w:val="24"/>
              </w:rPr>
            </w:pPr>
            <w:r>
              <w:rPr>
                <w:rFonts w:hint="eastAsia"/>
              </w:rPr>
              <w:t>资金筹措风险</w:t>
            </w:r>
          </w:p>
        </w:tc>
        <w:tc>
          <w:tcPr>
            <w:tcW w:w="122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D5A20E">
            <w:pPr>
              <w:pStyle w:val="594"/>
              <w:ind w:left="0" w:firstLine="0" w:firstLineChars="0"/>
              <w:rPr>
                <w:rFonts w:ascii="Times New Roman" w:hAnsi="Times New Roman" w:eastAsiaTheme="minorEastAsia" w:cstheme="minorBidi"/>
                <w:kern w:val="2"/>
                <w:sz w:val="24"/>
              </w:rPr>
            </w:pPr>
            <w:r>
              <w:rPr>
                <w:rFonts w:hint="eastAsia"/>
              </w:rPr>
              <w:t>筹措风险</w:t>
            </w: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D5BDFA">
            <w:pPr>
              <w:pStyle w:val="594"/>
              <w:ind w:left="0" w:firstLine="0" w:firstLineChars="0"/>
              <w:jc w:val="left"/>
              <w:rPr>
                <w:rFonts w:ascii="Times New Roman" w:hAnsi="Times New Roman" w:eastAsiaTheme="minorEastAsia" w:cstheme="minorBidi"/>
                <w:kern w:val="2"/>
                <w:sz w:val="24"/>
              </w:rPr>
            </w:pPr>
            <w:r>
              <w:rPr>
                <w:rFonts w:hint="eastAsia"/>
              </w:rPr>
              <w:t>中标特许经营者未按时出资。</w:t>
            </w:r>
          </w:p>
        </w:tc>
      </w:tr>
      <w:tr w14:paraId="68645C43">
        <w:tblPrEx>
          <w:tblCellMar>
            <w:top w:w="0" w:type="dxa"/>
            <w:left w:w="108" w:type="dxa"/>
            <w:bottom w:w="0" w:type="dxa"/>
            <w:right w:w="108" w:type="dxa"/>
          </w:tblCellMar>
        </w:tblPrEx>
        <w:trPr>
          <w:trHeight w:val="454" w:hRule="atLeast"/>
        </w:trPr>
        <w:tc>
          <w:tcPr>
            <w:tcW w:w="1057" w:type="pct"/>
            <w:vMerge w:val="continue"/>
            <w:tcBorders>
              <w:left w:val="single" w:color="000000" w:sz="4" w:space="0"/>
              <w:right w:val="single" w:color="000000" w:sz="4" w:space="0"/>
            </w:tcBorders>
            <w:shd w:val="clear" w:color="auto" w:fill="FFFFFF"/>
            <w:vAlign w:val="center"/>
          </w:tcPr>
          <w:p w14:paraId="6E413AFD">
            <w:pPr>
              <w:pStyle w:val="594"/>
            </w:pPr>
          </w:p>
        </w:tc>
        <w:tc>
          <w:tcPr>
            <w:tcW w:w="1220" w:type="pct"/>
            <w:vMerge w:val="restart"/>
            <w:tcBorders>
              <w:top w:val="single" w:color="000000" w:sz="4" w:space="0"/>
              <w:left w:val="single" w:color="000000" w:sz="4" w:space="0"/>
              <w:right w:val="single" w:color="000000" w:sz="4" w:space="0"/>
            </w:tcBorders>
            <w:shd w:val="clear" w:color="auto" w:fill="FFFFFF"/>
            <w:vAlign w:val="center"/>
          </w:tcPr>
          <w:p w14:paraId="1D54F6A0">
            <w:pPr>
              <w:pStyle w:val="594"/>
              <w:ind w:left="0" w:firstLine="0" w:firstLineChars="0"/>
              <w:rPr>
                <w:rFonts w:ascii="Times New Roman" w:hAnsi="Times New Roman" w:eastAsiaTheme="minorEastAsia" w:cstheme="minorBidi"/>
                <w:kern w:val="2"/>
                <w:sz w:val="24"/>
              </w:rPr>
            </w:pPr>
            <w:r>
              <w:rPr>
                <w:rFonts w:hint="eastAsia"/>
              </w:rPr>
              <w:t>融资风险</w:t>
            </w: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2C4112">
            <w:pPr>
              <w:pStyle w:val="594"/>
              <w:ind w:left="0" w:firstLine="0" w:firstLineChars="0"/>
              <w:jc w:val="left"/>
              <w:rPr>
                <w:rFonts w:ascii="Times New Roman" w:hAnsi="Times New Roman" w:eastAsiaTheme="minorEastAsia" w:cstheme="minorBidi"/>
                <w:kern w:val="2"/>
                <w:sz w:val="24"/>
              </w:rPr>
            </w:pPr>
            <w:r>
              <w:t>1.</w:t>
            </w:r>
            <w:r>
              <w:rPr>
                <w:rFonts w:hint="eastAsia"/>
              </w:rPr>
              <w:t>项目融资资金未按照协议约定及时到位。</w:t>
            </w:r>
          </w:p>
        </w:tc>
      </w:tr>
      <w:tr w14:paraId="5AB8081A">
        <w:tblPrEx>
          <w:tblCellMar>
            <w:top w:w="0" w:type="dxa"/>
            <w:left w:w="108" w:type="dxa"/>
            <w:bottom w:w="0" w:type="dxa"/>
            <w:right w:w="108" w:type="dxa"/>
          </w:tblCellMar>
        </w:tblPrEx>
        <w:trPr>
          <w:trHeight w:val="454" w:hRule="atLeast"/>
        </w:trPr>
        <w:tc>
          <w:tcPr>
            <w:tcW w:w="1057" w:type="pct"/>
            <w:vMerge w:val="continue"/>
            <w:tcBorders>
              <w:left w:val="single" w:color="000000" w:sz="4" w:space="0"/>
              <w:bottom w:val="single" w:color="000000" w:sz="4" w:space="0"/>
              <w:right w:val="single" w:color="000000" w:sz="4" w:space="0"/>
            </w:tcBorders>
            <w:shd w:val="clear" w:color="auto" w:fill="FFFFFF"/>
            <w:vAlign w:val="center"/>
          </w:tcPr>
          <w:p w14:paraId="22897023">
            <w:pPr>
              <w:pStyle w:val="594"/>
            </w:pPr>
          </w:p>
        </w:tc>
        <w:tc>
          <w:tcPr>
            <w:tcW w:w="1220" w:type="pct"/>
            <w:vMerge w:val="continue"/>
            <w:tcBorders>
              <w:left w:val="single" w:color="000000" w:sz="4" w:space="0"/>
              <w:bottom w:val="single" w:color="000000" w:sz="4" w:space="0"/>
              <w:right w:val="single" w:color="000000" w:sz="4" w:space="0"/>
            </w:tcBorders>
            <w:shd w:val="clear" w:color="auto" w:fill="FFFFFF"/>
            <w:vAlign w:val="center"/>
          </w:tcPr>
          <w:p w14:paraId="12C1F450">
            <w:pPr>
              <w:pStyle w:val="594"/>
            </w:pP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4D26CE">
            <w:pPr>
              <w:pStyle w:val="594"/>
              <w:ind w:left="0" w:firstLine="0" w:firstLineChars="0"/>
              <w:jc w:val="left"/>
              <w:rPr>
                <w:rFonts w:ascii="Times New Roman" w:hAnsi="Times New Roman" w:eastAsiaTheme="minorEastAsia" w:cstheme="minorBidi"/>
                <w:kern w:val="2"/>
                <w:sz w:val="24"/>
              </w:rPr>
            </w:pPr>
            <w:r>
              <w:t>2.</w:t>
            </w:r>
            <w:r>
              <w:rPr>
                <w:rFonts w:hint="eastAsia"/>
              </w:rPr>
              <w:t>融资成本高于方案预测水平。</w:t>
            </w:r>
          </w:p>
        </w:tc>
      </w:tr>
      <w:tr w14:paraId="5E1360FF">
        <w:tblPrEx>
          <w:tblCellMar>
            <w:top w:w="0" w:type="dxa"/>
            <w:left w:w="108" w:type="dxa"/>
            <w:bottom w:w="0" w:type="dxa"/>
            <w:right w:w="108" w:type="dxa"/>
          </w:tblCellMar>
        </w:tblPrEx>
        <w:trPr>
          <w:trHeight w:val="454" w:hRule="atLeast"/>
        </w:trPr>
        <w:tc>
          <w:tcPr>
            <w:tcW w:w="105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1C11C62">
            <w:pPr>
              <w:pStyle w:val="594"/>
            </w:pPr>
            <w:r>
              <w:rPr>
                <w:rFonts w:hint="eastAsia"/>
              </w:rPr>
              <w:t>资产转让与人员安置</w:t>
            </w:r>
          </w:p>
        </w:tc>
        <w:tc>
          <w:tcPr>
            <w:tcW w:w="122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62188B8">
            <w:pPr>
              <w:pStyle w:val="594"/>
            </w:pPr>
            <w:r>
              <w:rPr>
                <w:rFonts w:hint="eastAsia"/>
              </w:rPr>
              <w:t>存量资产的转让风险</w:t>
            </w: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D55BFF">
            <w:pPr>
              <w:pStyle w:val="594"/>
              <w:jc w:val="left"/>
            </w:pPr>
            <w:r>
              <w:t>1.</w:t>
            </w:r>
            <w:r>
              <w:rPr>
                <w:rFonts w:hint="eastAsia"/>
              </w:rPr>
              <w:t>存量资产权属不清晰、移交程序不合规、移交资料不详尽、移交资产性能测试不达标。</w:t>
            </w:r>
          </w:p>
        </w:tc>
      </w:tr>
      <w:tr w14:paraId="4226667E">
        <w:tblPrEx>
          <w:tblCellMar>
            <w:top w:w="0" w:type="dxa"/>
            <w:left w:w="108" w:type="dxa"/>
            <w:bottom w:w="0" w:type="dxa"/>
            <w:right w:w="108" w:type="dxa"/>
          </w:tblCellMar>
        </w:tblPrEx>
        <w:trPr>
          <w:trHeight w:val="454" w:hRule="atLeast"/>
        </w:trPr>
        <w:tc>
          <w:tcPr>
            <w:tcW w:w="105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9D7E5E4">
            <w:pPr>
              <w:pStyle w:val="594"/>
            </w:pPr>
          </w:p>
        </w:tc>
        <w:tc>
          <w:tcPr>
            <w:tcW w:w="122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3CE74C4">
            <w:pPr>
              <w:pStyle w:val="594"/>
            </w:pP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858C3F">
            <w:pPr>
              <w:pStyle w:val="594"/>
              <w:jc w:val="left"/>
            </w:pPr>
            <w:r>
              <w:t>2.</w:t>
            </w:r>
            <w:r>
              <w:rPr>
                <w:rFonts w:hint="eastAsia"/>
              </w:rPr>
              <w:t>资产关联的经营许可、资质无法随转让过户，导致受让方无法正常使用资产开展经营。</w:t>
            </w:r>
          </w:p>
        </w:tc>
      </w:tr>
      <w:tr w14:paraId="46D49832">
        <w:tblPrEx>
          <w:tblCellMar>
            <w:top w:w="0" w:type="dxa"/>
            <w:left w:w="108" w:type="dxa"/>
            <w:bottom w:w="0" w:type="dxa"/>
            <w:right w:w="108" w:type="dxa"/>
          </w:tblCellMar>
        </w:tblPrEx>
        <w:trPr>
          <w:trHeight w:val="454" w:hRule="atLeast"/>
        </w:trPr>
        <w:tc>
          <w:tcPr>
            <w:tcW w:w="105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5F6E1D4">
            <w:pPr>
              <w:pStyle w:val="594"/>
            </w:pPr>
          </w:p>
        </w:tc>
        <w:tc>
          <w:tcPr>
            <w:tcW w:w="122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63B7509">
            <w:pPr>
              <w:pStyle w:val="594"/>
            </w:pP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0036EB">
            <w:pPr>
              <w:pStyle w:val="594"/>
              <w:jc w:val="left"/>
            </w:pPr>
            <w:r>
              <w:t>3.</w:t>
            </w:r>
            <w:r>
              <w:rPr>
                <w:rFonts w:hint="eastAsia"/>
              </w:rPr>
              <w:t>转让款支付延迟的风险。</w:t>
            </w:r>
          </w:p>
        </w:tc>
      </w:tr>
      <w:tr w14:paraId="7A9F40B7">
        <w:tblPrEx>
          <w:tblCellMar>
            <w:top w:w="0" w:type="dxa"/>
            <w:left w:w="108" w:type="dxa"/>
            <w:bottom w:w="0" w:type="dxa"/>
            <w:right w:w="108" w:type="dxa"/>
          </w:tblCellMar>
        </w:tblPrEx>
        <w:trPr>
          <w:trHeight w:val="454" w:hRule="atLeast"/>
        </w:trPr>
        <w:tc>
          <w:tcPr>
            <w:tcW w:w="105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4B07077">
            <w:pPr>
              <w:pStyle w:val="594"/>
            </w:pPr>
          </w:p>
        </w:tc>
        <w:tc>
          <w:tcPr>
            <w:tcW w:w="122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30A20E1">
            <w:pPr>
              <w:pStyle w:val="594"/>
            </w:pPr>
            <w:r>
              <w:rPr>
                <w:rFonts w:hint="eastAsia"/>
              </w:rPr>
              <w:t>人员安置的风险</w:t>
            </w: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B71CFD">
            <w:pPr>
              <w:pStyle w:val="594"/>
              <w:jc w:val="left"/>
            </w:pPr>
            <w:r>
              <w:t>1.</w:t>
            </w:r>
            <w:r>
              <w:rPr>
                <w:rFonts w:hint="eastAsia"/>
              </w:rPr>
              <w:t>社会稳定性风险。</w:t>
            </w:r>
          </w:p>
        </w:tc>
      </w:tr>
      <w:tr w14:paraId="1C4854F8">
        <w:tblPrEx>
          <w:tblCellMar>
            <w:top w:w="0" w:type="dxa"/>
            <w:left w:w="108" w:type="dxa"/>
            <w:bottom w:w="0" w:type="dxa"/>
            <w:right w:w="108" w:type="dxa"/>
          </w:tblCellMar>
        </w:tblPrEx>
        <w:trPr>
          <w:trHeight w:val="454" w:hRule="atLeast"/>
        </w:trPr>
        <w:tc>
          <w:tcPr>
            <w:tcW w:w="105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00E8F64">
            <w:pPr>
              <w:pStyle w:val="594"/>
            </w:pPr>
          </w:p>
        </w:tc>
        <w:tc>
          <w:tcPr>
            <w:tcW w:w="122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E398629">
            <w:pPr>
              <w:pStyle w:val="594"/>
            </w:pP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167F54">
            <w:pPr>
              <w:pStyle w:val="594"/>
              <w:jc w:val="left"/>
            </w:pPr>
            <w:r>
              <w:t>2.</w:t>
            </w:r>
            <w:r>
              <w:rPr>
                <w:rFonts w:hint="eastAsia"/>
              </w:rPr>
              <w:t>接收人员权益保障风险。</w:t>
            </w:r>
          </w:p>
        </w:tc>
      </w:tr>
      <w:tr w14:paraId="29429C6C">
        <w:tblPrEx>
          <w:tblCellMar>
            <w:top w:w="0" w:type="dxa"/>
            <w:left w:w="108" w:type="dxa"/>
            <w:bottom w:w="0" w:type="dxa"/>
            <w:right w:w="108" w:type="dxa"/>
          </w:tblCellMar>
        </w:tblPrEx>
        <w:trPr>
          <w:trHeight w:val="454" w:hRule="atLeast"/>
        </w:trPr>
        <w:tc>
          <w:tcPr>
            <w:tcW w:w="105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EB2174A">
            <w:pPr>
              <w:pStyle w:val="594"/>
            </w:pPr>
          </w:p>
        </w:tc>
        <w:tc>
          <w:tcPr>
            <w:tcW w:w="122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F5E746F">
            <w:pPr>
              <w:pStyle w:val="594"/>
            </w:pP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E56735">
            <w:pPr>
              <w:pStyle w:val="594"/>
              <w:jc w:val="left"/>
            </w:pPr>
            <w:r>
              <w:t>3.</w:t>
            </w:r>
            <w:r>
              <w:rPr>
                <w:rFonts w:hint="eastAsia"/>
              </w:rPr>
              <w:t>未接收人员安置及相关赔偿风险。</w:t>
            </w:r>
          </w:p>
        </w:tc>
      </w:tr>
      <w:tr w14:paraId="0A33504B">
        <w:tblPrEx>
          <w:tblCellMar>
            <w:top w:w="0" w:type="dxa"/>
            <w:left w:w="108" w:type="dxa"/>
            <w:bottom w:w="0" w:type="dxa"/>
            <w:right w:w="108" w:type="dxa"/>
          </w:tblCellMar>
        </w:tblPrEx>
        <w:trPr>
          <w:trHeight w:val="454" w:hRule="atLeast"/>
        </w:trPr>
        <w:tc>
          <w:tcPr>
            <w:tcW w:w="105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0600002">
            <w:pPr>
              <w:pStyle w:val="594"/>
            </w:pPr>
            <w:r>
              <w:rPr>
                <w:rFonts w:hint="eastAsia"/>
              </w:rPr>
              <w:t>运营管理</w:t>
            </w:r>
            <w:r>
              <w:rPr>
                <w:rFonts w:hint="eastAsia"/>
              </w:rPr>
              <w:br w:type="textWrapping"/>
            </w:r>
            <w:r>
              <w:rPr>
                <w:rFonts w:hint="eastAsia"/>
              </w:rPr>
              <w:t>风险</w:t>
            </w:r>
          </w:p>
        </w:tc>
        <w:tc>
          <w:tcPr>
            <w:tcW w:w="1220" w:type="pct"/>
            <w:vMerge w:val="restart"/>
            <w:tcBorders>
              <w:top w:val="single" w:color="000000" w:sz="4" w:space="0"/>
              <w:left w:val="single" w:color="000000" w:sz="4" w:space="0"/>
              <w:right w:val="single" w:color="000000" w:sz="4" w:space="0"/>
            </w:tcBorders>
            <w:shd w:val="clear" w:color="auto" w:fill="FFFFFF"/>
            <w:vAlign w:val="center"/>
          </w:tcPr>
          <w:p w14:paraId="70FF1BBA">
            <w:pPr>
              <w:pStyle w:val="594"/>
            </w:pPr>
            <w:r>
              <w:rPr>
                <w:rFonts w:hint="eastAsia"/>
              </w:rPr>
              <w:t>供水水质不达标</w:t>
            </w: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EE7D7F">
            <w:pPr>
              <w:pStyle w:val="594"/>
              <w:jc w:val="left"/>
            </w:pPr>
            <w:r>
              <w:t>1.</w:t>
            </w:r>
            <w:r>
              <w:rPr>
                <w:rFonts w:hint="eastAsia"/>
              </w:rPr>
              <w:t>项目进水口水质不满足《生活饮用水卫生标准》（GB5749-2022）标准。</w:t>
            </w:r>
          </w:p>
        </w:tc>
      </w:tr>
      <w:tr w14:paraId="0EEF8879">
        <w:tblPrEx>
          <w:tblCellMar>
            <w:top w:w="0" w:type="dxa"/>
            <w:left w:w="108" w:type="dxa"/>
            <w:bottom w:w="0" w:type="dxa"/>
            <w:right w:w="108" w:type="dxa"/>
          </w:tblCellMar>
        </w:tblPrEx>
        <w:trPr>
          <w:trHeight w:val="454" w:hRule="atLeast"/>
        </w:trPr>
        <w:tc>
          <w:tcPr>
            <w:tcW w:w="105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7E26E86">
            <w:pPr>
              <w:pStyle w:val="594"/>
            </w:pPr>
          </w:p>
        </w:tc>
        <w:tc>
          <w:tcPr>
            <w:tcW w:w="1220" w:type="pct"/>
            <w:vMerge w:val="continue"/>
            <w:tcBorders>
              <w:left w:val="single" w:color="000000" w:sz="4" w:space="0"/>
              <w:bottom w:val="single" w:color="000000" w:sz="4" w:space="0"/>
              <w:right w:val="single" w:color="000000" w:sz="4" w:space="0"/>
            </w:tcBorders>
            <w:shd w:val="clear" w:color="auto" w:fill="FFFFFF"/>
            <w:vAlign w:val="center"/>
          </w:tcPr>
          <w:p w14:paraId="110402BF">
            <w:pPr>
              <w:pStyle w:val="594"/>
            </w:pP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D1A988">
            <w:pPr>
              <w:pStyle w:val="594"/>
              <w:jc w:val="left"/>
            </w:pPr>
            <w:r>
              <w:t>2.</w:t>
            </w:r>
            <w:r>
              <w:rPr>
                <w:rFonts w:hint="eastAsia"/>
              </w:rPr>
              <w:t>用户终端水质不符合国家</w:t>
            </w:r>
            <w:r>
              <w:t>/</w:t>
            </w:r>
            <w:r>
              <w:rPr>
                <w:rFonts w:hint="eastAsia"/>
              </w:rPr>
              <w:t>行业标准。</w:t>
            </w:r>
          </w:p>
        </w:tc>
      </w:tr>
      <w:tr w14:paraId="4197DD02">
        <w:tblPrEx>
          <w:tblCellMar>
            <w:top w:w="0" w:type="dxa"/>
            <w:left w:w="108" w:type="dxa"/>
            <w:bottom w:w="0" w:type="dxa"/>
            <w:right w:w="108" w:type="dxa"/>
          </w:tblCellMar>
        </w:tblPrEx>
        <w:trPr>
          <w:trHeight w:val="454" w:hRule="atLeast"/>
        </w:trPr>
        <w:tc>
          <w:tcPr>
            <w:tcW w:w="105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2E45AD8">
            <w:pPr>
              <w:pStyle w:val="594"/>
            </w:pPr>
          </w:p>
        </w:tc>
        <w:tc>
          <w:tcPr>
            <w:tcW w:w="122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5BEE669">
            <w:pPr>
              <w:pStyle w:val="594"/>
            </w:pPr>
            <w:r>
              <w:rPr>
                <w:rFonts w:hint="eastAsia"/>
              </w:rPr>
              <w:t>价格调整不到位</w:t>
            </w: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F7CEA41">
            <w:pPr>
              <w:pStyle w:val="594"/>
              <w:jc w:val="left"/>
            </w:pPr>
            <w:r>
              <w:t>1.</w:t>
            </w:r>
            <w:r>
              <w:rPr>
                <w:rFonts w:hint="eastAsia"/>
              </w:rPr>
              <w:t>因项目公司延迟提交价格调整文件及相关资料。</w:t>
            </w:r>
          </w:p>
        </w:tc>
      </w:tr>
      <w:tr w14:paraId="66040C76">
        <w:tblPrEx>
          <w:tblCellMar>
            <w:top w:w="0" w:type="dxa"/>
            <w:left w:w="108" w:type="dxa"/>
            <w:bottom w:w="0" w:type="dxa"/>
            <w:right w:w="108" w:type="dxa"/>
          </w:tblCellMar>
        </w:tblPrEx>
        <w:trPr>
          <w:trHeight w:val="454" w:hRule="atLeast"/>
        </w:trPr>
        <w:tc>
          <w:tcPr>
            <w:tcW w:w="105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D4219DD">
            <w:pPr>
              <w:pStyle w:val="594"/>
            </w:pPr>
          </w:p>
        </w:tc>
        <w:tc>
          <w:tcPr>
            <w:tcW w:w="122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572E22A">
            <w:pPr>
              <w:pStyle w:val="594"/>
            </w:pP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E5E0A1">
            <w:pPr>
              <w:pStyle w:val="594"/>
              <w:jc w:val="left"/>
            </w:pPr>
            <w:r>
              <w:t>2.</w:t>
            </w:r>
            <w:r>
              <w:rPr>
                <w:rFonts w:hint="eastAsia"/>
              </w:rPr>
              <w:t>政府方未按照时间要求及时核定供水成本启动调价程序。</w:t>
            </w:r>
          </w:p>
        </w:tc>
      </w:tr>
      <w:tr w14:paraId="05FF5180">
        <w:tblPrEx>
          <w:tblCellMar>
            <w:top w:w="0" w:type="dxa"/>
            <w:left w:w="108" w:type="dxa"/>
            <w:bottom w:w="0" w:type="dxa"/>
            <w:right w:w="108" w:type="dxa"/>
          </w:tblCellMar>
        </w:tblPrEx>
        <w:trPr>
          <w:trHeight w:val="454" w:hRule="atLeast"/>
        </w:trPr>
        <w:tc>
          <w:tcPr>
            <w:tcW w:w="105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656434C">
            <w:pPr>
              <w:pStyle w:val="594"/>
            </w:pPr>
          </w:p>
        </w:tc>
        <w:tc>
          <w:tcPr>
            <w:tcW w:w="122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8158648">
            <w:pPr>
              <w:pStyle w:val="594"/>
            </w:pPr>
            <w:r>
              <w:rPr>
                <w:rFonts w:hint="eastAsia"/>
              </w:rPr>
              <w:t>水量不足风险</w:t>
            </w: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E98259">
            <w:pPr>
              <w:pStyle w:val="594"/>
              <w:jc w:val="left"/>
            </w:pPr>
            <w:r>
              <w:t>1.</w:t>
            </w:r>
            <w:r>
              <w:rPr>
                <w:rFonts w:hint="eastAsia"/>
              </w:rPr>
              <w:t>用水需求不足风险。</w:t>
            </w:r>
          </w:p>
        </w:tc>
      </w:tr>
      <w:tr w14:paraId="3BE9F191">
        <w:tblPrEx>
          <w:tblCellMar>
            <w:top w:w="0" w:type="dxa"/>
            <w:left w:w="108" w:type="dxa"/>
            <w:bottom w:w="0" w:type="dxa"/>
            <w:right w:w="108" w:type="dxa"/>
          </w:tblCellMar>
        </w:tblPrEx>
        <w:trPr>
          <w:trHeight w:val="454" w:hRule="atLeast"/>
        </w:trPr>
        <w:tc>
          <w:tcPr>
            <w:tcW w:w="105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7328B40">
            <w:pPr>
              <w:pStyle w:val="594"/>
            </w:pPr>
          </w:p>
        </w:tc>
        <w:tc>
          <w:tcPr>
            <w:tcW w:w="122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701CCC2">
            <w:pPr>
              <w:pStyle w:val="594"/>
            </w:pP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8A1029">
            <w:pPr>
              <w:pStyle w:val="594"/>
              <w:jc w:val="left"/>
            </w:pPr>
            <w:r>
              <w:t>2.</w:t>
            </w:r>
            <w:r>
              <w:rPr>
                <w:rFonts w:hint="eastAsia"/>
              </w:rPr>
              <w:t>水费收缴率不足风险。</w:t>
            </w:r>
          </w:p>
        </w:tc>
      </w:tr>
      <w:tr w14:paraId="609D740B">
        <w:tblPrEx>
          <w:tblCellMar>
            <w:top w:w="0" w:type="dxa"/>
            <w:left w:w="108" w:type="dxa"/>
            <w:bottom w:w="0" w:type="dxa"/>
            <w:right w:w="108" w:type="dxa"/>
          </w:tblCellMar>
        </w:tblPrEx>
        <w:trPr>
          <w:trHeight w:val="454" w:hRule="atLeast"/>
        </w:trPr>
        <w:tc>
          <w:tcPr>
            <w:tcW w:w="105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C61D138">
            <w:pPr>
              <w:pStyle w:val="594"/>
            </w:pPr>
          </w:p>
        </w:tc>
        <w:tc>
          <w:tcPr>
            <w:tcW w:w="122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0C39B1A">
            <w:pPr>
              <w:pStyle w:val="594"/>
            </w:pPr>
            <w:r>
              <w:rPr>
                <w:rFonts w:hint="eastAsia"/>
              </w:rPr>
              <w:t>管网漏损率风险</w:t>
            </w: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A815EA">
            <w:pPr>
              <w:pStyle w:val="594"/>
              <w:jc w:val="left"/>
            </w:pPr>
            <w:r>
              <w:t>1.</w:t>
            </w:r>
            <w:r>
              <w:rPr>
                <w:rFonts w:hint="eastAsia"/>
              </w:rPr>
              <w:t>管网超出设计使用年限导致管网漏损率高于预测水平的风险。</w:t>
            </w:r>
          </w:p>
        </w:tc>
      </w:tr>
      <w:tr w14:paraId="45E3ED54">
        <w:tblPrEx>
          <w:tblCellMar>
            <w:top w:w="0" w:type="dxa"/>
            <w:left w:w="108" w:type="dxa"/>
            <w:bottom w:w="0" w:type="dxa"/>
            <w:right w:w="108" w:type="dxa"/>
          </w:tblCellMar>
        </w:tblPrEx>
        <w:trPr>
          <w:trHeight w:val="454" w:hRule="atLeast"/>
        </w:trPr>
        <w:tc>
          <w:tcPr>
            <w:tcW w:w="105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BCE7BCD">
            <w:pPr>
              <w:pStyle w:val="594"/>
            </w:pPr>
          </w:p>
        </w:tc>
        <w:tc>
          <w:tcPr>
            <w:tcW w:w="122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598D5B6">
            <w:pPr>
              <w:pStyle w:val="594"/>
            </w:pP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35FDCF">
            <w:pPr>
              <w:pStyle w:val="594"/>
              <w:jc w:val="left"/>
            </w:pPr>
            <w:r>
              <w:t>2.</w:t>
            </w:r>
            <w:r>
              <w:rPr>
                <w:rFonts w:hint="eastAsia"/>
              </w:rPr>
              <w:t>因项目公司管理不善导致管网漏损率高于预测水平的风险</w:t>
            </w:r>
          </w:p>
        </w:tc>
      </w:tr>
      <w:tr w14:paraId="015E618B">
        <w:tblPrEx>
          <w:tblCellMar>
            <w:top w:w="0" w:type="dxa"/>
            <w:left w:w="108" w:type="dxa"/>
            <w:bottom w:w="0" w:type="dxa"/>
            <w:right w:w="108" w:type="dxa"/>
          </w:tblCellMar>
        </w:tblPrEx>
        <w:trPr>
          <w:trHeight w:val="454" w:hRule="atLeast"/>
        </w:trPr>
        <w:tc>
          <w:tcPr>
            <w:tcW w:w="105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753675E">
            <w:pPr>
              <w:pStyle w:val="594"/>
            </w:pPr>
          </w:p>
        </w:tc>
        <w:tc>
          <w:tcPr>
            <w:tcW w:w="122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D3FF8F3">
            <w:pPr>
              <w:pStyle w:val="594"/>
            </w:pPr>
            <w:r>
              <w:rPr>
                <w:rFonts w:hint="eastAsia"/>
              </w:rPr>
              <w:t>运营成本超支</w:t>
            </w: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7C17D5">
            <w:pPr>
              <w:pStyle w:val="594"/>
              <w:jc w:val="left"/>
            </w:pPr>
            <w:r>
              <w:t>1.</w:t>
            </w:r>
            <w:r>
              <w:rPr>
                <w:rFonts w:hint="eastAsia"/>
              </w:rPr>
              <w:t>因物价指数上涨造成的运营成本超支，未及时发起调价申请。</w:t>
            </w:r>
          </w:p>
        </w:tc>
      </w:tr>
      <w:tr w14:paraId="4F72FF71">
        <w:tblPrEx>
          <w:tblCellMar>
            <w:top w:w="0" w:type="dxa"/>
            <w:left w:w="108" w:type="dxa"/>
            <w:bottom w:w="0" w:type="dxa"/>
            <w:right w:w="108" w:type="dxa"/>
          </w:tblCellMar>
        </w:tblPrEx>
        <w:trPr>
          <w:trHeight w:val="454" w:hRule="atLeast"/>
        </w:trPr>
        <w:tc>
          <w:tcPr>
            <w:tcW w:w="105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49390BB">
            <w:pPr>
              <w:pStyle w:val="594"/>
            </w:pPr>
          </w:p>
        </w:tc>
        <w:tc>
          <w:tcPr>
            <w:tcW w:w="122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7FE67FA">
            <w:pPr>
              <w:pStyle w:val="594"/>
            </w:pP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D2106F">
            <w:pPr>
              <w:pStyle w:val="594"/>
              <w:jc w:val="left"/>
            </w:pPr>
            <w:r>
              <w:t>2.</w:t>
            </w:r>
            <w:r>
              <w:rPr>
                <w:rFonts w:hint="eastAsia"/>
              </w:rPr>
              <w:t>项目公司经营管理不善造成运营成本超支。</w:t>
            </w:r>
          </w:p>
        </w:tc>
      </w:tr>
      <w:tr w14:paraId="1BC9A62F">
        <w:tblPrEx>
          <w:tblCellMar>
            <w:top w:w="0" w:type="dxa"/>
            <w:left w:w="108" w:type="dxa"/>
            <w:bottom w:w="0" w:type="dxa"/>
            <w:right w:w="108" w:type="dxa"/>
          </w:tblCellMar>
        </w:tblPrEx>
        <w:trPr>
          <w:trHeight w:val="454" w:hRule="atLeast"/>
        </w:trPr>
        <w:tc>
          <w:tcPr>
            <w:tcW w:w="105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BDFCD44">
            <w:pPr>
              <w:pStyle w:val="594"/>
            </w:pPr>
          </w:p>
        </w:tc>
        <w:tc>
          <w:tcPr>
            <w:tcW w:w="122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A491A21">
            <w:pPr>
              <w:pStyle w:val="594"/>
            </w:pPr>
            <w:r>
              <w:rPr>
                <w:rFonts w:hint="eastAsia"/>
              </w:rPr>
              <w:t>项目现金流风险</w:t>
            </w: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E0CB93">
            <w:pPr>
              <w:pStyle w:val="594"/>
              <w:jc w:val="left"/>
            </w:pPr>
            <w:r>
              <w:t>1.</w:t>
            </w:r>
            <w:r>
              <w:rPr>
                <w:rFonts w:hint="eastAsia"/>
              </w:rPr>
              <w:t>因水费收缴率低或不及时造成项目公司资金流断裂或产生短期融资成本。</w:t>
            </w:r>
          </w:p>
        </w:tc>
      </w:tr>
      <w:tr w14:paraId="7A470C1D">
        <w:tblPrEx>
          <w:tblCellMar>
            <w:top w:w="0" w:type="dxa"/>
            <w:left w:w="108" w:type="dxa"/>
            <w:bottom w:w="0" w:type="dxa"/>
            <w:right w:w="108" w:type="dxa"/>
          </w:tblCellMar>
        </w:tblPrEx>
        <w:trPr>
          <w:trHeight w:val="454" w:hRule="atLeast"/>
        </w:trPr>
        <w:tc>
          <w:tcPr>
            <w:tcW w:w="105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BB1A00F">
            <w:pPr>
              <w:pStyle w:val="594"/>
            </w:pPr>
          </w:p>
        </w:tc>
        <w:tc>
          <w:tcPr>
            <w:tcW w:w="122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5914881">
            <w:pPr>
              <w:pStyle w:val="594"/>
            </w:pP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DD81CF">
            <w:pPr>
              <w:pStyle w:val="594"/>
              <w:jc w:val="left"/>
            </w:pPr>
            <w:r>
              <w:t>2.</w:t>
            </w:r>
            <w:r>
              <w:rPr>
                <w:rFonts w:hint="eastAsia"/>
              </w:rPr>
              <w:t>因项目公司现金流不足，造成金融机构抽回贷款导致合同无法继续履行。</w:t>
            </w:r>
          </w:p>
        </w:tc>
      </w:tr>
      <w:tr w14:paraId="44986E61">
        <w:tblPrEx>
          <w:tblCellMar>
            <w:top w:w="0" w:type="dxa"/>
            <w:left w:w="108" w:type="dxa"/>
            <w:bottom w:w="0" w:type="dxa"/>
            <w:right w:w="108" w:type="dxa"/>
          </w:tblCellMar>
        </w:tblPrEx>
        <w:trPr>
          <w:trHeight w:val="454" w:hRule="atLeast"/>
        </w:trPr>
        <w:tc>
          <w:tcPr>
            <w:tcW w:w="105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EA9C171">
            <w:pPr>
              <w:pStyle w:val="594"/>
            </w:pPr>
          </w:p>
        </w:tc>
        <w:tc>
          <w:tcPr>
            <w:tcW w:w="122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BDA3C3">
            <w:pPr>
              <w:pStyle w:val="594"/>
            </w:pPr>
            <w:r>
              <w:rPr>
                <w:rFonts w:hint="eastAsia"/>
              </w:rPr>
              <w:t>安全生产风险</w:t>
            </w: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BFBCBB">
            <w:pPr>
              <w:pStyle w:val="594"/>
              <w:jc w:val="left"/>
            </w:pPr>
            <w:r>
              <w:rPr>
                <w:rFonts w:hint="eastAsia"/>
              </w:rPr>
              <w:t>项目运营过程中安全事故风险。</w:t>
            </w:r>
          </w:p>
        </w:tc>
      </w:tr>
      <w:tr w14:paraId="33627106">
        <w:tblPrEx>
          <w:tblCellMar>
            <w:top w:w="0" w:type="dxa"/>
            <w:left w:w="108" w:type="dxa"/>
            <w:bottom w:w="0" w:type="dxa"/>
            <w:right w:w="108" w:type="dxa"/>
          </w:tblCellMar>
        </w:tblPrEx>
        <w:trPr>
          <w:trHeight w:val="454" w:hRule="atLeast"/>
        </w:trPr>
        <w:tc>
          <w:tcPr>
            <w:tcW w:w="105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93F4663">
            <w:pPr>
              <w:pStyle w:val="594"/>
            </w:pPr>
            <w:r>
              <w:rPr>
                <w:rFonts w:hint="eastAsia"/>
              </w:rPr>
              <w:t>项目移交风险</w:t>
            </w:r>
          </w:p>
        </w:tc>
        <w:tc>
          <w:tcPr>
            <w:tcW w:w="122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6064431">
            <w:pPr>
              <w:pStyle w:val="594"/>
            </w:pPr>
            <w:r>
              <w:rPr>
                <w:rFonts w:hint="eastAsia"/>
              </w:rPr>
              <w:t>特许经营期满或终止后的资产移交风险</w:t>
            </w: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236E3A">
            <w:pPr>
              <w:pStyle w:val="594"/>
              <w:jc w:val="left"/>
            </w:pPr>
            <w:r>
              <w:t>1.</w:t>
            </w:r>
            <w:r>
              <w:rPr>
                <w:rFonts w:hint="eastAsia"/>
              </w:rPr>
              <w:t>移交程序不合规、移交资料不详尽、资产性能测试不达标或资产存在担保抵押未解除等风险。</w:t>
            </w:r>
          </w:p>
        </w:tc>
      </w:tr>
      <w:tr w14:paraId="4DF0E979">
        <w:tblPrEx>
          <w:tblCellMar>
            <w:top w:w="0" w:type="dxa"/>
            <w:left w:w="108" w:type="dxa"/>
            <w:bottom w:w="0" w:type="dxa"/>
            <w:right w:w="108" w:type="dxa"/>
          </w:tblCellMar>
        </w:tblPrEx>
        <w:trPr>
          <w:trHeight w:val="454" w:hRule="atLeast"/>
        </w:trPr>
        <w:tc>
          <w:tcPr>
            <w:tcW w:w="105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DADA130">
            <w:pPr>
              <w:pStyle w:val="594"/>
            </w:pPr>
          </w:p>
        </w:tc>
        <w:tc>
          <w:tcPr>
            <w:tcW w:w="122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FA13598">
            <w:pPr>
              <w:pStyle w:val="594"/>
            </w:pPr>
          </w:p>
        </w:tc>
        <w:tc>
          <w:tcPr>
            <w:tcW w:w="27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A5B17FB">
            <w:pPr>
              <w:pStyle w:val="594"/>
              <w:jc w:val="left"/>
            </w:pPr>
            <w:r>
              <w:t>2.</w:t>
            </w:r>
            <w:r>
              <w:rPr>
                <w:rFonts w:hint="eastAsia"/>
              </w:rPr>
              <w:t>项目公司发起资产移交申请，政府方未组织人员积极参与移交工作，导致移交工作延期的风险。</w:t>
            </w:r>
          </w:p>
        </w:tc>
      </w:tr>
    </w:tbl>
    <w:p w14:paraId="0FCE9670">
      <w:pPr>
        <w:snapToGrid w:val="0"/>
        <w:spacing w:line="360" w:lineRule="auto"/>
        <w:jc w:val="left"/>
        <w:rPr>
          <w:rFonts w:ascii="宋体" w:hAnsi="宋体" w:cs="宋体"/>
          <w:b/>
          <w:bCs/>
          <w:sz w:val="24"/>
          <w:szCs w:val="28"/>
        </w:rPr>
      </w:pPr>
      <w:bookmarkStart w:id="100" w:name="_Toc7639"/>
      <w:bookmarkStart w:id="101" w:name="_Toc15658"/>
      <w:bookmarkStart w:id="102" w:name="_Toc500"/>
      <w:bookmarkStart w:id="103" w:name="_Toc20623"/>
      <w:bookmarkStart w:id="104" w:name="_Toc12106"/>
      <w:bookmarkStart w:id="105" w:name="_Toc32556"/>
      <w:bookmarkStart w:id="106" w:name="_Toc633223727"/>
      <w:bookmarkStart w:id="107" w:name="_Toc28170"/>
      <w:bookmarkStart w:id="108" w:name="_Toc21601"/>
      <w:bookmarkStart w:id="109" w:name="_Toc11422"/>
      <w:r>
        <w:rPr>
          <w:rFonts w:hint="eastAsia" w:ascii="宋体" w:hAnsi="宋体" w:cs="宋体"/>
          <w:b/>
          <w:bCs/>
          <w:sz w:val="24"/>
          <w:szCs w:val="28"/>
        </w:rPr>
        <w:t>15.</w:t>
      </w:r>
      <w:r>
        <w:rPr>
          <w:rFonts w:ascii="宋体" w:hAnsi="宋体" w:cs="宋体"/>
          <w:b/>
          <w:bCs/>
          <w:sz w:val="24"/>
          <w:szCs w:val="28"/>
        </w:rPr>
        <w:t>重大变更的处理原则</w:t>
      </w:r>
      <w:bookmarkEnd w:id="100"/>
      <w:bookmarkEnd w:id="101"/>
      <w:bookmarkEnd w:id="102"/>
      <w:bookmarkEnd w:id="103"/>
      <w:bookmarkEnd w:id="104"/>
      <w:bookmarkEnd w:id="105"/>
      <w:bookmarkEnd w:id="106"/>
      <w:bookmarkEnd w:id="107"/>
      <w:bookmarkEnd w:id="108"/>
      <w:bookmarkEnd w:id="109"/>
    </w:p>
    <w:p w14:paraId="7195E059">
      <w:pPr>
        <w:snapToGrid w:val="0"/>
        <w:spacing w:line="360" w:lineRule="auto"/>
        <w:ind w:firstLine="480" w:firstLineChars="200"/>
        <w:jc w:val="left"/>
        <w:rPr>
          <w:rFonts w:ascii="宋体" w:hAnsi="宋体" w:cs="宋体"/>
          <w:sz w:val="24"/>
          <w:szCs w:val="28"/>
        </w:rPr>
      </w:pPr>
      <w:r>
        <w:rPr>
          <w:rFonts w:ascii="宋体" w:hAnsi="宋体" w:cs="宋体"/>
          <w:sz w:val="24"/>
          <w:szCs w:val="28"/>
        </w:rPr>
        <w:t>在特许经营协议有效期内，本项目特许经营协议中任何修改、补充或变更只有以书面形式，由特许经营协议签约主体法定代表人或各自正式授权的代表签名并加盖公章后方可生效并具有约束力。</w:t>
      </w:r>
    </w:p>
    <w:p w14:paraId="5C6F2680">
      <w:pPr>
        <w:snapToGrid w:val="0"/>
        <w:spacing w:line="360" w:lineRule="auto"/>
        <w:ind w:firstLine="480" w:firstLineChars="200"/>
        <w:jc w:val="left"/>
        <w:rPr>
          <w:rFonts w:ascii="宋体" w:hAnsi="宋体" w:cs="宋体"/>
          <w:sz w:val="24"/>
          <w:szCs w:val="28"/>
        </w:rPr>
      </w:pPr>
      <w:r>
        <w:rPr>
          <w:rFonts w:ascii="宋体" w:hAnsi="宋体" w:cs="宋体"/>
          <w:sz w:val="24"/>
          <w:szCs w:val="28"/>
        </w:rPr>
        <w:t>特许经营协议履行期间，根据届时有效的相关法律，属于强制性约定且与特许经营协议约定相冲突的，应对特许经营协议的相应部分进行修改、补充或变更。特许经营协议签约主体确认的对特许经营协议的有效的修改、补充或变更的书面文件或书面材料，均与特许经营协议具有同等法律效力。如其内容与特许经营协议存在冲突或矛盾的部分，以修改、补充或变更的内容为准。</w:t>
      </w:r>
    </w:p>
    <w:p w14:paraId="3EDE0A51">
      <w:pPr>
        <w:snapToGrid w:val="0"/>
        <w:spacing w:line="360" w:lineRule="auto"/>
        <w:jc w:val="left"/>
        <w:rPr>
          <w:rFonts w:ascii="宋体" w:hAnsi="宋体" w:cs="宋体"/>
          <w:b/>
          <w:bCs/>
          <w:sz w:val="24"/>
          <w:szCs w:val="28"/>
        </w:rPr>
      </w:pPr>
      <w:bookmarkStart w:id="110" w:name="_Toc22691"/>
      <w:bookmarkStart w:id="111" w:name="_Toc8283"/>
      <w:bookmarkStart w:id="112" w:name="_Toc20630"/>
      <w:r>
        <w:rPr>
          <w:rFonts w:hint="eastAsia" w:ascii="宋体" w:hAnsi="宋体" w:cs="宋体"/>
          <w:b/>
          <w:bCs/>
          <w:sz w:val="24"/>
          <w:szCs w:val="28"/>
        </w:rPr>
        <w:t>16.</w:t>
      </w:r>
      <w:r>
        <w:rPr>
          <w:rFonts w:ascii="宋体" w:hAnsi="宋体" w:cs="宋体"/>
          <w:b/>
          <w:bCs/>
          <w:sz w:val="24"/>
          <w:szCs w:val="28"/>
        </w:rPr>
        <w:t>政府方的权利、义务和责任</w:t>
      </w:r>
      <w:bookmarkEnd w:id="110"/>
      <w:bookmarkEnd w:id="111"/>
      <w:bookmarkEnd w:id="112"/>
    </w:p>
    <w:p w14:paraId="6624164C">
      <w:pPr>
        <w:snapToGrid w:val="0"/>
        <w:spacing w:line="360" w:lineRule="auto"/>
        <w:ind w:firstLine="480" w:firstLineChars="200"/>
        <w:jc w:val="left"/>
        <w:rPr>
          <w:rFonts w:ascii="宋体" w:hAnsi="宋体" w:cs="宋体"/>
          <w:sz w:val="24"/>
          <w:szCs w:val="28"/>
        </w:rPr>
      </w:pPr>
      <w:r>
        <w:rPr>
          <w:rFonts w:ascii="宋体" w:hAnsi="宋体" w:cs="宋体"/>
          <w:sz w:val="24"/>
          <w:szCs w:val="28"/>
        </w:rPr>
        <w:t>实施机构根据适用法律行使政府监管的权利，根据特许经营协议约定行使各项合同权利。</w:t>
      </w:r>
    </w:p>
    <w:p w14:paraId="4D00E5CD">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（1）</w:t>
      </w:r>
      <w:r>
        <w:rPr>
          <w:rFonts w:ascii="宋体" w:hAnsi="宋体" w:cs="宋体"/>
          <w:sz w:val="24"/>
          <w:szCs w:val="28"/>
        </w:rPr>
        <w:t>主要权利</w:t>
      </w:r>
    </w:p>
    <w:p w14:paraId="23693AD0">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1）</w:t>
      </w:r>
      <w:r>
        <w:rPr>
          <w:rFonts w:ascii="宋体" w:hAnsi="宋体" w:cs="宋体"/>
          <w:sz w:val="24"/>
          <w:szCs w:val="28"/>
        </w:rPr>
        <w:t>对项目资金及时足额筹措到位拥有知情、检查、监督等权利，有权要求项目公司及时、足额支付特许经营权转让价款；</w:t>
      </w:r>
    </w:p>
    <w:p w14:paraId="7D6FDF4E">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2）</w:t>
      </w:r>
      <w:r>
        <w:rPr>
          <w:rFonts w:ascii="宋体" w:hAnsi="宋体" w:cs="宋体"/>
          <w:sz w:val="24"/>
          <w:szCs w:val="28"/>
        </w:rPr>
        <w:t>对运营方案进行审核，对运营期内的项目人员配置情况、项目提供的公共服务产品或服务质量等运营情况进行监督管理；包括不限于每月核查水质检测报告（需符合GB5749-2022标准，如国家标准更新，以最新标准为准），每季度抽查管网维护记录等；</w:t>
      </w:r>
    </w:p>
    <w:p w14:paraId="572DA4FF">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3）</w:t>
      </w:r>
      <w:r>
        <w:rPr>
          <w:rFonts w:ascii="宋体" w:hAnsi="宋体" w:cs="宋体"/>
          <w:sz w:val="24"/>
          <w:szCs w:val="28"/>
        </w:rPr>
        <w:t>对项目公司运营成本进行监督，项目公司应及时提交每季度运营情况，经审计的年度财务报表、有关会计数据、财务核算、资产管理情况和其他有关财务指标信息，并依法接受年度财务审计；</w:t>
      </w:r>
    </w:p>
    <w:p w14:paraId="646EF423">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4）</w:t>
      </w:r>
      <w:r>
        <w:rPr>
          <w:rFonts w:ascii="宋体" w:hAnsi="宋体" w:cs="宋体"/>
          <w:sz w:val="24"/>
          <w:szCs w:val="28"/>
        </w:rPr>
        <w:t>对项目公司定期开展年度运营评价的权利；</w:t>
      </w:r>
    </w:p>
    <w:p w14:paraId="24A2D7F8">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5）</w:t>
      </w:r>
      <w:r>
        <w:rPr>
          <w:rFonts w:ascii="宋体" w:hAnsi="宋体" w:cs="宋体"/>
          <w:sz w:val="24"/>
          <w:szCs w:val="28"/>
        </w:rPr>
        <w:t>在项目公司违约时提取履约保函的权利；</w:t>
      </w:r>
    </w:p>
    <w:p w14:paraId="4762E2FD">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6）</w:t>
      </w:r>
      <w:r>
        <w:rPr>
          <w:rFonts w:ascii="宋体" w:hAnsi="宋体" w:cs="宋体"/>
          <w:sz w:val="24"/>
          <w:szCs w:val="28"/>
        </w:rPr>
        <w:t>在项目公司严重违约时按照适用法律规定和特许经营协议约定介入或接管项目的权利以及解除特许经营协议的权利；</w:t>
      </w:r>
    </w:p>
    <w:p w14:paraId="24EFB302">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7）</w:t>
      </w:r>
      <w:r>
        <w:rPr>
          <w:rFonts w:ascii="宋体" w:hAnsi="宋体" w:cs="宋体"/>
          <w:sz w:val="24"/>
          <w:szCs w:val="28"/>
        </w:rPr>
        <w:t>特许经营期满接收项目设施及权益的权利；</w:t>
      </w:r>
    </w:p>
    <w:p w14:paraId="5F49A187">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8）</w:t>
      </w:r>
      <w:r>
        <w:rPr>
          <w:rFonts w:ascii="宋体" w:hAnsi="宋体" w:cs="宋体"/>
          <w:sz w:val="24"/>
          <w:szCs w:val="28"/>
        </w:rPr>
        <w:t>享有法律法规、行政规章授予和本方案规定的其他权利。</w:t>
      </w:r>
    </w:p>
    <w:p w14:paraId="3C3C29DD">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（2）</w:t>
      </w:r>
      <w:r>
        <w:rPr>
          <w:rFonts w:ascii="宋体" w:hAnsi="宋体" w:cs="宋体"/>
          <w:sz w:val="24"/>
          <w:szCs w:val="28"/>
        </w:rPr>
        <w:t>主要义务</w:t>
      </w:r>
    </w:p>
    <w:p w14:paraId="199DBC70">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1）</w:t>
      </w:r>
      <w:r>
        <w:rPr>
          <w:rFonts w:ascii="宋体" w:hAnsi="宋体" w:cs="宋体"/>
          <w:sz w:val="24"/>
          <w:szCs w:val="28"/>
        </w:rPr>
        <w:t>依法保持按照本协议授予项目公司的从事本项目特许经营活动的相关权利在特许经营期内合法有效，并具有排他性。维护项目公司按协议约定对项目开展投融资、运营管理自主权；</w:t>
      </w:r>
    </w:p>
    <w:p w14:paraId="58218BA2">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2）</w:t>
      </w:r>
      <w:r>
        <w:rPr>
          <w:rFonts w:ascii="宋体" w:hAnsi="宋体" w:cs="宋体"/>
          <w:sz w:val="24"/>
          <w:szCs w:val="28"/>
        </w:rPr>
        <w:t>协助项目公司依法履行项目投资管理程序，协助申请和办理有关项目投融资、运营及管理等必需的行政许可或其他批文；</w:t>
      </w:r>
    </w:p>
    <w:p w14:paraId="4C1EFAA2">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3）</w:t>
      </w:r>
      <w:r>
        <w:rPr>
          <w:rFonts w:ascii="宋体" w:hAnsi="宋体" w:cs="宋体"/>
          <w:sz w:val="24"/>
          <w:szCs w:val="28"/>
        </w:rPr>
        <w:t>在出现行政区划调整、地方政府换届、政府相关部门机构或职能调整、实施机构法定代表人变更等情形时，确保不影响正常履行特许经营协议；</w:t>
      </w:r>
    </w:p>
    <w:p w14:paraId="386B009D">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4）</w:t>
      </w:r>
      <w:r>
        <w:rPr>
          <w:rFonts w:ascii="宋体" w:hAnsi="宋体" w:cs="宋体"/>
          <w:sz w:val="24"/>
          <w:szCs w:val="28"/>
        </w:rPr>
        <w:t>项目公司成立前完成项目在全国投资项目在线审批监管平台的公示；</w:t>
      </w:r>
    </w:p>
    <w:p w14:paraId="61DD0FBA">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5）</w:t>
      </w:r>
      <w:r>
        <w:rPr>
          <w:rFonts w:ascii="宋体" w:hAnsi="宋体" w:cs="宋体"/>
          <w:sz w:val="24"/>
          <w:szCs w:val="28"/>
        </w:rPr>
        <w:t>协助项目公司与上游水厂签订成品水购水协议；</w:t>
      </w:r>
    </w:p>
    <w:p w14:paraId="3DE8BEF0">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6）</w:t>
      </w:r>
      <w:r>
        <w:rPr>
          <w:rFonts w:ascii="宋体" w:hAnsi="宋体" w:cs="宋体"/>
          <w:sz w:val="24"/>
          <w:szCs w:val="28"/>
        </w:rPr>
        <w:t>政府方应在收到项目公司调价申请后30日内确认是否满足调价条件，满足调价情形时，应在收到调价申请后1年内按照《河南省城镇供水价格管理实施细则》《城镇供水成本监审管理办法》的规定及时完成调价；</w:t>
      </w:r>
    </w:p>
    <w:p w14:paraId="59B12238">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7）</w:t>
      </w:r>
      <w:r>
        <w:rPr>
          <w:rFonts w:ascii="宋体" w:hAnsi="宋体" w:cs="宋体"/>
          <w:sz w:val="24"/>
          <w:szCs w:val="28"/>
        </w:rPr>
        <w:t>在保障项目质量和产出效果的前提下，积极支持和协助项目公司通过加强管理、降低成本、提升效率、积极创新等获得额外收益；</w:t>
      </w:r>
    </w:p>
    <w:p w14:paraId="1F2980B5">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8）</w:t>
      </w:r>
      <w:r>
        <w:rPr>
          <w:rFonts w:ascii="宋体" w:hAnsi="宋体" w:cs="宋体"/>
          <w:sz w:val="24"/>
          <w:szCs w:val="28"/>
        </w:rPr>
        <w:t>在政府方严重违约或征收、征用本项目收回经营权的情况下，需根据提前终止补偿的约定给予项目公司相应补偿；</w:t>
      </w:r>
    </w:p>
    <w:p w14:paraId="5BF19B83">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9）</w:t>
      </w:r>
      <w:r>
        <w:rPr>
          <w:rFonts w:ascii="宋体" w:hAnsi="宋体" w:cs="宋体"/>
          <w:sz w:val="24"/>
          <w:szCs w:val="28"/>
        </w:rPr>
        <w:t>履行法律法规及特许经营协议约定应由政府方履行的其他责任。</w:t>
      </w:r>
    </w:p>
    <w:p w14:paraId="096FB56B">
      <w:pPr>
        <w:snapToGrid w:val="0"/>
        <w:spacing w:line="360" w:lineRule="auto"/>
        <w:jc w:val="left"/>
        <w:rPr>
          <w:rFonts w:ascii="宋体" w:hAnsi="宋体" w:cs="宋体"/>
          <w:b/>
          <w:bCs/>
          <w:sz w:val="24"/>
          <w:szCs w:val="28"/>
        </w:rPr>
      </w:pPr>
      <w:bookmarkStart w:id="113" w:name="_Toc1644"/>
      <w:bookmarkStart w:id="114" w:name="_Toc24594"/>
      <w:bookmarkStart w:id="115" w:name="_Toc5096"/>
      <w:bookmarkStart w:id="116" w:name="_Toc24167"/>
      <w:bookmarkStart w:id="117" w:name="_Toc6259"/>
      <w:bookmarkStart w:id="118" w:name="_Toc30097"/>
      <w:bookmarkStart w:id="119" w:name="_Toc28066"/>
      <w:bookmarkStart w:id="120" w:name="_Toc23492"/>
      <w:bookmarkStart w:id="121" w:name="_Toc964976367"/>
      <w:bookmarkStart w:id="122" w:name="_Toc31595"/>
      <w:r>
        <w:rPr>
          <w:rFonts w:hint="eastAsia" w:ascii="宋体" w:hAnsi="宋体" w:cs="宋体"/>
          <w:b/>
          <w:bCs/>
          <w:sz w:val="24"/>
          <w:szCs w:val="28"/>
        </w:rPr>
        <w:t>17.</w:t>
      </w:r>
      <w:r>
        <w:rPr>
          <w:rFonts w:ascii="宋体" w:hAnsi="宋体" w:cs="宋体"/>
          <w:b/>
          <w:bCs/>
          <w:sz w:val="24"/>
          <w:szCs w:val="28"/>
        </w:rPr>
        <w:t>特许经营者的权利、义务和责任</w:t>
      </w:r>
      <w:bookmarkEnd w:id="113"/>
      <w:bookmarkEnd w:id="114"/>
      <w:bookmarkEnd w:id="115"/>
      <w:bookmarkEnd w:id="116"/>
      <w:bookmarkEnd w:id="117"/>
      <w:bookmarkEnd w:id="118"/>
      <w:bookmarkEnd w:id="119"/>
      <w:bookmarkEnd w:id="120"/>
      <w:bookmarkEnd w:id="121"/>
      <w:bookmarkEnd w:id="122"/>
    </w:p>
    <w:p w14:paraId="3BB65A8C">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（1）</w:t>
      </w:r>
      <w:r>
        <w:rPr>
          <w:rFonts w:ascii="宋体" w:hAnsi="宋体" w:cs="宋体"/>
          <w:sz w:val="24"/>
          <w:szCs w:val="28"/>
        </w:rPr>
        <w:t>主要权利</w:t>
      </w:r>
    </w:p>
    <w:p w14:paraId="17B3111A">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1）</w:t>
      </w:r>
      <w:r>
        <w:rPr>
          <w:rFonts w:ascii="宋体" w:hAnsi="宋体" w:cs="宋体"/>
          <w:sz w:val="24"/>
          <w:szCs w:val="28"/>
        </w:rPr>
        <w:t>为实施本项目组建项目公司。</w:t>
      </w:r>
    </w:p>
    <w:p w14:paraId="2022F773">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2）</w:t>
      </w:r>
      <w:r>
        <w:rPr>
          <w:rFonts w:ascii="宋体" w:hAnsi="宋体" w:cs="宋体"/>
          <w:sz w:val="24"/>
          <w:szCs w:val="28"/>
        </w:rPr>
        <w:t>有权要求政府方协助特许经营者协调其与相关政府部门的关系推进项目；</w:t>
      </w:r>
    </w:p>
    <w:p w14:paraId="10452640">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3）</w:t>
      </w:r>
      <w:r>
        <w:rPr>
          <w:rFonts w:ascii="宋体" w:hAnsi="宋体" w:cs="宋体"/>
          <w:sz w:val="24"/>
          <w:szCs w:val="28"/>
        </w:rPr>
        <w:t>有权行使特许经营协议约定的相关权利。</w:t>
      </w:r>
    </w:p>
    <w:p w14:paraId="419795E9">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（2）</w:t>
      </w:r>
      <w:r>
        <w:rPr>
          <w:rFonts w:ascii="宋体" w:hAnsi="宋体" w:cs="宋体"/>
          <w:sz w:val="24"/>
          <w:szCs w:val="28"/>
        </w:rPr>
        <w:t>主要义务</w:t>
      </w:r>
    </w:p>
    <w:p w14:paraId="732C97DA">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1）</w:t>
      </w:r>
      <w:r>
        <w:rPr>
          <w:rFonts w:ascii="宋体" w:hAnsi="宋体" w:cs="宋体"/>
          <w:sz w:val="24"/>
          <w:szCs w:val="28"/>
        </w:rPr>
        <w:t>按照国家规定和项目需要提供项目资本金；</w:t>
      </w:r>
    </w:p>
    <w:p w14:paraId="172432C9">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2）</w:t>
      </w:r>
      <w:r>
        <w:rPr>
          <w:rFonts w:ascii="宋体" w:hAnsi="宋体" w:cs="宋体"/>
          <w:sz w:val="24"/>
          <w:szCs w:val="28"/>
        </w:rPr>
        <w:t>负责协助项目公司进行项目融资，因项目公司原因导致项目无法顺利完成融资，由特许经营者通过合规的方式进行解决，确保本项目资金按照项目进度及资金需求，合规、足额、及时到位；</w:t>
      </w:r>
    </w:p>
    <w:p w14:paraId="6A5D7076">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3）</w:t>
      </w:r>
      <w:r>
        <w:rPr>
          <w:rFonts w:ascii="宋体" w:hAnsi="宋体" w:cs="宋体"/>
          <w:sz w:val="24"/>
          <w:szCs w:val="28"/>
        </w:rPr>
        <w:t>负责协助项目公司进行项目运营维护、移交等工作；</w:t>
      </w:r>
    </w:p>
    <w:p w14:paraId="22F374EE">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4）</w:t>
      </w:r>
      <w:r>
        <w:rPr>
          <w:rFonts w:ascii="宋体" w:hAnsi="宋体" w:cs="宋体"/>
          <w:sz w:val="24"/>
          <w:szCs w:val="28"/>
        </w:rPr>
        <w:t>接受市政府、相关行政主管部门、社会公众的监督。</w:t>
      </w:r>
    </w:p>
    <w:p w14:paraId="4239F06E">
      <w:pPr>
        <w:snapToGrid w:val="0"/>
        <w:spacing w:line="360" w:lineRule="auto"/>
        <w:jc w:val="left"/>
        <w:rPr>
          <w:rFonts w:ascii="宋体" w:hAnsi="宋体" w:cs="宋体"/>
          <w:b/>
          <w:bCs/>
          <w:sz w:val="24"/>
          <w:szCs w:val="28"/>
        </w:rPr>
      </w:pPr>
      <w:bookmarkStart w:id="123" w:name="_Toc4439"/>
      <w:bookmarkStart w:id="124" w:name="_Toc561298025"/>
      <w:bookmarkStart w:id="125" w:name="_Toc3355"/>
      <w:bookmarkStart w:id="126" w:name="_Toc32242"/>
      <w:bookmarkStart w:id="127" w:name="_Toc9839"/>
      <w:bookmarkStart w:id="128" w:name="_Toc13370"/>
      <w:bookmarkStart w:id="129" w:name="_Toc2930"/>
      <w:bookmarkStart w:id="130" w:name="_Toc31111"/>
      <w:bookmarkStart w:id="131" w:name="_Toc7948"/>
      <w:bookmarkStart w:id="132" w:name="_Toc20346"/>
      <w:r>
        <w:rPr>
          <w:rFonts w:hint="eastAsia" w:ascii="宋体" w:hAnsi="宋体" w:cs="宋体"/>
          <w:b/>
          <w:bCs/>
          <w:sz w:val="24"/>
          <w:szCs w:val="28"/>
        </w:rPr>
        <w:t>18.</w:t>
      </w:r>
      <w:r>
        <w:rPr>
          <w:rFonts w:ascii="宋体" w:hAnsi="宋体" w:cs="宋体"/>
          <w:b/>
          <w:bCs/>
          <w:sz w:val="24"/>
          <w:szCs w:val="28"/>
        </w:rPr>
        <w:t>项目公司的权利、义务和责任</w:t>
      </w:r>
      <w:bookmarkEnd w:id="123"/>
      <w:bookmarkEnd w:id="124"/>
      <w:bookmarkEnd w:id="125"/>
      <w:bookmarkEnd w:id="126"/>
      <w:bookmarkEnd w:id="127"/>
      <w:bookmarkEnd w:id="128"/>
      <w:bookmarkEnd w:id="129"/>
      <w:bookmarkEnd w:id="130"/>
      <w:bookmarkEnd w:id="131"/>
      <w:bookmarkEnd w:id="132"/>
    </w:p>
    <w:p w14:paraId="40B68010">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（1）</w:t>
      </w:r>
      <w:r>
        <w:rPr>
          <w:rFonts w:ascii="宋体" w:hAnsi="宋体" w:cs="宋体"/>
          <w:sz w:val="24"/>
          <w:szCs w:val="28"/>
        </w:rPr>
        <w:t>主要权利</w:t>
      </w:r>
    </w:p>
    <w:p w14:paraId="69725CBA">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1）</w:t>
      </w:r>
      <w:r>
        <w:rPr>
          <w:rFonts w:ascii="宋体" w:hAnsi="宋体" w:cs="宋体"/>
          <w:sz w:val="24"/>
          <w:szCs w:val="28"/>
        </w:rPr>
        <w:t>在特许经营期内享有从事本项目特许经营活动的相关权利，确保特许经营协议约定的对本项目投资、运营和维护维修相关权利具有排他性；</w:t>
      </w:r>
    </w:p>
    <w:p w14:paraId="11FD94CB">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2）</w:t>
      </w:r>
      <w:r>
        <w:rPr>
          <w:rFonts w:ascii="宋体" w:hAnsi="宋体" w:cs="宋体"/>
          <w:sz w:val="24"/>
          <w:szCs w:val="28"/>
        </w:rPr>
        <w:t>为实现本协议的目的，利用项目公司享有的项目收益和对项目持有的权益进行融资（含再融资，下同）的权利，但该等权利不得减损项目公司负有的依照本协议对项目进行运营的义务；</w:t>
      </w:r>
    </w:p>
    <w:p w14:paraId="40248504">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3）为保障购水权益，有权在用水设施入口处，设置独立的计量装置，并应按国家有关规定进行定期校验；</w:t>
      </w:r>
    </w:p>
    <w:p w14:paraId="6DEDCCC9">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4）</w:t>
      </w:r>
      <w:r>
        <w:rPr>
          <w:rFonts w:ascii="宋体" w:hAnsi="宋体" w:cs="宋体"/>
          <w:sz w:val="24"/>
          <w:szCs w:val="28"/>
        </w:rPr>
        <w:t>按照适用法律及特许经营协议约定自主经营项目并获得相应的项目收入的权利，有权按照《河南省城镇供水价格管理实施细则》《河南省城镇供水定价成本监审办法》约定申请调价；</w:t>
      </w:r>
    </w:p>
    <w:p w14:paraId="5B7B6F0E">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5）</w:t>
      </w:r>
      <w:r>
        <w:rPr>
          <w:rFonts w:ascii="宋体" w:hAnsi="宋体" w:cs="宋体"/>
          <w:sz w:val="24"/>
          <w:szCs w:val="28"/>
        </w:rPr>
        <w:t>在特许经营期内，有权按相关政策申请各级政府或政府部门提供的相关奖励、补贴或优惠政策；</w:t>
      </w:r>
    </w:p>
    <w:p w14:paraId="1924E541">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6）</w:t>
      </w:r>
      <w:r>
        <w:rPr>
          <w:rFonts w:ascii="宋体" w:hAnsi="宋体" w:cs="宋体"/>
          <w:sz w:val="24"/>
          <w:szCs w:val="28"/>
        </w:rPr>
        <w:t>因公共利益或其他非项目公司原因，如需按实施机构要求提供额外服务或发生中断服务导致项目公司增加成本或造成损失的，项目公司有权获得实施机构或政府方的相应补偿。</w:t>
      </w:r>
    </w:p>
    <w:p w14:paraId="2418B727">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（2）</w:t>
      </w:r>
      <w:r>
        <w:rPr>
          <w:rFonts w:ascii="宋体" w:hAnsi="宋体" w:cs="宋体"/>
          <w:sz w:val="24"/>
          <w:szCs w:val="28"/>
        </w:rPr>
        <w:t>主要义务</w:t>
      </w:r>
    </w:p>
    <w:p w14:paraId="16EF62DB">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1）</w:t>
      </w:r>
      <w:r>
        <w:rPr>
          <w:rFonts w:ascii="宋体" w:hAnsi="宋体" w:cs="宋体"/>
          <w:sz w:val="24"/>
          <w:szCs w:val="28"/>
        </w:rPr>
        <w:t>按照特许经营协议约定，全面履行项目投融资、运营和维护相关义务；</w:t>
      </w:r>
    </w:p>
    <w:p w14:paraId="728F0481">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2）</w:t>
      </w:r>
      <w:r>
        <w:rPr>
          <w:rFonts w:ascii="宋体" w:hAnsi="宋体" w:cs="宋体"/>
          <w:sz w:val="24"/>
          <w:szCs w:val="28"/>
        </w:rPr>
        <w:t>按特许经营协议约定提供质量合格、持续稳定的公共服务或产品，并按适用法律要求和特许经营协议约定承担普遍服务义务；</w:t>
      </w:r>
    </w:p>
    <w:p w14:paraId="38F622D6">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3）</w:t>
      </w:r>
      <w:r>
        <w:rPr>
          <w:rFonts w:ascii="宋体" w:hAnsi="宋体" w:cs="宋体"/>
          <w:sz w:val="24"/>
          <w:szCs w:val="28"/>
        </w:rPr>
        <w:t>按特许经营协议约定接受实施机构的履约监管和运营评价，按适用法律要求接受和配合相关政府部门对项目的行政监督管理；</w:t>
      </w:r>
    </w:p>
    <w:p w14:paraId="1E122E44">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4）</w:t>
      </w:r>
      <w:r>
        <w:rPr>
          <w:rFonts w:ascii="宋体" w:hAnsi="宋体" w:cs="宋体"/>
          <w:sz w:val="24"/>
          <w:szCs w:val="28"/>
        </w:rPr>
        <w:t>确保项目资金及时足额筹措到位，及时支付特许经营权转让价款；</w:t>
      </w:r>
    </w:p>
    <w:p w14:paraId="1AD3E41A">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5）</w:t>
      </w:r>
      <w:r>
        <w:rPr>
          <w:rFonts w:ascii="宋体" w:hAnsi="宋体" w:cs="宋体"/>
          <w:sz w:val="24"/>
          <w:szCs w:val="28"/>
        </w:rPr>
        <w:t>依法依规开展项目前期工作，依法履行项目投资管理程序，依法取得项目投资、运营涉及的相关行政许可；</w:t>
      </w:r>
    </w:p>
    <w:p w14:paraId="49F4CD34">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6）</w:t>
      </w:r>
      <w:r>
        <w:rPr>
          <w:rFonts w:ascii="宋体" w:hAnsi="宋体" w:cs="宋体"/>
          <w:sz w:val="24"/>
          <w:szCs w:val="28"/>
        </w:rPr>
        <w:t>鉴于项目运营期第1年农村进行水源置换，项目公司需在进入运营期后3个月内出具相关水源供应方案</w:t>
      </w:r>
      <w:r>
        <w:rPr>
          <w:rFonts w:hint="eastAsia" w:ascii="宋体" w:hAnsi="宋体" w:cs="宋体"/>
          <w:sz w:val="24"/>
          <w:szCs w:val="28"/>
        </w:rPr>
        <w:t>；</w:t>
      </w:r>
    </w:p>
    <w:p w14:paraId="5F80B586">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7）</w:t>
      </w:r>
      <w:r>
        <w:rPr>
          <w:rFonts w:ascii="宋体" w:hAnsi="宋体" w:cs="宋体"/>
          <w:sz w:val="24"/>
          <w:szCs w:val="28"/>
        </w:rPr>
        <w:t>根据《职工安置方案》约定，履行已录用人员的安置责任，确保现有职工的基本权益不因特许经营权的转让而受损；</w:t>
      </w:r>
    </w:p>
    <w:p w14:paraId="141E9E56">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8）</w:t>
      </w:r>
      <w:r>
        <w:rPr>
          <w:rFonts w:ascii="宋体" w:hAnsi="宋体" w:cs="宋体"/>
          <w:sz w:val="24"/>
          <w:szCs w:val="28"/>
        </w:rPr>
        <w:t>按照特许经营协议约定提交履约保函；</w:t>
      </w:r>
    </w:p>
    <w:p w14:paraId="3AF1BFA7">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9）</w:t>
      </w:r>
      <w:r>
        <w:rPr>
          <w:rFonts w:ascii="宋体" w:hAnsi="宋体" w:cs="宋体"/>
          <w:sz w:val="24"/>
          <w:szCs w:val="28"/>
        </w:rPr>
        <w:t>特许经营期届满后按特许经营协议约定移交项目资产；</w:t>
      </w:r>
    </w:p>
    <w:p w14:paraId="7DD31A97">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10）</w:t>
      </w:r>
      <w:r>
        <w:rPr>
          <w:rFonts w:ascii="宋体" w:hAnsi="宋体" w:cs="宋体"/>
          <w:sz w:val="24"/>
          <w:szCs w:val="28"/>
        </w:rPr>
        <w:t>履行特许经营协议约定和适用法律确定的其他义务。</w:t>
      </w:r>
    </w:p>
    <w:p w14:paraId="35F9B333">
      <w:pPr>
        <w:snapToGrid w:val="0"/>
        <w:spacing w:line="360" w:lineRule="auto"/>
        <w:jc w:val="left"/>
        <w:rPr>
          <w:rFonts w:ascii="宋体" w:hAnsi="宋体" w:cs="宋体"/>
          <w:b/>
          <w:bCs/>
          <w:sz w:val="24"/>
          <w:szCs w:val="28"/>
        </w:rPr>
      </w:pPr>
      <w:bookmarkStart w:id="133" w:name="_Toc13963"/>
      <w:bookmarkStart w:id="134" w:name="_Toc24527"/>
      <w:bookmarkStart w:id="135" w:name="_Toc19736"/>
      <w:bookmarkStart w:id="136" w:name="_Toc2924"/>
      <w:bookmarkStart w:id="137" w:name="_Toc4192"/>
      <w:bookmarkStart w:id="138" w:name="_Toc14048"/>
      <w:bookmarkStart w:id="139" w:name="_Toc360936250"/>
      <w:bookmarkStart w:id="140" w:name="_Toc1605"/>
      <w:bookmarkStart w:id="141" w:name="_Toc27027"/>
      <w:bookmarkStart w:id="142" w:name="_Toc27137"/>
      <w:bookmarkStart w:id="143" w:name="_Toc29594"/>
      <w:bookmarkStart w:id="144" w:name="_Toc13850"/>
      <w:bookmarkStart w:id="145" w:name="_Toc19456"/>
      <w:r>
        <w:rPr>
          <w:rFonts w:hint="eastAsia" w:ascii="宋体" w:hAnsi="宋体" w:cs="宋体"/>
          <w:b/>
          <w:bCs/>
          <w:sz w:val="24"/>
          <w:szCs w:val="28"/>
        </w:rPr>
        <w:t>19.</w:t>
      </w:r>
      <w:r>
        <w:rPr>
          <w:rFonts w:ascii="宋体" w:hAnsi="宋体" w:cs="宋体"/>
          <w:b/>
          <w:bCs/>
          <w:sz w:val="24"/>
          <w:szCs w:val="28"/>
        </w:rPr>
        <w:t>交易结构与投融资结构</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7BA30DF9">
      <w:pPr>
        <w:snapToGrid w:val="0"/>
        <w:spacing w:line="360" w:lineRule="auto"/>
        <w:ind w:firstLine="480" w:firstLineChars="200"/>
        <w:jc w:val="left"/>
        <w:rPr>
          <w:rFonts w:ascii="宋体" w:hAnsi="宋体" w:cs="宋体"/>
          <w:sz w:val="24"/>
          <w:szCs w:val="28"/>
        </w:rPr>
      </w:pPr>
      <w:bookmarkStart w:id="146" w:name="_Toc32105"/>
      <w:bookmarkStart w:id="147" w:name="_Toc7196"/>
      <w:bookmarkStart w:id="148" w:name="_Toc1761734622"/>
      <w:bookmarkStart w:id="149" w:name="_Toc17301"/>
      <w:bookmarkStart w:id="150" w:name="_Toc26088"/>
      <w:bookmarkStart w:id="151" w:name="_Toc8966"/>
      <w:bookmarkStart w:id="152" w:name="_Toc8241"/>
      <w:bookmarkStart w:id="153" w:name="_Toc30557"/>
      <w:bookmarkStart w:id="154" w:name="_Toc26828"/>
      <w:bookmarkStart w:id="155" w:name="_Toc20257"/>
      <w:r>
        <w:rPr>
          <w:rFonts w:hint="eastAsia" w:ascii="宋体" w:hAnsi="宋体" w:cs="宋体"/>
          <w:sz w:val="24"/>
          <w:szCs w:val="28"/>
        </w:rPr>
        <w:t>（1）</w:t>
      </w:r>
      <w:r>
        <w:rPr>
          <w:rFonts w:ascii="宋体" w:hAnsi="宋体" w:cs="宋体"/>
          <w:sz w:val="24"/>
          <w:szCs w:val="28"/>
        </w:rPr>
        <w:t>交易结构</w:t>
      </w:r>
      <w:bookmarkEnd w:id="146"/>
      <w:bookmarkEnd w:id="147"/>
      <w:bookmarkEnd w:id="148"/>
      <w:bookmarkEnd w:id="149"/>
      <w:bookmarkEnd w:id="150"/>
      <w:bookmarkEnd w:id="151"/>
      <w:bookmarkEnd w:id="152"/>
      <w:bookmarkEnd w:id="153"/>
      <w:bookmarkEnd w:id="154"/>
      <w:bookmarkEnd w:id="155"/>
    </w:p>
    <w:p w14:paraId="7FEAE1F5">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1）</w:t>
      </w:r>
      <w:r>
        <w:rPr>
          <w:rFonts w:ascii="宋体" w:hAnsi="宋体" w:cs="宋体"/>
          <w:sz w:val="24"/>
          <w:szCs w:val="28"/>
        </w:rPr>
        <w:t>沈丘县人民政府授权沈丘县水利局作为项目的实施机构，通过公开招标的方式选择符合条件的特许经营者；</w:t>
      </w:r>
    </w:p>
    <w:p w14:paraId="269721D5">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2）</w:t>
      </w:r>
      <w:r>
        <w:rPr>
          <w:rFonts w:ascii="宋体" w:hAnsi="宋体" w:cs="宋体"/>
          <w:sz w:val="24"/>
          <w:szCs w:val="28"/>
        </w:rPr>
        <w:t>实施机构与中标特许经营者签订初步协议，约定双方权利义务；</w:t>
      </w:r>
    </w:p>
    <w:p w14:paraId="58902D86">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3）</w:t>
      </w:r>
      <w:r>
        <w:rPr>
          <w:rFonts w:ascii="宋体" w:hAnsi="宋体" w:cs="宋体"/>
          <w:sz w:val="24"/>
          <w:szCs w:val="28"/>
        </w:rPr>
        <w:t>中标特许经营者与政府方出资代表共同出资在项目所在地成立项目公司，政府出资人代表与中标特许经营者的出资比例为5%∶95%。</w:t>
      </w:r>
    </w:p>
    <w:p w14:paraId="75D405D9">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4）</w:t>
      </w:r>
      <w:r>
        <w:rPr>
          <w:rFonts w:ascii="宋体" w:hAnsi="宋体" w:cs="宋体"/>
          <w:sz w:val="24"/>
          <w:szCs w:val="28"/>
        </w:rPr>
        <w:t>实施机构与项目公司签订特许经营协议，约定双方权利义务；</w:t>
      </w:r>
    </w:p>
    <w:p w14:paraId="55F30ABB">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5）</w:t>
      </w:r>
      <w:r>
        <w:rPr>
          <w:rFonts w:ascii="宋体" w:hAnsi="宋体" w:cs="宋体"/>
          <w:sz w:val="24"/>
          <w:szCs w:val="28"/>
        </w:rPr>
        <w:t>项目特许经营期内，项目公司负责本项目的投融资、运营维护和移交工作，实施机构监督管理；</w:t>
      </w:r>
    </w:p>
    <w:p w14:paraId="0FE1EC51">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6）</w:t>
      </w:r>
      <w:r>
        <w:rPr>
          <w:rFonts w:ascii="宋体" w:hAnsi="宋体" w:cs="宋体"/>
          <w:sz w:val="24"/>
          <w:szCs w:val="28"/>
        </w:rPr>
        <w:t>运营期内，项目公司通过提供供水服务并获得水费，用于项目公司的成本回收和合理回报；</w:t>
      </w:r>
    </w:p>
    <w:p w14:paraId="2486A3AB">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7）</w:t>
      </w:r>
      <w:r>
        <w:rPr>
          <w:rFonts w:ascii="宋体" w:hAnsi="宋体" w:cs="宋体"/>
          <w:sz w:val="24"/>
          <w:szCs w:val="28"/>
        </w:rPr>
        <w:t>实施机构根据已签订的特许经营协议对项目公司进行运营评价，按照合同约定对未达到评价标准的工作事项进行处罚，并限期整改；</w:t>
      </w:r>
    </w:p>
    <w:p w14:paraId="09B9C43B">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8）</w:t>
      </w:r>
      <w:r>
        <w:rPr>
          <w:rFonts w:ascii="宋体" w:hAnsi="宋体" w:cs="宋体"/>
          <w:sz w:val="24"/>
          <w:szCs w:val="28"/>
        </w:rPr>
        <w:t>特许经营期满后，项目公司按照特许经营协议约定将本项目资产完好、无偿、无债务和担保抵押的移交给项目实施机构或政府指定的其他机构。</w:t>
      </w:r>
    </w:p>
    <w:p w14:paraId="685F65C3">
      <w:pPr>
        <w:snapToGrid w:val="0"/>
        <w:spacing w:line="360" w:lineRule="auto"/>
        <w:jc w:val="left"/>
        <w:rPr>
          <w:rFonts w:ascii="宋体" w:hAnsi="宋体" w:cs="宋体"/>
          <w:sz w:val="24"/>
          <w:szCs w:val="28"/>
        </w:rPr>
      </w:pPr>
      <w:r>
        <w:rPr>
          <w:rFonts w:ascii="宋体" w:hAnsi="宋体" w:cs="宋体"/>
          <w:sz w:val="24"/>
          <w:szCs w:val="28"/>
        </w:rPr>
        <w:drawing>
          <wp:inline distT="0" distB="0" distL="114300" distR="114300">
            <wp:extent cx="5273675" cy="3090545"/>
            <wp:effectExtent l="0" t="0" r="3175" b="1460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9"/>
                    <a:stretch>
                      <a:fillRect/>
                    </a:stretch>
                  </pic:blipFill>
                  <pic:spPr>
                    <a:xfrm>
                      <a:off x="0" y="0"/>
                      <a:ext cx="5273675" cy="3090545"/>
                    </a:xfrm>
                    <a:prstGeom prst="rect">
                      <a:avLst/>
                    </a:prstGeom>
                    <a:noFill/>
                    <a:ln>
                      <a:noFill/>
                    </a:ln>
                  </pic:spPr>
                </pic:pic>
              </a:graphicData>
            </a:graphic>
          </wp:inline>
        </w:drawing>
      </w:r>
    </w:p>
    <w:p w14:paraId="7D4B9024">
      <w:pPr>
        <w:snapToGrid w:val="0"/>
        <w:spacing w:line="360" w:lineRule="auto"/>
        <w:jc w:val="center"/>
        <w:rPr>
          <w:rFonts w:ascii="宋体" w:hAnsi="宋体" w:cs="宋体"/>
          <w:sz w:val="24"/>
          <w:szCs w:val="28"/>
        </w:rPr>
      </w:pPr>
      <w:r>
        <w:rPr>
          <w:rFonts w:ascii="宋体" w:hAnsi="宋体" w:cs="宋体"/>
          <w:sz w:val="24"/>
          <w:szCs w:val="28"/>
        </w:rPr>
        <w:t>项目交易结构示意图</w:t>
      </w:r>
    </w:p>
    <w:p w14:paraId="1DC4ADE8">
      <w:pPr>
        <w:snapToGrid w:val="0"/>
        <w:spacing w:line="360" w:lineRule="auto"/>
        <w:ind w:firstLine="480" w:firstLineChars="200"/>
        <w:jc w:val="left"/>
        <w:rPr>
          <w:rFonts w:ascii="宋体" w:hAnsi="宋体" w:cs="宋体"/>
          <w:sz w:val="24"/>
          <w:szCs w:val="28"/>
        </w:rPr>
      </w:pPr>
      <w:bookmarkStart w:id="156" w:name="_Toc11354"/>
      <w:bookmarkStart w:id="157" w:name="_Toc18260"/>
      <w:bookmarkStart w:id="158" w:name="_Toc31798"/>
      <w:bookmarkStart w:id="159" w:name="_Toc27551"/>
      <w:bookmarkStart w:id="160" w:name="_Toc22298"/>
      <w:bookmarkStart w:id="161" w:name="_Toc2262"/>
      <w:bookmarkStart w:id="162" w:name="_Toc2116750765"/>
      <w:bookmarkStart w:id="163" w:name="_Toc20645"/>
      <w:bookmarkStart w:id="164" w:name="_Toc26231"/>
      <w:bookmarkStart w:id="165" w:name="_Toc20101"/>
      <w:r>
        <w:rPr>
          <w:rFonts w:hint="eastAsia" w:ascii="宋体" w:hAnsi="宋体" w:cs="宋体"/>
          <w:sz w:val="24"/>
          <w:szCs w:val="28"/>
        </w:rPr>
        <w:t>（2）</w:t>
      </w:r>
      <w:r>
        <w:rPr>
          <w:rFonts w:ascii="宋体" w:hAnsi="宋体" w:cs="宋体"/>
          <w:sz w:val="24"/>
          <w:szCs w:val="28"/>
        </w:rPr>
        <w:t>投融资结构</w:t>
      </w:r>
      <w:bookmarkEnd w:id="156"/>
      <w:bookmarkEnd w:id="157"/>
      <w:bookmarkEnd w:id="158"/>
      <w:bookmarkEnd w:id="159"/>
      <w:bookmarkEnd w:id="160"/>
      <w:bookmarkEnd w:id="161"/>
      <w:bookmarkEnd w:id="162"/>
      <w:bookmarkEnd w:id="163"/>
      <w:bookmarkEnd w:id="164"/>
      <w:bookmarkEnd w:id="165"/>
    </w:p>
    <w:p w14:paraId="73F8F249">
      <w:pPr>
        <w:snapToGrid w:val="0"/>
        <w:spacing w:line="360" w:lineRule="auto"/>
        <w:ind w:firstLine="480" w:firstLineChars="200"/>
        <w:jc w:val="left"/>
        <w:rPr>
          <w:rFonts w:ascii="宋体" w:hAnsi="宋体" w:cs="宋体"/>
          <w:sz w:val="24"/>
          <w:szCs w:val="28"/>
        </w:rPr>
      </w:pPr>
      <w:r>
        <w:rPr>
          <w:rFonts w:ascii="宋体" w:hAnsi="宋体" w:cs="宋体"/>
          <w:sz w:val="24"/>
          <w:szCs w:val="28"/>
        </w:rPr>
        <w:t>根据《国务院关于调整和完善固定资产投资项目资本金制度的通知》（国发〔2015〕51号）、《国务院关于加强固定资产投资项目资本金管理的通知》（国发〔2019〕26号）规定，并结合本项目实际情况，本项目的资本金为项目投资总额的20.31%，项目资本金由项目公司股东按各自股权比例以货币形式根据项目进展投入，不得以债务性资金充当项目资本金或由第三方代持特许经营者股份；各股东同股同权，按实际出资比例分红。</w:t>
      </w:r>
    </w:p>
    <w:p w14:paraId="3AE6DFB1">
      <w:pPr>
        <w:snapToGrid w:val="0"/>
        <w:spacing w:line="360" w:lineRule="auto"/>
        <w:ind w:firstLine="480" w:firstLineChars="200"/>
        <w:jc w:val="left"/>
        <w:rPr>
          <w:rFonts w:ascii="宋体" w:hAnsi="宋体" w:cs="宋体"/>
          <w:sz w:val="24"/>
          <w:szCs w:val="28"/>
        </w:rPr>
      </w:pPr>
      <w:r>
        <w:rPr>
          <w:rFonts w:ascii="宋体" w:hAnsi="宋体" w:cs="宋体"/>
          <w:sz w:val="24"/>
          <w:szCs w:val="28"/>
        </w:rPr>
        <w:t>其他资金可通过银行贷款等方式筹集，由项目公司负责。项目公司可以本项目项下政府授予的项目预期收益质押贷款。</w:t>
      </w:r>
    </w:p>
    <w:p w14:paraId="3AB519C1">
      <w:pPr>
        <w:snapToGrid w:val="0"/>
        <w:spacing w:line="360" w:lineRule="auto"/>
        <w:ind w:firstLine="480" w:firstLineChars="200"/>
        <w:jc w:val="left"/>
        <w:rPr>
          <w:rFonts w:ascii="宋体" w:hAnsi="宋体" w:cs="宋体"/>
          <w:sz w:val="24"/>
          <w:szCs w:val="28"/>
        </w:rPr>
      </w:pPr>
      <w:r>
        <w:rPr>
          <w:rFonts w:ascii="宋体" w:hAnsi="宋体" w:cs="宋体"/>
          <w:sz w:val="24"/>
          <w:szCs w:val="28"/>
        </w:rPr>
        <w:t>特许经营者应确保项目公司能够按照特许经营者投标文件中所提供的融资方案或以更为优惠的融资条件在特许经营协议正式签署后的</w:t>
      </w:r>
      <w:r>
        <w:rPr>
          <w:rFonts w:hint="eastAsia" w:ascii="宋体" w:hAnsi="宋体" w:cs="宋体"/>
          <w:sz w:val="24"/>
          <w:szCs w:val="28"/>
        </w:rPr>
        <w:t>9</w:t>
      </w:r>
      <w:r>
        <w:rPr>
          <w:rFonts w:ascii="宋体" w:hAnsi="宋体" w:cs="宋体"/>
          <w:sz w:val="24"/>
          <w:szCs w:val="28"/>
        </w:rPr>
        <w:t>0个工作日内完成项目融资交割。</w:t>
      </w:r>
    </w:p>
    <w:p w14:paraId="3A93038C">
      <w:pPr>
        <w:snapToGrid w:val="0"/>
        <w:spacing w:line="360" w:lineRule="auto"/>
        <w:jc w:val="left"/>
        <w:rPr>
          <w:rFonts w:ascii="宋体" w:hAnsi="宋体" w:cs="宋体"/>
          <w:b/>
          <w:bCs/>
          <w:sz w:val="24"/>
          <w:szCs w:val="28"/>
        </w:rPr>
      </w:pPr>
      <w:bookmarkStart w:id="166" w:name="_Toc21668"/>
      <w:bookmarkStart w:id="167" w:name="_Toc25365"/>
      <w:bookmarkStart w:id="168" w:name="_Toc28350"/>
      <w:bookmarkStart w:id="169" w:name="_Toc14312"/>
      <w:bookmarkStart w:id="170" w:name="_Toc23913"/>
      <w:bookmarkStart w:id="171" w:name="_Toc18854"/>
      <w:bookmarkStart w:id="172" w:name="_Toc8895"/>
      <w:bookmarkStart w:id="173" w:name="_Toc10313"/>
      <w:bookmarkStart w:id="174" w:name="_Toc5784"/>
      <w:bookmarkStart w:id="175" w:name="_Toc8929"/>
      <w:bookmarkStart w:id="176" w:name="_Toc17142"/>
      <w:bookmarkStart w:id="177" w:name="_Toc17461"/>
      <w:bookmarkStart w:id="178" w:name="_Toc1016011153"/>
      <w:r>
        <w:rPr>
          <w:rFonts w:hint="eastAsia" w:ascii="宋体" w:hAnsi="宋体" w:cs="宋体"/>
          <w:b/>
          <w:bCs/>
          <w:sz w:val="24"/>
          <w:szCs w:val="28"/>
        </w:rPr>
        <w:t>20.</w:t>
      </w:r>
      <w:r>
        <w:rPr>
          <w:rFonts w:ascii="宋体" w:hAnsi="宋体" w:cs="宋体"/>
          <w:b/>
          <w:bCs/>
          <w:sz w:val="24"/>
          <w:szCs w:val="28"/>
        </w:rPr>
        <w:t>监督管理和</w:t>
      </w:r>
      <w:bookmarkEnd w:id="166"/>
      <w:bookmarkEnd w:id="167"/>
      <w:bookmarkEnd w:id="168"/>
      <w:r>
        <w:rPr>
          <w:rFonts w:ascii="宋体" w:hAnsi="宋体" w:cs="宋体"/>
          <w:b/>
          <w:bCs/>
          <w:sz w:val="24"/>
          <w:szCs w:val="28"/>
        </w:rPr>
        <w:t>运营评价</w:t>
      </w:r>
      <w:bookmarkEnd w:id="169"/>
      <w:bookmarkEnd w:id="170"/>
      <w:bookmarkEnd w:id="171"/>
      <w:bookmarkEnd w:id="172"/>
      <w:bookmarkEnd w:id="173"/>
      <w:bookmarkEnd w:id="174"/>
      <w:bookmarkEnd w:id="175"/>
      <w:bookmarkEnd w:id="176"/>
      <w:bookmarkEnd w:id="177"/>
      <w:bookmarkEnd w:id="178"/>
    </w:p>
    <w:p w14:paraId="29816F12">
      <w:pPr>
        <w:snapToGrid w:val="0"/>
        <w:spacing w:line="360" w:lineRule="auto"/>
        <w:ind w:firstLine="480" w:firstLineChars="200"/>
        <w:jc w:val="left"/>
        <w:rPr>
          <w:rFonts w:ascii="宋体" w:hAnsi="宋体" w:cs="宋体"/>
          <w:sz w:val="24"/>
          <w:szCs w:val="28"/>
        </w:rPr>
      </w:pPr>
      <w:bookmarkStart w:id="179" w:name="_Toc26682"/>
      <w:bookmarkStart w:id="180" w:name="_Toc16233"/>
      <w:bookmarkStart w:id="181" w:name="_Toc8800"/>
      <w:bookmarkStart w:id="182" w:name="_Toc1456971174"/>
      <w:bookmarkStart w:id="183" w:name="_Toc13707"/>
      <w:bookmarkStart w:id="184" w:name="_Toc7380"/>
      <w:bookmarkStart w:id="185" w:name="_Toc5504"/>
      <w:bookmarkStart w:id="186" w:name="_Toc70"/>
      <w:bookmarkStart w:id="187" w:name="_Toc25892"/>
      <w:bookmarkStart w:id="188" w:name="_Toc27126"/>
      <w:r>
        <w:rPr>
          <w:rFonts w:hint="eastAsia" w:ascii="宋体" w:hAnsi="宋体" w:cs="宋体"/>
          <w:sz w:val="24"/>
          <w:szCs w:val="28"/>
        </w:rPr>
        <w:t>（1）</w:t>
      </w:r>
      <w:r>
        <w:rPr>
          <w:rFonts w:ascii="宋体" w:hAnsi="宋体" w:cs="宋体"/>
          <w:sz w:val="24"/>
          <w:szCs w:val="28"/>
        </w:rPr>
        <w:t>监督管理</w:t>
      </w:r>
      <w:bookmarkEnd w:id="179"/>
      <w:bookmarkEnd w:id="180"/>
      <w:bookmarkEnd w:id="181"/>
      <w:bookmarkEnd w:id="182"/>
      <w:bookmarkEnd w:id="183"/>
      <w:bookmarkEnd w:id="184"/>
      <w:bookmarkEnd w:id="185"/>
      <w:bookmarkEnd w:id="186"/>
      <w:bookmarkEnd w:id="187"/>
      <w:bookmarkEnd w:id="188"/>
    </w:p>
    <w:p w14:paraId="171E1557">
      <w:pPr>
        <w:snapToGrid w:val="0"/>
        <w:spacing w:line="360" w:lineRule="auto"/>
        <w:ind w:firstLine="480" w:firstLineChars="200"/>
        <w:jc w:val="left"/>
        <w:rPr>
          <w:rFonts w:ascii="宋体" w:hAnsi="宋体" w:cs="宋体"/>
          <w:sz w:val="24"/>
          <w:szCs w:val="28"/>
        </w:rPr>
      </w:pPr>
      <w:bookmarkStart w:id="189" w:name="_Toc298316537"/>
      <w:bookmarkStart w:id="190" w:name="_Toc405146901"/>
      <w:r>
        <w:rPr>
          <w:rFonts w:hint="eastAsia" w:ascii="宋体" w:hAnsi="宋体" w:cs="宋体"/>
          <w:sz w:val="24"/>
          <w:szCs w:val="28"/>
        </w:rPr>
        <w:t>1）</w:t>
      </w:r>
      <w:r>
        <w:rPr>
          <w:rFonts w:ascii="宋体" w:hAnsi="宋体" w:cs="宋体"/>
          <w:sz w:val="24"/>
          <w:szCs w:val="28"/>
        </w:rPr>
        <w:t>审计监督</w:t>
      </w:r>
    </w:p>
    <w:bookmarkEnd w:id="189"/>
    <w:p w14:paraId="51AA0B47">
      <w:pPr>
        <w:snapToGrid w:val="0"/>
        <w:spacing w:line="360" w:lineRule="auto"/>
        <w:ind w:firstLine="480" w:firstLineChars="200"/>
        <w:jc w:val="left"/>
        <w:rPr>
          <w:rFonts w:ascii="宋体" w:hAnsi="宋体" w:cs="宋体"/>
          <w:sz w:val="24"/>
          <w:szCs w:val="28"/>
        </w:rPr>
      </w:pPr>
      <w:r>
        <w:rPr>
          <w:rFonts w:ascii="宋体" w:hAnsi="宋体" w:cs="宋体"/>
          <w:sz w:val="24"/>
          <w:szCs w:val="28"/>
        </w:rPr>
        <w:t>项目公司应接受政府审计机关依法对特许经营活动进行审计。</w:t>
      </w:r>
    </w:p>
    <w:p w14:paraId="0438E079">
      <w:pPr>
        <w:snapToGrid w:val="0"/>
        <w:spacing w:line="360" w:lineRule="auto"/>
        <w:ind w:firstLine="480" w:firstLineChars="200"/>
        <w:jc w:val="left"/>
        <w:rPr>
          <w:rFonts w:ascii="宋体" w:hAnsi="宋体" w:cs="宋体"/>
          <w:sz w:val="24"/>
          <w:szCs w:val="28"/>
        </w:rPr>
      </w:pPr>
      <w:bookmarkStart w:id="191" w:name="_Toc212092422"/>
      <w:r>
        <w:rPr>
          <w:rFonts w:hint="eastAsia" w:ascii="宋体" w:hAnsi="宋体" w:cs="宋体"/>
          <w:sz w:val="24"/>
          <w:szCs w:val="28"/>
        </w:rPr>
        <w:t>2）</w:t>
      </w:r>
      <w:r>
        <w:rPr>
          <w:rFonts w:ascii="宋体" w:hAnsi="宋体" w:cs="宋体"/>
          <w:sz w:val="24"/>
          <w:szCs w:val="28"/>
        </w:rPr>
        <w:t>信息披露</w:t>
      </w:r>
      <w:bookmarkEnd w:id="190"/>
      <w:bookmarkEnd w:id="191"/>
    </w:p>
    <w:p w14:paraId="0A6DCEA4">
      <w:pPr>
        <w:snapToGrid w:val="0"/>
        <w:spacing w:line="360" w:lineRule="auto"/>
        <w:ind w:firstLine="480" w:firstLineChars="200"/>
        <w:jc w:val="left"/>
        <w:rPr>
          <w:rFonts w:ascii="宋体" w:hAnsi="宋体" w:cs="宋体"/>
          <w:sz w:val="24"/>
          <w:szCs w:val="28"/>
        </w:rPr>
      </w:pPr>
      <w:r>
        <w:rPr>
          <w:rFonts w:ascii="宋体" w:hAnsi="宋体" w:cs="宋体"/>
          <w:sz w:val="24"/>
          <w:szCs w:val="28"/>
        </w:rPr>
        <w:t>实施机构有权按相关规定将项目合作内容、中标结果、协议主要内容、公共产品和公共服务标准、运营考核结果、经审计的年度财务报表等非涉密信息，依托</w:t>
      </w:r>
      <w:bookmarkStart w:id="192" w:name="_Hlk158098409"/>
      <w:r>
        <w:rPr>
          <w:rFonts w:ascii="宋体" w:hAnsi="宋体" w:cs="宋体"/>
          <w:sz w:val="24"/>
          <w:szCs w:val="28"/>
        </w:rPr>
        <w:t>全国投资项目在线审批监管平台</w:t>
      </w:r>
      <w:bookmarkEnd w:id="192"/>
      <w:r>
        <w:rPr>
          <w:rFonts w:ascii="宋体" w:hAnsi="宋体" w:cs="宋体"/>
          <w:sz w:val="24"/>
          <w:szCs w:val="28"/>
        </w:rPr>
        <w:t>等及时向社会公开。</w:t>
      </w:r>
    </w:p>
    <w:p w14:paraId="1A52CD11">
      <w:pPr>
        <w:snapToGrid w:val="0"/>
        <w:spacing w:line="360" w:lineRule="auto"/>
        <w:ind w:firstLine="480" w:firstLineChars="200"/>
        <w:jc w:val="left"/>
        <w:rPr>
          <w:rFonts w:ascii="宋体" w:hAnsi="宋体" w:cs="宋体"/>
          <w:sz w:val="24"/>
          <w:szCs w:val="28"/>
        </w:rPr>
      </w:pPr>
      <w:bookmarkStart w:id="193" w:name="_Toc1332870842"/>
      <w:r>
        <w:rPr>
          <w:rFonts w:hint="eastAsia" w:ascii="宋体" w:hAnsi="宋体" w:cs="宋体"/>
          <w:sz w:val="24"/>
          <w:szCs w:val="28"/>
        </w:rPr>
        <w:t>3）</w:t>
      </w:r>
      <w:r>
        <w:rPr>
          <w:rFonts w:ascii="宋体" w:hAnsi="宋体" w:cs="宋体"/>
          <w:sz w:val="24"/>
          <w:szCs w:val="28"/>
        </w:rPr>
        <w:t>公众监督</w:t>
      </w:r>
      <w:bookmarkEnd w:id="193"/>
    </w:p>
    <w:p w14:paraId="4B5ED3E2">
      <w:pPr>
        <w:snapToGrid w:val="0"/>
        <w:spacing w:line="360" w:lineRule="auto"/>
        <w:ind w:firstLine="480" w:firstLineChars="200"/>
        <w:jc w:val="left"/>
        <w:rPr>
          <w:rFonts w:ascii="宋体" w:hAnsi="宋体" w:cs="宋体"/>
          <w:sz w:val="24"/>
          <w:szCs w:val="28"/>
        </w:rPr>
      </w:pPr>
      <w:r>
        <w:rPr>
          <w:rFonts w:ascii="宋体" w:hAnsi="宋体" w:cs="宋体"/>
          <w:sz w:val="24"/>
          <w:szCs w:val="28"/>
        </w:rPr>
        <w:t>项目公司应建立畅通的公众意见收集、受理、处理和信息反馈机制，及时处理公众意见和建议。对于涉事重大、敏感的公众意见或投诉，或出现舆情事件，项目公司应及时向实施机构报告，经实施机构同意或双方共同研究后妥善回应或处置；如出现在环境影响方面公众质疑意见较多的情形，应当通过座谈会、专家论证会、听证会等方式组织公众深度参与。</w:t>
      </w:r>
    </w:p>
    <w:p w14:paraId="018A8162">
      <w:pPr>
        <w:snapToGrid w:val="0"/>
        <w:spacing w:line="360" w:lineRule="auto"/>
        <w:jc w:val="left"/>
        <w:rPr>
          <w:rFonts w:ascii="宋体" w:hAnsi="宋体" w:cs="宋体"/>
          <w:b/>
          <w:bCs/>
          <w:sz w:val="24"/>
          <w:szCs w:val="28"/>
        </w:rPr>
      </w:pPr>
      <w:bookmarkStart w:id="194" w:name="_Toc9805"/>
      <w:bookmarkStart w:id="195" w:name="_Toc11709"/>
      <w:r>
        <w:rPr>
          <w:rFonts w:hint="eastAsia" w:ascii="宋体" w:hAnsi="宋体" w:cs="宋体"/>
          <w:b/>
          <w:bCs/>
          <w:sz w:val="24"/>
          <w:szCs w:val="28"/>
        </w:rPr>
        <w:t>21.</w:t>
      </w:r>
      <w:r>
        <w:rPr>
          <w:rFonts w:ascii="宋体" w:hAnsi="宋体" w:cs="宋体"/>
          <w:b/>
          <w:bCs/>
          <w:sz w:val="24"/>
          <w:szCs w:val="28"/>
        </w:rPr>
        <w:t>风险管控</w:t>
      </w:r>
      <w:bookmarkEnd w:id="194"/>
      <w:bookmarkEnd w:id="195"/>
    </w:p>
    <w:p w14:paraId="39B5156F">
      <w:pPr>
        <w:snapToGrid w:val="0"/>
        <w:spacing w:line="360" w:lineRule="auto"/>
        <w:ind w:firstLine="480" w:firstLineChars="200"/>
        <w:jc w:val="left"/>
        <w:rPr>
          <w:rFonts w:ascii="宋体" w:hAnsi="宋体" w:cs="宋体"/>
          <w:sz w:val="24"/>
          <w:szCs w:val="28"/>
        </w:rPr>
      </w:pPr>
      <w:bookmarkStart w:id="196" w:name="_Toc15222"/>
      <w:bookmarkStart w:id="197" w:name="_Toc28717"/>
      <w:bookmarkStart w:id="198" w:name="_Toc351677905"/>
      <w:bookmarkStart w:id="199" w:name="_Toc21544"/>
      <w:bookmarkStart w:id="200" w:name="_Toc23166"/>
      <w:bookmarkStart w:id="201" w:name="_Toc28548"/>
      <w:bookmarkStart w:id="202" w:name="_Toc21151"/>
      <w:bookmarkStart w:id="203" w:name="_Toc14966"/>
      <w:bookmarkStart w:id="204" w:name="_Toc28520"/>
      <w:bookmarkStart w:id="205" w:name="_Toc16941"/>
      <w:bookmarkStart w:id="206" w:name="_Toc15888"/>
      <w:r>
        <w:rPr>
          <w:rFonts w:hint="eastAsia" w:ascii="宋体" w:hAnsi="宋体" w:cs="宋体"/>
          <w:sz w:val="24"/>
          <w:szCs w:val="28"/>
        </w:rPr>
        <w:t>（1）</w:t>
      </w:r>
      <w:r>
        <w:rPr>
          <w:rFonts w:ascii="宋体" w:hAnsi="宋体" w:cs="宋体"/>
          <w:sz w:val="24"/>
          <w:szCs w:val="28"/>
        </w:rPr>
        <w:t>风险分配原则</w:t>
      </w:r>
      <w:bookmarkEnd w:id="196"/>
    </w:p>
    <w:p w14:paraId="139162EC">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1）</w:t>
      </w:r>
      <w:r>
        <w:rPr>
          <w:rFonts w:ascii="宋体" w:hAnsi="宋体" w:cs="宋体"/>
          <w:sz w:val="24"/>
          <w:szCs w:val="28"/>
        </w:rPr>
        <w:t>法律、政策调整风险由政府承担；</w:t>
      </w:r>
    </w:p>
    <w:p w14:paraId="7BD9A472">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2）</w:t>
      </w:r>
      <w:r>
        <w:rPr>
          <w:rFonts w:ascii="宋体" w:hAnsi="宋体" w:cs="宋体"/>
          <w:sz w:val="24"/>
          <w:szCs w:val="28"/>
        </w:rPr>
        <w:t>项目投融资、运营维护等商业风险由特许经营者承担；</w:t>
      </w:r>
    </w:p>
    <w:p w14:paraId="03F93009">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3）</w:t>
      </w:r>
      <w:r>
        <w:rPr>
          <w:rFonts w:ascii="宋体" w:hAnsi="宋体" w:cs="宋体"/>
          <w:sz w:val="24"/>
          <w:szCs w:val="28"/>
        </w:rPr>
        <w:t>不可抗力等风险由政府和特许经营者合理共担。</w:t>
      </w:r>
    </w:p>
    <w:p w14:paraId="452CB106">
      <w:pPr>
        <w:snapToGrid w:val="0"/>
        <w:spacing w:line="360" w:lineRule="auto"/>
        <w:ind w:firstLine="480" w:firstLineChars="200"/>
        <w:jc w:val="left"/>
        <w:rPr>
          <w:rFonts w:ascii="宋体" w:hAnsi="宋体" w:cs="宋体"/>
          <w:sz w:val="24"/>
          <w:szCs w:val="28"/>
        </w:rPr>
      </w:pPr>
      <w:bookmarkStart w:id="207" w:name="_Toc9132"/>
      <w:r>
        <w:rPr>
          <w:rFonts w:hint="eastAsia" w:ascii="宋体" w:hAnsi="宋体" w:cs="宋体"/>
          <w:sz w:val="24"/>
          <w:szCs w:val="28"/>
        </w:rPr>
        <w:t>（2）</w:t>
      </w:r>
      <w:r>
        <w:rPr>
          <w:rFonts w:ascii="宋体" w:hAnsi="宋体" w:cs="宋体"/>
          <w:sz w:val="24"/>
          <w:szCs w:val="28"/>
        </w:rPr>
        <w:t>风险分配机制</w:t>
      </w:r>
      <w:bookmarkEnd w:id="197"/>
      <w:bookmarkEnd w:id="198"/>
      <w:bookmarkEnd w:id="199"/>
      <w:bookmarkEnd w:id="200"/>
      <w:bookmarkEnd w:id="201"/>
      <w:bookmarkEnd w:id="202"/>
      <w:bookmarkEnd w:id="203"/>
      <w:bookmarkEnd w:id="204"/>
      <w:bookmarkEnd w:id="205"/>
      <w:bookmarkEnd w:id="206"/>
      <w:bookmarkEnd w:id="207"/>
    </w:p>
    <w:p w14:paraId="02B88C94">
      <w:pPr>
        <w:snapToGrid w:val="0"/>
        <w:spacing w:line="360" w:lineRule="auto"/>
        <w:ind w:firstLine="480" w:firstLineChars="200"/>
        <w:jc w:val="left"/>
        <w:rPr>
          <w:rFonts w:ascii="宋体" w:hAnsi="宋体" w:cs="宋体"/>
          <w:sz w:val="24"/>
          <w:szCs w:val="28"/>
        </w:rPr>
      </w:pPr>
      <w:r>
        <w:rPr>
          <w:rFonts w:ascii="宋体" w:hAnsi="宋体" w:cs="宋体"/>
          <w:sz w:val="24"/>
          <w:szCs w:val="28"/>
        </w:rPr>
        <w:t>本项目风险分配表为原则性执行标准，可根据实际情况进行执行，未列明风险由双方另行协商约定。</w:t>
      </w:r>
    </w:p>
    <w:p w14:paraId="76F1F1E0">
      <w:pPr>
        <w:snapToGrid w:val="0"/>
        <w:spacing w:line="360" w:lineRule="auto"/>
        <w:jc w:val="center"/>
        <w:rPr>
          <w:rFonts w:ascii="宋体" w:hAnsi="宋体" w:cs="宋体"/>
          <w:sz w:val="24"/>
          <w:szCs w:val="28"/>
        </w:rPr>
      </w:pPr>
      <w:r>
        <w:rPr>
          <w:rFonts w:ascii="宋体" w:hAnsi="宋体" w:cs="宋体"/>
          <w:sz w:val="24"/>
          <w:szCs w:val="28"/>
        </w:rPr>
        <w:t>项目风险分配表</w:t>
      </w:r>
    </w:p>
    <w:tbl>
      <w:tblPr>
        <w:tblStyle w:val="71"/>
        <w:tblW w:w="503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4"/>
        <w:gridCol w:w="1457"/>
        <w:gridCol w:w="2765"/>
        <w:gridCol w:w="3136"/>
      </w:tblGrid>
      <w:tr w14:paraId="40A42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713" w:type="pct"/>
            <w:shd w:val="clear" w:color="auto" w:fill="FFFFFF"/>
            <w:vAlign w:val="center"/>
          </w:tcPr>
          <w:p w14:paraId="09FA1C17">
            <w:pPr>
              <w:snapToGrid w:val="0"/>
              <w:spacing w:line="360" w:lineRule="auto"/>
              <w:jc w:val="left"/>
              <w:rPr>
                <w:rFonts w:ascii="宋体" w:hAnsi="宋体" w:cs="宋体"/>
                <w:sz w:val="24"/>
                <w:szCs w:val="28"/>
              </w:rPr>
            </w:pPr>
            <w:r>
              <w:rPr>
                <w:rFonts w:ascii="宋体" w:hAnsi="宋体" w:cs="宋体"/>
                <w:sz w:val="24"/>
                <w:szCs w:val="28"/>
              </w:rPr>
              <w:t>风险类别</w:t>
            </w:r>
          </w:p>
        </w:tc>
        <w:tc>
          <w:tcPr>
            <w:tcW w:w="849" w:type="pct"/>
            <w:shd w:val="clear" w:color="auto" w:fill="FFFFFF"/>
            <w:vAlign w:val="center"/>
          </w:tcPr>
          <w:p w14:paraId="26A78177">
            <w:pPr>
              <w:snapToGrid w:val="0"/>
              <w:spacing w:line="360" w:lineRule="auto"/>
              <w:jc w:val="left"/>
              <w:rPr>
                <w:rFonts w:ascii="宋体" w:hAnsi="宋体" w:cs="宋体"/>
                <w:sz w:val="24"/>
                <w:szCs w:val="28"/>
              </w:rPr>
            </w:pPr>
            <w:r>
              <w:rPr>
                <w:rFonts w:ascii="宋体" w:hAnsi="宋体" w:cs="宋体"/>
                <w:sz w:val="24"/>
                <w:szCs w:val="28"/>
              </w:rPr>
              <w:t>风险分析</w:t>
            </w:r>
          </w:p>
        </w:tc>
        <w:tc>
          <w:tcPr>
            <w:tcW w:w="1610" w:type="pct"/>
            <w:shd w:val="clear" w:color="auto" w:fill="FFFFFF"/>
            <w:vAlign w:val="center"/>
          </w:tcPr>
          <w:p w14:paraId="2E43840E">
            <w:pPr>
              <w:snapToGrid w:val="0"/>
              <w:spacing w:line="360" w:lineRule="auto"/>
              <w:jc w:val="left"/>
              <w:rPr>
                <w:rFonts w:ascii="宋体" w:hAnsi="宋体" w:cs="宋体"/>
                <w:sz w:val="24"/>
                <w:szCs w:val="28"/>
              </w:rPr>
            </w:pPr>
            <w:r>
              <w:rPr>
                <w:rFonts w:ascii="宋体" w:hAnsi="宋体" w:cs="宋体"/>
                <w:sz w:val="24"/>
                <w:szCs w:val="28"/>
              </w:rPr>
              <w:t>风险描述</w:t>
            </w:r>
          </w:p>
        </w:tc>
        <w:tc>
          <w:tcPr>
            <w:tcW w:w="1826" w:type="pct"/>
            <w:shd w:val="clear" w:color="auto" w:fill="FFFFFF"/>
            <w:vAlign w:val="center"/>
          </w:tcPr>
          <w:p w14:paraId="40DDDA71">
            <w:pPr>
              <w:snapToGrid w:val="0"/>
              <w:spacing w:line="360" w:lineRule="auto"/>
              <w:jc w:val="left"/>
              <w:rPr>
                <w:rFonts w:ascii="宋体" w:hAnsi="宋体" w:cs="宋体"/>
                <w:sz w:val="24"/>
                <w:szCs w:val="28"/>
              </w:rPr>
            </w:pPr>
            <w:r>
              <w:rPr>
                <w:rFonts w:ascii="宋体" w:hAnsi="宋体" w:cs="宋体"/>
                <w:sz w:val="24"/>
                <w:szCs w:val="28"/>
              </w:rPr>
              <w:t>风险分配方案</w:t>
            </w:r>
          </w:p>
        </w:tc>
      </w:tr>
      <w:tr w14:paraId="7F93E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restart"/>
            <w:shd w:val="clear" w:color="auto" w:fill="FFFFFF"/>
            <w:vAlign w:val="center"/>
          </w:tcPr>
          <w:p w14:paraId="31C47B58">
            <w:pPr>
              <w:snapToGrid w:val="0"/>
              <w:spacing w:line="360" w:lineRule="auto"/>
              <w:jc w:val="left"/>
              <w:rPr>
                <w:rFonts w:ascii="宋体" w:hAnsi="宋体" w:cs="宋体"/>
                <w:sz w:val="24"/>
                <w:szCs w:val="28"/>
              </w:rPr>
            </w:pPr>
            <w:r>
              <w:rPr>
                <w:rFonts w:ascii="宋体" w:hAnsi="宋体" w:cs="宋体"/>
                <w:sz w:val="24"/>
                <w:szCs w:val="28"/>
              </w:rPr>
              <w:t>法律政策调整风险</w:t>
            </w:r>
          </w:p>
        </w:tc>
        <w:tc>
          <w:tcPr>
            <w:tcW w:w="849" w:type="pct"/>
            <w:shd w:val="clear" w:color="auto" w:fill="FFFFFF"/>
            <w:vAlign w:val="center"/>
          </w:tcPr>
          <w:p w14:paraId="6FA642D1">
            <w:pPr>
              <w:snapToGrid w:val="0"/>
              <w:spacing w:line="360" w:lineRule="auto"/>
              <w:jc w:val="left"/>
              <w:rPr>
                <w:rFonts w:ascii="宋体" w:hAnsi="宋体" w:cs="宋体"/>
                <w:sz w:val="24"/>
                <w:szCs w:val="28"/>
              </w:rPr>
            </w:pPr>
            <w:r>
              <w:rPr>
                <w:rFonts w:ascii="宋体" w:hAnsi="宋体" w:cs="宋体"/>
                <w:sz w:val="24"/>
                <w:szCs w:val="28"/>
              </w:rPr>
              <w:t>本级政府不可控</w:t>
            </w:r>
          </w:p>
        </w:tc>
        <w:tc>
          <w:tcPr>
            <w:tcW w:w="1610" w:type="pct"/>
            <w:shd w:val="clear" w:color="auto" w:fill="FFFFFF"/>
            <w:vAlign w:val="center"/>
          </w:tcPr>
          <w:p w14:paraId="43CE8AF8">
            <w:pPr>
              <w:snapToGrid w:val="0"/>
              <w:spacing w:line="360" w:lineRule="auto"/>
              <w:jc w:val="left"/>
              <w:rPr>
                <w:rFonts w:ascii="宋体" w:hAnsi="宋体" w:cs="宋体"/>
                <w:sz w:val="24"/>
                <w:szCs w:val="28"/>
              </w:rPr>
            </w:pPr>
            <w:r>
              <w:rPr>
                <w:rFonts w:ascii="宋体" w:hAnsi="宋体" w:cs="宋体"/>
                <w:sz w:val="24"/>
                <w:szCs w:val="28"/>
              </w:rPr>
              <w:t>国家层面法律、政策变动，如行业标准、税收政策等，本级政府无法干预，冲击项目运营基础，导致运营受阻、成本收益改变。</w:t>
            </w:r>
          </w:p>
        </w:tc>
        <w:tc>
          <w:tcPr>
            <w:tcW w:w="1826" w:type="pct"/>
            <w:shd w:val="clear" w:color="auto" w:fill="auto"/>
            <w:noWrap/>
            <w:vAlign w:val="center"/>
          </w:tcPr>
          <w:p w14:paraId="7A12B088">
            <w:pPr>
              <w:snapToGrid w:val="0"/>
              <w:spacing w:line="360" w:lineRule="auto"/>
              <w:jc w:val="left"/>
              <w:rPr>
                <w:rFonts w:ascii="宋体" w:hAnsi="宋体" w:cs="宋体"/>
                <w:sz w:val="24"/>
                <w:szCs w:val="28"/>
              </w:rPr>
            </w:pPr>
            <w:r>
              <w:rPr>
                <w:rFonts w:ascii="宋体" w:hAnsi="宋体" w:cs="宋体"/>
                <w:sz w:val="24"/>
                <w:szCs w:val="28"/>
              </w:rPr>
              <w:t>因法律政策变更导致项目无法继续实施按照提前终止法律变更导致情形处理；</w:t>
            </w:r>
          </w:p>
          <w:p w14:paraId="3BAC42F2">
            <w:pPr>
              <w:snapToGrid w:val="0"/>
              <w:spacing w:line="360" w:lineRule="auto"/>
              <w:jc w:val="left"/>
              <w:rPr>
                <w:rFonts w:ascii="宋体" w:hAnsi="宋体" w:cs="宋体"/>
                <w:sz w:val="24"/>
                <w:szCs w:val="28"/>
              </w:rPr>
            </w:pPr>
            <w:r>
              <w:rPr>
                <w:rFonts w:ascii="宋体" w:hAnsi="宋体" w:cs="宋体"/>
                <w:sz w:val="24"/>
                <w:szCs w:val="28"/>
              </w:rPr>
              <w:t>项目如涉及税法调整，房产税、土地使用税政策调整的项目公司可发起调价申请，政府方应按照《河南省城镇供水定价成本监审办法》在供水成本监审时予以认可；项目如涉及增值税政策调整的参照《河南省城镇供水价格管理实施细则》含增值税供水价格由各地根据经营者实际执行税率计算确定；项目如涉及所得税政策调整，项目公司应按照所得税政策依法纳税。</w:t>
            </w:r>
          </w:p>
        </w:tc>
      </w:tr>
      <w:tr w14:paraId="7FD65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continue"/>
            <w:shd w:val="clear" w:color="auto" w:fill="FFFFFF"/>
            <w:vAlign w:val="center"/>
          </w:tcPr>
          <w:p w14:paraId="2C1F3B3E">
            <w:pPr>
              <w:snapToGrid w:val="0"/>
              <w:spacing w:line="360" w:lineRule="auto"/>
              <w:jc w:val="left"/>
              <w:rPr>
                <w:rFonts w:ascii="宋体" w:hAnsi="宋体" w:cs="宋体"/>
                <w:sz w:val="24"/>
                <w:szCs w:val="28"/>
              </w:rPr>
            </w:pPr>
          </w:p>
        </w:tc>
        <w:tc>
          <w:tcPr>
            <w:tcW w:w="849" w:type="pct"/>
            <w:shd w:val="clear" w:color="auto" w:fill="FFFFFF"/>
            <w:vAlign w:val="center"/>
          </w:tcPr>
          <w:p w14:paraId="3BA0FD79">
            <w:pPr>
              <w:snapToGrid w:val="0"/>
              <w:spacing w:line="360" w:lineRule="auto"/>
              <w:jc w:val="left"/>
              <w:rPr>
                <w:rFonts w:ascii="宋体" w:hAnsi="宋体" w:cs="宋体"/>
                <w:sz w:val="24"/>
                <w:szCs w:val="28"/>
              </w:rPr>
            </w:pPr>
            <w:r>
              <w:rPr>
                <w:rFonts w:ascii="宋体" w:hAnsi="宋体" w:cs="宋体"/>
                <w:sz w:val="24"/>
                <w:szCs w:val="28"/>
              </w:rPr>
              <w:t>本级政府可控</w:t>
            </w:r>
          </w:p>
        </w:tc>
        <w:tc>
          <w:tcPr>
            <w:tcW w:w="1610" w:type="pct"/>
            <w:shd w:val="clear" w:color="auto" w:fill="FFFFFF"/>
            <w:vAlign w:val="center"/>
          </w:tcPr>
          <w:p w14:paraId="013E272A">
            <w:pPr>
              <w:snapToGrid w:val="0"/>
              <w:spacing w:line="360" w:lineRule="auto"/>
              <w:jc w:val="left"/>
              <w:rPr>
                <w:rFonts w:ascii="宋体" w:hAnsi="宋体" w:cs="宋体"/>
                <w:sz w:val="24"/>
                <w:szCs w:val="28"/>
              </w:rPr>
            </w:pPr>
            <w:r>
              <w:rPr>
                <w:rFonts w:ascii="宋体" w:hAnsi="宋体" w:cs="宋体"/>
                <w:sz w:val="24"/>
                <w:szCs w:val="28"/>
              </w:rPr>
              <w:t>运营期内，本级政府因地方规划调整、行业监督管理要求、项目管理要求变动，影响项目运营模式、收益，可能使运营暂停、调整。</w:t>
            </w:r>
          </w:p>
        </w:tc>
        <w:tc>
          <w:tcPr>
            <w:tcW w:w="1826" w:type="pct"/>
            <w:shd w:val="clear" w:color="auto" w:fill="auto"/>
            <w:noWrap/>
            <w:vAlign w:val="center"/>
          </w:tcPr>
          <w:p w14:paraId="5369ADE9">
            <w:pPr>
              <w:snapToGrid w:val="0"/>
              <w:spacing w:line="360" w:lineRule="auto"/>
              <w:jc w:val="left"/>
              <w:rPr>
                <w:rFonts w:ascii="宋体" w:hAnsi="宋体" w:cs="宋体"/>
                <w:sz w:val="24"/>
                <w:szCs w:val="28"/>
              </w:rPr>
            </w:pPr>
            <w:r>
              <w:rPr>
                <w:rFonts w:ascii="宋体" w:hAnsi="宋体" w:cs="宋体"/>
                <w:sz w:val="24"/>
                <w:szCs w:val="28"/>
              </w:rPr>
              <w:t>政府方承担</w:t>
            </w:r>
          </w:p>
        </w:tc>
      </w:tr>
      <w:tr w14:paraId="58D15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restart"/>
            <w:shd w:val="clear" w:color="auto" w:fill="FFFFFF"/>
            <w:vAlign w:val="center"/>
          </w:tcPr>
          <w:p w14:paraId="6685A3AC">
            <w:pPr>
              <w:snapToGrid w:val="0"/>
              <w:spacing w:line="360" w:lineRule="auto"/>
              <w:jc w:val="left"/>
              <w:rPr>
                <w:rFonts w:ascii="宋体" w:hAnsi="宋体" w:cs="宋体"/>
                <w:sz w:val="24"/>
                <w:szCs w:val="28"/>
              </w:rPr>
            </w:pPr>
            <w:r>
              <w:rPr>
                <w:rFonts w:ascii="宋体" w:hAnsi="宋体" w:cs="宋体"/>
                <w:sz w:val="24"/>
                <w:szCs w:val="28"/>
              </w:rPr>
              <w:t>社会风险</w:t>
            </w:r>
          </w:p>
        </w:tc>
        <w:tc>
          <w:tcPr>
            <w:tcW w:w="849" w:type="pct"/>
            <w:shd w:val="clear" w:color="auto" w:fill="FFFFFF"/>
            <w:vAlign w:val="center"/>
          </w:tcPr>
          <w:p w14:paraId="50ACB376">
            <w:pPr>
              <w:snapToGrid w:val="0"/>
              <w:spacing w:line="360" w:lineRule="auto"/>
              <w:jc w:val="left"/>
              <w:rPr>
                <w:rFonts w:ascii="宋体" w:hAnsi="宋体" w:cs="宋体"/>
                <w:sz w:val="24"/>
                <w:szCs w:val="28"/>
              </w:rPr>
            </w:pPr>
            <w:r>
              <w:rPr>
                <w:rFonts w:ascii="宋体" w:hAnsi="宋体" w:cs="宋体"/>
                <w:sz w:val="24"/>
                <w:szCs w:val="28"/>
              </w:rPr>
              <w:t>公众投诉风险</w:t>
            </w:r>
          </w:p>
        </w:tc>
        <w:tc>
          <w:tcPr>
            <w:tcW w:w="1610" w:type="pct"/>
            <w:shd w:val="clear" w:color="auto" w:fill="FFFFFF"/>
            <w:vAlign w:val="center"/>
          </w:tcPr>
          <w:p w14:paraId="46100E41">
            <w:pPr>
              <w:snapToGrid w:val="0"/>
              <w:spacing w:line="360" w:lineRule="auto"/>
              <w:jc w:val="left"/>
              <w:rPr>
                <w:rFonts w:ascii="宋体" w:hAnsi="宋体" w:cs="宋体"/>
                <w:sz w:val="24"/>
                <w:szCs w:val="28"/>
              </w:rPr>
            </w:pPr>
            <w:r>
              <w:rPr>
                <w:rFonts w:ascii="宋体" w:hAnsi="宋体" w:cs="宋体"/>
                <w:sz w:val="24"/>
                <w:szCs w:val="28"/>
              </w:rPr>
              <w:t>运营服务（如公共设施运营的服务质量、效率）未达到公众预期，引发公众投诉、抗议，甚至抵制使用，影响项目运营秩序与口碑</w:t>
            </w:r>
          </w:p>
        </w:tc>
        <w:tc>
          <w:tcPr>
            <w:tcW w:w="1826" w:type="pct"/>
            <w:shd w:val="clear" w:color="auto" w:fill="auto"/>
            <w:noWrap/>
            <w:vAlign w:val="center"/>
          </w:tcPr>
          <w:p w14:paraId="0CE12BE4">
            <w:pPr>
              <w:snapToGrid w:val="0"/>
              <w:spacing w:line="360" w:lineRule="auto"/>
              <w:jc w:val="left"/>
              <w:rPr>
                <w:rFonts w:ascii="宋体" w:hAnsi="宋体" w:cs="宋体"/>
                <w:sz w:val="24"/>
                <w:szCs w:val="28"/>
              </w:rPr>
            </w:pPr>
            <w:r>
              <w:rPr>
                <w:rFonts w:ascii="宋体" w:hAnsi="宋体" w:cs="宋体"/>
                <w:sz w:val="24"/>
                <w:szCs w:val="28"/>
              </w:rPr>
              <w:t>项目公司承担</w:t>
            </w:r>
          </w:p>
        </w:tc>
      </w:tr>
      <w:tr w14:paraId="6D8D0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continue"/>
            <w:shd w:val="clear" w:color="auto" w:fill="FFFFFF"/>
            <w:vAlign w:val="center"/>
          </w:tcPr>
          <w:p w14:paraId="3C85E76D">
            <w:pPr>
              <w:snapToGrid w:val="0"/>
              <w:spacing w:line="360" w:lineRule="auto"/>
              <w:jc w:val="left"/>
              <w:rPr>
                <w:rFonts w:ascii="宋体" w:hAnsi="宋体" w:cs="宋体"/>
                <w:sz w:val="24"/>
                <w:szCs w:val="28"/>
              </w:rPr>
            </w:pPr>
          </w:p>
        </w:tc>
        <w:tc>
          <w:tcPr>
            <w:tcW w:w="849" w:type="pct"/>
            <w:shd w:val="clear" w:color="auto" w:fill="FFFFFF"/>
            <w:vAlign w:val="center"/>
          </w:tcPr>
          <w:p w14:paraId="6C7DD9E5">
            <w:pPr>
              <w:snapToGrid w:val="0"/>
              <w:spacing w:line="360" w:lineRule="auto"/>
              <w:jc w:val="left"/>
              <w:rPr>
                <w:rFonts w:ascii="宋体" w:hAnsi="宋体" w:cs="宋体"/>
                <w:sz w:val="24"/>
                <w:szCs w:val="28"/>
              </w:rPr>
            </w:pPr>
            <w:r>
              <w:rPr>
                <w:rFonts w:ascii="宋体" w:hAnsi="宋体" w:cs="宋体"/>
                <w:sz w:val="24"/>
                <w:szCs w:val="28"/>
              </w:rPr>
              <w:t>运营劳资纠纷风险</w:t>
            </w:r>
          </w:p>
        </w:tc>
        <w:tc>
          <w:tcPr>
            <w:tcW w:w="1610" w:type="pct"/>
            <w:shd w:val="clear" w:color="auto" w:fill="FFFFFF"/>
            <w:vAlign w:val="center"/>
          </w:tcPr>
          <w:p w14:paraId="6ADE0EF8">
            <w:pPr>
              <w:snapToGrid w:val="0"/>
              <w:spacing w:line="360" w:lineRule="auto"/>
              <w:jc w:val="left"/>
              <w:rPr>
                <w:rFonts w:ascii="宋体" w:hAnsi="宋体" w:cs="宋体"/>
                <w:sz w:val="24"/>
                <w:szCs w:val="28"/>
              </w:rPr>
            </w:pPr>
            <w:r>
              <w:rPr>
                <w:rFonts w:ascii="宋体" w:hAnsi="宋体" w:cs="宋体"/>
                <w:sz w:val="24"/>
                <w:szCs w:val="28"/>
              </w:rPr>
              <w:t>运营单位与员工因薪酬、工作条件、劳动合同等产生纠纷，引发罢工、劳动仲裁，中断运营服务，增加运营管理成本。</w:t>
            </w:r>
          </w:p>
        </w:tc>
        <w:tc>
          <w:tcPr>
            <w:tcW w:w="1826" w:type="pct"/>
            <w:shd w:val="clear" w:color="auto" w:fill="auto"/>
            <w:noWrap/>
            <w:vAlign w:val="center"/>
          </w:tcPr>
          <w:p w14:paraId="34420DBE">
            <w:pPr>
              <w:snapToGrid w:val="0"/>
              <w:spacing w:line="360" w:lineRule="auto"/>
              <w:jc w:val="left"/>
              <w:rPr>
                <w:rFonts w:ascii="宋体" w:hAnsi="宋体" w:cs="宋体"/>
                <w:sz w:val="24"/>
                <w:szCs w:val="28"/>
              </w:rPr>
            </w:pPr>
            <w:r>
              <w:rPr>
                <w:rFonts w:ascii="宋体" w:hAnsi="宋体" w:cs="宋体"/>
                <w:sz w:val="24"/>
                <w:szCs w:val="28"/>
              </w:rPr>
              <w:t>项目公司承担</w:t>
            </w:r>
          </w:p>
        </w:tc>
      </w:tr>
      <w:tr w14:paraId="6CC9B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shd w:val="clear" w:color="auto" w:fill="FFFFFF"/>
            <w:vAlign w:val="center"/>
          </w:tcPr>
          <w:p w14:paraId="68397D06">
            <w:pPr>
              <w:snapToGrid w:val="0"/>
              <w:spacing w:line="360" w:lineRule="auto"/>
              <w:jc w:val="left"/>
              <w:rPr>
                <w:rFonts w:ascii="宋体" w:hAnsi="宋体" w:cs="宋体"/>
                <w:sz w:val="24"/>
                <w:szCs w:val="28"/>
              </w:rPr>
            </w:pPr>
            <w:r>
              <w:rPr>
                <w:rFonts w:ascii="宋体" w:hAnsi="宋体" w:cs="宋体"/>
                <w:sz w:val="24"/>
                <w:szCs w:val="28"/>
              </w:rPr>
              <w:t>环境风险</w:t>
            </w:r>
          </w:p>
        </w:tc>
        <w:tc>
          <w:tcPr>
            <w:tcW w:w="849" w:type="pct"/>
            <w:shd w:val="clear" w:color="auto" w:fill="FFFFFF"/>
            <w:vAlign w:val="center"/>
          </w:tcPr>
          <w:p w14:paraId="432130B5">
            <w:pPr>
              <w:snapToGrid w:val="0"/>
              <w:spacing w:line="360" w:lineRule="auto"/>
              <w:jc w:val="left"/>
              <w:rPr>
                <w:rFonts w:ascii="宋体" w:hAnsi="宋体" w:cs="宋体"/>
                <w:sz w:val="24"/>
                <w:szCs w:val="28"/>
              </w:rPr>
            </w:pPr>
            <w:r>
              <w:rPr>
                <w:rFonts w:ascii="宋体" w:hAnsi="宋体" w:cs="宋体"/>
                <w:sz w:val="24"/>
                <w:szCs w:val="28"/>
              </w:rPr>
              <w:t>运营环境合规风险</w:t>
            </w:r>
          </w:p>
        </w:tc>
        <w:tc>
          <w:tcPr>
            <w:tcW w:w="1610" w:type="pct"/>
            <w:shd w:val="clear" w:color="auto" w:fill="FFFFFF"/>
            <w:vAlign w:val="center"/>
          </w:tcPr>
          <w:p w14:paraId="655EB6AB">
            <w:pPr>
              <w:snapToGrid w:val="0"/>
              <w:spacing w:line="360" w:lineRule="auto"/>
              <w:jc w:val="left"/>
              <w:rPr>
                <w:rFonts w:ascii="宋体" w:hAnsi="宋体" w:cs="宋体"/>
                <w:sz w:val="24"/>
                <w:szCs w:val="28"/>
              </w:rPr>
            </w:pPr>
            <w:r>
              <w:rPr>
                <w:rFonts w:ascii="宋体" w:hAnsi="宋体" w:cs="宋体"/>
                <w:sz w:val="24"/>
                <w:szCs w:val="28"/>
              </w:rPr>
              <w:t>运营产生的废气、废水、噪声等，若未达标排放，面临环保部门处罚。</w:t>
            </w:r>
          </w:p>
        </w:tc>
        <w:tc>
          <w:tcPr>
            <w:tcW w:w="1826" w:type="pct"/>
            <w:shd w:val="clear" w:color="auto" w:fill="auto"/>
            <w:noWrap/>
            <w:vAlign w:val="center"/>
          </w:tcPr>
          <w:p w14:paraId="421682F4">
            <w:pPr>
              <w:snapToGrid w:val="0"/>
              <w:spacing w:line="360" w:lineRule="auto"/>
              <w:jc w:val="left"/>
              <w:rPr>
                <w:rFonts w:ascii="宋体" w:hAnsi="宋体" w:cs="宋体"/>
                <w:sz w:val="24"/>
                <w:szCs w:val="28"/>
              </w:rPr>
            </w:pPr>
            <w:r>
              <w:rPr>
                <w:rFonts w:ascii="宋体" w:hAnsi="宋体" w:cs="宋体"/>
                <w:sz w:val="24"/>
                <w:szCs w:val="28"/>
              </w:rPr>
              <w:t>项目公司承担</w:t>
            </w:r>
          </w:p>
        </w:tc>
      </w:tr>
      <w:tr w14:paraId="2BA22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shd w:val="clear" w:color="auto" w:fill="FFFFFF"/>
            <w:vAlign w:val="center"/>
          </w:tcPr>
          <w:p w14:paraId="04A44573">
            <w:pPr>
              <w:snapToGrid w:val="0"/>
              <w:spacing w:line="360" w:lineRule="auto"/>
              <w:jc w:val="left"/>
              <w:rPr>
                <w:rFonts w:ascii="宋体" w:hAnsi="宋体" w:cs="宋体"/>
                <w:sz w:val="24"/>
                <w:szCs w:val="28"/>
              </w:rPr>
            </w:pPr>
            <w:r>
              <w:rPr>
                <w:rFonts w:ascii="宋体" w:hAnsi="宋体" w:cs="宋体"/>
                <w:sz w:val="24"/>
                <w:szCs w:val="28"/>
              </w:rPr>
              <w:t>不可抗力风险</w:t>
            </w:r>
          </w:p>
        </w:tc>
        <w:tc>
          <w:tcPr>
            <w:tcW w:w="849" w:type="pct"/>
            <w:shd w:val="clear" w:color="auto" w:fill="FFFFFF"/>
            <w:vAlign w:val="center"/>
          </w:tcPr>
          <w:p w14:paraId="34927489">
            <w:pPr>
              <w:snapToGrid w:val="0"/>
              <w:spacing w:line="360" w:lineRule="auto"/>
              <w:jc w:val="left"/>
              <w:rPr>
                <w:rFonts w:ascii="宋体" w:hAnsi="宋体" w:cs="宋体"/>
                <w:sz w:val="24"/>
                <w:szCs w:val="28"/>
              </w:rPr>
            </w:pPr>
            <w:r>
              <w:rPr>
                <w:rFonts w:ascii="宋体" w:hAnsi="宋体" w:cs="宋体"/>
                <w:sz w:val="24"/>
                <w:szCs w:val="28"/>
              </w:rPr>
              <w:t>不可抗力风险</w:t>
            </w:r>
          </w:p>
        </w:tc>
        <w:tc>
          <w:tcPr>
            <w:tcW w:w="1610" w:type="pct"/>
            <w:shd w:val="clear" w:color="auto" w:fill="FFFFFF"/>
            <w:vAlign w:val="center"/>
          </w:tcPr>
          <w:p w14:paraId="106A410E">
            <w:pPr>
              <w:snapToGrid w:val="0"/>
              <w:spacing w:line="360" w:lineRule="auto"/>
              <w:jc w:val="left"/>
              <w:rPr>
                <w:rFonts w:ascii="宋体" w:hAnsi="宋体" w:cs="宋体"/>
                <w:sz w:val="24"/>
                <w:szCs w:val="28"/>
              </w:rPr>
            </w:pPr>
            <w:r>
              <w:rPr>
                <w:rFonts w:ascii="宋体" w:hAnsi="宋体" w:cs="宋体"/>
                <w:sz w:val="24"/>
                <w:szCs w:val="28"/>
              </w:rPr>
              <w:t>运营期间遭遇地震、洪水、台风、自然灾害外，战争、公共卫生事件等不可抗力，导致损坏运营设施，运营区域受限，中断运营服务，增加设施修复、运营恢复成本。</w:t>
            </w:r>
          </w:p>
        </w:tc>
        <w:tc>
          <w:tcPr>
            <w:tcW w:w="1826" w:type="pct"/>
            <w:shd w:val="clear" w:color="auto" w:fill="auto"/>
            <w:noWrap/>
            <w:vAlign w:val="center"/>
          </w:tcPr>
          <w:p w14:paraId="1CB9A74D">
            <w:pPr>
              <w:snapToGrid w:val="0"/>
              <w:spacing w:line="360" w:lineRule="auto"/>
              <w:jc w:val="left"/>
              <w:rPr>
                <w:rFonts w:ascii="宋体" w:hAnsi="宋体" w:cs="宋体"/>
                <w:sz w:val="24"/>
                <w:szCs w:val="28"/>
              </w:rPr>
            </w:pPr>
            <w:r>
              <w:rPr>
                <w:rFonts w:ascii="宋体" w:hAnsi="宋体" w:cs="宋体"/>
                <w:sz w:val="24"/>
                <w:szCs w:val="28"/>
              </w:rPr>
              <w:t>资产损失由政府方承担，项目收益损失由项目公司承担</w:t>
            </w:r>
          </w:p>
        </w:tc>
      </w:tr>
      <w:tr w14:paraId="2EBDB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restart"/>
            <w:shd w:val="clear" w:color="auto" w:fill="FFFFFF"/>
            <w:vAlign w:val="center"/>
          </w:tcPr>
          <w:p w14:paraId="20E47AD6">
            <w:pPr>
              <w:snapToGrid w:val="0"/>
              <w:spacing w:line="360" w:lineRule="auto"/>
              <w:jc w:val="left"/>
              <w:rPr>
                <w:rFonts w:ascii="宋体" w:hAnsi="宋体" w:cs="宋体"/>
                <w:sz w:val="24"/>
                <w:szCs w:val="28"/>
              </w:rPr>
            </w:pPr>
            <w:r>
              <w:rPr>
                <w:rFonts w:ascii="宋体" w:hAnsi="宋体" w:cs="宋体"/>
                <w:sz w:val="24"/>
                <w:szCs w:val="28"/>
              </w:rPr>
              <w:t>资金筹措风险</w:t>
            </w:r>
          </w:p>
        </w:tc>
        <w:tc>
          <w:tcPr>
            <w:tcW w:w="849" w:type="pct"/>
            <w:shd w:val="clear" w:color="auto" w:fill="FFFFFF"/>
            <w:vAlign w:val="center"/>
          </w:tcPr>
          <w:p w14:paraId="7170DCF4">
            <w:pPr>
              <w:snapToGrid w:val="0"/>
              <w:spacing w:line="360" w:lineRule="auto"/>
              <w:jc w:val="left"/>
              <w:rPr>
                <w:rFonts w:ascii="宋体" w:hAnsi="宋体" w:cs="宋体"/>
                <w:sz w:val="24"/>
                <w:szCs w:val="28"/>
              </w:rPr>
            </w:pPr>
            <w:r>
              <w:rPr>
                <w:rFonts w:ascii="宋体" w:hAnsi="宋体" w:cs="宋体"/>
                <w:sz w:val="24"/>
                <w:szCs w:val="28"/>
              </w:rPr>
              <w:t>筹措风险</w:t>
            </w:r>
          </w:p>
        </w:tc>
        <w:tc>
          <w:tcPr>
            <w:tcW w:w="1610" w:type="pct"/>
            <w:shd w:val="clear" w:color="auto" w:fill="FFFFFF"/>
            <w:vAlign w:val="center"/>
          </w:tcPr>
          <w:p w14:paraId="0A0F09FF">
            <w:pPr>
              <w:snapToGrid w:val="0"/>
              <w:spacing w:line="360" w:lineRule="auto"/>
              <w:jc w:val="left"/>
              <w:rPr>
                <w:rFonts w:ascii="宋体" w:hAnsi="宋体" w:cs="宋体"/>
                <w:sz w:val="24"/>
                <w:szCs w:val="28"/>
              </w:rPr>
            </w:pPr>
            <w:r>
              <w:rPr>
                <w:rFonts w:ascii="宋体" w:hAnsi="宋体" w:cs="宋体"/>
                <w:sz w:val="24"/>
                <w:szCs w:val="28"/>
              </w:rPr>
              <w:t>中标特许经营者未按时出资。</w:t>
            </w:r>
          </w:p>
        </w:tc>
        <w:tc>
          <w:tcPr>
            <w:tcW w:w="1826" w:type="pct"/>
            <w:shd w:val="clear" w:color="auto" w:fill="auto"/>
            <w:noWrap/>
            <w:vAlign w:val="center"/>
          </w:tcPr>
          <w:p w14:paraId="10392E16">
            <w:pPr>
              <w:snapToGrid w:val="0"/>
              <w:spacing w:line="360" w:lineRule="auto"/>
              <w:jc w:val="left"/>
              <w:rPr>
                <w:rFonts w:ascii="宋体" w:hAnsi="宋体" w:cs="宋体"/>
                <w:sz w:val="24"/>
                <w:szCs w:val="28"/>
              </w:rPr>
            </w:pPr>
            <w:r>
              <w:rPr>
                <w:rFonts w:ascii="宋体" w:hAnsi="宋体" w:cs="宋体"/>
                <w:sz w:val="24"/>
                <w:szCs w:val="28"/>
              </w:rPr>
              <w:t>特许经营者承担</w:t>
            </w:r>
          </w:p>
        </w:tc>
      </w:tr>
      <w:tr w14:paraId="43D54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continue"/>
            <w:shd w:val="clear" w:color="auto" w:fill="FFFFFF"/>
            <w:vAlign w:val="center"/>
          </w:tcPr>
          <w:p w14:paraId="29807949">
            <w:pPr>
              <w:snapToGrid w:val="0"/>
              <w:spacing w:line="360" w:lineRule="auto"/>
              <w:jc w:val="left"/>
              <w:rPr>
                <w:rFonts w:ascii="宋体" w:hAnsi="宋体" w:cs="宋体"/>
                <w:sz w:val="24"/>
                <w:szCs w:val="28"/>
              </w:rPr>
            </w:pPr>
          </w:p>
        </w:tc>
        <w:tc>
          <w:tcPr>
            <w:tcW w:w="849" w:type="pct"/>
            <w:vMerge w:val="restart"/>
            <w:shd w:val="clear" w:color="auto" w:fill="FFFFFF"/>
            <w:vAlign w:val="center"/>
          </w:tcPr>
          <w:p w14:paraId="3A3C3834">
            <w:pPr>
              <w:snapToGrid w:val="0"/>
              <w:spacing w:line="360" w:lineRule="auto"/>
              <w:jc w:val="left"/>
              <w:rPr>
                <w:rFonts w:ascii="宋体" w:hAnsi="宋体" w:cs="宋体"/>
                <w:sz w:val="24"/>
                <w:szCs w:val="28"/>
              </w:rPr>
            </w:pPr>
            <w:r>
              <w:rPr>
                <w:rFonts w:ascii="宋体" w:hAnsi="宋体" w:cs="宋体"/>
                <w:sz w:val="24"/>
                <w:szCs w:val="28"/>
              </w:rPr>
              <w:t>融资风险</w:t>
            </w:r>
          </w:p>
        </w:tc>
        <w:tc>
          <w:tcPr>
            <w:tcW w:w="1610" w:type="pct"/>
            <w:shd w:val="clear" w:color="auto" w:fill="FFFFFF"/>
            <w:vAlign w:val="center"/>
          </w:tcPr>
          <w:p w14:paraId="7B2DDC32">
            <w:pPr>
              <w:snapToGrid w:val="0"/>
              <w:spacing w:line="360" w:lineRule="auto"/>
              <w:jc w:val="left"/>
              <w:rPr>
                <w:rFonts w:ascii="宋体" w:hAnsi="宋体" w:cs="宋体"/>
                <w:sz w:val="24"/>
                <w:szCs w:val="28"/>
              </w:rPr>
            </w:pPr>
            <w:r>
              <w:rPr>
                <w:rFonts w:ascii="宋体" w:hAnsi="宋体" w:cs="宋体"/>
                <w:sz w:val="24"/>
                <w:szCs w:val="28"/>
              </w:rPr>
              <w:t>1.项目融资资金未按照协议约定及时到位。</w:t>
            </w:r>
          </w:p>
        </w:tc>
        <w:tc>
          <w:tcPr>
            <w:tcW w:w="1826" w:type="pct"/>
            <w:shd w:val="clear" w:color="auto" w:fill="auto"/>
            <w:vAlign w:val="center"/>
          </w:tcPr>
          <w:p w14:paraId="050E4285">
            <w:pPr>
              <w:snapToGrid w:val="0"/>
              <w:spacing w:line="360" w:lineRule="auto"/>
              <w:jc w:val="left"/>
              <w:rPr>
                <w:rFonts w:ascii="宋体" w:hAnsi="宋体" w:cs="宋体"/>
                <w:sz w:val="24"/>
                <w:szCs w:val="28"/>
              </w:rPr>
            </w:pPr>
            <w:r>
              <w:rPr>
                <w:rFonts w:ascii="宋体" w:hAnsi="宋体" w:cs="宋体"/>
                <w:sz w:val="24"/>
                <w:szCs w:val="28"/>
              </w:rPr>
              <w:t>项目公司与特许经营者共同承担</w:t>
            </w:r>
          </w:p>
        </w:tc>
      </w:tr>
      <w:tr w14:paraId="15D5F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continue"/>
            <w:shd w:val="clear" w:color="auto" w:fill="FFFFFF"/>
            <w:vAlign w:val="center"/>
          </w:tcPr>
          <w:p w14:paraId="6C1F9BA9">
            <w:pPr>
              <w:snapToGrid w:val="0"/>
              <w:spacing w:line="360" w:lineRule="auto"/>
              <w:jc w:val="left"/>
              <w:rPr>
                <w:rFonts w:ascii="宋体" w:hAnsi="宋体" w:cs="宋体"/>
                <w:sz w:val="24"/>
                <w:szCs w:val="28"/>
              </w:rPr>
            </w:pPr>
          </w:p>
        </w:tc>
        <w:tc>
          <w:tcPr>
            <w:tcW w:w="849" w:type="pct"/>
            <w:vMerge w:val="continue"/>
            <w:shd w:val="clear" w:color="auto" w:fill="FFFFFF"/>
            <w:vAlign w:val="center"/>
          </w:tcPr>
          <w:p w14:paraId="2B54CDB4">
            <w:pPr>
              <w:snapToGrid w:val="0"/>
              <w:spacing w:line="360" w:lineRule="auto"/>
              <w:jc w:val="left"/>
              <w:rPr>
                <w:rFonts w:ascii="宋体" w:hAnsi="宋体" w:cs="宋体"/>
                <w:sz w:val="24"/>
                <w:szCs w:val="28"/>
              </w:rPr>
            </w:pPr>
          </w:p>
        </w:tc>
        <w:tc>
          <w:tcPr>
            <w:tcW w:w="1610" w:type="pct"/>
            <w:shd w:val="clear" w:color="auto" w:fill="FFFFFF"/>
            <w:vAlign w:val="center"/>
          </w:tcPr>
          <w:p w14:paraId="38894377">
            <w:pPr>
              <w:snapToGrid w:val="0"/>
              <w:spacing w:line="360" w:lineRule="auto"/>
              <w:jc w:val="left"/>
              <w:rPr>
                <w:rFonts w:ascii="宋体" w:hAnsi="宋体" w:cs="宋体"/>
                <w:sz w:val="24"/>
                <w:szCs w:val="28"/>
              </w:rPr>
            </w:pPr>
            <w:r>
              <w:rPr>
                <w:rFonts w:ascii="宋体" w:hAnsi="宋体" w:cs="宋体"/>
                <w:sz w:val="24"/>
                <w:szCs w:val="28"/>
              </w:rPr>
              <w:t>2.融资成本高于方案预测水平</w:t>
            </w:r>
          </w:p>
        </w:tc>
        <w:tc>
          <w:tcPr>
            <w:tcW w:w="1826" w:type="pct"/>
            <w:shd w:val="clear" w:color="auto" w:fill="auto"/>
            <w:vAlign w:val="center"/>
          </w:tcPr>
          <w:p w14:paraId="6AE260C2">
            <w:pPr>
              <w:snapToGrid w:val="0"/>
              <w:spacing w:line="360" w:lineRule="auto"/>
              <w:jc w:val="left"/>
              <w:rPr>
                <w:rFonts w:ascii="宋体" w:hAnsi="宋体" w:cs="宋体"/>
                <w:sz w:val="24"/>
                <w:szCs w:val="28"/>
              </w:rPr>
            </w:pPr>
            <w:r>
              <w:rPr>
                <w:rFonts w:ascii="宋体" w:hAnsi="宋体" w:cs="宋体"/>
                <w:sz w:val="24"/>
                <w:szCs w:val="28"/>
              </w:rPr>
              <w:t>项目公司与特许经营者共同承担</w:t>
            </w:r>
          </w:p>
        </w:tc>
      </w:tr>
      <w:tr w14:paraId="76ADC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restart"/>
            <w:shd w:val="clear" w:color="auto" w:fill="FFFFFF"/>
            <w:vAlign w:val="center"/>
          </w:tcPr>
          <w:p w14:paraId="265756E7">
            <w:pPr>
              <w:snapToGrid w:val="0"/>
              <w:spacing w:line="360" w:lineRule="auto"/>
              <w:jc w:val="left"/>
              <w:rPr>
                <w:rFonts w:ascii="宋体" w:hAnsi="宋体" w:cs="宋体"/>
                <w:sz w:val="24"/>
                <w:szCs w:val="28"/>
              </w:rPr>
            </w:pPr>
            <w:r>
              <w:rPr>
                <w:rFonts w:ascii="宋体" w:hAnsi="宋体" w:cs="宋体"/>
                <w:sz w:val="24"/>
                <w:szCs w:val="28"/>
              </w:rPr>
              <w:t>资产转让与人员安置</w:t>
            </w:r>
          </w:p>
        </w:tc>
        <w:tc>
          <w:tcPr>
            <w:tcW w:w="849" w:type="pct"/>
            <w:vMerge w:val="restart"/>
            <w:shd w:val="clear" w:color="auto" w:fill="FFFFFF"/>
            <w:vAlign w:val="center"/>
          </w:tcPr>
          <w:p w14:paraId="7E732BD6">
            <w:pPr>
              <w:snapToGrid w:val="0"/>
              <w:spacing w:line="360" w:lineRule="auto"/>
              <w:jc w:val="left"/>
              <w:rPr>
                <w:rFonts w:ascii="宋体" w:hAnsi="宋体" w:cs="宋体"/>
                <w:sz w:val="24"/>
                <w:szCs w:val="28"/>
              </w:rPr>
            </w:pPr>
            <w:r>
              <w:rPr>
                <w:rFonts w:ascii="宋体" w:hAnsi="宋体" w:cs="宋体"/>
                <w:sz w:val="24"/>
                <w:szCs w:val="28"/>
              </w:rPr>
              <w:t>存量资产的转让风险</w:t>
            </w:r>
          </w:p>
        </w:tc>
        <w:tc>
          <w:tcPr>
            <w:tcW w:w="1610" w:type="pct"/>
            <w:shd w:val="clear" w:color="auto" w:fill="FFFFFF"/>
            <w:vAlign w:val="center"/>
          </w:tcPr>
          <w:p w14:paraId="60AA045A">
            <w:pPr>
              <w:snapToGrid w:val="0"/>
              <w:spacing w:line="360" w:lineRule="auto"/>
              <w:jc w:val="left"/>
              <w:rPr>
                <w:rFonts w:ascii="宋体" w:hAnsi="宋体" w:cs="宋体"/>
                <w:sz w:val="24"/>
                <w:szCs w:val="28"/>
              </w:rPr>
            </w:pPr>
            <w:r>
              <w:rPr>
                <w:rFonts w:ascii="宋体" w:hAnsi="宋体" w:cs="宋体"/>
                <w:sz w:val="24"/>
                <w:szCs w:val="28"/>
              </w:rPr>
              <w:t>1.存量资产权属不清晰、移交程序不合规、移交资料不详尽、移交资产性能测试不达标。</w:t>
            </w:r>
          </w:p>
        </w:tc>
        <w:tc>
          <w:tcPr>
            <w:tcW w:w="1826" w:type="pct"/>
            <w:shd w:val="clear" w:color="auto" w:fill="auto"/>
            <w:noWrap/>
            <w:vAlign w:val="center"/>
          </w:tcPr>
          <w:p w14:paraId="3A7F5FA9">
            <w:pPr>
              <w:snapToGrid w:val="0"/>
              <w:spacing w:line="360" w:lineRule="auto"/>
              <w:jc w:val="left"/>
              <w:rPr>
                <w:rFonts w:ascii="宋体" w:hAnsi="宋体" w:cs="宋体"/>
                <w:sz w:val="24"/>
                <w:szCs w:val="28"/>
              </w:rPr>
            </w:pPr>
            <w:r>
              <w:rPr>
                <w:rFonts w:ascii="宋体" w:hAnsi="宋体" w:cs="宋体"/>
                <w:sz w:val="24"/>
                <w:szCs w:val="28"/>
              </w:rPr>
              <w:t>政府方承担</w:t>
            </w:r>
          </w:p>
        </w:tc>
      </w:tr>
      <w:tr w14:paraId="35A5D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continue"/>
            <w:shd w:val="clear" w:color="auto" w:fill="FFFFFF"/>
            <w:vAlign w:val="center"/>
          </w:tcPr>
          <w:p w14:paraId="6B7EE12D">
            <w:pPr>
              <w:snapToGrid w:val="0"/>
              <w:spacing w:line="360" w:lineRule="auto"/>
              <w:jc w:val="left"/>
              <w:rPr>
                <w:rFonts w:ascii="宋体" w:hAnsi="宋体" w:cs="宋体"/>
                <w:sz w:val="24"/>
                <w:szCs w:val="28"/>
              </w:rPr>
            </w:pPr>
          </w:p>
        </w:tc>
        <w:tc>
          <w:tcPr>
            <w:tcW w:w="849" w:type="pct"/>
            <w:vMerge w:val="continue"/>
            <w:shd w:val="clear" w:color="auto" w:fill="FFFFFF"/>
            <w:vAlign w:val="center"/>
          </w:tcPr>
          <w:p w14:paraId="475D6888">
            <w:pPr>
              <w:snapToGrid w:val="0"/>
              <w:spacing w:line="360" w:lineRule="auto"/>
              <w:jc w:val="left"/>
              <w:rPr>
                <w:rFonts w:ascii="宋体" w:hAnsi="宋体" w:cs="宋体"/>
                <w:sz w:val="24"/>
                <w:szCs w:val="28"/>
              </w:rPr>
            </w:pPr>
          </w:p>
        </w:tc>
        <w:tc>
          <w:tcPr>
            <w:tcW w:w="1610" w:type="pct"/>
            <w:shd w:val="clear" w:color="auto" w:fill="FFFFFF"/>
            <w:vAlign w:val="center"/>
          </w:tcPr>
          <w:p w14:paraId="55018F14">
            <w:pPr>
              <w:snapToGrid w:val="0"/>
              <w:spacing w:line="360" w:lineRule="auto"/>
              <w:jc w:val="left"/>
              <w:rPr>
                <w:rFonts w:ascii="宋体" w:hAnsi="宋体" w:cs="宋体"/>
                <w:sz w:val="24"/>
                <w:szCs w:val="28"/>
              </w:rPr>
            </w:pPr>
            <w:r>
              <w:rPr>
                <w:rFonts w:ascii="宋体" w:hAnsi="宋体" w:cs="宋体"/>
                <w:sz w:val="24"/>
                <w:szCs w:val="28"/>
              </w:rPr>
              <w:t>2.资产关联的经营许可、资质无法随转让过户，导致受让方无法正常使用资产开展经营。</w:t>
            </w:r>
          </w:p>
        </w:tc>
        <w:tc>
          <w:tcPr>
            <w:tcW w:w="1826" w:type="pct"/>
            <w:shd w:val="clear" w:color="auto" w:fill="auto"/>
            <w:noWrap/>
            <w:vAlign w:val="center"/>
          </w:tcPr>
          <w:p w14:paraId="72EBDDE0">
            <w:pPr>
              <w:snapToGrid w:val="0"/>
              <w:spacing w:line="360" w:lineRule="auto"/>
              <w:jc w:val="left"/>
              <w:rPr>
                <w:rFonts w:ascii="宋体" w:hAnsi="宋体" w:cs="宋体"/>
                <w:sz w:val="24"/>
                <w:szCs w:val="28"/>
              </w:rPr>
            </w:pPr>
            <w:r>
              <w:rPr>
                <w:rFonts w:ascii="宋体" w:hAnsi="宋体" w:cs="宋体"/>
                <w:sz w:val="24"/>
                <w:szCs w:val="28"/>
              </w:rPr>
              <w:t>政府方承担</w:t>
            </w:r>
          </w:p>
        </w:tc>
      </w:tr>
      <w:tr w14:paraId="1FF23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continue"/>
            <w:shd w:val="clear" w:color="auto" w:fill="FFFFFF"/>
            <w:vAlign w:val="center"/>
          </w:tcPr>
          <w:p w14:paraId="1832BBE7">
            <w:pPr>
              <w:snapToGrid w:val="0"/>
              <w:spacing w:line="360" w:lineRule="auto"/>
              <w:jc w:val="left"/>
              <w:rPr>
                <w:rFonts w:ascii="宋体" w:hAnsi="宋体" w:cs="宋体"/>
                <w:sz w:val="24"/>
                <w:szCs w:val="28"/>
              </w:rPr>
            </w:pPr>
          </w:p>
        </w:tc>
        <w:tc>
          <w:tcPr>
            <w:tcW w:w="849" w:type="pct"/>
            <w:vMerge w:val="continue"/>
            <w:shd w:val="clear" w:color="auto" w:fill="FFFFFF"/>
            <w:vAlign w:val="center"/>
          </w:tcPr>
          <w:p w14:paraId="05E471AC">
            <w:pPr>
              <w:snapToGrid w:val="0"/>
              <w:spacing w:line="360" w:lineRule="auto"/>
              <w:jc w:val="left"/>
              <w:rPr>
                <w:rFonts w:ascii="宋体" w:hAnsi="宋体" w:cs="宋体"/>
                <w:sz w:val="24"/>
                <w:szCs w:val="28"/>
              </w:rPr>
            </w:pPr>
          </w:p>
        </w:tc>
        <w:tc>
          <w:tcPr>
            <w:tcW w:w="1610" w:type="pct"/>
            <w:shd w:val="clear" w:color="auto" w:fill="FFFFFF"/>
            <w:vAlign w:val="center"/>
          </w:tcPr>
          <w:p w14:paraId="76D7C55F">
            <w:pPr>
              <w:snapToGrid w:val="0"/>
              <w:spacing w:line="360" w:lineRule="auto"/>
              <w:jc w:val="left"/>
              <w:rPr>
                <w:rFonts w:ascii="宋体" w:hAnsi="宋体" w:cs="宋体"/>
                <w:sz w:val="24"/>
                <w:szCs w:val="28"/>
              </w:rPr>
            </w:pPr>
            <w:r>
              <w:rPr>
                <w:rFonts w:ascii="宋体" w:hAnsi="宋体" w:cs="宋体"/>
                <w:sz w:val="24"/>
                <w:szCs w:val="28"/>
              </w:rPr>
              <w:t>3.转让款支付延迟的风险。</w:t>
            </w:r>
          </w:p>
        </w:tc>
        <w:tc>
          <w:tcPr>
            <w:tcW w:w="1826" w:type="pct"/>
            <w:shd w:val="clear" w:color="auto" w:fill="auto"/>
            <w:noWrap/>
            <w:vAlign w:val="center"/>
          </w:tcPr>
          <w:p w14:paraId="547FBDD8">
            <w:pPr>
              <w:snapToGrid w:val="0"/>
              <w:spacing w:line="360" w:lineRule="auto"/>
              <w:jc w:val="left"/>
              <w:rPr>
                <w:rFonts w:ascii="宋体" w:hAnsi="宋体" w:cs="宋体"/>
                <w:sz w:val="24"/>
                <w:szCs w:val="28"/>
              </w:rPr>
            </w:pPr>
            <w:r>
              <w:rPr>
                <w:rFonts w:ascii="宋体" w:hAnsi="宋体" w:cs="宋体"/>
                <w:sz w:val="24"/>
                <w:szCs w:val="28"/>
              </w:rPr>
              <w:t>特许经营者承担</w:t>
            </w:r>
          </w:p>
        </w:tc>
      </w:tr>
      <w:tr w14:paraId="66AD5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continue"/>
            <w:shd w:val="clear" w:color="auto" w:fill="FFFFFF"/>
            <w:vAlign w:val="center"/>
          </w:tcPr>
          <w:p w14:paraId="75C8E84F">
            <w:pPr>
              <w:snapToGrid w:val="0"/>
              <w:spacing w:line="360" w:lineRule="auto"/>
              <w:jc w:val="left"/>
              <w:rPr>
                <w:rFonts w:ascii="宋体" w:hAnsi="宋体" w:cs="宋体"/>
                <w:sz w:val="24"/>
                <w:szCs w:val="28"/>
              </w:rPr>
            </w:pPr>
          </w:p>
        </w:tc>
        <w:tc>
          <w:tcPr>
            <w:tcW w:w="849" w:type="pct"/>
            <w:shd w:val="clear" w:color="auto" w:fill="FFFFFF"/>
            <w:vAlign w:val="center"/>
          </w:tcPr>
          <w:p w14:paraId="3E58D438">
            <w:pPr>
              <w:snapToGrid w:val="0"/>
              <w:spacing w:line="360" w:lineRule="auto"/>
              <w:jc w:val="left"/>
              <w:rPr>
                <w:rFonts w:ascii="宋体" w:hAnsi="宋体" w:cs="宋体"/>
                <w:sz w:val="24"/>
                <w:szCs w:val="28"/>
              </w:rPr>
            </w:pPr>
            <w:r>
              <w:rPr>
                <w:rFonts w:ascii="宋体" w:hAnsi="宋体" w:cs="宋体"/>
                <w:sz w:val="24"/>
                <w:szCs w:val="28"/>
              </w:rPr>
              <w:t>人员安置的风险</w:t>
            </w:r>
          </w:p>
        </w:tc>
        <w:tc>
          <w:tcPr>
            <w:tcW w:w="1610" w:type="pct"/>
            <w:shd w:val="clear" w:color="auto" w:fill="FFFFFF"/>
            <w:vAlign w:val="center"/>
          </w:tcPr>
          <w:p w14:paraId="257ED6CC">
            <w:pPr>
              <w:snapToGrid w:val="0"/>
              <w:spacing w:line="360" w:lineRule="auto"/>
              <w:jc w:val="left"/>
              <w:rPr>
                <w:rFonts w:ascii="宋体" w:hAnsi="宋体" w:cs="宋体"/>
                <w:sz w:val="24"/>
                <w:szCs w:val="28"/>
              </w:rPr>
            </w:pPr>
            <w:r>
              <w:rPr>
                <w:rFonts w:ascii="宋体" w:hAnsi="宋体" w:cs="宋体"/>
                <w:sz w:val="24"/>
                <w:szCs w:val="28"/>
              </w:rPr>
              <w:t>按照双方共同拟定的职工安置方案，项目公司接收人员权益保障风险。</w:t>
            </w:r>
          </w:p>
        </w:tc>
        <w:tc>
          <w:tcPr>
            <w:tcW w:w="1826" w:type="pct"/>
            <w:shd w:val="clear" w:color="auto" w:fill="auto"/>
            <w:noWrap/>
            <w:vAlign w:val="center"/>
          </w:tcPr>
          <w:p w14:paraId="353FE2C1">
            <w:pPr>
              <w:snapToGrid w:val="0"/>
              <w:spacing w:line="360" w:lineRule="auto"/>
              <w:jc w:val="left"/>
              <w:rPr>
                <w:rFonts w:ascii="宋体" w:hAnsi="宋体" w:cs="宋体"/>
                <w:sz w:val="24"/>
                <w:szCs w:val="28"/>
              </w:rPr>
            </w:pPr>
            <w:r>
              <w:rPr>
                <w:rFonts w:ascii="宋体" w:hAnsi="宋体" w:cs="宋体"/>
                <w:sz w:val="24"/>
                <w:szCs w:val="28"/>
              </w:rPr>
              <w:t>项目公司承担</w:t>
            </w:r>
          </w:p>
        </w:tc>
      </w:tr>
      <w:tr w14:paraId="44DF8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restart"/>
            <w:shd w:val="clear" w:color="auto" w:fill="FFFFFF"/>
            <w:vAlign w:val="center"/>
          </w:tcPr>
          <w:p w14:paraId="22700FAC">
            <w:pPr>
              <w:snapToGrid w:val="0"/>
              <w:spacing w:line="360" w:lineRule="auto"/>
              <w:jc w:val="left"/>
              <w:rPr>
                <w:rFonts w:ascii="宋体" w:hAnsi="宋体" w:cs="宋体"/>
                <w:sz w:val="24"/>
                <w:szCs w:val="28"/>
              </w:rPr>
            </w:pPr>
            <w:r>
              <w:rPr>
                <w:rFonts w:ascii="宋体" w:hAnsi="宋体" w:cs="宋体"/>
                <w:sz w:val="24"/>
                <w:szCs w:val="28"/>
              </w:rPr>
              <w:t>运营管理</w:t>
            </w:r>
            <w:r>
              <w:rPr>
                <w:rFonts w:ascii="宋体" w:hAnsi="宋体" w:cs="宋体"/>
                <w:sz w:val="24"/>
                <w:szCs w:val="28"/>
              </w:rPr>
              <w:br w:type="textWrapping"/>
            </w:r>
            <w:r>
              <w:rPr>
                <w:rFonts w:ascii="宋体" w:hAnsi="宋体" w:cs="宋体"/>
                <w:sz w:val="24"/>
                <w:szCs w:val="28"/>
              </w:rPr>
              <w:t>风险</w:t>
            </w:r>
          </w:p>
        </w:tc>
        <w:tc>
          <w:tcPr>
            <w:tcW w:w="849" w:type="pct"/>
            <w:vMerge w:val="restart"/>
            <w:shd w:val="clear" w:color="auto" w:fill="FFFFFF"/>
            <w:vAlign w:val="center"/>
          </w:tcPr>
          <w:p w14:paraId="58176071">
            <w:pPr>
              <w:snapToGrid w:val="0"/>
              <w:spacing w:line="360" w:lineRule="auto"/>
              <w:jc w:val="left"/>
              <w:rPr>
                <w:rFonts w:ascii="宋体" w:hAnsi="宋体" w:cs="宋体"/>
                <w:sz w:val="24"/>
                <w:szCs w:val="28"/>
              </w:rPr>
            </w:pPr>
            <w:r>
              <w:rPr>
                <w:rFonts w:ascii="宋体" w:hAnsi="宋体" w:cs="宋体"/>
                <w:sz w:val="24"/>
                <w:szCs w:val="28"/>
              </w:rPr>
              <w:t>供水水质</w:t>
            </w:r>
          </w:p>
          <w:p w14:paraId="2C686DC3">
            <w:pPr>
              <w:snapToGrid w:val="0"/>
              <w:spacing w:line="360" w:lineRule="auto"/>
              <w:jc w:val="left"/>
              <w:rPr>
                <w:rFonts w:ascii="宋体" w:hAnsi="宋体" w:cs="宋体"/>
                <w:sz w:val="24"/>
                <w:szCs w:val="28"/>
              </w:rPr>
            </w:pPr>
            <w:r>
              <w:rPr>
                <w:rFonts w:ascii="宋体" w:hAnsi="宋体" w:cs="宋体"/>
                <w:sz w:val="24"/>
                <w:szCs w:val="28"/>
              </w:rPr>
              <w:t>不达标</w:t>
            </w:r>
          </w:p>
        </w:tc>
        <w:tc>
          <w:tcPr>
            <w:tcW w:w="1610" w:type="pct"/>
            <w:shd w:val="clear" w:color="auto" w:fill="FFFFFF"/>
            <w:vAlign w:val="center"/>
          </w:tcPr>
          <w:p w14:paraId="18FC25AB">
            <w:pPr>
              <w:snapToGrid w:val="0"/>
              <w:spacing w:line="360" w:lineRule="auto"/>
              <w:jc w:val="left"/>
              <w:rPr>
                <w:rFonts w:ascii="宋体" w:hAnsi="宋体" w:cs="宋体"/>
                <w:sz w:val="24"/>
                <w:szCs w:val="28"/>
              </w:rPr>
            </w:pPr>
            <w:r>
              <w:rPr>
                <w:rFonts w:ascii="宋体" w:hAnsi="宋体" w:cs="宋体"/>
                <w:sz w:val="24"/>
                <w:szCs w:val="28"/>
              </w:rPr>
              <w:t>南水北调水厂出厂水质达标情况下，城区用户终端水质不符合国家/行业标准。</w:t>
            </w:r>
          </w:p>
        </w:tc>
        <w:tc>
          <w:tcPr>
            <w:tcW w:w="1826" w:type="pct"/>
            <w:shd w:val="clear" w:color="auto" w:fill="auto"/>
            <w:vAlign w:val="center"/>
          </w:tcPr>
          <w:p w14:paraId="42095A02">
            <w:pPr>
              <w:snapToGrid w:val="0"/>
              <w:spacing w:line="360" w:lineRule="auto"/>
              <w:jc w:val="left"/>
              <w:rPr>
                <w:rFonts w:ascii="宋体" w:hAnsi="宋体" w:cs="宋体"/>
                <w:sz w:val="24"/>
                <w:szCs w:val="28"/>
              </w:rPr>
            </w:pPr>
            <w:r>
              <w:rPr>
                <w:rFonts w:ascii="宋体" w:hAnsi="宋体" w:cs="宋体"/>
                <w:sz w:val="24"/>
                <w:szCs w:val="28"/>
              </w:rPr>
              <w:t>项目公司承担</w:t>
            </w:r>
          </w:p>
        </w:tc>
      </w:tr>
      <w:tr w14:paraId="2DD07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continue"/>
            <w:shd w:val="clear" w:color="auto" w:fill="FFFFFF"/>
            <w:vAlign w:val="center"/>
          </w:tcPr>
          <w:p w14:paraId="24E54C27">
            <w:pPr>
              <w:snapToGrid w:val="0"/>
              <w:spacing w:line="360" w:lineRule="auto"/>
              <w:jc w:val="left"/>
              <w:rPr>
                <w:rFonts w:ascii="宋体" w:hAnsi="宋体" w:cs="宋体"/>
                <w:sz w:val="24"/>
                <w:szCs w:val="28"/>
              </w:rPr>
            </w:pPr>
          </w:p>
        </w:tc>
        <w:tc>
          <w:tcPr>
            <w:tcW w:w="849" w:type="pct"/>
            <w:vMerge w:val="continue"/>
            <w:shd w:val="clear" w:color="auto" w:fill="FFFFFF"/>
            <w:vAlign w:val="center"/>
          </w:tcPr>
          <w:p w14:paraId="77937D78">
            <w:pPr>
              <w:snapToGrid w:val="0"/>
              <w:spacing w:line="360" w:lineRule="auto"/>
              <w:jc w:val="left"/>
              <w:rPr>
                <w:rFonts w:ascii="宋体" w:hAnsi="宋体" w:cs="宋体"/>
                <w:sz w:val="24"/>
                <w:szCs w:val="28"/>
              </w:rPr>
            </w:pPr>
          </w:p>
        </w:tc>
        <w:tc>
          <w:tcPr>
            <w:tcW w:w="1610" w:type="pct"/>
            <w:shd w:val="clear" w:color="auto" w:fill="FFFFFF"/>
            <w:vAlign w:val="center"/>
          </w:tcPr>
          <w:p w14:paraId="7BFDC7C8">
            <w:pPr>
              <w:snapToGrid w:val="0"/>
              <w:spacing w:line="360" w:lineRule="auto"/>
              <w:jc w:val="left"/>
              <w:rPr>
                <w:rFonts w:ascii="宋体" w:hAnsi="宋体" w:cs="宋体"/>
                <w:sz w:val="24"/>
                <w:szCs w:val="28"/>
              </w:rPr>
            </w:pPr>
            <w:r>
              <w:rPr>
                <w:rFonts w:ascii="宋体" w:hAnsi="宋体" w:cs="宋体"/>
                <w:sz w:val="24"/>
                <w:szCs w:val="28"/>
              </w:rPr>
              <w:t>城乡一体化水厂水厂出厂水质达标情况下，乡镇20座水厂站出厂水质不符合国家/行业标准。</w:t>
            </w:r>
          </w:p>
        </w:tc>
        <w:tc>
          <w:tcPr>
            <w:tcW w:w="1826" w:type="pct"/>
            <w:shd w:val="clear" w:color="auto" w:fill="auto"/>
            <w:vAlign w:val="center"/>
          </w:tcPr>
          <w:p w14:paraId="7C58B99F">
            <w:pPr>
              <w:snapToGrid w:val="0"/>
              <w:spacing w:line="360" w:lineRule="auto"/>
              <w:jc w:val="left"/>
              <w:rPr>
                <w:rFonts w:ascii="宋体" w:hAnsi="宋体" w:cs="宋体"/>
                <w:sz w:val="24"/>
                <w:szCs w:val="28"/>
              </w:rPr>
            </w:pPr>
            <w:r>
              <w:rPr>
                <w:rFonts w:ascii="宋体" w:hAnsi="宋体" w:cs="宋体"/>
                <w:sz w:val="24"/>
                <w:szCs w:val="28"/>
              </w:rPr>
              <w:t>项目公司承担</w:t>
            </w:r>
          </w:p>
        </w:tc>
      </w:tr>
      <w:tr w14:paraId="08F6B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continue"/>
            <w:shd w:val="clear" w:color="auto" w:fill="FFFFFF"/>
            <w:vAlign w:val="center"/>
          </w:tcPr>
          <w:p w14:paraId="45A50A8A">
            <w:pPr>
              <w:snapToGrid w:val="0"/>
              <w:spacing w:line="360" w:lineRule="auto"/>
              <w:jc w:val="left"/>
              <w:rPr>
                <w:rFonts w:ascii="宋体" w:hAnsi="宋体" w:cs="宋体"/>
                <w:sz w:val="24"/>
                <w:szCs w:val="28"/>
              </w:rPr>
            </w:pPr>
          </w:p>
        </w:tc>
        <w:tc>
          <w:tcPr>
            <w:tcW w:w="849" w:type="pct"/>
            <w:vMerge w:val="restart"/>
            <w:shd w:val="clear" w:color="auto" w:fill="FFFFFF"/>
            <w:vAlign w:val="center"/>
          </w:tcPr>
          <w:p w14:paraId="271A3B47">
            <w:pPr>
              <w:snapToGrid w:val="0"/>
              <w:spacing w:line="360" w:lineRule="auto"/>
              <w:jc w:val="left"/>
              <w:rPr>
                <w:rFonts w:ascii="宋体" w:hAnsi="宋体" w:cs="宋体"/>
                <w:sz w:val="24"/>
                <w:szCs w:val="28"/>
              </w:rPr>
            </w:pPr>
            <w:r>
              <w:rPr>
                <w:rFonts w:ascii="宋体" w:hAnsi="宋体" w:cs="宋体"/>
                <w:sz w:val="24"/>
                <w:szCs w:val="28"/>
              </w:rPr>
              <w:t>价格调整</w:t>
            </w:r>
          </w:p>
          <w:p w14:paraId="469512D7">
            <w:pPr>
              <w:snapToGrid w:val="0"/>
              <w:spacing w:line="360" w:lineRule="auto"/>
              <w:jc w:val="left"/>
              <w:rPr>
                <w:rFonts w:ascii="宋体" w:hAnsi="宋体" w:cs="宋体"/>
                <w:sz w:val="24"/>
                <w:szCs w:val="28"/>
              </w:rPr>
            </w:pPr>
            <w:r>
              <w:rPr>
                <w:rFonts w:ascii="宋体" w:hAnsi="宋体" w:cs="宋体"/>
                <w:sz w:val="24"/>
                <w:szCs w:val="28"/>
              </w:rPr>
              <w:t>不到位</w:t>
            </w:r>
          </w:p>
        </w:tc>
        <w:tc>
          <w:tcPr>
            <w:tcW w:w="1610" w:type="pct"/>
            <w:shd w:val="clear" w:color="auto" w:fill="FFFFFF"/>
            <w:vAlign w:val="center"/>
          </w:tcPr>
          <w:p w14:paraId="542E8D69">
            <w:pPr>
              <w:snapToGrid w:val="0"/>
              <w:spacing w:line="360" w:lineRule="auto"/>
              <w:jc w:val="left"/>
              <w:rPr>
                <w:rFonts w:ascii="宋体" w:hAnsi="宋体" w:cs="宋体"/>
                <w:sz w:val="24"/>
                <w:szCs w:val="28"/>
              </w:rPr>
            </w:pPr>
            <w:r>
              <w:rPr>
                <w:rFonts w:ascii="宋体" w:hAnsi="宋体" w:cs="宋体"/>
                <w:sz w:val="24"/>
                <w:szCs w:val="28"/>
              </w:rPr>
              <w:t>1.因项目公司延迟提交价格调整文件及相关资料。</w:t>
            </w:r>
          </w:p>
        </w:tc>
        <w:tc>
          <w:tcPr>
            <w:tcW w:w="1826" w:type="pct"/>
            <w:shd w:val="clear" w:color="auto" w:fill="auto"/>
            <w:vAlign w:val="center"/>
          </w:tcPr>
          <w:p w14:paraId="2AD7AE83">
            <w:pPr>
              <w:snapToGrid w:val="0"/>
              <w:spacing w:line="360" w:lineRule="auto"/>
              <w:jc w:val="left"/>
              <w:rPr>
                <w:rFonts w:ascii="宋体" w:hAnsi="宋体" w:cs="宋体"/>
                <w:sz w:val="24"/>
                <w:szCs w:val="28"/>
              </w:rPr>
            </w:pPr>
            <w:r>
              <w:rPr>
                <w:rFonts w:ascii="宋体" w:hAnsi="宋体" w:cs="宋体"/>
                <w:sz w:val="24"/>
                <w:szCs w:val="28"/>
              </w:rPr>
              <w:t>项目公司承担</w:t>
            </w:r>
          </w:p>
        </w:tc>
      </w:tr>
      <w:tr w14:paraId="73445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continue"/>
            <w:shd w:val="clear" w:color="auto" w:fill="FFFFFF"/>
            <w:vAlign w:val="center"/>
          </w:tcPr>
          <w:p w14:paraId="6FAD288D">
            <w:pPr>
              <w:snapToGrid w:val="0"/>
              <w:spacing w:line="360" w:lineRule="auto"/>
              <w:jc w:val="left"/>
              <w:rPr>
                <w:rFonts w:ascii="宋体" w:hAnsi="宋体" w:cs="宋体"/>
                <w:sz w:val="24"/>
                <w:szCs w:val="28"/>
              </w:rPr>
            </w:pPr>
          </w:p>
        </w:tc>
        <w:tc>
          <w:tcPr>
            <w:tcW w:w="849" w:type="pct"/>
            <w:vMerge w:val="continue"/>
            <w:shd w:val="clear" w:color="auto" w:fill="FFFFFF"/>
            <w:vAlign w:val="center"/>
          </w:tcPr>
          <w:p w14:paraId="19C4E8D7">
            <w:pPr>
              <w:snapToGrid w:val="0"/>
              <w:spacing w:line="360" w:lineRule="auto"/>
              <w:jc w:val="left"/>
              <w:rPr>
                <w:rFonts w:ascii="宋体" w:hAnsi="宋体" w:cs="宋体"/>
                <w:sz w:val="24"/>
                <w:szCs w:val="28"/>
              </w:rPr>
            </w:pPr>
          </w:p>
        </w:tc>
        <w:tc>
          <w:tcPr>
            <w:tcW w:w="1610" w:type="pct"/>
            <w:shd w:val="clear" w:color="auto" w:fill="FFFFFF"/>
            <w:vAlign w:val="center"/>
          </w:tcPr>
          <w:p w14:paraId="714521C1">
            <w:pPr>
              <w:snapToGrid w:val="0"/>
              <w:spacing w:line="360" w:lineRule="auto"/>
              <w:jc w:val="left"/>
              <w:rPr>
                <w:rFonts w:ascii="宋体" w:hAnsi="宋体" w:cs="宋体"/>
                <w:sz w:val="24"/>
                <w:szCs w:val="28"/>
              </w:rPr>
            </w:pPr>
            <w:r>
              <w:rPr>
                <w:rFonts w:ascii="宋体" w:hAnsi="宋体" w:cs="宋体"/>
                <w:sz w:val="24"/>
                <w:szCs w:val="28"/>
              </w:rPr>
              <w:t>2.政府方未按照时间要求及时核定供水成本启动调价程序。</w:t>
            </w:r>
          </w:p>
        </w:tc>
        <w:tc>
          <w:tcPr>
            <w:tcW w:w="1826" w:type="pct"/>
            <w:shd w:val="clear" w:color="auto" w:fill="auto"/>
            <w:noWrap/>
            <w:vAlign w:val="center"/>
          </w:tcPr>
          <w:p w14:paraId="7A683971">
            <w:pPr>
              <w:snapToGrid w:val="0"/>
              <w:spacing w:line="360" w:lineRule="auto"/>
              <w:jc w:val="left"/>
              <w:rPr>
                <w:rFonts w:ascii="宋体" w:hAnsi="宋体" w:cs="宋体"/>
                <w:sz w:val="24"/>
                <w:szCs w:val="28"/>
              </w:rPr>
            </w:pPr>
            <w:r>
              <w:rPr>
                <w:rFonts w:ascii="宋体" w:hAnsi="宋体" w:cs="宋体"/>
                <w:sz w:val="24"/>
                <w:szCs w:val="28"/>
              </w:rPr>
              <w:t>政府方承担</w:t>
            </w:r>
          </w:p>
        </w:tc>
      </w:tr>
      <w:tr w14:paraId="0C56F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continue"/>
            <w:shd w:val="clear" w:color="auto" w:fill="FFFFFF"/>
            <w:vAlign w:val="center"/>
          </w:tcPr>
          <w:p w14:paraId="7029A670">
            <w:pPr>
              <w:snapToGrid w:val="0"/>
              <w:spacing w:line="360" w:lineRule="auto"/>
              <w:jc w:val="left"/>
              <w:rPr>
                <w:rFonts w:ascii="宋体" w:hAnsi="宋体" w:cs="宋体"/>
                <w:sz w:val="24"/>
                <w:szCs w:val="28"/>
              </w:rPr>
            </w:pPr>
          </w:p>
        </w:tc>
        <w:tc>
          <w:tcPr>
            <w:tcW w:w="849" w:type="pct"/>
            <w:vMerge w:val="restart"/>
            <w:shd w:val="clear" w:color="auto" w:fill="FFFFFF"/>
            <w:vAlign w:val="center"/>
          </w:tcPr>
          <w:p w14:paraId="2B488235">
            <w:pPr>
              <w:snapToGrid w:val="0"/>
              <w:spacing w:line="360" w:lineRule="auto"/>
              <w:jc w:val="left"/>
              <w:rPr>
                <w:rFonts w:ascii="宋体" w:hAnsi="宋体" w:cs="宋体"/>
                <w:sz w:val="24"/>
                <w:szCs w:val="28"/>
              </w:rPr>
            </w:pPr>
            <w:r>
              <w:rPr>
                <w:rFonts w:ascii="宋体" w:hAnsi="宋体" w:cs="宋体"/>
                <w:sz w:val="24"/>
                <w:szCs w:val="28"/>
              </w:rPr>
              <w:t>水量不足</w:t>
            </w:r>
          </w:p>
          <w:p w14:paraId="2E5D2C21">
            <w:pPr>
              <w:snapToGrid w:val="0"/>
              <w:spacing w:line="360" w:lineRule="auto"/>
              <w:jc w:val="left"/>
              <w:rPr>
                <w:rFonts w:ascii="宋体" w:hAnsi="宋体" w:cs="宋体"/>
                <w:sz w:val="24"/>
                <w:szCs w:val="28"/>
              </w:rPr>
            </w:pPr>
            <w:r>
              <w:rPr>
                <w:rFonts w:ascii="宋体" w:hAnsi="宋体" w:cs="宋体"/>
                <w:sz w:val="24"/>
                <w:szCs w:val="28"/>
              </w:rPr>
              <w:t>风险</w:t>
            </w:r>
          </w:p>
        </w:tc>
        <w:tc>
          <w:tcPr>
            <w:tcW w:w="1610" w:type="pct"/>
            <w:shd w:val="clear" w:color="auto" w:fill="FFFFFF"/>
            <w:vAlign w:val="center"/>
          </w:tcPr>
          <w:p w14:paraId="635FD124">
            <w:pPr>
              <w:snapToGrid w:val="0"/>
              <w:spacing w:line="360" w:lineRule="auto"/>
              <w:jc w:val="left"/>
              <w:rPr>
                <w:rFonts w:ascii="宋体" w:hAnsi="宋体" w:cs="宋体"/>
                <w:sz w:val="24"/>
                <w:szCs w:val="28"/>
              </w:rPr>
            </w:pPr>
            <w:r>
              <w:rPr>
                <w:rFonts w:ascii="宋体" w:hAnsi="宋体" w:cs="宋体"/>
                <w:sz w:val="24"/>
                <w:szCs w:val="28"/>
              </w:rPr>
              <w:t>1.用水需求不足风险。</w:t>
            </w:r>
          </w:p>
        </w:tc>
        <w:tc>
          <w:tcPr>
            <w:tcW w:w="1826" w:type="pct"/>
            <w:shd w:val="clear" w:color="auto" w:fill="auto"/>
            <w:vAlign w:val="center"/>
          </w:tcPr>
          <w:p w14:paraId="124E0C69">
            <w:pPr>
              <w:snapToGrid w:val="0"/>
              <w:spacing w:line="360" w:lineRule="auto"/>
              <w:jc w:val="left"/>
              <w:rPr>
                <w:rFonts w:ascii="宋体" w:hAnsi="宋体" w:cs="宋体"/>
                <w:sz w:val="24"/>
                <w:szCs w:val="28"/>
              </w:rPr>
            </w:pPr>
            <w:r>
              <w:rPr>
                <w:rFonts w:ascii="宋体" w:hAnsi="宋体" w:cs="宋体"/>
                <w:sz w:val="24"/>
                <w:szCs w:val="28"/>
              </w:rPr>
              <w:t>项目公司承担</w:t>
            </w:r>
          </w:p>
        </w:tc>
      </w:tr>
      <w:tr w14:paraId="63A8D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continue"/>
            <w:shd w:val="clear" w:color="auto" w:fill="FFFFFF"/>
            <w:vAlign w:val="center"/>
          </w:tcPr>
          <w:p w14:paraId="6BFA9A45">
            <w:pPr>
              <w:snapToGrid w:val="0"/>
              <w:spacing w:line="360" w:lineRule="auto"/>
              <w:jc w:val="left"/>
              <w:rPr>
                <w:rFonts w:ascii="宋体" w:hAnsi="宋体" w:cs="宋体"/>
                <w:sz w:val="24"/>
                <w:szCs w:val="28"/>
              </w:rPr>
            </w:pPr>
          </w:p>
        </w:tc>
        <w:tc>
          <w:tcPr>
            <w:tcW w:w="849" w:type="pct"/>
            <w:vMerge w:val="continue"/>
            <w:shd w:val="clear" w:color="auto" w:fill="FFFFFF"/>
            <w:vAlign w:val="center"/>
          </w:tcPr>
          <w:p w14:paraId="62C3FF96">
            <w:pPr>
              <w:snapToGrid w:val="0"/>
              <w:spacing w:line="360" w:lineRule="auto"/>
              <w:jc w:val="left"/>
              <w:rPr>
                <w:rFonts w:ascii="宋体" w:hAnsi="宋体" w:cs="宋体"/>
                <w:sz w:val="24"/>
                <w:szCs w:val="28"/>
              </w:rPr>
            </w:pPr>
          </w:p>
        </w:tc>
        <w:tc>
          <w:tcPr>
            <w:tcW w:w="1610" w:type="pct"/>
            <w:shd w:val="clear" w:color="auto" w:fill="FFFFFF"/>
            <w:vAlign w:val="center"/>
          </w:tcPr>
          <w:p w14:paraId="5F189C39">
            <w:pPr>
              <w:snapToGrid w:val="0"/>
              <w:spacing w:line="360" w:lineRule="auto"/>
              <w:jc w:val="left"/>
              <w:rPr>
                <w:rFonts w:ascii="宋体" w:hAnsi="宋体" w:cs="宋体"/>
                <w:sz w:val="24"/>
                <w:szCs w:val="28"/>
              </w:rPr>
            </w:pPr>
            <w:r>
              <w:rPr>
                <w:rFonts w:ascii="宋体" w:hAnsi="宋体" w:cs="宋体"/>
                <w:sz w:val="24"/>
                <w:szCs w:val="28"/>
              </w:rPr>
              <w:t>2.水费收缴率不足风险。</w:t>
            </w:r>
          </w:p>
        </w:tc>
        <w:tc>
          <w:tcPr>
            <w:tcW w:w="1826" w:type="pct"/>
            <w:shd w:val="clear" w:color="auto" w:fill="auto"/>
            <w:vAlign w:val="center"/>
          </w:tcPr>
          <w:p w14:paraId="3A6B7FDD">
            <w:pPr>
              <w:snapToGrid w:val="0"/>
              <w:spacing w:line="360" w:lineRule="auto"/>
              <w:jc w:val="left"/>
              <w:rPr>
                <w:rFonts w:ascii="宋体" w:hAnsi="宋体" w:cs="宋体"/>
                <w:sz w:val="24"/>
                <w:szCs w:val="28"/>
              </w:rPr>
            </w:pPr>
            <w:r>
              <w:rPr>
                <w:rFonts w:ascii="宋体" w:hAnsi="宋体" w:cs="宋体"/>
                <w:sz w:val="24"/>
                <w:szCs w:val="28"/>
              </w:rPr>
              <w:t>项目公司承担</w:t>
            </w:r>
          </w:p>
        </w:tc>
      </w:tr>
      <w:tr w14:paraId="033B6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continue"/>
            <w:shd w:val="clear" w:color="auto" w:fill="FFFFFF"/>
            <w:vAlign w:val="center"/>
          </w:tcPr>
          <w:p w14:paraId="1D4D691C">
            <w:pPr>
              <w:snapToGrid w:val="0"/>
              <w:spacing w:line="360" w:lineRule="auto"/>
              <w:jc w:val="left"/>
              <w:rPr>
                <w:rFonts w:ascii="宋体" w:hAnsi="宋体" w:cs="宋体"/>
                <w:sz w:val="24"/>
                <w:szCs w:val="28"/>
              </w:rPr>
            </w:pPr>
          </w:p>
        </w:tc>
        <w:tc>
          <w:tcPr>
            <w:tcW w:w="849" w:type="pct"/>
            <w:vMerge w:val="restart"/>
            <w:shd w:val="clear" w:color="auto" w:fill="FFFFFF"/>
            <w:vAlign w:val="center"/>
          </w:tcPr>
          <w:p w14:paraId="42AE864C">
            <w:pPr>
              <w:snapToGrid w:val="0"/>
              <w:spacing w:line="360" w:lineRule="auto"/>
              <w:jc w:val="left"/>
              <w:rPr>
                <w:rFonts w:ascii="宋体" w:hAnsi="宋体" w:cs="宋体"/>
                <w:sz w:val="24"/>
                <w:szCs w:val="28"/>
              </w:rPr>
            </w:pPr>
            <w:r>
              <w:rPr>
                <w:rFonts w:ascii="宋体" w:hAnsi="宋体" w:cs="宋体"/>
                <w:sz w:val="24"/>
                <w:szCs w:val="28"/>
              </w:rPr>
              <w:t>运营成本</w:t>
            </w:r>
          </w:p>
          <w:p w14:paraId="786A214A">
            <w:pPr>
              <w:snapToGrid w:val="0"/>
              <w:spacing w:line="360" w:lineRule="auto"/>
              <w:jc w:val="left"/>
              <w:rPr>
                <w:rFonts w:ascii="宋体" w:hAnsi="宋体" w:cs="宋体"/>
                <w:sz w:val="24"/>
                <w:szCs w:val="28"/>
              </w:rPr>
            </w:pPr>
            <w:r>
              <w:rPr>
                <w:rFonts w:ascii="宋体" w:hAnsi="宋体" w:cs="宋体"/>
                <w:sz w:val="24"/>
                <w:szCs w:val="28"/>
              </w:rPr>
              <w:t>超支</w:t>
            </w:r>
          </w:p>
        </w:tc>
        <w:tc>
          <w:tcPr>
            <w:tcW w:w="1610" w:type="pct"/>
            <w:shd w:val="clear" w:color="auto" w:fill="FFFFFF"/>
            <w:vAlign w:val="center"/>
          </w:tcPr>
          <w:p w14:paraId="2238C4AD">
            <w:pPr>
              <w:snapToGrid w:val="0"/>
              <w:spacing w:line="360" w:lineRule="auto"/>
              <w:jc w:val="left"/>
              <w:rPr>
                <w:rFonts w:ascii="宋体" w:hAnsi="宋体" w:cs="宋体"/>
                <w:sz w:val="24"/>
                <w:szCs w:val="28"/>
              </w:rPr>
            </w:pPr>
            <w:r>
              <w:rPr>
                <w:rFonts w:ascii="宋体" w:hAnsi="宋体" w:cs="宋体"/>
                <w:sz w:val="24"/>
                <w:szCs w:val="28"/>
              </w:rPr>
              <w:t>1.因物价指数上涨造成的运营成本超支，未及时发起调价申请。</w:t>
            </w:r>
          </w:p>
        </w:tc>
        <w:tc>
          <w:tcPr>
            <w:tcW w:w="1826" w:type="pct"/>
            <w:shd w:val="clear" w:color="auto" w:fill="auto"/>
            <w:vAlign w:val="center"/>
          </w:tcPr>
          <w:p w14:paraId="1AEDBE3E">
            <w:pPr>
              <w:snapToGrid w:val="0"/>
              <w:spacing w:line="360" w:lineRule="auto"/>
              <w:jc w:val="left"/>
              <w:rPr>
                <w:rFonts w:ascii="宋体" w:hAnsi="宋体" w:cs="宋体"/>
                <w:sz w:val="24"/>
                <w:szCs w:val="28"/>
              </w:rPr>
            </w:pPr>
            <w:r>
              <w:rPr>
                <w:rFonts w:ascii="宋体" w:hAnsi="宋体" w:cs="宋体"/>
                <w:sz w:val="24"/>
                <w:szCs w:val="28"/>
              </w:rPr>
              <w:t>项目公司承担</w:t>
            </w:r>
          </w:p>
        </w:tc>
      </w:tr>
      <w:tr w14:paraId="60428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continue"/>
            <w:shd w:val="clear" w:color="auto" w:fill="FFFFFF"/>
            <w:vAlign w:val="center"/>
          </w:tcPr>
          <w:p w14:paraId="53122DE7">
            <w:pPr>
              <w:snapToGrid w:val="0"/>
              <w:spacing w:line="360" w:lineRule="auto"/>
              <w:jc w:val="left"/>
              <w:rPr>
                <w:rFonts w:ascii="宋体" w:hAnsi="宋体" w:cs="宋体"/>
                <w:sz w:val="24"/>
                <w:szCs w:val="28"/>
              </w:rPr>
            </w:pPr>
          </w:p>
        </w:tc>
        <w:tc>
          <w:tcPr>
            <w:tcW w:w="849" w:type="pct"/>
            <w:vMerge w:val="continue"/>
            <w:shd w:val="clear" w:color="auto" w:fill="FFFFFF"/>
            <w:vAlign w:val="center"/>
          </w:tcPr>
          <w:p w14:paraId="5E7EC5E9">
            <w:pPr>
              <w:snapToGrid w:val="0"/>
              <w:spacing w:line="360" w:lineRule="auto"/>
              <w:jc w:val="left"/>
              <w:rPr>
                <w:rFonts w:ascii="宋体" w:hAnsi="宋体" w:cs="宋体"/>
                <w:sz w:val="24"/>
                <w:szCs w:val="28"/>
              </w:rPr>
            </w:pPr>
          </w:p>
        </w:tc>
        <w:tc>
          <w:tcPr>
            <w:tcW w:w="1610" w:type="pct"/>
            <w:shd w:val="clear" w:color="auto" w:fill="FFFFFF"/>
            <w:vAlign w:val="center"/>
          </w:tcPr>
          <w:p w14:paraId="44065B5F">
            <w:pPr>
              <w:snapToGrid w:val="0"/>
              <w:spacing w:line="360" w:lineRule="auto"/>
              <w:jc w:val="left"/>
              <w:rPr>
                <w:rFonts w:ascii="宋体" w:hAnsi="宋体" w:cs="宋体"/>
                <w:sz w:val="24"/>
                <w:szCs w:val="28"/>
              </w:rPr>
            </w:pPr>
            <w:r>
              <w:rPr>
                <w:rFonts w:ascii="宋体" w:hAnsi="宋体" w:cs="宋体"/>
                <w:sz w:val="24"/>
                <w:szCs w:val="28"/>
              </w:rPr>
              <w:t>2.项目公司经营管理不善造成运营成本超支。</w:t>
            </w:r>
          </w:p>
        </w:tc>
        <w:tc>
          <w:tcPr>
            <w:tcW w:w="1826" w:type="pct"/>
            <w:shd w:val="clear" w:color="auto" w:fill="auto"/>
            <w:vAlign w:val="center"/>
          </w:tcPr>
          <w:p w14:paraId="31A7ABB8">
            <w:pPr>
              <w:snapToGrid w:val="0"/>
              <w:spacing w:line="360" w:lineRule="auto"/>
              <w:jc w:val="left"/>
              <w:rPr>
                <w:rFonts w:ascii="宋体" w:hAnsi="宋体" w:cs="宋体"/>
                <w:sz w:val="24"/>
                <w:szCs w:val="28"/>
              </w:rPr>
            </w:pPr>
            <w:r>
              <w:rPr>
                <w:rFonts w:ascii="宋体" w:hAnsi="宋体" w:cs="宋体"/>
                <w:sz w:val="24"/>
                <w:szCs w:val="28"/>
              </w:rPr>
              <w:t>项目公司承担</w:t>
            </w:r>
          </w:p>
        </w:tc>
      </w:tr>
      <w:tr w14:paraId="753FC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continue"/>
            <w:shd w:val="clear" w:color="auto" w:fill="FFFFFF"/>
            <w:vAlign w:val="center"/>
          </w:tcPr>
          <w:p w14:paraId="4F0B2BC0">
            <w:pPr>
              <w:snapToGrid w:val="0"/>
              <w:spacing w:line="360" w:lineRule="auto"/>
              <w:jc w:val="left"/>
              <w:rPr>
                <w:rFonts w:ascii="宋体" w:hAnsi="宋体" w:cs="宋体"/>
                <w:sz w:val="24"/>
                <w:szCs w:val="28"/>
              </w:rPr>
            </w:pPr>
          </w:p>
        </w:tc>
        <w:tc>
          <w:tcPr>
            <w:tcW w:w="849" w:type="pct"/>
            <w:vMerge w:val="restart"/>
            <w:shd w:val="clear" w:color="auto" w:fill="FFFFFF"/>
            <w:vAlign w:val="center"/>
          </w:tcPr>
          <w:p w14:paraId="76B111C5">
            <w:pPr>
              <w:snapToGrid w:val="0"/>
              <w:spacing w:line="360" w:lineRule="auto"/>
              <w:jc w:val="left"/>
              <w:rPr>
                <w:rFonts w:ascii="宋体" w:hAnsi="宋体" w:cs="宋体"/>
                <w:sz w:val="24"/>
                <w:szCs w:val="28"/>
              </w:rPr>
            </w:pPr>
            <w:r>
              <w:rPr>
                <w:rFonts w:ascii="宋体" w:hAnsi="宋体" w:cs="宋体"/>
                <w:sz w:val="24"/>
                <w:szCs w:val="28"/>
              </w:rPr>
              <w:t>项目现金流不足风险</w:t>
            </w:r>
          </w:p>
        </w:tc>
        <w:tc>
          <w:tcPr>
            <w:tcW w:w="1610" w:type="pct"/>
            <w:shd w:val="clear" w:color="auto" w:fill="FFFFFF"/>
            <w:vAlign w:val="center"/>
          </w:tcPr>
          <w:p w14:paraId="4C8249C7">
            <w:pPr>
              <w:snapToGrid w:val="0"/>
              <w:spacing w:line="360" w:lineRule="auto"/>
              <w:jc w:val="left"/>
              <w:rPr>
                <w:rFonts w:ascii="宋体" w:hAnsi="宋体" w:cs="宋体"/>
                <w:sz w:val="24"/>
                <w:szCs w:val="28"/>
              </w:rPr>
            </w:pPr>
            <w:r>
              <w:rPr>
                <w:rFonts w:ascii="宋体" w:hAnsi="宋体" w:cs="宋体"/>
                <w:sz w:val="24"/>
                <w:szCs w:val="28"/>
              </w:rPr>
              <w:t>1.因水费收缴率低或不及时造成项目公司资金流断裂或产生短期融资成本。</w:t>
            </w:r>
          </w:p>
        </w:tc>
        <w:tc>
          <w:tcPr>
            <w:tcW w:w="1826" w:type="pct"/>
            <w:shd w:val="clear" w:color="auto" w:fill="auto"/>
            <w:vAlign w:val="center"/>
          </w:tcPr>
          <w:p w14:paraId="62D5CF73">
            <w:pPr>
              <w:snapToGrid w:val="0"/>
              <w:spacing w:line="360" w:lineRule="auto"/>
              <w:jc w:val="left"/>
              <w:rPr>
                <w:rFonts w:ascii="宋体" w:hAnsi="宋体" w:cs="宋体"/>
                <w:sz w:val="24"/>
                <w:szCs w:val="28"/>
              </w:rPr>
            </w:pPr>
            <w:r>
              <w:rPr>
                <w:rFonts w:ascii="宋体" w:hAnsi="宋体" w:cs="宋体"/>
                <w:sz w:val="24"/>
                <w:szCs w:val="28"/>
              </w:rPr>
              <w:t>项目公司承担</w:t>
            </w:r>
          </w:p>
        </w:tc>
      </w:tr>
      <w:tr w14:paraId="526D6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continue"/>
            <w:shd w:val="clear" w:color="auto" w:fill="FFFFFF"/>
            <w:vAlign w:val="center"/>
          </w:tcPr>
          <w:p w14:paraId="3D185D88">
            <w:pPr>
              <w:snapToGrid w:val="0"/>
              <w:spacing w:line="360" w:lineRule="auto"/>
              <w:jc w:val="left"/>
              <w:rPr>
                <w:rFonts w:ascii="宋体" w:hAnsi="宋体" w:cs="宋体"/>
                <w:sz w:val="24"/>
                <w:szCs w:val="28"/>
              </w:rPr>
            </w:pPr>
          </w:p>
        </w:tc>
        <w:tc>
          <w:tcPr>
            <w:tcW w:w="849" w:type="pct"/>
            <w:vMerge w:val="continue"/>
            <w:shd w:val="clear" w:color="auto" w:fill="FFFFFF"/>
            <w:vAlign w:val="center"/>
          </w:tcPr>
          <w:p w14:paraId="41F6D3B3">
            <w:pPr>
              <w:snapToGrid w:val="0"/>
              <w:spacing w:line="360" w:lineRule="auto"/>
              <w:jc w:val="left"/>
              <w:rPr>
                <w:rFonts w:ascii="宋体" w:hAnsi="宋体" w:cs="宋体"/>
                <w:sz w:val="24"/>
                <w:szCs w:val="28"/>
              </w:rPr>
            </w:pPr>
          </w:p>
        </w:tc>
        <w:tc>
          <w:tcPr>
            <w:tcW w:w="1610" w:type="pct"/>
            <w:shd w:val="clear" w:color="auto" w:fill="FFFFFF"/>
            <w:vAlign w:val="center"/>
          </w:tcPr>
          <w:p w14:paraId="7CA48241">
            <w:pPr>
              <w:snapToGrid w:val="0"/>
              <w:spacing w:line="360" w:lineRule="auto"/>
              <w:jc w:val="left"/>
              <w:rPr>
                <w:rFonts w:ascii="宋体" w:hAnsi="宋体" w:cs="宋体"/>
                <w:sz w:val="24"/>
                <w:szCs w:val="28"/>
              </w:rPr>
            </w:pPr>
            <w:r>
              <w:rPr>
                <w:rFonts w:ascii="宋体" w:hAnsi="宋体" w:cs="宋体"/>
                <w:sz w:val="24"/>
                <w:szCs w:val="28"/>
              </w:rPr>
              <w:t>2.因项目公司现金流不足，造成金融机构抽回贷款导致合同无法继续履行。</w:t>
            </w:r>
          </w:p>
        </w:tc>
        <w:tc>
          <w:tcPr>
            <w:tcW w:w="1826" w:type="pct"/>
            <w:shd w:val="clear" w:color="auto" w:fill="auto"/>
            <w:vAlign w:val="center"/>
          </w:tcPr>
          <w:p w14:paraId="1438A711">
            <w:pPr>
              <w:snapToGrid w:val="0"/>
              <w:spacing w:line="360" w:lineRule="auto"/>
              <w:jc w:val="left"/>
              <w:rPr>
                <w:rFonts w:ascii="宋体" w:hAnsi="宋体" w:cs="宋体"/>
                <w:sz w:val="24"/>
                <w:szCs w:val="28"/>
              </w:rPr>
            </w:pPr>
            <w:r>
              <w:rPr>
                <w:rFonts w:ascii="宋体" w:hAnsi="宋体" w:cs="宋体"/>
                <w:sz w:val="24"/>
                <w:szCs w:val="28"/>
              </w:rPr>
              <w:t>项目公司承担</w:t>
            </w:r>
          </w:p>
        </w:tc>
      </w:tr>
      <w:tr w14:paraId="44ADA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continue"/>
            <w:shd w:val="clear" w:color="auto" w:fill="FFFFFF"/>
            <w:vAlign w:val="center"/>
          </w:tcPr>
          <w:p w14:paraId="18701198">
            <w:pPr>
              <w:snapToGrid w:val="0"/>
              <w:spacing w:line="360" w:lineRule="auto"/>
              <w:jc w:val="left"/>
              <w:rPr>
                <w:rFonts w:ascii="宋体" w:hAnsi="宋体" w:cs="宋体"/>
                <w:sz w:val="24"/>
                <w:szCs w:val="28"/>
              </w:rPr>
            </w:pPr>
          </w:p>
        </w:tc>
        <w:tc>
          <w:tcPr>
            <w:tcW w:w="849" w:type="pct"/>
            <w:shd w:val="clear" w:color="auto" w:fill="FFFFFF"/>
            <w:vAlign w:val="center"/>
          </w:tcPr>
          <w:p w14:paraId="72DD5756">
            <w:pPr>
              <w:snapToGrid w:val="0"/>
              <w:spacing w:line="360" w:lineRule="auto"/>
              <w:jc w:val="left"/>
              <w:rPr>
                <w:rFonts w:ascii="宋体" w:hAnsi="宋体" w:cs="宋体"/>
                <w:sz w:val="24"/>
                <w:szCs w:val="28"/>
              </w:rPr>
            </w:pPr>
            <w:r>
              <w:rPr>
                <w:rFonts w:ascii="宋体" w:hAnsi="宋体" w:cs="宋体"/>
                <w:sz w:val="24"/>
                <w:szCs w:val="28"/>
              </w:rPr>
              <w:t>安全生产</w:t>
            </w:r>
          </w:p>
          <w:p w14:paraId="1616A6EB">
            <w:pPr>
              <w:snapToGrid w:val="0"/>
              <w:spacing w:line="360" w:lineRule="auto"/>
              <w:jc w:val="left"/>
              <w:rPr>
                <w:rFonts w:ascii="宋体" w:hAnsi="宋体" w:cs="宋体"/>
                <w:sz w:val="24"/>
                <w:szCs w:val="28"/>
              </w:rPr>
            </w:pPr>
            <w:r>
              <w:rPr>
                <w:rFonts w:ascii="宋体" w:hAnsi="宋体" w:cs="宋体"/>
                <w:sz w:val="24"/>
                <w:szCs w:val="28"/>
              </w:rPr>
              <w:t>风险</w:t>
            </w:r>
          </w:p>
        </w:tc>
        <w:tc>
          <w:tcPr>
            <w:tcW w:w="1610" w:type="pct"/>
            <w:shd w:val="clear" w:color="auto" w:fill="FFFFFF"/>
            <w:vAlign w:val="center"/>
          </w:tcPr>
          <w:p w14:paraId="3B9F90AE">
            <w:pPr>
              <w:snapToGrid w:val="0"/>
              <w:spacing w:line="360" w:lineRule="auto"/>
              <w:jc w:val="left"/>
              <w:rPr>
                <w:rFonts w:ascii="宋体" w:hAnsi="宋体" w:cs="宋体"/>
                <w:sz w:val="24"/>
                <w:szCs w:val="28"/>
              </w:rPr>
            </w:pPr>
            <w:r>
              <w:rPr>
                <w:rFonts w:ascii="宋体" w:hAnsi="宋体" w:cs="宋体"/>
                <w:sz w:val="24"/>
                <w:szCs w:val="28"/>
              </w:rPr>
              <w:t>1.项目运营过程中安全事故风险。</w:t>
            </w:r>
          </w:p>
        </w:tc>
        <w:tc>
          <w:tcPr>
            <w:tcW w:w="1826" w:type="pct"/>
            <w:shd w:val="clear" w:color="auto" w:fill="auto"/>
            <w:vAlign w:val="center"/>
          </w:tcPr>
          <w:p w14:paraId="3B7E51EA">
            <w:pPr>
              <w:snapToGrid w:val="0"/>
              <w:spacing w:line="360" w:lineRule="auto"/>
              <w:jc w:val="left"/>
              <w:rPr>
                <w:rFonts w:ascii="宋体" w:hAnsi="宋体" w:cs="宋体"/>
                <w:sz w:val="24"/>
                <w:szCs w:val="28"/>
              </w:rPr>
            </w:pPr>
            <w:r>
              <w:rPr>
                <w:rFonts w:ascii="宋体" w:hAnsi="宋体" w:cs="宋体"/>
                <w:sz w:val="24"/>
                <w:szCs w:val="28"/>
              </w:rPr>
              <w:t>项目公司承担</w:t>
            </w:r>
          </w:p>
        </w:tc>
      </w:tr>
      <w:tr w14:paraId="0360A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continue"/>
            <w:shd w:val="clear" w:color="auto" w:fill="FFFFFF"/>
            <w:vAlign w:val="center"/>
          </w:tcPr>
          <w:p w14:paraId="217D42EE">
            <w:pPr>
              <w:snapToGrid w:val="0"/>
              <w:spacing w:line="360" w:lineRule="auto"/>
              <w:jc w:val="left"/>
              <w:rPr>
                <w:rFonts w:ascii="宋体" w:hAnsi="宋体" w:cs="宋体"/>
                <w:sz w:val="24"/>
                <w:szCs w:val="28"/>
              </w:rPr>
            </w:pPr>
          </w:p>
        </w:tc>
        <w:tc>
          <w:tcPr>
            <w:tcW w:w="849" w:type="pct"/>
            <w:vMerge w:val="restart"/>
            <w:shd w:val="clear" w:color="auto" w:fill="FFFFFF"/>
            <w:vAlign w:val="center"/>
          </w:tcPr>
          <w:p w14:paraId="79131B9B">
            <w:pPr>
              <w:snapToGrid w:val="0"/>
              <w:spacing w:line="360" w:lineRule="auto"/>
              <w:jc w:val="left"/>
              <w:rPr>
                <w:rFonts w:ascii="宋体" w:hAnsi="宋体" w:cs="宋体"/>
                <w:sz w:val="24"/>
                <w:szCs w:val="28"/>
              </w:rPr>
            </w:pPr>
            <w:r>
              <w:rPr>
                <w:rFonts w:hint="eastAsia" w:ascii="宋体" w:hAnsi="宋体" w:cs="宋体"/>
                <w:sz w:val="24"/>
                <w:szCs w:val="28"/>
              </w:rPr>
              <w:t>资产保障</w:t>
            </w:r>
          </w:p>
          <w:p w14:paraId="596EEFFE">
            <w:pPr>
              <w:snapToGrid w:val="0"/>
              <w:spacing w:line="360" w:lineRule="auto"/>
              <w:jc w:val="left"/>
              <w:rPr>
                <w:rFonts w:ascii="宋体" w:hAnsi="宋体" w:cs="宋体"/>
                <w:sz w:val="24"/>
                <w:szCs w:val="28"/>
              </w:rPr>
            </w:pPr>
            <w:r>
              <w:rPr>
                <w:rFonts w:hint="eastAsia" w:ascii="宋体" w:hAnsi="宋体" w:cs="宋体"/>
                <w:sz w:val="24"/>
                <w:szCs w:val="28"/>
              </w:rPr>
              <w:t>风险</w:t>
            </w:r>
          </w:p>
        </w:tc>
        <w:tc>
          <w:tcPr>
            <w:tcW w:w="1610" w:type="pct"/>
            <w:shd w:val="clear" w:color="auto" w:fill="FFFFFF"/>
            <w:vAlign w:val="center"/>
          </w:tcPr>
          <w:p w14:paraId="2ABBD9B5">
            <w:pPr>
              <w:snapToGrid w:val="0"/>
              <w:spacing w:line="360" w:lineRule="auto"/>
              <w:jc w:val="left"/>
              <w:rPr>
                <w:rFonts w:ascii="宋体" w:hAnsi="宋体" w:cs="宋体"/>
                <w:sz w:val="24"/>
                <w:szCs w:val="28"/>
              </w:rPr>
            </w:pPr>
            <w:r>
              <w:rPr>
                <w:rFonts w:hint="eastAsia" w:ascii="宋体" w:hAnsi="宋体" w:cs="宋体"/>
                <w:sz w:val="24"/>
                <w:szCs w:val="28"/>
              </w:rPr>
              <w:t>1.城区水表重置风险。</w:t>
            </w:r>
          </w:p>
        </w:tc>
        <w:tc>
          <w:tcPr>
            <w:tcW w:w="1826" w:type="pct"/>
            <w:shd w:val="clear" w:color="auto" w:fill="auto"/>
            <w:vAlign w:val="center"/>
          </w:tcPr>
          <w:p w14:paraId="3325D178">
            <w:pPr>
              <w:snapToGrid w:val="0"/>
              <w:spacing w:line="360" w:lineRule="auto"/>
              <w:jc w:val="left"/>
              <w:rPr>
                <w:rFonts w:ascii="宋体" w:hAnsi="宋体" w:cs="宋体"/>
                <w:sz w:val="24"/>
                <w:szCs w:val="28"/>
              </w:rPr>
            </w:pPr>
            <w:r>
              <w:rPr>
                <w:rFonts w:hint="eastAsia" w:ascii="宋体" w:hAnsi="宋体" w:cs="宋体"/>
                <w:sz w:val="24"/>
                <w:szCs w:val="28"/>
              </w:rPr>
              <w:t>项目公司承担</w:t>
            </w:r>
          </w:p>
        </w:tc>
      </w:tr>
      <w:tr w14:paraId="7F25FB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continue"/>
            <w:shd w:val="clear" w:color="auto" w:fill="FFFFFF"/>
            <w:vAlign w:val="center"/>
          </w:tcPr>
          <w:p w14:paraId="5D711FDD">
            <w:pPr>
              <w:snapToGrid w:val="0"/>
              <w:spacing w:line="360" w:lineRule="auto"/>
              <w:jc w:val="left"/>
              <w:rPr>
                <w:rFonts w:ascii="宋体" w:hAnsi="宋体" w:cs="宋体"/>
                <w:sz w:val="24"/>
                <w:szCs w:val="28"/>
              </w:rPr>
            </w:pPr>
          </w:p>
        </w:tc>
        <w:tc>
          <w:tcPr>
            <w:tcW w:w="849" w:type="pct"/>
            <w:vMerge w:val="continue"/>
            <w:shd w:val="clear" w:color="auto" w:fill="FFFFFF"/>
            <w:vAlign w:val="center"/>
          </w:tcPr>
          <w:p w14:paraId="791159D3">
            <w:pPr>
              <w:snapToGrid w:val="0"/>
              <w:spacing w:line="360" w:lineRule="auto"/>
              <w:jc w:val="left"/>
              <w:rPr>
                <w:rFonts w:ascii="宋体" w:hAnsi="宋体" w:cs="宋体"/>
                <w:sz w:val="24"/>
                <w:szCs w:val="28"/>
              </w:rPr>
            </w:pPr>
          </w:p>
        </w:tc>
        <w:tc>
          <w:tcPr>
            <w:tcW w:w="1610" w:type="pct"/>
            <w:shd w:val="clear" w:color="auto" w:fill="FFFFFF"/>
            <w:vAlign w:val="center"/>
          </w:tcPr>
          <w:p w14:paraId="331775D8">
            <w:pPr>
              <w:snapToGrid w:val="0"/>
              <w:spacing w:line="360" w:lineRule="auto"/>
              <w:jc w:val="left"/>
              <w:rPr>
                <w:rFonts w:ascii="宋体" w:hAnsi="宋体" w:cs="宋体"/>
                <w:sz w:val="24"/>
                <w:szCs w:val="28"/>
              </w:rPr>
            </w:pPr>
            <w:r>
              <w:rPr>
                <w:rFonts w:ascii="宋体" w:hAnsi="宋体" w:cs="宋体"/>
                <w:sz w:val="24"/>
                <w:szCs w:val="28"/>
              </w:rPr>
              <w:t>2</w:t>
            </w:r>
            <w:r>
              <w:rPr>
                <w:rFonts w:hint="eastAsia" w:ascii="宋体" w:hAnsi="宋体" w:cs="宋体"/>
                <w:sz w:val="24"/>
                <w:szCs w:val="28"/>
              </w:rPr>
              <w:t>.</w:t>
            </w:r>
            <w:r>
              <w:rPr>
                <w:rFonts w:ascii="宋体" w:hAnsi="宋体" w:cs="宋体"/>
                <w:sz w:val="24"/>
                <w:szCs w:val="28"/>
              </w:rPr>
              <w:t>本方案约定重置范围外的</w:t>
            </w:r>
            <w:r>
              <w:rPr>
                <w:rFonts w:hint="eastAsia" w:ascii="宋体" w:hAnsi="宋体" w:cs="宋体"/>
                <w:sz w:val="24"/>
                <w:szCs w:val="28"/>
              </w:rPr>
              <w:t>重置风险。</w:t>
            </w:r>
          </w:p>
        </w:tc>
        <w:tc>
          <w:tcPr>
            <w:tcW w:w="1826" w:type="pct"/>
            <w:shd w:val="clear" w:color="auto" w:fill="auto"/>
            <w:vAlign w:val="center"/>
          </w:tcPr>
          <w:p w14:paraId="64A5FEBC">
            <w:pPr>
              <w:snapToGrid w:val="0"/>
              <w:spacing w:line="360" w:lineRule="auto"/>
              <w:jc w:val="left"/>
              <w:rPr>
                <w:rFonts w:ascii="宋体" w:hAnsi="宋体" w:cs="宋体"/>
                <w:sz w:val="24"/>
                <w:szCs w:val="28"/>
              </w:rPr>
            </w:pPr>
            <w:r>
              <w:rPr>
                <w:rFonts w:hint="eastAsia" w:ascii="宋体" w:hAnsi="宋体" w:cs="宋体"/>
                <w:sz w:val="24"/>
                <w:szCs w:val="28"/>
              </w:rPr>
              <w:t>双方另行协商</w:t>
            </w:r>
          </w:p>
        </w:tc>
      </w:tr>
      <w:tr w14:paraId="4D6D0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restart"/>
            <w:shd w:val="clear" w:color="auto" w:fill="FFFFFF"/>
            <w:vAlign w:val="center"/>
          </w:tcPr>
          <w:p w14:paraId="46BE2D22">
            <w:pPr>
              <w:snapToGrid w:val="0"/>
              <w:spacing w:line="360" w:lineRule="auto"/>
              <w:jc w:val="left"/>
              <w:rPr>
                <w:rFonts w:ascii="宋体" w:hAnsi="宋体" w:cs="宋体"/>
                <w:sz w:val="24"/>
                <w:szCs w:val="28"/>
              </w:rPr>
            </w:pPr>
            <w:r>
              <w:rPr>
                <w:rFonts w:ascii="宋体" w:hAnsi="宋体" w:cs="宋体"/>
                <w:sz w:val="24"/>
                <w:szCs w:val="28"/>
              </w:rPr>
              <w:t>项目移交风险</w:t>
            </w:r>
          </w:p>
        </w:tc>
        <w:tc>
          <w:tcPr>
            <w:tcW w:w="849" w:type="pct"/>
            <w:vMerge w:val="restart"/>
            <w:shd w:val="clear" w:color="auto" w:fill="FFFFFF"/>
            <w:vAlign w:val="center"/>
          </w:tcPr>
          <w:p w14:paraId="41EE1AAC">
            <w:pPr>
              <w:snapToGrid w:val="0"/>
              <w:spacing w:line="360" w:lineRule="auto"/>
              <w:jc w:val="left"/>
              <w:rPr>
                <w:rFonts w:ascii="宋体" w:hAnsi="宋体" w:cs="宋体"/>
                <w:sz w:val="24"/>
                <w:szCs w:val="28"/>
              </w:rPr>
            </w:pPr>
            <w:r>
              <w:rPr>
                <w:rFonts w:ascii="宋体" w:hAnsi="宋体" w:cs="宋体"/>
                <w:sz w:val="24"/>
                <w:szCs w:val="28"/>
              </w:rPr>
              <w:t>特许经营期满或终止后的资产移交风险</w:t>
            </w:r>
          </w:p>
        </w:tc>
        <w:tc>
          <w:tcPr>
            <w:tcW w:w="1610" w:type="pct"/>
            <w:shd w:val="clear" w:color="auto" w:fill="FFFFFF"/>
            <w:vAlign w:val="center"/>
          </w:tcPr>
          <w:p w14:paraId="16ED2F6E">
            <w:pPr>
              <w:snapToGrid w:val="0"/>
              <w:spacing w:line="360" w:lineRule="auto"/>
              <w:jc w:val="left"/>
              <w:rPr>
                <w:rFonts w:ascii="宋体" w:hAnsi="宋体" w:cs="宋体"/>
                <w:sz w:val="24"/>
                <w:szCs w:val="28"/>
              </w:rPr>
            </w:pPr>
            <w:r>
              <w:rPr>
                <w:rFonts w:ascii="宋体" w:hAnsi="宋体" w:cs="宋体"/>
                <w:sz w:val="24"/>
                <w:szCs w:val="28"/>
              </w:rPr>
              <w:t>1.移交程序不合规、移交资料不详尽、资产性能测试不达标或资产存在担保抵押未解除等风险。</w:t>
            </w:r>
          </w:p>
        </w:tc>
        <w:tc>
          <w:tcPr>
            <w:tcW w:w="1826" w:type="pct"/>
            <w:shd w:val="clear" w:color="auto" w:fill="auto"/>
            <w:vAlign w:val="center"/>
          </w:tcPr>
          <w:p w14:paraId="009A9966">
            <w:pPr>
              <w:snapToGrid w:val="0"/>
              <w:spacing w:line="360" w:lineRule="auto"/>
              <w:jc w:val="left"/>
              <w:rPr>
                <w:rFonts w:ascii="宋体" w:hAnsi="宋体" w:cs="宋体"/>
                <w:sz w:val="24"/>
                <w:szCs w:val="28"/>
              </w:rPr>
            </w:pPr>
            <w:r>
              <w:rPr>
                <w:rFonts w:ascii="宋体" w:hAnsi="宋体" w:cs="宋体"/>
                <w:sz w:val="24"/>
                <w:szCs w:val="28"/>
              </w:rPr>
              <w:t>项目公司承担</w:t>
            </w:r>
          </w:p>
        </w:tc>
      </w:tr>
      <w:tr w14:paraId="0D46F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3" w:type="pct"/>
            <w:vMerge w:val="continue"/>
            <w:shd w:val="clear" w:color="auto" w:fill="FFFFFF"/>
            <w:vAlign w:val="center"/>
          </w:tcPr>
          <w:p w14:paraId="398BFC47">
            <w:pPr>
              <w:snapToGrid w:val="0"/>
              <w:spacing w:line="360" w:lineRule="auto"/>
              <w:jc w:val="left"/>
              <w:rPr>
                <w:rFonts w:ascii="宋体" w:hAnsi="宋体" w:cs="宋体"/>
                <w:sz w:val="24"/>
                <w:szCs w:val="28"/>
              </w:rPr>
            </w:pPr>
          </w:p>
        </w:tc>
        <w:tc>
          <w:tcPr>
            <w:tcW w:w="849" w:type="pct"/>
            <w:vMerge w:val="continue"/>
            <w:shd w:val="clear" w:color="auto" w:fill="FFFFFF"/>
            <w:vAlign w:val="center"/>
          </w:tcPr>
          <w:p w14:paraId="71EBB8DB">
            <w:pPr>
              <w:snapToGrid w:val="0"/>
              <w:spacing w:line="360" w:lineRule="auto"/>
              <w:jc w:val="left"/>
              <w:rPr>
                <w:rFonts w:ascii="宋体" w:hAnsi="宋体" w:cs="宋体"/>
                <w:sz w:val="24"/>
                <w:szCs w:val="28"/>
              </w:rPr>
            </w:pPr>
          </w:p>
        </w:tc>
        <w:tc>
          <w:tcPr>
            <w:tcW w:w="1610" w:type="pct"/>
            <w:shd w:val="clear" w:color="auto" w:fill="FFFFFF"/>
            <w:vAlign w:val="center"/>
          </w:tcPr>
          <w:p w14:paraId="2CB5452C">
            <w:pPr>
              <w:snapToGrid w:val="0"/>
              <w:spacing w:line="360" w:lineRule="auto"/>
              <w:jc w:val="left"/>
              <w:rPr>
                <w:rFonts w:ascii="宋体" w:hAnsi="宋体" w:cs="宋体"/>
                <w:sz w:val="24"/>
                <w:szCs w:val="28"/>
              </w:rPr>
            </w:pPr>
            <w:r>
              <w:rPr>
                <w:rFonts w:ascii="宋体" w:hAnsi="宋体" w:cs="宋体"/>
                <w:sz w:val="24"/>
                <w:szCs w:val="28"/>
              </w:rPr>
              <w:t>2.项目公司发起资产移交申请，政府方未组织人员积极参与移交工作，导致移交工作延期的风险。</w:t>
            </w:r>
          </w:p>
        </w:tc>
        <w:tc>
          <w:tcPr>
            <w:tcW w:w="1826" w:type="pct"/>
            <w:shd w:val="clear" w:color="auto" w:fill="auto"/>
            <w:vAlign w:val="center"/>
          </w:tcPr>
          <w:p w14:paraId="1D9DADFF">
            <w:pPr>
              <w:snapToGrid w:val="0"/>
              <w:spacing w:line="360" w:lineRule="auto"/>
              <w:jc w:val="left"/>
              <w:rPr>
                <w:rFonts w:ascii="宋体" w:hAnsi="宋体" w:cs="宋体"/>
                <w:sz w:val="24"/>
                <w:szCs w:val="28"/>
              </w:rPr>
            </w:pPr>
            <w:r>
              <w:rPr>
                <w:rFonts w:ascii="宋体" w:hAnsi="宋体" w:cs="宋体"/>
                <w:sz w:val="24"/>
                <w:szCs w:val="28"/>
              </w:rPr>
              <w:t>政府方承担</w:t>
            </w:r>
          </w:p>
        </w:tc>
      </w:tr>
    </w:tbl>
    <w:p w14:paraId="2F848019">
      <w:pPr>
        <w:snapToGrid w:val="0"/>
        <w:spacing w:line="360" w:lineRule="auto"/>
        <w:ind w:firstLine="480" w:firstLineChars="200"/>
        <w:jc w:val="left"/>
        <w:rPr>
          <w:rFonts w:ascii="宋体" w:hAnsi="宋体" w:cs="宋体"/>
          <w:sz w:val="24"/>
          <w:szCs w:val="28"/>
        </w:rPr>
      </w:pPr>
      <w:bookmarkStart w:id="208" w:name="_Toc14496"/>
      <w:bookmarkStart w:id="209" w:name="_Toc15125"/>
      <w:bookmarkStart w:id="210" w:name="_Toc24230"/>
      <w:bookmarkStart w:id="211" w:name="_Toc32373"/>
      <w:bookmarkStart w:id="212" w:name="_Toc7852"/>
      <w:bookmarkStart w:id="213" w:name="_Toc4346"/>
      <w:bookmarkStart w:id="214" w:name="_Toc2388"/>
      <w:bookmarkStart w:id="215" w:name="_Toc775552791"/>
      <w:bookmarkStart w:id="216" w:name="_Toc26881"/>
      <w:bookmarkStart w:id="217" w:name="_Toc13998"/>
      <w:r>
        <w:rPr>
          <w:rFonts w:hint="eastAsia" w:ascii="宋体" w:hAnsi="宋体" w:cs="宋体"/>
          <w:sz w:val="24"/>
          <w:szCs w:val="28"/>
        </w:rPr>
        <w:t>（3）</w:t>
      </w:r>
      <w:r>
        <w:rPr>
          <w:rFonts w:ascii="宋体" w:hAnsi="宋体" w:cs="宋体"/>
          <w:sz w:val="24"/>
          <w:szCs w:val="28"/>
        </w:rPr>
        <w:t>应对措施及建议</w:t>
      </w:r>
      <w:bookmarkEnd w:id="208"/>
      <w:bookmarkEnd w:id="209"/>
      <w:bookmarkEnd w:id="210"/>
      <w:bookmarkEnd w:id="211"/>
      <w:bookmarkEnd w:id="212"/>
      <w:bookmarkEnd w:id="213"/>
      <w:bookmarkEnd w:id="214"/>
      <w:bookmarkEnd w:id="215"/>
      <w:bookmarkEnd w:id="216"/>
    </w:p>
    <w:bookmarkEnd w:id="217"/>
    <w:p w14:paraId="16A89B14">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1）</w:t>
      </w:r>
      <w:r>
        <w:rPr>
          <w:rFonts w:ascii="宋体" w:hAnsi="宋体" w:cs="宋体"/>
          <w:sz w:val="24"/>
          <w:szCs w:val="28"/>
        </w:rPr>
        <w:t>法律政策调整风险风险应对措施</w:t>
      </w:r>
    </w:p>
    <w:p w14:paraId="37E54415">
      <w:pPr>
        <w:snapToGrid w:val="0"/>
        <w:spacing w:line="360" w:lineRule="auto"/>
        <w:ind w:firstLine="480" w:firstLineChars="200"/>
        <w:jc w:val="left"/>
        <w:rPr>
          <w:rFonts w:ascii="宋体" w:hAnsi="宋体" w:cs="宋体"/>
          <w:sz w:val="24"/>
          <w:szCs w:val="28"/>
        </w:rPr>
      </w:pPr>
      <w:r>
        <w:rPr>
          <w:rFonts w:ascii="宋体" w:hAnsi="宋体" w:cs="宋体"/>
          <w:sz w:val="24"/>
          <w:szCs w:val="28"/>
        </w:rPr>
        <w:t>提高政策风险认识：政府、企业应加强对政策的学习和理解，特别是对与自身业务密切相关的政策动态保持高度关注。通过对政策走向的深入分析，提高对政策风险客观性和预见性的认识，从而能够更准确地预判政策变化可能带来的影响；</w:t>
      </w:r>
    </w:p>
    <w:p w14:paraId="20FEF9C3">
      <w:pPr>
        <w:snapToGrid w:val="0"/>
        <w:spacing w:line="360" w:lineRule="auto"/>
        <w:ind w:firstLine="480" w:firstLineChars="200"/>
        <w:jc w:val="left"/>
        <w:rPr>
          <w:rFonts w:ascii="宋体" w:hAnsi="宋体" w:cs="宋体"/>
          <w:sz w:val="24"/>
          <w:szCs w:val="28"/>
        </w:rPr>
      </w:pPr>
      <w:r>
        <w:rPr>
          <w:rFonts w:ascii="宋体" w:hAnsi="宋体" w:cs="宋体"/>
          <w:sz w:val="24"/>
          <w:szCs w:val="28"/>
        </w:rPr>
        <w:t>建立政策风险预警机制：企业应建立一套有效的政策风险预警机制，通过监测政策动态、分析政策趋势，及时发现潜在的政策风险。一旦预警机制触发，企业应迅速响应，启动相应的风险应对预案，以减轻政策变化带来的负面影响。具体操作中，可以设立专门的政策研究团队或委托外部专业机构进行政策跟踪和分析，确保信息的准确性和及时性；</w:t>
      </w:r>
    </w:p>
    <w:p w14:paraId="538EAC09">
      <w:pPr>
        <w:snapToGrid w:val="0"/>
        <w:spacing w:line="360" w:lineRule="auto"/>
        <w:ind w:firstLine="480" w:firstLineChars="200"/>
        <w:jc w:val="left"/>
        <w:rPr>
          <w:rFonts w:ascii="宋体" w:hAnsi="宋体" w:cs="宋体"/>
          <w:sz w:val="24"/>
          <w:szCs w:val="28"/>
        </w:rPr>
      </w:pPr>
      <w:r>
        <w:rPr>
          <w:rFonts w:ascii="宋体" w:hAnsi="宋体" w:cs="宋体"/>
          <w:sz w:val="24"/>
          <w:szCs w:val="28"/>
        </w:rPr>
        <w:t>灵活调整经营策略：面对政策变化，企业应灵活调整自身的经营策略，以适应新的政策环境。这可能包括调整特许经营范围调整、特许经营期限调整、适应行业新规要求等方面，以确保企业能够在新的政策框架下保持竞争力。同时，企业还应加强与政府部门的沟通，了解政策制定的背景和意图，争取在政策调整过程中获得更多的支持和理解；</w:t>
      </w:r>
    </w:p>
    <w:p w14:paraId="1087FB2D">
      <w:pPr>
        <w:snapToGrid w:val="0"/>
        <w:spacing w:line="360" w:lineRule="auto"/>
        <w:ind w:firstLine="480" w:firstLineChars="200"/>
        <w:jc w:val="left"/>
        <w:rPr>
          <w:rFonts w:ascii="宋体" w:hAnsi="宋体" w:cs="宋体"/>
          <w:sz w:val="24"/>
          <w:szCs w:val="28"/>
        </w:rPr>
      </w:pPr>
      <w:r>
        <w:rPr>
          <w:rFonts w:ascii="宋体" w:hAnsi="宋体" w:cs="宋体"/>
          <w:sz w:val="24"/>
          <w:szCs w:val="28"/>
        </w:rPr>
        <w:t>加强合规管理：企业应建立健全的合规管理体系，确保自身业务活动符合国家政策要求。通过加强内部合规培训、完善合规流程、强化合规监督等措施，降低因违反政策规定而引发的风险。</w:t>
      </w:r>
    </w:p>
    <w:p w14:paraId="69986C28">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2）</w:t>
      </w:r>
      <w:r>
        <w:rPr>
          <w:rFonts w:ascii="宋体" w:hAnsi="宋体" w:cs="宋体"/>
          <w:sz w:val="24"/>
          <w:szCs w:val="28"/>
        </w:rPr>
        <w:t>社会风险应对措施</w:t>
      </w:r>
    </w:p>
    <w:p w14:paraId="43BBB873">
      <w:pPr>
        <w:snapToGrid w:val="0"/>
        <w:spacing w:line="360" w:lineRule="auto"/>
        <w:ind w:firstLine="480" w:firstLineChars="200"/>
        <w:jc w:val="left"/>
        <w:rPr>
          <w:rFonts w:ascii="宋体" w:hAnsi="宋体" w:cs="宋体"/>
          <w:sz w:val="24"/>
          <w:szCs w:val="28"/>
        </w:rPr>
      </w:pPr>
      <w:r>
        <w:rPr>
          <w:rFonts w:ascii="宋体" w:hAnsi="宋体" w:cs="宋体"/>
          <w:sz w:val="24"/>
          <w:szCs w:val="28"/>
        </w:rPr>
        <w:t>公众投诉风险：关于供水用户抵制，应重视日常用户投诉事件，及时解决用户反馈问题，并建立回访机制，确保问题在有效时间内妥善解决。关于公共供水工程因管网维修、正常检修停水等问题造成交通不便或影响居民日常生活，应在事项发生前提前通知，在维修中或停水期间做好问题疏解方案，直至恢复正常交通或正常供水；</w:t>
      </w:r>
    </w:p>
    <w:p w14:paraId="5E885C58">
      <w:pPr>
        <w:snapToGrid w:val="0"/>
        <w:spacing w:line="360" w:lineRule="auto"/>
        <w:ind w:firstLine="480" w:firstLineChars="200"/>
        <w:jc w:val="left"/>
        <w:rPr>
          <w:rFonts w:ascii="宋体" w:hAnsi="宋体" w:cs="宋体"/>
          <w:sz w:val="24"/>
          <w:szCs w:val="28"/>
        </w:rPr>
      </w:pPr>
      <w:r>
        <w:rPr>
          <w:rFonts w:ascii="宋体" w:hAnsi="宋体" w:cs="宋体"/>
          <w:sz w:val="24"/>
          <w:szCs w:val="28"/>
        </w:rPr>
        <w:t>运营劳资纠纷风险：企业用工应优先确保合法合规，职工权益不受侵害。职工安置方案应经职工代表大会审议通过，项目公司接收员工，在特许经营期内项目公司应按照劳动合同与相关法律要求保障员工福利待遇水平不低于方案预测水平。</w:t>
      </w:r>
    </w:p>
    <w:p w14:paraId="16A50F34">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3）</w:t>
      </w:r>
      <w:r>
        <w:rPr>
          <w:rFonts w:ascii="宋体" w:hAnsi="宋体" w:cs="宋体"/>
          <w:sz w:val="24"/>
          <w:szCs w:val="28"/>
        </w:rPr>
        <w:t>环境风险应对措施</w:t>
      </w:r>
    </w:p>
    <w:p w14:paraId="5E9A5050">
      <w:pPr>
        <w:snapToGrid w:val="0"/>
        <w:spacing w:line="360" w:lineRule="auto"/>
        <w:ind w:firstLine="480" w:firstLineChars="200"/>
        <w:jc w:val="left"/>
        <w:rPr>
          <w:rFonts w:ascii="宋体" w:hAnsi="宋体" w:cs="宋体"/>
          <w:sz w:val="24"/>
          <w:szCs w:val="28"/>
        </w:rPr>
      </w:pPr>
      <w:r>
        <w:rPr>
          <w:rFonts w:ascii="宋体" w:hAnsi="宋体" w:cs="宋体"/>
          <w:sz w:val="24"/>
          <w:szCs w:val="28"/>
        </w:rPr>
        <w:t>项目公司应明确环保责任人，做好废气、废水、噪声实时监测，建立环保问题预警机制，并制定详细的应对方案，发现问题能在有效时间内积极处理。</w:t>
      </w:r>
    </w:p>
    <w:p w14:paraId="166F0B32">
      <w:pPr>
        <w:snapToGrid w:val="0"/>
        <w:spacing w:line="360" w:lineRule="auto"/>
        <w:ind w:firstLine="480" w:firstLineChars="200"/>
        <w:jc w:val="left"/>
        <w:rPr>
          <w:rFonts w:ascii="宋体" w:hAnsi="宋体" w:cs="宋体"/>
          <w:sz w:val="24"/>
          <w:szCs w:val="28"/>
        </w:rPr>
      </w:pPr>
      <w:r>
        <w:rPr>
          <w:rFonts w:ascii="宋体" w:hAnsi="宋体" w:cs="宋体"/>
          <w:sz w:val="24"/>
          <w:szCs w:val="28"/>
        </w:rPr>
        <w:t>政企及时关注相关政策，积极申请上级资金对高耗能设备提早进行更新改造，确保项目合法合规运行。</w:t>
      </w:r>
    </w:p>
    <w:p w14:paraId="3CA1DD96">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4）</w:t>
      </w:r>
      <w:r>
        <w:rPr>
          <w:rFonts w:ascii="宋体" w:hAnsi="宋体" w:cs="宋体"/>
          <w:sz w:val="24"/>
          <w:szCs w:val="28"/>
        </w:rPr>
        <w:t>不可抗力风险应对措施</w:t>
      </w:r>
    </w:p>
    <w:p w14:paraId="1F688DF9">
      <w:pPr>
        <w:snapToGrid w:val="0"/>
        <w:spacing w:line="360" w:lineRule="auto"/>
        <w:ind w:firstLine="480" w:firstLineChars="200"/>
        <w:jc w:val="left"/>
        <w:rPr>
          <w:rFonts w:ascii="宋体" w:hAnsi="宋体" w:cs="宋体"/>
          <w:sz w:val="24"/>
          <w:szCs w:val="28"/>
        </w:rPr>
      </w:pPr>
      <w:r>
        <w:rPr>
          <w:rFonts w:ascii="宋体" w:hAnsi="宋体" w:cs="宋体"/>
          <w:sz w:val="24"/>
          <w:szCs w:val="28"/>
        </w:rPr>
        <w:t>建立可落地的应急机制，把不可抗力应对纳入日常项目管理流程，设立专门的风险登记、监控与考核机制，确保在项目实施中“早发现、早预警、早处理”；</w:t>
      </w:r>
    </w:p>
    <w:p w14:paraId="7417CC6C">
      <w:pPr>
        <w:snapToGrid w:val="0"/>
        <w:spacing w:line="360" w:lineRule="auto"/>
        <w:ind w:firstLine="480" w:firstLineChars="200"/>
        <w:jc w:val="left"/>
        <w:rPr>
          <w:rFonts w:ascii="宋体" w:hAnsi="宋体" w:cs="宋体"/>
          <w:sz w:val="24"/>
          <w:szCs w:val="28"/>
        </w:rPr>
      </w:pPr>
      <w:r>
        <w:rPr>
          <w:rFonts w:ascii="宋体" w:hAnsi="宋体" w:cs="宋体"/>
          <w:sz w:val="24"/>
          <w:szCs w:val="28"/>
        </w:rPr>
        <w:t>应急预案和物资储备，制定分级应急响应流程，加强培训与演练，储备移动式净水设备、应急供水车、抢修物资等；</w:t>
      </w:r>
    </w:p>
    <w:p w14:paraId="6575BDCC">
      <w:pPr>
        <w:snapToGrid w:val="0"/>
        <w:spacing w:line="360" w:lineRule="auto"/>
        <w:ind w:firstLine="480" w:firstLineChars="200"/>
        <w:jc w:val="left"/>
        <w:rPr>
          <w:rFonts w:ascii="宋体" w:hAnsi="宋体" w:cs="宋体"/>
          <w:sz w:val="24"/>
          <w:szCs w:val="28"/>
        </w:rPr>
      </w:pPr>
      <w:r>
        <w:rPr>
          <w:rFonts w:ascii="宋体" w:hAnsi="宋体" w:cs="宋体"/>
          <w:sz w:val="24"/>
          <w:szCs w:val="28"/>
        </w:rPr>
        <w:t>投保财产一切险、公众责任险，覆盖因不可抗力导致的资产损失和运营收益损失。</w:t>
      </w:r>
    </w:p>
    <w:p w14:paraId="24D1A624">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5）</w:t>
      </w:r>
      <w:r>
        <w:rPr>
          <w:rFonts w:ascii="宋体" w:hAnsi="宋体" w:cs="宋体"/>
          <w:sz w:val="24"/>
          <w:szCs w:val="28"/>
        </w:rPr>
        <w:t>资金筹措风险应对措施</w:t>
      </w:r>
    </w:p>
    <w:p w14:paraId="530CFFBB">
      <w:pPr>
        <w:snapToGrid w:val="0"/>
        <w:spacing w:line="360" w:lineRule="auto"/>
        <w:ind w:firstLine="480" w:firstLineChars="200"/>
        <w:jc w:val="left"/>
        <w:rPr>
          <w:rFonts w:ascii="宋体" w:hAnsi="宋体" w:cs="宋体"/>
          <w:sz w:val="24"/>
          <w:szCs w:val="28"/>
        </w:rPr>
      </w:pPr>
      <w:r>
        <w:rPr>
          <w:rFonts w:ascii="宋体" w:hAnsi="宋体" w:cs="宋体"/>
          <w:sz w:val="24"/>
          <w:szCs w:val="28"/>
        </w:rPr>
        <w:t>资本金到位风险应对措施：政府方股权出资应在特许经营方案批复后尽快纳入预算。项目选择特许经营者阶段，招标文件中应要求意向特许经营者在项目投标文件中做出资时间及金额的承诺，评分办法中应将评估意向特许经营者资金实力作为评分项，确保项目资本金及时足额到位；</w:t>
      </w:r>
    </w:p>
    <w:p w14:paraId="74B19F17">
      <w:pPr>
        <w:snapToGrid w:val="0"/>
        <w:spacing w:line="360" w:lineRule="auto"/>
        <w:ind w:firstLine="480" w:firstLineChars="200"/>
        <w:jc w:val="left"/>
        <w:rPr>
          <w:rFonts w:ascii="宋体" w:hAnsi="宋体" w:cs="宋体"/>
          <w:sz w:val="24"/>
          <w:szCs w:val="28"/>
        </w:rPr>
      </w:pPr>
      <w:r>
        <w:rPr>
          <w:rFonts w:ascii="宋体" w:hAnsi="宋体" w:cs="宋体"/>
          <w:sz w:val="24"/>
          <w:szCs w:val="28"/>
        </w:rPr>
        <w:t>融资风险应对措施：项目招标投标阶段，招标文件中应要求意向特许经营者出具融资方案，明确融资途径，融资成本。强化合同管理，明确融资风险承担方式及延迟处罚条款，明确中标特许经营者关于融资事宜的连带责任，督促项目公司多元化融资，按时完成项目融资工作。</w:t>
      </w:r>
    </w:p>
    <w:p w14:paraId="3CE967CA">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6）</w:t>
      </w:r>
      <w:r>
        <w:rPr>
          <w:rFonts w:ascii="宋体" w:hAnsi="宋体" w:cs="宋体"/>
          <w:sz w:val="24"/>
          <w:szCs w:val="28"/>
        </w:rPr>
        <w:t>资产转让与人员安置风险应对措施</w:t>
      </w:r>
    </w:p>
    <w:p w14:paraId="0CE8D342">
      <w:pPr>
        <w:snapToGrid w:val="0"/>
        <w:spacing w:line="360" w:lineRule="auto"/>
        <w:ind w:firstLine="480" w:firstLineChars="200"/>
        <w:jc w:val="left"/>
        <w:rPr>
          <w:rFonts w:ascii="宋体" w:hAnsi="宋体" w:cs="宋体"/>
          <w:sz w:val="24"/>
          <w:szCs w:val="28"/>
        </w:rPr>
      </w:pPr>
      <w:r>
        <w:rPr>
          <w:rFonts w:ascii="宋体" w:hAnsi="宋体" w:cs="宋体"/>
          <w:sz w:val="24"/>
          <w:szCs w:val="28"/>
        </w:rPr>
        <w:t>前期资产转让风险：项目方案批复后及时启动存量资产盘点工作，盘点事项包含不限于资产名称、规格数量、坐落位置、建设或购置年份、设备参数、使用状态等，对存在性能缺陷的资产应及时修复。项目公司成立后及时成立资产移交工作小组，确定资产转让方案，落实资产转让工作；</w:t>
      </w:r>
    </w:p>
    <w:p w14:paraId="3556AE66">
      <w:pPr>
        <w:snapToGrid w:val="0"/>
        <w:spacing w:line="360" w:lineRule="auto"/>
        <w:ind w:firstLine="480" w:firstLineChars="200"/>
        <w:jc w:val="left"/>
        <w:rPr>
          <w:rFonts w:ascii="宋体" w:hAnsi="宋体" w:cs="宋体"/>
          <w:sz w:val="24"/>
          <w:szCs w:val="28"/>
        </w:rPr>
      </w:pPr>
      <w:r>
        <w:rPr>
          <w:rFonts w:ascii="宋体" w:hAnsi="宋体" w:cs="宋体"/>
          <w:sz w:val="24"/>
          <w:szCs w:val="28"/>
        </w:rPr>
        <w:t>特许经营转让价款支付风险：特许经营协议应明确特许经营转让价款及支付时间，落实延迟支付处罚机制；</w:t>
      </w:r>
    </w:p>
    <w:p w14:paraId="1E0BF6ED">
      <w:pPr>
        <w:snapToGrid w:val="0"/>
        <w:spacing w:line="360" w:lineRule="auto"/>
        <w:ind w:firstLine="480" w:firstLineChars="200"/>
        <w:jc w:val="left"/>
        <w:rPr>
          <w:rFonts w:ascii="宋体" w:hAnsi="宋体" w:cs="宋体"/>
          <w:sz w:val="24"/>
          <w:szCs w:val="28"/>
        </w:rPr>
      </w:pPr>
      <w:r>
        <w:rPr>
          <w:rFonts w:ascii="宋体" w:hAnsi="宋体" w:cs="宋体"/>
          <w:sz w:val="24"/>
          <w:szCs w:val="28"/>
        </w:rPr>
        <w:t>人员安置风险：政府方提前组织工会梳理人员安置意向，职工安置方案要经职工代表大会审议，提前公示，做好人员沟通和心理疏导。</w:t>
      </w:r>
    </w:p>
    <w:p w14:paraId="37D6D7C2">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7）</w:t>
      </w:r>
      <w:r>
        <w:rPr>
          <w:rFonts w:ascii="宋体" w:hAnsi="宋体" w:cs="宋体"/>
          <w:sz w:val="24"/>
          <w:szCs w:val="28"/>
        </w:rPr>
        <w:t>运营风险应对措施</w:t>
      </w:r>
    </w:p>
    <w:p w14:paraId="4E05C203">
      <w:pPr>
        <w:snapToGrid w:val="0"/>
        <w:spacing w:line="360" w:lineRule="auto"/>
        <w:ind w:firstLine="480" w:firstLineChars="200"/>
        <w:jc w:val="left"/>
        <w:rPr>
          <w:rFonts w:ascii="宋体" w:hAnsi="宋体" w:cs="宋体"/>
          <w:sz w:val="24"/>
          <w:szCs w:val="28"/>
        </w:rPr>
      </w:pPr>
      <w:r>
        <w:rPr>
          <w:rFonts w:ascii="宋体" w:hAnsi="宋体" w:cs="宋体"/>
          <w:sz w:val="24"/>
          <w:szCs w:val="28"/>
        </w:rPr>
        <w:t>项目公司应于签署存量资产移交清单前编制完善的运营方案，提交项目实施机构备案；</w:t>
      </w:r>
    </w:p>
    <w:p w14:paraId="2A5194B4">
      <w:pPr>
        <w:snapToGrid w:val="0"/>
        <w:spacing w:line="360" w:lineRule="auto"/>
        <w:ind w:firstLine="480" w:firstLineChars="200"/>
        <w:jc w:val="left"/>
        <w:rPr>
          <w:rFonts w:ascii="宋体" w:hAnsi="宋体" w:cs="宋体"/>
          <w:sz w:val="24"/>
          <w:szCs w:val="28"/>
        </w:rPr>
      </w:pPr>
      <w:r>
        <w:rPr>
          <w:rFonts w:ascii="宋体" w:hAnsi="宋体" w:cs="宋体"/>
          <w:sz w:val="24"/>
          <w:szCs w:val="28"/>
        </w:rPr>
        <w:t>要求项目公司按照协议要求购买财产一切险、公众责任险等；</w:t>
      </w:r>
    </w:p>
    <w:p w14:paraId="2BBE3448">
      <w:pPr>
        <w:snapToGrid w:val="0"/>
        <w:spacing w:line="360" w:lineRule="auto"/>
        <w:ind w:firstLine="480" w:firstLineChars="200"/>
        <w:jc w:val="left"/>
        <w:rPr>
          <w:rFonts w:ascii="宋体" w:hAnsi="宋体" w:cs="宋体"/>
          <w:sz w:val="24"/>
          <w:szCs w:val="28"/>
        </w:rPr>
      </w:pPr>
      <w:r>
        <w:rPr>
          <w:rFonts w:ascii="宋体" w:hAnsi="宋体" w:cs="宋体"/>
          <w:sz w:val="24"/>
          <w:szCs w:val="28"/>
        </w:rPr>
        <w:t>项目公司需将管网水质、用户终端水质的检测作为重点工作，形成日常、月度、年度报告。政府确保日常监督和年度审计按时开展，对水质检测进行抽检，做好供水质量的监督；</w:t>
      </w:r>
    </w:p>
    <w:p w14:paraId="5067DC04">
      <w:pPr>
        <w:snapToGrid w:val="0"/>
        <w:spacing w:line="360" w:lineRule="auto"/>
        <w:ind w:firstLine="480" w:firstLineChars="200"/>
        <w:jc w:val="left"/>
        <w:rPr>
          <w:rFonts w:ascii="宋体" w:hAnsi="宋体" w:cs="宋体"/>
          <w:sz w:val="24"/>
          <w:szCs w:val="28"/>
        </w:rPr>
      </w:pPr>
      <w:r>
        <w:rPr>
          <w:rFonts w:ascii="宋体" w:hAnsi="宋体" w:cs="宋体"/>
          <w:sz w:val="24"/>
          <w:szCs w:val="28"/>
        </w:rPr>
        <w:t>项目公司应规范管理，明确管理目标，完善企业月度/年度生产报表、季度经营分析会制度等，促进管理能力提升；</w:t>
      </w:r>
    </w:p>
    <w:p w14:paraId="617E73D2">
      <w:pPr>
        <w:snapToGrid w:val="0"/>
        <w:spacing w:line="360" w:lineRule="auto"/>
        <w:ind w:firstLine="480" w:firstLineChars="200"/>
        <w:jc w:val="left"/>
        <w:rPr>
          <w:rFonts w:ascii="宋体" w:hAnsi="宋体" w:cs="宋体"/>
          <w:sz w:val="24"/>
          <w:szCs w:val="28"/>
        </w:rPr>
      </w:pPr>
      <w:r>
        <w:rPr>
          <w:rFonts w:ascii="宋体" w:hAnsi="宋体" w:cs="宋体"/>
          <w:sz w:val="24"/>
          <w:szCs w:val="28"/>
        </w:rPr>
        <w:t>政企双方应及时关注用户需求，掌握城镇人口的变化、企业入驻或扩增产能的动态需求，做好供水管网延伸的相关基础设施建设和接入服务；</w:t>
      </w:r>
    </w:p>
    <w:p w14:paraId="2D9E306C">
      <w:pPr>
        <w:snapToGrid w:val="0"/>
        <w:spacing w:line="360" w:lineRule="auto"/>
        <w:ind w:firstLine="480" w:firstLineChars="200"/>
        <w:jc w:val="left"/>
        <w:rPr>
          <w:rFonts w:ascii="宋体" w:hAnsi="宋体" w:cs="宋体"/>
          <w:sz w:val="24"/>
          <w:szCs w:val="28"/>
        </w:rPr>
      </w:pPr>
      <w:r>
        <w:rPr>
          <w:rFonts w:ascii="宋体" w:hAnsi="宋体" w:cs="宋体"/>
          <w:sz w:val="24"/>
          <w:szCs w:val="28"/>
        </w:rPr>
        <w:t>项目公司可编制3-5年现金流滚动计划，做好现金流分析，对资金使用计划、年度预算执行情况进行总结、汇报；</w:t>
      </w:r>
    </w:p>
    <w:p w14:paraId="15B234FD">
      <w:pPr>
        <w:snapToGrid w:val="0"/>
        <w:spacing w:line="360" w:lineRule="auto"/>
        <w:ind w:firstLine="480" w:firstLineChars="200"/>
        <w:jc w:val="left"/>
        <w:rPr>
          <w:rFonts w:ascii="宋体" w:hAnsi="宋体" w:cs="宋体"/>
          <w:sz w:val="24"/>
          <w:szCs w:val="28"/>
        </w:rPr>
      </w:pPr>
      <w:r>
        <w:rPr>
          <w:rFonts w:ascii="宋体" w:hAnsi="宋体" w:cs="宋体"/>
          <w:sz w:val="24"/>
          <w:szCs w:val="28"/>
        </w:rPr>
        <w:t>项目公司及政府方应按照特许经营协议约定及时启动资产的更新重置计划，做好建设周期规划，落实改造资金等相关工作，确保资产更新重置不影响项目的供水保障服务；特许经营协议约定范围外的重置由双方另行协商；</w:t>
      </w:r>
    </w:p>
    <w:p w14:paraId="4F50DE54">
      <w:pPr>
        <w:snapToGrid w:val="0"/>
        <w:spacing w:line="360" w:lineRule="auto"/>
        <w:ind w:firstLine="480" w:firstLineChars="200"/>
        <w:jc w:val="left"/>
        <w:rPr>
          <w:rFonts w:ascii="宋体" w:hAnsi="宋体" w:cs="宋体"/>
          <w:sz w:val="24"/>
          <w:szCs w:val="28"/>
        </w:rPr>
      </w:pPr>
      <w:r>
        <w:rPr>
          <w:rFonts w:ascii="宋体" w:hAnsi="宋体" w:cs="宋体"/>
          <w:sz w:val="24"/>
          <w:szCs w:val="28"/>
        </w:rPr>
        <w:t>项目公司可通过建立安全管理制度，安全生产宣讲，设置宣传标语等做好生产事故的预防，并制定完善的应急预案，确保项目在发生安全事故时能将损失降到最低。</w:t>
      </w:r>
    </w:p>
    <w:p w14:paraId="6BC6A4B9">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8）</w:t>
      </w:r>
      <w:r>
        <w:rPr>
          <w:rFonts w:ascii="宋体" w:hAnsi="宋体" w:cs="宋体"/>
          <w:sz w:val="24"/>
          <w:szCs w:val="28"/>
        </w:rPr>
        <w:t>移交风险应对措施</w:t>
      </w:r>
    </w:p>
    <w:p w14:paraId="05201A86">
      <w:pPr>
        <w:snapToGrid w:val="0"/>
        <w:spacing w:line="360" w:lineRule="auto"/>
        <w:ind w:firstLine="480" w:firstLineChars="200"/>
        <w:jc w:val="left"/>
        <w:rPr>
          <w:rFonts w:ascii="宋体" w:hAnsi="宋体" w:cs="宋体"/>
          <w:sz w:val="24"/>
          <w:szCs w:val="28"/>
        </w:rPr>
      </w:pPr>
      <w:r>
        <w:rPr>
          <w:rFonts w:ascii="宋体" w:hAnsi="宋体" w:cs="宋体"/>
          <w:sz w:val="24"/>
          <w:szCs w:val="28"/>
        </w:rPr>
        <w:t>项目公司应于特许经营期结束前12个月启动资产缺陷修复；</w:t>
      </w:r>
    </w:p>
    <w:p w14:paraId="11D8DE18">
      <w:pPr>
        <w:snapToGrid w:val="0"/>
        <w:spacing w:line="360" w:lineRule="auto"/>
        <w:ind w:firstLine="480" w:firstLineChars="200"/>
        <w:jc w:val="left"/>
        <w:rPr>
          <w:rFonts w:ascii="宋体" w:hAnsi="宋体" w:cs="宋体"/>
          <w:sz w:val="24"/>
          <w:szCs w:val="28"/>
        </w:rPr>
      </w:pPr>
      <w:r>
        <w:rPr>
          <w:rFonts w:ascii="宋体" w:hAnsi="宋体" w:cs="宋体"/>
          <w:sz w:val="24"/>
          <w:szCs w:val="28"/>
        </w:rPr>
        <w:t>提前3个月准备移交工作、确定参与人员、明确移交标准；</w:t>
      </w:r>
    </w:p>
    <w:p w14:paraId="55DC7B68">
      <w:pPr>
        <w:snapToGrid w:val="0"/>
        <w:spacing w:line="360" w:lineRule="auto"/>
        <w:ind w:firstLine="480" w:firstLineChars="200"/>
        <w:jc w:val="left"/>
        <w:rPr>
          <w:rFonts w:ascii="宋体" w:hAnsi="宋体" w:cs="宋体"/>
          <w:sz w:val="24"/>
          <w:szCs w:val="28"/>
        </w:rPr>
      </w:pPr>
      <w:r>
        <w:rPr>
          <w:rFonts w:ascii="宋体" w:hAnsi="宋体" w:cs="宋体"/>
          <w:sz w:val="24"/>
          <w:szCs w:val="28"/>
        </w:rPr>
        <w:t>督促项目公司按时提交移交期履约保函，如接收后发现移交资产存在性能缺陷，可提取后用于资产的维修。</w:t>
      </w:r>
    </w:p>
    <w:p w14:paraId="1BE41E81">
      <w:pPr>
        <w:snapToGrid w:val="0"/>
        <w:spacing w:line="360" w:lineRule="auto"/>
        <w:jc w:val="left"/>
        <w:rPr>
          <w:rFonts w:ascii="宋体" w:hAnsi="宋体" w:cs="宋体"/>
          <w:b/>
          <w:bCs/>
          <w:sz w:val="24"/>
          <w:szCs w:val="28"/>
        </w:rPr>
      </w:pPr>
      <w:bookmarkStart w:id="218" w:name="_Toc32080"/>
      <w:bookmarkStart w:id="219" w:name="_Toc20069"/>
      <w:bookmarkStart w:id="220" w:name="_Toc873314103"/>
      <w:bookmarkStart w:id="221" w:name="_Toc22847"/>
      <w:bookmarkStart w:id="222" w:name="_Toc4867"/>
      <w:bookmarkStart w:id="223" w:name="_Toc12567"/>
      <w:bookmarkStart w:id="224" w:name="_Toc21155"/>
      <w:bookmarkStart w:id="225" w:name="_Toc23106"/>
      <w:bookmarkStart w:id="226" w:name="_Toc30793"/>
      <w:bookmarkStart w:id="227" w:name="_Toc1302"/>
      <w:r>
        <w:rPr>
          <w:rFonts w:hint="eastAsia" w:ascii="宋体" w:hAnsi="宋体" w:cs="宋体"/>
          <w:b/>
          <w:bCs/>
          <w:sz w:val="24"/>
          <w:szCs w:val="28"/>
        </w:rPr>
        <w:t>22.</w:t>
      </w:r>
      <w:r>
        <w:rPr>
          <w:rFonts w:ascii="宋体" w:hAnsi="宋体" w:cs="宋体"/>
          <w:b/>
          <w:bCs/>
          <w:sz w:val="24"/>
          <w:szCs w:val="28"/>
        </w:rPr>
        <w:t>项目移交或提前退出</w:t>
      </w:r>
      <w:bookmarkEnd w:id="218"/>
      <w:bookmarkEnd w:id="219"/>
      <w:bookmarkEnd w:id="220"/>
      <w:bookmarkEnd w:id="221"/>
      <w:bookmarkEnd w:id="222"/>
      <w:bookmarkEnd w:id="223"/>
      <w:bookmarkEnd w:id="224"/>
      <w:bookmarkEnd w:id="225"/>
      <w:bookmarkEnd w:id="226"/>
      <w:bookmarkEnd w:id="227"/>
    </w:p>
    <w:p w14:paraId="1EB2011E">
      <w:pPr>
        <w:snapToGrid w:val="0"/>
        <w:spacing w:line="360" w:lineRule="auto"/>
        <w:ind w:firstLine="480" w:firstLineChars="200"/>
        <w:jc w:val="left"/>
        <w:rPr>
          <w:rFonts w:ascii="宋体" w:hAnsi="宋体" w:cs="宋体"/>
          <w:sz w:val="24"/>
          <w:szCs w:val="28"/>
        </w:rPr>
      </w:pPr>
      <w:r>
        <w:rPr>
          <w:rFonts w:ascii="宋体" w:hAnsi="宋体" w:cs="宋体"/>
          <w:sz w:val="24"/>
          <w:szCs w:val="28"/>
        </w:rPr>
        <w:t>合作期届满前，项目实施机构或政府指定的其他机构和项目公司应按照协议约定共同成立移交委员会，共同商定本项目移交的详细程序、移交的资料和将移交的设备、设施、物品、零配件和备件等的详细清单。提前退出参考“协议解除程序”“协议解除后的财务安排”章节处理。</w:t>
      </w:r>
    </w:p>
    <w:p w14:paraId="026410A8">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（1）</w:t>
      </w:r>
      <w:r>
        <w:rPr>
          <w:rFonts w:ascii="宋体" w:hAnsi="宋体" w:cs="宋体"/>
          <w:sz w:val="24"/>
          <w:szCs w:val="28"/>
        </w:rPr>
        <w:t>项目设施移交前过渡期</w:t>
      </w:r>
    </w:p>
    <w:p w14:paraId="0F4F1427">
      <w:pPr>
        <w:snapToGrid w:val="0"/>
        <w:spacing w:line="360" w:lineRule="auto"/>
        <w:ind w:firstLine="720" w:firstLineChars="300"/>
        <w:jc w:val="left"/>
        <w:rPr>
          <w:rFonts w:ascii="宋体" w:hAnsi="宋体" w:cs="宋体"/>
          <w:sz w:val="24"/>
          <w:szCs w:val="28"/>
        </w:rPr>
      </w:pPr>
      <w:r>
        <w:rPr>
          <w:rFonts w:hint="eastAsia" w:ascii="宋体" w:hAnsi="宋体" w:cs="宋体"/>
          <w:sz w:val="24"/>
          <w:szCs w:val="28"/>
        </w:rPr>
        <w:t>1）</w:t>
      </w:r>
      <w:r>
        <w:rPr>
          <w:rFonts w:ascii="宋体" w:hAnsi="宋体" w:cs="宋体"/>
          <w:sz w:val="24"/>
          <w:szCs w:val="28"/>
        </w:rPr>
        <w:t>移交委员会</w:t>
      </w:r>
    </w:p>
    <w:p w14:paraId="52316512">
      <w:pPr>
        <w:snapToGrid w:val="0"/>
        <w:spacing w:line="360" w:lineRule="auto"/>
        <w:ind w:firstLine="480" w:firstLineChars="200"/>
        <w:jc w:val="left"/>
        <w:rPr>
          <w:rFonts w:ascii="宋体" w:hAnsi="宋体" w:cs="宋体"/>
          <w:sz w:val="24"/>
          <w:szCs w:val="28"/>
        </w:rPr>
      </w:pPr>
      <w:r>
        <w:rPr>
          <w:rFonts w:ascii="宋体" w:hAnsi="宋体" w:cs="宋体"/>
          <w:sz w:val="24"/>
          <w:szCs w:val="28"/>
        </w:rPr>
        <w:t>项目合作期结束前6个月，由政府方和项目公司各自派员组成移交委员会，具体负责和办理移交工作。移交委员会负责人由政府指派有关部门担任，组织必要的会议会谈并商定设施移交的详尽程序。</w:t>
      </w:r>
    </w:p>
    <w:p w14:paraId="2A9DFD82">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2）</w:t>
      </w:r>
      <w:r>
        <w:rPr>
          <w:rFonts w:ascii="宋体" w:hAnsi="宋体" w:cs="宋体"/>
          <w:sz w:val="24"/>
          <w:szCs w:val="28"/>
        </w:rPr>
        <w:t>商定移交验收程序</w:t>
      </w:r>
    </w:p>
    <w:p w14:paraId="10DBFA88">
      <w:pPr>
        <w:snapToGrid w:val="0"/>
        <w:spacing w:line="360" w:lineRule="auto"/>
        <w:ind w:firstLine="480" w:firstLineChars="200"/>
        <w:jc w:val="left"/>
        <w:rPr>
          <w:rFonts w:ascii="宋体" w:hAnsi="宋体" w:cs="宋体"/>
          <w:sz w:val="24"/>
          <w:szCs w:val="28"/>
        </w:rPr>
      </w:pPr>
      <w:r>
        <w:rPr>
          <w:rFonts w:ascii="宋体" w:hAnsi="宋体" w:cs="宋体"/>
          <w:sz w:val="24"/>
          <w:szCs w:val="28"/>
        </w:rPr>
        <w:t>移交委员会应在移交日期3个月前会谈并商定移交项目资产清单和移交程序。</w:t>
      </w:r>
    </w:p>
    <w:p w14:paraId="1192DF5D">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3）</w:t>
      </w:r>
      <w:r>
        <w:rPr>
          <w:rFonts w:ascii="宋体" w:hAnsi="宋体" w:cs="宋体"/>
          <w:sz w:val="24"/>
          <w:szCs w:val="28"/>
        </w:rPr>
        <w:t>移交前性能测试</w:t>
      </w:r>
    </w:p>
    <w:p w14:paraId="49B45FE7">
      <w:pPr>
        <w:snapToGrid w:val="0"/>
        <w:spacing w:line="360" w:lineRule="auto"/>
        <w:ind w:firstLine="480" w:firstLineChars="200"/>
        <w:jc w:val="left"/>
        <w:rPr>
          <w:rFonts w:ascii="宋体" w:hAnsi="宋体" w:cs="宋体"/>
          <w:sz w:val="24"/>
          <w:szCs w:val="28"/>
        </w:rPr>
      </w:pPr>
      <w:r>
        <w:rPr>
          <w:rFonts w:ascii="宋体" w:hAnsi="宋体" w:cs="宋体"/>
          <w:sz w:val="24"/>
          <w:szCs w:val="28"/>
        </w:rPr>
        <w:t>在移交日之前，移交委员会应对拟接收的各项设施状况进行测试，确保正常使用。如果不能满足正常使用条件，在双方约定的期限内，在项目公司未修复完成的情况下，政府方有权从移交保函中支取相应费用以修正缺陷；如果保函金额不足使用的，政府承担费用后有权向项目公司追偿。</w:t>
      </w:r>
    </w:p>
    <w:p w14:paraId="72FAD859">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（2）</w:t>
      </w:r>
      <w:r>
        <w:rPr>
          <w:rFonts w:ascii="宋体" w:hAnsi="宋体" w:cs="宋体"/>
          <w:sz w:val="24"/>
          <w:szCs w:val="28"/>
        </w:rPr>
        <w:t>项目设施及权益移交</w:t>
      </w:r>
    </w:p>
    <w:p w14:paraId="153F427D">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1）</w:t>
      </w:r>
      <w:r>
        <w:rPr>
          <w:rFonts w:ascii="宋体" w:hAnsi="宋体" w:cs="宋体"/>
          <w:sz w:val="24"/>
          <w:szCs w:val="28"/>
        </w:rPr>
        <w:t>移交方式</w:t>
      </w:r>
    </w:p>
    <w:p w14:paraId="5B858420">
      <w:pPr>
        <w:snapToGrid w:val="0"/>
        <w:spacing w:line="360" w:lineRule="auto"/>
        <w:ind w:firstLine="480" w:firstLineChars="200"/>
        <w:jc w:val="left"/>
        <w:rPr>
          <w:rFonts w:ascii="宋体" w:hAnsi="宋体" w:cs="宋体"/>
          <w:sz w:val="24"/>
          <w:szCs w:val="28"/>
        </w:rPr>
      </w:pPr>
      <w:r>
        <w:rPr>
          <w:rFonts w:ascii="宋体" w:hAnsi="宋体" w:cs="宋体"/>
          <w:sz w:val="24"/>
          <w:szCs w:val="28"/>
        </w:rPr>
        <w:t>项目公司有责任确保资产未设置任何抵押、质押等权利负担，无任何纠纷。特许经营期届满时项目公司需按照协议约定将资产完好、无偿、无债务和担保抵押的移交给实施机构或政府指定的其他机构。</w:t>
      </w:r>
    </w:p>
    <w:p w14:paraId="28C60AE1">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2）</w:t>
      </w:r>
      <w:r>
        <w:rPr>
          <w:rFonts w:ascii="宋体" w:hAnsi="宋体" w:cs="宋体"/>
          <w:sz w:val="24"/>
          <w:szCs w:val="28"/>
        </w:rPr>
        <w:t>移交范围</w:t>
      </w:r>
    </w:p>
    <w:p w14:paraId="304F87CC">
      <w:pPr>
        <w:snapToGrid w:val="0"/>
        <w:spacing w:line="360" w:lineRule="auto"/>
        <w:ind w:firstLine="480" w:firstLineChars="200"/>
        <w:jc w:val="left"/>
        <w:rPr>
          <w:rFonts w:ascii="宋体" w:hAnsi="宋体" w:cs="宋体"/>
          <w:sz w:val="24"/>
          <w:szCs w:val="28"/>
        </w:rPr>
      </w:pPr>
      <w:r>
        <w:rPr>
          <w:rFonts w:ascii="宋体" w:hAnsi="宋体" w:cs="宋体"/>
          <w:sz w:val="24"/>
          <w:szCs w:val="28"/>
        </w:rPr>
        <w:t>在项目特许经营期结束当日即移交日，项目公司应向政府方无偿移交项目相关设施的权益，包括：本项目相关的建筑物、构筑物、设施设备等；与项目设施相关的机器设备、零部件、备品、备件以及其他动产；在用的各类管理章程和运营手册包括专有技术、生产档案、技术档案、文秘档案、图书资料、设计图纸、文件和其他资料，以使本项目能平稳地正常地继续运营。</w:t>
      </w:r>
    </w:p>
    <w:p w14:paraId="2DB2D567">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3）</w:t>
      </w:r>
      <w:r>
        <w:rPr>
          <w:rFonts w:ascii="宋体" w:hAnsi="宋体" w:cs="宋体"/>
          <w:sz w:val="24"/>
          <w:szCs w:val="28"/>
        </w:rPr>
        <w:t>备品备件</w:t>
      </w:r>
    </w:p>
    <w:p w14:paraId="6163FCB1">
      <w:pPr>
        <w:snapToGrid w:val="0"/>
        <w:spacing w:line="360" w:lineRule="auto"/>
        <w:ind w:firstLine="480" w:firstLineChars="200"/>
        <w:jc w:val="left"/>
        <w:rPr>
          <w:rFonts w:ascii="宋体" w:hAnsi="宋体" w:cs="宋体"/>
          <w:sz w:val="24"/>
          <w:szCs w:val="28"/>
        </w:rPr>
      </w:pPr>
      <w:r>
        <w:rPr>
          <w:rFonts w:ascii="宋体" w:hAnsi="宋体" w:cs="宋体"/>
          <w:sz w:val="24"/>
          <w:szCs w:val="28"/>
        </w:rPr>
        <w:t>在本项目移交日，项目公司应向政府方或其指定单位无偿移交足够1个月使用的消耗性备品备件和事故抢修的备品备件。所有零配件、备品备件应至少具有与项目公司于交付设备时从设备制造厂商取得的备件相同的质量和标准并符合相同的技术规格要求。</w:t>
      </w:r>
    </w:p>
    <w:p w14:paraId="4D51B34A">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4）</w:t>
      </w:r>
      <w:r>
        <w:rPr>
          <w:rFonts w:ascii="宋体" w:hAnsi="宋体" w:cs="宋体"/>
          <w:sz w:val="24"/>
          <w:szCs w:val="28"/>
        </w:rPr>
        <w:t>保证、保险、技术的转让</w:t>
      </w:r>
    </w:p>
    <w:p w14:paraId="03B2ADE4">
      <w:pPr>
        <w:snapToGrid w:val="0"/>
        <w:spacing w:line="360" w:lineRule="auto"/>
        <w:ind w:firstLine="480" w:firstLineChars="200"/>
        <w:jc w:val="left"/>
        <w:rPr>
          <w:rFonts w:ascii="宋体" w:hAnsi="宋体" w:cs="宋体"/>
          <w:sz w:val="24"/>
          <w:szCs w:val="28"/>
        </w:rPr>
      </w:pPr>
      <w:r>
        <w:rPr>
          <w:rFonts w:ascii="宋体" w:hAnsi="宋体" w:cs="宋体"/>
          <w:sz w:val="24"/>
          <w:szCs w:val="28"/>
        </w:rPr>
        <w:t>在移交时，项目公司有义务将本项目涉及的所有承包商和供应商提供的尚未期满的担保及保证在可转让的范围内分别无偿转让给政府，并负责完成相关转让手续以保证该等转让的合法性和有效性。</w:t>
      </w:r>
    </w:p>
    <w:p w14:paraId="392E7C55">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5）</w:t>
      </w:r>
      <w:r>
        <w:rPr>
          <w:rFonts w:ascii="宋体" w:hAnsi="宋体" w:cs="宋体"/>
          <w:sz w:val="24"/>
          <w:szCs w:val="28"/>
        </w:rPr>
        <w:t>移交验收</w:t>
      </w:r>
    </w:p>
    <w:p w14:paraId="7C971B7B">
      <w:pPr>
        <w:snapToGrid w:val="0"/>
        <w:spacing w:line="360" w:lineRule="auto"/>
        <w:ind w:firstLine="480" w:firstLineChars="200"/>
        <w:jc w:val="left"/>
        <w:rPr>
          <w:rFonts w:ascii="宋体" w:hAnsi="宋体" w:cs="宋体"/>
          <w:sz w:val="24"/>
          <w:szCs w:val="28"/>
        </w:rPr>
      </w:pPr>
      <w:r>
        <w:rPr>
          <w:rFonts w:ascii="宋体" w:hAnsi="宋体" w:cs="宋体"/>
          <w:sz w:val="24"/>
          <w:szCs w:val="28"/>
        </w:rPr>
        <w:t>项目公司应提供移交必要的文件、记录、报告等数据，作为移交时双方的参考。</w:t>
      </w:r>
    </w:p>
    <w:p w14:paraId="5A55E225">
      <w:pPr>
        <w:snapToGrid w:val="0"/>
        <w:spacing w:line="360" w:lineRule="auto"/>
        <w:ind w:firstLine="480" w:firstLineChars="200"/>
        <w:jc w:val="left"/>
        <w:rPr>
          <w:rFonts w:ascii="宋体" w:hAnsi="宋体" w:cs="宋体"/>
          <w:sz w:val="24"/>
          <w:szCs w:val="28"/>
        </w:rPr>
      </w:pPr>
      <w:r>
        <w:rPr>
          <w:rFonts w:ascii="宋体" w:hAnsi="宋体" w:cs="宋体"/>
          <w:sz w:val="24"/>
          <w:szCs w:val="28"/>
        </w:rPr>
        <w:t>除协议另有规定外，双方在完成项目资产移交程序前，均应继续履行其协议项下的义务。</w:t>
      </w:r>
    </w:p>
    <w:p w14:paraId="0E7DADD7">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6）</w:t>
      </w:r>
      <w:r>
        <w:rPr>
          <w:rFonts w:ascii="宋体" w:hAnsi="宋体" w:cs="宋体"/>
          <w:sz w:val="24"/>
          <w:szCs w:val="28"/>
        </w:rPr>
        <w:t>移交费用</w:t>
      </w:r>
    </w:p>
    <w:p w14:paraId="7BD83B0F">
      <w:pPr>
        <w:snapToGrid w:val="0"/>
        <w:spacing w:line="360" w:lineRule="auto"/>
        <w:ind w:firstLine="480" w:firstLineChars="200"/>
        <w:jc w:val="left"/>
        <w:rPr>
          <w:rFonts w:ascii="宋体" w:hAnsi="宋体" w:cs="宋体"/>
          <w:sz w:val="24"/>
          <w:szCs w:val="28"/>
        </w:rPr>
      </w:pPr>
      <w:r>
        <w:rPr>
          <w:rFonts w:ascii="宋体" w:hAnsi="宋体" w:cs="宋体"/>
          <w:sz w:val="24"/>
          <w:szCs w:val="28"/>
        </w:rPr>
        <w:t>正常情况下各方自行承担移交工作发生的费用；如果项目公司未按照协议约定进行移交工作，政府方为此发生的费用由项目公司承担。</w:t>
      </w:r>
    </w:p>
    <w:p w14:paraId="131E6F1D">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7）</w:t>
      </w:r>
      <w:r>
        <w:rPr>
          <w:rFonts w:ascii="宋体" w:hAnsi="宋体" w:cs="宋体"/>
          <w:sz w:val="24"/>
          <w:szCs w:val="28"/>
        </w:rPr>
        <w:t>移交效力</w:t>
      </w:r>
    </w:p>
    <w:p w14:paraId="20B6BE12">
      <w:pPr>
        <w:snapToGrid w:val="0"/>
        <w:spacing w:line="360" w:lineRule="auto"/>
        <w:ind w:firstLine="480" w:firstLineChars="200"/>
        <w:jc w:val="left"/>
        <w:rPr>
          <w:rFonts w:ascii="宋体" w:hAnsi="宋体" w:cs="宋体"/>
          <w:sz w:val="24"/>
          <w:szCs w:val="28"/>
        </w:rPr>
      </w:pPr>
      <w:r>
        <w:rPr>
          <w:rFonts w:ascii="宋体" w:hAnsi="宋体" w:cs="宋体"/>
          <w:sz w:val="24"/>
          <w:szCs w:val="28"/>
        </w:rPr>
        <w:t>项目公司在本项目协议项下的权利和义务随移交的完成而终止（缺陷责任期内需履行的义务除外），政府方应接管本项目移交部分内容的运营及享有该部分的一切权利和义务。</w:t>
      </w:r>
    </w:p>
    <w:p w14:paraId="133267B0">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（3）</w:t>
      </w:r>
      <w:r>
        <w:rPr>
          <w:rFonts w:ascii="宋体" w:hAnsi="宋体" w:cs="宋体"/>
          <w:sz w:val="24"/>
          <w:szCs w:val="28"/>
        </w:rPr>
        <w:t>移交质量保证</w:t>
      </w:r>
    </w:p>
    <w:p w14:paraId="330B7B6F">
      <w:pPr>
        <w:snapToGrid w:val="0"/>
        <w:spacing w:line="360" w:lineRule="auto"/>
        <w:ind w:firstLine="480" w:firstLineChars="200"/>
        <w:jc w:val="left"/>
        <w:rPr>
          <w:rFonts w:ascii="宋体" w:hAnsi="宋体" w:cs="宋体"/>
          <w:sz w:val="24"/>
          <w:szCs w:val="28"/>
        </w:rPr>
      </w:pPr>
      <w:r>
        <w:rPr>
          <w:rFonts w:ascii="宋体" w:hAnsi="宋体" w:cs="宋体"/>
          <w:sz w:val="24"/>
          <w:szCs w:val="28"/>
        </w:rPr>
        <w:t>在移交日期之前，政府方应在项目公司代表在场时对本项目进行移交验收。如发现存在缺陷的，则项目公司应及时修复，如果项目公司不能在30日或双方同意的更长时间内修复缺陷，政府方有权从移交保函中支取相应费用以修复缺陷。</w:t>
      </w:r>
    </w:p>
    <w:p w14:paraId="623080FB">
      <w:pPr>
        <w:snapToGrid w:val="0"/>
        <w:spacing w:line="360" w:lineRule="auto"/>
        <w:ind w:firstLine="480" w:firstLineChars="200"/>
        <w:jc w:val="left"/>
        <w:rPr>
          <w:rFonts w:ascii="宋体" w:hAnsi="宋体" w:cs="宋体"/>
          <w:sz w:val="24"/>
          <w:szCs w:val="28"/>
        </w:rPr>
      </w:pPr>
      <w:r>
        <w:rPr>
          <w:rFonts w:ascii="宋体" w:hAnsi="宋体" w:cs="宋体"/>
          <w:sz w:val="24"/>
          <w:szCs w:val="28"/>
        </w:rPr>
        <w:t>项目公司应在移交日后12个月的保证期内，承担移交给政府方的质量缺陷的保修责任（因接受移交的单位使用不当造成的损坏及资产的自然损耗除外），项目公司在收到该通知后，应尽快自费进行保修。</w:t>
      </w:r>
    </w:p>
    <w:p w14:paraId="4694CD85">
      <w:pPr>
        <w:snapToGrid w:val="0"/>
        <w:spacing w:line="360" w:lineRule="auto"/>
        <w:ind w:firstLine="480" w:firstLineChars="200"/>
        <w:jc w:val="left"/>
        <w:rPr>
          <w:rFonts w:ascii="宋体" w:hAnsi="宋体" w:cs="宋体"/>
          <w:sz w:val="24"/>
          <w:szCs w:val="28"/>
        </w:rPr>
      </w:pPr>
      <w:r>
        <w:rPr>
          <w:rFonts w:ascii="宋体" w:hAnsi="宋体" w:cs="宋体"/>
          <w:sz w:val="24"/>
          <w:szCs w:val="28"/>
        </w:rPr>
        <w:t>若政府方发现任何上述缺陷或损坏后应及时通知项目公司，上述通知最迟应在缺陷责任期届满日前送达。收到该通知后，项目公司应尽快自费修复缺陷。如果项目公司在收到政府方通知后15日内不能或拒绝修复缺陷，政府方有权自己或请第三方修复缺陷。在紧急情况下，或项目公司没有及时对移交资产保修，政府有权兑取移交保函的相应金额进行保修，但应将支出的情况告知项目公司。</w:t>
      </w:r>
    </w:p>
    <w:p w14:paraId="1E8622B8">
      <w:pPr>
        <w:snapToGrid w:val="0"/>
        <w:spacing w:line="360" w:lineRule="auto"/>
        <w:jc w:val="left"/>
        <w:rPr>
          <w:rFonts w:ascii="宋体" w:hAnsi="宋体" w:cs="宋体"/>
          <w:b/>
          <w:bCs/>
          <w:sz w:val="24"/>
          <w:szCs w:val="28"/>
        </w:rPr>
      </w:pPr>
      <w:bookmarkStart w:id="228" w:name="_Toc21635"/>
      <w:bookmarkStart w:id="229" w:name="_Toc13195"/>
      <w:bookmarkStart w:id="230" w:name="_Toc9926"/>
      <w:bookmarkStart w:id="231" w:name="_Toc30968"/>
      <w:bookmarkStart w:id="232" w:name="_Toc23992"/>
      <w:bookmarkStart w:id="233" w:name="_Toc12130"/>
      <w:bookmarkStart w:id="234" w:name="_Toc29866"/>
      <w:bookmarkStart w:id="235" w:name="_Toc19426"/>
      <w:r>
        <w:rPr>
          <w:rFonts w:hint="eastAsia" w:ascii="宋体" w:hAnsi="宋体" w:cs="宋体"/>
          <w:b/>
          <w:bCs/>
          <w:sz w:val="24"/>
          <w:szCs w:val="28"/>
        </w:rPr>
        <w:t>23.</w:t>
      </w:r>
      <w:r>
        <w:rPr>
          <w:rFonts w:ascii="宋体" w:hAnsi="宋体" w:cs="宋体"/>
          <w:b/>
          <w:bCs/>
          <w:sz w:val="24"/>
          <w:szCs w:val="28"/>
        </w:rPr>
        <w:t>特许经营协议解除</w:t>
      </w:r>
      <w:bookmarkEnd w:id="228"/>
      <w:bookmarkEnd w:id="229"/>
      <w:bookmarkEnd w:id="230"/>
    </w:p>
    <w:p w14:paraId="46EC90D9">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（1）</w:t>
      </w:r>
      <w:r>
        <w:rPr>
          <w:rFonts w:ascii="宋体" w:hAnsi="宋体" w:cs="宋体"/>
          <w:sz w:val="24"/>
          <w:szCs w:val="28"/>
        </w:rPr>
        <w:t>协议解除的事由</w:t>
      </w:r>
      <w:bookmarkEnd w:id="231"/>
      <w:bookmarkEnd w:id="232"/>
      <w:bookmarkEnd w:id="233"/>
      <w:bookmarkEnd w:id="234"/>
    </w:p>
    <w:p w14:paraId="50FF0207">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1）</w:t>
      </w:r>
      <w:r>
        <w:rPr>
          <w:rFonts w:ascii="宋体" w:hAnsi="宋体" w:cs="宋体"/>
          <w:sz w:val="24"/>
          <w:szCs w:val="28"/>
        </w:rPr>
        <w:t>特许经营协议解除事由</w:t>
      </w:r>
    </w:p>
    <w:p w14:paraId="54F710EC">
      <w:pPr>
        <w:snapToGrid w:val="0"/>
        <w:spacing w:line="360" w:lineRule="auto"/>
        <w:ind w:firstLine="480" w:firstLineChars="200"/>
        <w:jc w:val="left"/>
        <w:rPr>
          <w:rFonts w:ascii="宋体" w:hAnsi="宋体" w:cs="宋体"/>
          <w:sz w:val="24"/>
          <w:szCs w:val="28"/>
        </w:rPr>
      </w:pPr>
      <w:r>
        <w:rPr>
          <w:rFonts w:ascii="宋体" w:hAnsi="宋体" w:cs="宋体"/>
          <w:sz w:val="24"/>
          <w:szCs w:val="28"/>
        </w:rPr>
        <w:t>发生以下事件时，特许经营协议可依法解除：</w:t>
      </w:r>
    </w:p>
    <w:p w14:paraId="712F456B">
      <w:pPr>
        <w:snapToGrid w:val="0"/>
        <w:spacing w:line="360" w:lineRule="auto"/>
        <w:ind w:firstLine="480" w:firstLineChars="200"/>
        <w:jc w:val="left"/>
        <w:rPr>
          <w:rFonts w:ascii="宋体" w:hAnsi="宋体" w:cs="宋体"/>
          <w:sz w:val="24"/>
          <w:szCs w:val="28"/>
        </w:rPr>
      </w:pPr>
      <w:r>
        <w:rPr>
          <w:rFonts w:ascii="宋体" w:hAnsi="宋体" w:cs="宋体"/>
          <w:sz w:val="24"/>
          <w:szCs w:val="28"/>
        </w:rPr>
        <w:t>①发生不可抗力事件，导致一方无法履行特许经营协议下主要义务达到180日或导致项目资产无法修复，且各方在不可抗力事件发生后的180日内不能就协议变更达成一致；</w:t>
      </w:r>
    </w:p>
    <w:p w14:paraId="6086E81F">
      <w:pPr>
        <w:snapToGrid w:val="0"/>
        <w:spacing w:line="360" w:lineRule="auto"/>
        <w:ind w:firstLine="480" w:firstLineChars="200"/>
        <w:jc w:val="left"/>
        <w:rPr>
          <w:rFonts w:ascii="宋体" w:hAnsi="宋体" w:cs="宋体"/>
          <w:sz w:val="24"/>
          <w:szCs w:val="28"/>
        </w:rPr>
      </w:pPr>
      <w:r>
        <w:rPr>
          <w:rFonts w:ascii="宋体" w:hAnsi="宋体" w:cs="宋体"/>
          <w:sz w:val="24"/>
          <w:szCs w:val="28"/>
        </w:rPr>
        <w:t>②发生情势变更事件，各方不能就协议变更达成一致；</w:t>
      </w:r>
    </w:p>
    <w:p w14:paraId="69816557">
      <w:pPr>
        <w:snapToGrid w:val="0"/>
        <w:spacing w:line="360" w:lineRule="auto"/>
        <w:ind w:firstLine="480" w:firstLineChars="200"/>
        <w:jc w:val="left"/>
        <w:rPr>
          <w:rFonts w:ascii="宋体" w:hAnsi="宋体" w:cs="宋体"/>
          <w:sz w:val="24"/>
          <w:szCs w:val="28"/>
        </w:rPr>
      </w:pPr>
      <w:r>
        <w:rPr>
          <w:rFonts w:ascii="宋体" w:hAnsi="宋体" w:cs="宋体"/>
          <w:sz w:val="24"/>
          <w:szCs w:val="28"/>
        </w:rPr>
        <w:t>③发生法律变更对项目公司造成重大不利影响，双方不能提出对项目公司给予经济补偿的合理方案且双方不能就重新谈判达成一致，项目公司订立协议的根本目的无法实现，项目公司可以解除协议；</w:t>
      </w:r>
    </w:p>
    <w:p w14:paraId="318D5EA4">
      <w:pPr>
        <w:snapToGrid w:val="0"/>
        <w:spacing w:line="360" w:lineRule="auto"/>
        <w:ind w:firstLine="480" w:firstLineChars="200"/>
        <w:jc w:val="left"/>
        <w:rPr>
          <w:rFonts w:ascii="宋体" w:hAnsi="宋体" w:cs="宋体"/>
          <w:sz w:val="24"/>
          <w:szCs w:val="28"/>
        </w:rPr>
      </w:pPr>
      <w:r>
        <w:rPr>
          <w:rFonts w:ascii="宋体" w:hAnsi="宋体" w:cs="宋体"/>
          <w:sz w:val="24"/>
          <w:szCs w:val="28"/>
        </w:rPr>
        <w:t>④项目实施所必需的应由行政部门批准或备案的事项非因项目公司原因而在合理时间内无法获得批准或完成备案，且双方在合理期限内未能协商一致的，项目公司可以解除特许经营协议；</w:t>
      </w:r>
    </w:p>
    <w:p w14:paraId="658A2BD3">
      <w:pPr>
        <w:snapToGrid w:val="0"/>
        <w:spacing w:line="360" w:lineRule="auto"/>
        <w:ind w:firstLine="480" w:firstLineChars="200"/>
        <w:jc w:val="left"/>
        <w:rPr>
          <w:rFonts w:ascii="宋体" w:hAnsi="宋体" w:cs="宋体"/>
          <w:sz w:val="24"/>
          <w:szCs w:val="28"/>
        </w:rPr>
      </w:pPr>
      <w:r>
        <w:rPr>
          <w:rFonts w:ascii="宋体" w:hAnsi="宋体" w:cs="宋体"/>
          <w:sz w:val="24"/>
          <w:szCs w:val="28"/>
        </w:rPr>
        <w:t>⑤协议一方严重违约，导致协议目的无法实现；</w:t>
      </w:r>
    </w:p>
    <w:p w14:paraId="77D772EF">
      <w:pPr>
        <w:snapToGrid w:val="0"/>
        <w:spacing w:line="360" w:lineRule="auto"/>
        <w:ind w:firstLine="480" w:firstLineChars="200"/>
        <w:jc w:val="left"/>
        <w:rPr>
          <w:rFonts w:ascii="宋体" w:hAnsi="宋体" w:cs="宋体"/>
          <w:sz w:val="24"/>
          <w:szCs w:val="28"/>
        </w:rPr>
      </w:pPr>
      <w:r>
        <w:rPr>
          <w:rFonts w:ascii="宋体" w:hAnsi="宋体" w:cs="宋体"/>
          <w:sz w:val="24"/>
          <w:szCs w:val="28"/>
        </w:rPr>
        <w:t>⑥项目被征收、征用；</w:t>
      </w:r>
    </w:p>
    <w:p w14:paraId="2DED80A4">
      <w:pPr>
        <w:snapToGrid w:val="0"/>
        <w:spacing w:line="360" w:lineRule="auto"/>
        <w:ind w:firstLine="480" w:firstLineChars="200"/>
        <w:jc w:val="left"/>
        <w:rPr>
          <w:rFonts w:ascii="宋体" w:hAnsi="宋体" w:cs="宋体"/>
          <w:sz w:val="24"/>
          <w:szCs w:val="28"/>
        </w:rPr>
      </w:pPr>
      <w:bookmarkStart w:id="236" w:name="_Toc401128549"/>
      <w:r>
        <w:rPr>
          <w:rFonts w:ascii="宋体" w:hAnsi="宋体" w:cs="宋体"/>
          <w:sz w:val="24"/>
          <w:szCs w:val="28"/>
        </w:rPr>
        <w:t>⑦项目公司进入破产清算程序，实施机构可以解除特许经营协议；</w:t>
      </w:r>
    </w:p>
    <w:p w14:paraId="21E51E55">
      <w:pPr>
        <w:snapToGrid w:val="0"/>
        <w:spacing w:line="360" w:lineRule="auto"/>
        <w:ind w:firstLine="480" w:firstLineChars="200"/>
        <w:jc w:val="left"/>
        <w:rPr>
          <w:rFonts w:ascii="宋体" w:hAnsi="宋体" w:cs="宋体"/>
          <w:sz w:val="24"/>
          <w:szCs w:val="28"/>
        </w:rPr>
      </w:pPr>
      <w:r>
        <w:rPr>
          <w:rFonts w:ascii="宋体" w:hAnsi="宋体" w:cs="宋体"/>
          <w:sz w:val="24"/>
          <w:szCs w:val="28"/>
        </w:rPr>
        <w:t>⑧法律、行政法规规定或</w:t>
      </w:r>
      <w:bookmarkEnd w:id="236"/>
      <w:r>
        <w:rPr>
          <w:rFonts w:ascii="宋体" w:hAnsi="宋体" w:cs="宋体"/>
          <w:sz w:val="24"/>
          <w:szCs w:val="28"/>
        </w:rPr>
        <w:t>协议各方约定的其他事由。</w:t>
      </w:r>
    </w:p>
    <w:p w14:paraId="17A7DC16">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2）</w:t>
      </w:r>
      <w:r>
        <w:rPr>
          <w:rFonts w:ascii="宋体" w:hAnsi="宋体" w:cs="宋体"/>
          <w:sz w:val="24"/>
          <w:szCs w:val="28"/>
        </w:rPr>
        <w:t>项目公司违约导致的解除</w:t>
      </w:r>
    </w:p>
    <w:p w14:paraId="5525CB72">
      <w:pPr>
        <w:snapToGrid w:val="0"/>
        <w:spacing w:line="360" w:lineRule="auto"/>
        <w:ind w:firstLine="480" w:firstLineChars="200"/>
        <w:jc w:val="left"/>
        <w:rPr>
          <w:rFonts w:ascii="宋体" w:hAnsi="宋体" w:cs="宋体"/>
          <w:sz w:val="24"/>
          <w:szCs w:val="28"/>
        </w:rPr>
      </w:pPr>
      <w:r>
        <w:rPr>
          <w:rFonts w:ascii="宋体" w:hAnsi="宋体" w:cs="宋体"/>
          <w:sz w:val="24"/>
          <w:szCs w:val="28"/>
        </w:rPr>
        <w:t>①如果项目公司违约，在收到实施机构发出的要求纠正违约的通知后30天内违约事件未得到纠正，实施机构有权经书面通知解除特许经营协议：</w:t>
      </w:r>
    </w:p>
    <w:p w14:paraId="4DEE68C6">
      <w:pPr>
        <w:snapToGrid w:val="0"/>
        <w:spacing w:line="360" w:lineRule="auto"/>
        <w:ind w:firstLine="480" w:firstLineChars="200"/>
        <w:jc w:val="left"/>
        <w:rPr>
          <w:rFonts w:ascii="宋体" w:hAnsi="宋体" w:cs="宋体"/>
          <w:sz w:val="24"/>
          <w:szCs w:val="28"/>
        </w:rPr>
      </w:pPr>
      <w:r>
        <w:rPr>
          <w:rFonts w:ascii="宋体" w:hAnsi="宋体" w:cs="宋体"/>
          <w:sz w:val="24"/>
          <w:szCs w:val="28"/>
        </w:rPr>
        <w:t>②项目公司在特许经营协议项下的实质性违约情形，包括但不限于：</w:t>
      </w:r>
    </w:p>
    <w:p w14:paraId="2DDC5AD7">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a</w:t>
      </w:r>
      <w:r>
        <w:rPr>
          <w:rFonts w:ascii="宋体" w:hAnsi="宋体" w:cs="宋体"/>
          <w:sz w:val="24"/>
          <w:szCs w:val="28"/>
        </w:rPr>
        <w:t>项目融资逾期超过90日；</w:t>
      </w:r>
    </w:p>
    <w:p w14:paraId="2CA868FB">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b</w:t>
      </w:r>
      <w:r>
        <w:rPr>
          <w:rFonts w:ascii="宋体" w:hAnsi="宋体" w:cs="宋体"/>
          <w:sz w:val="24"/>
          <w:szCs w:val="28"/>
        </w:rPr>
        <w:t>项目公司主动放弃对项目的运营超过30天时间；</w:t>
      </w:r>
    </w:p>
    <w:p w14:paraId="7283A019">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c</w:t>
      </w:r>
      <w:r>
        <w:rPr>
          <w:rFonts w:ascii="宋体" w:hAnsi="宋体" w:cs="宋体"/>
          <w:sz w:val="24"/>
          <w:szCs w:val="28"/>
        </w:rPr>
        <w:t>项目公司被裁定进入破产程序，或资不抵债或停止对外支付，或其他类似的情形；</w:t>
      </w:r>
    </w:p>
    <w:p w14:paraId="637DFDE9">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d</w:t>
      </w:r>
      <w:r>
        <w:rPr>
          <w:rFonts w:ascii="宋体" w:hAnsi="宋体" w:cs="宋体"/>
          <w:sz w:val="24"/>
          <w:szCs w:val="28"/>
        </w:rPr>
        <w:t>项目公司发生运营评价得分连续两年或两次低于60分；</w:t>
      </w:r>
    </w:p>
    <w:p w14:paraId="124A425C">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e</w:t>
      </w:r>
      <w:r>
        <w:rPr>
          <w:rFonts w:ascii="宋体" w:hAnsi="宋体" w:cs="宋体"/>
          <w:sz w:val="24"/>
          <w:szCs w:val="28"/>
        </w:rPr>
        <w:t>因项目公司经营管理不善导致年供水投诉事件大于20次；</w:t>
      </w:r>
    </w:p>
    <w:p w14:paraId="695E550F">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f</w:t>
      </w:r>
      <w:r>
        <w:rPr>
          <w:rFonts w:ascii="宋体" w:hAnsi="宋体" w:cs="宋体"/>
          <w:sz w:val="24"/>
          <w:szCs w:val="28"/>
        </w:rPr>
        <w:t>政府漏损率治理工程实施后漏损情况持续得不到改善等根本违约导致特许经营协议目的不能实现，且在实施机构就此发出通知后的30天内仍未对违约采取补救措施；</w:t>
      </w:r>
    </w:p>
    <w:p w14:paraId="74C00F9B">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g</w:t>
      </w:r>
      <w:r>
        <w:rPr>
          <w:rFonts w:ascii="宋体" w:hAnsi="宋体" w:cs="宋体"/>
          <w:sz w:val="24"/>
          <w:szCs w:val="28"/>
        </w:rPr>
        <w:t>贷款人根据融资文件宣布项目公司违约，并且根据融资文件采取了补救措施导致特许经营协议无法继续履行的；</w:t>
      </w:r>
    </w:p>
    <w:p w14:paraId="5DCDE762">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h</w:t>
      </w:r>
      <w:r>
        <w:rPr>
          <w:rFonts w:ascii="宋体" w:hAnsi="宋体" w:cs="宋体"/>
          <w:sz w:val="24"/>
          <w:szCs w:val="28"/>
        </w:rPr>
        <w:t>项目公司在特许经营协议所作的声明被证实在做出时存在实质方面的不属实，或在特许经营协议中所做出的保证无法实现并且该等不属实声明和不能实现的保证严重影响特许经营协议项下的项目的顺利进行，导致特许经营协议的目的不能实现。</w:t>
      </w:r>
    </w:p>
    <w:p w14:paraId="6B4AA4E7">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3）</w:t>
      </w:r>
      <w:r>
        <w:rPr>
          <w:rFonts w:ascii="宋体" w:hAnsi="宋体" w:cs="宋体"/>
          <w:sz w:val="24"/>
          <w:szCs w:val="28"/>
        </w:rPr>
        <w:t>实施机构违约导致的解除</w:t>
      </w:r>
    </w:p>
    <w:p w14:paraId="45863518">
      <w:pPr>
        <w:snapToGrid w:val="0"/>
        <w:spacing w:line="360" w:lineRule="auto"/>
        <w:ind w:firstLine="480" w:firstLineChars="200"/>
        <w:jc w:val="left"/>
        <w:rPr>
          <w:rFonts w:ascii="宋体" w:hAnsi="宋体" w:cs="宋体"/>
          <w:sz w:val="24"/>
          <w:szCs w:val="28"/>
        </w:rPr>
      </w:pPr>
      <w:r>
        <w:rPr>
          <w:rFonts w:ascii="宋体" w:hAnsi="宋体" w:cs="宋体"/>
          <w:sz w:val="24"/>
          <w:szCs w:val="28"/>
        </w:rPr>
        <w:t>①如果实施机构违约，在收到项目公司发出的要求纠正违约的通知后30天内实施机构违约事件未得到纠正，则项目公司有权经书面通知解除特许经营协议。</w:t>
      </w:r>
    </w:p>
    <w:p w14:paraId="22E7CAA0">
      <w:pPr>
        <w:snapToGrid w:val="0"/>
        <w:spacing w:line="360" w:lineRule="auto"/>
        <w:ind w:firstLine="480" w:firstLineChars="200"/>
        <w:jc w:val="left"/>
        <w:rPr>
          <w:rFonts w:ascii="宋体" w:hAnsi="宋体" w:cs="宋体"/>
          <w:sz w:val="24"/>
          <w:szCs w:val="28"/>
        </w:rPr>
      </w:pPr>
      <w:r>
        <w:rPr>
          <w:rFonts w:ascii="宋体" w:hAnsi="宋体" w:cs="宋体"/>
          <w:sz w:val="24"/>
          <w:szCs w:val="28"/>
        </w:rPr>
        <w:t>②实施机构在特许经营协议项下的实质性违约情形，包括但不限于：</w:t>
      </w:r>
    </w:p>
    <w:p w14:paraId="6B6A33E9">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a</w:t>
      </w:r>
      <w:r>
        <w:rPr>
          <w:rFonts w:ascii="宋体" w:hAnsi="宋体" w:cs="宋体"/>
          <w:sz w:val="24"/>
          <w:szCs w:val="28"/>
        </w:rPr>
        <w:t>实施机构擅自撤销已授予项目公司的特许经营相关权利或将项目公司已获授权的特许经营相关权利重复授予第三方，或其他实质性违反特许经营协议排他性约定的情形；</w:t>
      </w:r>
    </w:p>
    <w:p w14:paraId="5A3707C3">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b</w:t>
      </w:r>
      <w:r>
        <w:rPr>
          <w:rFonts w:ascii="宋体" w:hAnsi="宋体" w:cs="宋体"/>
          <w:sz w:val="24"/>
          <w:szCs w:val="28"/>
        </w:rPr>
        <w:t>实施机构在特许经营协议所作的声明被证实在做出时存在实质方面的不属实，或在特许经营协议中所做出的保证无法实现并且该等不属实声明和不能实现的保证严重影响特许经营协议项下的项目的顺利进行，导致项目公司签订特许经营协议的目的不能实现；</w:t>
      </w:r>
    </w:p>
    <w:p w14:paraId="466E1633">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c</w:t>
      </w:r>
      <w:r>
        <w:rPr>
          <w:rFonts w:ascii="宋体" w:hAnsi="宋体" w:cs="宋体"/>
          <w:sz w:val="24"/>
          <w:szCs w:val="28"/>
        </w:rPr>
        <w:t>因实施机构未按时提供项目融资所需资料导致特许经营协议签订后6个月仍无法融资的；</w:t>
      </w:r>
    </w:p>
    <w:p w14:paraId="5A16ABDC">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d</w:t>
      </w:r>
      <w:r>
        <w:rPr>
          <w:rFonts w:ascii="宋体" w:hAnsi="宋体" w:cs="宋体"/>
          <w:sz w:val="24"/>
          <w:szCs w:val="28"/>
        </w:rPr>
        <w:t>因项目合规性问题导致项目无法实施的；</w:t>
      </w:r>
    </w:p>
    <w:p w14:paraId="4214FC45">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e</w:t>
      </w:r>
      <w:r>
        <w:rPr>
          <w:rFonts w:ascii="宋体" w:hAnsi="宋体" w:cs="宋体"/>
          <w:sz w:val="24"/>
          <w:szCs w:val="28"/>
        </w:rPr>
        <w:t>未合理依据协议中水价增长幅度提交政府启动调价程序；</w:t>
      </w:r>
    </w:p>
    <w:p w14:paraId="45126D56">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f</w:t>
      </w:r>
      <w:r>
        <w:rPr>
          <w:rFonts w:ascii="宋体" w:hAnsi="宋体" w:cs="宋体"/>
          <w:sz w:val="24"/>
          <w:szCs w:val="28"/>
        </w:rPr>
        <w:t>因实施机构原因造成的其他严重情形</w:t>
      </w:r>
      <w:r>
        <w:rPr>
          <w:rFonts w:hint="eastAsia" w:ascii="宋体" w:hAnsi="宋体" w:cs="宋体"/>
          <w:sz w:val="24"/>
          <w:szCs w:val="28"/>
        </w:rPr>
        <w:t>。</w:t>
      </w:r>
    </w:p>
    <w:p w14:paraId="52F17B7B">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4）</w:t>
      </w:r>
      <w:r>
        <w:rPr>
          <w:rFonts w:ascii="宋体" w:hAnsi="宋体" w:cs="宋体"/>
          <w:sz w:val="24"/>
          <w:szCs w:val="28"/>
        </w:rPr>
        <w:t>不可抗力导致的解除</w:t>
      </w:r>
    </w:p>
    <w:p w14:paraId="7619C304">
      <w:pPr>
        <w:snapToGrid w:val="0"/>
        <w:spacing w:line="360" w:lineRule="auto"/>
        <w:ind w:firstLine="480" w:firstLineChars="200"/>
        <w:jc w:val="left"/>
        <w:rPr>
          <w:rFonts w:ascii="宋体" w:hAnsi="宋体" w:cs="宋体"/>
          <w:sz w:val="24"/>
          <w:szCs w:val="28"/>
        </w:rPr>
      </w:pPr>
      <w:r>
        <w:rPr>
          <w:rFonts w:ascii="宋体" w:hAnsi="宋体" w:cs="宋体"/>
          <w:sz w:val="24"/>
          <w:szCs w:val="28"/>
        </w:rPr>
        <w:t>特许经营协议生效后，如果发生不可抗力事件，导致一方无法履行特许经营协议下主要义务，且各方不能就协议变更达成一致，则任何一方有权解除特许经营协议，且有权解除协议的一方应向另一方送达因不可抗力事件解除特许经营协议的通知，届时特许经营协议应在特许经营协议约定的不可抗力解除通知期限届满之时终止。</w:t>
      </w:r>
    </w:p>
    <w:p w14:paraId="39DE14A8">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5）</w:t>
      </w:r>
      <w:r>
        <w:rPr>
          <w:rFonts w:ascii="宋体" w:hAnsi="宋体" w:cs="宋体"/>
          <w:sz w:val="24"/>
          <w:szCs w:val="28"/>
        </w:rPr>
        <w:t>法律变更导致的解除</w:t>
      </w:r>
    </w:p>
    <w:p w14:paraId="24F8436D">
      <w:pPr>
        <w:snapToGrid w:val="0"/>
        <w:spacing w:line="360" w:lineRule="auto"/>
        <w:ind w:firstLine="480" w:firstLineChars="200"/>
        <w:jc w:val="left"/>
        <w:rPr>
          <w:rFonts w:ascii="宋体" w:hAnsi="宋体" w:cs="宋体"/>
          <w:sz w:val="24"/>
          <w:szCs w:val="28"/>
        </w:rPr>
      </w:pPr>
      <w:r>
        <w:rPr>
          <w:rFonts w:ascii="宋体" w:hAnsi="宋体" w:cs="宋体"/>
          <w:sz w:val="24"/>
          <w:szCs w:val="28"/>
        </w:rPr>
        <w:t>如因法律变更导致特许经营协议履行的可行性受到严重不利影响，双方应就如何继续履行特许经营协议进行协商。如果双方无法在30日内或双方同意的更长时间内就如何继续履行特许经营协议达成一致意见，项目公司有权就该等不利影响进行评估，并向实施机构提交评估报告。项目公司提交评估报告后明确提出要求解除特许经营协议的情况下，实施机构应于收到项目公司的评估报告之日起15个工作日内或双方同意的更长时间内给予同意或提出反对意见。在实施机构不同意解除协议但双方未能在后续的15个工作日内达成继续履行特许经营协议方案的情况下，项目公司有权发出解除通知解除特许经营协议。</w:t>
      </w:r>
    </w:p>
    <w:p w14:paraId="2B04AB0A">
      <w:pPr>
        <w:snapToGrid w:val="0"/>
        <w:spacing w:line="360" w:lineRule="auto"/>
        <w:ind w:firstLine="480" w:firstLineChars="200"/>
        <w:jc w:val="left"/>
        <w:rPr>
          <w:rFonts w:ascii="宋体" w:hAnsi="宋体" w:cs="宋体"/>
          <w:sz w:val="24"/>
          <w:szCs w:val="28"/>
        </w:rPr>
      </w:pPr>
      <w:r>
        <w:rPr>
          <w:rFonts w:ascii="宋体" w:hAnsi="宋体" w:cs="宋体"/>
          <w:sz w:val="24"/>
          <w:szCs w:val="28"/>
        </w:rPr>
        <w:t>①一般性法律变更</w:t>
      </w:r>
    </w:p>
    <w:p w14:paraId="761FE9DB">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a</w:t>
      </w:r>
      <w:r>
        <w:rPr>
          <w:rFonts w:ascii="宋体" w:hAnsi="宋体" w:cs="宋体"/>
          <w:sz w:val="24"/>
          <w:szCs w:val="28"/>
        </w:rPr>
        <w:t>税收和补贴规则变更，即适用于项目的税收优惠政策和补贴利益改变；</w:t>
      </w:r>
    </w:p>
    <w:p w14:paraId="40FC3F4F">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b</w:t>
      </w:r>
      <w:r>
        <w:rPr>
          <w:rFonts w:ascii="宋体" w:hAnsi="宋体" w:cs="宋体"/>
          <w:sz w:val="24"/>
          <w:szCs w:val="28"/>
        </w:rPr>
        <w:t>环境保护、职业病防护和安全生产等相关规范变更，例如环保、劳工、技术标准、规范等变动；</w:t>
      </w:r>
    </w:p>
    <w:p w14:paraId="67DD87A2">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c</w:t>
      </w:r>
      <w:r>
        <w:rPr>
          <w:rFonts w:ascii="宋体" w:hAnsi="宋体" w:cs="宋体"/>
          <w:sz w:val="24"/>
          <w:szCs w:val="28"/>
        </w:rPr>
        <w:t>各方可以在此协商和补充列入其他会导致项目成本测算时的基本数据发生变化的情形。</w:t>
      </w:r>
    </w:p>
    <w:p w14:paraId="00547DD4">
      <w:pPr>
        <w:snapToGrid w:val="0"/>
        <w:spacing w:line="360" w:lineRule="auto"/>
        <w:ind w:firstLine="480" w:firstLineChars="200"/>
        <w:jc w:val="left"/>
        <w:rPr>
          <w:rFonts w:ascii="宋体" w:hAnsi="宋体" w:cs="宋体"/>
          <w:sz w:val="24"/>
          <w:szCs w:val="28"/>
        </w:rPr>
      </w:pPr>
      <w:bookmarkStart w:id="237" w:name="_Toc30574428"/>
      <w:bookmarkStart w:id="238" w:name="_Toc30577087"/>
      <w:bookmarkStart w:id="239" w:name="_Toc30392060"/>
      <w:bookmarkStart w:id="240" w:name="_Toc55386703"/>
      <w:bookmarkStart w:id="241" w:name="_Toc30318433"/>
      <w:bookmarkStart w:id="242" w:name="_Toc30389022"/>
      <w:bookmarkStart w:id="243" w:name="_Toc55756921"/>
      <w:bookmarkStart w:id="244" w:name="_Toc30487538"/>
      <w:bookmarkStart w:id="245" w:name="_Toc30301248"/>
      <w:bookmarkStart w:id="246" w:name="_Toc30389518"/>
      <w:bookmarkStart w:id="247" w:name="_Toc30576874"/>
      <w:bookmarkStart w:id="248" w:name="_Toc30487959"/>
      <w:bookmarkStart w:id="249" w:name="_Toc30583192"/>
      <w:bookmarkStart w:id="250" w:name="_Toc30393018"/>
      <w:bookmarkStart w:id="251" w:name="_Toc30389760"/>
      <w:bookmarkStart w:id="252" w:name="_Toc30390184"/>
      <w:bookmarkStart w:id="253" w:name="_Toc30574639"/>
      <w:bookmarkStart w:id="254" w:name="_Toc30576260"/>
      <w:bookmarkStart w:id="255" w:name="_Toc30389959"/>
      <w:bookmarkStart w:id="256" w:name="_Toc30487749"/>
      <w:bookmarkStart w:id="257" w:name="_Toc30392299"/>
      <w:r>
        <w:rPr>
          <w:rFonts w:ascii="宋体" w:hAnsi="宋体" w:cs="宋体"/>
          <w:sz w:val="24"/>
          <w:szCs w:val="28"/>
        </w:rPr>
        <w:t>②特定的法律变更</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54659D4B">
      <w:pPr>
        <w:snapToGrid w:val="0"/>
        <w:spacing w:line="360" w:lineRule="auto"/>
        <w:ind w:firstLine="480" w:firstLineChars="200"/>
        <w:jc w:val="left"/>
        <w:rPr>
          <w:rFonts w:ascii="宋体" w:hAnsi="宋体" w:cs="宋体"/>
          <w:sz w:val="24"/>
          <w:szCs w:val="28"/>
        </w:rPr>
      </w:pPr>
      <w:r>
        <w:rPr>
          <w:rFonts w:ascii="宋体" w:hAnsi="宋体" w:cs="宋体"/>
          <w:sz w:val="24"/>
          <w:szCs w:val="28"/>
        </w:rPr>
        <w:t>特定的法律变更指，相关条款属于以下情况的一项法律变更：</w:t>
      </w:r>
    </w:p>
    <w:p w14:paraId="112588E3">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a</w:t>
      </w:r>
      <w:r>
        <w:rPr>
          <w:rFonts w:ascii="宋体" w:hAnsi="宋体" w:cs="宋体"/>
          <w:sz w:val="24"/>
          <w:szCs w:val="28"/>
        </w:rPr>
        <w:t>适用于本项目，而非普遍适用于相关规则制定者所辖行政区域内所有同类项目；</w:t>
      </w:r>
    </w:p>
    <w:p w14:paraId="5599A5BD">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b</w:t>
      </w:r>
      <w:r>
        <w:rPr>
          <w:rFonts w:ascii="宋体" w:hAnsi="宋体" w:cs="宋体"/>
          <w:sz w:val="24"/>
          <w:szCs w:val="28"/>
        </w:rPr>
        <w:t>适用于本项目公司，而非普遍适用于相关规则制定者所辖行政区域内所有同行业实体；</w:t>
      </w:r>
    </w:p>
    <w:p w14:paraId="70E8ACBF">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c</w:t>
      </w:r>
      <w:r>
        <w:rPr>
          <w:rFonts w:ascii="宋体" w:hAnsi="宋体" w:cs="宋体"/>
          <w:sz w:val="24"/>
          <w:szCs w:val="28"/>
        </w:rPr>
        <w:t>系由政府本级和/或下级政府部门及人民代表大会所颁布。</w:t>
      </w:r>
    </w:p>
    <w:p w14:paraId="6BD787F4">
      <w:pPr>
        <w:snapToGrid w:val="0"/>
        <w:spacing w:line="360" w:lineRule="auto"/>
        <w:ind w:firstLine="480" w:firstLineChars="200"/>
        <w:jc w:val="left"/>
        <w:rPr>
          <w:rFonts w:ascii="宋体" w:hAnsi="宋体" w:cs="宋体"/>
          <w:sz w:val="24"/>
          <w:szCs w:val="28"/>
        </w:rPr>
      </w:pPr>
      <w:r>
        <w:rPr>
          <w:rFonts w:ascii="宋体" w:hAnsi="宋体" w:cs="宋体"/>
          <w:sz w:val="24"/>
          <w:szCs w:val="28"/>
        </w:rPr>
        <w:t>如已发生或即将发生特定的法律变更，则任何一方可致沟通函于另一方表明对其可能造成后果的意见，并详述其对下述各项的意见：</w:t>
      </w:r>
    </w:p>
    <w:p w14:paraId="05AA6AC3">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a</w:t>
      </w:r>
      <w:r>
        <w:rPr>
          <w:rFonts w:ascii="宋体" w:hAnsi="宋体" w:cs="宋体"/>
          <w:sz w:val="24"/>
          <w:szCs w:val="28"/>
        </w:rPr>
        <w:t>对项目运营的任何必要变动；</w:t>
      </w:r>
    </w:p>
    <w:p w14:paraId="4DA9FB9F">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b</w:t>
      </w:r>
      <w:r>
        <w:rPr>
          <w:rFonts w:ascii="宋体" w:hAnsi="宋体" w:cs="宋体"/>
          <w:sz w:val="24"/>
          <w:szCs w:val="28"/>
        </w:rPr>
        <w:t>是否需要对协议的条款进行任何变更，以适应特定的法律变更；</w:t>
      </w:r>
    </w:p>
    <w:p w14:paraId="19360A9B">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c</w:t>
      </w:r>
      <w:r>
        <w:rPr>
          <w:rFonts w:ascii="宋体" w:hAnsi="宋体" w:cs="宋体"/>
          <w:sz w:val="24"/>
          <w:szCs w:val="28"/>
        </w:rPr>
        <w:t>在实施任何有关的特定的法律变更期间是否需解除对某些义务的遵守；</w:t>
      </w:r>
    </w:p>
    <w:p w14:paraId="15DFD10F">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d</w:t>
      </w:r>
      <w:r>
        <w:rPr>
          <w:rFonts w:ascii="宋体" w:hAnsi="宋体" w:cs="宋体"/>
          <w:sz w:val="24"/>
          <w:szCs w:val="28"/>
        </w:rPr>
        <w:t>因相关特定的法律变更导致的任何项目成本的预计变动、收益损失及资本支出的变化。</w:t>
      </w:r>
    </w:p>
    <w:p w14:paraId="61851E67">
      <w:pPr>
        <w:snapToGrid w:val="0"/>
        <w:spacing w:line="360" w:lineRule="auto"/>
        <w:ind w:firstLine="480" w:firstLineChars="200"/>
        <w:jc w:val="left"/>
        <w:rPr>
          <w:rFonts w:ascii="宋体" w:hAnsi="宋体" w:cs="宋体"/>
          <w:sz w:val="24"/>
          <w:szCs w:val="28"/>
        </w:rPr>
      </w:pPr>
      <w:r>
        <w:rPr>
          <w:rFonts w:ascii="宋体" w:hAnsi="宋体" w:cs="宋体"/>
          <w:sz w:val="24"/>
          <w:szCs w:val="28"/>
        </w:rPr>
        <w:t>就每种情况，发出沟通函一方均应提出相关变动的全面具体的描述。</w:t>
      </w:r>
    </w:p>
    <w:p w14:paraId="3E167D44">
      <w:pPr>
        <w:snapToGrid w:val="0"/>
        <w:spacing w:line="360" w:lineRule="auto"/>
        <w:ind w:firstLine="480" w:firstLineChars="200"/>
        <w:jc w:val="left"/>
        <w:rPr>
          <w:rFonts w:ascii="宋体" w:hAnsi="宋体" w:cs="宋体"/>
          <w:sz w:val="24"/>
          <w:szCs w:val="28"/>
        </w:rPr>
      </w:pPr>
      <w:bookmarkStart w:id="258" w:name="_Toc3027"/>
      <w:bookmarkStart w:id="259" w:name="_Toc29678"/>
      <w:bookmarkStart w:id="260" w:name="_Toc29345"/>
      <w:bookmarkStart w:id="261" w:name="_Toc12585"/>
      <w:bookmarkStart w:id="262" w:name="_Toc2524"/>
      <w:bookmarkStart w:id="263" w:name="_Toc21483"/>
      <w:r>
        <w:rPr>
          <w:rFonts w:hint="eastAsia" w:ascii="宋体" w:hAnsi="宋体" w:cs="宋体"/>
          <w:sz w:val="24"/>
          <w:szCs w:val="28"/>
        </w:rPr>
        <w:t>（2）</w:t>
      </w:r>
      <w:r>
        <w:rPr>
          <w:rFonts w:ascii="宋体" w:hAnsi="宋体" w:cs="宋体"/>
          <w:sz w:val="24"/>
          <w:szCs w:val="28"/>
        </w:rPr>
        <w:t>协议的解除程序</w:t>
      </w:r>
      <w:bookmarkEnd w:id="258"/>
      <w:bookmarkEnd w:id="259"/>
      <w:bookmarkEnd w:id="260"/>
      <w:bookmarkEnd w:id="261"/>
      <w:bookmarkEnd w:id="262"/>
      <w:bookmarkEnd w:id="263"/>
    </w:p>
    <w:p w14:paraId="2459116D">
      <w:pPr>
        <w:snapToGrid w:val="0"/>
        <w:spacing w:line="360" w:lineRule="auto"/>
        <w:ind w:firstLine="480" w:firstLineChars="200"/>
        <w:jc w:val="left"/>
        <w:rPr>
          <w:rFonts w:ascii="宋体" w:hAnsi="宋体" w:cs="宋体"/>
          <w:sz w:val="24"/>
          <w:szCs w:val="28"/>
        </w:rPr>
      </w:pPr>
      <w:bookmarkStart w:id="264" w:name="_Toc149470792"/>
      <w:r>
        <w:rPr>
          <w:rFonts w:hint="eastAsia" w:ascii="宋体" w:hAnsi="宋体" w:cs="宋体"/>
          <w:sz w:val="24"/>
          <w:szCs w:val="28"/>
        </w:rPr>
        <w:t>1）</w:t>
      </w:r>
      <w:r>
        <w:rPr>
          <w:rFonts w:ascii="宋体" w:hAnsi="宋体" w:cs="宋体"/>
          <w:sz w:val="24"/>
          <w:szCs w:val="28"/>
        </w:rPr>
        <w:t>解除协议的意向通知</w:t>
      </w:r>
      <w:bookmarkEnd w:id="264"/>
    </w:p>
    <w:p w14:paraId="596AE467">
      <w:pPr>
        <w:snapToGrid w:val="0"/>
        <w:spacing w:line="360" w:lineRule="auto"/>
        <w:ind w:firstLine="480" w:firstLineChars="200"/>
        <w:jc w:val="left"/>
        <w:rPr>
          <w:rFonts w:ascii="宋体" w:hAnsi="宋体" w:cs="宋体"/>
          <w:sz w:val="24"/>
          <w:szCs w:val="28"/>
        </w:rPr>
      </w:pPr>
      <w:r>
        <w:rPr>
          <w:rFonts w:ascii="宋体" w:hAnsi="宋体" w:cs="宋体"/>
          <w:sz w:val="24"/>
          <w:szCs w:val="28"/>
        </w:rPr>
        <w:t>①实施机构或项目公司按照特许经营协议上述约定有权解除特许经营协议时，应首先发出意向通知，应表述引起发出该通知的对方违约事件的合理详细的情况及拟提前解除特许经营协议的原因。</w:t>
      </w:r>
    </w:p>
    <w:p w14:paraId="28A17F2C">
      <w:pPr>
        <w:snapToGrid w:val="0"/>
        <w:spacing w:line="360" w:lineRule="auto"/>
        <w:ind w:firstLine="480" w:firstLineChars="200"/>
        <w:jc w:val="left"/>
        <w:rPr>
          <w:rFonts w:ascii="宋体" w:hAnsi="宋体" w:cs="宋体"/>
          <w:sz w:val="24"/>
          <w:szCs w:val="28"/>
        </w:rPr>
      </w:pPr>
      <w:r>
        <w:rPr>
          <w:rFonts w:ascii="宋体" w:hAnsi="宋体" w:cs="宋体"/>
          <w:sz w:val="24"/>
          <w:szCs w:val="28"/>
        </w:rPr>
        <w:t>②在解除协议的意向通知发出之后，双方应在30日之内或双方同意的更长时间内（以下简称“协商期”）协商避免特许经营协议终止的措施。</w:t>
      </w:r>
    </w:p>
    <w:p w14:paraId="30A3B9E2">
      <w:pPr>
        <w:snapToGrid w:val="0"/>
        <w:spacing w:line="360" w:lineRule="auto"/>
        <w:ind w:firstLine="480" w:firstLineChars="200"/>
        <w:jc w:val="left"/>
        <w:rPr>
          <w:rFonts w:ascii="宋体" w:hAnsi="宋体" w:cs="宋体"/>
          <w:sz w:val="24"/>
          <w:szCs w:val="28"/>
        </w:rPr>
      </w:pPr>
      <w:r>
        <w:rPr>
          <w:rFonts w:ascii="宋体" w:hAnsi="宋体" w:cs="宋体"/>
          <w:sz w:val="24"/>
          <w:szCs w:val="28"/>
        </w:rPr>
        <w:t>③如果双方就将要采取的措施达成一致意见，且违约方在协商期内纠正了违约事件，终止意向通知应立即自动失效。</w:t>
      </w:r>
    </w:p>
    <w:p w14:paraId="68BD2A3E">
      <w:pPr>
        <w:snapToGrid w:val="0"/>
        <w:spacing w:line="360" w:lineRule="auto"/>
        <w:ind w:firstLine="480" w:firstLineChars="200"/>
        <w:jc w:val="left"/>
        <w:rPr>
          <w:rFonts w:ascii="宋体" w:hAnsi="宋体" w:cs="宋体"/>
          <w:sz w:val="24"/>
          <w:szCs w:val="28"/>
        </w:rPr>
      </w:pPr>
      <w:bookmarkStart w:id="265" w:name="_bookmark191"/>
      <w:bookmarkEnd w:id="265"/>
      <w:bookmarkStart w:id="266" w:name="_bookmark134"/>
      <w:bookmarkEnd w:id="266"/>
      <w:bookmarkStart w:id="267" w:name="_Toc149470793"/>
      <w:r>
        <w:rPr>
          <w:rFonts w:hint="eastAsia" w:ascii="宋体" w:hAnsi="宋体" w:cs="宋体"/>
          <w:sz w:val="24"/>
          <w:szCs w:val="28"/>
        </w:rPr>
        <w:t>2）</w:t>
      </w:r>
      <w:r>
        <w:rPr>
          <w:rFonts w:ascii="宋体" w:hAnsi="宋体" w:cs="宋体"/>
          <w:sz w:val="24"/>
          <w:szCs w:val="28"/>
        </w:rPr>
        <w:t>解除协议的通知</w:t>
      </w:r>
      <w:bookmarkEnd w:id="267"/>
    </w:p>
    <w:p w14:paraId="1DCB550C">
      <w:pPr>
        <w:snapToGrid w:val="0"/>
        <w:spacing w:line="360" w:lineRule="auto"/>
        <w:ind w:firstLine="480" w:firstLineChars="200"/>
        <w:jc w:val="left"/>
        <w:rPr>
          <w:rFonts w:ascii="宋体" w:hAnsi="宋体" w:cs="宋体"/>
          <w:sz w:val="24"/>
          <w:szCs w:val="28"/>
        </w:rPr>
      </w:pPr>
      <w:r>
        <w:rPr>
          <w:rFonts w:ascii="宋体" w:hAnsi="宋体" w:cs="宋体"/>
          <w:sz w:val="24"/>
          <w:szCs w:val="28"/>
        </w:rPr>
        <w:t>在终止意向通知发出后，在协商期满时，除非双方达成继续履行特许经营协议的一致意见或导致发出终止意向通知的违约事件得到纠正，否则发出终止意向通知的一方有权发出终止通知，特许经营协议按照终止通知中载明的日期终止。</w:t>
      </w:r>
    </w:p>
    <w:p w14:paraId="7CA19ED4">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3）</w:t>
      </w:r>
      <w:r>
        <w:rPr>
          <w:rFonts w:ascii="宋体" w:hAnsi="宋体" w:cs="宋体"/>
          <w:sz w:val="24"/>
          <w:szCs w:val="28"/>
        </w:rPr>
        <w:t>解除后果</w:t>
      </w:r>
    </w:p>
    <w:p w14:paraId="328E1B08">
      <w:pPr>
        <w:snapToGrid w:val="0"/>
        <w:spacing w:line="360" w:lineRule="auto"/>
        <w:ind w:firstLine="480" w:firstLineChars="200"/>
        <w:jc w:val="left"/>
        <w:rPr>
          <w:rFonts w:ascii="宋体" w:hAnsi="宋体" w:cs="宋体"/>
          <w:sz w:val="24"/>
          <w:szCs w:val="28"/>
        </w:rPr>
      </w:pPr>
      <w:r>
        <w:rPr>
          <w:rFonts w:ascii="宋体" w:hAnsi="宋体" w:cs="宋体"/>
          <w:sz w:val="24"/>
          <w:szCs w:val="28"/>
        </w:rPr>
        <w:t>特许经营协议解除后，双方应根据特许经营协议约定进行项目的移交，项目公司有权根据特许经营协议约定获得补偿。在项目移交前，项目公司有权继续按照特许经营协议的约定标准运营项目并按照特许经营协议的约定标准获得收益，或在项目已无法运营的情况下基于诚实信用原则和谨慎运营惯例合理地对项目资产进行保管、维护和运行并自解除日由实施机构承担此期间保管、维护和运行的合理成本和项目公司的合理收益。实施机构在支付补偿时，有权将项目公司应当根据特许经营协议承担的违约责任金额从应支付的补偿中进行扣除。</w:t>
      </w:r>
    </w:p>
    <w:p w14:paraId="3C55F521">
      <w:pPr>
        <w:snapToGrid w:val="0"/>
        <w:spacing w:line="360" w:lineRule="auto"/>
        <w:ind w:firstLine="480" w:firstLineChars="200"/>
        <w:jc w:val="left"/>
        <w:rPr>
          <w:rFonts w:ascii="宋体" w:hAnsi="宋体" w:cs="宋体"/>
          <w:sz w:val="24"/>
          <w:szCs w:val="28"/>
        </w:rPr>
      </w:pPr>
      <w:bookmarkStart w:id="268" w:name="_Toc23881"/>
      <w:bookmarkStart w:id="269" w:name="_Toc14252"/>
      <w:bookmarkStart w:id="270" w:name="_Toc17501"/>
      <w:bookmarkStart w:id="271" w:name="_Toc6005"/>
      <w:bookmarkStart w:id="272" w:name="_Toc31880"/>
      <w:bookmarkStart w:id="273" w:name="_Toc3291"/>
      <w:bookmarkStart w:id="274" w:name="_Toc28339"/>
      <w:bookmarkStart w:id="275" w:name="_Toc405146887"/>
      <w:bookmarkStart w:id="276" w:name="_Toc21047"/>
      <w:r>
        <w:rPr>
          <w:rFonts w:hint="eastAsia" w:ascii="宋体" w:hAnsi="宋体" w:cs="宋体"/>
          <w:sz w:val="24"/>
          <w:szCs w:val="28"/>
        </w:rPr>
        <w:t>（3）</w:t>
      </w:r>
      <w:r>
        <w:rPr>
          <w:rFonts w:ascii="宋体" w:hAnsi="宋体" w:cs="宋体"/>
          <w:sz w:val="24"/>
          <w:szCs w:val="28"/>
        </w:rPr>
        <w:t>协议解除后的财务安排</w:t>
      </w:r>
      <w:bookmarkEnd w:id="268"/>
      <w:bookmarkEnd w:id="269"/>
      <w:bookmarkEnd w:id="270"/>
      <w:bookmarkEnd w:id="271"/>
      <w:bookmarkEnd w:id="272"/>
      <w:bookmarkEnd w:id="273"/>
      <w:bookmarkEnd w:id="274"/>
      <w:bookmarkEnd w:id="275"/>
      <w:bookmarkEnd w:id="276"/>
    </w:p>
    <w:p w14:paraId="1B88D4E3">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1）</w:t>
      </w:r>
      <w:r>
        <w:rPr>
          <w:rFonts w:ascii="宋体" w:hAnsi="宋体" w:cs="宋体"/>
          <w:sz w:val="24"/>
          <w:szCs w:val="28"/>
        </w:rPr>
        <w:t>实施机构违约导致的终止</w:t>
      </w:r>
    </w:p>
    <w:p w14:paraId="54C2469F">
      <w:pPr>
        <w:snapToGrid w:val="0"/>
        <w:spacing w:line="360" w:lineRule="auto"/>
        <w:ind w:firstLine="480" w:firstLineChars="200"/>
        <w:jc w:val="left"/>
        <w:rPr>
          <w:rFonts w:ascii="宋体" w:hAnsi="宋体" w:cs="宋体"/>
          <w:sz w:val="24"/>
          <w:szCs w:val="28"/>
        </w:rPr>
      </w:pPr>
      <w:r>
        <w:rPr>
          <w:rFonts w:ascii="宋体" w:hAnsi="宋体" w:cs="宋体"/>
          <w:sz w:val="24"/>
          <w:szCs w:val="28"/>
        </w:rPr>
        <w:t>如果项目公司因特许经营协议规定的实施机构违约事件终止特许经营协议，则项目公司有权要求将项目运营移交至实施机构或其指定的执行机构，且实施机构届时有义务接收项目运营。如发生此种情形，实施机构或其指定的执行机构应向项目公司支付补偿金额依据特许经营协议的特许经营协议解除约定执行。</w:t>
      </w:r>
    </w:p>
    <w:p w14:paraId="2AC319D4">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2）</w:t>
      </w:r>
      <w:r>
        <w:rPr>
          <w:rFonts w:ascii="宋体" w:hAnsi="宋体" w:cs="宋体"/>
          <w:sz w:val="24"/>
          <w:szCs w:val="28"/>
        </w:rPr>
        <w:t>项目公司违约导致的终止</w:t>
      </w:r>
    </w:p>
    <w:p w14:paraId="4FA3C46D">
      <w:pPr>
        <w:snapToGrid w:val="0"/>
        <w:spacing w:line="360" w:lineRule="auto"/>
        <w:ind w:firstLine="480" w:firstLineChars="200"/>
        <w:jc w:val="left"/>
        <w:rPr>
          <w:rFonts w:ascii="宋体" w:hAnsi="宋体" w:cs="宋体"/>
          <w:sz w:val="24"/>
          <w:szCs w:val="28"/>
        </w:rPr>
      </w:pPr>
      <w:r>
        <w:rPr>
          <w:rFonts w:ascii="宋体" w:hAnsi="宋体" w:cs="宋体"/>
          <w:sz w:val="24"/>
          <w:szCs w:val="28"/>
        </w:rPr>
        <w:t>如果实施机构因项目公司的其他违约事件而终止特许经营协议，则实施机构或其指定的执行机构应获得项目公司对项目的所有权利、所有权和利益，但实施机构或其指定的执行机构向项目公司支付的补偿金额按照特许经营协议中的提前解除协议情形执行。</w:t>
      </w:r>
    </w:p>
    <w:p w14:paraId="19AF3410">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3）</w:t>
      </w:r>
      <w:r>
        <w:rPr>
          <w:rFonts w:ascii="宋体" w:hAnsi="宋体" w:cs="宋体"/>
          <w:sz w:val="24"/>
          <w:szCs w:val="28"/>
        </w:rPr>
        <w:t>因不可抗力导致的终止</w:t>
      </w:r>
    </w:p>
    <w:p w14:paraId="0E836DE3">
      <w:pPr>
        <w:snapToGrid w:val="0"/>
        <w:spacing w:line="360" w:lineRule="auto"/>
        <w:ind w:firstLine="480" w:firstLineChars="200"/>
        <w:jc w:val="left"/>
        <w:rPr>
          <w:rFonts w:ascii="宋体" w:hAnsi="宋体" w:cs="宋体"/>
          <w:sz w:val="24"/>
          <w:szCs w:val="28"/>
        </w:rPr>
      </w:pPr>
      <w:r>
        <w:rPr>
          <w:rFonts w:ascii="宋体" w:hAnsi="宋体" w:cs="宋体"/>
          <w:sz w:val="24"/>
          <w:szCs w:val="28"/>
        </w:rPr>
        <w:t>如果出现不可抗力事件之后，任何一方选择终止特许经营协议，则实施机构应向项目公司支付的补偿金额依据特许经营协议中的提前解除协议情形执行。实施机构支付上述金额前，项目公司有权但无义务向实施机构或其指定的执行机构移交项目。</w:t>
      </w:r>
    </w:p>
    <w:p w14:paraId="71640E05">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4）</w:t>
      </w:r>
      <w:r>
        <w:rPr>
          <w:rFonts w:ascii="宋体" w:hAnsi="宋体" w:cs="宋体"/>
          <w:sz w:val="24"/>
          <w:szCs w:val="28"/>
        </w:rPr>
        <w:t>其他事件导致的终止</w:t>
      </w:r>
    </w:p>
    <w:p w14:paraId="54012256">
      <w:pPr>
        <w:snapToGrid w:val="0"/>
        <w:spacing w:line="360" w:lineRule="auto"/>
        <w:ind w:firstLine="480" w:firstLineChars="200"/>
        <w:jc w:val="left"/>
        <w:rPr>
          <w:rFonts w:ascii="宋体" w:hAnsi="宋体" w:cs="宋体"/>
          <w:sz w:val="24"/>
          <w:szCs w:val="28"/>
        </w:rPr>
      </w:pPr>
      <w:r>
        <w:rPr>
          <w:rFonts w:ascii="宋体" w:hAnsi="宋体" w:cs="宋体"/>
          <w:sz w:val="24"/>
          <w:szCs w:val="28"/>
        </w:rPr>
        <w:t>如果因违约事件导致特许经营协议终止，实施机构应向项目公司支付的补偿金额依据特许经营协议的特许经营协议解除约定执行，项目公司向实施机构或其指定的执行机构移交项目。</w:t>
      </w:r>
    </w:p>
    <w:p w14:paraId="0A9FAAE5">
      <w:pPr>
        <w:snapToGrid w:val="0"/>
        <w:spacing w:line="360" w:lineRule="auto"/>
        <w:ind w:firstLine="480" w:firstLineChars="200"/>
        <w:jc w:val="left"/>
        <w:rPr>
          <w:rFonts w:ascii="宋体" w:hAnsi="宋体" w:cs="宋体"/>
          <w:sz w:val="24"/>
          <w:szCs w:val="28"/>
        </w:rPr>
      </w:pPr>
      <w:bookmarkStart w:id="277" w:name="_Toc100461260"/>
      <w:r>
        <w:rPr>
          <w:rFonts w:hint="eastAsia" w:ascii="宋体" w:hAnsi="宋体" w:cs="宋体"/>
          <w:sz w:val="24"/>
          <w:szCs w:val="28"/>
        </w:rPr>
        <w:t>5）</w:t>
      </w:r>
      <w:r>
        <w:rPr>
          <w:rFonts w:ascii="宋体" w:hAnsi="宋体" w:cs="宋体"/>
          <w:sz w:val="24"/>
          <w:szCs w:val="28"/>
        </w:rPr>
        <w:t>保险赔款的使用</w:t>
      </w:r>
      <w:bookmarkEnd w:id="277"/>
    </w:p>
    <w:p w14:paraId="2219452C">
      <w:pPr>
        <w:snapToGrid w:val="0"/>
        <w:spacing w:line="360" w:lineRule="auto"/>
        <w:ind w:firstLine="480" w:firstLineChars="200"/>
        <w:jc w:val="left"/>
        <w:rPr>
          <w:rFonts w:ascii="宋体" w:hAnsi="宋体" w:cs="宋体"/>
          <w:sz w:val="24"/>
          <w:szCs w:val="28"/>
        </w:rPr>
      </w:pPr>
      <w:r>
        <w:rPr>
          <w:rFonts w:ascii="宋体" w:hAnsi="宋体" w:cs="宋体"/>
          <w:sz w:val="24"/>
          <w:szCs w:val="28"/>
        </w:rPr>
        <w:t>无论何时，由于不可抗力致使特许经营协议终止，项目公司有权根据保险合同得到项目保险的保单项下的付款，如果该保险赔款不被用于项目的恢复或修理，则除非法律、行政法规另有规定，项目公司应将该保险赔款优先按照下述顺序进行使用：</w:t>
      </w:r>
    </w:p>
    <w:p w14:paraId="0C467B75">
      <w:pPr>
        <w:snapToGrid w:val="0"/>
        <w:spacing w:line="360" w:lineRule="auto"/>
        <w:ind w:firstLine="480" w:firstLineChars="200"/>
        <w:jc w:val="left"/>
        <w:rPr>
          <w:rFonts w:ascii="宋体" w:hAnsi="宋体" w:cs="宋体"/>
          <w:sz w:val="24"/>
          <w:szCs w:val="28"/>
        </w:rPr>
      </w:pPr>
      <w:r>
        <w:rPr>
          <w:rFonts w:ascii="宋体" w:hAnsi="宋体" w:cs="宋体"/>
          <w:sz w:val="24"/>
          <w:szCs w:val="28"/>
        </w:rPr>
        <w:t>①支付员工工资；</w:t>
      </w:r>
    </w:p>
    <w:p w14:paraId="7E0356EA">
      <w:pPr>
        <w:snapToGrid w:val="0"/>
        <w:spacing w:line="360" w:lineRule="auto"/>
        <w:ind w:firstLine="480" w:firstLineChars="200"/>
        <w:jc w:val="left"/>
        <w:rPr>
          <w:rFonts w:ascii="宋体" w:hAnsi="宋体" w:cs="宋体"/>
          <w:sz w:val="24"/>
          <w:szCs w:val="28"/>
        </w:rPr>
      </w:pPr>
      <w:r>
        <w:rPr>
          <w:rFonts w:ascii="宋体" w:hAnsi="宋体" w:cs="宋体"/>
          <w:sz w:val="24"/>
          <w:szCs w:val="28"/>
        </w:rPr>
        <w:t>②偿还项目公司欠付的非其关联方的合同款项；</w:t>
      </w:r>
    </w:p>
    <w:p w14:paraId="06B02265">
      <w:pPr>
        <w:snapToGrid w:val="0"/>
        <w:spacing w:line="360" w:lineRule="auto"/>
        <w:ind w:firstLine="480" w:firstLineChars="200"/>
        <w:jc w:val="left"/>
        <w:rPr>
          <w:rFonts w:ascii="宋体" w:hAnsi="宋体" w:cs="宋体"/>
          <w:sz w:val="24"/>
          <w:szCs w:val="28"/>
        </w:rPr>
      </w:pPr>
      <w:r>
        <w:rPr>
          <w:rFonts w:ascii="宋体" w:hAnsi="宋体" w:cs="宋体"/>
          <w:sz w:val="24"/>
          <w:szCs w:val="28"/>
        </w:rPr>
        <w:t>③偿还银行贷款；</w:t>
      </w:r>
    </w:p>
    <w:p w14:paraId="276375DE">
      <w:pPr>
        <w:snapToGrid w:val="0"/>
        <w:spacing w:line="360" w:lineRule="auto"/>
        <w:ind w:firstLine="480" w:firstLineChars="200"/>
        <w:jc w:val="left"/>
        <w:rPr>
          <w:rFonts w:ascii="宋体" w:hAnsi="宋体" w:cs="宋体"/>
          <w:sz w:val="24"/>
          <w:szCs w:val="28"/>
        </w:rPr>
      </w:pPr>
      <w:r>
        <w:rPr>
          <w:rFonts w:ascii="宋体" w:hAnsi="宋体" w:cs="宋体"/>
          <w:sz w:val="24"/>
          <w:szCs w:val="28"/>
        </w:rPr>
        <w:t>④减少根据特许经营协议补偿表应由实施机构向项目公司支付的补偿。</w:t>
      </w:r>
    </w:p>
    <w:p w14:paraId="44B892CC">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6）</w:t>
      </w:r>
      <w:r>
        <w:rPr>
          <w:rFonts w:ascii="宋体" w:hAnsi="宋体" w:cs="宋体"/>
          <w:sz w:val="24"/>
          <w:szCs w:val="28"/>
        </w:rPr>
        <w:t>补偿金额和补偿表</w:t>
      </w:r>
    </w:p>
    <w:p w14:paraId="15F50D64">
      <w:pPr>
        <w:snapToGrid w:val="0"/>
        <w:spacing w:line="360" w:lineRule="auto"/>
        <w:ind w:firstLine="480" w:firstLineChars="200"/>
        <w:jc w:val="left"/>
        <w:rPr>
          <w:rFonts w:ascii="宋体" w:hAnsi="宋体" w:cs="宋体"/>
          <w:sz w:val="24"/>
          <w:szCs w:val="28"/>
        </w:rPr>
      </w:pPr>
      <w:r>
        <w:rPr>
          <w:rFonts w:ascii="宋体" w:hAnsi="宋体" w:cs="宋体"/>
          <w:sz w:val="24"/>
          <w:szCs w:val="28"/>
        </w:rPr>
        <w:t>若特许经营协议提前终止，除非协议另有约定，则甲、乙双方按以下补偿机制对被补偿者进行补偿：</w:t>
      </w:r>
    </w:p>
    <w:p w14:paraId="3079702E">
      <w:pPr>
        <w:snapToGrid w:val="0"/>
        <w:spacing w:line="360" w:lineRule="auto"/>
        <w:ind w:firstLine="480" w:firstLineChars="200"/>
        <w:jc w:val="left"/>
        <w:rPr>
          <w:rFonts w:ascii="宋体" w:hAnsi="宋体" w:cs="宋体"/>
          <w:sz w:val="24"/>
          <w:szCs w:val="28"/>
        </w:rPr>
      </w:pPr>
      <w:r>
        <w:rPr>
          <w:rFonts w:ascii="宋体" w:hAnsi="宋体" w:cs="宋体"/>
          <w:sz w:val="24"/>
          <w:szCs w:val="28"/>
        </w:rPr>
        <w:t>补偿表中，字母A、A’、B、C、D、E、X和Y用于表示在不同情况下特许经营协议提前解除时，作为应付的终止补偿总额中的不同组成部分。这些字母代表下列金额：</w:t>
      </w:r>
    </w:p>
    <w:tbl>
      <w:tblPr>
        <w:tblStyle w:val="71"/>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6"/>
        <w:gridCol w:w="7403"/>
      </w:tblGrid>
      <w:tr w14:paraId="4600F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522" w:type="pct"/>
            <w:tcBorders>
              <w:tl2br w:val="nil"/>
              <w:tr2bl w:val="nil"/>
            </w:tcBorders>
            <w:vAlign w:val="center"/>
          </w:tcPr>
          <w:p w14:paraId="65EF7048">
            <w:pPr>
              <w:snapToGrid w:val="0"/>
              <w:spacing w:line="360" w:lineRule="auto"/>
              <w:ind w:firstLine="480" w:firstLineChars="200"/>
              <w:jc w:val="left"/>
              <w:rPr>
                <w:rFonts w:ascii="宋体" w:hAnsi="宋体" w:cs="宋体"/>
                <w:sz w:val="24"/>
                <w:szCs w:val="28"/>
              </w:rPr>
            </w:pPr>
            <w:r>
              <w:rPr>
                <w:rFonts w:ascii="宋体" w:hAnsi="宋体" w:cs="宋体"/>
                <w:sz w:val="24"/>
                <w:szCs w:val="28"/>
              </w:rPr>
              <w:t>A=</w:t>
            </w:r>
          </w:p>
        </w:tc>
        <w:tc>
          <w:tcPr>
            <w:tcW w:w="4477" w:type="pct"/>
            <w:tcBorders>
              <w:tl2br w:val="nil"/>
              <w:tr2bl w:val="nil"/>
            </w:tcBorders>
            <w:vAlign w:val="center"/>
          </w:tcPr>
          <w:p w14:paraId="064509D0">
            <w:pPr>
              <w:snapToGrid w:val="0"/>
              <w:spacing w:line="360" w:lineRule="auto"/>
              <w:ind w:firstLine="480" w:firstLineChars="200"/>
              <w:jc w:val="left"/>
              <w:rPr>
                <w:rFonts w:ascii="宋体" w:hAnsi="宋体" w:cs="宋体"/>
                <w:sz w:val="24"/>
                <w:szCs w:val="28"/>
              </w:rPr>
            </w:pPr>
            <w:r>
              <w:rPr>
                <w:rFonts w:ascii="宋体" w:hAnsi="宋体" w:cs="宋体"/>
                <w:sz w:val="24"/>
                <w:szCs w:val="28"/>
              </w:rPr>
              <w:t>融资文件项下应支付贷款人的未偿债余额，其中包括按融资文件规定，基于项目审批、核准、备案文件和适用法律的规定确定的投资总额与资本金差额内所有未支付的融资本金加累计的利息，以及在特许经营协议终止之日，应支付贷款人提前还款的罚款、收费、中介费、成本与费用。</w:t>
            </w:r>
          </w:p>
        </w:tc>
      </w:tr>
      <w:tr w14:paraId="4CB15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522" w:type="pct"/>
            <w:tcBorders>
              <w:tl2br w:val="nil"/>
              <w:tr2bl w:val="nil"/>
            </w:tcBorders>
            <w:vAlign w:val="center"/>
          </w:tcPr>
          <w:p w14:paraId="1075E7B7">
            <w:pPr>
              <w:snapToGrid w:val="0"/>
              <w:spacing w:line="360" w:lineRule="auto"/>
              <w:ind w:firstLine="480" w:firstLineChars="200"/>
              <w:jc w:val="left"/>
              <w:rPr>
                <w:rFonts w:ascii="宋体" w:hAnsi="宋体" w:cs="宋体"/>
                <w:sz w:val="24"/>
                <w:szCs w:val="28"/>
              </w:rPr>
            </w:pPr>
            <w:r>
              <w:rPr>
                <w:rFonts w:ascii="宋体" w:hAnsi="宋体" w:cs="宋体"/>
                <w:sz w:val="24"/>
                <w:szCs w:val="28"/>
              </w:rPr>
              <w:t>A’=</w:t>
            </w:r>
          </w:p>
        </w:tc>
        <w:tc>
          <w:tcPr>
            <w:tcW w:w="4477" w:type="pct"/>
            <w:tcBorders>
              <w:tl2br w:val="nil"/>
              <w:tr2bl w:val="nil"/>
            </w:tcBorders>
            <w:vAlign w:val="center"/>
          </w:tcPr>
          <w:p w14:paraId="090F601B">
            <w:pPr>
              <w:snapToGrid w:val="0"/>
              <w:spacing w:line="360" w:lineRule="auto"/>
              <w:ind w:firstLine="480" w:firstLineChars="200"/>
              <w:jc w:val="left"/>
              <w:rPr>
                <w:rFonts w:ascii="宋体" w:hAnsi="宋体" w:cs="宋体"/>
                <w:sz w:val="24"/>
                <w:szCs w:val="28"/>
              </w:rPr>
            </w:pPr>
            <w:r>
              <w:rPr>
                <w:rFonts w:ascii="宋体" w:hAnsi="宋体" w:cs="宋体"/>
                <w:sz w:val="24"/>
                <w:szCs w:val="28"/>
              </w:rPr>
              <w:t>按融资文件规定，基于项目审批、核准、备案文件和适用法律的规定确定的投资总额与资本金差额内所有未付的融资本金对应的特许经营协议被解除后期间的利息，以及在特许经营协议终止之日，项目公司应支付贷款人的提前还款的罚款、收费、中介费、成本与费用。</w:t>
            </w:r>
          </w:p>
        </w:tc>
      </w:tr>
      <w:tr w14:paraId="07DE8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522" w:type="pct"/>
            <w:tcBorders>
              <w:tl2br w:val="nil"/>
              <w:tr2bl w:val="nil"/>
            </w:tcBorders>
            <w:vAlign w:val="center"/>
          </w:tcPr>
          <w:p w14:paraId="5391C7E4">
            <w:pPr>
              <w:snapToGrid w:val="0"/>
              <w:spacing w:line="360" w:lineRule="auto"/>
              <w:ind w:firstLine="480" w:firstLineChars="200"/>
              <w:jc w:val="left"/>
              <w:rPr>
                <w:rFonts w:ascii="宋体" w:hAnsi="宋体" w:cs="宋体"/>
                <w:sz w:val="24"/>
                <w:szCs w:val="28"/>
              </w:rPr>
            </w:pPr>
            <w:r>
              <w:rPr>
                <w:rFonts w:ascii="宋体" w:hAnsi="宋体" w:cs="宋体"/>
                <w:sz w:val="24"/>
                <w:szCs w:val="28"/>
              </w:rPr>
              <w:t>B=</w:t>
            </w:r>
          </w:p>
        </w:tc>
        <w:tc>
          <w:tcPr>
            <w:tcW w:w="4477" w:type="pct"/>
            <w:tcBorders>
              <w:tl2br w:val="nil"/>
              <w:tr2bl w:val="nil"/>
            </w:tcBorders>
            <w:vAlign w:val="center"/>
          </w:tcPr>
          <w:p w14:paraId="0E5C62A8">
            <w:pPr>
              <w:snapToGrid w:val="0"/>
              <w:spacing w:line="360" w:lineRule="auto"/>
              <w:ind w:firstLine="480" w:firstLineChars="200"/>
              <w:jc w:val="left"/>
              <w:rPr>
                <w:rFonts w:ascii="宋体" w:hAnsi="宋体" w:cs="宋体"/>
                <w:sz w:val="24"/>
                <w:szCs w:val="28"/>
              </w:rPr>
            </w:pPr>
            <w:r>
              <w:rPr>
                <w:rFonts w:ascii="宋体" w:hAnsi="宋体" w:cs="宋体"/>
                <w:sz w:val="24"/>
                <w:szCs w:val="28"/>
              </w:rPr>
              <w:t>项目公司股东的原始股本投资额加上在终止日项目公司股东的存留收益。</w:t>
            </w:r>
          </w:p>
        </w:tc>
      </w:tr>
      <w:tr w14:paraId="66404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522" w:type="pct"/>
            <w:tcBorders>
              <w:tl2br w:val="nil"/>
              <w:tr2bl w:val="nil"/>
            </w:tcBorders>
            <w:vAlign w:val="center"/>
          </w:tcPr>
          <w:p w14:paraId="135934FD">
            <w:pPr>
              <w:snapToGrid w:val="0"/>
              <w:spacing w:line="360" w:lineRule="auto"/>
              <w:ind w:firstLine="480" w:firstLineChars="200"/>
              <w:jc w:val="left"/>
              <w:rPr>
                <w:rFonts w:ascii="宋体" w:hAnsi="宋体" w:cs="宋体"/>
                <w:sz w:val="24"/>
                <w:szCs w:val="28"/>
              </w:rPr>
            </w:pPr>
            <w:r>
              <w:rPr>
                <w:rFonts w:ascii="宋体" w:hAnsi="宋体" w:cs="宋体"/>
                <w:sz w:val="24"/>
                <w:szCs w:val="28"/>
              </w:rPr>
              <w:t>C=</w:t>
            </w:r>
          </w:p>
        </w:tc>
        <w:tc>
          <w:tcPr>
            <w:tcW w:w="4477" w:type="pct"/>
            <w:tcBorders>
              <w:tl2br w:val="nil"/>
              <w:tr2bl w:val="nil"/>
            </w:tcBorders>
            <w:vAlign w:val="center"/>
          </w:tcPr>
          <w:p w14:paraId="7BB3CD11">
            <w:pPr>
              <w:snapToGrid w:val="0"/>
              <w:spacing w:line="360" w:lineRule="auto"/>
              <w:ind w:firstLine="480" w:firstLineChars="200"/>
              <w:jc w:val="left"/>
              <w:rPr>
                <w:rFonts w:ascii="宋体" w:hAnsi="宋体" w:cs="宋体"/>
                <w:sz w:val="24"/>
                <w:szCs w:val="28"/>
              </w:rPr>
            </w:pPr>
            <w:r>
              <w:rPr>
                <w:rFonts w:ascii="宋体" w:hAnsi="宋体" w:cs="宋体"/>
                <w:sz w:val="24"/>
                <w:szCs w:val="28"/>
              </w:rPr>
              <w:t>项目公司股东为不可抗力事件的补救而对项目公司追加投入的资金，加上此前项目公司股东经过实施机构同意而对项目公司的增资。</w:t>
            </w:r>
          </w:p>
        </w:tc>
      </w:tr>
      <w:tr w14:paraId="78457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522" w:type="pct"/>
            <w:tcBorders>
              <w:tl2br w:val="nil"/>
              <w:tr2bl w:val="nil"/>
            </w:tcBorders>
            <w:vAlign w:val="center"/>
          </w:tcPr>
          <w:p w14:paraId="24FCC3E2">
            <w:pPr>
              <w:snapToGrid w:val="0"/>
              <w:spacing w:line="360" w:lineRule="auto"/>
              <w:ind w:firstLine="480" w:firstLineChars="200"/>
              <w:jc w:val="left"/>
              <w:rPr>
                <w:rFonts w:ascii="宋体" w:hAnsi="宋体" w:cs="宋体"/>
                <w:sz w:val="24"/>
                <w:szCs w:val="28"/>
              </w:rPr>
            </w:pPr>
            <w:r>
              <w:rPr>
                <w:rFonts w:ascii="宋体" w:hAnsi="宋体" w:cs="宋体"/>
                <w:sz w:val="24"/>
                <w:szCs w:val="28"/>
              </w:rPr>
              <w:t>D=</w:t>
            </w:r>
          </w:p>
        </w:tc>
        <w:tc>
          <w:tcPr>
            <w:tcW w:w="4477" w:type="pct"/>
            <w:tcBorders>
              <w:tl2br w:val="nil"/>
              <w:tr2bl w:val="nil"/>
            </w:tcBorders>
            <w:vAlign w:val="center"/>
          </w:tcPr>
          <w:p w14:paraId="489CD700">
            <w:pPr>
              <w:snapToGrid w:val="0"/>
              <w:spacing w:line="360" w:lineRule="auto"/>
              <w:ind w:firstLine="480" w:firstLineChars="200"/>
              <w:jc w:val="left"/>
              <w:rPr>
                <w:rFonts w:ascii="宋体" w:hAnsi="宋体" w:cs="宋体"/>
                <w:sz w:val="24"/>
                <w:szCs w:val="28"/>
              </w:rPr>
            </w:pPr>
            <w:r>
              <w:rPr>
                <w:rFonts w:ascii="宋体" w:hAnsi="宋体" w:cs="宋体"/>
                <w:sz w:val="24"/>
                <w:szCs w:val="28"/>
              </w:rPr>
              <w:t>在下述两个时期中较短的一个时期内：1．【3】年；2．原定特许经营期限中剩余期限（该原定期限可能由于一项不可抗力事件而被延长）“净预期利润”的现值。折现率【4】％。</w:t>
            </w:r>
          </w:p>
        </w:tc>
      </w:tr>
      <w:tr w14:paraId="61924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522" w:type="pct"/>
            <w:tcBorders>
              <w:tl2br w:val="nil"/>
              <w:tr2bl w:val="nil"/>
            </w:tcBorders>
            <w:vAlign w:val="center"/>
          </w:tcPr>
          <w:p w14:paraId="001CA1FE">
            <w:pPr>
              <w:snapToGrid w:val="0"/>
              <w:spacing w:line="360" w:lineRule="auto"/>
              <w:ind w:firstLine="480" w:firstLineChars="200"/>
              <w:jc w:val="left"/>
              <w:rPr>
                <w:rFonts w:ascii="宋体" w:hAnsi="宋体" w:cs="宋体"/>
                <w:sz w:val="24"/>
                <w:szCs w:val="28"/>
              </w:rPr>
            </w:pPr>
            <w:r>
              <w:rPr>
                <w:rFonts w:ascii="宋体" w:hAnsi="宋体" w:cs="宋体"/>
                <w:sz w:val="24"/>
                <w:szCs w:val="28"/>
              </w:rPr>
              <w:t>E=</w:t>
            </w:r>
          </w:p>
        </w:tc>
        <w:tc>
          <w:tcPr>
            <w:tcW w:w="4477" w:type="pct"/>
            <w:tcBorders>
              <w:tl2br w:val="nil"/>
              <w:tr2bl w:val="nil"/>
            </w:tcBorders>
            <w:vAlign w:val="center"/>
          </w:tcPr>
          <w:p w14:paraId="1B23E067">
            <w:pPr>
              <w:snapToGrid w:val="0"/>
              <w:spacing w:line="360" w:lineRule="auto"/>
              <w:ind w:firstLine="480" w:firstLineChars="200"/>
              <w:jc w:val="left"/>
              <w:rPr>
                <w:rFonts w:ascii="宋体" w:hAnsi="宋体" w:cs="宋体"/>
                <w:sz w:val="24"/>
                <w:szCs w:val="28"/>
              </w:rPr>
            </w:pPr>
            <w:r>
              <w:rPr>
                <w:rFonts w:ascii="宋体" w:hAnsi="宋体" w:cs="宋体"/>
                <w:sz w:val="24"/>
                <w:szCs w:val="28"/>
              </w:rPr>
              <w:t>项目公司向实施机构或其指定机构移交的零部件、备品备件和化学品的成本值。</w:t>
            </w:r>
          </w:p>
        </w:tc>
      </w:tr>
      <w:tr w14:paraId="3C2C6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522" w:type="pct"/>
            <w:tcBorders>
              <w:tl2br w:val="nil"/>
              <w:tr2bl w:val="nil"/>
            </w:tcBorders>
            <w:vAlign w:val="center"/>
          </w:tcPr>
          <w:p w14:paraId="18F6CAE5">
            <w:pPr>
              <w:snapToGrid w:val="0"/>
              <w:spacing w:line="360" w:lineRule="auto"/>
              <w:ind w:firstLine="480" w:firstLineChars="200"/>
              <w:jc w:val="left"/>
              <w:rPr>
                <w:rFonts w:ascii="宋体" w:hAnsi="宋体" w:cs="宋体"/>
                <w:sz w:val="24"/>
                <w:szCs w:val="28"/>
              </w:rPr>
            </w:pPr>
            <w:r>
              <w:rPr>
                <w:rFonts w:ascii="宋体" w:hAnsi="宋体" w:cs="宋体"/>
                <w:sz w:val="24"/>
                <w:szCs w:val="28"/>
              </w:rPr>
              <w:t>X=</w:t>
            </w:r>
          </w:p>
        </w:tc>
        <w:tc>
          <w:tcPr>
            <w:tcW w:w="4477" w:type="pct"/>
            <w:tcBorders>
              <w:tl2br w:val="nil"/>
              <w:tr2bl w:val="nil"/>
            </w:tcBorders>
            <w:vAlign w:val="center"/>
          </w:tcPr>
          <w:p w14:paraId="5AC2F4AD">
            <w:pPr>
              <w:snapToGrid w:val="0"/>
              <w:spacing w:line="360" w:lineRule="auto"/>
              <w:ind w:firstLine="480" w:firstLineChars="200"/>
              <w:jc w:val="left"/>
              <w:rPr>
                <w:rFonts w:ascii="宋体" w:hAnsi="宋体" w:cs="宋体"/>
                <w:sz w:val="24"/>
                <w:szCs w:val="28"/>
              </w:rPr>
            </w:pPr>
            <w:r>
              <w:rPr>
                <w:rFonts w:ascii="宋体" w:hAnsi="宋体" w:cs="宋体"/>
                <w:sz w:val="24"/>
                <w:szCs w:val="28"/>
              </w:rPr>
              <w:t>其他协议双方认为需要增加的科目。</w:t>
            </w:r>
          </w:p>
        </w:tc>
      </w:tr>
      <w:tr w14:paraId="4D456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522" w:type="pct"/>
            <w:tcBorders>
              <w:tl2br w:val="nil"/>
              <w:tr2bl w:val="nil"/>
            </w:tcBorders>
            <w:vAlign w:val="center"/>
          </w:tcPr>
          <w:p w14:paraId="0562F989">
            <w:pPr>
              <w:snapToGrid w:val="0"/>
              <w:spacing w:line="360" w:lineRule="auto"/>
              <w:ind w:firstLine="480" w:firstLineChars="200"/>
              <w:jc w:val="left"/>
              <w:rPr>
                <w:rFonts w:ascii="宋体" w:hAnsi="宋体" w:cs="宋体"/>
                <w:sz w:val="24"/>
                <w:szCs w:val="28"/>
              </w:rPr>
            </w:pPr>
            <w:r>
              <w:rPr>
                <w:rFonts w:ascii="宋体" w:hAnsi="宋体" w:cs="宋体"/>
                <w:sz w:val="24"/>
                <w:szCs w:val="28"/>
              </w:rPr>
              <w:t>Y=</w:t>
            </w:r>
          </w:p>
        </w:tc>
        <w:tc>
          <w:tcPr>
            <w:tcW w:w="4477" w:type="pct"/>
            <w:tcBorders>
              <w:tl2br w:val="nil"/>
              <w:tr2bl w:val="nil"/>
            </w:tcBorders>
            <w:vAlign w:val="center"/>
          </w:tcPr>
          <w:p w14:paraId="07C7725D">
            <w:pPr>
              <w:snapToGrid w:val="0"/>
              <w:spacing w:line="360" w:lineRule="auto"/>
              <w:ind w:firstLine="480" w:firstLineChars="200"/>
              <w:jc w:val="left"/>
              <w:rPr>
                <w:rFonts w:ascii="宋体" w:hAnsi="宋体" w:cs="宋体"/>
                <w:sz w:val="24"/>
                <w:szCs w:val="28"/>
              </w:rPr>
            </w:pPr>
            <w:r>
              <w:rPr>
                <w:rFonts w:ascii="宋体" w:hAnsi="宋体" w:cs="宋体"/>
                <w:sz w:val="24"/>
                <w:szCs w:val="28"/>
              </w:rPr>
              <w:t>其他协议双方认为需要扣减的科目。</w:t>
            </w:r>
          </w:p>
        </w:tc>
      </w:tr>
    </w:tbl>
    <w:p w14:paraId="2E9D5EDA">
      <w:pPr>
        <w:snapToGrid w:val="0"/>
        <w:spacing w:line="360" w:lineRule="auto"/>
        <w:ind w:firstLine="480" w:firstLineChars="200"/>
        <w:jc w:val="left"/>
        <w:rPr>
          <w:rFonts w:ascii="宋体" w:hAnsi="宋体" w:cs="宋体"/>
          <w:sz w:val="24"/>
          <w:szCs w:val="28"/>
        </w:rPr>
      </w:pPr>
      <w:r>
        <w:rPr>
          <w:rFonts w:ascii="宋体" w:hAnsi="宋体" w:cs="宋体"/>
          <w:sz w:val="24"/>
          <w:szCs w:val="28"/>
        </w:rPr>
        <w:t>“R1”表示特许经营期剩余期限（分子）与特许经营期（分母）之比。</w:t>
      </w:r>
    </w:p>
    <w:p w14:paraId="7BFACCB1">
      <w:pPr>
        <w:snapToGrid w:val="0"/>
        <w:spacing w:line="360" w:lineRule="auto"/>
        <w:ind w:firstLine="480" w:firstLineChars="200"/>
        <w:jc w:val="left"/>
        <w:rPr>
          <w:rFonts w:ascii="宋体" w:hAnsi="宋体" w:cs="宋体"/>
          <w:sz w:val="24"/>
          <w:szCs w:val="28"/>
        </w:rPr>
      </w:pPr>
      <w:r>
        <w:rPr>
          <w:rFonts w:ascii="宋体" w:hAnsi="宋体" w:cs="宋体"/>
          <w:sz w:val="24"/>
          <w:szCs w:val="28"/>
        </w:rPr>
        <w:t>“R2”表示剩余特许经营期期限（分子）与在补救工作完成之后的特许经营期剩余期限（分母）之比。</w:t>
      </w:r>
    </w:p>
    <w:p w14:paraId="63A57FFA">
      <w:pPr>
        <w:snapToGrid w:val="0"/>
        <w:spacing w:line="360" w:lineRule="auto"/>
        <w:ind w:firstLine="480" w:firstLineChars="200"/>
        <w:jc w:val="left"/>
        <w:rPr>
          <w:rFonts w:ascii="宋体" w:hAnsi="宋体" w:cs="宋体"/>
          <w:sz w:val="24"/>
          <w:szCs w:val="28"/>
        </w:rPr>
      </w:pPr>
      <w:r>
        <w:rPr>
          <w:rFonts w:ascii="宋体" w:hAnsi="宋体" w:cs="宋体"/>
          <w:sz w:val="24"/>
          <w:szCs w:val="28"/>
        </w:rPr>
        <w:t>每项补偿因素的计算须由各方共同选定的一家具有相应资质且信誉良好的独立第三方机构进行审核。若有争议，则适用争议解决条款。</w:t>
      </w:r>
    </w:p>
    <w:p w14:paraId="1A34FCC4">
      <w:pPr>
        <w:snapToGrid w:val="0"/>
        <w:spacing w:line="360" w:lineRule="auto"/>
        <w:jc w:val="center"/>
        <w:rPr>
          <w:rFonts w:ascii="宋体" w:hAnsi="宋体" w:cs="宋体"/>
          <w:sz w:val="24"/>
          <w:szCs w:val="28"/>
        </w:rPr>
      </w:pPr>
      <w:r>
        <w:rPr>
          <w:rFonts w:ascii="宋体" w:hAnsi="宋体" w:cs="宋体"/>
          <w:sz w:val="24"/>
          <w:szCs w:val="28"/>
        </w:rPr>
        <w:t>协议解除终止补偿表</w:t>
      </w:r>
    </w:p>
    <w:tbl>
      <w:tblPr>
        <w:tblStyle w:val="71"/>
        <w:tblW w:w="0" w:type="auto"/>
        <w:jc w:val="center"/>
        <w:tblLayout w:type="autofit"/>
        <w:tblCellMar>
          <w:top w:w="0" w:type="dxa"/>
          <w:left w:w="108" w:type="dxa"/>
          <w:bottom w:w="0" w:type="dxa"/>
          <w:right w:w="108" w:type="dxa"/>
        </w:tblCellMar>
      </w:tblPr>
      <w:tblGrid>
        <w:gridCol w:w="4455"/>
        <w:gridCol w:w="4067"/>
      </w:tblGrid>
      <w:tr w14:paraId="0197E74E">
        <w:tblPrEx>
          <w:tblCellMar>
            <w:top w:w="0" w:type="dxa"/>
            <w:left w:w="108" w:type="dxa"/>
            <w:bottom w:w="0" w:type="dxa"/>
            <w:right w:w="108" w:type="dxa"/>
          </w:tblCellMar>
        </w:tblPrEx>
        <w:trPr>
          <w:trHeight w:val="397" w:hRule="atLeast"/>
          <w:tblHeader/>
          <w:jc w:val="center"/>
        </w:trPr>
        <w:tc>
          <w:tcPr>
            <w:tcW w:w="4455" w:type="dxa"/>
            <w:tcBorders>
              <w:top w:val="single" w:color="auto" w:sz="6" w:space="0"/>
              <w:left w:val="single" w:color="auto" w:sz="6" w:space="0"/>
              <w:bottom w:val="single" w:color="auto" w:sz="6" w:space="0"/>
              <w:right w:val="single" w:color="auto" w:sz="6" w:space="0"/>
            </w:tcBorders>
            <w:vAlign w:val="center"/>
          </w:tcPr>
          <w:p w14:paraId="3B1A8233">
            <w:pPr>
              <w:snapToGrid w:val="0"/>
              <w:spacing w:line="360" w:lineRule="auto"/>
              <w:ind w:firstLine="480" w:firstLineChars="200"/>
              <w:jc w:val="left"/>
              <w:rPr>
                <w:rFonts w:ascii="宋体" w:hAnsi="宋体" w:cs="宋体"/>
                <w:sz w:val="24"/>
                <w:szCs w:val="28"/>
              </w:rPr>
            </w:pPr>
            <w:r>
              <w:rPr>
                <w:rFonts w:ascii="宋体" w:hAnsi="宋体" w:cs="宋体"/>
                <w:sz w:val="24"/>
                <w:szCs w:val="28"/>
              </w:rPr>
              <w:t>协议解除情形</w:t>
            </w:r>
          </w:p>
        </w:tc>
        <w:tc>
          <w:tcPr>
            <w:tcW w:w="4067" w:type="dxa"/>
            <w:tcBorders>
              <w:top w:val="single" w:color="auto" w:sz="6" w:space="0"/>
              <w:left w:val="single" w:color="auto" w:sz="6" w:space="0"/>
              <w:bottom w:val="single" w:color="auto" w:sz="6" w:space="0"/>
              <w:right w:val="single" w:color="auto" w:sz="6" w:space="0"/>
            </w:tcBorders>
            <w:vAlign w:val="center"/>
          </w:tcPr>
          <w:p w14:paraId="7E4E42C5">
            <w:pPr>
              <w:snapToGrid w:val="0"/>
              <w:spacing w:line="360" w:lineRule="auto"/>
              <w:ind w:firstLine="480" w:firstLineChars="200"/>
              <w:jc w:val="left"/>
              <w:rPr>
                <w:rFonts w:ascii="宋体" w:hAnsi="宋体" w:cs="宋体"/>
                <w:sz w:val="24"/>
                <w:szCs w:val="28"/>
              </w:rPr>
            </w:pPr>
            <w:r>
              <w:rPr>
                <w:rFonts w:ascii="宋体" w:hAnsi="宋体" w:cs="宋体"/>
                <w:sz w:val="24"/>
                <w:szCs w:val="28"/>
              </w:rPr>
              <w:t>政府应付补偿金额计算</w:t>
            </w:r>
          </w:p>
        </w:tc>
      </w:tr>
      <w:tr w14:paraId="5F667A4D">
        <w:tblPrEx>
          <w:tblCellMar>
            <w:top w:w="0" w:type="dxa"/>
            <w:left w:w="108" w:type="dxa"/>
            <w:bottom w:w="0" w:type="dxa"/>
            <w:right w:w="108" w:type="dxa"/>
          </w:tblCellMar>
        </w:tblPrEx>
        <w:trPr>
          <w:trHeight w:val="397" w:hRule="atLeast"/>
          <w:jc w:val="center"/>
        </w:trPr>
        <w:tc>
          <w:tcPr>
            <w:tcW w:w="4455" w:type="dxa"/>
            <w:tcBorders>
              <w:top w:val="single" w:color="auto" w:sz="6" w:space="0"/>
              <w:left w:val="single" w:color="auto" w:sz="6" w:space="0"/>
              <w:bottom w:val="single" w:color="auto" w:sz="6" w:space="0"/>
              <w:right w:val="single" w:color="auto" w:sz="6" w:space="0"/>
            </w:tcBorders>
            <w:vAlign w:val="center"/>
          </w:tcPr>
          <w:p w14:paraId="63DFFF74">
            <w:pPr>
              <w:snapToGrid w:val="0"/>
              <w:spacing w:line="360" w:lineRule="auto"/>
              <w:ind w:firstLine="480" w:firstLineChars="200"/>
              <w:jc w:val="left"/>
              <w:rPr>
                <w:rFonts w:ascii="宋体" w:hAnsi="宋体" w:cs="宋体"/>
                <w:sz w:val="24"/>
                <w:szCs w:val="28"/>
              </w:rPr>
            </w:pPr>
            <w:r>
              <w:rPr>
                <w:rFonts w:ascii="宋体" w:hAnsi="宋体" w:cs="宋体"/>
                <w:sz w:val="24"/>
                <w:szCs w:val="28"/>
              </w:rPr>
              <w:t>因项目公司违约事件导致协议终止</w:t>
            </w:r>
          </w:p>
        </w:tc>
        <w:tc>
          <w:tcPr>
            <w:tcW w:w="4067" w:type="dxa"/>
            <w:tcBorders>
              <w:top w:val="single" w:color="auto" w:sz="6" w:space="0"/>
              <w:left w:val="single" w:color="auto" w:sz="6" w:space="0"/>
              <w:bottom w:val="single" w:color="auto" w:sz="6" w:space="0"/>
              <w:right w:val="single" w:color="auto" w:sz="6" w:space="0"/>
            </w:tcBorders>
            <w:vAlign w:val="center"/>
          </w:tcPr>
          <w:p w14:paraId="6AEF9741">
            <w:pPr>
              <w:snapToGrid w:val="0"/>
              <w:spacing w:line="360" w:lineRule="auto"/>
              <w:ind w:firstLine="480" w:firstLineChars="200"/>
              <w:jc w:val="left"/>
              <w:rPr>
                <w:rFonts w:ascii="宋体" w:hAnsi="宋体" w:cs="宋体"/>
                <w:sz w:val="24"/>
                <w:szCs w:val="28"/>
              </w:rPr>
            </w:pPr>
            <w:r>
              <w:rPr>
                <w:rFonts w:ascii="宋体" w:hAnsi="宋体" w:cs="宋体"/>
                <w:sz w:val="24"/>
                <w:szCs w:val="28"/>
              </w:rPr>
              <w:t>A-A’+E+X+Y</w:t>
            </w:r>
          </w:p>
        </w:tc>
      </w:tr>
      <w:tr w14:paraId="6C6FB3D1">
        <w:tblPrEx>
          <w:tblCellMar>
            <w:top w:w="0" w:type="dxa"/>
            <w:left w:w="108" w:type="dxa"/>
            <w:bottom w:w="0" w:type="dxa"/>
            <w:right w:w="108" w:type="dxa"/>
          </w:tblCellMar>
        </w:tblPrEx>
        <w:trPr>
          <w:trHeight w:val="397" w:hRule="atLeast"/>
          <w:jc w:val="center"/>
        </w:trPr>
        <w:tc>
          <w:tcPr>
            <w:tcW w:w="4455" w:type="dxa"/>
            <w:tcBorders>
              <w:top w:val="single" w:color="auto" w:sz="6" w:space="0"/>
              <w:left w:val="single" w:color="auto" w:sz="6" w:space="0"/>
              <w:bottom w:val="single" w:color="auto" w:sz="6" w:space="0"/>
              <w:right w:val="single" w:color="auto" w:sz="6" w:space="0"/>
            </w:tcBorders>
            <w:vAlign w:val="center"/>
          </w:tcPr>
          <w:p w14:paraId="0353261B">
            <w:pPr>
              <w:snapToGrid w:val="0"/>
              <w:spacing w:line="360" w:lineRule="auto"/>
              <w:ind w:firstLine="480" w:firstLineChars="200"/>
              <w:jc w:val="left"/>
              <w:rPr>
                <w:rFonts w:ascii="宋体" w:hAnsi="宋体" w:cs="宋体"/>
                <w:sz w:val="24"/>
                <w:szCs w:val="28"/>
              </w:rPr>
            </w:pPr>
            <w:r>
              <w:rPr>
                <w:rFonts w:ascii="宋体" w:hAnsi="宋体" w:cs="宋体"/>
                <w:sz w:val="24"/>
                <w:szCs w:val="28"/>
              </w:rPr>
              <w:t>实施机构违约事件协议终止</w:t>
            </w:r>
          </w:p>
        </w:tc>
        <w:tc>
          <w:tcPr>
            <w:tcW w:w="4067" w:type="dxa"/>
            <w:tcBorders>
              <w:top w:val="single" w:color="auto" w:sz="6" w:space="0"/>
              <w:left w:val="single" w:color="auto" w:sz="6" w:space="0"/>
              <w:bottom w:val="single" w:color="auto" w:sz="6" w:space="0"/>
              <w:right w:val="single" w:color="auto" w:sz="6" w:space="0"/>
            </w:tcBorders>
            <w:vAlign w:val="center"/>
          </w:tcPr>
          <w:p w14:paraId="651C3F7D">
            <w:pPr>
              <w:snapToGrid w:val="0"/>
              <w:spacing w:line="360" w:lineRule="auto"/>
              <w:ind w:firstLine="480" w:firstLineChars="200"/>
              <w:jc w:val="left"/>
              <w:rPr>
                <w:rFonts w:ascii="宋体" w:hAnsi="宋体" w:cs="宋体"/>
                <w:sz w:val="24"/>
                <w:szCs w:val="28"/>
              </w:rPr>
            </w:pPr>
            <w:r>
              <w:rPr>
                <w:rFonts w:ascii="宋体" w:hAnsi="宋体" w:cs="宋体"/>
                <w:sz w:val="24"/>
                <w:szCs w:val="28"/>
              </w:rPr>
              <w:t>A+B+C+D+E+X+Y</w:t>
            </w:r>
          </w:p>
        </w:tc>
      </w:tr>
      <w:tr w14:paraId="60885D90">
        <w:tblPrEx>
          <w:tblCellMar>
            <w:top w:w="0" w:type="dxa"/>
            <w:left w:w="108" w:type="dxa"/>
            <w:bottom w:w="0" w:type="dxa"/>
            <w:right w:w="108" w:type="dxa"/>
          </w:tblCellMar>
        </w:tblPrEx>
        <w:trPr>
          <w:trHeight w:val="397" w:hRule="atLeast"/>
          <w:jc w:val="center"/>
        </w:trPr>
        <w:tc>
          <w:tcPr>
            <w:tcW w:w="4455" w:type="dxa"/>
            <w:tcBorders>
              <w:top w:val="single" w:color="auto" w:sz="6" w:space="0"/>
              <w:left w:val="single" w:color="auto" w:sz="6" w:space="0"/>
              <w:bottom w:val="single" w:color="auto" w:sz="6" w:space="0"/>
              <w:right w:val="single" w:color="auto" w:sz="6" w:space="0"/>
            </w:tcBorders>
            <w:vAlign w:val="center"/>
          </w:tcPr>
          <w:p w14:paraId="48993577">
            <w:pPr>
              <w:snapToGrid w:val="0"/>
              <w:spacing w:line="360" w:lineRule="auto"/>
              <w:ind w:firstLine="480" w:firstLineChars="200"/>
              <w:jc w:val="left"/>
              <w:rPr>
                <w:rFonts w:ascii="宋体" w:hAnsi="宋体" w:cs="宋体"/>
                <w:sz w:val="24"/>
                <w:szCs w:val="28"/>
              </w:rPr>
            </w:pPr>
            <w:r>
              <w:rPr>
                <w:rFonts w:ascii="宋体" w:hAnsi="宋体" w:cs="宋体"/>
                <w:sz w:val="24"/>
                <w:szCs w:val="28"/>
              </w:rPr>
              <w:t>不可抗力导致协议终止</w:t>
            </w:r>
          </w:p>
        </w:tc>
        <w:tc>
          <w:tcPr>
            <w:tcW w:w="4067" w:type="dxa"/>
            <w:tcBorders>
              <w:top w:val="single" w:color="auto" w:sz="6" w:space="0"/>
              <w:left w:val="single" w:color="auto" w:sz="6" w:space="0"/>
              <w:bottom w:val="single" w:color="auto" w:sz="6" w:space="0"/>
              <w:right w:val="single" w:color="auto" w:sz="6" w:space="0"/>
            </w:tcBorders>
            <w:vAlign w:val="center"/>
          </w:tcPr>
          <w:p w14:paraId="6385F268">
            <w:pPr>
              <w:snapToGrid w:val="0"/>
              <w:spacing w:line="360" w:lineRule="auto"/>
              <w:ind w:firstLine="480" w:firstLineChars="200"/>
              <w:jc w:val="left"/>
              <w:rPr>
                <w:rFonts w:ascii="宋体" w:hAnsi="宋体" w:cs="宋体"/>
                <w:sz w:val="24"/>
                <w:szCs w:val="28"/>
              </w:rPr>
            </w:pPr>
            <w:r>
              <w:rPr>
                <w:rFonts w:ascii="宋体" w:hAnsi="宋体" w:cs="宋体"/>
                <w:sz w:val="24"/>
                <w:szCs w:val="28"/>
              </w:rPr>
              <w:t>A+（B×R1）+（C×R2）+E+X+Y</w:t>
            </w:r>
          </w:p>
        </w:tc>
      </w:tr>
      <w:tr w14:paraId="0E5EF68E">
        <w:tblPrEx>
          <w:tblCellMar>
            <w:top w:w="0" w:type="dxa"/>
            <w:left w:w="108" w:type="dxa"/>
            <w:bottom w:w="0" w:type="dxa"/>
            <w:right w:w="108" w:type="dxa"/>
          </w:tblCellMar>
        </w:tblPrEx>
        <w:trPr>
          <w:trHeight w:val="397" w:hRule="atLeast"/>
          <w:jc w:val="center"/>
        </w:trPr>
        <w:tc>
          <w:tcPr>
            <w:tcW w:w="4455" w:type="dxa"/>
            <w:tcBorders>
              <w:top w:val="single" w:color="auto" w:sz="6" w:space="0"/>
              <w:left w:val="single" w:color="auto" w:sz="6" w:space="0"/>
              <w:bottom w:val="single" w:color="auto" w:sz="6" w:space="0"/>
              <w:right w:val="single" w:color="auto" w:sz="6" w:space="0"/>
            </w:tcBorders>
            <w:vAlign w:val="center"/>
          </w:tcPr>
          <w:p w14:paraId="3E9C96E8">
            <w:pPr>
              <w:snapToGrid w:val="0"/>
              <w:spacing w:line="360" w:lineRule="auto"/>
              <w:ind w:firstLine="480" w:firstLineChars="200"/>
              <w:jc w:val="left"/>
              <w:rPr>
                <w:rFonts w:ascii="宋体" w:hAnsi="宋体" w:cs="宋体"/>
                <w:sz w:val="24"/>
                <w:szCs w:val="28"/>
              </w:rPr>
            </w:pPr>
            <w:r>
              <w:rPr>
                <w:rFonts w:ascii="宋体" w:hAnsi="宋体" w:cs="宋体"/>
                <w:sz w:val="24"/>
                <w:szCs w:val="28"/>
              </w:rPr>
              <w:t>不可抗力事件发生后因乙方过错不能修复项目导致协议终止</w:t>
            </w:r>
          </w:p>
        </w:tc>
        <w:tc>
          <w:tcPr>
            <w:tcW w:w="4067" w:type="dxa"/>
            <w:tcBorders>
              <w:top w:val="single" w:color="auto" w:sz="6" w:space="0"/>
              <w:left w:val="single" w:color="auto" w:sz="6" w:space="0"/>
              <w:bottom w:val="single" w:color="auto" w:sz="6" w:space="0"/>
              <w:right w:val="single" w:color="auto" w:sz="6" w:space="0"/>
            </w:tcBorders>
            <w:vAlign w:val="center"/>
          </w:tcPr>
          <w:p w14:paraId="45B061CC">
            <w:pPr>
              <w:snapToGrid w:val="0"/>
              <w:spacing w:line="360" w:lineRule="auto"/>
              <w:ind w:firstLine="480" w:firstLineChars="200"/>
              <w:jc w:val="left"/>
              <w:rPr>
                <w:rFonts w:ascii="宋体" w:hAnsi="宋体" w:cs="宋体"/>
                <w:sz w:val="24"/>
                <w:szCs w:val="28"/>
              </w:rPr>
            </w:pPr>
            <w:r>
              <w:rPr>
                <w:rFonts w:ascii="宋体" w:hAnsi="宋体" w:cs="宋体"/>
                <w:sz w:val="24"/>
                <w:szCs w:val="28"/>
              </w:rPr>
              <w:t>A-A’+（B×Rl）+（C×R2）+E+X+Y</w:t>
            </w:r>
          </w:p>
        </w:tc>
      </w:tr>
      <w:tr w14:paraId="60D61EA6">
        <w:tblPrEx>
          <w:tblCellMar>
            <w:top w:w="0" w:type="dxa"/>
            <w:left w:w="108" w:type="dxa"/>
            <w:bottom w:w="0" w:type="dxa"/>
            <w:right w:w="108" w:type="dxa"/>
          </w:tblCellMar>
        </w:tblPrEx>
        <w:trPr>
          <w:trHeight w:val="397" w:hRule="atLeast"/>
          <w:jc w:val="center"/>
        </w:trPr>
        <w:tc>
          <w:tcPr>
            <w:tcW w:w="4455" w:type="dxa"/>
            <w:tcBorders>
              <w:top w:val="single" w:color="auto" w:sz="6" w:space="0"/>
              <w:left w:val="single" w:color="auto" w:sz="6" w:space="0"/>
              <w:bottom w:val="single" w:color="auto" w:sz="6" w:space="0"/>
              <w:right w:val="single" w:color="auto" w:sz="6" w:space="0"/>
            </w:tcBorders>
            <w:vAlign w:val="center"/>
          </w:tcPr>
          <w:p w14:paraId="6AB0DEDD">
            <w:pPr>
              <w:snapToGrid w:val="0"/>
              <w:spacing w:line="360" w:lineRule="auto"/>
              <w:ind w:firstLine="480" w:firstLineChars="200"/>
              <w:jc w:val="left"/>
              <w:rPr>
                <w:rFonts w:ascii="宋体" w:hAnsi="宋体" w:cs="宋体"/>
                <w:sz w:val="24"/>
                <w:szCs w:val="28"/>
              </w:rPr>
            </w:pPr>
            <w:r>
              <w:rPr>
                <w:rFonts w:ascii="宋体" w:hAnsi="宋体" w:cs="宋体"/>
                <w:sz w:val="24"/>
                <w:szCs w:val="28"/>
              </w:rPr>
              <w:t>特定的法律变更事件导致协议终止</w:t>
            </w:r>
          </w:p>
        </w:tc>
        <w:tc>
          <w:tcPr>
            <w:tcW w:w="4067" w:type="dxa"/>
            <w:tcBorders>
              <w:top w:val="single" w:color="auto" w:sz="6" w:space="0"/>
              <w:left w:val="single" w:color="auto" w:sz="6" w:space="0"/>
              <w:bottom w:val="single" w:color="auto" w:sz="6" w:space="0"/>
              <w:right w:val="single" w:color="auto" w:sz="6" w:space="0"/>
            </w:tcBorders>
            <w:vAlign w:val="center"/>
          </w:tcPr>
          <w:p w14:paraId="3A910CCB">
            <w:pPr>
              <w:snapToGrid w:val="0"/>
              <w:spacing w:line="360" w:lineRule="auto"/>
              <w:ind w:firstLine="480" w:firstLineChars="200"/>
              <w:jc w:val="left"/>
              <w:rPr>
                <w:rFonts w:ascii="宋体" w:hAnsi="宋体" w:cs="宋体"/>
                <w:sz w:val="24"/>
                <w:szCs w:val="28"/>
              </w:rPr>
            </w:pPr>
            <w:r>
              <w:rPr>
                <w:rFonts w:ascii="宋体" w:hAnsi="宋体" w:cs="宋体"/>
                <w:sz w:val="24"/>
                <w:szCs w:val="28"/>
              </w:rPr>
              <w:t>A+B+C+D+E+X+Y</w:t>
            </w:r>
          </w:p>
        </w:tc>
      </w:tr>
      <w:tr w14:paraId="5585D7DF">
        <w:tblPrEx>
          <w:tblCellMar>
            <w:top w:w="0" w:type="dxa"/>
            <w:left w:w="108" w:type="dxa"/>
            <w:bottom w:w="0" w:type="dxa"/>
            <w:right w:w="108" w:type="dxa"/>
          </w:tblCellMar>
        </w:tblPrEx>
        <w:trPr>
          <w:trHeight w:val="397" w:hRule="atLeast"/>
          <w:jc w:val="center"/>
        </w:trPr>
        <w:tc>
          <w:tcPr>
            <w:tcW w:w="4455" w:type="dxa"/>
            <w:tcBorders>
              <w:top w:val="single" w:color="auto" w:sz="6" w:space="0"/>
              <w:left w:val="single" w:color="auto" w:sz="6" w:space="0"/>
              <w:bottom w:val="single" w:color="auto" w:sz="6" w:space="0"/>
              <w:right w:val="single" w:color="auto" w:sz="6" w:space="0"/>
            </w:tcBorders>
            <w:vAlign w:val="center"/>
          </w:tcPr>
          <w:p w14:paraId="3B7EE4FC">
            <w:pPr>
              <w:snapToGrid w:val="0"/>
              <w:spacing w:line="360" w:lineRule="auto"/>
              <w:ind w:firstLine="480" w:firstLineChars="200"/>
              <w:jc w:val="left"/>
              <w:rPr>
                <w:rFonts w:ascii="宋体" w:hAnsi="宋体" w:cs="宋体"/>
                <w:sz w:val="24"/>
                <w:szCs w:val="28"/>
              </w:rPr>
            </w:pPr>
            <w:r>
              <w:rPr>
                <w:rFonts w:ascii="宋体" w:hAnsi="宋体" w:cs="宋体"/>
                <w:sz w:val="24"/>
                <w:szCs w:val="28"/>
              </w:rPr>
              <w:t>一般的法律变更事件导致协议终止</w:t>
            </w:r>
          </w:p>
        </w:tc>
        <w:tc>
          <w:tcPr>
            <w:tcW w:w="4067" w:type="dxa"/>
            <w:tcBorders>
              <w:top w:val="single" w:color="auto" w:sz="6" w:space="0"/>
              <w:left w:val="single" w:color="auto" w:sz="6" w:space="0"/>
              <w:bottom w:val="single" w:color="auto" w:sz="6" w:space="0"/>
              <w:right w:val="single" w:color="auto" w:sz="6" w:space="0"/>
            </w:tcBorders>
            <w:vAlign w:val="center"/>
          </w:tcPr>
          <w:p w14:paraId="6C965C48">
            <w:pPr>
              <w:snapToGrid w:val="0"/>
              <w:spacing w:line="360" w:lineRule="auto"/>
              <w:ind w:firstLine="480" w:firstLineChars="200"/>
              <w:jc w:val="left"/>
              <w:rPr>
                <w:rFonts w:ascii="宋体" w:hAnsi="宋体" w:cs="宋体"/>
                <w:sz w:val="24"/>
                <w:szCs w:val="28"/>
              </w:rPr>
            </w:pPr>
            <w:r>
              <w:rPr>
                <w:rFonts w:ascii="宋体" w:hAnsi="宋体" w:cs="宋体"/>
                <w:sz w:val="24"/>
                <w:szCs w:val="28"/>
              </w:rPr>
              <w:t>A+（B×R1）+（C×R2）+D×【4】%+E+X+Y</w:t>
            </w:r>
          </w:p>
        </w:tc>
      </w:tr>
    </w:tbl>
    <w:p w14:paraId="127722EC">
      <w:pPr>
        <w:snapToGrid w:val="0"/>
        <w:spacing w:line="360" w:lineRule="auto"/>
        <w:ind w:firstLine="480" w:firstLineChars="200"/>
        <w:jc w:val="left"/>
        <w:rPr>
          <w:rFonts w:ascii="宋体" w:hAnsi="宋体" w:cs="宋体"/>
          <w:sz w:val="24"/>
          <w:szCs w:val="28"/>
        </w:rPr>
      </w:pPr>
      <w:bookmarkStart w:id="278" w:name="_Toc23616"/>
      <w:bookmarkStart w:id="279" w:name="_Toc993969812"/>
      <w:bookmarkStart w:id="280" w:name="_Toc10504"/>
      <w:bookmarkStart w:id="281" w:name="_Toc22389"/>
      <w:bookmarkStart w:id="282" w:name="_Toc28826"/>
      <w:bookmarkStart w:id="283" w:name="_Toc31229"/>
      <w:r>
        <w:rPr>
          <w:rFonts w:ascii="宋体" w:hAnsi="宋体" w:cs="宋体"/>
          <w:sz w:val="24"/>
          <w:szCs w:val="28"/>
        </w:rPr>
        <w:t>协议解除终止补偿以最终签署的特许经营协议为准。</w:t>
      </w:r>
    </w:p>
    <w:bookmarkEnd w:id="235"/>
    <w:bookmarkEnd w:id="278"/>
    <w:bookmarkEnd w:id="279"/>
    <w:bookmarkEnd w:id="280"/>
    <w:bookmarkEnd w:id="281"/>
    <w:bookmarkEnd w:id="282"/>
    <w:bookmarkEnd w:id="283"/>
    <w:p w14:paraId="066126C4">
      <w:pPr>
        <w:snapToGrid w:val="0"/>
        <w:spacing w:line="360" w:lineRule="auto"/>
        <w:jc w:val="left"/>
        <w:rPr>
          <w:rFonts w:ascii="宋体" w:hAnsi="宋体" w:cs="宋体"/>
          <w:b/>
          <w:bCs/>
          <w:sz w:val="24"/>
          <w:szCs w:val="28"/>
        </w:rPr>
      </w:pPr>
      <w:bookmarkStart w:id="284" w:name="_Toc375340271"/>
      <w:bookmarkStart w:id="285" w:name="_Toc28102"/>
      <w:bookmarkStart w:id="286" w:name="_Toc26612"/>
      <w:bookmarkStart w:id="287" w:name="_Toc27507"/>
      <w:bookmarkStart w:id="288" w:name="_Toc11782"/>
      <w:bookmarkStart w:id="289" w:name="_Toc3082"/>
      <w:bookmarkStart w:id="290" w:name="_Toc21946"/>
      <w:bookmarkStart w:id="291" w:name="_Toc10074"/>
      <w:bookmarkStart w:id="292" w:name="_Toc4018"/>
      <w:bookmarkStart w:id="293" w:name="_Toc12876"/>
      <w:r>
        <w:rPr>
          <w:rFonts w:hint="eastAsia" w:ascii="宋体" w:hAnsi="宋体" w:cs="宋体"/>
          <w:b/>
          <w:bCs/>
          <w:sz w:val="24"/>
          <w:szCs w:val="28"/>
        </w:rPr>
        <w:t>24.</w:t>
      </w:r>
      <w:r>
        <w:rPr>
          <w:rFonts w:ascii="宋体" w:hAnsi="宋体" w:cs="宋体"/>
          <w:b/>
          <w:bCs/>
          <w:sz w:val="24"/>
          <w:szCs w:val="28"/>
        </w:rPr>
        <w:t>违约责任</w:t>
      </w:r>
      <w:bookmarkEnd w:id="284"/>
      <w:bookmarkEnd w:id="285"/>
      <w:bookmarkEnd w:id="286"/>
      <w:bookmarkEnd w:id="287"/>
      <w:bookmarkEnd w:id="288"/>
      <w:bookmarkEnd w:id="289"/>
      <w:bookmarkEnd w:id="290"/>
      <w:bookmarkEnd w:id="291"/>
      <w:bookmarkEnd w:id="292"/>
      <w:bookmarkEnd w:id="293"/>
    </w:p>
    <w:p w14:paraId="66CC1A71">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（1）</w:t>
      </w:r>
      <w:r>
        <w:rPr>
          <w:rFonts w:ascii="宋体" w:hAnsi="宋体" w:cs="宋体"/>
          <w:sz w:val="24"/>
          <w:szCs w:val="28"/>
        </w:rPr>
        <w:t>违约</w:t>
      </w:r>
    </w:p>
    <w:p w14:paraId="020F42C8">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1）</w:t>
      </w:r>
      <w:r>
        <w:rPr>
          <w:rFonts w:ascii="宋体" w:hAnsi="宋体" w:cs="宋体"/>
          <w:sz w:val="24"/>
          <w:szCs w:val="28"/>
        </w:rPr>
        <w:t>除非法律、行政法规另有规定或特许经营协议另有约定，任何一方不履行特许经营协议义务或履行特许经营协议义务不符合约定的，即构成违约并应承担违约责任，但履行特许经营协议不符合约定系由对方违约的结果自然造成或因对方违约而己方无法控制或无法避免地造成的除外。</w:t>
      </w:r>
    </w:p>
    <w:p w14:paraId="5138F818">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2）</w:t>
      </w:r>
      <w:r>
        <w:rPr>
          <w:rFonts w:ascii="宋体" w:hAnsi="宋体" w:cs="宋体"/>
          <w:sz w:val="24"/>
          <w:szCs w:val="28"/>
        </w:rPr>
        <w:t>特许经营协议任何一方出现违约情形的，守约方有权向违约方发出书面改正通知，要求违约方在收到通知后及时改正其违约行为，承担继续履行、采取补救措施或者赔偿损失等违约责任。</w:t>
      </w:r>
    </w:p>
    <w:p w14:paraId="656930A2">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（2）</w:t>
      </w:r>
      <w:r>
        <w:rPr>
          <w:rFonts w:ascii="宋体" w:hAnsi="宋体" w:cs="宋体"/>
          <w:sz w:val="24"/>
          <w:szCs w:val="28"/>
        </w:rPr>
        <w:t>违约责任</w:t>
      </w:r>
    </w:p>
    <w:p w14:paraId="1F127A10">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1）</w:t>
      </w:r>
      <w:r>
        <w:rPr>
          <w:rFonts w:ascii="宋体" w:hAnsi="宋体" w:cs="宋体"/>
          <w:sz w:val="24"/>
          <w:szCs w:val="28"/>
        </w:rPr>
        <w:t>实施机构的违约责任</w:t>
      </w:r>
    </w:p>
    <w:p w14:paraId="4DE1A236">
      <w:pPr>
        <w:snapToGrid w:val="0"/>
        <w:spacing w:line="360" w:lineRule="auto"/>
        <w:ind w:firstLine="480" w:firstLineChars="200"/>
        <w:jc w:val="left"/>
        <w:rPr>
          <w:rFonts w:ascii="宋体" w:hAnsi="宋体" w:cs="宋体"/>
          <w:sz w:val="24"/>
          <w:szCs w:val="28"/>
        </w:rPr>
      </w:pPr>
      <w:r>
        <w:rPr>
          <w:rFonts w:ascii="宋体" w:hAnsi="宋体" w:cs="宋体"/>
          <w:sz w:val="24"/>
          <w:szCs w:val="28"/>
        </w:rPr>
        <w:t>实施机构违约事项具体如下：</w:t>
      </w:r>
    </w:p>
    <w:p w14:paraId="14D6DDD6">
      <w:pPr>
        <w:snapToGrid w:val="0"/>
        <w:spacing w:line="360" w:lineRule="auto"/>
        <w:ind w:firstLine="480" w:firstLineChars="200"/>
        <w:jc w:val="left"/>
        <w:rPr>
          <w:rFonts w:ascii="宋体" w:hAnsi="宋体" w:cs="宋体"/>
          <w:sz w:val="24"/>
          <w:szCs w:val="28"/>
        </w:rPr>
      </w:pPr>
      <w:r>
        <w:rPr>
          <w:rFonts w:ascii="宋体" w:hAnsi="宋体" w:cs="宋体"/>
          <w:sz w:val="24"/>
          <w:szCs w:val="28"/>
        </w:rPr>
        <w:t>特许经营期内，未能保持项目公司从事本项目特许经营活动经营权和收益权的排他性，特许经营者有权单方解除协议，或要求赔付相应收益。</w:t>
      </w:r>
    </w:p>
    <w:p w14:paraId="667B2163">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2）</w:t>
      </w:r>
      <w:r>
        <w:rPr>
          <w:rFonts w:ascii="宋体" w:hAnsi="宋体" w:cs="宋体"/>
          <w:sz w:val="24"/>
          <w:szCs w:val="28"/>
        </w:rPr>
        <w:t>项目公司的违约责任</w:t>
      </w:r>
    </w:p>
    <w:p w14:paraId="28C2DC28">
      <w:pPr>
        <w:snapToGrid w:val="0"/>
        <w:spacing w:line="360" w:lineRule="auto"/>
        <w:ind w:firstLine="480" w:firstLineChars="200"/>
        <w:jc w:val="left"/>
        <w:rPr>
          <w:rFonts w:ascii="宋体" w:hAnsi="宋体" w:cs="宋体"/>
          <w:sz w:val="24"/>
          <w:szCs w:val="28"/>
        </w:rPr>
      </w:pPr>
      <w:r>
        <w:rPr>
          <w:rFonts w:ascii="宋体" w:hAnsi="宋体" w:cs="宋体"/>
          <w:sz w:val="24"/>
          <w:szCs w:val="28"/>
        </w:rPr>
        <w:t>项目公司违反下列条款的约定，且未能在实施机构通知的合理纠正期内纠正的，应当向实施机构支付相应的违约金，违约事项具体如下：</w:t>
      </w:r>
    </w:p>
    <w:p w14:paraId="02BB4480">
      <w:pPr>
        <w:snapToGrid w:val="0"/>
        <w:spacing w:line="360" w:lineRule="auto"/>
        <w:ind w:firstLine="480" w:firstLineChars="200"/>
        <w:jc w:val="left"/>
        <w:rPr>
          <w:rFonts w:ascii="宋体" w:hAnsi="宋体" w:cs="宋体"/>
          <w:sz w:val="24"/>
          <w:szCs w:val="28"/>
        </w:rPr>
      </w:pPr>
      <w:r>
        <w:rPr>
          <w:rFonts w:ascii="宋体" w:hAnsi="宋体" w:cs="宋体"/>
          <w:sz w:val="24"/>
          <w:szCs w:val="28"/>
        </w:rPr>
        <w:t>①项目资本金及其他融资资金不能按计划及时足额到位，若因政府方未能及时提供项目相关的融资要件，造成融资延迟，项目公司不承担违约责任。</w:t>
      </w:r>
    </w:p>
    <w:p w14:paraId="49A07B06">
      <w:pPr>
        <w:snapToGrid w:val="0"/>
        <w:spacing w:line="360" w:lineRule="auto"/>
        <w:ind w:firstLine="480" w:firstLineChars="200"/>
        <w:jc w:val="left"/>
        <w:rPr>
          <w:rFonts w:ascii="宋体" w:hAnsi="宋体" w:cs="宋体"/>
          <w:sz w:val="24"/>
          <w:szCs w:val="28"/>
        </w:rPr>
      </w:pPr>
      <w:r>
        <w:rPr>
          <w:rFonts w:ascii="宋体" w:hAnsi="宋体" w:cs="宋体"/>
          <w:sz w:val="24"/>
          <w:szCs w:val="28"/>
        </w:rPr>
        <w:t>②擅自转让特许经营权的，政府方有权单方解除协议并没收履约保证金</w:t>
      </w:r>
      <w:r>
        <w:rPr>
          <w:rFonts w:hint="eastAsia" w:ascii="宋体" w:hAnsi="宋体" w:cs="宋体"/>
          <w:sz w:val="24"/>
          <w:szCs w:val="28"/>
        </w:rPr>
        <w:t>；</w:t>
      </w:r>
    </w:p>
    <w:p w14:paraId="239A6EC4">
      <w:pPr>
        <w:snapToGrid w:val="0"/>
        <w:spacing w:line="360" w:lineRule="auto"/>
        <w:ind w:firstLine="480" w:firstLineChars="200"/>
        <w:jc w:val="left"/>
        <w:rPr>
          <w:rFonts w:ascii="宋体" w:hAnsi="宋体" w:cs="宋体"/>
          <w:sz w:val="24"/>
          <w:szCs w:val="28"/>
        </w:rPr>
      </w:pPr>
      <w:r>
        <w:rPr>
          <w:rFonts w:ascii="宋体" w:hAnsi="宋体" w:cs="宋体"/>
          <w:sz w:val="24"/>
          <w:szCs w:val="28"/>
        </w:rPr>
        <w:t>③项目公司未完全履行特许经营协议约定的期满移交义务；</w:t>
      </w:r>
    </w:p>
    <w:p w14:paraId="1245F0AF">
      <w:pPr>
        <w:snapToGrid w:val="0"/>
        <w:spacing w:line="360" w:lineRule="auto"/>
        <w:ind w:firstLine="480" w:firstLineChars="200"/>
        <w:jc w:val="left"/>
        <w:rPr>
          <w:rFonts w:ascii="宋体" w:hAnsi="宋体" w:cs="宋体"/>
          <w:sz w:val="24"/>
          <w:szCs w:val="28"/>
        </w:rPr>
      </w:pPr>
      <w:r>
        <w:rPr>
          <w:rFonts w:ascii="宋体" w:hAnsi="宋体" w:cs="宋体"/>
          <w:sz w:val="24"/>
          <w:szCs w:val="28"/>
        </w:rPr>
        <w:t>④项目公司未能根据规定提交履约保函或未能补充履约保函金额并保持有效；</w:t>
      </w:r>
    </w:p>
    <w:p w14:paraId="0307A882">
      <w:pPr>
        <w:snapToGrid w:val="0"/>
        <w:spacing w:line="360" w:lineRule="auto"/>
        <w:ind w:firstLine="480" w:firstLineChars="200"/>
        <w:jc w:val="left"/>
        <w:rPr>
          <w:rFonts w:ascii="宋体" w:hAnsi="宋体" w:cs="宋体"/>
          <w:sz w:val="24"/>
          <w:szCs w:val="28"/>
        </w:rPr>
      </w:pPr>
      <w:r>
        <w:rPr>
          <w:rFonts w:ascii="宋体" w:hAnsi="宋体" w:cs="宋体"/>
          <w:sz w:val="24"/>
          <w:szCs w:val="28"/>
        </w:rPr>
        <w:t>具体违约及违约责任以特许经营协议为准。</w:t>
      </w:r>
    </w:p>
    <w:p w14:paraId="24FC2F26">
      <w:pPr>
        <w:snapToGrid w:val="0"/>
        <w:spacing w:line="360" w:lineRule="auto"/>
        <w:jc w:val="left"/>
        <w:rPr>
          <w:rFonts w:ascii="宋体" w:hAnsi="宋体" w:cs="宋体"/>
          <w:b/>
          <w:bCs/>
          <w:sz w:val="24"/>
          <w:szCs w:val="28"/>
        </w:rPr>
      </w:pPr>
      <w:bookmarkStart w:id="294" w:name="_Toc22800"/>
      <w:bookmarkStart w:id="295" w:name="_Toc5548"/>
      <w:bookmarkStart w:id="296" w:name="_Toc28501"/>
      <w:bookmarkStart w:id="297" w:name="_Toc22187"/>
      <w:bookmarkStart w:id="298" w:name="_Toc1184463458"/>
      <w:bookmarkStart w:id="299" w:name="_Toc27156"/>
      <w:bookmarkStart w:id="300" w:name="_Toc13215"/>
      <w:bookmarkStart w:id="301" w:name="_Toc26241"/>
      <w:bookmarkStart w:id="302" w:name="_Toc2789"/>
      <w:bookmarkStart w:id="303" w:name="_Toc4083"/>
      <w:bookmarkStart w:id="304" w:name="_Toc25315"/>
      <w:bookmarkStart w:id="305" w:name="_Toc13123"/>
      <w:r>
        <w:rPr>
          <w:rFonts w:hint="eastAsia" w:ascii="宋体" w:hAnsi="宋体" w:cs="宋体"/>
          <w:b/>
          <w:bCs/>
          <w:sz w:val="24"/>
          <w:szCs w:val="28"/>
        </w:rPr>
        <w:t>25.</w:t>
      </w:r>
      <w:r>
        <w:rPr>
          <w:rFonts w:ascii="宋体" w:hAnsi="宋体" w:cs="宋体"/>
          <w:b/>
          <w:bCs/>
          <w:sz w:val="24"/>
          <w:szCs w:val="28"/>
        </w:rPr>
        <w:t>履约担保</w:t>
      </w:r>
      <w:bookmarkEnd w:id="294"/>
      <w:bookmarkEnd w:id="295"/>
      <w:bookmarkEnd w:id="296"/>
    </w:p>
    <w:p w14:paraId="06576BD6">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（1）</w:t>
      </w:r>
      <w:r>
        <w:rPr>
          <w:rFonts w:ascii="宋体" w:hAnsi="宋体" w:cs="宋体"/>
          <w:sz w:val="24"/>
          <w:szCs w:val="28"/>
        </w:rPr>
        <w:t>保险方案</w:t>
      </w:r>
    </w:p>
    <w:p w14:paraId="12BFE2B7">
      <w:pPr>
        <w:snapToGrid w:val="0"/>
        <w:spacing w:line="360" w:lineRule="auto"/>
        <w:ind w:firstLine="480" w:firstLineChars="200"/>
        <w:jc w:val="left"/>
        <w:rPr>
          <w:rFonts w:ascii="宋体" w:hAnsi="宋体" w:cs="宋体"/>
          <w:sz w:val="24"/>
          <w:szCs w:val="28"/>
        </w:rPr>
      </w:pPr>
      <w:r>
        <w:rPr>
          <w:rFonts w:ascii="宋体" w:hAnsi="宋体" w:cs="宋体"/>
          <w:sz w:val="24"/>
          <w:szCs w:val="28"/>
        </w:rPr>
        <w:t>合作期内可能遇到不可预期或不可控制的风险，项目协议中应对项目公司必须投保的险种进行明确规定，保护政府和社会投资人权益。制定保险计划时，应结合项目实际情况，综合考虑计划风险转移程度、项目公司保险费支付能力及保险方案特性。运营期间购买财产险、公众责任险等。属于法律强制性规定的险种，应按照规定购买；非法律强制性规定的险种，应根据项目实际情况购买。</w:t>
      </w:r>
    </w:p>
    <w:p w14:paraId="6674DBB3">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（2）</w:t>
      </w:r>
      <w:r>
        <w:rPr>
          <w:rFonts w:ascii="宋体" w:hAnsi="宋体" w:cs="宋体"/>
          <w:sz w:val="24"/>
          <w:szCs w:val="28"/>
        </w:rPr>
        <w:t>履约担保</w:t>
      </w:r>
    </w:p>
    <w:p w14:paraId="0144B361">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1）</w:t>
      </w:r>
      <w:r>
        <w:rPr>
          <w:rFonts w:ascii="宋体" w:hAnsi="宋体" w:cs="宋体"/>
          <w:sz w:val="24"/>
          <w:szCs w:val="28"/>
        </w:rPr>
        <w:t>保函金额及提交时效</w:t>
      </w:r>
    </w:p>
    <w:p w14:paraId="086E779D">
      <w:pPr>
        <w:snapToGrid w:val="0"/>
        <w:spacing w:line="360" w:lineRule="auto"/>
        <w:ind w:firstLine="480" w:firstLineChars="200"/>
        <w:jc w:val="left"/>
        <w:rPr>
          <w:rFonts w:ascii="宋体" w:hAnsi="宋体" w:cs="宋体"/>
          <w:sz w:val="24"/>
          <w:szCs w:val="28"/>
        </w:rPr>
      </w:pPr>
      <w:r>
        <w:rPr>
          <w:rFonts w:ascii="宋体" w:hAnsi="宋体" w:cs="宋体"/>
          <w:sz w:val="24"/>
          <w:szCs w:val="28"/>
        </w:rPr>
        <w:t>本项目运营期履约保函金额1000万元。项目公司应在项目进入运营日前向实施机构开具。</w:t>
      </w:r>
    </w:p>
    <w:p w14:paraId="2004C167">
      <w:pPr>
        <w:snapToGrid w:val="0"/>
        <w:spacing w:line="360" w:lineRule="auto"/>
        <w:ind w:firstLine="480" w:firstLineChars="200"/>
        <w:jc w:val="left"/>
        <w:rPr>
          <w:rFonts w:ascii="宋体" w:hAnsi="宋体" w:cs="宋体"/>
          <w:sz w:val="24"/>
          <w:szCs w:val="28"/>
        </w:rPr>
      </w:pPr>
      <w:r>
        <w:rPr>
          <w:rFonts w:ascii="宋体" w:hAnsi="宋体" w:cs="宋体"/>
          <w:sz w:val="24"/>
          <w:szCs w:val="28"/>
        </w:rPr>
        <w:t>履约保函被提取任意金额后，项目公司应在15个工作日内将履约担保金额恢复至原始金额。</w:t>
      </w:r>
    </w:p>
    <w:p w14:paraId="0DE8941B">
      <w:pPr>
        <w:snapToGrid w:val="0"/>
        <w:spacing w:line="360" w:lineRule="auto"/>
        <w:ind w:firstLine="480" w:firstLineChars="200"/>
        <w:jc w:val="left"/>
        <w:rPr>
          <w:rFonts w:ascii="宋体" w:hAnsi="宋体" w:cs="宋体"/>
          <w:sz w:val="24"/>
          <w:szCs w:val="28"/>
        </w:rPr>
      </w:pPr>
      <w:r>
        <w:rPr>
          <w:rFonts w:ascii="宋体" w:hAnsi="宋体" w:cs="宋体"/>
          <w:sz w:val="24"/>
          <w:szCs w:val="28"/>
        </w:rPr>
        <w:t>对于合作期届满时的项目移交，项目公司须按特许经营协议约定另行向实施机构提交保函金额为500万元的移交期履约保函。</w:t>
      </w:r>
    </w:p>
    <w:p w14:paraId="650A172F">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2）</w:t>
      </w:r>
      <w:r>
        <w:rPr>
          <w:rFonts w:ascii="宋体" w:hAnsi="宋体" w:cs="宋体"/>
          <w:sz w:val="24"/>
          <w:szCs w:val="28"/>
        </w:rPr>
        <w:t>开具机构要求</w:t>
      </w:r>
    </w:p>
    <w:p w14:paraId="33492299">
      <w:pPr>
        <w:snapToGrid w:val="0"/>
        <w:spacing w:line="360" w:lineRule="auto"/>
        <w:ind w:firstLine="480" w:firstLineChars="200"/>
        <w:jc w:val="left"/>
        <w:rPr>
          <w:rFonts w:ascii="宋体" w:hAnsi="宋体" w:cs="宋体"/>
          <w:sz w:val="24"/>
          <w:szCs w:val="28"/>
        </w:rPr>
      </w:pPr>
      <w:r>
        <w:rPr>
          <w:rFonts w:ascii="宋体" w:hAnsi="宋体" w:cs="宋体"/>
          <w:sz w:val="24"/>
          <w:szCs w:val="28"/>
        </w:rPr>
        <w:t>开具机构需为在中国境内依法设立的商业银行，且具备银行业监督管理部门颁发的金融许可证。</w:t>
      </w:r>
    </w:p>
    <w:p w14:paraId="3A5D085C">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3）</w:t>
      </w:r>
      <w:r>
        <w:rPr>
          <w:rFonts w:ascii="宋体" w:hAnsi="宋体" w:cs="宋体"/>
          <w:sz w:val="24"/>
          <w:szCs w:val="28"/>
        </w:rPr>
        <w:t>保函格式规范要求</w:t>
      </w:r>
    </w:p>
    <w:p w14:paraId="4253E8AD">
      <w:pPr>
        <w:snapToGrid w:val="0"/>
        <w:spacing w:line="360" w:lineRule="auto"/>
        <w:ind w:firstLine="480" w:firstLineChars="200"/>
        <w:jc w:val="left"/>
        <w:rPr>
          <w:rFonts w:ascii="宋体" w:hAnsi="宋体" w:cs="宋体"/>
          <w:sz w:val="24"/>
          <w:szCs w:val="28"/>
        </w:rPr>
      </w:pPr>
      <w:r>
        <w:rPr>
          <w:rFonts w:ascii="宋体" w:hAnsi="宋体" w:cs="宋体"/>
          <w:sz w:val="24"/>
          <w:szCs w:val="28"/>
        </w:rPr>
        <w:t>保函为中文格式，明确包含保函编号、受益人与申请人信息、保函金额、担保范围、有效期、赔付触发条件、索赔流程、失效情形等核心条款，具备不可撤销、不可转让属性，未经受益人沈丘县水利局书面同意，开具机构不得擅自修改条款或解除担保责任；格式需符合《最高人民法院关于审理独立保函纠纷案件若干问题的规定》及银行业协会相关行业规范。</w:t>
      </w:r>
    </w:p>
    <w:p w14:paraId="3D683568">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4）</w:t>
      </w:r>
      <w:r>
        <w:rPr>
          <w:rFonts w:ascii="宋体" w:hAnsi="宋体" w:cs="宋体"/>
          <w:sz w:val="24"/>
          <w:szCs w:val="28"/>
        </w:rPr>
        <w:t>保函兑付条件</w:t>
      </w:r>
    </w:p>
    <w:p w14:paraId="07B2E72E">
      <w:pPr>
        <w:snapToGrid w:val="0"/>
        <w:spacing w:line="360" w:lineRule="auto"/>
        <w:ind w:firstLine="480" w:firstLineChars="200"/>
        <w:jc w:val="left"/>
        <w:rPr>
          <w:rFonts w:ascii="宋体" w:hAnsi="宋体" w:cs="宋体"/>
          <w:sz w:val="24"/>
          <w:szCs w:val="28"/>
        </w:rPr>
      </w:pPr>
      <w:r>
        <w:rPr>
          <w:rFonts w:ascii="宋体" w:hAnsi="宋体" w:cs="宋体"/>
          <w:sz w:val="24"/>
          <w:szCs w:val="28"/>
        </w:rPr>
        <w:t>在项目公司出现运营评价不达标、未按时续开保函且无替代担保、保函金额被提取后未按期补足、违反特许经营协议约定等违约情形时，实施机构可按约定提取相应金额兑付。</w:t>
      </w:r>
    </w:p>
    <w:p w14:paraId="6BCC8AA6">
      <w:pPr>
        <w:snapToGrid w:val="0"/>
        <w:spacing w:line="360" w:lineRule="auto"/>
        <w:ind w:firstLine="480" w:firstLineChars="200"/>
        <w:jc w:val="left"/>
        <w:rPr>
          <w:rFonts w:ascii="宋体" w:hAnsi="宋体" w:cs="宋体"/>
          <w:sz w:val="24"/>
          <w:szCs w:val="28"/>
        </w:rPr>
      </w:pPr>
      <w:r>
        <w:rPr>
          <w:rFonts w:hint="eastAsia" w:ascii="宋体" w:hAnsi="宋体" w:cs="宋体"/>
          <w:sz w:val="24"/>
          <w:szCs w:val="28"/>
        </w:rPr>
        <w:t>5）</w:t>
      </w:r>
      <w:r>
        <w:rPr>
          <w:rFonts w:ascii="宋体" w:hAnsi="宋体" w:cs="宋体"/>
          <w:sz w:val="24"/>
          <w:szCs w:val="28"/>
        </w:rPr>
        <w:t>不当提取</w:t>
      </w:r>
    </w:p>
    <w:p w14:paraId="106B2211">
      <w:pPr>
        <w:snapToGrid w:val="0"/>
        <w:spacing w:line="360" w:lineRule="auto"/>
        <w:ind w:firstLine="480" w:firstLineChars="200"/>
        <w:jc w:val="left"/>
        <w:rPr>
          <w:rFonts w:ascii="宋体" w:hAnsi="宋体" w:cs="宋体"/>
          <w:sz w:val="24"/>
          <w:szCs w:val="28"/>
        </w:rPr>
      </w:pPr>
      <w:r>
        <w:rPr>
          <w:rFonts w:ascii="宋体" w:hAnsi="宋体" w:cs="宋体"/>
          <w:sz w:val="24"/>
          <w:szCs w:val="28"/>
        </w:rPr>
        <w:t>若实施机构存在不当提取履约保函款项的情形（包括但不限于不符合特许经营协议约定的提取条件、未按规定流程提取等），应自确认不当提取之日起10个工作日内，向项目公司全额退还已提取款项；同时，需以退还金额为基数，按中国人民银行授权全国银行间同业拆借中心发布的最新1年期贷款市场报价利率（LPR）计算利息，利息计算期间自款项提取之日起至实际退还之日止。此外，若不当提取行为给项目公司造成其他直接经济损失（如融资成本增加、声誉损失对应的合理赔偿等），实施机构应根据项目公司提供的有效证明材料，另行支付相应补偿。</w:t>
      </w:r>
    </w:p>
    <w:p w14:paraId="05A4A46E">
      <w:pPr>
        <w:snapToGrid w:val="0"/>
        <w:spacing w:line="360" w:lineRule="auto"/>
        <w:jc w:val="left"/>
        <w:rPr>
          <w:rFonts w:ascii="宋体" w:hAnsi="宋体" w:cs="宋体"/>
          <w:b/>
          <w:bCs/>
          <w:sz w:val="24"/>
          <w:szCs w:val="28"/>
        </w:rPr>
      </w:pPr>
      <w:bookmarkStart w:id="306" w:name="_Toc4832"/>
      <w:r>
        <w:rPr>
          <w:rFonts w:hint="eastAsia" w:ascii="宋体" w:hAnsi="宋体" w:cs="宋体"/>
          <w:b/>
          <w:bCs/>
          <w:sz w:val="24"/>
          <w:szCs w:val="28"/>
        </w:rPr>
        <w:t>26.</w:t>
      </w:r>
      <w:r>
        <w:rPr>
          <w:rFonts w:ascii="宋体" w:hAnsi="宋体" w:cs="宋体"/>
          <w:b/>
          <w:bCs/>
          <w:sz w:val="24"/>
          <w:szCs w:val="28"/>
        </w:rPr>
        <w:t>争议解决</w:t>
      </w:r>
      <w:bookmarkEnd w:id="297"/>
      <w:bookmarkEnd w:id="298"/>
      <w:bookmarkEnd w:id="299"/>
      <w:bookmarkEnd w:id="300"/>
      <w:bookmarkEnd w:id="301"/>
      <w:bookmarkEnd w:id="302"/>
      <w:bookmarkEnd w:id="303"/>
      <w:bookmarkEnd w:id="304"/>
      <w:bookmarkEnd w:id="305"/>
      <w:bookmarkEnd w:id="306"/>
    </w:p>
    <w:p w14:paraId="038074AB">
      <w:pPr>
        <w:snapToGrid w:val="0"/>
        <w:spacing w:line="360" w:lineRule="auto"/>
        <w:ind w:firstLine="480" w:firstLineChars="200"/>
        <w:jc w:val="left"/>
        <w:rPr>
          <w:rFonts w:ascii="宋体" w:hAnsi="宋体" w:cs="宋体"/>
          <w:sz w:val="24"/>
          <w:szCs w:val="28"/>
        </w:rPr>
        <w:sectPr>
          <w:footerReference r:id="rId4" w:type="default"/>
          <w:pgSz w:w="11906" w:h="16838"/>
          <w:pgMar w:top="1440" w:right="1800" w:bottom="1440" w:left="1800" w:header="851" w:footer="992" w:gutter="0"/>
          <w:cols w:space="425" w:num="1"/>
          <w:docGrid w:type="lines" w:linePitch="312" w:charSpace="0"/>
        </w:sectPr>
      </w:pPr>
      <w:bookmarkStart w:id="307" w:name="_Toc405146896"/>
      <w:bookmarkStart w:id="308" w:name="_Toc402428982"/>
      <w:bookmarkStart w:id="309" w:name="_Toc149470843"/>
      <w:r>
        <w:rPr>
          <w:rFonts w:ascii="宋体" w:hAnsi="宋体" w:cs="宋体"/>
          <w:sz w:val="24"/>
          <w:szCs w:val="28"/>
        </w:rPr>
        <w:t>项目协议执行过程中若出现争议，应尽力通过友好协商解决。协商不成的，当事人可根据争议性质，依法依规申请诉讼或行政复议。</w:t>
      </w:r>
      <w:bookmarkEnd w:id="307"/>
      <w:bookmarkEnd w:id="308"/>
      <w:bookmarkEnd w:id="309"/>
      <w:r>
        <w:rPr>
          <w:rFonts w:ascii="宋体" w:hAnsi="宋体" w:cs="宋体"/>
          <w:sz w:val="24"/>
          <w:szCs w:val="28"/>
        </w:rPr>
        <w:t>争议解决期间协议各方对协议无争议的部分应继续履行；除适用法律规定或另有约定外，任何一方不得以发生争议为由，停止项目运营服务、停止支付费用、停止项目运营支持服务或采取其他影响公共利益的措施。</w:t>
      </w:r>
    </w:p>
    <w:p w14:paraId="7A567FCC">
      <w:pPr>
        <w:pStyle w:val="3"/>
        <w:numPr>
          <w:ilvl w:val="0"/>
          <w:numId w:val="17"/>
        </w:numPr>
        <w:spacing w:before="0" w:after="0" w:line="240" w:lineRule="auto"/>
        <w:ind w:firstLine="0"/>
        <w:rPr>
          <w:rFonts w:ascii="宋体" w:hAnsi="宋体" w:eastAsia="宋体" w:cs="宋体"/>
        </w:rPr>
      </w:pPr>
      <w:bookmarkStart w:id="310" w:name="_Toc11739_WPSOffice_Level1"/>
      <w:bookmarkStart w:id="311" w:name="_Toc22711"/>
      <w:r>
        <w:rPr>
          <w:rFonts w:hint="eastAsia" w:ascii="宋体" w:hAnsi="宋体" w:eastAsia="宋体" w:cs="宋体"/>
        </w:rPr>
        <w:t>评标办法</w:t>
      </w:r>
      <w:bookmarkEnd w:id="310"/>
      <w:bookmarkEnd w:id="311"/>
    </w:p>
    <w:p w14:paraId="5E25BC3F">
      <w:pPr>
        <w:tabs>
          <w:tab w:val="left" w:pos="360"/>
          <w:tab w:val="left" w:pos="540"/>
          <w:tab w:val="left" w:pos="3600"/>
          <w:tab w:val="left" w:pos="3780"/>
          <w:tab w:val="left" w:pos="8460"/>
          <w:tab w:val="left" w:pos="9180"/>
        </w:tabs>
        <w:adjustRightInd w:val="0"/>
        <w:snapToGrid w:val="0"/>
        <w:spacing w:line="360" w:lineRule="auto"/>
        <w:jc w:val="center"/>
        <w:rPr>
          <w:rFonts w:ascii="宋体" w:hAnsi="宋体" w:cs="宋体"/>
          <w:b/>
          <w:sz w:val="24"/>
        </w:rPr>
      </w:pPr>
      <w:bookmarkStart w:id="312" w:name="_Toc10750_WPSOffice_Level2"/>
      <w:r>
        <w:rPr>
          <w:rFonts w:hint="eastAsia" w:ascii="宋体" w:hAnsi="宋体" w:cs="宋体"/>
          <w:b/>
          <w:sz w:val="24"/>
        </w:rPr>
        <w:t>一．总  则</w:t>
      </w:r>
      <w:bookmarkEnd w:id="312"/>
    </w:p>
    <w:p w14:paraId="366CAC58">
      <w:pPr>
        <w:adjustRightInd w:val="0"/>
        <w:snapToGrid w:val="0"/>
        <w:spacing w:line="360" w:lineRule="auto"/>
        <w:ind w:right="-10" w:firstLine="422" w:firstLineChars="175"/>
        <w:rPr>
          <w:rFonts w:ascii="宋体" w:hAnsi="宋体" w:cs="宋体"/>
          <w:b/>
          <w:bCs/>
          <w:sz w:val="24"/>
        </w:rPr>
      </w:pPr>
      <w:r>
        <w:rPr>
          <w:rFonts w:hint="eastAsia" w:ascii="宋体" w:hAnsi="宋体" w:cs="宋体"/>
          <w:b/>
          <w:bCs/>
          <w:sz w:val="24"/>
        </w:rPr>
        <w:t xml:space="preserve">第一条 </w:t>
      </w:r>
      <w:r>
        <w:rPr>
          <w:rFonts w:hint="eastAsia" w:ascii="宋体" w:hAnsi="宋体" w:cs="宋体"/>
          <w:sz w:val="24"/>
        </w:rPr>
        <w:t>为了做好本项目</w:t>
      </w:r>
      <w:r>
        <w:rPr>
          <w:rFonts w:hint="eastAsia" w:ascii="宋体" w:hAnsi="宋体" w:cs="宋体"/>
          <w:b/>
          <w:bCs/>
          <w:sz w:val="24"/>
        </w:rPr>
        <w:t>（</w:t>
      </w:r>
      <w:r>
        <w:rPr>
          <w:rFonts w:hint="eastAsia" w:ascii="宋体" w:hAnsi="宋体" w:cs="宋体"/>
          <w:b/>
          <w:sz w:val="24"/>
        </w:rPr>
        <w:t xml:space="preserve">项目编号: </w:t>
      </w:r>
      <w:r>
        <w:rPr>
          <w:rFonts w:hint="eastAsia" w:ascii="宋体" w:hAnsi="宋体" w:cs="宋体"/>
          <w:color w:val="000000"/>
          <w:sz w:val="24"/>
          <w:szCs w:val="24"/>
        </w:rPr>
        <w:t>沈财招标采购-2026-8</w:t>
      </w:r>
      <w:r>
        <w:rPr>
          <w:rFonts w:hint="eastAsia" w:ascii="宋体" w:hAnsi="宋体" w:cs="宋体"/>
          <w:b/>
          <w:bCs/>
          <w:sz w:val="24"/>
        </w:rPr>
        <w:t>）</w:t>
      </w:r>
      <w:r>
        <w:rPr>
          <w:rFonts w:hint="eastAsia" w:ascii="宋体" w:hAnsi="宋体" w:cs="宋体"/>
          <w:sz w:val="24"/>
        </w:rPr>
        <w:t>的招标评标工作，保证项目评审工作的正常有序进行，维护采购人、投标人的合法权益，依据《中华人民共和国政府采购法》及其它相关法律法规，本着公开、公平、公正的原则，制定评标办法。</w:t>
      </w:r>
    </w:p>
    <w:p w14:paraId="6A117540">
      <w:pPr>
        <w:adjustRightInd w:val="0"/>
        <w:snapToGrid w:val="0"/>
        <w:spacing w:line="360" w:lineRule="auto"/>
        <w:ind w:right="-10" w:firstLine="422" w:firstLineChars="175"/>
        <w:rPr>
          <w:rFonts w:ascii="宋体" w:hAnsi="宋体" w:cs="宋体"/>
          <w:sz w:val="24"/>
        </w:rPr>
      </w:pPr>
      <w:r>
        <w:rPr>
          <w:rFonts w:hint="eastAsia" w:ascii="宋体" w:hAnsi="宋体" w:cs="宋体"/>
          <w:b/>
          <w:bCs/>
          <w:sz w:val="24"/>
        </w:rPr>
        <w:t xml:space="preserve">第二条 </w:t>
      </w:r>
      <w:r>
        <w:rPr>
          <w:rFonts w:hint="eastAsia" w:ascii="宋体" w:hAnsi="宋体" w:cs="宋体"/>
          <w:sz w:val="24"/>
        </w:rPr>
        <w:t>本次项目评标采用</w:t>
      </w:r>
      <w:r>
        <w:rPr>
          <w:rFonts w:hint="eastAsia" w:ascii="宋体" w:hAnsi="宋体" w:cs="宋体"/>
          <w:b/>
          <w:sz w:val="24"/>
        </w:rPr>
        <w:t>综合评分法</w:t>
      </w:r>
      <w:r>
        <w:rPr>
          <w:rFonts w:hint="eastAsia" w:ascii="宋体" w:hAnsi="宋体" w:cs="宋体"/>
          <w:sz w:val="24"/>
        </w:rPr>
        <w:t>作为对投标人标书的比较方法。</w:t>
      </w:r>
    </w:p>
    <w:p w14:paraId="6A3CE4A3">
      <w:pPr>
        <w:adjustRightInd w:val="0"/>
        <w:snapToGrid w:val="0"/>
        <w:spacing w:line="360" w:lineRule="auto"/>
        <w:ind w:left="-61" w:leftChars="-29" w:right="-10" w:firstLine="482" w:firstLineChars="200"/>
        <w:rPr>
          <w:rFonts w:ascii="宋体" w:hAnsi="宋体" w:cs="宋体"/>
          <w:sz w:val="24"/>
        </w:rPr>
      </w:pPr>
      <w:r>
        <w:rPr>
          <w:rFonts w:hint="eastAsia" w:ascii="宋体" w:hAnsi="宋体" w:cs="宋体"/>
          <w:b/>
          <w:sz w:val="24"/>
        </w:rPr>
        <w:t xml:space="preserve">第三条 </w:t>
      </w:r>
      <w:r>
        <w:rPr>
          <w:rFonts w:hint="eastAsia" w:ascii="宋体" w:hAnsi="宋体" w:cs="宋体"/>
          <w:sz w:val="24"/>
        </w:rPr>
        <w:t>按照《中华人民共和国政府采购法》及其相关规定组成评标委员会负责本项目的评审工作。评标委员会</w:t>
      </w:r>
      <w:r>
        <w:rPr>
          <w:rFonts w:hint="eastAsia" w:ascii="宋体" w:hAnsi="宋体" w:cs="宋体"/>
          <w:sz w:val="24"/>
          <w:szCs w:val="22"/>
        </w:rPr>
        <w:t>在政府采购专家库中随机抽取。</w:t>
      </w:r>
    </w:p>
    <w:p w14:paraId="2B62A6E3">
      <w:pPr>
        <w:adjustRightInd w:val="0"/>
        <w:snapToGrid w:val="0"/>
        <w:spacing w:line="360" w:lineRule="auto"/>
        <w:ind w:right="-10" w:firstLine="482" w:firstLineChars="200"/>
        <w:rPr>
          <w:rFonts w:ascii="宋体" w:hAnsi="宋体" w:cs="宋体"/>
          <w:sz w:val="24"/>
        </w:rPr>
      </w:pPr>
      <w:r>
        <w:rPr>
          <w:rFonts w:hint="eastAsia" w:ascii="宋体" w:hAnsi="宋体" w:cs="宋体"/>
          <w:b/>
          <w:sz w:val="24"/>
        </w:rPr>
        <w:t xml:space="preserve">第四条 </w:t>
      </w:r>
      <w:r>
        <w:rPr>
          <w:rFonts w:hint="eastAsia" w:ascii="宋体" w:hAnsi="宋体" w:cs="宋体"/>
          <w:sz w:val="24"/>
        </w:rPr>
        <w:t>评委会按照“客观公正，实事求是”的原则，评价参加本次招标的投标人所提供的产品价格、性能、质量、服务及对招标文件的符合性及响应性。</w:t>
      </w:r>
    </w:p>
    <w:p w14:paraId="55E51854">
      <w:pPr>
        <w:adjustRightInd w:val="0"/>
        <w:snapToGrid w:val="0"/>
        <w:spacing w:line="360" w:lineRule="auto"/>
        <w:jc w:val="center"/>
        <w:rPr>
          <w:rFonts w:ascii="宋体" w:hAnsi="宋体" w:cs="宋体"/>
          <w:sz w:val="24"/>
        </w:rPr>
      </w:pPr>
      <w:bookmarkStart w:id="313" w:name="_Toc31922_WPSOffice_Level2"/>
      <w:r>
        <w:rPr>
          <w:rFonts w:hint="eastAsia" w:ascii="宋体" w:hAnsi="宋体" w:cs="宋体"/>
          <w:b/>
          <w:sz w:val="24"/>
        </w:rPr>
        <w:t>二．评标程序及评审细则</w:t>
      </w:r>
      <w:bookmarkEnd w:id="313"/>
    </w:p>
    <w:p w14:paraId="7B5183F8">
      <w:pPr>
        <w:adjustRightInd w:val="0"/>
        <w:snapToGrid w:val="0"/>
        <w:spacing w:line="360" w:lineRule="auto"/>
        <w:ind w:right="-10" w:firstLine="422" w:firstLineChars="175"/>
        <w:rPr>
          <w:rFonts w:ascii="宋体" w:hAnsi="宋体" w:cs="宋体"/>
          <w:bCs/>
          <w:sz w:val="24"/>
        </w:rPr>
      </w:pPr>
      <w:r>
        <w:rPr>
          <w:rFonts w:hint="eastAsia" w:ascii="宋体" w:hAnsi="宋体" w:cs="宋体"/>
          <w:b/>
          <w:bCs/>
          <w:sz w:val="24"/>
        </w:rPr>
        <w:t>第五条</w:t>
      </w:r>
      <w:r>
        <w:rPr>
          <w:rFonts w:hint="eastAsia" w:ascii="宋体" w:hAnsi="宋体" w:cs="宋体"/>
          <w:bCs/>
          <w:sz w:val="24"/>
        </w:rPr>
        <w:t xml:space="preserve"> 评标工作于开标后进行。评委会应认真研究招标文件，至少应了解和熟悉以下内容：</w:t>
      </w:r>
    </w:p>
    <w:p w14:paraId="6DAC5C38">
      <w:pPr>
        <w:adjustRightInd w:val="0"/>
        <w:snapToGrid w:val="0"/>
        <w:spacing w:line="360" w:lineRule="auto"/>
        <w:ind w:right="-10" w:firstLine="420" w:firstLineChars="175"/>
        <w:rPr>
          <w:rFonts w:ascii="宋体" w:hAnsi="宋体" w:cs="宋体"/>
          <w:bCs/>
          <w:sz w:val="24"/>
        </w:rPr>
      </w:pPr>
      <w:r>
        <w:rPr>
          <w:rFonts w:hint="eastAsia" w:ascii="宋体" w:hAnsi="宋体" w:cs="宋体"/>
          <w:bCs/>
          <w:sz w:val="24"/>
        </w:rPr>
        <w:t>（一）招标的目标；</w:t>
      </w:r>
    </w:p>
    <w:p w14:paraId="07546BCF">
      <w:pPr>
        <w:adjustRightInd w:val="0"/>
        <w:snapToGrid w:val="0"/>
        <w:spacing w:line="360" w:lineRule="auto"/>
        <w:ind w:right="-10" w:firstLine="420" w:firstLineChars="175"/>
        <w:rPr>
          <w:rFonts w:ascii="宋体" w:hAnsi="宋体" w:cs="宋体"/>
          <w:bCs/>
          <w:sz w:val="24"/>
        </w:rPr>
      </w:pPr>
      <w:r>
        <w:rPr>
          <w:rFonts w:hint="eastAsia" w:ascii="宋体" w:hAnsi="宋体" w:cs="宋体"/>
          <w:bCs/>
          <w:sz w:val="24"/>
        </w:rPr>
        <w:t>（二）招标项目的范围和性质；</w:t>
      </w:r>
    </w:p>
    <w:p w14:paraId="60355FCA">
      <w:pPr>
        <w:adjustRightInd w:val="0"/>
        <w:snapToGrid w:val="0"/>
        <w:spacing w:line="360" w:lineRule="auto"/>
        <w:ind w:right="-10" w:firstLine="420" w:firstLineChars="175"/>
        <w:rPr>
          <w:rFonts w:ascii="宋体" w:hAnsi="宋体" w:cs="宋体"/>
          <w:bCs/>
          <w:sz w:val="24"/>
        </w:rPr>
      </w:pPr>
      <w:r>
        <w:rPr>
          <w:rFonts w:hint="eastAsia" w:ascii="宋体" w:hAnsi="宋体" w:cs="宋体"/>
          <w:bCs/>
          <w:sz w:val="24"/>
        </w:rPr>
        <w:t>（三）招标文件中规定的主要技术要求、标准和商务条款；</w:t>
      </w:r>
    </w:p>
    <w:p w14:paraId="2BA572C9">
      <w:pPr>
        <w:adjustRightInd w:val="0"/>
        <w:snapToGrid w:val="0"/>
        <w:spacing w:line="360" w:lineRule="auto"/>
        <w:ind w:right="-10" w:firstLine="420" w:firstLineChars="175"/>
        <w:rPr>
          <w:rFonts w:ascii="宋体" w:hAnsi="宋体" w:cs="宋体"/>
          <w:bCs/>
          <w:sz w:val="24"/>
        </w:rPr>
      </w:pPr>
      <w:r>
        <w:rPr>
          <w:rFonts w:hint="eastAsia" w:ascii="宋体" w:hAnsi="宋体" w:cs="宋体"/>
          <w:bCs/>
          <w:sz w:val="24"/>
        </w:rPr>
        <w:t>（四）招标文件规定的评标标准、评标方法和在评标过程中考虑的相关因素。</w:t>
      </w:r>
    </w:p>
    <w:p w14:paraId="5848FC2D">
      <w:pPr>
        <w:adjustRightInd w:val="0"/>
        <w:snapToGrid w:val="0"/>
        <w:spacing w:line="360" w:lineRule="auto"/>
        <w:ind w:right="-10" w:firstLine="422" w:firstLineChars="175"/>
        <w:rPr>
          <w:rFonts w:ascii="宋体" w:hAnsi="宋体" w:cs="宋体"/>
          <w:bCs/>
          <w:sz w:val="24"/>
        </w:rPr>
      </w:pPr>
      <w:r>
        <w:rPr>
          <w:rFonts w:hint="eastAsia" w:ascii="宋体" w:hAnsi="宋体" w:cs="宋体"/>
          <w:b/>
          <w:bCs/>
          <w:sz w:val="24"/>
        </w:rPr>
        <w:t>第六条</w:t>
      </w:r>
      <w:r>
        <w:rPr>
          <w:rFonts w:hint="eastAsia" w:ascii="宋体" w:hAnsi="宋体" w:cs="宋体"/>
          <w:bCs/>
          <w:sz w:val="24"/>
        </w:rPr>
        <w:t xml:space="preserve"> 有效投标应符合以下原则：</w:t>
      </w:r>
    </w:p>
    <w:p w14:paraId="4611B9B7">
      <w:pPr>
        <w:adjustRightInd w:val="0"/>
        <w:snapToGrid w:val="0"/>
        <w:spacing w:line="360" w:lineRule="auto"/>
        <w:ind w:right="-10" w:firstLine="420" w:firstLineChars="175"/>
        <w:rPr>
          <w:rFonts w:ascii="宋体" w:hAnsi="宋体" w:cs="宋体"/>
          <w:bCs/>
          <w:sz w:val="24"/>
        </w:rPr>
      </w:pPr>
      <w:r>
        <w:rPr>
          <w:rFonts w:hint="eastAsia" w:ascii="宋体" w:hAnsi="宋体" w:cs="宋体"/>
          <w:bCs/>
          <w:sz w:val="24"/>
        </w:rPr>
        <w:t>（一）满足招标文件的实质性要求；</w:t>
      </w:r>
    </w:p>
    <w:p w14:paraId="55B743D8">
      <w:pPr>
        <w:adjustRightInd w:val="0"/>
        <w:snapToGrid w:val="0"/>
        <w:spacing w:line="360" w:lineRule="auto"/>
        <w:ind w:right="-10" w:firstLine="420" w:firstLineChars="175"/>
        <w:rPr>
          <w:rFonts w:ascii="宋体" w:hAnsi="宋体" w:cs="宋体"/>
          <w:bCs/>
          <w:sz w:val="24"/>
        </w:rPr>
      </w:pPr>
      <w:r>
        <w:rPr>
          <w:rFonts w:hint="eastAsia" w:ascii="宋体" w:hAnsi="宋体" w:cs="宋体"/>
          <w:bCs/>
          <w:sz w:val="24"/>
        </w:rPr>
        <w:t>（二）无重大偏离、保留或采购人不能接受的附加条件；</w:t>
      </w:r>
    </w:p>
    <w:p w14:paraId="1EF2E68A">
      <w:pPr>
        <w:adjustRightInd w:val="0"/>
        <w:snapToGrid w:val="0"/>
        <w:spacing w:line="360" w:lineRule="auto"/>
        <w:ind w:right="-10" w:firstLine="420" w:firstLineChars="175"/>
        <w:rPr>
          <w:rFonts w:ascii="宋体" w:hAnsi="宋体" w:cs="宋体"/>
          <w:bCs/>
          <w:sz w:val="24"/>
        </w:rPr>
      </w:pPr>
      <w:r>
        <w:rPr>
          <w:rFonts w:hint="eastAsia" w:ascii="宋体" w:hAnsi="宋体" w:cs="宋体"/>
          <w:bCs/>
          <w:sz w:val="24"/>
        </w:rPr>
        <w:t>（三）通过投标符合性审查；</w:t>
      </w:r>
    </w:p>
    <w:p w14:paraId="14FADE6B">
      <w:pPr>
        <w:adjustRightInd w:val="0"/>
        <w:snapToGrid w:val="0"/>
        <w:spacing w:line="360" w:lineRule="auto"/>
        <w:ind w:right="-10" w:firstLine="420" w:firstLineChars="175"/>
        <w:rPr>
          <w:rFonts w:ascii="宋体" w:hAnsi="宋体" w:cs="宋体"/>
          <w:bCs/>
          <w:sz w:val="24"/>
        </w:rPr>
      </w:pPr>
      <w:r>
        <w:rPr>
          <w:rFonts w:hint="eastAsia" w:ascii="宋体" w:hAnsi="宋体" w:cs="宋体"/>
          <w:bCs/>
          <w:sz w:val="24"/>
        </w:rPr>
        <w:t>（四）评委会依据招标文件认定的其他原则；</w:t>
      </w:r>
    </w:p>
    <w:p w14:paraId="2AAB41A4">
      <w:pPr>
        <w:adjustRightInd w:val="0"/>
        <w:snapToGrid w:val="0"/>
        <w:spacing w:line="360" w:lineRule="auto"/>
        <w:ind w:right="-10" w:firstLine="420" w:firstLineChars="175"/>
        <w:rPr>
          <w:rFonts w:ascii="宋体" w:hAnsi="宋体" w:cs="宋体"/>
          <w:bCs/>
          <w:sz w:val="24"/>
        </w:rPr>
      </w:pPr>
      <w:r>
        <w:rPr>
          <w:rFonts w:hint="eastAsia" w:ascii="宋体" w:hAnsi="宋体" w:cs="宋体"/>
          <w:bCs/>
          <w:sz w:val="24"/>
        </w:rPr>
        <w:t>（五）商务偏差表或技术偏差表数据不存在弄虚作假现象；</w:t>
      </w:r>
    </w:p>
    <w:p w14:paraId="7FD0E5D8">
      <w:pPr>
        <w:adjustRightInd w:val="0"/>
        <w:snapToGrid w:val="0"/>
        <w:spacing w:line="360" w:lineRule="auto"/>
        <w:ind w:right="-10" w:firstLine="420" w:firstLineChars="175"/>
        <w:rPr>
          <w:rFonts w:ascii="宋体" w:hAnsi="宋体" w:cs="宋体"/>
          <w:bCs/>
          <w:sz w:val="24"/>
        </w:rPr>
      </w:pPr>
      <w:r>
        <w:rPr>
          <w:rFonts w:hint="eastAsia" w:ascii="宋体" w:hAnsi="宋体" w:cs="宋体"/>
          <w:bCs/>
          <w:sz w:val="24"/>
        </w:rPr>
        <w:t>（六）投标人报价</w:t>
      </w:r>
      <w:r>
        <w:rPr>
          <w:rFonts w:hint="eastAsia" w:ascii="宋体" w:hAnsi="宋体" w:cs="宋体"/>
          <w:bCs/>
          <w:sz w:val="24"/>
          <w:lang w:val="en-US" w:eastAsia="zh-CN"/>
        </w:rPr>
        <w:t>不低于</w:t>
      </w:r>
      <w:r>
        <w:rPr>
          <w:rFonts w:hint="eastAsia" w:ascii="宋体" w:hAnsi="宋体" w:cs="宋体"/>
          <w:bCs/>
          <w:sz w:val="24"/>
        </w:rPr>
        <w:t>采购人的采购预算；</w:t>
      </w:r>
    </w:p>
    <w:p w14:paraId="699274A8">
      <w:pPr>
        <w:adjustRightInd w:val="0"/>
        <w:snapToGrid w:val="0"/>
        <w:spacing w:line="360" w:lineRule="auto"/>
        <w:ind w:right="-10" w:firstLine="482" w:firstLineChars="200"/>
        <w:rPr>
          <w:rFonts w:ascii="宋体" w:hAnsi="宋体" w:cs="宋体"/>
          <w:bCs/>
          <w:sz w:val="24"/>
          <w:szCs w:val="22"/>
        </w:rPr>
      </w:pPr>
      <w:r>
        <w:rPr>
          <w:rFonts w:hint="eastAsia" w:ascii="宋体" w:hAnsi="宋体" w:cs="宋体"/>
          <w:b/>
          <w:sz w:val="24"/>
        </w:rPr>
        <w:t xml:space="preserve">第七条 </w:t>
      </w:r>
      <w:r>
        <w:rPr>
          <w:rFonts w:hint="eastAsia" w:ascii="宋体" w:hAnsi="宋体" w:cs="宋体"/>
          <w:sz w:val="24"/>
        </w:rPr>
        <w:t>评委会从每个投标人的投标文件开始独立评审，对开标后投标人所提出的优惠条件不予以考虑。按</w:t>
      </w:r>
      <w:r>
        <w:rPr>
          <w:rFonts w:hint="eastAsia" w:ascii="宋体" w:hAnsi="宋体" w:cs="宋体"/>
          <w:bCs/>
          <w:sz w:val="24"/>
          <w:szCs w:val="22"/>
        </w:rPr>
        <w:t>综合得分从高到低的顺序评出中标候选人。</w:t>
      </w:r>
    </w:p>
    <w:p w14:paraId="2D26DA55">
      <w:pPr>
        <w:adjustRightInd w:val="0"/>
        <w:snapToGrid w:val="0"/>
        <w:spacing w:line="360" w:lineRule="auto"/>
        <w:ind w:right="-10" w:firstLine="482" w:firstLineChars="200"/>
        <w:rPr>
          <w:rFonts w:ascii="宋体" w:hAnsi="宋体" w:cs="宋体"/>
          <w:sz w:val="24"/>
        </w:rPr>
      </w:pPr>
      <w:r>
        <w:rPr>
          <w:rFonts w:hint="eastAsia" w:ascii="宋体" w:hAnsi="宋体" w:cs="宋体"/>
          <w:b/>
          <w:sz w:val="24"/>
        </w:rPr>
        <w:t xml:space="preserve">第八条 </w:t>
      </w:r>
      <w:r>
        <w:rPr>
          <w:rFonts w:hint="eastAsia" w:ascii="宋体" w:hAnsi="宋体" w:cs="宋体"/>
          <w:sz w:val="24"/>
        </w:rPr>
        <w:t>评审中，评委会发现投标人的投标文件中对同类问题表述不一致、前后矛盾、有明显文字和计算错误的内容、有可能不符合招标文件规定等情况需要澄清时，评委会将以询标的方式告知并要求投标人以书面方式进行必要的澄清、说明或补正。对于询标后判定为不符合招标文件的投标文件，评委要提出充足的否定理由。</w:t>
      </w:r>
    </w:p>
    <w:p w14:paraId="4CCB52C5">
      <w:pPr>
        <w:adjustRightInd w:val="0"/>
        <w:snapToGrid w:val="0"/>
        <w:spacing w:line="360" w:lineRule="auto"/>
        <w:ind w:right="-10" w:firstLine="482" w:firstLineChars="200"/>
        <w:rPr>
          <w:rFonts w:ascii="宋体" w:hAnsi="宋体" w:cs="宋体"/>
          <w:sz w:val="24"/>
        </w:rPr>
      </w:pPr>
      <w:r>
        <w:rPr>
          <w:rFonts w:hint="eastAsia" w:ascii="宋体" w:hAnsi="宋体" w:cs="宋体"/>
          <w:b/>
          <w:sz w:val="24"/>
        </w:rPr>
        <w:t>第九条</w:t>
      </w:r>
      <w:r>
        <w:rPr>
          <w:rFonts w:hint="eastAsia" w:ascii="宋体" w:hAnsi="宋体" w:cs="宋体"/>
          <w:sz w:val="24"/>
        </w:rPr>
        <w:t xml:space="preserve"> 评委会首先对各投标人进行符合性审查，通过符合性审查的投标人为有效投标人，有效投标人进入综合评分环节，按招标文件约定由评委会推荐中标候选人；没有通过符合性审查的投标人为无效投标。</w:t>
      </w:r>
    </w:p>
    <w:tbl>
      <w:tblPr>
        <w:tblStyle w:val="71"/>
        <w:tblW w:w="8505"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7"/>
        <w:gridCol w:w="2665"/>
        <w:gridCol w:w="1937"/>
        <w:gridCol w:w="825"/>
        <w:gridCol w:w="2371"/>
      </w:tblGrid>
      <w:tr w14:paraId="54F92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20" w:hRule="atLeast"/>
        </w:trPr>
        <w:tc>
          <w:tcPr>
            <w:tcW w:w="8505" w:type="dxa"/>
            <w:gridSpan w:val="5"/>
            <w:vAlign w:val="center"/>
          </w:tcPr>
          <w:p w14:paraId="418A0449">
            <w:pPr>
              <w:pStyle w:val="449"/>
              <w:pBdr>
                <w:bottom w:val="none" w:color="auto" w:sz="0" w:space="0"/>
              </w:pBdr>
              <w:tabs>
                <w:tab w:val="clear" w:pos="4153"/>
                <w:tab w:val="clear" w:pos="8306"/>
              </w:tabs>
              <w:snapToGrid w:val="0"/>
              <w:spacing w:line="360" w:lineRule="auto"/>
              <w:ind w:right="-10"/>
              <w:textAlignment w:val="auto"/>
              <w:rPr>
                <w:rFonts w:asciiTheme="minorEastAsia" w:hAnsiTheme="minorEastAsia" w:eastAsiaTheme="minorEastAsia" w:cstheme="minorEastAsia"/>
                <w:b/>
                <w:kern w:val="2"/>
                <w:szCs w:val="24"/>
              </w:rPr>
            </w:pPr>
            <w:r>
              <w:rPr>
                <w:rFonts w:hint="eastAsia" w:asciiTheme="minorEastAsia" w:hAnsiTheme="minorEastAsia" w:eastAsiaTheme="minorEastAsia" w:cstheme="minorEastAsia"/>
                <w:b/>
                <w:kern w:val="2"/>
                <w:szCs w:val="24"/>
              </w:rPr>
              <w:t>项目符合性审查表</w:t>
            </w:r>
          </w:p>
        </w:tc>
      </w:tr>
      <w:tr w14:paraId="4824B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36" w:hRule="atLeast"/>
        </w:trPr>
        <w:tc>
          <w:tcPr>
            <w:tcW w:w="707" w:type="dxa"/>
            <w:tcBorders>
              <w:bottom w:val="single" w:color="auto" w:sz="4" w:space="0"/>
            </w:tcBorders>
            <w:vAlign w:val="center"/>
          </w:tcPr>
          <w:p w14:paraId="49AAE816">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序号</w:t>
            </w:r>
          </w:p>
        </w:tc>
        <w:tc>
          <w:tcPr>
            <w:tcW w:w="2665" w:type="dxa"/>
            <w:tcBorders>
              <w:bottom w:val="single" w:color="auto" w:sz="4" w:space="0"/>
            </w:tcBorders>
            <w:vAlign w:val="center"/>
          </w:tcPr>
          <w:p w14:paraId="165163D1">
            <w:pPr>
              <w:pStyle w:val="449"/>
              <w:pBdr>
                <w:bottom w:val="none" w:color="auto" w:sz="0" w:space="0"/>
              </w:pBdr>
              <w:tabs>
                <w:tab w:val="clear" w:pos="4153"/>
                <w:tab w:val="clear" w:pos="8306"/>
              </w:tabs>
              <w:snapToGrid w:val="0"/>
              <w:spacing w:line="360" w:lineRule="auto"/>
              <w:ind w:right="-10"/>
              <w:textAlignment w:val="auto"/>
              <w:rPr>
                <w:rFonts w:asciiTheme="minorEastAsia" w:hAnsiTheme="minorEastAsia" w:eastAsiaTheme="minorEastAsia" w:cstheme="minorEastAsia"/>
                <w:kern w:val="2"/>
                <w:szCs w:val="24"/>
              </w:rPr>
            </w:pPr>
            <w:r>
              <w:rPr>
                <w:rFonts w:hint="eastAsia" w:asciiTheme="minorEastAsia" w:hAnsiTheme="minorEastAsia" w:eastAsiaTheme="minorEastAsia" w:cstheme="minorEastAsia"/>
                <w:kern w:val="2"/>
                <w:szCs w:val="24"/>
              </w:rPr>
              <w:t>指标名称</w:t>
            </w:r>
          </w:p>
        </w:tc>
        <w:tc>
          <w:tcPr>
            <w:tcW w:w="1937" w:type="dxa"/>
            <w:tcBorders>
              <w:bottom w:val="single" w:color="auto" w:sz="4" w:space="0"/>
            </w:tcBorders>
            <w:vAlign w:val="center"/>
          </w:tcPr>
          <w:p w14:paraId="65E0BEB0">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指标要求</w:t>
            </w:r>
          </w:p>
        </w:tc>
        <w:tc>
          <w:tcPr>
            <w:tcW w:w="825" w:type="dxa"/>
            <w:tcBorders>
              <w:bottom w:val="single" w:color="auto" w:sz="4" w:space="0"/>
            </w:tcBorders>
            <w:vAlign w:val="center"/>
          </w:tcPr>
          <w:p w14:paraId="077C21A2">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是否</w:t>
            </w:r>
          </w:p>
          <w:p w14:paraId="332521A6">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通过</w:t>
            </w:r>
          </w:p>
        </w:tc>
        <w:tc>
          <w:tcPr>
            <w:tcW w:w="2371" w:type="dxa"/>
            <w:tcBorders>
              <w:bottom w:val="single" w:color="auto" w:sz="4" w:space="0"/>
            </w:tcBorders>
            <w:vAlign w:val="center"/>
          </w:tcPr>
          <w:p w14:paraId="6B44E6F0">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投标文件格式及</w:t>
            </w:r>
          </w:p>
          <w:p w14:paraId="670ED477">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提交资料要求</w:t>
            </w:r>
          </w:p>
        </w:tc>
      </w:tr>
      <w:tr w14:paraId="0579C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3" w:hRule="atLeast"/>
        </w:trPr>
        <w:tc>
          <w:tcPr>
            <w:tcW w:w="707" w:type="dxa"/>
            <w:vAlign w:val="center"/>
          </w:tcPr>
          <w:p w14:paraId="5B3083B4">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1</w:t>
            </w:r>
          </w:p>
        </w:tc>
        <w:tc>
          <w:tcPr>
            <w:tcW w:w="2665" w:type="dxa"/>
            <w:vAlign w:val="center"/>
          </w:tcPr>
          <w:p w14:paraId="2027D13F">
            <w:pPr>
              <w:spacing w:after="50"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bCs/>
                <w:sz w:val="24"/>
              </w:rPr>
              <w:t>营业执照</w:t>
            </w:r>
          </w:p>
        </w:tc>
        <w:tc>
          <w:tcPr>
            <w:tcW w:w="1937" w:type="dxa"/>
            <w:vAlign w:val="center"/>
          </w:tcPr>
          <w:p w14:paraId="2D115E0E">
            <w:pPr>
              <w:spacing w:after="50"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见招标文件</w:t>
            </w:r>
          </w:p>
        </w:tc>
        <w:tc>
          <w:tcPr>
            <w:tcW w:w="825" w:type="dxa"/>
            <w:vAlign w:val="center"/>
          </w:tcPr>
          <w:p w14:paraId="2C6BA216">
            <w:pPr>
              <w:adjustRightInd w:val="0"/>
              <w:snapToGrid w:val="0"/>
              <w:spacing w:line="360" w:lineRule="auto"/>
              <w:ind w:right="-10"/>
              <w:rPr>
                <w:rFonts w:asciiTheme="minorEastAsia" w:hAnsiTheme="minorEastAsia" w:eastAsiaTheme="minorEastAsia" w:cstheme="minorEastAsia"/>
                <w:sz w:val="24"/>
              </w:rPr>
            </w:pPr>
          </w:p>
        </w:tc>
        <w:tc>
          <w:tcPr>
            <w:tcW w:w="2371" w:type="dxa"/>
            <w:vAlign w:val="center"/>
          </w:tcPr>
          <w:p w14:paraId="6C2912FE">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见投标文件</w:t>
            </w:r>
          </w:p>
        </w:tc>
      </w:tr>
      <w:tr w14:paraId="02234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3" w:hRule="atLeast"/>
        </w:trPr>
        <w:tc>
          <w:tcPr>
            <w:tcW w:w="707" w:type="dxa"/>
            <w:vAlign w:val="center"/>
          </w:tcPr>
          <w:p w14:paraId="3512555E">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2</w:t>
            </w:r>
          </w:p>
        </w:tc>
        <w:tc>
          <w:tcPr>
            <w:tcW w:w="2665" w:type="dxa"/>
            <w:vAlign w:val="center"/>
          </w:tcPr>
          <w:p w14:paraId="7F1356DA">
            <w:pPr>
              <w:spacing w:after="50" w:line="360" w:lineRule="auto"/>
              <w:ind w:right="-10"/>
              <w:jc w:val="cente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法定代表人及身份证明</w:t>
            </w:r>
          </w:p>
        </w:tc>
        <w:tc>
          <w:tcPr>
            <w:tcW w:w="1937" w:type="dxa"/>
            <w:vAlign w:val="center"/>
          </w:tcPr>
          <w:p w14:paraId="5E0DA1EE">
            <w:pPr>
              <w:spacing w:after="50"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见招标文件</w:t>
            </w:r>
          </w:p>
        </w:tc>
        <w:tc>
          <w:tcPr>
            <w:tcW w:w="825" w:type="dxa"/>
            <w:vAlign w:val="center"/>
          </w:tcPr>
          <w:p w14:paraId="692230D7">
            <w:pPr>
              <w:adjustRightInd w:val="0"/>
              <w:snapToGrid w:val="0"/>
              <w:spacing w:line="360" w:lineRule="auto"/>
              <w:ind w:right="-10"/>
              <w:rPr>
                <w:rFonts w:asciiTheme="minorEastAsia" w:hAnsiTheme="minorEastAsia" w:eastAsiaTheme="minorEastAsia" w:cstheme="minorEastAsia"/>
                <w:sz w:val="24"/>
              </w:rPr>
            </w:pPr>
          </w:p>
        </w:tc>
        <w:tc>
          <w:tcPr>
            <w:tcW w:w="2371" w:type="dxa"/>
            <w:vAlign w:val="center"/>
          </w:tcPr>
          <w:p w14:paraId="09A57B73">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见投标文件</w:t>
            </w:r>
          </w:p>
        </w:tc>
      </w:tr>
      <w:tr w14:paraId="02EF8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3" w:hRule="atLeast"/>
        </w:trPr>
        <w:tc>
          <w:tcPr>
            <w:tcW w:w="707" w:type="dxa"/>
            <w:vAlign w:val="center"/>
          </w:tcPr>
          <w:p w14:paraId="424555E3">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3</w:t>
            </w:r>
          </w:p>
        </w:tc>
        <w:tc>
          <w:tcPr>
            <w:tcW w:w="2665" w:type="dxa"/>
            <w:vAlign w:val="center"/>
          </w:tcPr>
          <w:p w14:paraId="39D57EBF">
            <w:pPr>
              <w:spacing w:after="50" w:line="360" w:lineRule="auto"/>
              <w:ind w:right="-10"/>
              <w:jc w:val="cente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纳税凭证和社保证明</w:t>
            </w:r>
          </w:p>
        </w:tc>
        <w:tc>
          <w:tcPr>
            <w:tcW w:w="1937" w:type="dxa"/>
            <w:vAlign w:val="center"/>
          </w:tcPr>
          <w:p w14:paraId="246AD4AB">
            <w:pPr>
              <w:spacing w:after="50"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见招标文件</w:t>
            </w:r>
          </w:p>
        </w:tc>
        <w:tc>
          <w:tcPr>
            <w:tcW w:w="825" w:type="dxa"/>
            <w:vAlign w:val="center"/>
          </w:tcPr>
          <w:p w14:paraId="5950F113">
            <w:pPr>
              <w:adjustRightInd w:val="0"/>
              <w:snapToGrid w:val="0"/>
              <w:spacing w:line="360" w:lineRule="auto"/>
              <w:ind w:right="-10"/>
              <w:rPr>
                <w:rFonts w:asciiTheme="minorEastAsia" w:hAnsiTheme="minorEastAsia" w:eastAsiaTheme="minorEastAsia" w:cstheme="minorEastAsia"/>
                <w:sz w:val="24"/>
              </w:rPr>
            </w:pPr>
          </w:p>
        </w:tc>
        <w:tc>
          <w:tcPr>
            <w:tcW w:w="2371" w:type="dxa"/>
            <w:vAlign w:val="center"/>
          </w:tcPr>
          <w:p w14:paraId="6257A5A6">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见投标文件</w:t>
            </w:r>
          </w:p>
        </w:tc>
      </w:tr>
      <w:tr w14:paraId="5E3C3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6" w:hRule="atLeast"/>
        </w:trPr>
        <w:tc>
          <w:tcPr>
            <w:tcW w:w="707" w:type="dxa"/>
            <w:vAlign w:val="center"/>
          </w:tcPr>
          <w:p w14:paraId="7A3900D5">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4</w:t>
            </w:r>
          </w:p>
        </w:tc>
        <w:tc>
          <w:tcPr>
            <w:tcW w:w="2665" w:type="dxa"/>
            <w:vAlign w:val="center"/>
          </w:tcPr>
          <w:p w14:paraId="284A4B08">
            <w:pPr>
              <w:spacing w:after="50"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bCs/>
                <w:sz w:val="24"/>
              </w:rPr>
              <w:t>财务会计报表</w:t>
            </w:r>
          </w:p>
        </w:tc>
        <w:tc>
          <w:tcPr>
            <w:tcW w:w="1937" w:type="dxa"/>
            <w:vAlign w:val="center"/>
          </w:tcPr>
          <w:p w14:paraId="434E0D07">
            <w:pPr>
              <w:spacing w:after="50"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见招标文件</w:t>
            </w:r>
          </w:p>
        </w:tc>
        <w:tc>
          <w:tcPr>
            <w:tcW w:w="825" w:type="dxa"/>
            <w:vAlign w:val="center"/>
          </w:tcPr>
          <w:p w14:paraId="510DECA3">
            <w:pPr>
              <w:adjustRightInd w:val="0"/>
              <w:snapToGrid w:val="0"/>
              <w:spacing w:line="360" w:lineRule="auto"/>
              <w:ind w:right="-10"/>
              <w:rPr>
                <w:rFonts w:asciiTheme="minorEastAsia" w:hAnsiTheme="minorEastAsia" w:eastAsiaTheme="minorEastAsia" w:cstheme="minorEastAsia"/>
                <w:sz w:val="24"/>
              </w:rPr>
            </w:pPr>
          </w:p>
        </w:tc>
        <w:tc>
          <w:tcPr>
            <w:tcW w:w="2371" w:type="dxa"/>
            <w:vAlign w:val="center"/>
          </w:tcPr>
          <w:p w14:paraId="1DECC158">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见投标文件</w:t>
            </w:r>
          </w:p>
        </w:tc>
      </w:tr>
      <w:tr w14:paraId="28138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3" w:hRule="atLeast"/>
        </w:trPr>
        <w:tc>
          <w:tcPr>
            <w:tcW w:w="707" w:type="dxa"/>
            <w:vAlign w:val="center"/>
          </w:tcPr>
          <w:p w14:paraId="76C3E7F0">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5</w:t>
            </w:r>
          </w:p>
        </w:tc>
        <w:tc>
          <w:tcPr>
            <w:tcW w:w="2665" w:type="dxa"/>
            <w:vAlign w:val="center"/>
          </w:tcPr>
          <w:p w14:paraId="7814AC93">
            <w:pPr>
              <w:spacing w:after="50"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bCs/>
                <w:sz w:val="24"/>
              </w:rPr>
              <w:t>“信用中国”“中国政府采购网”等查询</w:t>
            </w:r>
          </w:p>
        </w:tc>
        <w:tc>
          <w:tcPr>
            <w:tcW w:w="1937" w:type="dxa"/>
            <w:vAlign w:val="center"/>
          </w:tcPr>
          <w:p w14:paraId="096C7E47">
            <w:pPr>
              <w:spacing w:after="50"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见招标文件</w:t>
            </w:r>
          </w:p>
        </w:tc>
        <w:tc>
          <w:tcPr>
            <w:tcW w:w="825" w:type="dxa"/>
            <w:vAlign w:val="center"/>
          </w:tcPr>
          <w:p w14:paraId="4B98CA7A">
            <w:pPr>
              <w:adjustRightInd w:val="0"/>
              <w:snapToGrid w:val="0"/>
              <w:spacing w:line="360" w:lineRule="auto"/>
              <w:ind w:right="-10"/>
              <w:rPr>
                <w:rFonts w:asciiTheme="minorEastAsia" w:hAnsiTheme="minorEastAsia" w:eastAsiaTheme="minorEastAsia" w:cstheme="minorEastAsia"/>
                <w:sz w:val="24"/>
              </w:rPr>
            </w:pPr>
          </w:p>
        </w:tc>
        <w:tc>
          <w:tcPr>
            <w:tcW w:w="2371" w:type="dxa"/>
            <w:vAlign w:val="center"/>
          </w:tcPr>
          <w:p w14:paraId="37587554">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见投标文件</w:t>
            </w:r>
          </w:p>
        </w:tc>
      </w:tr>
      <w:tr w14:paraId="75482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0" w:hRule="atLeast"/>
        </w:trPr>
        <w:tc>
          <w:tcPr>
            <w:tcW w:w="707" w:type="dxa"/>
            <w:vAlign w:val="center"/>
          </w:tcPr>
          <w:p w14:paraId="0706B188">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6</w:t>
            </w:r>
          </w:p>
        </w:tc>
        <w:tc>
          <w:tcPr>
            <w:tcW w:w="2665" w:type="dxa"/>
            <w:vAlign w:val="center"/>
          </w:tcPr>
          <w:p w14:paraId="26A13F42">
            <w:pPr>
              <w:spacing w:after="50"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bCs/>
                <w:sz w:val="24"/>
              </w:rPr>
              <w:t>投标文件签字盖章格式</w:t>
            </w:r>
          </w:p>
        </w:tc>
        <w:tc>
          <w:tcPr>
            <w:tcW w:w="1937" w:type="dxa"/>
            <w:vAlign w:val="center"/>
          </w:tcPr>
          <w:p w14:paraId="7E7DC240">
            <w:pPr>
              <w:spacing w:after="50"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见招标文件</w:t>
            </w:r>
          </w:p>
        </w:tc>
        <w:tc>
          <w:tcPr>
            <w:tcW w:w="825" w:type="dxa"/>
            <w:vAlign w:val="center"/>
          </w:tcPr>
          <w:p w14:paraId="2DB75F09">
            <w:pPr>
              <w:adjustRightInd w:val="0"/>
              <w:snapToGrid w:val="0"/>
              <w:spacing w:line="360" w:lineRule="auto"/>
              <w:ind w:right="-10"/>
              <w:rPr>
                <w:rFonts w:asciiTheme="minorEastAsia" w:hAnsiTheme="minorEastAsia" w:eastAsiaTheme="minorEastAsia" w:cstheme="minorEastAsia"/>
                <w:sz w:val="24"/>
              </w:rPr>
            </w:pPr>
          </w:p>
        </w:tc>
        <w:tc>
          <w:tcPr>
            <w:tcW w:w="2371" w:type="dxa"/>
            <w:vAlign w:val="center"/>
          </w:tcPr>
          <w:p w14:paraId="59838459">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见投标文件</w:t>
            </w:r>
          </w:p>
        </w:tc>
      </w:tr>
      <w:tr w14:paraId="16233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8" w:hRule="atLeast"/>
        </w:trPr>
        <w:tc>
          <w:tcPr>
            <w:tcW w:w="707" w:type="dxa"/>
            <w:vAlign w:val="center"/>
          </w:tcPr>
          <w:p w14:paraId="661508A6">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7</w:t>
            </w:r>
          </w:p>
        </w:tc>
        <w:tc>
          <w:tcPr>
            <w:tcW w:w="2665" w:type="dxa"/>
            <w:vAlign w:val="center"/>
          </w:tcPr>
          <w:p w14:paraId="54D9D433">
            <w:pPr>
              <w:spacing w:after="50"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bCs/>
                <w:sz w:val="24"/>
              </w:rPr>
              <w:t>合格供应商的声明函和承诺书</w:t>
            </w:r>
          </w:p>
        </w:tc>
        <w:tc>
          <w:tcPr>
            <w:tcW w:w="1937" w:type="dxa"/>
            <w:vAlign w:val="center"/>
          </w:tcPr>
          <w:p w14:paraId="38DBFE0D">
            <w:pPr>
              <w:spacing w:after="50"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见招标文件</w:t>
            </w:r>
          </w:p>
        </w:tc>
        <w:tc>
          <w:tcPr>
            <w:tcW w:w="825" w:type="dxa"/>
            <w:vAlign w:val="center"/>
          </w:tcPr>
          <w:p w14:paraId="5A93FA61">
            <w:pPr>
              <w:adjustRightInd w:val="0"/>
              <w:snapToGrid w:val="0"/>
              <w:spacing w:line="360" w:lineRule="auto"/>
              <w:ind w:right="-10"/>
              <w:rPr>
                <w:rFonts w:asciiTheme="minorEastAsia" w:hAnsiTheme="minorEastAsia" w:eastAsiaTheme="minorEastAsia" w:cstheme="minorEastAsia"/>
                <w:sz w:val="24"/>
              </w:rPr>
            </w:pPr>
          </w:p>
        </w:tc>
        <w:tc>
          <w:tcPr>
            <w:tcW w:w="2371" w:type="dxa"/>
            <w:vAlign w:val="center"/>
          </w:tcPr>
          <w:p w14:paraId="0D5BA05A">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见投标文件</w:t>
            </w:r>
          </w:p>
        </w:tc>
      </w:tr>
      <w:tr w14:paraId="0A307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trPr>
        <w:tc>
          <w:tcPr>
            <w:tcW w:w="707" w:type="dxa"/>
            <w:vAlign w:val="center"/>
          </w:tcPr>
          <w:p w14:paraId="5FF9E977">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8</w:t>
            </w:r>
          </w:p>
        </w:tc>
        <w:tc>
          <w:tcPr>
            <w:tcW w:w="2665" w:type="dxa"/>
            <w:vAlign w:val="center"/>
          </w:tcPr>
          <w:p w14:paraId="6BE3150A">
            <w:pPr>
              <w:spacing w:after="50"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服务期限</w:t>
            </w:r>
          </w:p>
        </w:tc>
        <w:tc>
          <w:tcPr>
            <w:tcW w:w="1937" w:type="dxa"/>
            <w:vAlign w:val="center"/>
          </w:tcPr>
          <w:p w14:paraId="5168F395">
            <w:pPr>
              <w:spacing w:after="50"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见招标文件</w:t>
            </w:r>
          </w:p>
        </w:tc>
        <w:tc>
          <w:tcPr>
            <w:tcW w:w="825" w:type="dxa"/>
            <w:vAlign w:val="center"/>
          </w:tcPr>
          <w:p w14:paraId="4A9D1287">
            <w:pPr>
              <w:adjustRightInd w:val="0"/>
              <w:snapToGrid w:val="0"/>
              <w:spacing w:line="360" w:lineRule="auto"/>
              <w:ind w:right="-10"/>
              <w:rPr>
                <w:rFonts w:asciiTheme="minorEastAsia" w:hAnsiTheme="minorEastAsia" w:eastAsiaTheme="minorEastAsia" w:cstheme="minorEastAsia"/>
                <w:sz w:val="24"/>
              </w:rPr>
            </w:pPr>
          </w:p>
        </w:tc>
        <w:tc>
          <w:tcPr>
            <w:tcW w:w="2371" w:type="dxa"/>
            <w:vAlign w:val="center"/>
          </w:tcPr>
          <w:p w14:paraId="77062CB8">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见投标文件</w:t>
            </w:r>
          </w:p>
        </w:tc>
      </w:tr>
      <w:tr w14:paraId="34AED9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66" w:hRule="atLeast"/>
        </w:trPr>
        <w:tc>
          <w:tcPr>
            <w:tcW w:w="707" w:type="dxa"/>
            <w:vAlign w:val="center"/>
          </w:tcPr>
          <w:p w14:paraId="166CC48C">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9</w:t>
            </w:r>
          </w:p>
        </w:tc>
        <w:tc>
          <w:tcPr>
            <w:tcW w:w="2665" w:type="dxa"/>
            <w:vAlign w:val="center"/>
          </w:tcPr>
          <w:p w14:paraId="2CCC7458">
            <w:pPr>
              <w:spacing w:after="50"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bCs/>
                <w:sz w:val="24"/>
              </w:rPr>
              <w:t>投标有效期</w:t>
            </w:r>
          </w:p>
        </w:tc>
        <w:tc>
          <w:tcPr>
            <w:tcW w:w="1937" w:type="dxa"/>
            <w:vAlign w:val="center"/>
          </w:tcPr>
          <w:p w14:paraId="08D37D1D">
            <w:pPr>
              <w:spacing w:after="50"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见招标文件</w:t>
            </w:r>
          </w:p>
        </w:tc>
        <w:tc>
          <w:tcPr>
            <w:tcW w:w="825" w:type="dxa"/>
            <w:vAlign w:val="center"/>
          </w:tcPr>
          <w:p w14:paraId="56E2FD1D">
            <w:pPr>
              <w:adjustRightInd w:val="0"/>
              <w:snapToGrid w:val="0"/>
              <w:spacing w:line="360" w:lineRule="auto"/>
              <w:ind w:right="-10"/>
              <w:rPr>
                <w:rFonts w:asciiTheme="minorEastAsia" w:hAnsiTheme="minorEastAsia" w:eastAsiaTheme="minorEastAsia" w:cstheme="minorEastAsia"/>
                <w:sz w:val="24"/>
              </w:rPr>
            </w:pPr>
          </w:p>
        </w:tc>
        <w:tc>
          <w:tcPr>
            <w:tcW w:w="2371" w:type="dxa"/>
            <w:vAlign w:val="center"/>
          </w:tcPr>
          <w:p w14:paraId="3D9E1C4E">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见投标文件</w:t>
            </w:r>
          </w:p>
        </w:tc>
      </w:tr>
      <w:tr w14:paraId="464FA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5" w:hRule="atLeast"/>
        </w:trPr>
        <w:tc>
          <w:tcPr>
            <w:tcW w:w="707" w:type="dxa"/>
            <w:vAlign w:val="center"/>
          </w:tcPr>
          <w:p w14:paraId="37780FEE">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10</w:t>
            </w:r>
          </w:p>
        </w:tc>
        <w:tc>
          <w:tcPr>
            <w:tcW w:w="2665" w:type="dxa"/>
            <w:vAlign w:val="center"/>
          </w:tcPr>
          <w:p w14:paraId="20C1EC4F">
            <w:pPr>
              <w:spacing w:after="50"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技术要求</w:t>
            </w:r>
          </w:p>
        </w:tc>
        <w:tc>
          <w:tcPr>
            <w:tcW w:w="1937" w:type="dxa"/>
            <w:vAlign w:val="center"/>
          </w:tcPr>
          <w:p w14:paraId="2EF63927">
            <w:pPr>
              <w:spacing w:after="50"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见招标文件</w:t>
            </w:r>
          </w:p>
        </w:tc>
        <w:tc>
          <w:tcPr>
            <w:tcW w:w="825" w:type="dxa"/>
            <w:vAlign w:val="center"/>
          </w:tcPr>
          <w:p w14:paraId="5779B57C">
            <w:pPr>
              <w:adjustRightInd w:val="0"/>
              <w:snapToGrid w:val="0"/>
              <w:spacing w:line="360" w:lineRule="auto"/>
              <w:ind w:right="-10"/>
              <w:rPr>
                <w:rFonts w:asciiTheme="minorEastAsia" w:hAnsiTheme="minorEastAsia" w:eastAsiaTheme="minorEastAsia" w:cstheme="minorEastAsia"/>
                <w:sz w:val="24"/>
              </w:rPr>
            </w:pPr>
          </w:p>
        </w:tc>
        <w:tc>
          <w:tcPr>
            <w:tcW w:w="2371" w:type="dxa"/>
            <w:vAlign w:val="center"/>
          </w:tcPr>
          <w:p w14:paraId="5BCEABA2">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见投标文件</w:t>
            </w:r>
          </w:p>
        </w:tc>
      </w:tr>
      <w:tr w14:paraId="1ABC5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trPr>
        <w:tc>
          <w:tcPr>
            <w:tcW w:w="707" w:type="dxa"/>
            <w:vAlign w:val="center"/>
          </w:tcPr>
          <w:p w14:paraId="3293A967">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11</w:t>
            </w:r>
          </w:p>
        </w:tc>
        <w:tc>
          <w:tcPr>
            <w:tcW w:w="2665" w:type="dxa"/>
            <w:vAlign w:val="center"/>
          </w:tcPr>
          <w:p w14:paraId="703EBBF9">
            <w:pPr>
              <w:spacing w:after="50" w:line="360" w:lineRule="auto"/>
              <w:ind w:right="-10"/>
              <w:jc w:val="cente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其他实质性要求</w:t>
            </w:r>
          </w:p>
        </w:tc>
        <w:tc>
          <w:tcPr>
            <w:tcW w:w="1937" w:type="dxa"/>
            <w:vAlign w:val="center"/>
          </w:tcPr>
          <w:p w14:paraId="2CB22B2A">
            <w:pPr>
              <w:spacing w:after="50"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见招标文件</w:t>
            </w:r>
          </w:p>
        </w:tc>
        <w:tc>
          <w:tcPr>
            <w:tcW w:w="825" w:type="dxa"/>
            <w:vAlign w:val="center"/>
          </w:tcPr>
          <w:p w14:paraId="277ADCC1">
            <w:pPr>
              <w:adjustRightInd w:val="0"/>
              <w:snapToGrid w:val="0"/>
              <w:spacing w:line="360" w:lineRule="auto"/>
              <w:ind w:right="-10"/>
              <w:rPr>
                <w:rFonts w:asciiTheme="minorEastAsia" w:hAnsiTheme="minorEastAsia" w:eastAsiaTheme="minorEastAsia" w:cstheme="minorEastAsia"/>
                <w:sz w:val="24"/>
              </w:rPr>
            </w:pPr>
          </w:p>
        </w:tc>
        <w:tc>
          <w:tcPr>
            <w:tcW w:w="2371" w:type="dxa"/>
            <w:vAlign w:val="center"/>
          </w:tcPr>
          <w:p w14:paraId="7A789B59">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见投标文件</w:t>
            </w:r>
          </w:p>
        </w:tc>
      </w:tr>
      <w:tr w14:paraId="7372A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trPr>
        <w:tc>
          <w:tcPr>
            <w:tcW w:w="707" w:type="dxa"/>
            <w:vAlign w:val="center"/>
          </w:tcPr>
          <w:p w14:paraId="08DD6F4C">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12</w:t>
            </w:r>
          </w:p>
        </w:tc>
        <w:tc>
          <w:tcPr>
            <w:tcW w:w="2665" w:type="dxa"/>
            <w:vAlign w:val="center"/>
          </w:tcPr>
          <w:p w14:paraId="66F10077">
            <w:pPr>
              <w:spacing w:after="50" w:line="360" w:lineRule="auto"/>
              <w:ind w:right="-10"/>
              <w:jc w:val="center"/>
              <w:rPr>
                <w:rFonts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结论</w:t>
            </w:r>
          </w:p>
        </w:tc>
        <w:tc>
          <w:tcPr>
            <w:tcW w:w="5133" w:type="dxa"/>
            <w:gridSpan w:val="3"/>
            <w:vAlign w:val="center"/>
          </w:tcPr>
          <w:p w14:paraId="44CD8817">
            <w:pPr>
              <w:adjustRightInd w:val="0"/>
              <w:snapToGrid w:val="0"/>
              <w:spacing w:line="360" w:lineRule="auto"/>
              <w:ind w:right="-10"/>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bCs/>
                <w:sz w:val="24"/>
              </w:rPr>
              <w:t>是否通过审查</w:t>
            </w:r>
          </w:p>
        </w:tc>
      </w:tr>
    </w:tbl>
    <w:p w14:paraId="53A4C55D">
      <w:pPr>
        <w:spacing w:line="360" w:lineRule="auto"/>
        <w:ind w:firstLine="482" w:firstLineChars="200"/>
        <w:rPr>
          <w:rFonts w:ascii="宋体" w:hAnsi="宋体" w:cs="宋体"/>
          <w:sz w:val="24"/>
          <w:szCs w:val="24"/>
        </w:rPr>
      </w:pPr>
      <w:r>
        <w:rPr>
          <w:rFonts w:hint="eastAsia" w:ascii="宋体" w:hAnsi="宋体" w:cs="宋体"/>
          <w:b/>
          <w:bCs/>
          <w:sz w:val="24"/>
        </w:rPr>
        <w:t>评分标准（满分为100分）</w:t>
      </w:r>
      <w:r>
        <w:rPr>
          <w:rFonts w:hint="eastAsia" w:ascii="宋体" w:hAnsi="宋体" w:cs="宋体"/>
          <w:sz w:val="24"/>
        </w:rPr>
        <w:t>说明:</w:t>
      </w:r>
      <w:r>
        <w:rPr>
          <w:rFonts w:hint="eastAsia" w:ascii="宋体" w:hAnsi="宋体" w:cs="宋体"/>
          <w:sz w:val="24"/>
          <w:szCs w:val="24"/>
        </w:rPr>
        <w:t>各投标人的最终得分为各评委得分的算术平均值；评分分值计算保留小数点后两位，小数点后第三位“四舍五入”。</w:t>
      </w:r>
    </w:p>
    <w:p w14:paraId="34DC34E8">
      <w:pPr>
        <w:pStyle w:val="64"/>
        <w:spacing w:before="0" w:beforeAutospacing="0" w:after="0" w:afterAutospacing="0"/>
        <w:contextualSpacing/>
        <w:jc w:val="center"/>
        <w:rPr>
          <w:rFonts w:cs="宋体"/>
          <w:sz w:val="32"/>
          <w:szCs w:val="32"/>
        </w:rPr>
      </w:pPr>
      <w:r>
        <w:rPr>
          <w:rFonts w:hint="eastAsia" w:cs="宋体"/>
          <w:sz w:val="32"/>
          <w:szCs w:val="32"/>
        </w:rPr>
        <w:t>评标办法</w:t>
      </w:r>
    </w:p>
    <w:bookmarkEnd w:id="48"/>
    <w:tbl>
      <w:tblPr>
        <w:tblStyle w:val="71"/>
        <w:tblW w:w="96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1501"/>
        <w:gridCol w:w="1450"/>
        <w:gridCol w:w="3422"/>
        <w:gridCol w:w="3326"/>
      </w:tblGrid>
      <w:tr w14:paraId="531EC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501" w:type="dxa"/>
            <w:shd w:val="clear" w:color="000000" w:fill="FFFFFF"/>
            <w:tcMar>
              <w:left w:w="108" w:type="dxa"/>
              <w:right w:w="108" w:type="dxa"/>
            </w:tcMar>
            <w:vAlign w:val="center"/>
          </w:tcPr>
          <w:p w14:paraId="15412205">
            <w:pPr>
              <w:adjustRightInd w:val="0"/>
              <w:snapToGrid w:val="0"/>
              <w:spacing w:line="288" w:lineRule="auto"/>
              <w:jc w:val="center"/>
              <w:rPr>
                <w:rFonts w:ascii="宋体" w:hAnsi="宋体" w:cs="宋体"/>
                <w:sz w:val="24"/>
                <w:szCs w:val="24"/>
              </w:rPr>
            </w:pPr>
            <w:r>
              <w:rPr>
                <w:rFonts w:ascii="宋体" w:hAnsi="宋体" w:cs="宋体"/>
                <w:b/>
                <w:sz w:val="24"/>
                <w:szCs w:val="24"/>
              </w:rPr>
              <w:t>评分指标</w:t>
            </w:r>
          </w:p>
        </w:tc>
        <w:tc>
          <w:tcPr>
            <w:tcW w:w="1450" w:type="dxa"/>
            <w:shd w:val="clear" w:color="000000" w:fill="FFFFFF"/>
            <w:tcMar>
              <w:left w:w="108" w:type="dxa"/>
              <w:right w:w="108" w:type="dxa"/>
            </w:tcMar>
            <w:vAlign w:val="center"/>
          </w:tcPr>
          <w:p w14:paraId="58044011">
            <w:pPr>
              <w:adjustRightInd w:val="0"/>
              <w:snapToGrid w:val="0"/>
              <w:spacing w:line="288" w:lineRule="auto"/>
              <w:jc w:val="center"/>
              <w:rPr>
                <w:rFonts w:ascii="宋体" w:hAnsi="宋体" w:cs="宋体"/>
                <w:sz w:val="24"/>
                <w:szCs w:val="24"/>
              </w:rPr>
            </w:pPr>
            <w:r>
              <w:rPr>
                <w:rFonts w:ascii="宋体" w:hAnsi="宋体" w:cs="宋体"/>
                <w:b/>
                <w:sz w:val="24"/>
                <w:szCs w:val="24"/>
              </w:rPr>
              <w:t>分值</w:t>
            </w:r>
          </w:p>
        </w:tc>
        <w:tc>
          <w:tcPr>
            <w:tcW w:w="3422" w:type="dxa"/>
            <w:shd w:val="clear" w:color="000000" w:fill="FFFFFF"/>
            <w:tcMar>
              <w:left w:w="108" w:type="dxa"/>
              <w:right w:w="108" w:type="dxa"/>
            </w:tcMar>
            <w:vAlign w:val="center"/>
          </w:tcPr>
          <w:p w14:paraId="5CC56E5B">
            <w:pPr>
              <w:adjustRightInd w:val="0"/>
              <w:snapToGrid w:val="0"/>
              <w:spacing w:line="288" w:lineRule="auto"/>
              <w:jc w:val="center"/>
              <w:rPr>
                <w:rFonts w:ascii="宋体" w:hAnsi="宋体" w:cs="宋体"/>
                <w:sz w:val="24"/>
                <w:szCs w:val="24"/>
              </w:rPr>
            </w:pPr>
            <w:r>
              <w:rPr>
                <w:rFonts w:ascii="宋体" w:hAnsi="宋体" w:cs="宋体"/>
                <w:b/>
                <w:sz w:val="24"/>
                <w:szCs w:val="24"/>
              </w:rPr>
              <w:t>指标说明及评分标准</w:t>
            </w:r>
          </w:p>
        </w:tc>
        <w:tc>
          <w:tcPr>
            <w:tcW w:w="3326" w:type="dxa"/>
            <w:shd w:val="clear" w:color="000000" w:fill="FFFFFF"/>
            <w:tcMar>
              <w:left w:w="108" w:type="dxa"/>
              <w:right w:w="108" w:type="dxa"/>
            </w:tcMar>
            <w:vAlign w:val="center"/>
          </w:tcPr>
          <w:p w14:paraId="67F7F222">
            <w:pPr>
              <w:adjustRightInd w:val="0"/>
              <w:snapToGrid w:val="0"/>
              <w:spacing w:line="288" w:lineRule="auto"/>
              <w:jc w:val="center"/>
              <w:rPr>
                <w:rFonts w:ascii="宋体" w:hAnsi="宋体" w:cs="宋体"/>
                <w:sz w:val="24"/>
                <w:szCs w:val="24"/>
              </w:rPr>
            </w:pPr>
            <w:r>
              <w:rPr>
                <w:rFonts w:ascii="宋体" w:hAnsi="宋体" w:cs="宋体"/>
                <w:b/>
                <w:sz w:val="24"/>
                <w:szCs w:val="24"/>
              </w:rPr>
              <w:t>评分依据</w:t>
            </w:r>
          </w:p>
        </w:tc>
      </w:tr>
      <w:tr w14:paraId="636EB2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501" w:type="dxa"/>
            <w:shd w:val="clear" w:color="000000" w:fill="FFFFFF"/>
            <w:tcMar>
              <w:left w:w="108" w:type="dxa"/>
              <w:right w:w="108" w:type="dxa"/>
            </w:tcMar>
            <w:vAlign w:val="center"/>
          </w:tcPr>
          <w:p w14:paraId="4A3A93C5">
            <w:pPr>
              <w:tabs>
                <w:tab w:val="left" w:pos="5130"/>
              </w:tabs>
              <w:adjustRightInd w:val="0"/>
              <w:snapToGrid w:val="0"/>
              <w:spacing w:line="288" w:lineRule="auto"/>
              <w:jc w:val="center"/>
              <w:rPr>
                <w:rFonts w:ascii="宋体" w:hAnsi="宋体" w:cs="宋体"/>
                <w:bCs/>
                <w:sz w:val="24"/>
                <w:szCs w:val="24"/>
              </w:rPr>
            </w:pPr>
            <w:r>
              <w:rPr>
                <w:rFonts w:hint="eastAsia" w:ascii="宋体" w:hAnsi="宋体" w:cs="宋体"/>
                <w:bCs/>
                <w:sz w:val="24"/>
                <w:szCs w:val="24"/>
              </w:rPr>
              <w:t>投标报价评分标准20分</w:t>
            </w:r>
          </w:p>
        </w:tc>
        <w:tc>
          <w:tcPr>
            <w:tcW w:w="1450" w:type="dxa"/>
            <w:shd w:val="clear" w:color="000000" w:fill="FFFFFF"/>
            <w:tcMar>
              <w:left w:w="108" w:type="dxa"/>
              <w:right w:w="108" w:type="dxa"/>
            </w:tcMar>
            <w:vAlign w:val="center"/>
          </w:tcPr>
          <w:p w14:paraId="44FD7091">
            <w:pPr>
              <w:tabs>
                <w:tab w:val="left" w:pos="5130"/>
              </w:tabs>
              <w:adjustRightInd w:val="0"/>
              <w:snapToGrid w:val="0"/>
              <w:spacing w:line="288" w:lineRule="auto"/>
              <w:jc w:val="center"/>
              <w:rPr>
                <w:rFonts w:ascii="宋体" w:hAnsi="宋体" w:cs="宋体"/>
                <w:bCs/>
                <w:sz w:val="24"/>
                <w:szCs w:val="24"/>
              </w:rPr>
            </w:pPr>
            <w:r>
              <w:rPr>
                <w:rFonts w:hint="eastAsia" w:ascii="宋体" w:hAnsi="宋体" w:cs="宋体"/>
                <w:bCs/>
                <w:sz w:val="24"/>
                <w:szCs w:val="24"/>
              </w:rPr>
              <w:t>投标报价（20分）</w:t>
            </w:r>
          </w:p>
        </w:tc>
        <w:tc>
          <w:tcPr>
            <w:tcW w:w="6748" w:type="dxa"/>
            <w:gridSpan w:val="2"/>
            <w:shd w:val="clear" w:color="000000" w:fill="FFFFFF"/>
            <w:tcMar>
              <w:left w:w="108" w:type="dxa"/>
              <w:right w:w="108" w:type="dxa"/>
            </w:tcMar>
            <w:vAlign w:val="center"/>
          </w:tcPr>
          <w:p w14:paraId="51AD060B">
            <w:pPr>
              <w:tabs>
                <w:tab w:val="left" w:pos="5130"/>
              </w:tabs>
              <w:adjustRightInd w:val="0"/>
              <w:snapToGrid w:val="0"/>
              <w:spacing w:line="288" w:lineRule="auto"/>
              <w:rPr>
                <w:rFonts w:ascii="宋体" w:hAnsi="宋体" w:cs="宋体"/>
                <w:sz w:val="24"/>
                <w:szCs w:val="24"/>
              </w:rPr>
            </w:pPr>
            <w:r>
              <w:rPr>
                <w:rFonts w:hint="eastAsia" w:ascii="宋体" w:hAnsi="宋体" w:cs="宋体"/>
                <w:sz w:val="24"/>
                <w:szCs w:val="24"/>
              </w:rPr>
              <w:t>1.存量资产特许经营权转让价款：满足招标文件要求且投标报价最高的为评标基准价，其对应分值为该项得分满分10分。</w:t>
            </w:r>
          </w:p>
          <w:p w14:paraId="07CA6525">
            <w:pPr>
              <w:tabs>
                <w:tab w:val="left" w:pos="5130"/>
              </w:tabs>
              <w:adjustRightInd w:val="0"/>
              <w:snapToGrid w:val="0"/>
              <w:spacing w:line="288" w:lineRule="auto"/>
              <w:rPr>
                <w:rFonts w:ascii="宋体" w:hAnsi="宋体" w:cs="宋体"/>
                <w:sz w:val="24"/>
                <w:szCs w:val="24"/>
              </w:rPr>
            </w:pPr>
            <w:r>
              <w:rPr>
                <w:rFonts w:hint="eastAsia" w:ascii="宋体" w:hAnsi="宋体" w:cs="宋体"/>
                <w:sz w:val="24"/>
                <w:szCs w:val="24"/>
              </w:rPr>
              <w:t xml:space="preserve">其他供应商的存量资产特许经营权转让价款统一按照下述公式计算： </w:t>
            </w:r>
          </w:p>
          <w:p w14:paraId="37DEE9E9">
            <w:pPr>
              <w:tabs>
                <w:tab w:val="left" w:pos="5130"/>
              </w:tabs>
              <w:adjustRightInd w:val="0"/>
              <w:snapToGrid w:val="0"/>
              <w:spacing w:line="288" w:lineRule="auto"/>
              <w:rPr>
                <w:rFonts w:ascii="宋体" w:hAnsi="宋体" w:cs="宋体"/>
                <w:sz w:val="24"/>
                <w:szCs w:val="24"/>
              </w:rPr>
            </w:pPr>
            <w:r>
              <w:rPr>
                <w:rFonts w:hint="eastAsia" w:ascii="宋体" w:hAnsi="宋体" w:cs="宋体"/>
                <w:sz w:val="24"/>
                <w:szCs w:val="24"/>
              </w:rPr>
              <w:t xml:space="preserve">存量资产特许经营权转让价款报价得分＝（供应商报价／评标基准价）×10分；（不足一个百分点的，按比例计分） </w:t>
            </w:r>
          </w:p>
          <w:p w14:paraId="75E6BEB7">
            <w:pPr>
              <w:tabs>
                <w:tab w:val="left" w:pos="5130"/>
              </w:tabs>
              <w:adjustRightInd w:val="0"/>
              <w:snapToGrid w:val="0"/>
              <w:spacing w:line="288" w:lineRule="auto"/>
              <w:rPr>
                <w:rFonts w:ascii="宋体" w:hAnsi="宋体" w:cs="宋体"/>
                <w:sz w:val="24"/>
                <w:szCs w:val="24"/>
              </w:rPr>
            </w:pPr>
            <w:r>
              <w:rPr>
                <w:rFonts w:hint="eastAsia" w:ascii="宋体" w:hAnsi="宋体" w:cs="宋体"/>
                <w:sz w:val="24"/>
                <w:szCs w:val="24"/>
              </w:rPr>
              <w:t xml:space="preserve">2、特许经营期限：满足招标文件要求且投标报价最低的为评标基准价，其对应分值为该项得分满分10分 </w:t>
            </w:r>
          </w:p>
          <w:p w14:paraId="43158232">
            <w:pPr>
              <w:tabs>
                <w:tab w:val="left" w:pos="5130"/>
              </w:tabs>
              <w:adjustRightInd w:val="0"/>
              <w:snapToGrid w:val="0"/>
              <w:spacing w:line="288" w:lineRule="auto"/>
              <w:rPr>
                <w:rFonts w:ascii="宋体" w:hAnsi="宋体" w:cs="宋体"/>
                <w:sz w:val="24"/>
                <w:szCs w:val="24"/>
              </w:rPr>
            </w:pPr>
            <w:r>
              <w:rPr>
                <w:rFonts w:hint="eastAsia" w:ascii="宋体" w:hAnsi="宋体" w:cs="宋体"/>
                <w:sz w:val="24"/>
                <w:szCs w:val="24"/>
              </w:rPr>
              <w:t xml:space="preserve">其他供应商的特许经营期限统一按照下述公式计算： </w:t>
            </w:r>
          </w:p>
          <w:p w14:paraId="369B0D28">
            <w:pPr>
              <w:tabs>
                <w:tab w:val="left" w:pos="5130"/>
              </w:tabs>
              <w:adjustRightInd w:val="0"/>
              <w:snapToGrid w:val="0"/>
              <w:spacing w:line="288" w:lineRule="auto"/>
              <w:rPr>
                <w:rFonts w:ascii="宋体" w:hAnsi="宋体" w:cs="宋体"/>
                <w:sz w:val="24"/>
                <w:szCs w:val="24"/>
              </w:rPr>
            </w:pPr>
            <w:r>
              <w:rPr>
                <w:rFonts w:hint="eastAsia" w:ascii="宋体" w:hAnsi="宋体" w:cs="宋体"/>
                <w:sz w:val="24"/>
                <w:szCs w:val="24"/>
              </w:rPr>
              <w:t xml:space="preserve">特许经营期限报价得分＝（评标基准价／供应商特许经营期限）×10分；（不足一个百分点的，按比例计分） </w:t>
            </w:r>
          </w:p>
          <w:p w14:paraId="78AB8A7A">
            <w:pPr>
              <w:tabs>
                <w:tab w:val="left" w:pos="5130"/>
              </w:tabs>
              <w:adjustRightInd w:val="0"/>
              <w:snapToGrid w:val="0"/>
              <w:spacing w:line="288" w:lineRule="auto"/>
              <w:rPr>
                <w:rFonts w:ascii="宋体" w:hAnsi="宋体" w:cs="宋体"/>
                <w:sz w:val="24"/>
                <w:szCs w:val="24"/>
              </w:rPr>
            </w:pPr>
            <w:r>
              <w:rPr>
                <w:rFonts w:hint="eastAsia" w:ascii="宋体" w:hAnsi="宋体" w:cs="宋体"/>
                <w:sz w:val="24"/>
                <w:szCs w:val="24"/>
              </w:rPr>
              <w:t>投标报价得分=存量资产特许经营权转让价款报价得分+特许经营期限报价得分</w:t>
            </w:r>
          </w:p>
          <w:p w14:paraId="742B2A26">
            <w:pPr>
              <w:tabs>
                <w:tab w:val="left" w:pos="5130"/>
              </w:tabs>
              <w:adjustRightInd w:val="0"/>
              <w:snapToGrid w:val="0"/>
              <w:spacing w:line="288" w:lineRule="auto"/>
              <w:rPr>
                <w:rFonts w:ascii="宋体" w:hAnsi="宋体" w:cs="宋体"/>
                <w:bCs/>
                <w:sz w:val="24"/>
                <w:szCs w:val="24"/>
              </w:rPr>
            </w:pPr>
            <w:r>
              <w:rPr>
                <w:rFonts w:hint="eastAsia" w:ascii="宋体" w:hAnsi="宋体" w:cs="宋体"/>
                <w:sz w:val="24"/>
                <w:szCs w:val="24"/>
              </w:rPr>
              <w:t>注：价格分计算保留小数点后二位。</w:t>
            </w:r>
          </w:p>
        </w:tc>
      </w:tr>
      <w:tr w14:paraId="7B33E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29" w:hRule="atLeast"/>
          <w:jc w:val="center"/>
        </w:trPr>
        <w:tc>
          <w:tcPr>
            <w:tcW w:w="1501" w:type="dxa"/>
            <w:vMerge w:val="restart"/>
            <w:shd w:val="clear" w:color="000000" w:fill="FFFFFF"/>
            <w:tcMar>
              <w:left w:w="108" w:type="dxa"/>
              <w:right w:w="108" w:type="dxa"/>
            </w:tcMar>
            <w:vAlign w:val="center"/>
          </w:tcPr>
          <w:p w14:paraId="2023B355">
            <w:pPr>
              <w:adjustRightInd w:val="0"/>
              <w:snapToGrid w:val="0"/>
              <w:spacing w:line="288" w:lineRule="auto"/>
              <w:jc w:val="center"/>
              <w:rPr>
                <w:rFonts w:ascii="宋体" w:hAnsi="宋体" w:cs="宋体"/>
                <w:sz w:val="24"/>
                <w:szCs w:val="24"/>
              </w:rPr>
            </w:pPr>
            <w:r>
              <w:rPr>
                <w:rFonts w:hint="eastAsia" w:ascii="宋体" w:hAnsi="宋体" w:cs="宋体"/>
                <w:sz w:val="24"/>
                <w:szCs w:val="24"/>
              </w:rPr>
              <w:t>技术部分</w:t>
            </w:r>
          </w:p>
          <w:p w14:paraId="09C04F8B">
            <w:pPr>
              <w:adjustRightInd w:val="0"/>
              <w:snapToGrid w:val="0"/>
              <w:spacing w:line="288" w:lineRule="auto"/>
              <w:jc w:val="center"/>
              <w:rPr>
                <w:rFonts w:ascii="宋体" w:hAnsi="宋体" w:cs="宋体"/>
                <w:sz w:val="24"/>
                <w:szCs w:val="24"/>
              </w:rPr>
            </w:pPr>
            <w:r>
              <w:rPr>
                <w:rFonts w:hint="eastAsia" w:ascii="宋体" w:hAnsi="宋体" w:cs="宋体"/>
                <w:sz w:val="24"/>
                <w:szCs w:val="24"/>
              </w:rPr>
              <w:t>(55分）</w:t>
            </w:r>
          </w:p>
        </w:tc>
        <w:tc>
          <w:tcPr>
            <w:tcW w:w="1450" w:type="dxa"/>
            <w:shd w:val="clear" w:color="000000" w:fill="FFFFFF"/>
            <w:tcMar>
              <w:left w:w="108" w:type="dxa"/>
              <w:right w:w="108" w:type="dxa"/>
            </w:tcMar>
            <w:vAlign w:val="center"/>
          </w:tcPr>
          <w:p w14:paraId="3A2A84CA">
            <w:pPr>
              <w:adjustRightInd w:val="0"/>
              <w:snapToGrid w:val="0"/>
              <w:spacing w:line="360" w:lineRule="auto"/>
              <w:jc w:val="center"/>
              <w:rPr>
                <w:rFonts w:ascii="宋体" w:hAnsi="宋体" w:cs="宋体"/>
                <w:bCs/>
                <w:sz w:val="24"/>
                <w:szCs w:val="24"/>
              </w:rPr>
            </w:pPr>
            <w:r>
              <w:rPr>
                <w:rFonts w:hint="eastAsia" w:ascii="宋体" w:hAnsi="宋体" w:cs="宋体"/>
                <w:bCs/>
                <w:sz w:val="24"/>
                <w:szCs w:val="24"/>
              </w:rPr>
              <w:t>融资方案</w:t>
            </w:r>
          </w:p>
          <w:p w14:paraId="548709BE">
            <w:pPr>
              <w:pStyle w:val="69"/>
              <w:snapToGrid w:val="0"/>
              <w:ind w:right="-21" w:firstLine="0" w:firstLineChars="0"/>
              <w:jc w:val="center"/>
              <w:rPr>
                <w:rFonts w:ascii="宋体" w:hAnsi="宋体" w:eastAsia="宋体" w:cs="宋体"/>
                <w:szCs w:val="24"/>
              </w:rPr>
            </w:pPr>
            <w:r>
              <w:rPr>
                <w:rFonts w:hint="eastAsia" w:ascii="宋体" w:hAnsi="宋体" w:eastAsia="宋体" w:cs="宋体"/>
                <w:szCs w:val="24"/>
              </w:rPr>
              <w:t>（10分）</w:t>
            </w:r>
          </w:p>
          <w:p w14:paraId="3964E0BF">
            <w:pPr>
              <w:adjustRightInd w:val="0"/>
              <w:snapToGrid w:val="0"/>
              <w:spacing w:line="288" w:lineRule="auto"/>
              <w:jc w:val="center"/>
              <w:rPr>
                <w:rFonts w:ascii="宋体" w:hAnsi="宋体" w:cs="宋体"/>
                <w:sz w:val="24"/>
                <w:szCs w:val="24"/>
              </w:rPr>
            </w:pPr>
          </w:p>
        </w:tc>
        <w:tc>
          <w:tcPr>
            <w:tcW w:w="6748" w:type="dxa"/>
            <w:gridSpan w:val="2"/>
            <w:shd w:val="clear" w:color="000000" w:fill="FFFFFF"/>
            <w:tcMar>
              <w:left w:w="108" w:type="dxa"/>
              <w:right w:w="108" w:type="dxa"/>
            </w:tcMar>
            <w:vAlign w:val="center"/>
          </w:tcPr>
          <w:p w14:paraId="7D6FA235">
            <w:pPr>
              <w:snapToGrid w:val="0"/>
              <w:spacing w:line="360" w:lineRule="auto"/>
              <w:rPr>
                <w:rFonts w:ascii="宋体" w:hAnsi="宋体" w:cs="宋体"/>
                <w:sz w:val="24"/>
                <w:szCs w:val="24"/>
              </w:rPr>
            </w:pPr>
            <w:r>
              <w:rPr>
                <w:rFonts w:hint="eastAsia" w:ascii="宋体" w:hAnsi="宋体" w:cs="宋体"/>
                <w:sz w:val="24"/>
                <w:szCs w:val="24"/>
              </w:rPr>
              <w:t xml:space="preserve">（1）融资方案、融资方式及融资结构、资金使用计划等，特别完整、合理，切实可行，完全满足项目需求得10分； </w:t>
            </w:r>
          </w:p>
          <w:p w14:paraId="3F9B27AB">
            <w:pPr>
              <w:snapToGrid w:val="0"/>
              <w:spacing w:line="360" w:lineRule="auto"/>
              <w:rPr>
                <w:rFonts w:ascii="宋体" w:hAnsi="宋体" w:cs="宋体"/>
                <w:sz w:val="24"/>
                <w:szCs w:val="24"/>
              </w:rPr>
            </w:pPr>
            <w:r>
              <w:rPr>
                <w:rFonts w:hint="eastAsia" w:ascii="宋体" w:hAnsi="宋体" w:cs="宋体"/>
                <w:sz w:val="24"/>
                <w:szCs w:val="24"/>
              </w:rPr>
              <w:t xml:space="preserve">（2）融资方案、融资方式及融资结构、资金使用计划等，较为完整、合理，切实可行，基本满足项目需求得6分； </w:t>
            </w:r>
          </w:p>
          <w:p w14:paraId="275455B7">
            <w:pPr>
              <w:snapToGrid w:val="0"/>
              <w:spacing w:line="360" w:lineRule="auto"/>
              <w:rPr>
                <w:rFonts w:ascii="宋体" w:hAnsi="宋体" w:cs="宋体"/>
                <w:sz w:val="24"/>
                <w:szCs w:val="24"/>
              </w:rPr>
            </w:pPr>
            <w:r>
              <w:rPr>
                <w:rFonts w:hint="eastAsia" w:ascii="宋体" w:hAnsi="宋体" w:cs="宋体"/>
                <w:sz w:val="24"/>
                <w:szCs w:val="24"/>
              </w:rPr>
              <w:t xml:space="preserve">（3）融资方案、融资方式及融资结构、资金使用计划等，不完整、不合理，不可行，不能满足项目需求得3分； </w:t>
            </w:r>
          </w:p>
          <w:p w14:paraId="7B9BA4BD">
            <w:pPr>
              <w:adjustRightInd w:val="0"/>
              <w:snapToGrid w:val="0"/>
              <w:spacing w:line="288" w:lineRule="auto"/>
              <w:rPr>
                <w:rFonts w:ascii="宋体" w:hAnsi="宋体" w:cs="宋体"/>
                <w:bCs/>
                <w:sz w:val="24"/>
                <w:szCs w:val="24"/>
              </w:rPr>
            </w:pPr>
            <w:r>
              <w:rPr>
                <w:rFonts w:hint="eastAsia" w:ascii="宋体" w:hAnsi="宋体" w:cs="宋体"/>
                <w:sz w:val="24"/>
                <w:szCs w:val="24"/>
              </w:rPr>
              <w:t>（4）没有不得分。</w:t>
            </w:r>
          </w:p>
        </w:tc>
      </w:tr>
      <w:tr w14:paraId="149BA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29" w:hRule="atLeast"/>
          <w:jc w:val="center"/>
        </w:trPr>
        <w:tc>
          <w:tcPr>
            <w:tcW w:w="1501" w:type="dxa"/>
            <w:vMerge w:val="continue"/>
            <w:shd w:val="clear" w:color="000000" w:fill="FFFFFF"/>
            <w:tcMar>
              <w:left w:w="108" w:type="dxa"/>
              <w:right w:w="108" w:type="dxa"/>
            </w:tcMar>
            <w:vAlign w:val="center"/>
          </w:tcPr>
          <w:p w14:paraId="22F82859">
            <w:pPr>
              <w:adjustRightInd w:val="0"/>
              <w:snapToGrid w:val="0"/>
              <w:spacing w:line="288" w:lineRule="auto"/>
              <w:jc w:val="center"/>
              <w:rPr>
                <w:rFonts w:ascii="宋体" w:hAnsi="宋体" w:cs="宋体"/>
                <w:sz w:val="24"/>
                <w:szCs w:val="24"/>
              </w:rPr>
            </w:pPr>
          </w:p>
        </w:tc>
        <w:tc>
          <w:tcPr>
            <w:tcW w:w="1450" w:type="dxa"/>
            <w:vMerge w:val="restart"/>
            <w:shd w:val="clear" w:color="000000" w:fill="FFFFFF"/>
            <w:tcMar>
              <w:left w:w="108" w:type="dxa"/>
              <w:right w:w="108" w:type="dxa"/>
            </w:tcMar>
            <w:vAlign w:val="center"/>
          </w:tcPr>
          <w:p w14:paraId="51D80EDB">
            <w:pPr>
              <w:adjustRightInd w:val="0"/>
              <w:snapToGrid w:val="0"/>
              <w:spacing w:line="360" w:lineRule="auto"/>
              <w:jc w:val="center"/>
              <w:rPr>
                <w:rFonts w:ascii="宋体" w:hAnsi="宋体" w:cs="宋体"/>
                <w:sz w:val="24"/>
                <w:szCs w:val="24"/>
              </w:rPr>
            </w:pPr>
            <w:r>
              <w:rPr>
                <w:rFonts w:hint="eastAsia" w:ascii="宋体" w:hAnsi="宋体" w:cs="宋体"/>
                <w:sz w:val="24"/>
                <w:szCs w:val="24"/>
              </w:rPr>
              <w:t>运营方案</w:t>
            </w:r>
          </w:p>
          <w:p w14:paraId="7310D8BF">
            <w:pPr>
              <w:adjustRightInd w:val="0"/>
              <w:snapToGrid w:val="0"/>
              <w:spacing w:line="288" w:lineRule="auto"/>
              <w:jc w:val="center"/>
              <w:rPr>
                <w:rFonts w:ascii="宋体" w:hAnsi="宋体" w:cs="宋体"/>
                <w:sz w:val="24"/>
                <w:szCs w:val="24"/>
              </w:rPr>
            </w:pPr>
            <w:r>
              <w:rPr>
                <w:rFonts w:hint="eastAsia" w:ascii="宋体" w:hAnsi="宋体" w:cs="宋体"/>
                <w:sz w:val="24"/>
                <w:szCs w:val="24"/>
              </w:rPr>
              <w:t>（25分）</w:t>
            </w:r>
          </w:p>
        </w:tc>
        <w:tc>
          <w:tcPr>
            <w:tcW w:w="6748" w:type="dxa"/>
            <w:gridSpan w:val="2"/>
            <w:shd w:val="clear" w:color="auto" w:fill="auto"/>
            <w:tcMar>
              <w:left w:w="108" w:type="dxa"/>
              <w:right w:w="108" w:type="dxa"/>
            </w:tcMar>
            <w:vAlign w:val="center"/>
          </w:tcPr>
          <w:p w14:paraId="22A56CE9">
            <w:pPr>
              <w:snapToGrid w:val="0"/>
              <w:spacing w:line="360" w:lineRule="auto"/>
              <w:rPr>
                <w:rFonts w:ascii="宋体" w:hAnsi="宋体" w:cs="宋体"/>
                <w:sz w:val="24"/>
                <w:szCs w:val="24"/>
              </w:rPr>
            </w:pPr>
            <w:r>
              <w:rPr>
                <w:rFonts w:hint="eastAsia" w:ascii="宋体" w:hAnsi="宋体" w:cs="宋体"/>
                <w:sz w:val="24"/>
                <w:szCs w:val="24"/>
              </w:rPr>
              <w:t xml:space="preserve">1.运营维护方案（10分） </w:t>
            </w:r>
          </w:p>
          <w:p w14:paraId="6BE39E53">
            <w:pPr>
              <w:snapToGrid w:val="0"/>
              <w:spacing w:line="360" w:lineRule="auto"/>
              <w:rPr>
                <w:rFonts w:ascii="宋体" w:hAnsi="宋体" w:cs="宋体"/>
                <w:sz w:val="24"/>
                <w:szCs w:val="24"/>
              </w:rPr>
            </w:pPr>
            <w:r>
              <w:rPr>
                <w:rFonts w:hint="eastAsia" w:ascii="宋体" w:hAnsi="宋体" w:cs="宋体"/>
                <w:sz w:val="24"/>
                <w:szCs w:val="24"/>
              </w:rPr>
              <w:t xml:space="preserve">投标人编制了合理的运营维护方案具体可行的，得10分； </w:t>
            </w:r>
          </w:p>
          <w:p w14:paraId="427D0FEB">
            <w:pPr>
              <w:snapToGrid w:val="0"/>
              <w:spacing w:line="360" w:lineRule="auto"/>
              <w:rPr>
                <w:rFonts w:ascii="宋体" w:hAnsi="宋体" w:cs="宋体"/>
                <w:sz w:val="24"/>
                <w:szCs w:val="24"/>
              </w:rPr>
            </w:pPr>
            <w:r>
              <w:rPr>
                <w:rFonts w:hint="eastAsia" w:ascii="宋体" w:hAnsi="宋体" w:cs="宋体"/>
                <w:sz w:val="24"/>
                <w:szCs w:val="24"/>
              </w:rPr>
              <w:t xml:space="preserve">投标人编制了基本合理的运营维护方案、运营维护方案基本可行的，得6分； </w:t>
            </w:r>
          </w:p>
          <w:p w14:paraId="3812AC10">
            <w:pPr>
              <w:snapToGrid w:val="0"/>
              <w:spacing w:line="360" w:lineRule="auto"/>
              <w:rPr>
                <w:rFonts w:ascii="宋体" w:hAnsi="宋体" w:cs="宋体"/>
                <w:sz w:val="24"/>
                <w:szCs w:val="24"/>
              </w:rPr>
            </w:pPr>
            <w:r>
              <w:rPr>
                <w:rFonts w:hint="eastAsia" w:ascii="宋体" w:hAnsi="宋体" w:cs="宋体"/>
                <w:sz w:val="24"/>
                <w:szCs w:val="24"/>
              </w:rPr>
              <w:t>投标人未编制或编制的运营维护方案不合理、运营维护方案不可行的，得3分；</w:t>
            </w:r>
          </w:p>
          <w:p w14:paraId="74F431EB">
            <w:pPr>
              <w:snapToGrid w:val="0"/>
              <w:spacing w:line="360" w:lineRule="auto"/>
              <w:rPr>
                <w:rFonts w:ascii="宋体" w:hAnsi="宋体" w:cs="宋体"/>
                <w:sz w:val="24"/>
                <w:szCs w:val="24"/>
              </w:rPr>
            </w:pPr>
            <w:r>
              <w:rPr>
                <w:rFonts w:hint="eastAsia" w:ascii="宋体" w:hAnsi="宋体" w:cs="宋体"/>
                <w:sz w:val="24"/>
                <w:szCs w:val="24"/>
              </w:rPr>
              <w:t>没有不得分。</w:t>
            </w:r>
          </w:p>
        </w:tc>
      </w:tr>
      <w:tr w14:paraId="58338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80" w:hRule="atLeast"/>
          <w:jc w:val="center"/>
        </w:trPr>
        <w:tc>
          <w:tcPr>
            <w:tcW w:w="1501" w:type="dxa"/>
            <w:vMerge w:val="continue"/>
            <w:shd w:val="clear" w:color="000000" w:fill="FFFFFF"/>
            <w:tcMar>
              <w:left w:w="108" w:type="dxa"/>
              <w:right w:w="108" w:type="dxa"/>
            </w:tcMar>
            <w:vAlign w:val="center"/>
          </w:tcPr>
          <w:p w14:paraId="2A49A87B">
            <w:pPr>
              <w:adjustRightInd w:val="0"/>
              <w:snapToGrid w:val="0"/>
              <w:spacing w:line="288" w:lineRule="auto"/>
              <w:jc w:val="center"/>
              <w:rPr>
                <w:rFonts w:ascii="宋体" w:hAnsi="宋体" w:cs="宋体"/>
                <w:sz w:val="24"/>
                <w:szCs w:val="24"/>
              </w:rPr>
            </w:pPr>
          </w:p>
        </w:tc>
        <w:tc>
          <w:tcPr>
            <w:tcW w:w="1450" w:type="dxa"/>
            <w:vMerge w:val="continue"/>
            <w:shd w:val="clear" w:color="000000" w:fill="FFFFFF"/>
            <w:tcMar>
              <w:left w:w="108" w:type="dxa"/>
              <w:right w:w="108" w:type="dxa"/>
            </w:tcMar>
            <w:vAlign w:val="center"/>
          </w:tcPr>
          <w:p w14:paraId="76ECA0AF">
            <w:pPr>
              <w:adjustRightInd w:val="0"/>
              <w:snapToGrid w:val="0"/>
              <w:spacing w:line="288" w:lineRule="auto"/>
              <w:jc w:val="center"/>
              <w:rPr>
                <w:rFonts w:ascii="宋体" w:hAnsi="宋体" w:cs="宋体"/>
                <w:sz w:val="24"/>
                <w:szCs w:val="24"/>
              </w:rPr>
            </w:pPr>
          </w:p>
        </w:tc>
        <w:tc>
          <w:tcPr>
            <w:tcW w:w="6748" w:type="dxa"/>
            <w:gridSpan w:val="2"/>
            <w:shd w:val="clear" w:color="auto" w:fill="auto"/>
            <w:tcMar>
              <w:left w:w="108" w:type="dxa"/>
              <w:right w:w="108" w:type="dxa"/>
            </w:tcMar>
            <w:vAlign w:val="center"/>
          </w:tcPr>
          <w:p w14:paraId="56C79D7C">
            <w:pPr>
              <w:snapToGrid w:val="0"/>
              <w:spacing w:line="360" w:lineRule="auto"/>
              <w:rPr>
                <w:rFonts w:ascii="宋体" w:hAnsi="宋体" w:cs="宋体"/>
                <w:sz w:val="24"/>
                <w:szCs w:val="24"/>
              </w:rPr>
            </w:pPr>
            <w:r>
              <w:rPr>
                <w:rFonts w:hint="eastAsia" w:ascii="宋体" w:hAnsi="宋体" w:cs="宋体"/>
                <w:sz w:val="24"/>
                <w:szCs w:val="24"/>
              </w:rPr>
              <w:t>2.经营成本控制措施（10分）</w:t>
            </w:r>
          </w:p>
          <w:p w14:paraId="0964BC19">
            <w:pPr>
              <w:snapToGrid w:val="0"/>
              <w:spacing w:line="360" w:lineRule="auto"/>
              <w:rPr>
                <w:rFonts w:ascii="宋体" w:hAnsi="宋体" w:cs="宋体"/>
                <w:sz w:val="24"/>
                <w:szCs w:val="24"/>
              </w:rPr>
            </w:pPr>
            <w:r>
              <w:rPr>
                <w:rFonts w:hint="eastAsia" w:ascii="宋体" w:hAnsi="宋体" w:cs="宋体"/>
                <w:sz w:val="24"/>
                <w:szCs w:val="24"/>
              </w:rPr>
              <w:t>投标人编制的经营成本控制方案合理的，得10分；</w:t>
            </w:r>
          </w:p>
          <w:p w14:paraId="6333D7E5">
            <w:pPr>
              <w:snapToGrid w:val="0"/>
              <w:spacing w:line="360" w:lineRule="auto"/>
              <w:rPr>
                <w:rFonts w:ascii="宋体" w:hAnsi="宋体" w:cs="宋体"/>
                <w:sz w:val="24"/>
                <w:szCs w:val="24"/>
              </w:rPr>
            </w:pPr>
            <w:r>
              <w:rPr>
                <w:rFonts w:hint="eastAsia" w:ascii="宋体" w:hAnsi="宋体" w:cs="宋体"/>
                <w:sz w:val="24"/>
                <w:szCs w:val="24"/>
              </w:rPr>
              <w:t xml:space="preserve">投标人编制的经营成本控制方案基本合理的，得6分； </w:t>
            </w:r>
          </w:p>
          <w:p w14:paraId="65E02743">
            <w:pPr>
              <w:snapToGrid w:val="0"/>
              <w:spacing w:line="360" w:lineRule="auto"/>
              <w:rPr>
                <w:rFonts w:ascii="宋体" w:hAnsi="宋体" w:cs="宋体"/>
                <w:sz w:val="24"/>
                <w:szCs w:val="24"/>
              </w:rPr>
            </w:pPr>
            <w:r>
              <w:rPr>
                <w:rFonts w:hint="eastAsia" w:ascii="宋体" w:hAnsi="宋体" w:cs="宋体"/>
                <w:sz w:val="24"/>
                <w:szCs w:val="24"/>
              </w:rPr>
              <w:t>投标人编制的经营成本控制方案不合理的，得3分；</w:t>
            </w:r>
          </w:p>
          <w:p w14:paraId="16F41C0C">
            <w:pPr>
              <w:snapToGrid w:val="0"/>
              <w:spacing w:line="360" w:lineRule="auto"/>
              <w:rPr>
                <w:rFonts w:ascii="宋体" w:hAnsi="宋体" w:cs="宋体"/>
                <w:sz w:val="24"/>
                <w:szCs w:val="24"/>
              </w:rPr>
            </w:pPr>
            <w:r>
              <w:rPr>
                <w:rFonts w:hint="eastAsia" w:ascii="宋体" w:hAnsi="宋体" w:cs="宋体"/>
                <w:sz w:val="24"/>
                <w:szCs w:val="24"/>
              </w:rPr>
              <w:t>没有不得分。</w:t>
            </w:r>
          </w:p>
        </w:tc>
      </w:tr>
      <w:tr w14:paraId="1D84E2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23" w:hRule="atLeast"/>
          <w:jc w:val="center"/>
        </w:trPr>
        <w:tc>
          <w:tcPr>
            <w:tcW w:w="1501" w:type="dxa"/>
            <w:vMerge w:val="continue"/>
            <w:shd w:val="clear" w:color="000000" w:fill="FFFFFF"/>
            <w:tcMar>
              <w:left w:w="108" w:type="dxa"/>
              <w:right w:w="108" w:type="dxa"/>
            </w:tcMar>
            <w:vAlign w:val="center"/>
          </w:tcPr>
          <w:p w14:paraId="496B56D6">
            <w:pPr>
              <w:adjustRightInd w:val="0"/>
              <w:snapToGrid w:val="0"/>
              <w:spacing w:line="288" w:lineRule="auto"/>
              <w:jc w:val="center"/>
              <w:rPr>
                <w:rFonts w:ascii="宋体" w:hAnsi="宋体" w:cs="宋体"/>
                <w:sz w:val="24"/>
                <w:szCs w:val="24"/>
              </w:rPr>
            </w:pPr>
          </w:p>
        </w:tc>
        <w:tc>
          <w:tcPr>
            <w:tcW w:w="1450" w:type="dxa"/>
            <w:vMerge w:val="continue"/>
            <w:shd w:val="clear" w:color="000000" w:fill="FFFFFF"/>
            <w:tcMar>
              <w:left w:w="108" w:type="dxa"/>
              <w:right w:w="108" w:type="dxa"/>
            </w:tcMar>
            <w:vAlign w:val="center"/>
          </w:tcPr>
          <w:p w14:paraId="01177451">
            <w:pPr>
              <w:adjustRightInd w:val="0"/>
              <w:snapToGrid w:val="0"/>
              <w:spacing w:line="288" w:lineRule="auto"/>
              <w:jc w:val="center"/>
              <w:rPr>
                <w:rFonts w:ascii="宋体" w:hAnsi="宋体" w:cs="宋体"/>
                <w:sz w:val="24"/>
                <w:szCs w:val="24"/>
              </w:rPr>
            </w:pPr>
          </w:p>
        </w:tc>
        <w:tc>
          <w:tcPr>
            <w:tcW w:w="6748" w:type="dxa"/>
            <w:gridSpan w:val="2"/>
            <w:shd w:val="clear" w:color="000000" w:fill="FFFFFF"/>
            <w:tcMar>
              <w:left w:w="108" w:type="dxa"/>
              <w:right w:w="108" w:type="dxa"/>
            </w:tcMar>
            <w:vAlign w:val="center"/>
          </w:tcPr>
          <w:p w14:paraId="70E399CE">
            <w:pPr>
              <w:snapToGrid w:val="0"/>
              <w:spacing w:line="360" w:lineRule="auto"/>
              <w:rPr>
                <w:rFonts w:ascii="宋体" w:hAnsi="宋体" w:cs="宋体"/>
                <w:sz w:val="24"/>
                <w:szCs w:val="24"/>
              </w:rPr>
            </w:pPr>
            <w:r>
              <w:rPr>
                <w:rFonts w:hint="eastAsia" w:ascii="宋体" w:hAnsi="宋体" w:cs="宋体"/>
                <w:sz w:val="24"/>
                <w:szCs w:val="24"/>
              </w:rPr>
              <w:t>3.安全管理和突发事件管理（5分）</w:t>
            </w:r>
          </w:p>
          <w:p w14:paraId="25715943">
            <w:pPr>
              <w:snapToGrid w:val="0"/>
              <w:spacing w:line="360" w:lineRule="auto"/>
              <w:rPr>
                <w:rFonts w:ascii="宋体" w:hAnsi="宋体" w:cs="宋体"/>
                <w:sz w:val="24"/>
                <w:szCs w:val="24"/>
              </w:rPr>
            </w:pPr>
            <w:r>
              <w:rPr>
                <w:rFonts w:hint="eastAsia" w:ascii="宋体" w:hAnsi="宋体" w:cs="宋体"/>
                <w:sz w:val="24"/>
                <w:szCs w:val="24"/>
              </w:rPr>
              <w:t>投标人编制的安全管理和突发事件管理方案合理的，得5分；</w:t>
            </w:r>
          </w:p>
          <w:p w14:paraId="2379F544">
            <w:pPr>
              <w:snapToGrid w:val="0"/>
              <w:spacing w:line="360" w:lineRule="auto"/>
              <w:rPr>
                <w:rFonts w:ascii="宋体" w:hAnsi="宋体" w:cs="宋体"/>
                <w:sz w:val="24"/>
                <w:szCs w:val="24"/>
              </w:rPr>
            </w:pPr>
            <w:r>
              <w:rPr>
                <w:rFonts w:hint="eastAsia" w:ascii="宋体" w:hAnsi="宋体" w:cs="宋体"/>
                <w:sz w:val="24"/>
                <w:szCs w:val="24"/>
              </w:rPr>
              <w:t>投标人编制的安全管理和突发事件管理方案基本合理的，得3分；</w:t>
            </w:r>
          </w:p>
          <w:p w14:paraId="04F7412F">
            <w:pPr>
              <w:adjustRightInd w:val="0"/>
              <w:snapToGrid w:val="0"/>
              <w:spacing w:line="288" w:lineRule="auto"/>
              <w:rPr>
                <w:rFonts w:ascii="宋体" w:hAnsi="宋体" w:cs="宋体"/>
                <w:sz w:val="24"/>
                <w:szCs w:val="24"/>
              </w:rPr>
            </w:pPr>
            <w:r>
              <w:rPr>
                <w:rFonts w:hint="eastAsia" w:ascii="宋体" w:hAnsi="宋体" w:cs="宋体"/>
                <w:sz w:val="24"/>
                <w:szCs w:val="24"/>
              </w:rPr>
              <w:t>投标人编制的安全管理和突发事件管理方案的不合理的，得1分；</w:t>
            </w:r>
          </w:p>
          <w:p w14:paraId="7E1C7036">
            <w:pPr>
              <w:adjustRightInd w:val="0"/>
              <w:snapToGrid w:val="0"/>
              <w:spacing w:line="288" w:lineRule="auto"/>
              <w:rPr>
                <w:rFonts w:ascii="宋体" w:hAnsi="宋体" w:cs="宋体"/>
                <w:sz w:val="24"/>
                <w:szCs w:val="24"/>
              </w:rPr>
            </w:pPr>
            <w:r>
              <w:rPr>
                <w:rFonts w:hint="eastAsia" w:ascii="宋体" w:hAnsi="宋体" w:cs="宋体"/>
                <w:sz w:val="24"/>
                <w:szCs w:val="24"/>
              </w:rPr>
              <w:t>没有不得分。</w:t>
            </w:r>
          </w:p>
        </w:tc>
      </w:tr>
      <w:tr w14:paraId="73732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63" w:hRule="atLeast"/>
          <w:jc w:val="center"/>
        </w:trPr>
        <w:tc>
          <w:tcPr>
            <w:tcW w:w="1501" w:type="dxa"/>
            <w:vMerge w:val="continue"/>
            <w:shd w:val="clear" w:color="000000" w:fill="FFFFFF"/>
            <w:tcMar>
              <w:left w:w="108" w:type="dxa"/>
              <w:right w:w="108" w:type="dxa"/>
            </w:tcMar>
            <w:vAlign w:val="center"/>
          </w:tcPr>
          <w:p w14:paraId="08A424C8">
            <w:pPr>
              <w:adjustRightInd w:val="0"/>
              <w:snapToGrid w:val="0"/>
              <w:spacing w:line="288" w:lineRule="auto"/>
              <w:jc w:val="center"/>
              <w:rPr>
                <w:rFonts w:ascii="宋体" w:hAnsi="宋体" w:cs="宋体"/>
                <w:sz w:val="24"/>
                <w:szCs w:val="24"/>
              </w:rPr>
            </w:pPr>
          </w:p>
        </w:tc>
        <w:tc>
          <w:tcPr>
            <w:tcW w:w="1450" w:type="dxa"/>
            <w:shd w:val="clear" w:color="000000" w:fill="FFFFFF"/>
            <w:tcMar>
              <w:left w:w="108" w:type="dxa"/>
              <w:right w:w="108" w:type="dxa"/>
            </w:tcMar>
            <w:vAlign w:val="center"/>
          </w:tcPr>
          <w:p w14:paraId="68016C4B">
            <w:pPr>
              <w:adjustRightInd w:val="0"/>
              <w:snapToGrid w:val="0"/>
              <w:spacing w:line="288" w:lineRule="auto"/>
              <w:jc w:val="center"/>
              <w:rPr>
                <w:rFonts w:ascii="宋体" w:hAnsi="宋体" w:cs="宋体"/>
                <w:sz w:val="24"/>
                <w:szCs w:val="24"/>
              </w:rPr>
            </w:pPr>
            <w:r>
              <w:rPr>
                <w:rFonts w:hint="eastAsia" w:ascii="宋体" w:hAnsi="宋体" w:cs="宋体"/>
                <w:sz w:val="24"/>
                <w:szCs w:val="24"/>
              </w:rPr>
              <w:t xml:space="preserve">移交方案 </w:t>
            </w:r>
          </w:p>
          <w:p w14:paraId="715FFDA4">
            <w:pPr>
              <w:adjustRightInd w:val="0"/>
              <w:snapToGrid w:val="0"/>
              <w:spacing w:line="288" w:lineRule="auto"/>
              <w:jc w:val="center"/>
              <w:rPr>
                <w:rFonts w:ascii="宋体" w:hAnsi="宋体" w:cs="宋体"/>
                <w:sz w:val="24"/>
                <w:szCs w:val="24"/>
              </w:rPr>
            </w:pPr>
            <w:r>
              <w:rPr>
                <w:rFonts w:hint="eastAsia" w:ascii="宋体" w:hAnsi="宋体" w:cs="宋体"/>
                <w:sz w:val="24"/>
                <w:szCs w:val="24"/>
              </w:rPr>
              <w:t>（10分）</w:t>
            </w:r>
          </w:p>
        </w:tc>
        <w:tc>
          <w:tcPr>
            <w:tcW w:w="6748" w:type="dxa"/>
            <w:gridSpan w:val="2"/>
            <w:shd w:val="clear" w:color="000000" w:fill="FFFFFF"/>
            <w:tcMar>
              <w:left w:w="108" w:type="dxa"/>
              <w:right w:w="108" w:type="dxa"/>
            </w:tcMar>
            <w:vAlign w:val="center"/>
          </w:tcPr>
          <w:p w14:paraId="0B33C08A">
            <w:pPr>
              <w:adjustRightInd w:val="0"/>
              <w:snapToGrid w:val="0"/>
              <w:spacing w:line="288" w:lineRule="auto"/>
              <w:rPr>
                <w:rFonts w:ascii="宋体" w:hAnsi="宋体" w:cs="宋体"/>
                <w:bCs/>
                <w:sz w:val="24"/>
                <w:szCs w:val="24"/>
              </w:rPr>
            </w:pPr>
            <w:r>
              <w:rPr>
                <w:rFonts w:hint="eastAsia" w:ascii="宋体" w:hAnsi="宋体" w:cs="宋体"/>
                <w:bCs/>
                <w:sz w:val="24"/>
                <w:szCs w:val="24"/>
              </w:rPr>
              <w:t xml:space="preserve">包括但不限于对项目移交的总体安排、移交前对项目设施进行维护检修的方案、对接管项目设施的人员培训计划、移交手续办理安排等内容。 </w:t>
            </w:r>
          </w:p>
          <w:p w14:paraId="1556AC3E">
            <w:pPr>
              <w:adjustRightInd w:val="0"/>
              <w:snapToGrid w:val="0"/>
              <w:spacing w:line="288" w:lineRule="auto"/>
              <w:rPr>
                <w:rFonts w:ascii="宋体" w:hAnsi="宋体" w:cs="宋体"/>
                <w:bCs/>
                <w:sz w:val="24"/>
                <w:szCs w:val="24"/>
              </w:rPr>
            </w:pPr>
            <w:r>
              <w:rPr>
                <w:rFonts w:hint="eastAsia" w:ascii="宋体" w:hAnsi="宋体" w:cs="宋体"/>
                <w:bCs/>
                <w:sz w:val="24"/>
                <w:szCs w:val="24"/>
              </w:rPr>
              <w:t xml:space="preserve">内容周全、详细，移交方案合理、可行的得10分； </w:t>
            </w:r>
          </w:p>
          <w:p w14:paraId="0D255E0B">
            <w:pPr>
              <w:adjustRightInd w:val="0"/>
              <w:snapToGrid w:val="0"/>
              <w:spacing w:line="288" w:lineRule="auto"/>
              <w:rPr>
                <w:rFonts w:ascii="宋体" w:hAnsi="宋体" w:cs="宋体"/>
                <w:bCs/>
                <w:sz w:val="24"/>
                <w:szCs w:val="24"/>
              </w:rPr>
            </w:pPr>
            <w:r>
              <w:rPr>
                <w:rFonts w:hint="eastAsia" w:ascii="宋体" w:hAnsi="宋体" w:cs="宋体"/>
                <w:bCs/>
                <w:sz w:val="24"/>
                <w:szCs w:val="24"/>
              </w:rPr>
              <w:t xml:space="preserve">内容较为周全、详细，移交方案基本合理、可行的得6分； </w:t>
            </w:r>
          </w:p>
          <w:p w14:paraId="1ACC8341">
            <w:pPr>
              <w:adjustRightInd w:val="0"/>
              <w:snapToGrid w:val="0"/>
              <w:spacing w:line="288" w:lineRule="auto"/>
              <w:rPr>
                <w:rFonts w:ascii="宋体" w:hAnsi="宋体" w:cs="宋体"/>
                <w:bCs/>
                <w:sz w:val="24"/>
                <w:szCs w:val="24"/>
              </w:rPr>
            </w:pPr>
            <w:r>
              <w:rPr>
                <w:rFonts w:hint="eastAsia" w:ascii="宋体" w:hAnsi="宋体" w:cs="宋体"/>
                <w:bCs/>
                <w:sz w:val="24"/>
                <w:szCs w:val="24"/>
              </w:rPr>
              <w:t>内容基本周全、详细，移交方案措施较差的得3分；</w:t>
            </w:r>
          </w:p>
          <w:p w14:paraId="26102BE6">
            <w:pPr>
              <w:adjustRightInd w:val="0"/>
              <w:snapToGrid w:val="0"/>
              <w:spacing w:line="288" w:lineRule="auto"/>
              <w:rPr>
                <w:rFonts w:ascii="宋体" w:hAnsi="宋体" w:cs="宋体"/>
                <w:bCs/>
                <w:sz w:val="24"/>
                <w:szCs w:val="24"/>
              </w:rPr>
            </w:pPr>
            <w:r>
              <w:rPr>
                <w:rFonts w:hint="eastAsia" w:ascii="宋体" w:hAnsi="宋体" w:cs="宋体"/>
                <w:sz w:val="24"/>
                <w:szCs w:val="24"/>
              </w:rPr>
              <w:t>没有不得分。</w:t>
            </w:r>
          </w:p>
        </w:tc>
      </w:tr>
      <w:tr w14:paraId="622EF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63" w:hRule="atLeast"/>
          <w:jc w:val="center"/>
        </w:trPr>
        <w:tc>
          <w:tcPr>
            <w:tcW w:w="1501" w:type="dxa"/>
            <w:vMerge w:val="continue"/>
            <w:shd w:val="clear" w:color="000000" w:fill="FFFFFF"/>
            <w:tcMar>
              <w:left w:w="108" w:type="dxa"/>
              <w:right w:w="108" w:type="dxa"/>
            </w:tcMar>
            <w:vAlign w:val="center"/>
          </w:tcPr>
          <w:p w14:paraId="561CE898">
            <w:pPr>
              <w:adjustRightInd w:val="0"/>
              <w:snapToGrid w:val="0"/>
              <w:spacing w:line="288" w:lineRule="auto"/>
              <w:jc w:val="center"/>
              <w:rPr>
                <w:rFonts w:ascii="宋体" w:hAnsi="宋体" w:cs="宋体"/>
                <w:sz w:val="24"/>
                <w:szCs w:val="24"/>
              </w:rPr>
            </w:pPr>
          </w:p>
        </w:tc>
        <w:tc>
          <w:tcPr>
            <w:tcW w:w="1450" w:type="dxa"/>
            <w:shd w:val="clear" w:color="000000" w:fill="FFFFFF"/>
            <w:tcMar>
              <w:left w:w="108" w:type="dxa"/>
              <w:right w:w="108" w:type="dxa"/>
            </w:tcMar>
            <w:vAlign w:val="center"/>
          </w:tcPr>
          <w:p w14:paraId="0403C063">
            <w:pPr>
              <w:adjustRightInd w:val="0"/>
              <w:snapToGrid w:val="0"/>
              <w:spacing w:line="288" w:lineRule="auto"/>
              <w:jc w:val="center"/>
              <w:rPr>
                <w:rFonts w:ascii="宋体" w:hAnsi="宋体" w:cs="宋体"/>
                <w:sz w:val="24"/>
                <w:szCs w:val="24"/>
              </w:rPr>
            </w:pPr>
            <w:r>
              <w:rPr>
                <w:rFonts w:hint="eastAsia" w:ascii="宋体" w:hAnsi="宋体" w:cs="宋体"/>
                <w:sz w:val="24"/>
                <w:szCs w:val="24"/>
              </w:rPr>
              <w:t>供水安全保障体系</w:t>
            </w:r>
          </w:p>
          <w:p w14:paraId="7CF72A00">
            <w:pPr>
              <w:adjustRightInd w:val="0"/>
              <w:snapToGrid w:val="0"/>
              <w:spacing w:line="288" w:lineRule="auto"/>
              <w:jc w:val="center"/>
              <w:rPr>
                <w:rFonts w:ascii="宋体" w:hAnsi="宋体" w:cs="宋体"/>
                <w:sz w:val="24"/>
                <w:szCs w:val="24"/>
              </w:rPr>
            </w:pPr>
            <w:r>
              <w:rPr>
                <w:rFonts w:hint="eastAsia" w:ascii="宋体" w:hAnsi="宋体" w:cs="宋体"/>
                <w:sz w:val="24"/>
                <w:szCs w:val="24"/>
              </w:rPr>
              <w:t>（10分）</w:t>
            </w:r>
          </w:p>
        </w:tc>
        <w:tc>
          <w:tcPr>
            <w:tcW w:w="6748" w:type="dxa"/>
            <w:gridSpan w:val="2"/>
            <w:shd w:val="clear" w:color="000000" w:fill="FFFFFF"/>
            <w:tcMar>
              <w:left w:w="108" w:type="dxa"/>
              <w:right w:w="108" w:type="dxa"/>
            </w:tcMar>
            <w:vAlign w:val="center"/>
          </w:tcPr>
          <w:p w14:paraId="0B916240">
            <w:pPr>
              <w:adjustRightInd w:val="0"/>
              <w:snapToGrid w:val="0"/>
              <w:spacing w:line="288" w:lineRule="auto"/>
              <w:rPr>
                <w:rFonts w:ascii="宋体" w:hAnsi="宋体" w:cs="宋体"/>
                <w:bCs/>
                <w:sz w:val="24"/>
                <w:szCs w:val="24"/>
              </w:rPr>
            </w:pPr>
            <w:r>
              <w:rPr>
                <w:rFonts w:hint="eastAsia" w:ascii="宋体" w:hAnsi="宋体" w:cs="宋体"/>
                <w:bCs/>
                <w:sz w:val="24"/>
                <w:szCs w:val="24"/>
              </w:rPr>
              <w:t>包括但不限于对项目</w:t>
            </w:r>
            <w:r>
              <w:rPr>
                <w:rFonts w:ascii="宋体" w:hAnsi="宋体" w:cs="宋体"/>
                <w:sz w:val="24"/>
                <w:szCs w:val="24"/>
              </w:rPr>
              <w:t>水质安全管理</w:t>
            </w:r>
            <w:r>
              <w:rPr>
                <w:rFonts w:hint="eastAsia" w:ascii="宋体" w:hAnsi="宋体" w:cs="宋体"/>
                <w:bCs/>
                <w:sz w:val="24"/>
                <w:szCs w:val="24"/>
              </w:rPr>
              <w:t>、</w:t>
            </w:r>
            <w:r>
              <w:rPr>
                <w:rFonts w:ascii="宋体" w:hAnsi="宋体" w:cs="宋体"/>
                <w:sz w:val="24"/>
                <w:szCs w:val="24"/>
              </w:rPr>
              <w:t>设施设备安全运行</w:t>
            </w:r>
            <w:r>
              <w:rPr>
                <w:rFonts w:hint="eastAsia" w:ascii="宋体" w:hAnsi="宋体" w:cs="宋体"/>
                <w:bCs/>
                <w:sz w:val="24"/>
                <w:szCs w:val="24"/>
              </w:rPr>
              <w:t>、</w:t>
            </w:r>
            <w:r>
              <w:rPr>
                <w:rFonts w:ascii="宋体" w:hAnsi="宋体" w:cs="宋体"/>
                <w:sz w:val="24"/>
                <w:szCs w:val="24"/>
              </w:rPr>
              <w:t>管网安全与漏损控制</w:t>
            </w:r>
            <w:r>
              <w:rPr>
                <w:rFonts w:hint="eastAsia" w:ascii="宋体" w:hAnsi="宋体" w:cs="宋体"/>
                <w:bCs/>
                <w:sz w:val="24"/>
                <w:szCs w:val="24"/>
              </w:rPr>
              <w:t>、</w:t>
            </w:r>
            <w:r>
              <w:rPr>
                <w:rFonts w:ascii="宋体" w:hAnsi="宋体" w:cs="宋体"/>
                <w:sz w:val="24"/>
                <w:szCs w:val="24"/>
              </w:rPr>
              <w:t>应急保障体系</w:t>
            </w:r>
            <w:r>
              <w:rPr>
                <w:rFonts w:hint="eastAsia" w:ascii="宋体" w:hAnsi="宋体" w:cs="宋体"/>
                <w:bCs/>
                <w:sz w:val="24"/>
                <w:szCs w:val="24"/>
              </w:rPr>
              <w:t>等内容。</w:t>
            </w:r>
          </w:p>
          <w:p w14:paraId="1CECE671">
            <w:pPr>
              <w:adjustRightInd w:val="0"/>
              <w:snapToGrid w:val="0"/>
              <w:spacing w:line="288" w:lineRule="auto"/>
              <w:rPr>
                <w:rFonts w:ascii="宋体" w:hAnsi="宋体" w:cs="宋体"/>
                <w:bCs/>
                <w:sz w:val="24"/>
                <w:szCs w:val="24"/>
              </w:rPr>
            </w:pPr>
            <w:r>
              <w:rPr>
                <w:rFonts w:hint="eastAsia" w:ascii="宋体" w:hAnsi="宋体" w:cs="宋体"/>
                <w:bCs/>
                <w:sz w:val="24"/>
                <w:szCs w:val="24"/>
              </w:rPr>
              <w:t xml:space="preserve">内容周全、详细，移交方案合理、可行的得10分； </w:t>
            </w:r>
          </w:p>
          <w:p w14:paraId="744A43A7">
            <w:pPr>
              <w:adjustRightInd w:val="0"/>
              <w:snapToGrid w:val="0"/>
              <w:spacing w:line="288" w:lineRule="auto"/>
              <w:rPr>
                <w:rFonts w:ascii="宋体" w:hAnsi="宋体" w:cs="宋体"/>
                <w:bCs/>
                <w:sz w:val="24"/>
                <w:szCs w:val="24"/>
              </w:rPr>
            </w:pPr>
            <w:r>
              <w:rPr>
                <w:rFonts w:hint="eastAsia" w:ascii="宋体" w:hAnsi="宋体" w:cs="宋体"/>
                <w:bCs/>
                <w:sz w:val="24"/>
                <w:szCs w:val="24"/>
              </w:rPr>
              <w:t xml:space="preserve">内容较为周全、详细，移交方案基本合理、可行的得6分； </w:t>
            </w:r>
          </w:p>
          <w:p w14:paraId="1F73C7CA">
            <w:pPr>
              <w:adjustRightInd w:val="0"/>
              <w:snapToGrid w:val="0"/>
              <w:spacing w:line="288" w:lineRule="auto"/>
              <w:rPr>
                <w:rFonts w:ascii="宋体" w:hAnsi="宋体" w:cs="宋体"/>
                <w:bCs/>
                <w:sz w:val="24"/>
                <w:szCs w:val="24"/>
              </w:rPr>
            </w:pPr>
            <w:r>
              <w:rPr>
                <w:rFonts w:hint="eastAsia" w:ascii="宋体" w:hAnsi="宋体" w:cs="宋体"/>
                <w:bCs/>
                <w:sz w:val="24"/>
                <w:szCs w:val="24"/>
              </w:rPr>
              <w:t>内容基本周全、详细，移交方案措施较差的得3分；</w:t>
            </w:r>
          </w:p>
          <w:p w14:paraId="6DC89084">
            <w:pPr>
              <w:adjustRightInd w:val="0"/>
              <w:snapToGrid w:val="0"/>
              <w:spacing w:line="288" w:lineRule="auto"/>
              <w:rPr>
                <w:rFonts w:ascii="宋体" w:hAnsi="宋体" w:cs="宋体"/>
                <w:bCs/>
                <w:sz w:val="24"/>
                <w:szCs w:val="24"/>
              </w:rPr>
            </w:pPr>
            <w:r>
              <w:rPr>
                <w:rFonts w:hint="eastAsia" w:ascii="宋体" w:hAnsi="宋体" w:cs="宋体"/>
                <w:sz w:val="24"/>
                <w:szCs w:val="24"/>
              </w:rPr>
              <w:t>没有不得分。</w:t>
            </w:r>
          </w:p>
        </w:tc>
      </w:tr>
      <w:tr w14:paraId="4BD2E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00" w:hRule="atLeast"/>
          <w:jc w:val="center"/>
        </w:trPr>
        <w:tc>
          <w:tcPr>
            <w:tcW w:w="1501" w:type="dxa"/>
            <w:vMerge w:val="restart"/>
            <w:shd w:val="clear" w:color="000000" w:fill="FFFFFF"/>
            <w:tcMar>
              <w:left w:w="108" w:type="dxa"/>
              <w:right w:w="108" w:type="dxa"/>
            </w:tcMar>
            <w:vAlign w:val="center"/>
          </w:tcPr>
          <w:p w14:paraId="34554F07">
            <w:pPr>
              <w:tabs>
                <w:tab w:val="left" w:pos="5130"/>
              </w:tabs>
              <w:adjustRightInd w:val="0"/>
              <w:snapToGrid w:val="0"/>
              <w:spacing w:line="288" w:lineRule="auto"/>
              <w:jc w:val="center"/>
              <w:rPr>
                <w:rFonts w:ascii="宋体" w:hAnsi="宋体" w:cs="宋体"/>
                <w:sz w:val="24"/>
                <w:szCs w:val="24"/>
              </w:rPr>
            </w:pPr>
            <w:r>
              <w:rPr>
                <w:rFonts w:ascii="宋体" w:hAnsi="宋体" w:cs="宋体"/>
                <w:sz w:val="24"/>
                <w:szCs w:val="24"/>
              </w:rPr>
              <w:t>商务部分</w:t>
            </w:r>
          </w:p>
          <w:p w14:paraId="43E24ECB">
            <w:pPr>
              <w:tabs>
                <w:tab w:val="left" w:pos="5130"/>
              </w:tabs>
              <w:adjustRightInd w:val="0"/>
              <w:snapToGrid w:val="0"/>
              <w:spacing w:line="288" w:lineRule="auto"/>
              <w:jc w:val="center"/>
              <w:rPr>
                <w:rFonts w:ascii="宋体" w:hAnsi="宋体" w:cs="宋体"/>
                <w:sz w:val="24"/>
                <w:szCs w:val="24"/>
              </w:rPr>
            </w:pPr>
            <w:r>
              <w:rPr>
                <w:rFonts w:ascii="宋体" w:hAnsi="宋体" w:cs="宋体"/>
                <w:sz w:val="24"/>
                <w:szCs w:val="24"/>
              </w:rPr>
              <w:t>（</w:t>
            </w:r>
            <w:r>
              <w:rPr>
                <w:rFonts w:hint="eastAsia" w:ascii="宋体" w:hAnsi="宋体" w:cs="宋体"/>
                <w:sz w:val="24"/>
                <w:szCs w:val="24"/>
              </w:rPr>
              <w:t>25</w:t>
            </w:r>
            <w:r>
              <w:rPr>
                <w:rFonts w:ascii="宋体" w:hAnsi="宋体" w:cs="宋体"/>
                <w:sz w:val="24"/>
                <w:szCs w:val="24"/>
              </w:rPr>
              <w:t>分）</w:t>
            </w:r>
          </w:p>
        </w:tc>
        <w:tc>
          <w:tcPr>
            <w:tcW w:w="1450" w:type="dxa"/>
            <w:tcMar>
              <w:left w:w="108" w:type="dxa"/>
              <w:right w:w="108" w:type="dxa"/>
            </w:tcMar>
            <w:vAlign w:val="center"/>
          </w:tcPr>
          <w:p w14:paraId="248EDE7E">
            <w:pPr>
              <w:widowControl/>
              <w:adjustRightInd w:val="0"/>
              <w:snapToGrid w:val="0"/>
              <w:spacing w:line="288" w:lineRule="auto"/>
              <w:jc w:val="center"/>
              <w:rPr>
                <w:rFonts w:ascii="宋体" w:hAnsi="宋体" w:cs="宋体"/>
                <w:sz w:val="24"/>
                <w:szCs w:val="24"/>
              </w:rPr>
            </w:pPr>
            <w:r>
              <w:rPr>
                <w:rFonts w:hint="eastAsia" w:ascii="宋体" w:hAnsi="宋体" w:cs="宋体"/>
                <w:sz w:val="24"/>
                <w:szCs w:val="24"/>
              </w:rPr>
              <w:t>企业业绩</w:t>
            </w:r>
          </w:p>
          <w:p w14:paraId="46227D20">
            <w:pPr>
              <w:widowControl/>
              <w:adjustRightInd w:val="0"/>
              <w:snapToGrid w:val="0"/>
              <w:spacing w:line="288" w:lineRule="auto"/>
              <w:jc w:val="center"/>
              <w:rPr>
                <w:rFonts w:ascii="宋体" w:hAnsi="宋体" w:cs="宋体"/>
                <w:sz w:val="24"/>
                <w:szCs w:val="24"/>
              </w:rPr>
            </w:pPr>
            <w:r>
              <w:rPr>
                <w:rFonts w:hint="eastAsia" w:ascii="宋体" w:hAnsi="宋体" w:cs="宋体"/>
                <w:sz w:val="24"/>
                <w:szCs w:val="24"/>
              </w:rPr>
              <w:t>（10分）</w:t>
            </w:r>
          </w:p>
        </w:tc>
        <w:tc>
          <w:tcPr>
            <w:tcW w:w="6748" w:type="dxa"/>
            <w:gridSpan w:val="2"/>
            <w:tcMar>
              <w:left w:w="108" w:type="dxa"/>
              <w:right w:w="108" w:type="dxa"/>
            </w:tcMar>
            <w:vAlign w:val="center"/>
          </w:tcPr>
          <w:p w14:paraId="2EF3DB7B">
            <w:pPr>
              <w:widowControl/>
              <w:adjustRightInd w:val="0"/>
              <w:snapToGrid w:val="0"/>
              <w:spacing w:line="288" w:lineRule="auto"/>
              <w:rPr>
                <w:rFonts w:ascii="宋体" w:hAnsi="宋体" w:cs="宋体"/>
                <w:sz w:val="24"/>
                <w:szCs w:val="24"/>
              </w:rPr>
            </w:pPr>
            <w:r>
              <w:rPr>
                <w:rFonts w:hint="eastAsia" w:ascii="宋体" w:hAnsi="宋体" w:cs="宋体"/>
                <w:sz w:val="24"/>
                <w:szCs w:val="24"/>
              </w:rPr>
              <w:t xml:space="preserve">供应商2023年4月1日以来（以合同签订时间为准）承担过投资、运营类供水相关项目业绩的，每提供一项业绩得1分，最多得10分，不提供不得分。 </w:t>
            </w:r>
          </w:p>
          <w:p w14:paraId="1B8C06F1">
            <w:pPr>
              <w:widowControl/>
              <w:adjustRightInd w:val="0"/>
              <w:snapToGrid w:val="0"/>
              <w:spacing w:line="288" w:lineRule="auto"/>
              <w:rPr>
                <w:rFonts w:ascii="宋体" w:hAnsi="宋体" w:cs="宋体"/>
                <w:sz w:val="24"/>
                <w:szCs w:val="24"/>
              </w:rPr>
            </w:pPr>
            <w:r>
              <w:rPr>
                <w:rFonts w:hint="eastAsia" w:ascii="宋体" w:hAnsi="宋体" w:cs="宋体"/>
                <w:sz w:val="24"/>
                <w:szCs w:val="24"/>
              </w:rPr>
              <w:t>注：投标文件中需附承担过类似项目中标通知书、合同扫描件或合同关键页扫描件（关键页须包含合同甲乙双方、项目名称、项目内容、合同金额、签订日期、签字盖章页。）</w:t>
            </w:r>
          </w:p>
        </w:tc>
      </w:tr>
      <w:tr w14:paraId="0A97F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501" w:type="dxa"/>
            <w:vMerge w:val="continue"/>
            <w:shd w:val="clear" w:color="000000" w:fill="FFFFFF"/>
            <w:tcMar>
              <w:left w:w="108" w:type="dxa"/>
              <w:right w:w="108" w:type="dxa"/>
            </w:tcMar>
            <w:vAlign w:val="center"/>
          </w:tcPr>
          <w:p w14:paraId="5334ED4C">
            <w:pPr>
              <w:tabs>
                <w:tab w:val="left" w:pos="5130"/>
              </w:tabs>
              <w:adjustRightInd w:val="0"/>
              <w:snapToGrid w:val="0"/>
              <w:spacing w:line="288" w:lineRule="auto"/>
              <w:jc w:val="center"/>
              <w:rPr>
                <w:rFonts w:ascii="宋体" w:hAnsi="宋体" w:cs="宋体"/>
                <w:sz w:val="24"/>
                <w:szCs w:val="24"/>
              </w:rPr>
            </w:pPr>
          </w:p>
        </w:tc>
        <w:tc>
          <w:tcPr>
            <w:tcW w:w="1450" w:type="dxa"/>
            <w:tcMar>
              <w:left w:w="108" w:type="dxa"/>
              <w:right w:w="108" w:type="dxa"/>
            </w:tcMar>
            <w:vAlign w:val="center"/>
          </w:tcPr>
          <w:p w14:paraId="670B68DF">
            <w:pPr>
              <w:widowControl/>
              <w:adjustRightInd w:val="0"/>
              <w:snapToGrid w:val="0"/>
              <w:spacing w:line="288" w:lineRule="auto"/>
              <w:jc w:val="center"/>
              <w:rPr>
                <w:rFonts w:ascii="宋体" w:hAnsi="宋体" w:cs="宋体"/>
                <w:sz w:val="24"/>
                <w:szCs w:val="24"/>
              </w:rPr>
            </w:pPr>
            <w:r>
              <w:rPr>
                <w:rFonts w:hint="eastAsia" w:ascii="宋体" w:hAnsi="宋体" w:cs="宋体"/>
                <w:sz w:val="24"/>
                <w:szCs w:val="24"/>
              </w:rPr>
              <w:t>体系认证</w:t>
            </w:r>
          </w:p>
          <w:p w14:paraId="33BF9982">
            <w:pPr>
              <w:widowControl/>
              <w:adjustRightInd w:val="0"/>
              <w:snapToGrid w:val="0"/>
              <w:spacing w:line="288" w:lineRule="auto"/>
              <w:jc w:val="center"/>
              <w:rPr>
                <w:rFonts w:ascii="宋体" w:hAnsi="宋体" w:cs="宋体"/>
                <w:sz w:val="24"/>
                <w:szCs w:val="24"/>
              </w:rPr>
            </w:pPr>
            <w:r>
              <w:rPr>
                <w:rFonts w:hint="eastAsia" w:ascii="宋体" w:hAnsi="宋体" w:cs="宋体"/>
                <w:sz w:val="24"/>
                <w:szCs w:val="24"/>
              </w:rPr>
              <w:t>（3分）</w:t>
            </w:r>
          </w:p>
        </w:tc>
        <w:tc>
          <w:tcPr>
            <w:tcW w:w="6748" w:type="dxa"/>
            <w:gridSpan w:val="2"/>
            <w:tcMar>
              <w:left w:w="108" w:type="dxa"/>
              <w:right w:w="108" w:type="dxa"/>
            </w:tcMar>
            <w:vAlign w:val="center"/>
          </w:tcPr>
          <w:p w14:paraId="7A842CC8">
            <w:pPr>
              <w:widowControl/>
              <w:adjustRightInd w:val="0"/>
              <w:snapToGrid w:val="0"/>
              <w:spacing w:line="288" w:lineRule="auto"/>
              <w:rPr>
                <w:rFonts w:ascii="宋体" w:hAnsi="宋体" w:cs="宋体"/>
                <w:sz w:val="24"/>
                <w:szCs w:val="24"/>
              </w:rPr>
            </w:pPr>
            <w:r>
              <w:rPr>
                <w:rFonts w:hint="eastAsia" w:ascii="宋体" w:hAnsi="宋体" w:cs="宋体"/>
                <w:sz w:val="24"/>
                <w:szCs w:val="24"/>
              </w:rPr>
              <w:t xml:space="preserve">供应商具有有效的质量管理体系认证证书、职业健康安全管理体系认证证书、环境管理体系认证证书，并均在有效期内的，得3分；任缺一项不得分。 </w:t>
            </w:r>
          </w:p>
          <w:p w14:paraId="27CD92F2">
            <w:pPr>
              <w:widowControl/>
              <w:adjustRightInd w:val="0"/>
              <w:snapToGrid w:val="0"/>
              <w:spacing w:line="288" w:lineRule="auto"/>
              <w:rPr>
                <w:rFonts w:ascii="宋体" w:hAnsi="宋体" w:cs="宋体"/>
                <w:sz w:val="24"/>
                <w:szCs w:val="24"/>
              </w:rPr>
            </w:pPr>
            <w:r>
              <w:rPr>
                <w:rFonts w:hint="eastAsia" w:ascii="宋体" w:hAnsi="宋体" w:cs="宋体"/>
                <w:sz w:val="24"/>
                <w:szCs w:val="24"/>
              </w:rPr>
              <w:t>（以上证件以发证日期为准，投标文件中附原件扫描件或红头文件，否则不得分）</w:t>
            </w:r>
          </w:p>
        </w:tc>
      </w:tr>
      <w:tr w14:paraId="2E5F0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501" w:type="dxa"/>
            <w:vMerge w:val="continue"/>
            <w:shd w:val="clear" w:color="000000" w:fill="FFFFFF"/>
            <w:tcMar>
              <w:left w:w="108" w:type="dxa"/>
              <w:right w:w="108" w:type="dxa"/>
            </w:tcMar>
            <w:vAlign w:val="center"/>
          </w:tcPr>
          <w:p w14:paraId="0B1C5328">
            <w:pPr>
              <w:tabs>
                <w:tab w:val="left" w:pos="5130"/>
              </w:tabs>
              <w:adjustRightInd w:val="0"/>
              <w:snapToGrid w:val="0"/>
              <w:spacing w:line="288" w:lineRule="auto"/>
              <w:jc w:val="center"/>
              <w:rPr>
                <w:rFonts w:ascii="宋体" w:hAnsi="宋体" w:cs="宋体"/>
                <w:sz w:val="24"/>
                <w:szCs w:val="24"/>
              </w:rPr>
            </w:pPr>
          </w:p>
        </w:tc>
        <w:tc>
          <w:tcPr>
            <w:tcW w:w="1450" w:type="dxa"/>
            <w:tcMar>
              <w:left w:w="108" w:type="dxa"/>
              <w:right w:w="108" w:type="dxa"/>
            </w:tcMar>
            <w:vAlign w:val="center"/>
          </w:tcPr>
          <w:p w14:paraId="197C4F67">
            <w:pPr>
              <w:widowControl/>
              <w:adjustRightInd w:val="0"/>
              <w:snapToGrid w:val="0"/>
              <w:spacing w:line="288" w:lineRule="auto"/>
              <w:jc w:val="center"/>
              <w:rPr>
                <w:rFonts w:ascii="宋体" w:hAnsi="宋体" w:cs="宋体"/>
                <w:sz w:val="24"/>
                <w:szCs w:val="24"/>
              </w:rPr>
            </w:pPr>
            <w:r>
              <w:rPr>
                <w:rFonts w:hint="eastAsia" w:ascii="宋体" w:hAnsi="宋体" w:cs="宋体"/>
                <w:sz w:val="24"/>
                <w:szCs w:val="24"/>
              </w:rPr>
              <w:t>公共服务承诺</w:t>
            </w:r>
          </w:p>
          <w:p w14:paraId="4BDACD49">
            <w:pPr>
              <w:widowControl/>
              <w:adjustRightInd w:val="0"/>
              <w:snapToGrid w:val="0"/>
              <w:spacing w:line="288" w:lineRule="auto"/>
              <w:jc w:val="center"/>
              <w:rPr>
                <w:rFonts w:ascii="宋体" w:hAnsi="宋体" w:cs="宋体"/>
                <w:sz w:val="24"/>
                <w:szCs w:val="24"/>
              </w:rPr>
            </w:pPr>
            <w:r>
              <w:rPr>
                <w:rFonts w:hint="eastAsia" w:ascii="宋体" w:hAnsi="宋体" w:cs="宋体"/>
                <w:sz w:val="24"/>
                <w:szCs w:val="24"/>
              </w:rPr>
              <w:t xml:space="preserve">（6分） </w:t>
            </w:r>
          </w:p>
        </w:tc>
        <w:tc>
          <w:tcPr>
            <w:tcW w:w="6748" w:type="dxa"/>
            <w:gridSpan w:val="2"/>
            <w:tcMar>
              <w:left w:w="108" w:type="dxa"/>
              <w:right w:w="108" w:type="dxa"/>
            </w:tcMar>
            <w:vAlign w:val="center"/>
          </w:tcPr>
          <w:p w14:paraId="325EC879">
            <w:pPr>
              <w:widowControl/>
              <w:adjustRightInd w:val="0"/>
              <w:snapToGrid w:val="0"/>
              <w:spacing w:line="288" w:lineRule="auto"/>
              <w:jc w:val="left"/>
              <w:rPr>
                <w:rFonts w:ascii="宋体" w:hAnsi="宋体" w:cs="宋体"/>
                <w:sz w:val="24"/>
                <w:szCs w:val="24"/>
              </w:rPr>
            </w:pPr>
            <w:r>
              <w:rPr>
                <w:rFonts w:hint="eastAsia" w:ascii="宋体" w:hAnsi="宋体" w:cs="宋体"/>
                <w:sz w:val="24"/>
                <w:szCs w:val="24"/>
              </w:rPr>
              <w:t xml:space="preserve">1.供应商提供遵守《特许经营协议》的终止及违约责任及争议解决方案承诺的得2分；（缺项不得分） </w:t>
            </w:r>
          </w:p>
          <w:p w14:paraId="3FBC8ABF">
            <w:pPr>
              <w:widowControl/>
              <w:adjustRightInd w:val="0"/>
              <w:snapToGrid w:val="0"/>
              <w:spacing w:line="288" w:lineRule="auto"/>
              <w:jc w:val="left"/>
              <w:rPr>
                <w:rFonts w:ascii="宋体" w:hAnsi="宋体" w:cs="宋体"/>
                <w:sz w:val="24"/>
                <w:szCs w:val="24"/>
              </w:rPr>
            </w:pPr>
            <w:r>
              <w:rPr>
                <w:rFonts w:hint="eastAsia" w:ascii="宋体" w:hAnsi="宋体" w:cs="宋体"/>
                <w:sz w:val="24"/>
                <w:szCs w:val="24"/>
              </w:rPr>
              <w:t xml:space="preserve">2.供应商提供积极配合主管部门各项工作的保证措施和承诺的得2分。（缺项不得分） </w:t>
            </w:r>
          </w:p>
          <w:p w14:paraId="51F67FAE">
            <w:pPr>
              <w:widowControl/>
              <w:adjustRightInd w:val="0"/>
              <w:snapToGrid w:val="0"/>
              <w:spacing w:line="288" w:lineRule="auto"/>
              <w:jc w:val="left"/>
              <w:rPr>
                <w:rFonts w:ascii="宋体" w:hAnsi="宋体" w:cs="宋体"/>
                <w:sz w:val="24"/>
                <w:szCs w:val="24"/>
              </w:rPr>
            </w:pPr>
            <w:r>
              <w:rPr>
                <w:rFonts w:hint="eastAsia" w:ascii="宋体" w:hAnsi="宋体" w:cs="宋体"/>
                <w:sz w:val="24"/>
                <w:szCs w:val="24"/>
              </w:rPr>
              <w:t>3.针对该项目为招标人提出的合理化建议及实施方案得2分。（缺项不得分）</w:t>
            </w:r>
          </w:p>
        </w:tc>
      </w:tr>
      <w:tr w14:paraId="5DCCE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501" w:type="dxa"/>
            <w:vMerge w:val="continue"/>
            <w:shd w:val="clear" w:color="000000" w:fill="FFFFFF"/>
            <w:tcMar>
              <w:left w:w="108" w:type="dxa"/>
              <w:right w:w="108" w:type="dxa"/>
            </w:tcMar>
            <w:vAlign w:val="center"/>
          </w:tcPr>
          <w:p w14:paraId="28F6FA7A">
            <w:pPr>
              <w:tabs>
                <w:tab w:val="left" w:pos="5130"/>
              </w:tabs>
              <w:adjustRightInd w:val="0"/>
              <w:snapToGrid w:val="0"/>
              <w:spacing w:line="288" w:lineRule="auto"/>
              <w:jc w:val="center"/>
              <w:rPr>
                <w:rFonts w:ascii="宋体" w:hAnsi="宋体" w:cs="宋体"/>
                <w:sz w:val="24"/>
                <w:szCs w:val="24"/>
              </w:rPr>
            </w:pPr>
          </w:p>
        </w:tc>
        <w:tc>
          <w:tcPr>
            <w:tcW w:w="1450" w:type="dxa"/>
            <w:tcMar>
              <w:left w:w="108" w:type="dxa"/>
              <w:right w:w="108" w:type="dxa"/>
            </w:tcMar>
            <w:vAlign w:val="center"/>
          </w:tcPr>
          <w:p w14:paraId="15598989">
            <w:pPr>
              <w:widowControl/>
              <w:adjustRightInd w:val="0"/>
              <w:snapToGrid w:val="0"/>
              <w:spacing w:line="288" w:lineRule="auto"/>
              <w:jc w:val="center"/>
              <w:rPr>
                <w:rFonts w:ascii="宋体" w:hAnsi="宋体" w:cs="宋体"/>
                <w:sz w:val="24"/>
                <w:szCs w:val="24"/>
              </w:rPr>
            </w:pPr>
            <w:r>
              <w:rPr>
                <w:rFonts w:hint="eastAsia" w:ascii="宋体" w:hAnsi="宋体" w:cs="宋体"/>
                <w:sz w:val="24"/>
                <w:szCs w:val="24"/>
              </w:rPr>
              <w:t>项目人员实力水平</w:t>
            </w:r>
          </w:p>
          <w:p w14:paraId="4765A35E">
            <w:pPr>
              <w:widowControl/>
              <w:adjustRightInd w:val="0"/>
              <w:snapToGrid w:val="0"/>
              <w:spacing w:line="288" w:lineRule="auto"/>
              <w:jc w:val="center"/>
              <w:rPr>
                <w:rFonts w:ascii="宋体" w:hAnsi="宋体" w:cs="宋体"/>
                <w:sz w:val="24"/>
                <w:szCs w:val="24"/>
              </w:rPr>
            </w:pPr>
            <w:r>
              <w:rPr>
                <w:rFonts w:hint="eastAsia" w:ascii="宋体" w:hAnsi="宋体" w:cs="宋体"/>
                <w:sz w:val="24"/>
                <w:szCs w:val="24"/>
              </w:rPr>
              <w:t>（6分）</w:t>
            </w:r>
          </w:p>
        </w:tc>
        <w:tc>
          <w:tcPr>
            <w:tcW w:w="6748" w:type="dxa"/>
            <w:gridSpan w:val="2"/>
            <w:tcMar>
              <w:left w:w="108" w:type="dxa"/>
              <w:right w:w="108" w:type="dxa"/>
            </w:tcMar>
            <w:vAlign w:val="center"/>
          </w:tcPr>
          <w:p w14:paraId="2BB79138">
            <w:pPr>
              <w:widowControl/>
              <w:adjustRightInd w:val="0"/>
              <w:snapToGrid w:val="0"/>
              <w:spacing w:line="288" w:lineRule="auto"/>
              <w:rPr>
                <w:rFonts w:ascii="宋体" w:hAnsi="宋体" w:cs="宋体"/>
                <w:sz w:val="24"/>
                <w:szCs w:val="24"/>
              </w:rPr>
            </w:pPr>
            <w:r>
              <w:rPr>
                <w:rFonts w:hint="eastAsia" w:ascii="宋体" w:hAnsi="宋体" w:cs="宋体"/>
                <w:sz w:val="24"/>
                <w:szCs w:val="24"/>
              </w:rPr>
              <w:t>供应商每提供一个水利或市政专业中级工程师1分，每提供一个水利或市政专业高级工程师得2分，最高得6分。</w:t>
            </w:r>
          </w:p>
          <w:p w14:paraId="021452E9">
            <w:pPr>
              <w:widowControl/>
              <w:adjustRightInd w:val="0"/>
              <w:snapToGrid w:val="0"/>
              <w:spacing w:line="288" w:lineRule="auto"/>
              <w:rPr>
                <w:rFonts w:ascii="宋体" w:hAnsi="宋体" w:cs="宋体"/>
                <w:sz w:val="24"/>
                <w:szCs w:val="24"/>
              </w:rPr>
            </w:pPr>
            <w:r>
              <w:rPr>
                <w:rFonts w:hint="eastAsia" w:ascii="宋体" w:hAnsi="宋体" w:cs="宋体"/>
                <w:sz w:val="24"/>
                <w:szCs w:val="24"/>
              </w:rPr>
              <w:t>提供职称证书原件的扫描件和2025年4月1日以来连续6个月的社保缴纳证明扫描件，不提供不得分。</w:t>
            </w:r>
          </w:p>
        </w:tc>
      </w:tr>
    </w:tbl>
    <w:p w14:paraId="03AD5044">
      <w:pPr>
        <w:pStyle w:val="27"/>
        <w:spacing w:line="360" w:lineRule="auto"/>
        <w:ind w:right="-10" w:firstLine="0"/>
        <w:rPr>
          <w:rFonts w:ascii="宋体" w:hAnsi="宋体" w:eastAsia="宋体" w:cs="宋体"/>
          <w:sz w:val="20"/>
          <w:szCs w:val="21"/>
        </w:rPr>
      </w:pPr>
    </w:p>
    <w:p w14:paraId="2ED13DF2">
      <w:pPr>
        <w:pStyle w:val="27"/>
        <w:spacing w:line="360" w:lineRule="auto"/>
        <w:ind w:right="-10" w:firstLine="482" w:firstLineChars="200"/>
        <w:rPr>
          <w:rFonts w:ascii="宋体" w:hAnsi="宋体" w:eastAsia="宋体" w:cs="宋体"/>
          <w:b/>
          <w:kern w:val="1"/>
          <w:sz w:val="24"/>
        </w:rPr>
      </w:pPr>
      <w:r>
        <w:rPr>
          <w:rFonts w:hint="eastAsia" w:ascii="宋体" w:hAnsi="宋体" w:eastAsia="宋体" w:cs="宋体"/>
          <w:b/>
          <w:kern w:val="1"/>
          <w:sz w:val="24"/>
        </w:rPr>
        <w:t>注：评标结束后，由采购人对评审结果及响应文件等进行复核，并在法定的时间内确定中标人。</w:t>
      </w:r>
    </w:p>
    <w:p w14:paraId="3E9BCF60">
      <w:pPr>
        <w:adjustRightInd w:val="0"/>
        <w:snapToGrid w:val="0"/>
        <w:spacing w:line="360" w:lineRule="auto"/>
        <w:ind w:right="-10" w:firstLine="480" w:firstLineChars="200"/>
        <w:rPr>
          <w:rFonts w:ascii="宋体" w:hAnsi="宋体" w:cs="宋体"/>
          <w:bCs/>
          <w:sz w:val="24"/>
        </w:rPr>
      </w:pPr>
      <w:r>
        <w:rPr>
          <w:rFonts w:hint="eastAsia" w:ascii="宋体" w:hAnsi="宋体" w:cs="宋体"/>
          <w:bCs/>
          <w:sz w:val="24"/>
        </w:rPr>
        <w:t>1、依据中华人民共和国财政部令第87号令《政府采购货物和服务招标投标管理办法》第三十一条要求，不同投标人所投核心产品对应品牌完全相同且通过资格审查、符合性审查的，将按照一家投标人计算。审后得分最高的同品牌投标人获得中标人推荐资格；评审得分相同的，按照除价格分外得分最高（商务+技术参数）的同品牌投标人获得中标人推荐资格，其他同品牌投标人不作为中标候选人。</w:t>
      </w:r>
    </w:p>
    <w:p w14:paraId="11F64CA9">
      <w:pPr>
        <w:adjustRightInd w:val="0"/>
        <w:snapToGrid w:val="0"/>
        <w:spacing w:line="360" w:lineRule="auto"/>
        <w:ind w:right="-10" w:firstLine="480" w:firstLineChars="200"/>
        <w:rPr>
          <w:rFonts w:ascii="宋体" w:hAnsi="宋体" w:cs="宋体"/>
          <w:bCs/>
          <w:sz w:val="24"/>
        </w:rPr>
      </w:pPr>
      <w:r>
        <w:rPr>
          <w:rFonts w:hint="eastAsia" w:ascii="宋体" w:hAnsi="宋体" w:cs="宋体"/>
          <w:bCs/>
          <w:sz w:val="24"/>
        </w:rPr>
        <w:t>2、按照周口市交易中心规定，本项目投标人所需提供原件在评标时无需提供，仅作为采购单位核实时使用，评审委员会评审时仅以投标人投标文件中扫描件为准。</w:t>
      </w:r>
    </w:p>
    <w:p w14:paraId="67CC4FD1">
      <w:pPr>
        <w:pStyle w:val="27"/>
        <w:spacing w:line="360" w:lineRule="auto"/>
        <w:ind w:right="-10" w:firstLine="482" w:firstLineChars="200"/>
        <w:rPr>
          <w:rFonts w:ascii="宋体" w:hAnsi="宋体" w:eastAsia="宋体" w:cs="宋体"/>
          <w:bCs/>
          <w:sz w:val="24"/>
        </w:rPr>
      </w:pPr>
      <w:r>
        <w:rPr>
          <w:rFonts w:hint="eastAsia" w:ascii="宋体" w:hAnsi="宋体" w:eastAsia="宋体" w:cs="宋体"/>
          <w:b/>
          <w:bCs/>
          <w:sz w:val="24"/>
        </w:rPr>
        <w:t>第十条</w:t>
      </w:r>
      <w:r>
        <w:rPr>
          <w:rFonts w:hint="eastAsia" w:ascii="宋体" w:hAnsi="宋体" w:eastAsia="宋体" w:cs="宋体"/>
          <w:bCs/>
          <w:sz w:val="24"/>
        </w:rPr>
        <w:t xml:space="preserve"> 评委独立评审后，评委会对投标人某项指标如有不同意见，按照少数服从多数的原则，确定该项指标是否通过。</w:t>
      </w:r>
    </w:p>
    <w:p w14:paraId="7381C7E7">
      <w:pPr>
        <w:spacing w:line="360" w:lineRule="auto"/>
        <w:ind w:firstLine="482" w:firstLineChars="200"/>
        <w:rPr>
          <w:rFonts w:ascii="宋体" w:hAnsi="宋体" w:cs="宋体"/>
          <w:bCs/>
          <w:sz w:val="24"/>
        </w:rPr>
      </w:pPr>
      <w:r>
        <w:rPr>
          <w:rFonts w:hint="eastAsia" w:ascii="宋体" w:hAnsi="宋体" w:cs="宋体"/>
          <w:b/>
          <w:bCs/>
          <w:sz w:val="24"/>
        </w:rPr>
        <w:t>第十一条</w:t>
      </w:r>
      <w:r>
        <w:rPr>
          <w:rFonts w:hint="eastAsia" w:ascii="宋体" w:hAnsi="宋体" w:cs="宋体"/>
          <w:bCs/>
          <w:sz w:val="24"/>
        </w:rPr>
        <w:t xml:space="preserve"> 商务、技术满足招标文件要求，综合得分最高的投标人将作为中标候选人。如果综合得分中出现两家或两家以上相同者，投标报价较低者优先中标，报价也相同的，由采购人自行确定。</w:t>
      </w:r>
    </w:p>
    <w:p w14:paraId="3B6D3FF9">
      <w:pPr>
        <w:pStyle w:val="27"/>
        <w:spacing w:line="360" w:lineRule="auto"/>
        <w:ind w:right="-10" w:firstLine="482"/>
        <w:rPr>
          <w:rFonts w:ascii="宋体" w:hAnsi="宋体" w:eastAsia="宋体" w:cs="宋体"/>
          <w:bCs/>
          <w:sz w:val="24"/>
        </w:rPr>
      </w:pPr>
      <w:r>
        <w:rPr>
          <w:rFonts w:hint="eastAsia" w:ascii="宋体" w:hAnsi="宋体" w:eastAsia="宋体" w:cs="宋体"/>
          <w:b/>
          <w:bCs/>
          <w:sz w:val="24"/>
        </w:rPr>
        <w:t>第十二条</w:t>
      </w:r>
      <w:r>
        <w:rPr>
          <w:rFonts w:hint="eastAsia" w:ascii="宋体" w:hAnsi="宋体" w:eastAsia="宋体" w:cs="宋体"/>
          <w:bCs/>
          <w:sz w:val="24"/>
        </w:rPr>
        <w:t xml:space="preserve"> 评委会在评标过程中发现的问题，应当及时作出处理或者向采购人提出处理建议，并作书面记录。</w:t>
      </w:r>
    </w:p>
    <w:p w14:paraId="09B21428">
      <w:pPr>
        <w:adjustRightInd w:val="0"/>
        <w:snapToGrid w:val="0"/>
        <w:spacing w:line="360" w:lineRule="auto"/>
        <w:ind w:right="-10" w:firstLine="482" w:firstLineChars="200"/>
        <w:rPr>
          <w:rFonts w:ascii="宋体" w:hAnsi="宋体" w:cs="宋体"/>
          <w:bCs/>
          <w:sz w:val="24"/>
        </w:rPr>
      </w:pPr>
      <w:r>
        <w:rPr>
          <w:rFonts w:hint="eastAsia" w:ascii="宋体" w:hAnsi="宋体" w:cs="宋体"/>
          <w:b/>
          <w:bCs/>
          <w:sz w:val="24"/>
        </w:rPr>
        <w:t>第十三条</w:t>
      </w:r>
      <w:r>
        <w:rPr>
          <w:rFonts w:hint="eastAsia" w:ascii="宋体" w:hAnsi="宋体" w:cs="宋体"/>
          <w:bCs/>
          <w:sz w:val="24"/>
        </w:rPr>
        <w:t xml:space="preserve"> 评标后，评委会应填写评审记录并签字。评审记录是评委会根据全体评标成员电子签字的原始评标记录和评标结果编制的报告，评委会全体成员均须在评审纪要上电子签字。评审记录应如实记录本次评标的主要过程，全面反映评标过程中的各种不同的意见，以及其他澄清、说明、补正事项。</w:t>
      </w:r>
    </w:p>
    <w:p w14:paraId="7C7C126F">
      <w:pPr>
        <w:rPr>
          <w:rFonts w:ascii="宋体" w:hAnsi="宋体" w:cs="宋体"/>
        </w:rPr>
      </w:pPr>
    </w:p>
    <w:p w14:paraId="7470956F">
      <w:pPr>
        <w:adjustRightInd w:val="0"/>
        <w:snapToGrid w:val="0"/>
        <w:spacing w:line="360" w:lineRule="auto"/>
        <w:jc w:val="center"/>
        <w:rPr>
          <w:rFonts w:ascii="宋体" w:hAnsi="宋体" w:cs="宋体"/>
          <w:b/>
          <w:bCs/>
          <w:sz w:val="24"/>
        </w:rPr>
      </w:pPr>
      <w:bookmarkStart w:id="314" w:name="_Toc40_WPSOffice_Level2"/>
      <w:r>
        <w:rPr>
          <w:rFonts w:hint="eastAsia" w:ascii="宋体" w:hAnsi="宋体" w:cs="宋体"/>
          <w:b/>
          <w:bCs/>
          <w:sz w:val="24"/>
        </w:rPr>
        <w:t>三．评标纪律</w:t>
      </w:r>
      <w:bookmarkEnd w:id="314"/>
    </w:p>
    <w:p w14:paraId="3BF1D372">
      <w:pPr>
        <w:adjustRightInd w:val="0"/>
        <w:snapToGrid w:val="0"/>
        <w:spacing w:line="360" w:lineRule="auto"/>
        <w:ind w:right="-10" w:firstLine="482" w:firstLineChars="200"/>
        <w:rPr>
          <w:rFonts w:ascii="宋体" w:hAnsi="宋体" w:cs="宋体"/>
          <w:sz w:val="24"/>
        </w:rPr>
      </w:pPr>
      <w:r>
        <w:rPr>
          <w:rFonts w:hint="eastAsia" w:ascii="宋体" w:hAnsi="宋体" w:cs="宋体"/>
          <w:b/>
          <w:bCs/>
          <w:sz w:val="24"/>
        </w:rPr>
        <w:t>第十四条</w:t>
      </w:r>
      <w:r>
        <w:rPr>
          <w:rFonts w:hint="eastAsia" w:ascii="宋体" w:hAnsi="宋体" w:cs="宋体"/>
          <w:bCs/>
          <w:sz w:val="24"/>
        </w:rPr>
        <w:t xml:space="preserve"> 评委会和评标工作人员应严格遵守国家的法律、法规和规章制度；</w:t>
      </w:r>
      <w:r>
        <w:rPr>
          <w:rFonts w:hint="eastAsia" w:ascii="宋体" w:hAnsi="宋体" w:cs="宋体"/>
          <w:sz w:val="24"/>
        </w:rPr>
        <w:t>严格按照本次招标文件进行评标；公正廉洁、不徇私情，不得损害国家利益；保护招、投标人的合法权益。投标人应在投</w:t>
      </w:r>
      <w:r>
        <w:rPr>
          <w:rFonts w:hint="eastAsia" w:ascii="宋体" w:hAnsi="宋体" w:cs="宋体"/>
          <w:sz w:val="2"/>
          <w:szCs w:val="2"/>
          <w:vertAlign w:val="superscript"/>
        </w:rPr>
        <w:t xml:space="preserve">  </w:t>
      </w:r>
      <w:r>
        <w:rPr>
          <w:rFonts w:hint="eastAsia" w:ascii="宋体" w:hAnsi="宋体" w:cs="宋体"/>
          <w:sz w:val="24"/>
        </w:rPr>
        <w:t>标文件中保</w:t>
      </w:r>
      <w:r>
        <w:rPr>
          <w:rFonts w:hint="eastAsia" w:ascii="宋体" w:hAnsi="宋体" w:cs="宋体"/>
          <w:sz w:val="2"/>
          <w:szCs w:val="2"/>
          <w:vertAlign w:val="superscript"/>
        </w:rPr>
        <w:t xml:space="preserve">  </w:t>
      </w:r>
      <w:r>
        <w:rPr>
          <w:rFonts w:hint="eastAsia" w:ascii="宋体" w:hAnsi="宋体" w:cs="宋体"/>
          <w:sz w:val="24"/>
        </w:rPr>
        <w:t>证不在任何阶段干</w:t>
      </w:r>
      <w:r>
        <w:rPr>
          <w:rFonts w:hint="eastAsia" w:ascii="宋体" w:hAnsi="宋体" w:cs="宋体"/>
          <w:sz w:val="2"/>
          <w:szCs w:val="2"/>
          <w:vertAlign w:val="superscript"/>
        </w:rPr>
        <w:t xml:space="preserve">  </w:t>
      </w:r>
      <w:r>
        <w:rPr>
          <w:rFonts w:hint="eastAsia" w:ascii="宋体" w:hAnsi="宋体" w:cs="宋体"/>
          <w:sz w:val="24"/>
        </w:rPr>
        <w:t>扰项目工作。</w:t>
      </w:r>
    </w:p>
    <w:p w14:paraId="7E8D821D">
      <w:pPr>
        <w:adjustRightInd w:val="0"/>
        <w:snapToGrid w:val="0"/>
        <w:spacing w:line="360" w:lineRule="auto"/>
        <w:ind w:right="-10" w:firstLine="482" w:firstLineChars="200"/>
        <w:rPr>
          <w:rFonts w:ascii="宋体" w:hAnsi="宋体" w:cs="宋体"/>
          <w:sz w:val="24"/>
        </w:rPr>
      </w:pPr>
      <w:r>
        <w:rPr>
          <w:rFonts w:hint="eastAsia" w:ascii="宋体" w:hAnsi="宋体" w:cs="宋体"/>
          <w:b/>
          <w:bCs/>
          <w:sz w:val="24"/>
        </w:rPr>
        <w:t xml:space="preserve">第十五条 </w:t>
      </w:r>
      <w:r>
        <w:rPr>
          <w:rFonts w:hint="eastAsia" w:ascii="宋体" w:hAnsi="宋体" w:cs="宋体"/>
          <w:sz w:val="24"/>
        </w:rPr>
        <w:t>在评标过程中，评委必须对评标情况严格保密，任何人不得将评标情况透露给与投标人有关的单位和个人。如有违反评标纪律的情况发生，将依据《中华人民共和国政府采购法》及其他有关法律法规的规定，追究有关当事人的责任。</w:t>
      </w:r>
    </w:p>
    <w:p w14:paraId="26DD5EC0">
      <w:pPr>
        <w:spacing w:line="360" w:lineRule="auto"/>
        <w:ind w:firstLine="482" w:firstLineChars="200"/>
        <w:jc w:val="left"/>
        <w:rPr>
          <w:rFonts w:ascii="宋体" w:hAnsi="宋体" w:cs="宋体"/>
          <w:sz w:val="24"/>
        </w:rPr>
      </w:pPr>
      <w:r>
        <w:rPr>
          <w:rFonts w:hint="eastAsia" w:ascii="宋体" w:hAnsi="宋体" w:cs="宋体"/>
          <w:b/>
          <w:sz w:val="24"/>
        </w:rPr>
        <w:t>第十六条</w:t>
      </w:r>
      <w:r>
        <w:rPr>
          <w:rFonts w:hint="eastAsia" w:ascii="宋体" w:hAnsi="宋体" w:cs="宋体"/>
          <w:sz w:val="24"/>
        </w:rPr>
        <w:t xml:space="preserve"> 在招标采购中，出现下列情形之一的，应予废标：</w:t>
      </w:r>
    </w:p>
    <w:p w14:paraId="4351FF73">
      <w:pPr>
        <w:spacing w:line="360" w:lineRule="auto"/>
        <w:ind w:firstLine="480" w:firstLineChars="200"/>
        <w:rPr>
          <w:rFonts w:ascii="宋体" w:hAnsi="宋体" w:cs="宋体"/>
          <w:sz w:val="24"/>
        </w:rPr>
      </w:pPr>
      <w:r>
        <w:rPr>
          <w:rFonts w:hint="eastAsia" w:ascii="宋体" w:hAnsi="宋体" w:cs="宋体"/>
          <w:sz w:val="24"/>
        </w:rPr>
        <w:t>1.出现影响采购公正的违法、违规行为的。</w:t>
      </w:r>
    </w:p>
    <w:p w14:paraId="167F7868">
      <w:pPr>
        <w:spacing w:line="360" w:lineRule="auto"/>
        <w:ind w:firstLine="480" w:firstLineChars="200"/>
        <w:rPr>
          <w:rFonts w:ascii="宋体" w:hAnsi="宋体" w:cs="宋体"/>
          <w:sz w:val="24"/>
        </w:rPr>
      </w:pPr>
      <w:r>
        <w:rPr>
          <w:rFonts w:hint="eastAsia" w:ascii="宋体" w:hAnsi="宋体" w:cs="宋体"/>
          <w:sz w:val="24"/>
        </w:rPr>
        <w:t>2.投标时有弄虚作假的行为。</w:t>
      </w:r>
    </w:p>
    <w:p w14:paraId="07EA41BA">
      <w:pPr>
        <w:spacing w:line="360" w:lineRule="auto"/>
        <w:ind w:firstLine="475" w:firstLineChars="197"/>
        <w:rPr>
          <w:rFonts w:ascii="宋体" w:hAnsi="宋体" w:cs="宋体"/>
          <w:sz w:val="24"/>
        </w:rPr>
      </w:pPr>
      <w:r>
        <w:rPr>
          <w:rFonts w:hint="eastAsia" w:ascii="宋体" w:hAnsi="宋体" w:cs="宋体"/>
          <w:b/>
          <w:sz w:val="24"/>
        </w:rPr>
        <w:t xml:space="preserve">第十七条 </w:t>
      </w:r>
      <w:r>
        <w:rPr>
          <w:rFonts w:hint="eastAsia" w:ascii="宋体" w:hAnsi="宋体" w:cs="宋体"/>
          <w:sz w:val="24"/>
        </w:rPr>
        <w:t>在投标过程中，出现下列情况之一的，按照无效投标处理：</w:t>
      </w:r>
    </w:p>
    <w:p w14:paraId="4C88C174">
      <w:pPr>
        <w:spacing w:line="360" w:lineRule="auto"/>
        <w:ind w:firstLine="480" w:firstLineChars="200"/>
        <w:rPr>
          <w:rFonts w:ascii="宋体" w:hAnsi="宋体" w:cs="宋体"/>
          <w:sz w:val="24"/>
        </w:rPr>
      </w:pPr>
      <w:r>
        <w:rPr>
          <w:rFonts w:hint="eastAsia" w:ascii="宋体" w:hAnsi="宋体" w:cs="宋体"/>
          <w:sz w:val="24"/>
        </w:rPr>
        <w:t>1.未按照招标文件规定要求签署、签章的</w:t>
      </w:r>
      <w:r>
        <w:rPr>
          <w:rFonts w:hint="eastAsia" w:ascii="宋体" w:hAnsi="宋体" w:cs="宋体"/>
          <w:b/>
          <w:sz w:val="24"/>
        </w:rPr>
        <w:t>（目前，周口市公共资源电子交易平台为每个投标单位只办理了两个CA证书，一个用于单位投标和签章，一个用于法定代表人签章。所以，在投标文件需要电子签章时，投标单位签投标单位电子章，法定代表人签法定代表人电子章；法定代表人有授权代表投标时，出具授权委托书，授权代表的名字手写签在签章处即可）；</w:t>
      </w:r>
    </w:p>
    <w:p w14:paraId="0179AD1C">
      <w:pPr>
        <w:spacing w:line="360" w:lineRule="auto"/>
        <w:ind w:firstLine="480" w:firstLineChars="200"/>
        <w:rPr>
          <w:rFonts w:ascii="宋体" w:hAnsi="宋体" w:cs="宋体"/>
          <w:sz w:val="24"/>
        </w:rPr>
      </w:pPr>
      <w:r>
        <w:rPr>
          <w:rFonts w:hint="eastAsia" w:ascii="宋体" w:hAnsi="宋体" w:cs="宋体"/>
          <w:sz w:val="24"/>
        </w:rPr>
        <w:t>2.不具备招标文件中规定资格要求的；</w:t>
      </w:r>
    </w:p>
    <w:p w14:paraId="12306B02">
      <w:pPr>
        <w:spacing w:line="360" w:lineRule="auto"/>
        <w:ind w:firstLine="480" w:firstLineChars="200"/>
        <w:rPr>
          <w:rFonts w:ascii="宋体" w:hAnsi="宋体" w:cs="宋体"/>
          <w:sz w:val="24"/>
        </w:rPr>
      </w:pPr>
      <w:r>
        <w:rPr>
          <w:rFonts w:hint="eastAsia" w:ascii="宋体" w:hAnsi="宋体" w:cs="宋体"/>
          <w:sz w:val="24"/>
        </w:rPr>
        <w:t>3.不符合法律、法规和招标文件中规定的其他实质性要求的。</w:t>
      </w:r>
    </w:p>
    <w:p w14:paraId="085886A5">
      <w:pPr>
        <w:spacing w:line="360" w:lineRule="auto"/>
        <w:ind w:firstLine="480" w:firstLineChars="200"/>
        <w:rPr>
          <w:rFonts w:ascii="宋体" w:hAnsi="宋体" w:cs="宋体"/>
          <w:sz w:val="24"/>
        </w:rPr>
      </w:pPr>
      <w:r>
        <w:rPr>
          <w:rFonts w:hint="eastAsia" w:ascii="宋体" w:hAnsi="宋体" w:cs="宋体"/>
          <w:sz w:val="24"/>
        </w:rPr>
        <w:t>4.投标人的报价超过了采购预算，采购人不能支付的；</w:t>
      </w:r>
    </w:p>
    <w:p w14:paraId="2A96A678">
      <w:pPr>
        <w:spacing w:line="360" w:lineRule="auto"/>
        <w:ind w:firstLine="480" w:firstLineChars="200"/>
        <w:rPr>
          <w:rFonts w:ascii="宋体" w:hAnsi="宋体" w:cs="宋体"/>
          <w:sz w:val="24"/>
        </w:rPr>
      </w:pPr>
      <w:r>
        <w:rPr>
          <w:rFonts w:hint="eastAsia" w:ascii="宋体" w:hAnsi="宋体" w:cs="宋体"/>
          <w:sz w:val="24"/>
        </w:rPr>
        <w:t>5.投标文件附有招标人不能接受的条件；</w:t>
      </w:r>
    </w:p>
    <w:p w14:paraId="49CB2943">
      <w:pPr>
        <w:spacing w:line="360" w:lineRule="auto"/>
        <w:ind w:firstLine="480" w:firstLineChars="200"/>
        <w:rPr>
          <w:rFonts w:ascii="宋体" w:hAnsi="宋体" w:cs="宋体"/>
          <w:sz w:val="24"/>
        </w:rPr>
      </w:pPr>
      <w:r>
        <w:rPr>
          <w:rFonts w:hint="eastAsia" w:ascii="宋体" w:hAnsi="宋体" w:cs="宋体"/>
          <w:sz w:val="24"/>
        </w:rPr>
        <w:t>6.投标文件中对同一服务或标段提供选择性报价的；</w:t>
      </w:r>
    </w:p>
    <w:p w14:paraId="653C70FF">
      <w:pPr>
        <w:spacing w:line="360" w:lineRule="auto"/>
        <w:ind w:firstLine="480" w:firstLineChars="200"/>
        <w:rPr>
          <w:rFonts w:ascii="宋体" w:hAnsi="宋体" w:cs="宋体"/>
          <w:sz w:val="24"/>
        </w:rPr>
      </w:pPr>
      <w:r>
        <w:rPr>
          <w:rFonts w:hint="eastAsia" w:ascii="宋体" w:hAnsi="宋体" w:cs="宋体"/>
          <w:sz w:val="24"/>
        </w:rPr>
        <w:t>7.商务偏差表或技术偏差表存在弄虚作假的；</w:t>
      </w:r>
    </w:p>
    <w:p w14:paraId="5D5716F7">
      <w:pPr>
        <w:spacing w:line="360" w:lineRule="auto"/>
        <w:ind w:firstLine="480" w:firstLineChars="200"/>
        <w:rPr>
          <w:rFonts w:ascii="宋体" w:hAnsi="宋体" w:cs="宋体"/>
          <w:color w:val="000000"/>
          <w:sz w:val="24"/>
        </w:rPr>
      </w:pPr>
      <w:r>
        <w:rPr>
          <w:rFonts w:hint="eastAsia" w:ascii="宋体" w:hAnsi="宋体" w:cs="宋体"/>
          <w:color w:val="000000"/>
          <w:sz w:val="24"/>
        </w:rPr>
        <w:t>8.不同供应商的电子投标（响应）文件上传计算机的网卡 MAC 地址、CPU 序列号和硬盘序列号等硬件信息相同的;</w:t>
      </w:r>
    </w:p>
    <w:p w14:paraId="210704EF">
      <w:pPr>
        <w:spacing w:line="360" w:lineRule="auto"/>
        <w:ind w:firstLine="480" w:firstLineChars="200"/>
        <w:rPr>
          <w:rFonts w:ascii="宋体" w:hAnsi="宋体" w:cs="宋体"/>
          <w:color w:val="000000"/>
          <w:sz w:val="24"/>
        </w:rPr>
      </w:pPr>
      <w:r>
        <w:rPr>
          <w:rFonts w:hint="eastAsia" w:ascii="宋体" w:hAnsi="宋体" w:cs="宋体"/>
          <w:color w:val="000000"/>
          <w:sz w:val="24"/>
        </w:rPr>
        <w:t>9.不同供应商的投标（响应）文件由同一电子设备编制，打印、复印、加密或者上传的；</w:t>
      </w:r>
    </w:p>
    <w:p w14:paraId="42F2EF31">
      <w:pPr>
        <w:spacing w:line="360" w:lineRule="auto"/>
        <w:ind w:firstLine="480" w:firstLineChars="200"/>
        <w:rPr>
          <w:rFonts w:ascii="宋体" w:hAnsi="宋体" w:cs="宋体"/>
          <w:color w:val="000000"/>
          <w:sz w:val="24"/>
        </w:rPr>
      </w:pPr>
      <w:r>
        <w:rPr>
          <w:rFonts w:hint="eastAsia" w:ascii="宋体" w:hAnsi="宋体" w:cs="宋体"/>
          <w:color w:val="000000"/>
          <w:sz w:val="24"/>
        </w:rPr>
        <w:t>10.不同供应商的投标（响应）文件由同一人送达或者分发，或者不同供应商联系人为同一人或不同联系人的联系电话一致的；</w:t>
      </w:r>
    </w:p>
    <w:p w14:paraId="231A6356">
      <w:pPr>
        <w:spacing w:line="360" w:lineRule="auto"/>
        <w:ind w:firstLine="480" w:firstLineChars="200"/>
        <w:rPr>
          <w:rFonts w:ascii="宋体" w:hAnsi="宋体" w:cs="宋体"/>
          <w:color w:val="000000"/>
          <w:sz w:val="24"/>
        </w:rPr>
      </w:pPr>
      <w:r>
        <w:rPr>
          <w:rFonts w:hint="eastAsia" w:ascii="宋体" w:hAnsi="宋体" w:cs="宋体"/>
          <w:color w:val="000000"/>
          <w:sz w:val="24"/>
        </w:rPr>
        <w:t>11.不同供应商的投标（响应）文件的内容存在两处以上细节错误一致；</w:t>
      </w:r>
    </w:p>
    <w:p w14:paraId="4AC46177">
      <w:pPr>
        <w:spacing w:line="360" w:lineRule="auto"/>
        <w:ind w:firstLine="480" w:firstLineChars="200"/>
        <w:rPr>
          <w:rFonts w:ascii="宋体" w:hAnsi="宋体" w:cs="宋体"/>
          <w:color w:val="000000"/>
          <w:sz w:val="24"/>
        </w:rPr>
      </w:pPr>
      <w:r>
        <w:rPr>
          <w:rFonts w:hint="eastAsia" w:ascii="宋体" w:hAnsi="宋体" w:cs="宋体"/>
          <w:color w:val="000000"/>
          <w:sz w:val="24"/>
        </w:rPr>
        <w:t>12.不同供应商的法定代表人、委托代理人、项目负责人等由同一个单位缴纳社会保险或者领取报酬及法定代表人未能提供身份证上经其签字确认的有效身份证明的；</w:t>
      </w:r>
    </w:p>
    <w:p w14:paraId="60182495">
      <w:pPr>
        <w:spacing w:line="360" w:lineRule="auto"/>
        <w:ind w:firstLine="480" w:firstLineChars="200"/>
        <w:rPr>
          <w:color w:val="000000"/>
        </w:rPr>
      </w:pPr>
      <w:r>
        <w:rPr>
          <w:rFonts w:hint="eastAsia" w:ascii="宋体" w:hAnsi="宋体" w:cs="宋体"/>
          <w:color w:val="000000"/>
          <w:sz w:val="24"/>
        </w:rPr>
        <w:t>13.不同供应商投标（响应）文件中法定代表人或者负责人签字出自同一人之手。</w:t>
      </w:r>
    </w:p>
    <w:p w14:paraId="0984A509">
      <w:pPr>
        <w:spacing w:line="360" w:lineRule="auto"/>
        <w:ind w:firstLine="482" w:firstLineChars="200"/>
        <w:rPr>
          <w:rFonts w:ascii="宋体" w:hAnsi="宋体" w:cs="宋体"/>
          <w:sz w:val="24"/>
        </w:rPr>
      </w:pPr>
      <w:r>
        <w:rPr>
          <w:rFonts w:hint="eastAsia" w:ascii="宋体" w:hAnsi="宋体" w:cs="宋体"/>
          <w:b/>
          <w:sz w:val="24"/>
        </w:rPr>
        <w:t>第十</w:t>
      </w:r>
      <w:r>
        <w:rPr>
          <w:rFonts w:hint="eastAsia" w:ascii="宋体" w:hAnsi="宋体" w:cs="宋体"/>
          <w:b/>
          <w:bCs/>
          <w:sz w:val="24"/>
        </w:rPr>
        <w:t>八</w:t>
      </w:r>
      <w:r>
        <w:rPr>
          <w:rFonts w:hint="eastAsia" w:ascii="宋体" w:hAnsi="宋体" w:cs="宋体"/>
          <w:b/>
          <w:sz w:val="24"/>
        </w:rPr>
        <w:t xml:space="preserve">条 </w:t>
      </w:r>
      <w:r>
        <w:rPr>
          <w:rFonts w:hint="eastAsia" w:ascii="宋体" w:hAnsi="宋体" w:cs="宋体"/>
          <w:sz w:val="24"/>
        </w:rPr>
        <w:t>在投标文件中，出现下列情形之一的，其投标有可能被拒绝：</w:t>
      </w:r>
    </w:p>
    <w:p w14:paraId="64F079BD">
      <w:pPr>
        <w:spacing w:line="360" w:lineRule="auto"/>
        <w:ind w:firstLine="480" w:firstLineChars="200"/>
        <w:rPr>
          <w:rFonts w:ascii="宋体" w:hAnsi="宋体" w:cs="宋体"/>
          <w:sz w:val="24"/>
        </w:rPr>
      </w:pPr>
      <w:r>
        <w:rPr>
          <w:rFonts w:hint="eastAsia" w:ascii="宋体" w:hAnsi="宋体" w:cs="宋体"/>
          <w:sz w:val="24"/>
        </w:rPr>
        <w:t>1.服务工期不确切、不肯定的投标；</w:t>
      </w:r>
    </w:p>
    <w:p w14:paraId="305F6CDB">
      <w:pPr>
        <w:spacing w:line="360" w:lineRule="auto"/>
        <w:ind w:firstLine="480" w:firstLineChars="200"/>
        <w:rPr>
          <w:rFonts w:ascii="宋体" w:hAnsi="宋体" w:cs="宋体"/>
          <w:sz w:val="24"/>
        </w:rPr>
      </w:pPr>
      <w:r>
        <w:rPr>
          <w:rFonts w:hint="eastAsia" w:ascii="宋体" w:hAnsi="宋体" w:cs="宋体"/>
          <w:sz w:val="24"/>
        </w:rPr>
        <w:t xml:space="preserve">2.对售后服务、付款方式不满足招标文件要求的； </w:t>
      </w:r>
    </w:p>
    <w:p w14:paraId="5574FF1D">
      <w:pPr>
        <w:spacing w:line="360" w:lineRule="auto"/>
        <w:ind w:firstLine="480" w:firstLineChars="200"/>
        <w:rPr>
          <w:rFonts w:ascii="宋体" w:hAnsi="宋体" w:cs="宋体"/>
          <w:color w:val="000000"/>
          <w:sz w:val="24"/>
        </w:rPr>
      </w:pPr>
      <w:r>
        <w:rPr>
          <w:rFonts w:hint="eastAsia" w:ascii="宋体" w:hAnsi="宋体" w:cs="宋体"/>
          <w:color w:val="000000"/>
          <w:sz w:val="24"/>
        </w:rPr>
        <w:t>3.投标人没有实质性响应招标文件的要求和条件的；</w:t>
      </w:r>
    </w:p>
    <w:p w14:paraId="0EC2BF9D">
      <w:pPr>
        <w:tabs>
          <w:tab w:val="left" w:pos="2730"/>
        </w:tabs>
        <w:spacing w:line="360" w:lineRule="auto"/>
        <w:ind w:firstLine="480" w:firstLineChars="200"/>
        <w:rPr>
          <w:rFonts w:ascii="宋体" w:hAnsi="宋体" w:cs="宋体"/>
          <w:color w:val="000000"/>
          <w:sz w:val="24"/>
        </w:rPr>
      </w:pPr>
      <w:r>
        <w:rPr>
          <w:rFonts w:hint="eastAsia" w:ascii="宋体" w:hAnsi="宋体" w:cs="宋体"/>
          <w:color w:val="000000"/>
          <w:sz w:val="24"/>
        </w:rPr>
        <w:t>4.评标委员会认为投标人的报价明显低于其他通过符合性审查投标人的报价，有可能影响产品质量或者不能诚信履约的；且提供的书面说明和相关证明材料；投标人不能证明其报价合理性的，评标委员会应当将其作为无效投标处理。</w:t>
      </w:r>
    </w:p>
    <w:p w14:paraId="5421324E">
      <w:pPr>
        <w:spacing w:line="360" w:lineRule="auto"/>
        <w:ind w:firstLine="482" w:firstLineChars="200"/>
        <w:rPr>
          <w:rFonts w:ascii="宋体" w:hAnsi="宋体" w:cs="宋体"/>
          <w:sz w:val="24"/>
        </w:rPr>
      </w:pPr>
      <w:r>
        <w:rPr>
          <w:rFonts w:hint="eastAsia" w:ascii="宋体" w:hAnsi="宋体" w:cs="宋体"/>
          <w:b/>
          <w:sz w:val="24"/>
        </w:rPr>
        <w:t>第十九条</w:t>
      </w:r>
      <w:r>
        <w:rPr>
          <w:rFonts w:hint="eastAsia" w:ascii="宋体" w:hAnsi="宋体" w:cs="宋体"/>
          <w:sz w:val="24"/>
        </w:rPr>
        <w:t xml:space="preserve"> 本评标办法的解释权属于采购人。</w:t>
      </w:r>
    </w:p>
    <w:p w14:paraId="293DFC4F">
      <w:pPr>
        <w:spacing w:line="360" w:lineRule="auto"/>
        <w:rPr>
          <w:rFonts w:ascii="宋体" w:hAnsi="宋体" w:cs="宋体"/>
          <w:sz w:val="24"/>
        </w:rPr>
      </w:pPr>
    </w:p>
    <w:p w14:paraId="6F5DB7EE">
      <w:pPr>
        <w:pStyle w:val="2"/>
        <w:spacing w:before="0" w:after="0" w:line="400" w:lineRule="exact"/>
        <w:rPr>
          <w:rFonts w:ascii="宋体" w:hAnsi="宋体" w:cs="宋体"/>
          <w:sz w:val="32"/>
        </w:rPr>
      </w:pPr>
      <w:bookmarkStart w:id="315" w:name="_Toc527725920"/>
      <w:r>
        <w:rPr>
          <w:rFonts w:hint="eastAsia" w:ascii="宋体" w:hAnsi="宋体" w:cs="宋体"/>
          <w:sz w:val="32"/>
        </w:rPr>
        <w:br w:type="page"/>
      </w:r>
      <w:bookmarkStart w:id="316" w:name="_Toc19468"/>
      <w:bookmarkStart w:id="317" w:name="_Toc19953"/>
      <w:bookmarkStart w:id="318" w:name="_Toc28050"/>
      <w:bookmarkStart w:id="319" w:name="_Toc18196"/>
      <w:bookmarkStart w:id="320" w:name="_Toc40975440"/>
      <w:r>
        <w:rPr>
          <w:rFonts w:hint="eastAsia" w:ascii="宋体" w:hAnsi="宋体" w:cs="宋体"/>
          <w:sz w:val="32"/>
        </w:rPr>
        <w:t>招标文件第二部分</w:t>
      </w:r>
      <w:bookmarkEnd w:id="315"/>
      <w:bookmarkEnd w:id="316"/>
      <w:bookmarkEnd w:id="317"/>
      <w:bookmarkEnd w:id="318"/>
      <w:bookmarkEnd w:id="319"/>
      <w:bookmarkEnd w:id="320"/>
    </w:p>
    <w:p w14:paraId="67D86A79">
      <w:pPr>
        <w:pStyle w:val="3"/>
        <w:spacing w:line="500" w:lineRule="exact"/>
        <w:ind w:firstLine="0"/>
        <w:rPr>
          <w:rFonts w:ascii="宋体" w:hAnsi="宋体" w:eastAsia="宋体" w:cs="宋体"/>
        </w:rPr>
      </w:pPr>
      <w:bookmarkStart w:id="321" w:name="_Toc527725921"/>
    </w:p>
    <w:p w14:paraId="41F9B1AC">
      <w:pPr>
        <w:pStyle w:val="3"/>
        <w:numPr>
          <w:ilvl w:val="0"/>
          <w:numId w:val="17"/>
        </w:numPr>
        <w:spacing w:before="0" w:after="0" w:line="240" w:lineRule="auto"/>
        <w:ind w:firstLine="0"/>
        <w:rPr>
          <w:rFonts w:ascii="宋体" w:hAnsi="宋体" w:eastAsia="宋体" w:cs="宋体"/>
        </w:rPr>
      </w:pPr>
      <w:bookmarkStart w:id="322" w:name="_Toc19136"/>
      <w:r>
        <w:rPr>
          <w:rFonts w:hint="eastAsia" w:ascii="宋体" w:hAnsi="宋体" w:eastAsia="宋体" w:cs="宋体"/>
        </w:rPr>
        <w:t>投标人须知</w:t>
      </w:r>
      <w:bookmarkEnd w:id="321"/>
      <w:bookmarkEnd w:id="322"/>
    </w:p>
    <w:p w14:paraId="62154A09">
      <w:pPr>
        <w:pStyle w:val="4"/>
        <w:spacing w:line="500" w:lineRule="exact"/>
        <w:rPr>
          <w:rFonts w:hAnsi="宋体" w:cs="宋体"/>
          <w:sz w:val="28"/>
        </w:rPr>
      </w:pPr>
      <w:bookmarkStart w:id="323" w:name="_Hlt509649998"/>
      <w:bookmarkEnd w:id="323"/>
      <w:bookmarkStart w:id="324" w:name="_Hlt509650686"/>
      <w:bookmarkEnd w:id="324"/>
      <w:bookmarkStart w:id="325" w:name="_Hlt509650126"/>
      <w:bookmarkEnd w:id="325"/>
      <w:bookmarkStart w:id="326" w:name="_Hlt509650955"/>
      <w:bookmarkEnd w:id="326"/>
      <w:bookmarkStart w:id="327" w:name="_Hlt526418143"/>
      <w:bookmarkEnd w:id="327"/>
      <w:bookmarkStart w:id="328" w:name="_Hlt509649722"/>
      <w:bookmarkEnd w:id="328"/>
      <w:bookmarkStart w:id="329" w:name="_Toc40975442"/>
      <w:bookmarkStart w:id="330" w:name="_Toc32160"/>
      <w:bookmarkStart w:id="331" w:name="_Toc23614"/>
      <w:bookmarkStart w:id="332" w:name="_Toc27428"/>
      <w:bookmarkStart w:id="333" w:name="_Toc527725922"/>
      <w:bookmarkStart w:id="334" w:name="_Toc10068"/>
      <w:r>
        <w:rPr>
          <w:rFonts w:hint="eastAsia" w:hAnsi="宋体" w:cs="宋体"/>
          <w:sz w:val="28"/>
        </w:rPr>
        <w:t>一．总    则</w:t>
      </w:r>
      <w:bookmarkEnd w:id="329"/>
      <w:bookmarkEnd w:id="330"/>
      <w:bookmarkEnd w:id="331"/>
      <w:bookmarkEnd w:id="332"/>
      <w:bookmarkEnd w:id="333"/>
      <w:bookmarkEnd w:id="334"/>
    </w:p>
    <w:p w14:paraId="1CB00159">
      <w:pPr>
        <w:spacing w:line="360" w:lineRule="auto"/>
        <w:ind w:firstLine="550"/>
        <w:rPr>
          <w:rFonts w:ascii="宋体" w:hAnsi="宋体" w:cs="宋体"/>
          <w:b/>
          <w:sz w:val="24"/>
        </w:rPr>
      </w:pPr>
      <w:r>
        <w:rPr>
          <w:rFonts w:hint="eastAsia" w:ascii="宋体" w:hAnsi="宋体" w:cs="宋体"/>
          <w:b/>
          <w:sz w:val="24"/>
        </w:rPr>
        <w:t>1.适用范围</w:t>
      </w:r>
    </w:p>
    <w:p w14:paraId="7B8A7791">
      <w:pPr>
        <w:spacing w:line="360" w:lineRule="auto"/>
        <w:ind w:firstLine="550"/>
        <w:rPr>
          <w:rFonts w:ascii="宋体" w:hAnsi="宋体" w:cs="宋体"/>
          <w:sz w:val="24"/>
        </w:rPr>
      </w:pPr>
      <w:r>
        <w:rPr>
          <w:rFonts w:hint="eastAsia" w:ascii="宋体" w:hAnsi="宋体" w:cs="宋体"/>
          <w:sz w:val="24"/>
        </w:rPr>
        <w:t>1.1本招标文件仅适用于本次公开招标所述的服务项目采购。</w:t>
      </w:r>
    </w:p>
    <w:p w14:paraId="3C4D3FC1">
      <w:pPr>
        <w:spacing w:line="360" w:lineRule="auto"/>
        <w:ind w:firstLine="550"/>
        <w:rPr>
          <w:rFonts w:ascii="宋体" w:hAnsi="宋体" w:cs="宋体"/>
          <w:b/>
          <w:sz w:val="24"/>
        </w:rPr>
      </w:pPr>
      <w:r>
        <w:rPr>
          <w:rFonts w:hint="eastAsia" w:ascii="宋体" w:hAnsi="宋体" w:cs="宋体"/>
          <w:b/>
          <w:sz w:val="24"/>
        </w:rPr>
        <w:t>2.有关定义</w:t>
      </w:r>
    </w:p>
    <w:p w14:paraId="56F81B86">
      <w:pPr>
        <w:spacing w:line="360" w:lineRule="auto"/>
        <w:ind w:firstLine="550"/>
        <w:rPr>
          <w:rFonts w:ascii="宋体" w:hAnsi="宋体" w:cs="宋体"/>
          <w:sz w:val="24"/>
        </w:rPr>
      </w:pPr>
      <w:r>
        <w:rPr>
          <w:rFonts w:hint="eastAsia" w:ascii="宋体" w:hAnsi="宋体" w:cs="宋体"/>
          <w:sz w:val="24"/>
        </w:rPr>
        <w:t>2.1招标人（采购人）：</w:t>
      </w:r>
      <w:r>
        <w:rPr>
          <w:rFonts w:hint="eastAsia" w:ascii="宋体" w:hAnsi="宋体" w:cs="宋体"/>
          <w:color w:val="000000"/>
          <w:sz w:val="24"/>
          <w:szCs w:val="24"/>
        </w:rPr>
        <w:t>沈丘县水利局</w:t>
      </w:r>
      <w:r>
        <w:rPr>
          <w:rFonts w:hint="eastAsia" w:ascii="宋体" w:hAnsi="宋体" w:cs="宋体"/>
          <w:sz w:val="24"/>
        </w:rPr>
        <w:t>。</w:t>
      </w:r>
    </w:p>
    <w:p w14:paraId="7459869B">
      <w:pPr>
        <w:spacing w:line="360" w:lineRule="auto"/>
        <w:ind w:firstLine="550"/>
        <w:rPr>
          <w:rFonts w:ascii="宋体" w:hAnsi="宋体" w:cs="宋体"/>
          <w:sz w:val="24"/>
        </w:rPr>
      </w:pPr>
      <w:r>
        <w:rPr>
          <w:rFonts w:hint="eastAsia" w:ascii="宋体" w:hAnsi="宋体" w:cs="宋体"/>
          <w:sz w:val="24"/>
        </w:rPr>
        <w:t>2.2招标代理机构：凌辉建设工程咨询有限公司。</w:t>
      </w:r>
    </w:p>
    <w:p w14:paraId="0DA36415">
      <w:pPr>
        <w:spacing w:line="360" w:lineRule="auto"/>
        <w:ind w:firstLine="550"/>
        <w:rPr>
          <w:rFonts w:ascii="宋体" w:hAnsi="宋体" w:cs="宋体"/>
          <w:sz w:val="24"/>
        </w:rPr>
      </w:pPr>
      <w:r>
        <w:rPr>
          <w:rFonts w:hint="eastAsia" w:ascii="宋体" w:hAnsi="宋体" w:cs="宋体"/>
          <w:sz w:val="24"/>
        </w:rPr>
        <w:t>2.3政府采购监督管理部门：系指</w:t>
      </w:r>
      <w:r>
        <w:rPr>
          <w:rFonts w:ascii="宋体" w:hAnsi="宋体" w:cs="宋体"/>
          <w:sz w:val="24"/>
          <w:szCs w:val="24"/>
        </w:rPr>
        <w:t>沈丘县财政局</w:t>
      </w:r>
      <w:r>
        <w:rPr>
          <w:rFonts w:hint="eastAsia" w:ascii="宋体" w:hAnsi="宋体" w:cs="宋体"/>
          <w:sz w:val="24"/>
        </w:rPr>
        <w:t>。</w:t>
      </w:r>
    </w:p>
    <w:p w14:paraId="1CB72DB3">
      <w:pPr>
        <w:spacing w:line="360" w:lineRule="auto"/>
        <w:ind w:firstLine="550"/>
        <w:rPr>
          <w:rFonts w:ascii="宋体" w:hAnsi="宋体" w:cs="宋体"/>
          <w:sz w:val="24"/>
        </w:rPr>
      </w:pPr>
      <w:r>
        <w:rPr>
          <w:rFonts w:hint="eastAsia" w:ascii="宋体" w:hAnsi="宋体" w:cs="宋体"/>
          <w:sz w:val="24"/>
        </w:rPr>
        <w:t>2.4投标人：系指已经在周口市公共资源交易中心网上下载招标文件的投标人，且已经提交或准备提交本次投标文件的供应商或服务商。</w:t>
      </w:r>
    </w:p>
    <w:p w14:paraId="4096A3FA">
      <w:pPr>
        <w:spacing w:line="360" w:lineRule="auto"/>
        <w:ind w:firstLine="550"/>
        <w:rPr>
          <w:rFonts w:ascii="宋体" w:hAnsi="宋体" w:cs="宋体"/>
          <w:sz w:val="24"/>
        </w:rPr>
      </w:pPr>
      <w:r>
        <w:rPr>
          <w:rFonts w:hint="eastAsia" w:ascii="宋体" w:hAnsi="宋体" w:cs="宋体"/>
          <w:sz w:val="24"/>
        </w:rPr>
        <w:t>2.服务：系指本项目所采购内容。</w:t>
      </w:r>
    </w:p>
    <w:p w14:paraId="20AF56B4">
      <w:pPr>
        <w:spacing w:line="360" w:lineRule="auto"/>
        <w:ind w:firstLine="550"/>
        <w:rPr>
          <w:rFonts w:ascii="宋体" w:hAnsi="宋体" w:cs="宋体"/>
          <w:sz w:val="24"/>
        </w:rPr>
      </w:pPr>
      <w:r>
        <w:rPr>
          <w:rFonts w:hint="eastAsia" w:ascii="宋体" w:hAnsi="宋体" w:cs="宋体"/>
          <w:sz w:val="24"/>
        </w:rPr>
        <w:t>2.6业绩：系指符合本招标文件规定的合同及相关证明。</w:t>
      </w:r>
    </w:p>
    <w:p w14:paraId="022E004F">
      <w:pPr>
        <w:spacing w:line="360" w:lineRule="auto"/>
        <w:ind w:firstLine="550"/>
        <w:rPr>
          <w:rFonts w:ascii="宋体" w:hAnsi="宋体" w:cs="宋体"/>
          <w:sz w:val="24"/>
        </w:rPr>
      </w:pPr>
      <w:r>
        <w:rPr>
          <w:rFonts w:hint="eastAsia" w:ascii="宋体" w:hAnsi="宋体" w:cs="宋体"/>
          <w:sz w:val="24"/>
        </w:rPr>
        <w:t>2.7投标人公章：在电子投标文件中系指投标人电子签章。</w:t>
      </w:r>
    </w:p>
    <w:p w14:paraId="21AB5430">
      <w:pPr>
        <w:spacing w:line="360" w:lineRule="auto"/>
        <w:ind w:firstLine="550"/>
        <w:rPr>
          <w:rFonts w:ascii="宋体" w:hAnsi="宋体" w:cs="宋体"/>
          <w:b/>
          <w:sz w:val="24"/>
        </w:rPr>
      </w:pPr>
      <w:r>
        <w:rPr>
          <w:rFonts w:hint="eastAsia" w:ascii="宋体" w:hAnsi="宋体" w:cs="宋体"/>
          <w:b/>
          <w:sz w:val="24"/>
        </w:rPr>
        <w:t>3.投标费用</w:t>
      </w:r>
    </w:p>
    <w:p w14:paraId="6A5062B0">
      <w:pPr>
        <w:spacing w:line="360" w:lineRule="auto"/>
        <w:ind w:firstLine="550"/>
        <w:rPr>
          <w:rFonts w:ascii="宋体" w:hAnsi="宋体" w:cs="宋体"/>
          <w:sz w:val="24"/>
        </w:rPr>
      </w:pPr>
      <w:r>
        <w:rPr>
          <w:rFonts w:hint="eastAsia" w:ascii="宋体" w:hAnsi="宋体" w:cs="宋体"/>
          <w:sz w:val="24"/>
        </w:rPr>
        <w:t>3.1无论投标结果如何，投标人应自行承担其编制与递交投标文件所涉及的一切费用。</w:t>
      </w:r>
      <w:r>
        <w:rPr>
          <w:rFonts w:hint="eastAsia" w:ascii="宋体" w:hAnsi="宋体" w:cs="宋体"/>
          <w:b/>
          <w:sz w:val="24"/>
        </w:rPr>
        <w:t>评标委员会评标费用由采购人支付。</w:t>
      </w:r>
    </w:p>
    <w:p w14:paraId="79C6B3B0">
      <w:pPr>
        <w:spacing w:line="360" w:lineRule="auto"/>
        <w:ind w:firstLine="550"/>
        <w:rPr>
          <w:rFonts w:ascii="宋体" w:hAnsi="宋体" w:cs="宋体"/>
          <w:b/>
          <w:bCs/>
          <w:sz w:val="24"/>
        </w:rPr>
      </w:pPr>
      <w:r>
        <w:rPr>
          <w:rFonts w:hint="eastAsia" w:ascii="宋体" w:hAnsi="宋体" w:cs="宋体"/>
          <w:b/>
          <w:bCs/>
          <w:sz w:val="24"/>
        </w:rPr>
        <w:t>4.合格的投标人</w:t>
      </w:r>
    </w:p>
    <w:p w14:paraId="2C43A9F0">
      <w:pPr>
        <w:spacing w:line="360" w:lineRule="auto"/>
        <w:ind w:firstLine="523" w:firstLineChars="218"/>
        <w:rPr>
          <w:rFonts w:ascii="宋体" w:hAnsi="宋体" w:cs="宋体"/>
          <w:sz w:val="24"/>
        </w:rPr>
      </w:pPr>
      <w:r>
        <w:rPr>
          <w:rFonts w:hint="eastAsia" w:ascii="宋体" w:hAnsi="宋体" w:cs="宋体"/>
          <w:sz w:val="24"/>
        </w:rPr>
        <w:t>4.1.1合格的投标人应符合招标文件载明的投标资格；</w:t>
      </w:r>
    </w:p>
    <w:p w14:paraId="3F652D55">
      <w:pPr>
        <w:spacing w:line="360" w:lineRule="auto"/>
        <w:ind w:firstLine="523" w:firstLineChars="218"/>
        <w:rPr>
          <w:rFonts w:ascii="宋体" w:hAnsi="宋体" w:cs="宋体"/>
          <w:sz w:val="24"/>
        </w:rPr>
      </w:pPr>
      <w:r>
        <w:rPr>
          <w:rFonts w:hint="eastAsia" w:ascii="宋体" w:hAnsi="宋体" w:cs="宋体"/>
          <w:sz w:val="24"/>
        </w:rPr>
        <w:t>4.1.2参加政府采购活动前三年内，在经营活动中没有重大违法记录的声明函；</w:t>
      </w:r>
    </w:p>
    <w:p w14:paraId="74E52589">
      <w:pPr>
        <w:spacing w:line="360" w:lineRule="auto"/>
        <w:ind w:firstLine="523" w:firstLineChars="218"/>
        <w:rPr>
          <w:rFonts w:ascii="宋体" w:hAnsi="宋体" w:cs="宋体"/>
          <w:sz w:val="24"/>
        </w:rPr>
      </w:pPr>
      <w:r>
        <w:rPr>
          <w:rFonts w:hint="eastAsia" w:ascii="宋体" w:hAnsi="宋体" w:cs="宋体"/>
          <w:sz w:val="24"/>
        </w:rPr>
        <w:t>4.1.3 供应商需提供自觉抵制政府采购领域商业贿赂行为承诺书。</w:t>
      </w:r>
    </w:p>
    <w:p w14:paraId="6B530CFF">
      <w:pPr>
        <w:spacing w:line="360" w:lineRule="auto"/>
        <w:ind w:firstLine="523" w:firstLineChars="218"/>
        <w:rPr>
          <w:rFonts w:ascii="宋体" w:hAnsi="宋体" w:cs="宋体"/>
          <w:sz w:val="24"/>
        </w:rPr>
      </w:pPr>
      <w:r>
        <w:rPr>
          <w:rFonts w:hint="eastAsia" w:ascii="宋体" w:hAnsi="宋体" w:cs="宋体"/>
          <w:sz w:val="24"/>
        </w:rPr>
        <w:t>4.2投标人之间如果存在下列情形之一的，不得同时参加同一标段（包别）或者不分标段（包别）的同一项目投标：</w:t>
      </w:r>
    </w:p>
    <w:p w14:paraId="413347DB">
      <w:pPr>
        <w:spacing w:line="360" w:lineRule="auto"/>
        <w:ind w:left="420" w:leftChars="200" w:firstLine="88" w:firstLineChars="37"/>
        <w:rPr>
          <w:rFonts w:ascii="宋体" w:hAnsi="宋体" w:cs="宋体"/>
          <w:sz w:val="24"/>
        </w:rPr>
      </w:pPr>
      <w:r>
        <w:rPr>
          <w:rFonts w:hint="eastAsia" w:ascii="宋体" w:hAnsi="宋体" w:cs="宋体"/>
          <w:sz w:val="24"/>
        </w:rPr>
        <w:t>4.2.1法定代表人为同一个人的两个及两个以上法人；</w:t>
      </w:r>
    </w:p>
    <w:p w14:paraId="2D91DB81">
      <w:pPr>
        <w:spacing w:line="360" w:lineRule="auto"/>
        <w:ind w:left="420" w:leftChars="200" w:firstLine="88" w:firstLineChars="37"/>
        <w:rPr>
          <w:rFonts w:ascii="宋体" w:hAnsi="宋体" w:cs="宋体"/>
          <w:sz w:val="24"/>
        </w:rPr>
      </w:pPr>
      <w:r>
        <w:rPr>
          <w:rFonts w:hint="eastAsia" w:ascii="宋体" w:hAnsi="宋体" w:cs="宋体"/>
          <w:sz w:val="24"/>
        </w:rPr>
        <w:t>4.2.2母公司、全资子公司及其控股公司；</w:t>
      </w:r>
    </w:p>
    <w:p w14:paraId="7475A4F2">
      <w:pPr>
        <w:pStyle w:val="21"/>
        <w:spacing w:line="360" w:lineRule="auto"/>
        <w:ind w:firstLine="480" w:firstLineChars="200"/>
        <w:rPr>
          <w:rFonts w:ascii="宋体" w:hAnsi="宋体" w:cs="宋体"/>
          <w:sz w:val="24"/>
        </w:rPr>
      </w:pPr>
      <w:r>
        <w:rPr>
          <w:rFonts w:hint="eastAsia" w:ascii="宋体" w:hAnsi="宋体" w:cs="宋体"/>
          <w:sz w:val="24"/>
        </w:rPr>
        <w:t>4.2.3参加投标的其他组织之间存在特殊的利害关系的；</w:t>
      </w:r>
    </w:p>
    <w:p w14:paraId="68217FFF">
      <w:pPr>
        <w:spacing w:line="360" w:lineRule="auto"/>
        <w:ind w:firstLine="480" w:firstLineChars="200"/>
        <w:rPr>
          <w:rFonts w:ascii="宋体" w:hAnsi="宋体" w:cs="宋体"/>
          <w:sz w:val="24"/>
        </w:rPr>
      </w:pPr>
      <w:r>
        <w:rPr>
          <w:rFonts w:hint="eastAsia" w:ascii="宋体" w:hAnsi="宋体" w:cs="宋体"/>
          <w:sz w:val="24"/>
        </w:rPr>
        <w:t>4.2.4以上要求需提供法定代表人签章的国家企业信用信息公示系统公告后网页查询。</w:t>
      </w:r>
    </w:p>
    <w:p w14:paraId="5521C4DD">
      <w:pPr>
        <w:spacing w:line="360" w:lineRule="auto"/>
        <w:ind w:firstLine="550"/>
        <w:rPr>
          <w:rFonts w:ascii="宋体" w:hAnsi="宋体" w:cs="宋体"/>
          <w:b/>
          <w:sz w:val="24"/>
        </w:rPr>
      </w:pPr>
      <w:r>
        <w:rPr>
          <w:rFonts w:hint="eastAsia" w:ascii="宋体" w:hAnsi="宋体" w:cs="宋体"/>
          <w:b/>
          <w:sz w:val="24"/>
        </w:rPr>
        <w:t>5.勘察现场</w:t>
      </w:r>
    </w:p>
    <w:p w14:paraId="271E24A5">
      <w:pPr>
        <w:spacing w:line="360" w:lineRule="auto"/>
        <w:ind w:firstLine="550"/>
        <w:rPr>
          <w:rFonts w:ascii="宋体" w:hAnsi="宋体" w:cs="宋体"/>
          <w:sz w:val="24"/>
        </w:rPr>
      </w:pPr>
      <w:r>
        <w:rPr>
          <w:rFonts w:hint="eastAsia" w:ascii="宋体" w:hAnsi="宋体" w:cs="宋体"/>
          <w:sz w:val="24"/>
        </w:rPr>
        <w:t>5.1投标人应自行对供货现场和周围环境进行勘察，以获取编制投标文件和签署合同所需的资料。勘察现场的方式、地址及联系方式见投标人须知前附表。</w:t>
      </w:r>
    </w:p>
    <w:p w14:paraId="3BEDFC2C">
      <w:pPr>
        <w:spacing w:line="360" w:lineRule="auto"/>
        <w:ind w:firstLine="550"/>
        <w:rPr>
          <w:rFonts w:ascii="宋体" w:hAnsi="宋体" w:cs="宋体"/>
          <w:sz w:val="24"/>
        </w:rPr>
      </w:pPr>
      <w:r>
        <w:rPr>
          <w:rFonts w:hint="eastAsia" w:ascii="宋体" w:hAnsi="宋体" w:cs="宋体"/>
          <w:sz w:val="24"/>
        </w:rPr>
        <w:t>5.2勘察现场所发生的费用由投标人自行承担。采购人向投标人提供的有关供货现场的资料和数据，是采购人现有的能使投标人利用的资料。采购人对投标人由此而做出的推论、理解和结论概不负责。投标人未到供货现场实地踏勘的，中标后签订合同时和履约过程中，不得以不完全了解现场情况为由，提出任何形式的增加合同价款或索赔的要求。</w:t>
      </w:r>
    </w:p>
    <w:p w14:paraId="3838DDBC">
      <w:pPr>
        <w:spacing w:line="360" w:lineRule="auto"/>
        <w:ind w:firstLine="550"/>
        <w:rPr>
          <w:rFonts w:ascii="宋体" w:hAnsi="宋体" w:cs="宋体"/>
          <w:sz w:val="24"/>
        </w:rPr>
      </w:pPr>
      <w:r>
        <w:rPr>
          <w:rFonts w:hint="eastAsia" w:ascii="宋体" w:hAnsi="宋体" w:cs="宋体"/>
          <w:sz w:val="24"/>
        </w:rPr>
        <w:t>5.3除非有特殊要求，招标文件不单独提供供货使用地的自然环境、气候条件、公用设施等情况，投标人被视为熟悉上述与履行合同有关的一切情况。</w:t>
      </w:r>
    </w:p>
    <w:p w14:paraId="216D46CC">
      <w:pPr>
        <w:spacing w:line="360" w:lineRule="auto"/>
        <w:ind w:firstLine="550"/>
        <w:rPr>
          <w:rFonts w:ascii="宋体" w:hAnsi="宋体" w:cs="宋体"/>
          <w:bCs/>
          <w:sz w:val="24"/>
        </w:rPr>
      </w:pPr>
      <w:r>
        <w:rPr>
          <w:rFonts w:hint="eastAsia" w:ascii="宋体" w:hAnsi="宋体" w:cs="宋体"/>
          <w:b/>
          <w:sz w:val="24"/>
        </w:rPr>
        <w:t>6.知识产权</w:t>
      </w:r>
    </w:p>
    <w:p w14:paraId="0CB268EE">
      <w:pPr>
        <w:spacing w:line="360" w:lineRule="auto"/>
        <w:ind w:firstLine="549"/>
        <w:rPr>
          <w:rFonts w:ascii="宋体" w:hAnsi="宋体" w:cs="宋体"/>
          <w:bCs/>
          <w:sz w:val="24"/>
        </w:rPr>
      </w:pPr>
      <w:r>
        <w:rPr>
          <w:rFonts w:hint="eastAsia" w:ascii="宋体" w:hAnsi="宋体" w:cs="宋体"/>
          <w:sz w:val="24"/>
        </w:rPr>
        <w:t>6.1</w:t>
      </w:r>
      <w:r>
        <w:rPr>
          <w:rFonts w:hint="eastAsia" w:ascii="宋体" w:hAnsi="宋体" w:cs="宋体"/>
          <w:bCs/>
          <w:sz w:val="24"/>
        </w:rPr>
        <w:t>投标人须保证，采购人在中华人民共和国境内使用投标货物、资料、技术、服务或其任何一部分时，享有不受限制的无偿使用权，不会产生因第三方提出侵犯其专利权、商标权或其它知识产权而引起的法律或经济纠纷。如投标人不拥有相应的知识产权，则在投标报价中必须包括合法获取该知识产权的一切相关费用。</w:t>
      </w:r>
      <w:r>
        <w:rPr>
          <w:rFonts w:hint="eastAsia" w:ascii="宋体" w:hAnsi="宋体" w:cs="宋体"/>
          <w:sz w:val="24"/>
        </w:rPr>
        <w:t>如因此导致采购人损失的，投标人须承担全部赔偿责任。</w:t>
      </w:r>
    </w:p>
    <w:p w14:paraId="10E59FD2">
      <w:pPr>
        <w:spacing w:line="360" w:lineRule="auto"/>
        <w:ind w:firstLine="549"/>
        <w:rPr>
          <w:rFonts w:ascii="宋体" w:hAnsi="宋体" w:cs="宋体"/>
          <w:bCs/>
          <w:sz w:val="24"/>
        </w:rPr>
      </w:pPr>
      <w:r>
        <w:rPr>
          <w:rFonts w:hint="eastAsia" w:ascii="宋体" w:hAnsi="宋体" w:cs="宋体"/>
          <w:bCs/>
          <w:sz w:val="24"/>
        </w:rPr>
        <w:t>6.2投标人如欲在项目实施过程中采用自有知识成果，须在投标文件中声明，并提供相关知识产权证明文件。使用该知识成果后，投标人须提供开发接口和开发手册等技术文档。</w:t>
      </w:r>
    </w:p>
    <w:p w14:paraId="305C48AF">
      <w:pPr>
        <w:spacing w:line="360" w:lineRule="auto"/>
        <w:ind w:firstLine="549"/>
        <w:rPr>
          <w:rFonts w:ascii="宋体" w:hAnsi="宋体" w:cs="宋体"/>
          <w:b/>
          <w:sz w:val="24"/>
        </w:rPr>
      </w:pPr>
      <w:r>
        <w:rPr>
          <w:rFonts w:hint="eastAsia" w:ascii="宋体" w:hAnsi="宋体" w:cs="宋体"/>
          <w:b/>
          <w:sz w:val="24"/>
        </w:rPr>
        <w:t>7.纪律与保密</w:t>
      </w:r>
    </w:p>
    <w:p w14:paraId="0237C9CC">
      <w:pPr>
        <w:spacing w:line="360" w:lineRule="auto"/>
        <w:ind w:firstLine="549"/>
        <w:rPr>
          <w:rFonts w:ascii="宋体" w:hAnsi="宋体" w:cs="宋体"/>
          <w:sz w:val="24"/>
        </w:rPr>
      </w:pPr>
      <w:r>
        <w:rPr>
          <w:rFonts w:hint="eastAsia" w:ascii="宋体" w:hAnsi="宋体" w:cs="宋体"/>
          <w:sz w:val="24"/>
        </w:rPr>
        <w:t>7.1投标人的投标行为应遵守中国的有关法律、法规和规章。</w:t>
      </w:r>
    </w:p>
    <w:p w14:paraId="3190739B">
      <w:pPr>
        <w:spacing w:line="360" w:lineRule="auto"/>
        <w:ind w:firstLine="549"/>
        <w:rPr>
          <w:rFonts w:ascii="宋体" w:hAnsi="宋体" w:cs="宋体"/>
          <w:sz w:val="24"/>
        </w:rPr>
      </w:pPr>
      <w:r>
        <w:rPr>
          <w:rFonts w:hint="eastAsia" w:ascii="宋体" w:hAnsi="宋体" w:cs="宋体"/>
          <w:sz w:val="24"/>
        </w:rPr>
        <w:t>7.2投标人须承诺不相互串通投标报价，不妨碍其他投标人的公平竞争，不损害采购人或其他投标人的合法权益，投标人不以向采购人、评委会成员行贿或者采取其他不正当手段谋取中标。</w:t>
      </w:r>
    </w:p>
    <w:p w14:paraId="40FCB6A8">
      <w:pPr>
        <w:spacing w:line="360" w:lineRule="auto"/>
        <w:ind w:firstLine="549"/>
        <w:rPr>
          <w:rFonts w:ascii="宋体" w:hAnsi="宋体" w:cs="宋体"/>
          <w:sz w:val="24"/>
        </w:rPr>
      </w:pPr>
      <w:r>
        <w:rPr>
          <w:rFonts w:hint="eastAsia" w:ascii="宋体" w:hAnsi="宋体" w:cs="宋体"/>
          <w:sz w:val="24"/>
        </w:rPr>
        <w:t>7.2.1有下列情形之一的，属于投标人相互串通投标：</w:t>
      </w:r>
    </w:p>
    <w:p w14:paraId="64F15906">
      <w:pPr>
        <w:spacing w:line="360" w:lineRule="auto"/>
        <w:ind w:firstLine="1024" w:firstLineChars="427"/>
        <w:rPr>
          <w:rFonts w:ascii="宋体" w:hAnsi="宋体" w:cs="宋体"/>
          <w:sz w:val="24"/>
        </w:rPr>
      </w:pPr>
      <w:r>
        <w:rPr>
          <w:rFonts w:hint="eastAsia" w:ascii="宋体" w:hAnsi="宋体" w:cs="宋体"/>
          <w:sz w:val="24"/>
        </w:rPr>
        <w:t>7.2.1.1不同投标人的投标文件由同一单位或者个人编制；</w:t>
      </w:r>
    </w:p>
    <w:p w14:paraId="4C114DDE">
      <w:pPr>
        <w:spacing w:line="360" w:lineRule="auto"/>
        <w:ind w:firstLine="549"/>
        <w:rPr>
          <w:rFonts w:ascii="宋体" w:hAnsi="宋体" w:cs="宋体"/>
          <w:sz w:val="24"/>
        </w:rPr>
      </w:pPr>
      <w:r>
        <w:rPr>
          <w:rFonts w:hint="eastAsia" w:ascii="宋体" w:hAnsi="宋体" w:cs="宋体"/>
          <w:sz w:val="24"/>
        </w:rPr>
        <w:t>　  7.2.1.2不同投标人委托同一单位或者个人办理投标事宜；</w:t>
      </w:r>
    </w:p>
    <w:p w14:paraId="33451FAB">
      <w:pPr>
        <w:spacing w:line="360" w:lineRule="auto"/>
        <w:ind w:firstLine="549"/>
        <w:rPr>
          <w:rFonts w:ascii="宋体" w:hAnsi="宋体" w:cs="宋体"/>
          <w:sz w:val="24"/>
        </w:rPr>
      </w:pPr>
      <w:r>
        <w:rPr>
          <w:rFonts w:hint="eastAsia" w:ascii="宋体" w:hAnsi="宋体" w:cs="宋体"/>
          <w:sz w:val="24"/>
        </w:rPr>
        <w:t>　　7.2.1.3不同投标人的投标文件载明的项目管理成员或者联系人员为同一人；</w:t>
      </w:r>
    </w:p>
    <w:p w14:paraId="320FDB89">
      <w:pPr>
        <w:spacing w:line="360" w:lineRule="auto"/>
        <w:ind w:firstLine="549"/>
        <w:rPr>
          <w:rFonts w:ascii="宋体" w:hAnsi="宋体" w:cs="宋体"/>
          <w:sz w:val="24"/>
        </w:rPr>
      </w:pPr>
      <w:r>
        <w:rPr>
          <w:rFonts w:hint="eastAsia" w:ascii="宋体" w:hAnsi="宋体" w:cs="宋体"/>
          <w:sz w:val="24"/>
        </w:rPr>
        <w:t>　　7.2.1.4不同投标人的投标文件异常一致或者投标报价呈规律性差异；</w:t>
      </w:r>
    </w:p>
    <w:p w14:paraId="23D6FCC3">
      <w:pPr>
        <w:spacing w:line="360" w:lineRule="auto"/>
        <w:ind w:firstLine="549"/>
        <w:rPr>
          <w:rFonts w:ascii="宋体" w:hAnsi="宋体" w:cs="宋体"/>
          <w:sz w:val="24"/>
        </w:rPr>
      </w:pPr>
      <w:r>
        <w:rPr>
          <w:rFonts w:hint="eastAsia" w:ascii="宋体" w:hAnsi="宋体" w:cs="宋体"/>
          <w:sz w:val="24"/>
        </w:rPr>
        <w:t>　　7.2.1.5不同投标人的投标文件相互混装。</w:t>
      </w:r>
    </w:p>
    <w:p w14:paraId="1A8B689C">
      <w:pPr>
        <w:spacing w:line="360" w:lineRule="auto"/>
        <w:ind w:firstLine="549"/>
        <w:rPr>
          <w:rFonts w:ascii="宋体" w:hAnsi="宋体" w:cs="宋体"/>
          <w:sz w:val="24"/>
        </w:rPr>
      </w:pPr>
      <w:r>
        <w:rPr>
          <w:rFonts w:hint="eastAsia" w:ascii="宋体" w:hAnsi="宋体" w:cs="宋体"/>
          <w:sz w:val="24"/>
        </w:rPr>
        <w:t>7.3在确定中标人之前，投标人不得与采购人就投标价格、投标方案等实质性内容进行谈判，也不得私下接触评委会成员。</w:t>
      </w:r>
    </w:p>
    <w:p w14:paraId="36762FA8">
      <w:pPr>
        <w:spacing w:line="360" w:lineRule="auto"/>
        <w:ind w:firstLine="549"/>
        <w:rPr>
          <w:rFonts w:ascii="宋体" w:hAnsi="宋体" w:cs="宋体"/>
          <w:sz w:val="24"/>
        </w:rPr>
      </w:pPr>
      <w:r>
        <w:rPr>
          <w:rFonts w:hint="eastAsia" w:ascii="宋体" w:hAnsi="宋体" w:cs="宋体"/>
          <w:sz w:val="24"/>
        </w:rPr>
        <w:t>7.4在确定中标人之前，投标人试图在投标文件审查、澄清、比较和评价时对评委会、采购人和采购中心施加任何影响都可能导致其投标无效。</w:t>
      </w:r>
    </w:p>
    <w:p w14:paraId="34780991">
      <w:pPr>
        <w:spacing w:line="360" w:lineRule="auto"/>
        <w:ind w:firstLine="549"/>
        <w:rPr>
          <w:rFonts w:ascii="宋体" w:hAnsi="宋体" w:cs="宋体"/>
          <w:b/>
          <w:bCs/>
          <w:sz w:val="24"/>
        </w:rPr>
      </w:pPr>
      <w:r>
        <w:rPr>
          <w:rFonts w:hint="eastAsia" w:ascii="宋体" w:hAnsi="宋体" w:cs="宋体"/>
          <w:sz w:val="24"/>
        </w:rPr>
        <w:t>7.5由采购人向投标人提供的图纸、详细资料、样品、模型、模件和所有其它资料，被视为保密资料，仅被用于它所规定的用途。除非得到采购人的同意，不能向任何第三方透露。开标结束后，应采购人要求，投标人应归还所有从采购人处获得的保密资料。</w:t>
      </w:r>
    </w:p>
    <w:p w14:paraId="5EDE1E8D">
      <w:pPr>
        <w:spacing w:line="360" w:lineRule="auto"/>
        <w:ind w:firstLine="549"/>
        <w:rPr>
          <w:rFonts w:ascii="宋体" w:hAnsi="宋体" w:cs="宋体"/>
          <w:b/>
          <w:sz w:val="24"/>
        </w:rPr>
      </w:pPr>
      <w:r>
        <w:rPr>
          <w:rFonts w:hint="eastAsia" w:ascii="宋体" w:hAnsi="宋体" w:cs="宋体"/>
          <w:b/>
          <w:sz w:val="24"/>
        </w:rPr>
        <w:t>8.联合体投标</w:t>
      </w:r>
    </w:p>
    <w:p w14:paraId="0C46BA61">
      <w:pPr>
        <w:spacing w:line="360" w:lineRule="auto"/>
        <w:ind w:firstLine="480" w:firstLineChars="200"/>
        <w:rPr>
          <w:rFonts w:ascii="宋体" w:hAnsi="宋体" w:cs="宋体"/>
          <w:sz w:val="24"/>
        </w:rPr>
      </w:pPr>
      <w:r>
        <w:rPr>
          <w:rFonts w:hint="eastAsia" w:ascii="宋体" w:hAnsi="宋体" w:cs="宋体"/>
          <w:sz w:val="24"/>
        </w:rPr>
        <w:t>本项目不接受联合体投标。</w:t>
      </w:r>
    </w:p>
    <w:p w14:paraId="488A14E2">
      <w:pPr>
        <w:spacing w:line="360" w:lineRule="auto"/>
        <w:ind w:firstLine="482" w:firstLineChars="200"/>
        <w:rPr>
          <w:rFonts w:ascii="宋体" w:hAnsi="宋体" w:cs="宋体"/>
          <w:b/>
          <w:bCs/>
          <w:sz w:val="24"/>
        </w:rPr>
      </w:pPr>
      <w:r>
        <w:rPr>
          <w:rFonts w:hint="eastAsia" w:ascii="宋体" w:hAnsi="宋体" w:cs="宋体"/>
          <w:b/>
          <w:bCs/>
          <w:sz w:val="24"/>
        </w:rPr>
        <w:t>9.投标品牌</w:t>
      </w:r>
    </w:p>
    <w:p w14:paraId="71C4856A">
      <w:pPr>
        <w:spacing w:line="360" w:lineRule="auto"/>
        <w:ind w:firstLine="523" w:firstLineChars="218"/>
        <w:rPr>
          <w:rFonts w:ascii="宋体" w:hAnsi="宋体" w:cs="宋体"/>
          <w:sz w:val="24"/>
        </w:rPr>
      </w:pPr>
      <w:r>
        <w:rPr>
          <w:rFonts w:hint="eastAsia" w:ascii="宋体" w:hAnsi="宋体" w:cs="宋体"/>
          <w:sz w:val="24"/>
        </w:rPr>
        <w:t>9.1招标文件中提供的参考商标、品牌或标准（包括工艺、材料、设备、样本目录号码、标准等），是采购人为了方便投标人更准确、更清楚说明拟采购货物、服务的技术规格和标准，并无限制性。投标人在投标中若选用替代商标、品牌或标准，应优于或相当于参考商标、品牌或标准。</w:t>
      </w:r>
    </w:p>
    <w:p w14:paraId="313E8B5F">
      <w:pPr>
        <w:spacing w:line="360" w:lineRule="auto"/>
        <w:ind w:firstLine="525"/>
        <w:rPr>
          <w:rFonts w:ascii="宋体" w:hAnsi="宋体" w:cs="宋体"/>
          <w:b/>
          <w:bCs/>
          <w:sz w:val="24"/>
        </w:rPr>
      </w:pPr>
      <w:r>
        <w:rPr>
          <w:rFonts w:hint="eastAsia" w:ascii="宋体" w:hAnsi="宋体" w:cs="宋体"/>
          <w:b/>
          <w:bCs/>
          <w:sz w:val="24"/>
        </w:rPr>
        <w:t>10.投标专用章的效力</w:t>
      </w:r>
    </w:p>
    <w:p w14:paraId="624E998D">
      <w:pPr>
        <w:spacing w:line="360" w:lineRule="auto"/>
        <w:ind w:firstLine="525"/>
        <w:rPr>
          <w:rFonts w:ascii="宋体" w:hAnsi="宋体" w:cs="宋体"/>
          <w:sz w:val="24"/>
        </w:rPr>
      </w:pPr>
      <w:r>
        <w:rPr>
          <w:rFonts w:hint="eastAsia" w:ascii="宋体" w:hAnsi="宋体" w:cs="宋体"/>
          <w:sz w:val="24"/>
        </w:rPr>
        <w:t>10.1招标文件中明确要求加盖电子签章的，投标人必须加盖投标人电子签章。</w:t>
      </w:r>
    </w:p>
    <w:p w14:paraId="6C1550A3">
      <w:pPr>
        <w:spacing w:line="360" w:lineRule="auto"/>
        <w:ind w:firstLine="550"/>
        <w:rPr>
          <w:rFonts w:ascii="宋体" w:hAnsi="宋体" w:cs="宋体"/>
          <w:b/>
          <w:bCs/>
          <w:sz w:val="24"/>
        </w:rPr>
      </w:pPr>
      <w:r>
        <w:rPr>
          <w:rFonts w:hint="eastAsia" w:ascii="宋体" w:hAnsi="宋体" w:cs="宋体"/>
          <w:b/>
          <w:bCs/>
          <w:sz w:val="24"/>
        </w:rPr>
        <w:t>11.合同标的转让</w:t>
      </w:r>
    </w:p>
    <w:p w14:paraId="1BF235FF">
      <w:pPr>
        <w:spacing w:line="360" w:lineRule="auto"/>
        <w:ind w:firstLine="523" w:firstLineChars="218"/>
        <w:rPr>
          <w:rFonts w:ascii="宋体" w:hAnsi="宋体" w:cs="宋体"/>
          <w:sz w:val="24"/>
        </w:rPr>
      </w:pPr>
      <w:r>
        <w:rPr>
          <w:rFonts w:hint="eastAsia" w:ascii="宋体" w:hAnsi="宋体" w:cs="宋体"/>
          <w:sz w:val="24"/>
        </w:rPr>
        <w:t xml:space="preserve">11.1合同未约定或者未经采购人同意，中标人不得向他人转让中标项目，也不得将中标项目肢解后分别向他人转让。 </w:t>
      </w:r>
    </w:p>
    <w:p w14:paraId="796DE041">
      <w:pPr>
        <w:spacing w:line="360" w:lineRule="auto"/>
        <w:ind w:firstLine="523" w:firstLineChars="218"/>
        <w:rPr>
          <w:rFonts w:ascii="宋体" w:hAnsi="宋体" w:cs="宋体"/>
          <w:sz w:val="24"/>
        </w:rPr>
      </w:pPr>
      <w:r>
        <w:rPr>
          <w:rFonts w:hint="eastAsia" w:ascii="宋体" w:hAnsi="宋体" w:cs="宋体"/>
          <w:sz w:val="24"/>
        </w:rPr>
        <w:t>11.2合同约定或者经采购人同意，中标人可以将中标项目的部分非主体、非关键性工作分包给他人完成。接受分包的人应当具备相应的资格条件，并不得再次分包。如果本项目允许分包，采购人根据采购项目的实际情况，拟在中标后将中标项目的非主体、非关键性工作交由他人完成的，应在投标文件中载明。</w:t>
      </w:r>
    </w:p>
    <w:p w14:paraId="4502758A">
      <w:pPr>
        <w:spacing w:line="360" w:lineRule="auto"/>
        <w:ind w:firstLine="523" w:firstLineChars="218"/>
        <w:rPr>
          <w:rFonts w:ascii="宋体" w:hAnsi="宋体" w:cs="宋体"/>
          <w:sz w:val="24"/>
        </w:rPr>
      </w:pPr>
      <w:r>
        <w:rPr>
          <w:rFonts w:hint="eastAsia" w:ascii="宋体" w:hAnsi="宋体" w:cs="宋体"/>
          <w:sz w:val="24"/>
        </w:rPr>
        <w:t>11.3中标人应当就分包项目向采购人负责，接受分包的人就分包项目承担连带责任。</w:t>
      </w:r>
    </w:p>
    <w:p w14:paraId="19FB29D3">
      <w:pPr>
        <w:spacing w:line="360" w:lineRule="auto"/>
        <w:ind w:firstLine="523" w:firstLineChars="218"/>
        <w:rPr>
          <w:rFonts w:ascii="宋体" w:hAnsi="宋体" w:cs="宋体"/>
          <w:sz w:val="24"/>
        </w:rPr>
      </w:pPr>
      <w:r>
        <w:rPr>
          <w:rFonts w:hint="eastAsia" w:ascii="宋体" w:hAnsi="宋体" w:cs="宋体"/>
          <w:sz w:val="24"/>
        </w:rPr>
        <w:t>11.4未经政府采购管理部门批准，进口设备不得转包。</w:t>
      </w:r>
    </w:p>
    <w:p w14:paraId="5F37CCB7">
      <w:pPr>
        <w:spacing w:line="360" w:lineRule="auto"/>
        <w:ind w:firstLine="525" w:firstLineChars="218"/>
        <w:rPr>
          <w:rFonts w:ascii="宋体" w:hAnsi="宋体" w:cs="宋体"/>
          <w:sz w:val="24"/>
        </w:rPr>
      </w:pPr>
      <w:r>
        <w:rPr>
          <w:rFonts w:hint="eastAsia" w:ascii="宋体" w:hAnsi="宋体" w:cs="宋体"/>
          <w:b/>
          <w:bCs/>
          <w:sz w:val="24"/>
        </w:rPr>
        <w:t>12.会员信息库</w:t>
      </w:r>
    </w:p>
    <w:p w14:paraId="2D058945">
      <w:pPr>
        <w:spacing w:line="360" w:lineRule="auto"/>
        <w:ind w:firstLine="523" w:firstLineChars="218"/>
        <w:rPr>
          <w:rFonts w:ascii="宋体" w:hAnsi="宋体" w:cs="宋体"/>
          <w:sz w:val="24"/>
        </w:rPr>
      </w:pPr>
      <w:r>
        <w:rPr>
          <w:rFonts w:hint="eastAsia" w:ascii="宋体" w:hAnsi="宋体" w:cs="宋体"/>
          <w:sz w:val="24"/>
        </w:rPr>
        <w:t>12.1为进一步规范招投标行为，提高招投标工作效率，降低投标成本，加强对投标人诚信信息的管理，加快周口市招投标工作电子化、信息化建设，为周口市公共资源交易中心实行网上招投标奠定基础，经周口市公共资源交易管理办公室研究决定，周口市公共资源交易中心实行投标人会员信息库制度，并面向全国免费征集注册投标企业会员。</w:t>
      </w:r>
    </w:p>
    <w:p w14:paraId="4C7AA1EF">
      <w:pPr>
        <w:spacing w:line="360" w:lineRule="auto"/>
        <w:ind w:firstLine="523" w:firstLineChars="218"/>
        <w:rPr>
          <w:rFonts w:ascii="宋体" w:hAnsi="宋体" w:cs="宋体"/>
          <w:sz w:val="24"/>
        </w:rPr>
      </w:pPr>
      <w:r>
        <w:rPr>
          <w:rFonts w:hint="eastAsia" w:ascii="宋体" w:hAnsi="宋体" w:cs="宋体"/>
          <w:sz w:val="24"/>
        </w:rPr>
        <w:t>12.2入库资料的真实性、有效性、完整性、准确性、合法性及清晰度由投标人负责。周口市公共资源交易中心只负责对投标人所提供的入库资料原件与上传扫描件进行比对；本项目所需会员库资料有效性由本项目评委会负责审核。</w:t>
      </w:r>
    </w:p>
    <w:p w14:paraId="062420D6">
      <w:pPr>
        <w:spacing w:line="360" w:lineRule="auto"/>
        <w:ind w:firstLine="523" w:firstLineChars="218"/>
        <w:rPr>
          <w:rFonts w:ascii="宋体" w:hAnsi="宋体" w:cs="宋体"/>
          <w:sz w:val="24"/>
        </w:rPr>
      </w:pPr>
      <w:r>
        <w:rPr>
          <w:rFonts w:hint="eastAsia" w:ascii="宋体" w:hAnsi="宋体" w:cs="宋体"/>
          <w:sz w:val="24"/>
        </w:rPr>
        <w:t>为确保投标文件通过评审，投标人应及时对入库资料进行补充、更新。</w:t>
      </w:r>
    </w:p>
    <w:p w14:paraId="67EE4995">
      <w:pPr>
        <w:spacing w:line="360" w:lineRule="auto"/>
        <w:ind w:firstLine="523" w:firstLineChars="218"/>
        <w:rPr>
          <w:rFonts w:ascii="宋体" w:hAnsi="宋体" w:cs="宋体"/>
          <w:sz w:val="24"/>
        </w:rPr>
      </w:pPr>
      <w:r>
        <w:rPr>
          <w:rFonts w:hint="eastAsia" w:ascii="宋体" w:hAnsi="宋体" w:cs="宋体"/>
          <w:sz w:val="24"/>
        </w:rPr>
        <w:t>如因前款原因未通过本项目评委会评审，由投标人承担全部责任。</w:t>
      </w:r>
    </w:p>
    <w:p w14:paraId="42F37499">
      <w:pPr>
        <w:spacing w:line="360" w:lineRule="auto"/>
        <w:ind w:firstLine="523" w:firstLineChars="218"/>
        <w:rPr>
          <w:rFonts w:ascii="宋体" w:hAnsi="宋体" w:cs="宋体"/>
          <w:sz w:val="24"/>
        </w:rPr>
      </w:pPr>
      <w:r>
        <w:rPr>
          <w:rFonts w:hint="eastAsia" w:ascii="宋体" w:hAnsi="宋体" w:cs="宋体"/>
          <w:sz w:val="24"/>
        </w:rPr>
        <w:t>12.3网上会员库中文字资料与扫描件资料不一致时，以扫描件资料为准。</w:t>
      </w:r>
    </w:p>
    <w:p w14:paraId="3836B650">
      <w:pPr>
        <w:spacing w:line="360" w:lineRule="auto"/>
        <w:ind w:firstLine="523" w:firstLineChars="218"/>
        <w:rPr>
          <w:rFonts w:ascii="宋体" w:hAnsi="宋体" w:cs="宋体"/>
          <w:sz w:val="24"/>
        </w:rPr>
      </w:pPr>
      <w:r>
        <w:rPr>
          <w:rFonts w:hint="eastAsia" w:ascii="宋体" w:hAnsi="宋体" w:cs="宋体"/>
          <w:sz w:val="24"/>
        </w:rPr>
        <w:t>12.4有关会员库的更多信息，请登陆周口市公共资源交易中心网查询。</w:t>
      </w:r>
    </w:p>
    <w:p w14:paraId="56C357C8">
      <w:pPr>
        <w:spacing w:line="360" w:lineRule="auto"/>
        <w:ind w:firstLine="550"/>
        <w:rPr>
          <w:rFonts w:ascii="宋体" w:hAnsi="宋体" w:cs="宋体"/>
          <w:b/>
          <w:bCs/>
          <w:sz w:val="24"/>
        </w:rPr>
      </w:pPr>
      <w:r>
        <w:rPr>
          <w:rFonts w:hint="eastAsia" w:ascii="宋体" w:hAnsi="宋体" w:cs="宋体"/>
          <w:b/>
          <w:bCs/>
          <w:sz w:val="24"/>
        </w:rPr>
        <w:t>13.采购信息的发布</w:t>
      </w:r>
    </w:p>
    <w:p w14:paraId="721F071A">
      <w:pPr>
        <w:spacing w:line="360" w:lineRule="auto"/>
        <w:ind w:firstLine="550"/>
        <w:rPr>
          <w:rFonts w:ascii="宋体" w:hAnsi="宋体" w:cs="宋体"/>
          <w:sz w:val="28"/>
        </w:rPr>
      </w:pPr>
      <w:r>
        <w:rPr>
          <w:rFonts w:hint="eastAsia" w:ascii="宋体" w:hAnsi="宋体" w:cs="宋体"/>
          <w:sz w:val="24"/>
        </w:rPr>
        <w:t>13.1与本次采购活动相关的信息，将发布在周口市公共资源交易中心网(</w:t>
      </w:r>
      <w:r>
        <w:fldChar w:fldCharType="begin"/>
      </w:r>
      <w:r>
        <w:instrText xml:space="preserve"> HYPERLINK "http://jyzx.zhoukou.gov.cn" </w:instrText>
      </w:r>
      <w:r>
        <w:fldChar w:fldCharType="separate"/>
      </w:r>
      <w:r>
        <w:rPr>
          <w:rFonts w:hint="eastAsia" w:ascii="宋体" w:hAnsi="宋体" w:cs="宋体"/>
          <w:sz w:val="24"/>
        </w:rPr>
        <w:t>http://jyzx.zhoukou.gov.cn</w:t>
      </w:r>
      <w:r>
        <w:rPr>
          <w:rFonts w:hint="eastAsia" w:ascii="宋体" w:hAnsi="宋体" w:cs="宋体"/>
          <w:sz w:val="24"/>
        </w:rPr>
        <w:fldChar w:fldCharType="end"/>
      </w:r>
      <w:r>
        <w:rPr>
          <w:rFonts w:hint="eastAsia" w:ascii="宋体" w:hAnsi="宋体" w:cs="宋体"/>
          <w:sz w:val="24"/>
        </w:rPr>
        <w:t>)及河南省政府采购网（www.hngp.gov.cn），以下简称“网站”。</w:t>
      </w:r>
    </w:p>
    <w:p w14:paraId="188DCE83">
      <w:pPr>
        <w:pStyle w:val="4"/>
        <w:spacing w:line="360" w:lineRule="auto"/>
        <w:ind w:firstLine="3418" w:firstLineChars="1216"/>
        <w:jc w:val="both"/>
        <w:rPr>
          <w:rFonts w:hAnsi="宋体" w:cs="宋体"/>
          <w:sz w:val="28"/>
        </w:rPr>
      </w:pPr>
      <w:bookmarkStart w:id="335" w:name="_Hlt509650690"/>
      <w:bookmarkEnd w:id="335"/>
      <w:bookmarkStart w:id="336" w:name="_Hlt509649645"/>
      <w:bookmarkEnd w:id="336"/>
      <w:bookmarkStart w:id="337" w:name="_Hlt509649669"/>
      <w:bookmarkEnd w:id="337"/>
      <w:bookmarkStart w:id="338" w:name="_Hlt509650932"/>
      <w:bookmarkEnd w:id="338"/>
      <w:bookmarkStart w:id="339" w:name="_Hlt509650116"/>
      <w:bookmarkEnd w:id="339"/>
      <w:bookmarkStart w:id="340" w:name="_Hlt509650333"/>
      <w:bookmarkEnd w:id="340"/>
      <w:bookmarkStart w:id="341" w:name="_Hlt509649330"/>
      <w:bookmarkEnd w:id="341"/>
      <w:bookmarkStart w:id="342" w:name="_Hlt509650936"/>
      <w:bookmarkEnd w:id="342"/>
      <w:bookmarkStart w:id="343" w:name="_Hlt509649678"/>
      <w:bookmarkEnd w:id="343"/>
      <w:bookmarkStart w:id="344" w:name="_Hlt509650103"/>
      <w:bookmarkEnd w:id="344"/>
      <w:bookmarkStart w:id="345" w:name="_Hlt509650929"/>
      <w:bookmarkEnd w:id="345"/>
      <w:bookmarkStart w:id="346" w:name="_Hlt509650961"/>
      <w:bookmarkEnd w:id="346"/>
      <w:bookmarkStart w:id="347" w:name="_Hlt526418153"/>
      <w:bookmarkEnd w:id="347"/>
      <w:bookmarkStart w:id="348" w:name="_Hlt509649795"/>
      <w:bookmarkEnd w:id="348"/>
      <w:bookmarkStart w:id="349" w:name="_Toc527725923"/>
      <w:bookmarkStart w:id="350" w:name="_Toc7614"/>
      <w:bookmarkStart w:id="351" w:name="_Toc16689"/>
      <w:bookmarkStart w:id="352" w:name="_Toc40975443"/>
      <w:bookmarkStart w:id="353" w:name="_Toc5653"/>
      <w:bookmarkStart w:id="354" w:name="_Toc172"/>
      <w:r>
        <w:rPr>
          <w:rFonts w:hint="eastAsia" w:hAnsi="宋体" w:cs="宋体"/>
          <w:sz w:val="28"/>
        </w:rPr>
        <w:t>二．招标文件</w:t>
      </w:r>
      <w:bookmarkEnd w:id="349"/>
      <w:bookmarkEnd w:id="350"/>
      <w:bookmarkEnd w:id="351"/>
      <w:bookmarkEnd w:id="352"/>
      <w:bookmarkEnd w:id="353"/>
      <w:bookmarkEnd w:id="354"/>
      <w:bookmarkStart w:id="355" w:name="_Hlt509649791"/>
      <w:bookmarkEnd w:id="355"/>
      <w:bookmarkStart w:id="356" w:name="_Hlt509649930"/>
      <w:bookmarkEnd w:id="356"/>
      <w:bookmarkStart w:id="357" w:name="_Hlt509650361"/>
      <w:bookmarkEnd w:id="357"/>
    </w:p>
    <w:p w14:paraId="49919996">
      <w:pPr>
        <w:spacing w:line="360" w:lineRule="auto"/>
        <w:ind w:firstLine="549"/>
        <w:rPr>
          <w:rFonts w:ascii="宋体" w:hAnsi="宋体" w:cs="宋体"/>
          <w:b/>
          <w:sz w:val="24"/>
        </w:rPr>
      </w:pPr>
      <w:bookmarkStart w:id="358" w:name="_Hlt509650734"/>
      <w:bookmarkEnd w:id="358"/>
      <w:r>
        <w:rPr>
          <w:rFonts w:hint="eastAsia" w:ascii="宋体" w:hAnsi="宋体" w:cs="宋体"/>
          <w:b/>
          <w:sz w:val="24"/>
        </w:rPr>
        <w:t>14.招标文件构成</w:t>
      </w:r>
    </w:p>
    <w:p w14:paraId="06AE0AE6">
      <w:pPr>
        <w:spacing w:line="360" w:lineRule="auto"/>
        <w:ind w:firstLine="549"/>
        <w:rPr>
          <w:rFonts w:ascii="宋体" w:hAnsi="宋体" w:cs="宋体"/>
          <w:sz w:val="24"/>
        </w:rPr>
      </w:pPr>
      <w:r>
        <w:rPr>
          <w:rFonts w:hint="eastAsia" w:ascii="宋体" w:hAnsi="宋体" w:cs="宋体"/>
          <w:sz w:val="24"/>
        </w:rPr>
        <w:t>14.1招标文件包括以下部分：</w:t>
      </w:r>
    </w:p>
    <w:p w14:paraId="6C9C515C">
      <w:pPr>
        <w:spacing w:line="360" w:lineRule="auto"/>
        <w:ind w:firstLine="523" w:firstLineChars="218"/>
        <w:rPr>
          <w:rFonts w:ascii="宋体" w:hAnsi="宋体" w:cs="宋体"/>
          <w:bCs/>
          <w:sz w:val="24"/>
        </w:rPr>
      </w:pPr>
      <w:r>
        <w:rPr>
          <w:rFonts w:hint="eastAsia" w:ascii="宋体" w:hAnsi="宋体" w:cs="宋体"/>
          <w:sz w:val="24"/>
        </w:rPr>
        <w:t>14.1.1第一章：</w:t>
      </w:r>
      <w:r>
        <w:rPr>
          <w:rFonts w:hint="eastAsia" w:ascii="宋体" w:hAnsi="宋体" w:cs="宋体"/>
          <w:bCs/>
          <w:sz w:val="24"/>
        </w:rPr>
        <w:t>投标邀请（招标公告）；</w:t>
      </w:r>
    </w:p>
    <w:p w14:paraId="14741437">
      <w:pPr>
        <w:spacing w:line="360" w:lineRule="auto"/>
        <w:ind w:firstLine="523" w:firstLineChars="218"/>
        <w:rPr>
          <w:rFonts w:ascii="宋体" w:hAnsi="宋体" w:cs="宋体"/>
          <w:bCs/>
          <w:sz w:val="24"/>
        </w:rPr>
      </w:pPr>
      <w:r>
        <w:rPr>
          <w:rFonts w:hint="eastAsia" w:ascii="宋体" w:hAnsi="宋体" w:cs="宋体"/>
          <w:sz w:val="24"/>
        </w:rPr>
        <w:t>14.1.2第二章：</w:t>
      </w:r>
      <w:bookmarkStart w:id="359" w:name="_Hlt509650925"/>
      <w:bookmarkEnd w:id="359"/>
      <w:r>
        <w:rPr>
          <w:rFonts w:hint="eastAsia" w:ascii="宋体" w:hAnsi="宋体" w:cs="宋体"/>
          <w:bCs/>
          <w:sz w:val="24"/>
        </w:rPr>
        <w:t>投标人须知前附表；</w:t>
      </w:r>
    </w:p>
    <w:p w14:paraId="163E758F">
      <w:pPr>
        <w:spacing w:line="360" w:lineRule="auto"/>
        <w:ind w:firstLine="523" w:firstLineChars="218"/>
        <w:rPr>
          <w:rFonts w:ascii="宋体" w:hAnsi="宋体" w:cs="宋体"/>
          <w:bCs/>
          <w:sz w:val="24"/>
        </w:rPr>
      </w:pPr>
      <w:r>
        <w:rPr>
          <w:rFonts w:hint="eastAsia" w:ascii="宋体" w:hAnsi="宋体" w:cs="宋体"/>
          <w:sz w:val="24"/>
        </w:rPr>
        <w:t>14.1.3第三章：</w:t>
      </w:r>
      <w:r>
        <w:rPr>
          <w:rFonts w:hint="eastAsia" w:ascii="宋体" w:hAnsi="宋体" w:cs="宋体"/>
          <w:bCs/>
          <w:sz w:val="24"/>
        </w:rPr>
        <w:t>需求一览表；</w:t>
      </w:r>
    </w:p>
    <w:p w14:paraId="3A579A81">
      <w:pPr>
        <w:spacing w:line="360" w:lineRule="auto"/>
        <w:ind w:firstLine="523" w:firstLineChars="218"/>
        <w:rPr>
          <w:rFonts w:ascii="宋体" w:hAnsi="宋体" w:cs="宋体"/>
          <w:sz w:val="24"/>
        </w:rPr>
      </w:pPr>
      <w:r>
        <w:rPr>
          <w:rFonts w:hint="eastAsia" w:ascii="宋体" w:hAnsi="宋体" w:cs="宋体"/>
          <w:sz w:val="24"/>
        </w:rPr>
        <w:t>14.1.4第四章：</w:t>
      </w:r>
      <w:r>
        <w:rPr>
          <w:rFonts w:hint="eastAsia" w:ascii="宋体" w:hAnsi="宋体" w:cs="宋体"/>
          <w:bCs/>
          <w:sz w:val="24"/>
        </w:rPr>
        <w:t>评标办法；</w:t>
      </w:r>
    </w:p>
    <w:p w14:paraId="024D823C">
      <w:pPr>
        <w:spacing w:line="360" w:lineRule="auto"/>
        <w:ind w:firstLine="523" w:firstLineChars="218"/>
        <w:rPr>
          <w:rFonts w:ascii="宋体" w:hAnsi="宋体" w:cs="宋体"/>
          <w:bCs/>
          <w:sz w:val="24"/>
        </w:rPr>
      </w:pPr>
      <w:r>
        <w:rPr>
          <w:rFonts w:hint="eastAsia" w:ascii="宋体" w:hAnsi="宋体" w:cs="宋体"/>
          <w:sz w:val="24"/>
        </w:rPr>
        <w:t>14.1.5第五章：</w:t>
      </w:r>
      <w:r>
        <w:rPr>
          <w:rFonts w:hint="eastAsia" w:ascii="宋体" w:hAnsi="宋体" w:cs="宋体"/>
          <w:bCs/>
          <w:sz w:val="24"/>
        </w:rPr>
        <w:t>投标人须知；</w:t>
      </w:r>
    </w:p>
    <w:p w14:paraId="757ADEA4">
      <w:pPr>
        <w:spacing w:line="360" w:lineRule="auto"/>
        <w:ind w:firstLine="523" w:firstLineChars="218"/>
        <w:rPr>
          <w:rFonts w:ascii="宋体" w:hAnsi="宋体" w:cs="宋体"/>
          <w:bCs/>
          <w:sz w:val="24"/>
        </w:rPr>
      </w:pPr>
      <w:r>
        <w:rPr>
          <w:rFonts w:hint="eastAsia" w:ascii="宋体" w:hAnsi="宋体" w:cs="宋体"/>
          <w:sz w:val="24"/>
        </w:rPr>
        <w:t>14.1.6第六章：</w:t>
      </w:r>
      <w:r>
        <w:rPr>
          <w:rFonts w:hint="eastAsia" w:ascii="宋体" w:hAnsi="宋体" w:cs="宋体"/>
          <w:bCs/>
          <w:sz w:val="24"/>
        </w:rPr>
        <w:t>采购合同；</w:t>
      </w:r>
    </w:p>
    <w:p w14:paraId="4CECA73A">
      <w:pPr>
        <w:spacing w:line="360" w:lineRule="auto"/>
        <w:ind w:firstLine="523" w:firstLineChars="218"/>
        <w:rPr>
          <w:rFonts w:ascii="宋体" w:hAnsi="宋体" w:cs="宋体"/>
          <w:bCs/>
          <w:sz w:val="24"/>
        </w:rPr>
      </w:pPr>
      <w:r>
        <w:rPr>
          <w:rFonts w:hint="eastAsia" w:ascii="宋体" w:hAnsi="宋体" w:cs="宋体"/>
          <w:sz w:val="24"/>
        </w:rPr>
        <w:t>14.1.7第七章：</w:t>
      </w:r>
      <w:r>
        <w:rPr>
          <w:rFonts w:hint="eastAsia" w:ascii="宋体" w:hAnsi="宋体" w:cs="宋体"/>
          <w:bCs/>
          <w:sz w:val="24"/>
        </w:rPr>
        <w:t>投标文件格式；</w:t>
      </w:r>
    </w:p>
    <w:p w14:paraId="5B2AE5F2">
      <w:pPr>
        <w:spacing w:line="360" w:lineRule="auto"/>
        <w:ind w:firstLine="523" w:firstLineChars="218"/>
        <w:rPr>
          <w:rFonts w:ascii="宋体" w:hAnsi="宋体" w:cs="宋体"/>
          <w:sz w:val="24"/>
        </w:rPr>
      </w:pPr>
      <w:r>
        <w:rPr>
          <w:rFonts w:hint="eastAsia" w:ascii="宋体" w:hAnsi="宋体" w:cs="宋体"/>
          <w:bCs/>
          <w:sz w:val="24"/>
        </w:rPr>
        <w:t>14.1.8发布的</w:t>
      </w:r>
      <w:r>
        <w:rPr>
          <w:rFonts w:hint="eastAsia" w:ascii="宋体" w:hAnsi="宋体" w:cs="宋体"/>
          <w:sz w:val="24"/>
        </w:rPr>
        <w:t>图纸、答疑、补遗、补充通知等。</w:t>
      </w:r>
    </w:p>
    <w:p w14:paraId="3E2CFC63">
      <w:pPr>
        <w:spacing w:line="360" w:lineRule="auto"/>
        <w:ind w:firstLine="549"/>
        <w:rPr>
          <w:rFonts w:ascii="宋体" w:hAnsi="宋体" w:cs="宋体"/>
          <w:sz w:val="24"/>
        </w:rPr>
      </w:pPr>
      <w:r>
        <w:rPr>
          <w:rFonts w:hint="eastAsia" w:ascii="宋体" w:hAnsi="宋体" w:cs="宋体"/>
          <w:sz w:val="24"/>
        </w:rPr>
        <w:t>14.2 投标人应认真阅读招标文件中所有的事项、格式、条件、条款和规范等要求。</w:t>
      </w:r>
    </w:p>
    <w:p w14:paraId="64439D2A">
      <w:pPr>
        <w:spacing w:line="360" w:lineRule="auto"/>
        <w:ind w:firstLine="550"/>
        <w:rPr>
          <w:rFonts w:ascii="宋体" w:hAnsi="宋体" w:cs="宋体"/>
          <w:sz w:val="24"/>
        </w:rPr>
      </w:pPr>
      <w:r>
        <w:rPr>
          <w:rFonts w:hint="eastAsia" w:ascii="宋体" w:hAnsi="宋体" w:cs="宋体"/>
          <w:sz w:val="24"/>
        </w:rPr>
        <w:t>14.3投标人应当按照招标文件的要求编制投标文件。投标文件应对招标文件提出的要求和条件作出实质性响应。</w:t>
      </w:r>
    </w:p>
    <w:p w14:paraId="35D1F865">
      <w:pPr>
        <w:spacing w:line="360" w:lineRule="auto"/>
        <w:ind w:firstLine="550"/>
        <w:rPr>
          <w:rFonts w:ascii="宋体" w:hAnsi="宋体" w:cs="宋体"/>
          <w:sz w:val="24"/>
        </w:rPr>
      </w:pPr>
      <w:r>
        <w:rPr>
          <w:rFonts w:hint="eastAsia" w:ascii="宋体" w:hAnsi="宋体" w:cs="宋体"/>
          <w:sz w:val="24"/>
        </w:rPr>
        <w:t>14.4投标人获取招标文件后，应仔细检查招标文件的所有内容，如有残缺等问题应在获得招标文件3日内向采购代理机构或采购人提出，否则，由此引起的损失由投标人自行承担。</w:t>
      </w:r>
    </w:p>
    <w:p w14:paraId="210791F9">
      <w:pPr>
        <w:spacing w:line="360" w:lineRule="auto"/>
        <w:ind w:firstLine="550"/>
        <w:rPr>
          <w:rFonts w:ascii="宋体" w:hAnsi="宋体" w:cs="宋体"/>
          <w:sz w:val="24"/>
        </w:rPr>
      </w:pPr>
      <w:r>
        <w:rPr>
          <w:rFonts w:hint="eastAsia" w:ascii="宋体" w:hAnsi="宋体" w:cs="宋体"/>
          <w:sz w:val="24"/>
        </w:rPr>
        <w:t>15.招标文件的澄清与修改</w:t>
      </w:r>
    </w:p>
    <w:p w14:paraId="2A68EC65">
      <w:pPr>
        <w:spacing w:line="360" w:lineRule="auto"/>
        <w:ind w:firstLine="550"/>
        <w:rPr>
          <w:rFonts w:ascii="宋体" w:hAnsi="宋体" w:cs="宋体"/>
          <w:sz w:val="24"/>
        </w:rPr>
      </w:pPr>
      <w:r>
        <w:rPr>
          <w:rFonts w:hint="eastAsia" w:ascii="宋体" w:hAnsi="宋体" w:cs="宋体"/>
          <w:sz w:val="24"/>
        </w:rPr>
        <w:t>15.1采购代理机构或采购人对招标文件进行的澄清、更正或更改，将在网站上及时发布，该公告内容为招标文件的组成部分，对投标人具有同样约束力。澄清或者修改的内容可能影响投标文件编制的，采购人或者采购代理机构在投标截止时间至少15日前，将在网站上及时发布通知所有获取招标文件的潜在投标人；不足15日的，采购人或者采购代理机构应当顺延提交投标文件的截止时间。投标人应主动上网查询。采购代理机构或采购人 不承担投标人未及时关注相关信息引发的相关责任。</w:t>
      </w:r>
    </w:p>
    <w:p w14:paraId="62573899">
      <w:pPr>
        <w:spacing w:line="360" w:lineRule="auto"/>
        <w:ind w:firstLine="550"/>
        <w:rPr>
          <w:rFonts w:ascii="宋体" w:hAnsi="宋体" w:cs="宋体"/>
          <w:sz w:val="24"/>
        </w:rPr>
      </w:pPr>
      <w:r>
        <w:rPr>
          <w:rFonts w:hint="eastAsia" w:ascii="宋体" w:hAnsi="宋体" w:cs="宋体"/>
          <w:sz w:val="24"/>
        </w:rPr>
        <w:t>15.2在投标截止时间前，</w:t>
      </w:r>
      <w:r>
        <w:rPr>
          <w:rFonts w:hint="eastAsia" w:ascii="宋体" w:hAnsi="宋体" w:cs="宋体"/>
          <w:bCs/>
          <w:sz w:val="24"/>
        </w:rPr>
        <w:t>采购人</w:t>
      </w:r>
      <w:r>
        <w:rPr>
          <w:rFonts w:hint="eastAsia" w:ascii="宋体" w:hAnsi="宋体" w:cs="宋体"/>
          <w:sz w:val="24"/>
        </w:rPr>
        <w:t>可以视采购具体情况，延长投标截止时间和开标时间，并在招标文件要求提交投标文件的截止时间三日前，在网站上发布变更公告。在上述情况下，</w:t>
      </w:r>
      <w:r>
        <w:rPr>
          <w:rFonts w:hint="eastAsia" w:ascii="宋体" w:hAnsi="宋体" w:cs="宋体"/>
          <w:bCs/>
          <w:sz w:val="24"/>
        </w:rPr>
        <w:t>采购人</w:t>
      </w:r>
      <w:r>
        <w:rPr>
          <w:rFonts w:hint="eastAsia" w:ascii="宋体" w:hAnsi="宋体" w:cs="宋体"/>
          <w:sz w:val="24"/>
        </w:rPr>
        <w:t>和投标人在投标截止期方面的全部权力、责任和义务，将适用于延长后新的投标截止期。</w:t>
      </w:r>
    </w:p>
    <w:p w14:paraId="5C250A4F">
      <w:pPr>
        <w:spacing w:line="360" w:lineRule="auto"/>
        <w:ind w:firstLine="550"/>
        <w:rPr>
          <w:rFonts w:ascii="宋体" w:hAnsi="宋体" w:cs="宋体"/>
          <w:sz w:val="28"/>
        </w:rPr>
      </w:pPr>
      <w:r>
        <w:rPr>
          <w:rFonts w:hint="eastAsia" w:ascii="宋体" w:hAnsi="宋体" w:cs="宋体"/>
          <w:sz w:val="24"/>
        </w:rPr>
        <w:t>15.3特殊情况下，</w:t>
      </w:r>
      <w:r>
        <w:rPr>
          <w:rFonts w:hint="eastAsia" w:ascii="宋体" w:hAnsi="宋体" w:cs="宋体"/>
          <w:bCs/>
          <w:sz w:val="24"/>
        </w:rPr>
        <w:t>采购人</w:t>
      </w:r>
      <w:r>
        <w:rPr>
          <w:rFonts w:hint="eastAsia" w:ascii="宋体" w:hAnsi="宋体" w:cs="宋体"/>
          <w:sz w:val="24"/>
        </w:rPr>
        <w:t>发布澄清、更正或更改公告后，可不改变投标截止时间和开标时间。</w:t>
      </w:r>
    </w:p>
    <w:p w14:paraId="29C46549">
      <w:pPr>
        <w:pStyle w:val="4"/>
        <w:spacing w:line="360" w:lineRule="auto"/>
        <w:rPr>
          <w:rFonts w:hAnsi="宋体" w:cs="宋体"/>
          <w:sz w:val="28"/>
        </w:rPr>
      </w:pPr>
      <w:bookmarkStart w:id="360" w:name="_Hlt510342861"/>
      <w:bookmarkEnd w:id="360"/>
      <w:bookmarkStart w:id="361" w:name="_Hlt509649724"/>
      <w:bookmarkEnd w:id="361"/>
      <w:bookmarkStart w:id="362" w:name="_Hlt509650697"/>
      <w:bookmarkEnd w:id="362"/>
      <w:bookmarkStart w:id="363" w:name="_Toc29307"/>
      <w:bookmarkStart w:id="364" w:name="_Toc30687"/>
      <w:bookmarkStart w:id="365" w:name="_Toc527725924"/>
      <w:bookmarkStart w:id="366" w:name="_Toc12587"/>
      <w:bookmarkStart w:id="367" w:name="_Toc40975444"/>
      <w:bookmarkStart w:id="368" w:name="_Toc25639"/>
      <w:r>
        <w:rPr>
          <w:rFonts w:hint="eastAsia" w:hAnsi="宋体" w:cs="宋体"/>
          <w:sz w:val="28"/>
        </w:rPr>
        <w:t>三．投标文件的编制</w:t>
      </w:r>
      <w:bookmarkEnd w:id="363"/>
      <w:bookmarkEnd w:id="364"/>
      <w:bookmarkEnd w:id="365"/>
      <w:bookmarkEnd w:id="366"/>
      <w:bookmarkEnd w:id="367"/>
      <w:bookmarkEnd w:id="368"/>
    </w:p>
    <w:p w14:paraId="1DA25FCD">
      <w:pPr>
        <w:spacing w:line="360" w:lineRule="auto"/>
        <w:ind w:firstLine="550"/>
        <w:rPr>
          <w:rFonts w:ascii="宋体" w:hAnsi="宋体" w:cs="宋体"/>
          <w:b/>
          <w:sz w:val="24"/>
        </w:rPr>
      </w:pPr>
      <w:r>
        <w:rPr>
          <w:rFonts w:hint="eastAsia" w:ascii="宋体" w:hAnsi="宋体" w:cs="宋体"/>
          <w:b/>
          <w:sz w:val="24"/>
        </w:rPr>
        <w:t>16.投标文件构成与格式</w:t>
      </w:r>
    </w:p>
    <w:p w14:paraId="5A19FEB5">
      <w:pPr>
        <w:spacing w:line="360" w:lineRule="auto"/>
        <w:ind w:firstLine="550"/>
        <w:rPr>
          <w:rFonts w:ascii="宋体" w:hAnsi="宋体" w:cs="宋体"/>
          <w:sz w:val="24"/>
        </w:rPr>
      </w:pPr>
      <w:bookmarkStart w:id="369" w:name="_Hlt509650345"/>
      <w:bookmarkEnd w:id="369"/>
      <w:r>
        <w:rPr>
          <w:rFonts w:hint="eastAsia" w:ascii="宋体" w:hAnsi="宋体" w:cs="宋体"/>
          <w:sz w:val="24"/>
        </w:rPr>
        <w:t>16.1投标文件是对招标文件的实质性响应及承诺文件。</w:t>
      </w:r>
    </w:p>
    <w:p w14:paraId="5E9BBA61">
      <w:pPr>
        <w:spacing w:line="360" w:lineRule="auto"/>
        <w:ind w:firstLine="550"/>
        <w:jc w:val="left"/>
        <w:rPr>
          <w:rFonts w:ascii="宋体" w:hAnsi="宋体" w:cs="宋体"/>
          <w:sz w:val="24"/>
        </w:rPr>
      </w:pPr>
      <w:r>
        <w:rPr>
          <w:rFonts w:hint="eastAsia" w:ascii="宋体" w:hAnsi="宋体" w:cs="宋体"/>
          <w:sz w:val="24"/>
        </w:rPr>
        <w:t>16.2</w:t>
      </w:r>
      <w:r>
        <w:rPr>
          <w:rFonts w:hint="eastAsia" w:ascii="宋体" w:hAnsi="宋体" w:cs="宋体"/>
          <w:bCs/>
          <w:sz w:val="24"/>
        </w:rPr>
        <w:t>除非注明“投标人可自行制作格式”，投标文件应使用招标文件提供的格式。</w:t>
      </w:r>
    </w:p>
    <w:p w14:paraId="2032EE44">
      <w:pPr>
        <w:spacing w:line="360" w:lineRule="auto"/>
        <w:ind w:firstLine="550"/>
        <w:rPr>
          <w:rFonts w:ascii="宋体" w:hAnsi="宋体" w:cs="宋体"/>
          <w:sz w:val="24"/>
        </w:rPr>
      </w:pPr>
      <w:r>
        <w:rPr>
          <w:rFonts w:hint="eastAsia" w:ascii="宋体" w:hAnsi="宋体" w:cs="宋体"/>
          <w:bCs/>
          <w:sz w:val="24"/>
        </w:rPr>
        <w:t>16.3除专用术语外，投标文件以及投标人与采购人就有关投标的往来函电均应使用中文。投标人提交的支持性文件和印制的文件可以用另一种语言，但相应内容应翻译成中文，对不同文字文本投标文件的解释发生异议的，以中文文本为准。</w:t>
      </w:r>
    </w:p>
    <w:p w14:paraId="58DCFFC5">
      <w:pPr>
        <w:spacing w:line="360" w:lineRule="auto"/>
        <w:ind w:firstLine="550"/>
        <w:rPr>
          <w:rFonts w:ascii="宋体" w:hAnsi="宋体" w:cs="宋体"/>
          <w:sz w:val="24"/>
        </w:rPr>
      </w:pPr>
      <w:r>
        <w:rPr>
          <w:rFonts w:hint="eastAsia" w:ascii="宋体" w:hAnsi="宋体" w:cs="宋体"/>
          <w:sz w:val="24"/>
        </w:rPr>
        <w:t>16.4除非招标文件另有规定，投标文件应使用中华人民共和国法定计量单位。</w:t>
      </w:r>
    </w:p>
    <w:p w14:paraId="20F7EE2F">
      <w:pPr>
        <w:spacing w:line="360" w:lineRule="auto"/>
        <w:ind w:firstLine="550"/>
        <w:rPr>
          <w:rFonts w:ascii="宋体" w:hAnsi="宋体" w:cs="宋体"/>
          <w:sz w:val="24"/>
        </w:rPr>
      </w:pPr>
      <w:r>
        <w:rPr>
          <w:rFonts w:hint="eastAsia" w:ascii="宋体" w:hAnsi="宋体" w:cs="宋体"/>
          <w:sz w:val="24"/>
        </w:rPr>
        <w:t>16.5除非招标文件另有规定，投标文件应使用人民币填报所有报价。允许以多种货币报价的，应当按照中国银行在开标日公布的汇率中间价换算成人民币。</w:t>
      </w:r>
    </w:p>
    <w:p w14:paraId="484F9FE3">
      <w:pPr>
        <w:spacing w:line="360" w:lineRule="auto"/>
        <w:ind w:firstLine="550"/>
        <w:rPr>
          <w:rFonts w:ascii="宋体" w:hAnsi="宋体" w:cs="宋体"/>
          <w:sz w:val="24"/>
        </w:rPr>
      </w:pPr>
      <w:r>
        <w:rPr>
          <w:rFonts w:hint="eastAsia" w:ascii="宋体" w:hAnsi="宋体" w:cs="宋体"/>
          <w:sz w:val="24"/>
        </w:rPr>
        <w:t>16.6投标文件应编制目录、连续页码和总页码，除特殊规格的图纸或方案、图片资料等外，均应按A4规格制作。</w:t>
      </w:r>
    </w:p>
    <w:p w14:paraId="0A5AA930">
      <w:pPr>
        <w:spacing w:line="360" w:lineRule="auto"/>
        <w:ind w:firstLine="550"/>
        <w:rPr>
          <w:rFonts w:ascii="宋体" w:hAnsi="宋体" w:cs="宋体"/>
          <w:sz w:val="24"/>
        </w:rPr>
      </w:pPr>
      <w:r>
        <w:rPr>
          <w:rFonts w:hint="eastAsia" w:ascii="宋体" w:hAnsi="宋体" w:cs="宋体"/>
          <w:sz w:val="24"/>
        </w:rPr>
        <w:t>16.7电报、电话、传真形式的投标概不接受。</w:t>
      </w:r>
    </w:p>
    <w:p w14:paraId="72391F32">
      <w:pPr>
        <w:spacing w:line="360" w:lineRule="auto"/>
        <w:ind w:firstLine="550"/>
        <w:rPr>
          <w:color w:val="000000"/>
        </w:rPr>
      </w:pPr>
      <w:r>
        <w:rPr>
          <w:rFonts w:hint="eastAsia" w:ascii="宋体" w:hAnsi="宋体" w:cs="宋体"/>
          <w:sz w:val="24"/>
        </w:rPr>
        <w:t>16.8电子投标文件制作，见周口市公共资源交易中心网站下载中心版</w:t>
      </w:r>
      <w:r>
        <w:rPr>
          <w:rFonts w:hint="eastAsia" w:ascii="宋体" w:hAnsi="宋体" w:cs="宋体"/>
          <w:color w:val="000000"/>
          <w:sz w:val="24"/>
        </w:rPr>
        <w:t>块《投标单位-电子投标文件视频制作手册》的相关规定。</w:t>
      </w:r>
    </w:p>
    <w:p w14:paraId="3929F66C">
      <w:pPr>
        <w:spacing w:line="360" w:lineRule="auto"/>
        <w:ind w:firstLine="550"/>
        <w:rPr>
          <w:rFonts w:ascii="宋体" w:hAnsi="宋体" w:cs="宋体"/>
          <w:sz w:val="24"/>
        </w:rPr>
      </w:pPr>
      <w:r>
        <w:rPr>
          <w:rFonts w:hint="eastAsia" w:ascii="宋体" w:hAnsi="宋体" w:cs="宋体"/>
          <w:b/>
          <w:sz w:val="24"/>
        </w:rPr>
        <w:t>17.报价</w:t>
      </w:r>
    </w:p>
    <w:p w14:paraId="012AA2B8">
      <w:pPr>
        <w:spacing w:line="360" w:lineRule="auto"/>
        <w:ind w:firstLine="550"/>
        <w:rPr>
          <w:rFonts w:ascii="宋体" w:hAnsi="宋体" w:cs="宋体"/>
          <w:sz w:val="24"/>
        </w:rPr>
      </w:pPr>
      <w:r>
        <w:rPr>
          <w:rFonts w:hint="eastAsia" w:ascii="宋体" w:hAnsi="宋体" w:cs="宋体"/>
          <w:sz w:val="24"/>
        </w:rPr>
        <w:t>17.1投标人应以“包”为报价的基本单位。若整个需求分为若干包，则投标人可选择其中的部分或所有包报价。包内所有项目均应报价（免费赠送的除外），否则将导致投标无效。</w:t>
      </w:r>
    </w:p>
    <w:p w14:paraId="54F124EA">
      <w:pPr>
        <w:spacing w:line="360" w:lineRule="auto"/>
        <w:ind w:firstLine="550"/>
        <w:rPr>
          <w:rFonts w:ascii="宋体" w:hAnsi="宋体" w:cs="宋体"/>
          <w:sz w:val="24"/>
        </w:rPr>
      </w:pPr>
      <w:r>
        <w:rPr>
          <w:rFonts w:hint="eastAsia" w:ascii="宋体" w:hAnsi="宋体" w:cs="宋体"/>
          <w:sz w:val="24"/>
        </w:rPr>
        <w:t>17.2投标人的报价应包含所投服务、保险、税费、包装、加工及加工损耗、运输、现场落地、安装及安装损耗、调试、检测验收和交付后约定期限内免费维保等工作所发生的一切应有费用。投标报价为签订合同的依据。</w:t>
      </w:r>
    </w:p>
    <w:p w14:paraId="22E38441">
      <w:pPr>
        <w:spacing w:line="360" w:lineRule="auto"/>
        <w:ind w:firstLine="550"/>
        <w:rPr>
          <w:rFonts w:ascii="宋体" w:hAnsi="宋体" w:cs="宋体"/>
          <w:sz w:val="24"/>
        </w:rPr>
      </w:pPr>
      <w:r>
        <w:rPr>
          <w:rFonts w:hint="eastAsia" w:ascii="宋体" w:hAnsi="宋体" w:cs="宋体"/>
          <w:sz w:val="24"/>
        </w:rPr>
        <w:t>17.3投标人应在投标文件中注明拟提供服务的单价明细和总价。</w:t>
      </w:r>
    </w:p>
    <w:p w14:paraId="4C8ADC20">
      <w:pPr>
        <w:spacing w:line="360" w:lineRule="auto"/>
        <w:ind w:firstLine="550"/>
        <w:rPr>
          <w:rFonts w:ascii="宋体" w:hAnsi="宋体" w:cs="宋体"/>
          <w:sz w:val="24"/>
        </w:rPr>
      </w:pPr>
      <w:r>
        <w:rPr>
          <w:rFonts w:hint="eastAsia" w:ascii="宋体" w:hAnsi="宋体" w:cs="宋体"/>
          <w:sz w:val="24"/>
        </w:rPr>
        <w:t>17.4除非招标文件另有规定，每一包只允许有一个最终报价，任何有选择的报价或替代方案将导致投标无效。</w:t>
      </w:r>
    </w:p>
    <w:p w14:paraId="3B9059D5">
      <w:pPr>
        <w:spacing w:line="360" w:lineRule="auto"/>
        <w:ind w:firstLine="550"/>
        <w:rPr>
          <w:rFonts w:ascii="宋体" w:hAnsi="宋体" w:cs="宋体"/>
          <w:sz w:val="24"/>
        </w:rPr>
      </w:pPr>
      <w:r>
        <w:rPr>
          <w:rFonts w:hint="eastAsia" w:ascii="宋体" w:hAnsi="宋体" w:cs="宋体"/>
          <w:sz w:val="24"/>
        </w:rPr>
        <w:t>17.5采购人不建议投标人采用总价优惠或以总价百分比优惠的方式进行投标报价，其优惠可直接计算并体现在各项投标报价的单价中。</w:t>
      </w:r>
    </w:p>
    <w:p w14:paraId="1FDF1965">
      <w:pPr>
        <w:spacing w:line="360" w:lineRule="auto"/>
        <w:ind w:firstLine="550"/>
        <w:rPr>
          <w:rFonts w:ascii="宋体" w:hAnsi="宋体" w:cs="宋体"/>
          <w:sz w:val="24"/>
        </w:rPr>
      </w:pPr>
      <w:r>
        <w:rPr>
          <w:rFonts w:hint="eastAsia" w:ascii="宋体" w:hAnsi="宋体" w:cs="宋体"/>
          <w:sz w:val="24"/>
        </w:rPr>
        <w:t>17.6除政策性文件规定以外，投标人所报价格在合同实施期间不因市场变化因素而变动。</w:t>
      </w:r>
    </w:p>
    <w:p w14:paraId="7830F795">
      <w:pPr>
        <w:spacing w:line="360" w:lineRule="auto"/>
        <w:ind w:firstLine="549"/>
        <w:rPr>
          <w:rFonts w:ascii="宋体" w:hAnsi="宋体" w:cs="宋体"/>
          <w:b/>
          <w:bCs/>
          <w:sz w:val="24"/>
        </w:rPr>
      </w:pPr>
      <w:r>
        <w:rPr>
          <w:rFonts w:hint="eastAsia" w:ascii="宋体" w:hAnsi="宋体" w:cs="宋体"/>
          <w:b/>
          <w:bCs/>
          <w:sz w:val="24"/>
        </w:rPr>
        <w:t>18.投标内容填写及说明</w:t>
      </w:r>
    </w:p>
    <w:p w14:paraId="74C41938">
      <w:pPr>
        <w:spacing w:line="360" w:lineRule="auto"/>
        <w:ind w:firstLine="549"/>
        <w:rPr>
          <w:rFonts w:ascii="宋体" w:hAnsi="宋体" w:cs="宋体"/>
          <w:sz w:val="24"/>
          <w:u w:val="single"/>
        </w:rPr>
      </w:pPr>
      <w:r>
        <w:rPr>
          <w:rFonts w:hint="eastAsia" w:ascii="宋体" w:hAnsi="宋体" w:cs="宋体"/>
          <w:sz w:val="24"/>
        </w:rPr>
        <w:t>18.1投标文件须对招标文件载明的投标资格、技术、资信、服务、报价等全部要求和条件做出实质性和完整的响应并作出承诺，如果投标文件填报的内容资料不详，或没有提供招标文件中所要求的全部资料、证明及数据，将导致投标无效。</w:t>
      </w:r>
    </w:p>
    <w:p w14:paraId="0869526E">
      <w:pPr>
        <w:spacing w:line="360" w:lineRule="auto"/>
        <w:ind w:firstLine="549"/>
        <w:rPr>
          <w:rFonts w:ascii="宋体" w:hAnsi="宋体" w:cs="宋体"/>
          <w:sz w:val="24"/>
        </w:rPr>
      </w:pPr>
      <w:r>
        <w:rPr>
          <w:rFonts w:hint="eastAsia" w:ascii="宋体" w:hAnsi="宋体" w:cs="宋体"/>
          <w:sz w:val="24"/>
        </w:rPr>
        <w:t>18.2投标人应在投标文件中提交招标文件要求的有关证明文件（扫描或影印件上传），作为其投标文件的一部分。</w:t>
      </w:r>
    </w:p>
    <w:p w14:paraId="15A5829C">
      <w:pPr>
        <w:spacing w:line="360" w:lineRule="auto"/>
        <w:ind w:firstLine="549"/>
        <w:rPr>
          <w:rFonts w:ascii="宋体" w:hAnsi="宋体" w:cs="宋体"/>
          <w:sz w:val="24"/>
        </w:rPr>
      </w:pPr>
      <w:r>
        <w:rPr>
          <w:rFonts w:hint="eastAsia" w:ascii="宋体" w:hAnsi="宋体" w:cs="宋体"/>
          <w:sz w:val="24"/>
        </w:rPr>
        <w:t>18.3投标人应在投标文件中提交（以扫描件或影印件上传）招标文件要求的所有服务的合格性以及符合招标文件规定的证明文件（可以是手册、图纸和资料）等，并作为其投标文件的一部分。包括：</w:t>
      </w:r>
    </w:p>
    <w:p w14:paraId="59F10BA2">
      <w:pPr>
        <w:spacing w:line="360" w:lineRule="auto"/>
        <w:ind w:firstLine="523" w:firstLineChars="218"/>
        <w:rPr>
          <w:rFonts w:ascii="宋体" w:hAnsi="宋体" w:cs="宋体"/>
          <w:sz w:val="24"/>
        </w:rPr>
      </w:pPr>
      <w:r>
        <w:rPr>
          <w:rFonts w:hint="eastAsia" w:ascii="宋体" w:hAnsi="宋体" w:cs="宋体"/>
          <w:sz w:val="24"/>
        </w:rPr>
        <w:t>18.3.1服务主要性能（内容）的详细描述；</w:t>
      </w:r>
    </w:p>
    <w:p w14:paraId="475DBC6A">
      <w:pPr>
        <w:spacing w:line="360" w:lineRule="auto"/>
        <w:ind w:firstLine="523" w:firstLineChars="218"/>
        <w:rPr>
          <w:rFonts w:ascii="宋体" w:hAnsi="宋体" w:cs="宋体"/>
          <w:sz w:val="24"/>
        </w:rPr>
      </w:pPr>
      <w:r>
        <w:rPr>
          <w:rFonts w:hint="eastAsia" w:ascii="宋体" w:hAnsi="宋体" w:cs="宋体"/>
          <w:sz w:val="24"/>
        </w:rPr>
        <w:t>18.3.2保证所投服务正常、安全、连续运行期间所需的所有备品、备件及专用工具的详细清单。</w:t>
      </w:r>
    </w:p>
    <w:p w14:paraId="563CBD4D">
      <w:pPr>
        <w:spacing w:line="360" w:lineRule="auto"/>
        <w:ind w:firstLine="523" w:firstLineChars="218"/>
        <w:rPr>
          <w:rFonts w:ascii="宋体" w:hAnsi="宋体" w:cs="宋体"/>
          <w:sz w:val="24"/>
        </w:rPr>
      </w:pPr>
      <w:r>
        <w:rPr>
          <w:rFonts w:hint="eastAsia" w:ascii="宋体" w:hAnsi="宋体" w:cs="宋体"/>
          <w:sz w:val="24"/>
        </w:rPr>
        <w:t>18.4投标文件应编排有序、内容齐全、不得任意涂改或增删。如有错漏处必须修改，应在修改处加盖投标人电子公章。</w:t>
      </w:r>
    </w:p>
    <w:p w14:paraId="1197C945">
      <w:pPr>
        <w:spacing w:line="360" w:lineRule="auto"/>
        <w:ind w:firstLine="549"/>
        <w:rPr>
          <w:rFonts w:ascii="宋体" w:hAnsi="宋体" w:cs="宋体"/>
          <w:b/>
          <w:sz w:val="24"/>
        </w:rPr>
      </w:pPr>
      <w:r>
        <w:rPr>
          <w:rFonts w:hint="eastAsia" w:ascii="宋体" w:hAnsi="宋体" w:cs="宋体"/>
          <w:b/>
          <w:sz w:val="24"/>
        </w:rPr>
        <w:t>19.投标保证金（免收）</w:t>
      </w:r>
    </w:p>
    <w:p w14:paraId="5E796DD0">
      <w:pPr>
        <w:spacing w:line="360" w:lineRule="auto"/>
        <w:ind w:firstLine="550"/>
        <w:rPr>
          <w:rFonts w:ascii="宋体" w:hAnsi="宋体" w:cs="宋体"/>
          <w:b/>
          <w:sz w:val="24"/>
        </w:rPr>
      </w:pPr>
      <w:r>
        <w:rPr>
          <w:rFonts w:hint="eastAsia" w:ascii="宋体" w:hAnsi="宋体" w:cs="宋体"/>
          <w:b/>
          <w:sz w:val="24"/>
        </w:rPr>
        <w:t>20.投标有效期</w:t>
      </w:r>
    </w:p>
    <w:p w14:paraId="1B4150D9">
      <w:pPr>
        <w:spacing w:line="360" w:lineRule="auto"/>
        <w:ind w:firstLine="550"/>
        <w:rPr>
          <w:rFonts w:ascii="宋体" w:hAnsi="宋体" w:cs="宋体"/>
          <w:sz w:val="24"/>
        </w:rPr>
      </w:pPr>
      <w:r>
        <w:rPr>
          <w:rFonts w:hint="eastAsia" w:ascii="宋体" w:hAnsi="宋体" w:cs="宋体"/>
          <w:sz w:val="24"/>
        </w:rPr>
        <w:t>20.1为保证采购人有足够的时间完成评标和与中标人签订合同，规定投标有效期。投标有效期期限见投标人须知前附表，成交的投标文件其有效期应延续至合同执行结束，有效期短于这个规定期限的供应商将被拒绝。</w:t>
      </w:r>
    </w:p>
    <w:p w14:paraId="61CB64CB">
      <w:pPr>
        <w:spacing w:line="360" w:lineRule="auto"/>
        <w:ind w:firstLine="550"/>
        <w:rPr>
          <w:rFonts w:ascii="宋体" w:hAnsi="宋体" w:cs="宋体"/>
          <w:sz w:val="24"/>
        </w:rPr>
      </w:pPr>
      <w:r>
        <w:rPr>
          <w:rFonts w:hint="eastAsia" w:ascii="宋体" w:hAnsi="宋体" w:cs="宋体"/>
          <w:sz w:val="24"/>
        </w:rPr>
        <w:t>20.2在投标有效期内，投标人的投标保持有效，投标人不得要求撤销或修改其投标文件。</w:t>
      </w:r>
    </w:p>
    <w:p w14:paraId="04C2AE5C">
      <w:pPr>
        <w:spacing w:line="360" w:lineRule="auto"/>
        <w:ind w:firstLine="550"/>
        <w:rPr>
          <w:rFonts w:ascii="宋体" w:hAnsi="宋体" w:cs="宋体"/>
          <w:sz w:val="24"/>
        </w:rPr>
      </w:pPr>
      <w:r>
        <w:rPr>
          <w:rFonts w:hint="eastAsia" w:ascii="宋体" w:hAnsi="宋体" w:cs="宋体"/>
          <w:sz w:val="24"/>
        </w:rPr>
        <w:t>20.3投标有效期从投标截止日起计算。</w:t>
      </w:r>
    </w:p>
    <w:p w14:paraId="095A623A">
      <w:pPr>
        <w:spacing w:line="360" w:lineRule="auto"/>
        <w:ind w:firstLine="550"/>
        <w:rPr>
          <w:rFonts w:ascii="宋体" w:hAnsi="宋体" w:cs="宋体"/>
          <w:sz w:val="24"/>
        </w:rPr>
      </w:pPr>
      <w:r>
        <w:rPr>
          <w:rFonts w:hint="eastAsia" w:ascii="宋体" w:hAnsi="宋体" w:cs="宋体"/>
          <w:sz w:val="24"/>
        </w:rPr>
        <w:t>20.4在原定投标有效期满之前，如果出现特殊情况，</w:t>
      </w:r>
      <w:r>
        <w:rPr>
          <w:rFonts w:hint="eastAsia" w:ascii="宋体" w:hAnsi="宋体" w:cs="宋体"/>
          <w:bCs/>
          <w:sz w:val="24"/>
        </w:rPr>
        <w:t>采购人</w:t>
      </w:r>
      <w:r>
        <w:rPr>
          <w:rFonts w:hint="eastAsia" w:ascii="宋体" w:hAnsi="宋体" w:cs="宋体"/>
          <w:sz w:val="24"/>
        </w:rPr>
        <w:t>可以书面形式提出延长投标有效期的要求。投标人以书面形式予以答复，投标人可以拒绝这种要求而不被没收投标保证金。同意延长投标有效期的投标人不允许修改其投标文件的实质性内容，且需要相应地延长投标保证金的有效期。</w:t>
      </w:r>
    </w:p>
    <w:p w14:paraId="68CC4515">
      <w:pPr>
        <w:spacing w:line="360" w:lineRule="auto"/>
        <w:ind w:firstLine="550"/>
        <w:rPr>
          <w:rFonts w:ascii="宋体" w:hAnsi="宋体" w:cs="宋体"/>
          <w:b/>
          <w:sz w:val="24"/>
        </w:rPr>
      </w:pPr>
      <w:r>
        <w:rPr>
          <w:rFonts w:hint="eastAsia" w:ascii="宋体" w:hAnsi="宋体" w:cs="宋体"/>
          <w:b/>
          <w:sz w:val="24"/>
        </w:rPr>
        <w:t>21.投标文件份数和签署</w:t>
      </w:r>
    </w:p>
    <w:p w14:paraId="644AB18E">
      <w:pPr>
        <w:spacing w:line="360" w:lineRule="auto"/>
        <w:ind w:firstLine="550"/>
        <w:rPr>
          <w:rFonts w:ascii="宋体" w:hAnsi="宋体" w:cs="宋体"/>
          <w:sz w:val="24"/>
        </w:rPr>
      </w:pPr>
      <w:r>
        <w:rPr>
          <w:rFonts w:hint="eastAsia" w:ascii="宋体" w:hAnsi="宋体" w:cs="宋体"/>
          <w:sz w:val="24"/>
        </w:rPr>
        <w:t>21.1 投标人应按照投标人须知前附表的要求准备投标文件。</w:t>
      </w:r>
    </w:p>
    <w:p w14:paraId="3B93B891">
      <w:pPr>
        <w:spacing w:line="360" w:lineRule="auto"/>
        <w:ind w:firstLine="550"/>
        <w:rPr>
          <w:rFonts w:ascii="宋体" w:hAnsi="宋体" w:cs="宋体"/>
          <w:b/>
          <w:sz w:val="24"/>
        </w:rPr>
      </w:pPr>
      <w:r>
        <w:rPr>
          <w:rFonts w:hint="eastAsia" w:ascii="宋体" w:hAnsi="宋体" w:cs="宋体"/>
          <w:sz w:val="24"/>
        </w:rPr>
        <w:t>21.2投标文件均应依招标文件要求加盖投标人电子签章</w:t>
      </w:r>
      <w:r>
        <w:rPr>
          <w:rFonts w:hint="eastAsia" w:ascii="宋体" w:hAnsi="宋体" w:cs="宋体"/>
          <w:b/>
          <w:sz w:val="24"/>
        </w:rPr>
        <w:t>。</w:t>
      </w:r>
    </w:p>
    <w:p w14:paraId="745B721C">
      <w:pPr>
        <w:pStyle w:val="4"/>
        <w:spacing w:line="360" w:lineRule="auto"/>
        <w:rPr>
          <w:rFonts w:hAnsi="宋体" w:cs="宋体"/>
          <w:sz w:val="28"/>
        </w:rPr>
      </w:pPr>
      <w:bookmarkStart w:id="370" w:name="_Hlt509650572"/>
      <w:bookmarkEnd w:id="370"/>
      <w:bookmarkStart w:id="371" w:name="_Toc3292"/>
      <w:bookmarkStart w:id="372" w:name="_Toc527725925"/>
      <w:bookmarkStart w:id="373" w:name="_Toc26995"/>
      <w:bookmarkStart w:id="374" w:name="_Toc860"/>
      <w:bookmarkStart w:id="375" w:name="_Toc3045"/>
      <w:bookmarkStart w:id="376" w:name="_Toc40975445"/>
      <w:r>
        <w:rPr>
          <w:rFonts w:hint="eastAsia" w:hAnsi="宋体" w:cs="宋体"/>
          <w:sz w:val="28"/>
        </w:rPr>
        <w:t>四．投标文件的递交</w:t>
      </w:r>
      <w:bookmarkEnd w:id="371"/>
      <w:bookmarkEnd w:id="372"/>
      <w:bookmarkEnd w:id="373"/>
      <w:bookmarkEnd w:id="374"/>
      <w:bookmarkEnd w:id="375"/>
      <w:bookmarkEnd w:id="376"/>
      <w:bookmarkStart w:id="377" w:name="_Hlt509649414"/>
      <w:bookmarkEnd w:id="377"/>
    </w:p>
    <w:p w14:paraId="0C3ED4DD">
      <w:pPr>
        <w:spacing w:line="360" w:lineRule="auto"/>
        <w:ind w:firstLine="550"/>
        <w:rPr>
          <w:rFonts w:ascii="宋体" w:hAnsi="宋体" w:cs="宋体"/>
          <w:b/>
          <w:sz w:val="24"/>
        </w:rPr>
      </w:pPr>
      <w:r>
        <w:rPr>
          <w:rFonts w:hint="eastAsia" w:ascii="宋体" w:hAnsi="宋体" w:cs="宋体"/>
          <w:b/>
          <w:sz w:val="24"/>
        </w:rPr>
        <w:t>22.投标文件的密封和标记</w:t>
      </w:r>
    </w:p>
    <w:p w14:paraId="3BDA48B6">
      <w:pPr>
        <w:spacing w:line="360" w:lineRule="auto"/>
        <w:ind w:firstLine="550"/>
        <w:rPr>
          <w:rFonts w:ascii="宋体" w:hAnsi="宋体" w:cs="宋体"/>
          <w:sz w:val="24"/>
        </w:rPr>
      </w:pPr>
      <w:r>
        <w:rPr>
          <w:rFonts w:hint="eastAsia" w:ascii="宋体" w:hAnsi="宋体" w:cs="宋体"/>
          <w:sz w:val="24"/>
        </w:rPr>
        <w:t>加密的电子投标文件的递交</w:t>
      </w:r>
      <w:r>
        <w:rPr>
          <w:rFonts w:hint="eastAsia" w:ascii="宋体" w:hAnsi="宋体" w:cs="宋体"/>
          <w:color w:val="000000"/>
          <w:sz w:val="24"/>
        </w:rPr>
        <w:t>，见周口市公共资源交易中心网站下载中心版块《投标单位-电子投标文件视频制作手册》的相关规定。</w:t>
      </w:r>
    </w:p>
    <w:p w14:paraId="12291E5D">
      <w:pPr>
        <w:spacing w:line="360" w:lineRule="auto"/>
        <w:ind w:firstLine="550"/>
        <w:rPr>
          <w:rFonts w:ascii="宋体" w:hAnsi="宋体" w:cs="宋体"/>
          <w:b/>
          <w:sz w:val="24"/>
        </w:rPr>
      </w:pPr>
      <w:r>
        <w:rPr>
          <w:rFonts w:hint="eastAsia" w:ascii="宋体" w:hAnsi="宋体" w:cs="宋体"/>
          <w:b/>
          <w:sz w:val="24"/>
        </w:rPr>
        <w:t xml:space="preserve">23.投标文件的递交 </w:t>
      </w:r>
    </w:p>
    <w:p w14:paraId="466E5C73">
      <w:pPr>
        <w:spacing w:line="360" w:lineRule="auto"/>
        <w:ind w:firstLine="550"/>
        <w:rPr>
          <w:rFonts w:ascii="宋体" w:hAnsi="宋体" w:cs="宋体"/>
          <w:sz w:val="24"/>
        </w:rPr>
      </w:pPr>
      <w:r>
        <w:rPr>
          <w:rFonts w:hint="eastAsia" w:ascii="宋体" w:hAnsi="宋体" w:cs="宋体"/>
          <w:sz w:val="24"/>
        </w:rPr>
        <w:t>23.1投标人应当在招标文件要求提交投标文件的截止时间前网上投标。</w:t>
      </w:r>
    </w:p>
    <w:p w14:paraId="73DC37F5">
      <w:pPr>
        <w:spacing w:line="360" w:lineRule="auto"/>
        <w:ind w:firstLine="550"/>
        <w:rPr>
          <w:rFonts w:ascii="宋体" w:hAnsi="宋体" w:cs="宋体"/>
          <w:sz w:val="24"/>
        </w:rPr>
      </w:pPr>
      <w:r>
        <w:rPr>
          <w:rFonts w:hint="eastAsia" w:ascii="宋体" w:hAnsi="宋体" w:cs="宋体"/>
          <w:sz w:val="24"/>
        </w:rPr>
        <w:t>23.2在招标文件要求提交投标文件的截止时间之后制作上传的投标文件为无效投标文件，</w:t>
      </w:r>
      <w:r>
        <w:rPr>
          <w:rFonts w:hint="eastAsia" w:ascii="宋体" w:hAnsi="宋体" w:cs="宋体"/>
          <w:bCs/>
          <w:sz w:val="24"/>
        </w:rPr>
        <w:t>采购人</w:t>
      </w:r>
      <w:r>
        <w:rPr>
          <w:rFonts w:hint="eastAsia" w:ascii="宋体" w:hAnsi="宋体" w:cs="宋体"/>
          <w:sz w:val="24"/>
        </w:rPr>
        <w:t>将拒绝接收。</w:t>
      </w:r>
    </w:p>
    <w:p w14:paraId="5FE1D044">
      <w:pPr>
        <w:spacing w:line="360" w:lineRule="auto"/>
        <w:ind w:firstLine="550"/>
        <w:rPr>
          <w:rFonts w:ascii="宋体" w:hAnsi="宋体" w:cs="宋体"/>
          <w:b/>
          <w:sz w:val="24"/>
        </w:rPr>
      </w:pPr>
      <w:r>
        <w:rPr>
          <w:rFonts w:hint="eastAsia" w:ascii="宋体" w:hAnsi="宋体" w:cs="宋体"/>
          <w:b/>
          <w:sz w:val="24"/>
        </w:rPr>
        <w:t>24.投标文件的修改和撤回</w:t>
      </w:r>
    </w:p>
    <w:p w14:paraId="586CB62E">
      <w:pPr>
        <w:spacing w:line="360" w:lineRule="auto"/>
        <w:ind w:firstLine="550"/>
        <w:rPr>
          <w:rFonts w:ascii="宋体" w:hAnsi="宋体" w:cs="宋体"/>
          <w:sz w:val="24"/>
        </w:rPr>
      </w:pPr>
      <w:r>
        <w:rPr>
          <w:rFonts w:hint="eastAsia" w:ascii="宋体" w:hAnsi="宋体" w:cs="宋体"/>
          <w:sz w:val="24"/>
        </w:rPr>
        <w:t>投标截止日期前，投标人可以修改或撤回其投标文件；在投标截止时间后，投标人不得再要求修改或撤回其投标文件。</w:t>
      </w:r>
    </w:p>
    <w:p w14:paraId="76285568">
      <w:pPr>
        <w:pStyle w:val="4"/>
        <w:spacing w:line="360" w:lineRule="auto"/>
        <w:rPr>
          <w:rFonts w:hAnsi="宋体" w:cs="宋体"/>
          <w:sz w:val="28"/>
        </w:rPr>
      </w:pPr>
      <w:bookmarkStart w:id="378" w:name="_Hlt509649294"/>
      <w:bookmarkEnd w:id="378"/>
      <w:bookmarkStart w:id="379" w:name="_Toc11404"/>
      <w:bookmarkStart w:id="380" w:name="_Toc527725926"/>
      <w:bookmarkStart w:id="381" w:name="_Toc40975446"/>
      <w:bookmarkStart w:id="382" w:name="_Toc12523"/>
      <w:bookmarkStart w:id="383" w:name="_Toc21729"/>
      <w:bookmarkStart w:id="384" w:name="_Toc5128"/>
      <w:r>
        <w:rPr>
          <w:rFonts w:hint="eastAsia" w:hAnsi="宋体" w:cs="宋体"/>
          <w:sz w:val="28"/>
        </w:rPr>
        <w:t>五．开标与评标</w:t>
      </w:r>
      <w:bookmarkEnd w:id="379"/>
      <w:bookmarkEnd w:id="380"/>
      <w:bookmarkEnd w:id="381"/>
      <w:bookmarkEnd w:id="382"/>
      <w:bookmarkEnd w:id="383"/>
      <w:bookmarkEnd w:id="384"/>
    </w:p>
    <w:p w14:paraId="2A1BBC98">
      <w:pPr>
        <w:snapToGrid w:val="0"/>
        <w:spacing w:line="300" w:lineRule="auto"/>
        <w:ind w:firstLine="550"/>
        <w:rPr>
          <w:rFonts w:ascii="宋体" w:hAnsi="宋体" w:cs="宋体"/>
          <w:b/>
          <w:sz w:val="24"/>
          <w:szCs w:val="24"/>
        </w:rPr>
      </w:pPr>
      <w:r>
        <w:rPr>
          <w:rFonts w:hint="eastAsia" w:ascii="宋体" w:hAnsi="宋体" w:cs="宋体"/>
          <w:b/>
          <w:sz w:val="24"/>
          <w:szCs w:val="24"/>
        </w:rPr>
        <w:t>25.开标</w:t>
      </w:r>
    </w:p>
    <w:p w14:paraId="3D5B8D74">
      <w:pPr>
        <w:spacing w:line="360" w:lineRule="auto"/>
        <w:ind w:firstLine="549"/>
        <w:rPr>
          <w:rFonts w:ascii="宋体" w:hAnsi="宋体" w:cs="宋体"/>
          <w:bCs/>
          <w:sz w:val="24"/>
        </w:rPr>
      </w:pPr>
      <w:r>
        <w:rPr>
          <w:rFonts w:hint="eastAsia" w:ascii="宋体" w:hAnsi="宋体" w:cs="宋体"/>
          <w:bCs/>
          <w:sz w:val="24"/>
        </w:rPr>
        <w:t>25.1本项目实行网上远程开标无须到现场提交投标文件。投标文件提交及解密详见周口市公共资源交易中心网</w:t>
      </w:r>
      <w:r>
        <w:rPr>
          <w:rFonts w:hint="eastAsia" w:hAnsi="宋体" w:cs="宋体"/>
          <w:sz w:val="24"/>
          <w:szCs w:val="24"/>
        </w:rPr>
        <w:t>办事指南</w:t>
      </w:r>
      <w:r>
        <w:rPr>
          <w:rFonts w:hint="eastAsia" w:ascii="宋体" w:hAnsi="宋体" w:cs="宋体"/>
          <w:bCs/>
          <w:sz w:val="24"/>
        </w:rPr>
        <w:t>《不见面开标远程在线解密会员端操作手册操作指南》。</w:t>
      </w:r>
    </w:p>
    <w:p w14:paraId="4FF85AC0">
      <w:pPr>
        <w:spacing w:line="360" w:lineRule="auto"/>
        <w:ind w:firstLine="549"/>
        <w:jc w:val="left"/>
        <w:rPr>
          <w:rFonts w:ascii="宋体" w:hAnsi="宋体" w:cs="宋体"/>
          <w:bCs/>
          <w:sz w:val="24"/>
        </w:rPr>
      </w:pPr>
      <w:r>
        <w:rPr>
          <w:rFonts w:hint="eastAsia" w:ascii="宋体" w:hAnsi="宋体" w:cs="宋体"/>
          <w:bCs/>
          <w:sz w:val="24"/>
        </w:rPr>
        <w:t>25.2开标时，各投标单位应在规定时间内对本单位的投标文件现场解密。在解密投标文件开始时30分钟内进行解密，超时视为放弃递交投标文件。</w:t>
      </w:r>
    </w:p>
    <w:p w14:paraId="6494CF72">
      <w:pPr>
        <w:spacing w:line="360" w:lineRule="auto"/>
        <w:ind w:firstLine="549"/>
        <w:rPr>
          <w:rFonts w:ascii="宋体" w:hAnsi="宋体" w:cs="宋体"/>
          <w:bCs/>
          <w:sz w:val="24"/>
        </w:rPr>
      </w:pPr>
      <w:r>
        <w:rPr>
          <w:rFonts w:hint="eastAsia" w:ascii="宋体" w:hAnsi="宋体" w:cs="宋体"/>
          <w:bCs/>
          <w:sz w:val="24"/>
        </w:rPr>
        <w:t>25.3投标资格及投标文件的法律文本将由评审委员会在评标前进行审查。资格不符合招标文件要求和相关法律规定的，投标无效。</w:t>
      </w:r>
    </w:p>
    <w:p w14:paraId="24265431">
      <w:pPr>
        <w:spacing w:line="360" w:lineRule="auto"/>
        <w:ind w:firstLine="549"/>
        <w:rPr>
          <w:rFonts w:ascii="宋体" w:hAnsi="宋体" w:cs="宋体"/>
          <w:bCs/>
          <w:sz w:val="24"/>
        </w:rPr>
      </w:pPr>
      <w:r>
        <w:rPr>
          <w:rFonts w:hint="eastAsia" w:ascii="宋体" w:hAnsi="宋体" w:cs="宋体"/>
          <w:bCs/>
          <w:sz w:val="24"/>
        </w:rPr>
        <w:t>25.4开标时，，采购代理机构将通过网上开标系统公布投标人名称、投标价格，以及采购代理机构认为合适的其它详细内容。</w:t>
      </w:r>
    </w:p>
    <w:p w14:paraId="36E12628">
      <w:pPr>
        <w:spacing w:line="360" w:lineRule="auto"/>
        <w:ind w:firstLine="549"/>
        <w:rPr>
          <w:rFonts w:ascii="宋体" w:hAnsi="宋体" w:cs="宋体"/>
          <w:bCs/>
          <w:sz w:val="24"/>
        </w:rPr>
      </w:pPr>
      <w:r>
        <w:rPr>
          <w:rFonts w:hint="eastAsia" w:ascii="宋体" w:hAnsi="宋体" w:cs="宋体"/>
          <w:bCs/>
          <w:sz w:val="24"/>
        </w:rPr>
        <w:t>25.5在评审结束前，未得到采购代理机构允许，投标人授权代表不得离开开标现场。</w:t>
      </w:r>
    </w:p>
    <w:p w14:paraId="6ACB0354">
      <w:pPr>
        <w:spacing w:line="360" w:lineRule="auto"/>
        <w:ind w:firstLine="549"/>
        <w:rPr>
          <w:rFonts w:ascii="宋体" w:hAnsi="宋体" w:cs="宋体"/>
          <w:b/>
          <w:sz w:val="24"/>
        </w:rPr>
      </w:pPr>
      <w:r>
        <w:rPr>
          <w:rFonts w:hint="eastAsia" w:ascii="宋体" w:hAnsi="宋体" w:cs="宋体"/>
          <w:b/>
          <w:sz w:val="24"/>
        </w:rPr>
        <w:t>26.投标文件的澄清、说明或补正</w:t>
      </w:r>
    </w:p>
    <w:p w14:paraId="7BADD649">
      <w:pPr>
        <w:spacing w:line="360" w:lineRule="auto"/>
        <w:ind w:firstLine="549"/>
        <w:rPr>
          <w:rFonts w:ascii="宋体" w:hAnsi="宋体" w:cs="宋体"/>
          <w:bCs/>
          <w:sz w:val="24"/>
        </w:rPr>
      </w:pPr>
      <w:r>
        <w:rPr>
          <w:rFonts w:hint="eastAsia" w:ascii="宋体" w:hAnsi="宋体" w:cs="宋体"/>
          <w:bCs/>
          <w:sz w:val="24"/>
        </w:rPr>
        <w:t>26.1为有助于投标的审查、评价和比较，评标委员会可以书面方式要求投标人对投标文件中含义不明确、对同类问题表述不一致或者有明显文字和计算错误的内容作必要的澄清、说明或补正。澄清、说明或补正不得超出投标文件的范围或改变投标文件的实质性内容。</w:t>
      </w:r>
    </w:p>
    <w:p w14:paraId="48E261A2">
      <w:pPr>
        <w:spacing w:line="360" w:lineRule="auto"/>
        <w:ind w:firstLine="549"/>
        <w:rPr>
          <w:rFonts w:ascii="宋体" w:hAnsi="宋体" w:cs="宋体"/>
          <w:sz w:val="24"/>
        </w:rPr>
      </w:pPr>
      <w:r>
        <w:rPr>
          <w:rFonts w:hint="eastAsia" w:ascii="宋体" w:hAnsi="宋体" w:cs="宋体"/>
          <w:sz w:val="24"/>
        </w:rPr>
        <w:t>26.2投标文件中大写金额和小写金额不一致的，以大写金额为准；总价金额与按单价汇总金额不一致的，以单价金额计算结果为准；单价金额小数点有明显错位的，应以总价为准，并修改单价。</w:t>
      </w:r>
    </w:p>
    <w:p w14:paraId="204D2151">
      <w:pPr>
        <w:spacing w:line="360" w:lineRule="auto"/>
        <w:ind w:firstLine="549"/>
        <w:rPr>
          <w:rFonts w:ascii="宋体" w:hAnsi="宋体" w:cs="宋体"/>
          <w:b/>
          <w:sz w:val="24"/>
        </w:rPr>
      </w:pPr>
      <w:r>
        <w:rPr>
          <w:rFonts w:hint="eastAsia" w:ascii="宋体" w:hAnsi="宋体" w:cs="宋体"/>
          <w:b/>
          <w:sz w:val="24"/>
        </w:rPr>
        <w:t>27.评标</w:t>
      </w:r>
    </w:p>
    <w:p w14:paraId="5336C3B4">
      <w:pPr>
        <w:spacing w:line="360" w:lineRule="auto"/>
        <w:ind w:firstLine="523" w:firstLineChars="218"/>
        <w:rPr>
          <w:rFonts w:ascii="宋体" w:hAnsi="宋体" w:cs="宋体"/>
          <w:b/>
          <w:sz w:val="24"/>
        </w:rPr>
      </w:pPr>
      <w:r>
        <w:rPr>
          <w:rFonts w:hint="eastAsia" w:ascii="宋体" w:hAnsi="宋体" w:cs="宋体"/>
          <w:sz w:val="24"/>
        </w:rPr>
        <w:t>27.1 评委会将按照招标文件规定的评标办法对投标人独立进行投标评审。投标评审分为符合性审查和综合评分。</w:t>
      </w:r>
    </w:p>
    <w:p w14:paraId="40940F5B">
      <w:pPr>
        <w:spacing w:line="360" w:lineRule="auto"/>
        <w:ind w:firstLine="549"/>
        <w:rPr>
          <w:rFonts w:ascii="宋体" w:hAnsi="宋体" w:cs="宋体"/>
          <w:sz w:val="24"/>
        </w:rPr>
      </w:pPr>
      <w:r>
        <w:rPr>
          <w:rFonts w:hint="eastAsia" w:ascii="宋体" w:hAnsi="宋体" w:cs="宋体"/>
          <w:sz w:val="24"/>
        </w:rPr>
        <w:t>27.2符合性审查时，评委会将首先审查投标文件是否实质上响应招标文件的各项指标要求。实质上响应的投标应与招标文件的全部条款、条件和规格相符，没有重大偏离或保留。所谓重大偏离或保留是指影响合同的供货范围、质量和性能等；或者在实质上与招标文件不一致，而且限制了合同中买方的权利或投标人的义务。这些偏离或保留将会对其他实质上响应要求的投标人的竞争地位产生不公正的影响。投标人不得通过修改或撤销不合要求的偏离或保留而使其投标成为响应性的投标。</w:t>
      </w:r>
    </w:p>
    <w:p w14:paraId="7CC4947D">
      <w:pPr>
        <w:spacing w:line="360" w:lineRule="auto"/>
        <w:ind w:firstLine="549"/>
        <w:rPr>
          <w:rFonts w:ascii="宋体" w:hAnsi="宋体" w:cs="宋体"/>
          <w:sz w:val="24"/>
        </w:rPr>
      </w:pPr>
      <w:r>
        <w:rPr>
          <w:rFonts w:hint="eastAsia" w:ascii="宋体" w:hAnsi="宋体" w:cs="宋体"/>
          <w:sz w:val="24"/>
        </w:rPr>
        <w:t>有下列情形之一的，评标委员会应当否决其投标：</w:t>
      </w:r>
    </w:p>
    <w:p w14:paraId="4C2EEED2">
      <w:pPr>
        <w:spacing w:line="360" w:lineRule="auto"/>
        <w:ind w:firstLine="549"/>
        <w:rPr>
          <w:rFonts w:ascii="宋体" w:hAnsi="宋体" w:cs="宋体"/>
          <w:sz w:val="24"/>
        </w:rPr>
      </w:pPr>
      <w:r>
        <w:rPr>
          <w:rFonts w:hint="eastAsia" w:ascii="宋体" w:hAnsi="宋体" w:cs="宋体"/>
          <w:sz w:val="24"/>
        </w:rPr>
        <w:t>27.2.1投标文件未经投标单位电子签章的；</w:t>
      </w:r>
    </w:p>
    <w:p w14:paraId="6F54FAD5">
      <w:pPr>
        <w:spacing w:line="360" w:lineRule="auto"/>
        <w:ind w:firstLine="549"/>
        <w:rPr>
          <w:rFonts w:ascii="宋体" w:hAnsi="宋体" w:cs="宋体"/>
          <w:sz w:val="24"/>
        </w:rPr>
      </w:pPr>
      <w:r>
        <w:rPr>
          <w:rFonts w:hint="eastAsia" w:ascii="宋体" w:hAnsi="宋体" w:cs="宋体"/>
          <w:sz w:val="24"/>
        </w:rPr>
        <w:t>27.2.2投标联合体没有提交共同投标协议；</w:t>
      </w:r>
    </w:p>
    <w:p w14:paraId="389BB931">
      <w:pPr>
        <w:spacing w:line="360" w:lineRule="auto"/>
        <w:ind w:firstLine="549"/>
        <w:rPr>
          <w:rFonts w:ascii="宋体" w:hAnsi="宋体" w:cs="宋体"/>
          <w:sz w:val="24"/>
        </w:rPr>
      </w:pPr>
      <w:r>
        <w:rPr>
          <w:rFonts w:hint="eastAsia" w:ascii="宋体" w:hAnsi="宋体" w:cs="宋体"/>
          <w:sz w:val="24"/>
        </w:rPr>
        <w:t>27.2.3投标人未提供法定代表人签字确认的营业执照及其他不符合国家或者招标文件规定的资格条件；</w:t>
      </w:r>
    </w:p>
    <w:p w14:paraId="633C3138">
      <w:pPr>
        <w:spacing w:line="360" w:lineRule="auto"/>
        <w:ind w:firstLine="549"/>
        <w:rPr>
          <w:rFonts w:ascii="宋体" w:hAnsi="宋体" w:cs="宋体"/>
          <w:sz w:val="24"/>
        </w:rPr>
      </w:pPr>
      <w:r>
        <w:rPr>
          <w:rFonts w:hint="eastAsia" w:ascii="宋体" w:hAnsi="宋体" w:cs="宋体"/>
          <w:sz w:val="24"/>
        </w:rPr>
        <w:t>27.2.4同一投标人提交两个以上不同的投标文件或者投标报价，但招标文件要求提交备选投标的除外；</w:t>
      </w:r>
    </w:p>
    <w:p w14:paraId="10A5C24A">
      <w:pPr>
        <w:spacing w:line="360" w:lineRule="auto"/>
        <w:ind w:firstLine="549"/>
        <w:rPr>
          <w:rFonts w:ascii="宋体" w:hAnsi="宋体" w:cs="宋体"/>
          <w:sz w:val="24"/>
        </w:rPr>
      </w:pPr>
      <w:r>
        <w:rPr>
          <w:rFonts w:hint="eastAsia" w:ascii="宋体" w:hAnsi="宋体" w:cs="宋体"/>
          <w:sz w:val="24"/>
        </w:rPr>
        <w:t>27.2.5投标报价或者某些分项报价明显不合理，有可能影响商品质量和不能诚信履约；</w:t>
      </w:r>
    </w:p>
    <w:p w14:paraId="7C7F3E83">
      <w:pPr>
        <w:spacing w:line="360" w:lineRule="auto"/>
        <w:ind w:firstLine="549"/>
        <w:rPr>
          <w:rFonts w:ascii="宋体" w:hAnsi="宋体" w:cs="宋体"/>
          <w:sz w:val="24"/>
        </w:rPr>
      </w:pPr>
      <w:r>
        <w:rPr>
          <w:rFonts w:hint="eastAsia" w:ascii="宋体" w:hAnsi="宋体" w:cs="宋体"/>
          <w:sz w:val="24"/>
        </w:rPr>
        <w:t>27.2.6投标报价高于或低于招标文件设定的招标控制价；</w:t>
      </w:r>
    </w:p>
    <w:p w14:paraId="01FFCC0C">
      <w:pPr>
        <w:spacing w:line="360" w:lineRule="auto"/>
        <w:ind w:firstLine="549"/>
        <w:rPr>
          <w:rFonts w:ascii="宋体" w:hAnsi="宋体" w:cs="宋体"/>
          <w:sz w:val="24"/>
        </w:rPr>
      </w:pPr>
      <w:r>
        <w:rPr>
          <w:rFonts w:hint="eastAsia" w:ascii="宋体" w:hAnsi="宋体" w:cs="宋体"/>
          <w:sz w:val="24"/>
        </w:rPr>
        <w:t>27.2.7投标文件没有对招标文件的实质性要求和条件作出响应；</w:t>
      </w:r>
    </w:p>
    <w:p w14:paraId="516AF25B">
      <w:pPr>
        <w:spacing w:line="360" w:lineRule="auto"/>
        <w:ind w:firstLine="549"/>
        <w:rPr>
          <w:rFonts w:ascii="宋体" w:hAnsi="宋体" w:cs="宋体"/>
          <w:sz w:val="24"/>
        </w:rPr>
      </w:pPr>
      <w:r>
        <w:rPr>
          <w:rFonts w:hint="eastAsia" w:ascii="宋体" w:hAnsi="宋体" w:cs="宋体"/>
          <w:sz w:val="24"/>
        </w:rPr>
        <w:t>27.2.8投标人有串通投标、弄虚作假、行贿等违法行为；</w:t>
      </w:r>
    </w:p>
    <w:p w14:paraId="56AF5C2C">
      <w:pPr>
        <w:spacing w:line="360" w:lineRule="auto"/>
        <w:ind w:firstLine="549"/>
        <w:rPr>
          <w:rFonts w:ascii="宋体" w:hAnsi="宋体" w:cs="宋体"/>
          <w:sz w:val="24"/>
        </w:rPr>
      </w:pPr>
      <w:r>
        <w:rPr>
          <w:rFonts w:hint="eastAsia" w:ascii="宋体" w:hAnsi="宋体" w:cs="宋体"/>
          <w:sz w:val="24"/>
        </w:rPr>
        <w:t>27.2.8 不同投标人在同一台计算机上制作投标文件的；</w:t>
      </w:r>
    </w:p>
    <w:p w14:paraId="0EEF4864">
      <w:pPr>
        <w:spacing w:line="360" w:lineRule="auto"/>
        <w:ind w:firstLine="549"/>
        <w:rPr>
          <w:rFonts w:ascii="宋体" w:hAnsi="宋体" w:cs="宋体"/>
          <w:sz w:val="24"/>
        </w:rPr>
      </w:pPr>
      <w:r>
        <w:rPr>
          <w:rFonts w:hint="eastAsia" w:ascii="宋体" w:hAnsi="宋体" w:cs="宋体"/>
          <w:sz w:val="24"/>
        </w:rPr>
        <w:t>27.2.9投标人未提供有效的经会计师事务所或审计机构审计的财务会计报表，包括资产负债表、现金流量表和利润表的。</w:t>
      </w:r>
    </w:p>
    <w:p w14:paraId="394CCAD7">
      <w:pPr>
        <w:spacing w:line="360" w:lineRule="auto"/>
        <w:ind w:firstLine="549"/>
        <w:rPr>
          <w:rFonts w:ascii="宋体" w:hAnsi="宋体" w:cs="宋体"/>
          <w:sz w:val="24"/>
        </w:rPr>
      </w:pPr>
      <w:r>
        <w:rPr>
          <w:rFonts w:hint="eastAsia" w:ascii="宋体" w:hAnsi="宋体" w:cs="宋体"/>
          <w:sz w:val="24"/>
        </w:rPr>
        <w:t>27.3如果投标文件未通过投标符合性审查，投标无效。</w:t>
      </w:r>
    </w:p>
    <w:p w14:paraId="6EEB577C">
      <w:pPr>
        <w:spacing w:line="360" w:lineRule="auto"/>
        <w:ind w:firstLine="549"/>
        <w:rPr>
          <w:rFonts w:ascii="宋体" w:hAnsi="宋体" w:cs="宋体"/>
          <w:sz w:val="24"/>
        </w:rPr>
      </w:pPr>
      <w:r>
        <w:rPr>
          <w:rFonts w:hint="eastAsia" w:ascii="宋体" w:hAnsi="宋体" w:cs="宋体"/>
          <w:sz w:val="24"/>
        </w:rPr>
        <w:t>27.4评委会决定投标文件的响应性及符合性只根据投标文件本身的内容，不寻求其他外部证据。</w:t>
      </w:r>
    </w:p>
    <w:p w14:paraId="2FBDF526">
      <w:pPr>
        <w:spacing w:line="360" w:lineRule="auto"/>
        <w:ind w:firstLine="549"/>
        <w:rPr>
          <w:rFonts w:ascii="宋体" w:hAnsi="宋体" w:cs="宋体"/>
          <w:b/>
          <w:bCs/>
          <w:sz w:val="24"/>
        </w:rPr>
      </w:pPr>
      <w:r>
        <w:rPr>
          <w:rFonts w:hint="eastAsia" w:ascii="宋体" w:hAnsi="宋体" w:cs="宋体"/>
          <w:b/>
          <w:bCs/>
          <w:sz w:val="24"/>
        </w:rPr>
        <w:t>28</w:t>
      </w:r>
      <w:r>
        <w:rPr>
          <w:rFonts w:hint="eastAsia" w:ascii="宋体" w:hAnsi="宋体" w:cs="宋体"/>
          <w:b/>
          <w:sz w:val="24"/>
        </w:rPr>
        <w:t>.</w:t>
      </w:r>
      <w:r>
        <w:rPr>
          <w:rFonts w:hint="eastAsia" w:ascii="宋体" w:hAnsi="宋体" w:cs="宋体"/>
          <w:b/>
          <w:bCs/>
          <w:sz w:val="24"/>
        </w:rPr>
        <w:t>废标处理</w:t>
      </w:r>
    </w:p>
    <w:p w14:paraId="7284E90B">
      <w:pPr>
        <w:spacing w:line="360" w:lineRule="auto"/>
        <w:ind w:firstLine="549"/>
        <w:rPr>
          <w:rFonts w:ascii="宋体" w:hAnsi="宋体" w:cs="宋体"/>
          <w:sz w:val="24"/>
        </w:rPr>
      </w:pPr>
      <w:r>
        <w:rPr>
          <w:rFonts w:hint="eastAsia" w:ascii="宋体" w:hAnsi="宋体" w:cs="宋体"/>
          <w:sz w:val="24"/>
        </w:rPr>
        <w:t>28.1在招标采购中，出现下列情形之一的，采购代理机构有权宣布废标：</w:t>
      </w:r>
    </w:p>
    <w:p w14:paraId="02926DDD">
      <w:pPr>
        <w:spacing w:line="360" w:lineRule="auto"/>
        <w:ind w:firstLine="523" w:firstLineChars="218"/>
        <w:rPr>
          <w:rFonts w:ascii="宋体" w:hAnsi="宋体" w:cs="宋体"/>
          <w:sz w:val="24"/>
        </w:rPr>
      </w:pPr>
      <w:r>
        <w:rPr>
          <w:rFonts w:hint="eastAsia" w:ascii="宋体" w:hAnsi="宋体" w:cs="宋体"/>
          <w:sz w:val="24"/>
        </w:rPr>
        <w:t>28.1.1符合专业条件的投标人或对招标文件作实质响应的投标人不足三家的；</w:t>
      </w:r>
    </w:p>
    <w:p w14:paraId="7E7C6827">
      <w:pPr>
        <w:spacing w:line="360" w:lineRule="auto"/>
        <w:ind w:firstLine="523" w:firstLineChars="218"/>
        <w:rPr>
          <w:rFonts w:ascii="宋体" w:hAnsi="宋体" w:cs="宋体"/>
          <w:sz w:val="24"/>
        </w:rPr>
      </w:pPr>
      <w:r>
        <w:rPr>
          <w:rFonts w:hint="eastAsia" w:ascii="宋体" w:hAnsi="宋体" w:cs="宋体"/>
          <w:sz w:val="24"/>
        </w:rPr>
        <w:t>28.1.2投标人的报价均超过采购预算，采购人不能支付的；</w:t>
      </w:r>
    </w:p>
    <w:p w14:paraId="5F721C7E">
      <w:pPr>
        <w:spacing w:line="360" w:lineRule="auto"/>
        <w:ind w:firstLine="523" w:firstLineChars="218"/>
        <w:rPr>
          <w:rFonts w:ascii="宋体" w:hAnsi="宋体" w:cs="宋体"/>
          <w:sz w:val="24"/>
        </w:rPr>
      </w:pPr>
      <w:r>
        <w:rPr>
          <w:rFonts w:hint="eastAsia" w:ascii="宋体" w:hAnsi="宋体" w:cs="宋体"/>
          <w:sz w:val="24"/>
        </w:rPr>
        <w:t xml:space="preserve">28.1.3出现影响采购公正的违法、违规行为的； </w:t>
      </w:r>
    </w:p>
    <w:p w14:paraId="1CC83FA8">
      <w:pPr>
        <w:spacing w:line="360" w:lineRule="auto"/>
        <w:ind w:firstLine="523" w:firstLineChars="218"/>
        <w:rPr>
          <w:rFonts w:ascii="宋体" w:hAnsi="宋体" w:cs="宋体"/>
          <w:sz w:val="24"/>
        </w:rPr>
      </w:pPr>
      <w:r>
        <w:rPr>
          <w:rFonts w:hint="eastAsia" w:ascii="宋体" w:hAnsi="宋体" w:cs="宋体"/>
          <w:sz w:val="24"/>
        </w:rPr>
        <w:t>28.1.4因重大变故，采购任务取消的。</w:t>
      </w:r>
    </w:p>
    <w:p w14:paraId="3C244945">
      <w:pPr>
        <w:spacing w:line="360" w:lineRule="auto"/>
        <w:ind w:firstLine="549"/>
        <w:rPr>
          <w:rFonts w:ascii="宋体" w:hAnsi="宋体" w:cs="宋体"/>
          <w:sz w:val="24"/>
          <w:szCs w:val="24"/>
        </w:rPr>
      </w:pPr>
      <w:r>
        <w:rPr>
          <w:rFonts w:hint="eastAsia" w:ascii="宋体" w:hAnsi="宋体" w:cs="宋体"/>
          <w:sz w:val="24"/>
          <w:szCs w:val="24"/>
        </w:rPr>
        <w:t>废标后，采购代理机构会把废标理由通知所有投标人。</w:t>
      </w:r>
    </w:p>
    <w:p w14:paraId="41C207EC">
      <w:pPr>
        <w:spacing w:line="360" w:lineRule="auto"/>
        <w:ind w:firstLine="549"/>
        <w:rPr>
          <w:rFonts w:ascii="宋体" w:hAnsi="宋体" w:cs="宋体"/>
          <w:sz w:val="24"/>
          <w:szCs w:val="24"/>
        </w:rPr>
      </w:pPr>
      <w:r>
        <w:rPr>
          <w:rFonts w:hint="eastAsia" w:ascii="宋体" w:hAnsi="宋体" w:cs="宋体"/>
          <w:sz w:val="24"/>
          <w:szCs w:val="24"/>
        </w:rPr>
        <w:t>28.2 因上条第一款、第二款规定情形导致废标的，若采购人提出申请，报经政府采购监督管理部门批准，可现场改为竞争性谈判，投标人有下列情形之一的，不得参加谈判：</w:t>
      </w:r>
    </w:p>
    <w:p w14:paraId="6EA1A941">
      <w:pPr>
        <w:spacing w:line="360" w:lineRule="auto"/>
        <w:ind w:firstLine="549"/>
        <w:rPr>
          <w:rFonts w:ascii="宋体" w:hAnsi="宋体" w:cs="宋体"/>
          <w:sz w:val="24"/>
          <w:szCs w:val="24"/>
        </w:rPr>
      </w:pPr>
      <w:r>
        <w:rPr>
          <w:rFonts w:hint="eastAsia" w:ascii="宋体" w:hAnsi="宋体" w:cs="宋体"/>
          <w:sz w:val="24"/>
          <w:szCs w:val="24"/>
        </w:rPr>
        <w:t>28.2.1 放弃参加投标的；</w:t>
      </w:r>
    </w:p>
    <w:p w14:paraId="3A4BD785">
      <w:pPr>
        <w:spacing w:line="360" w:lineRule="auto"/>
        <w:ind w:firstLine="549"/>
        <w:rPr>
          <w:rFonts w:ascii="宋体" w:hAnsi="宋体" w:cs="宋体"/>
          <w:sz w:val="24"/>
          <w:szCs w:val="24"/>
        </w:rPr>
      </w:pPr>
      <w:r>
        <w:rPr>
          <w:rFonts w:hint="eastAsia" w:ascii="宋体" w:hAnsi="宋体" w:cs="宋体"/>
          <w:sz w:val="24"/>
          <w:szCs w:val="24"/>
        </w:rPr>
        <w:t>28.2.2 未经允许，离开开标现场通知不上的；</w:t>
      </w:r>
    </w:p>
    <w:p w14:paraId="60E17D56">
      <w:pPr>
        <w:spacing w:line="360" w:lineRule="auto"/>
        <w:ind w:firstLine="549"/>
        <w:rPr>
          <w:rFonts w:ascii="宋体" w:hAnsi="宋体" w:cs="宋体"/>
          <w:sz w:val="24"/>
          <w:szCs w:val="24"/>
        </w:rPr>
      </w:pPr>
      <w:r>
        <w:rPr>
          <w:rFonts w:hint="eastAsia" w:ascii="宋体" w:hAnsi="宋体" w:cs="宋体"/>
          <w:sz w:val="24"/>
          <w:szCs w:val="24"/>
        </w:rPr>
        <w:t>28.2.3 不符合招标文件列明的专业条件的；</w:t>
      </w:r>
    </w:p>
    <w:p w14:paraId="3DA74BCC">
      <w:pPr>
        <w:spacing w:line="360" w:lineRule="auto"/>
        <w:ind w:firstLine="549"/>
        <w:rPr>
          <w:rFonts w:ascii="宋体" w:hAnsi="宋体" w:cs="宋体"/>
          <w:sz w:val="24"/>
          <w:szCs w:val="24"/>
        </w:rPr>
      </w:pPr>
      <w:r>
        <w:rPr>
          <w:rFonts w:hint="eastAsia" w:ascii="宋体" w:hAnsi="宋体" w:cs="宋体"/>
          <w:sz w:val="24"/>
          <w:szCs w:val="24"/>
        </w:rPr>
        <w:t>28.2.4 有影响采购公正的违法、违规行为造成项目废标的；</w:t>
      </w:r>
    </w:p>
    <w:p w14:paraId="2D2F8A27">
      <w:pPr>
        <w:spacing w:line="360" w:lineRule="auto"/>
        <w:ind w:firstLine="549"/>
        <w:rPr>
          <w:rFonts w:ascii="宋体" w:hAnsi="宋体" w:cs="宋体"/>
          <w:sz w:val="24"/>
          <w:szCs w:val="24"/>
        </w:rPr>
      </w:pPr>
      <w:r>
        <w:rPr>
          <w:rFonts w:hint="eastAsia" w:ascii="宋体" w:hAnsi="宋体" w:cs="宋体"/>
          <w:sz w:val="24"/>
          <w:szCs w:val="24"/>
        </w:rPr>
        <w:t>28.3 采购方式现场改为竞争性谈判时，采购代理机构以《招标流标现场转谈判邀请函》方式函告投标现场各投标人，投标人授权代表签字确认参加谈判。放弃谈判的视同自动放弃本项目的投标资格。竞争性谈判应当至少有两家及以上投标人参加。如参加谈判的投标人少于两家，谈判做流标处理。</w:t>
      </w:r>
    </w:p>
    <w:p w14:paraId="06EDD862">
      <w:pPr>
        <w:spacing w:line="360" w:lineRule="auto"/>
        <w:ind w:firstLine="549"/>
        <w:rPr>
          <w:rFonts w:ascii="宋体" w:hAnsi="宋体" w:cs="宋体"/>
          <w:sz w:val="24"/>
          <w:szCs w:val="24"/>
        </w:rPr>
      </w:pPr>
      <w:r>
        <w:rPr>
          <w:rFonts w:hint="eastAsia" w:ascii="宋体" w:hAnsi="宋体" w:cs="宋体"/>
          <w:sz w:val="24"/>
          <w:szCs w:val="24"/>
        </w:rPr>
        <w:t>28.3.1 谈判时，若投标人未能在评委会指定时间内（原则上不超过60 分钟）提交符合要求的补充资料或未作出实质性响应的，投标无效。经过审查符合谈判要求的有效投标人少于两家的，谈判做流标处理。</w:t>
      </w:r>
    </w:p>
    <w:p w14:paraId="3E901B6C">
      <w:pPr>
        <w:spacing w:line="360" w:lineRule="auto"/>
        <w:ind w:firstLine="549"/>
        <w:rPr>
          <w:rFonts w:ascii="宋体" w:hAnsi="宋体" w:cs="宋体"/>
          <w:sz w:val="24"/>
          <w:szCs w:val="24"/>
        </w:rPr>
      </w:pPr>
      <w:r>
        <w:rPr>
          <w:rFonts w:hint="eastAsia" w:ascii="宋体" w:hAnsi="宋体" w:cs="宋体"/>
          <w:sz w:val="24"/>
          <w:szCs w:val="24"/>
        </w:rPr>
        <w:t>28.3.2 投标文件的报价视为谈判时的首次报价，未唱标转谈判的，谈判时不公开投标人各轮报价。已经唱标而转谈判的，谈判前公布各参与谈判的投标人首轮报价。</w:t>
      </w:r>
    </w:p>
    <w:p w14:paraId="45197EFF">
      <w:pPr>
        <w:spacing w:line="360" w:lineRule="auto"/>
        <w:ind w:firstLine="549"/>
        <w:rPr>
          <w:rFonts w:ascii="宋体" w:hAnsi="宋体" w:cs="宋体"/>
          <w:sz w:val="24"/>
          <w:szCs w:val="24"/>
        </w:rPr>
      </w:pPr>
      <w:r>
        <w:rPr>
          <w:rFonts w:hint="eastAsia" w:ascii="宋体" w:hAnsi="宋体" w:cs="宋体"/>
          <w:sz w:val="24"/>
          <w:szCs w:val="24"/>
        </w:rPr>
        <w:t>28.3.3 在谈判内容不作实质性变更及重大调整的前提下，投标人次轮报价不得高于</w:t>
      </w:r>
      <w:r>
        <w:rPr>
          <w:rFonts w:hint="eastAsia" w:ascii="宋体" w:hAnsi="宋体" w:cs="宋体"/>
          <w:sz w:val="24"/>
          <w:szCs w:val="24"/>
          <w:lang w:eastAsia="zh-CN"/>
        </w:rPr>
        <w:t>（</w:t>
      </w:r>
      <w:r>
        <w:rPr>
          <w:rFonts w:hint="eastAsia" w:ascii="宋体" w:hAnsi="宋体" w:cs="宋体"/>
          <w:sz w:val="24"/>
          <w:szCs w:val="24"/>
          <w:lang w:val="en-US" w:eastAsia="zh-CN"/>
        </w:rPr>
        <w:t>或低于</w:t>
      </w:r>
      <w:bookmarkStart w:id="462" w:name="_GoBack"/>
      <w:bookmarkEnd w:id="462"/>
      <w:r>
        <w:rPr>
          <w:rFonts w:hint="eastAsia" w:ascii="宋体" w:hAnsi="宋体" w:cs="宋体"/>
          <w:sz w:val="24"/>
          <w:szCs w:val="24"/>
          <w:lang w:eastAsia="zh-CN"/>
        </w:rPr>
        <w:t>）</w:t>
      </w:r>
      <w:r>
        <w:rPr>
          <w:rFonts w:hint="eastAsia" w:ascii="宋体" w:hAnsi="宋体" w:cs="宋体"/>
          <w:sz w:val="24"/>
          <w:szCs w:val="24"/>
        </w:rPr>
        <w:t>上一轮报价。</w:t>
      </w:r>
    </w:p>
    <w:p w14:paraId="282C46AF">
      <w:pPr>
        <w:spacing w:line="360" w:lineRule="auto"/>
        <w:ind w:firstLine="482" w:firstLineChars="200"/>
        <w:rPr>
          <w:rFonts w:ascii="宋体" w:hAnsi="宋体" w:cs="宋体"/>
          <w:b/>
          <w:bCs/>
          <w:sz w:val="24"/>
        </w:rPr>
      </w:pPr>
      <w:r>
        <w:rPr>
          <w:rFonts w:hint="eastAsia" w:ascii="宋体" w:hAnsi="宋体" w:cs="宋体"/>
          <w:b/>
          <w:bCs/>
          <w:sz w:val="24"/>
        </w:rPr>
        <w:t>29</w:t>
      </w:r>
      <w:r>
        <w:rPr>
          <w:rFonts w:hint="eastAsia" w:ascii="宋体" w:hAnsi="宋体" w:cs="宋体"/>
          <w:b/>
          <w:sz w:val="24"/>
        </w:rPr>
        <w:t>.</w:t>
      </w:r>
      <w:r>
        <w:rPr>
          <w:rFonts w:hint="eastAsia" w:ascii="宋体" w:hAnsi="宋体" w:cs="宋体"/>
          <w:b/>
          <w:bCs/>
          <w:sz w:val="24"/>
        </w:rPr>
        <w:t>二次采购</w:t>
      </w:r>
    </w:p>
    <w:p w14:paraId="3F18F05D">
      <w:pPr>
        <w:spacing w:line="360" w:lineRule="auto"/>
        <w:ind w:firstLine="480" w:firstLineChars="200"/>
        <w:rPr>
          <w:rFonts w:ascii="宋体" w:hAnsi="宋体" w:cs="宋体"/>
          <w:sz w:val="24"/>
        </w:rPr>
      </w:pPr>
      <w:r>
        <w:rPr>
          <w:rFonts w:hint="eastAsia" w:ascii="宋体" w:hAnsi="宋体" w:cs="宋体"/>
          <w:sz w:val="24"/>
        </w:rPr>
        <w:t>项目废标后，采购代理机构可能发布二次公告（投标邀请），进行二次采购。</w:t>
      </w:r>
    </w:p>
    <w:p w14:paraId="53B813E5">
      <w:pPr>
        <w:spacing w:line="360" w:lineRule="auto"/>
        <w:ind w:firstLine="480" w:firstLineChars="200"/>
        <w:rPr>
          <w:rFonts w:ascii="宋体" w:hAnsi="宋体" w:cs="宋体"/>
          <w:sz w:val="24"/>
        </w:rPr>
      </w:pPr>
      <w:r>
        <w:rPr>
          <w:rFonts w:hint="eastAsia" w:ascii="宋体" w:hAnsi="宋体" w:cs="宋体"/>
          <w:sz w:val="24"/>
        </w:rPr>
        <w:t>前款所述“二次”，系指项目废标后的重新公告及采购，并不仅限于项目的第二次公告及采购。</w:t>
      </w:r>
    </w:p>
    <w:p w14:paraId="2644F262">
      <w:pPr>
        <w:pStyle w:val="4"/>
        <w:spacing w:line="360" w:lineRule="auto"/>
        <w:rPr>
          <w:rFonts w:hAnsi="宋体" w:cs="宋体"/>
          <w:sz w:val="28"/>
        </w:rPr>
      </w:pPr>
      <w:bookmarkStart w:id="385" w:name="_Toc20916"/>
      <w:bookmarkStart w:id="386" w:name="_Toc516969091"/>
      <w:bookmarkStart w:id="387" w:name="_Toc527725927"/>
      <w:bookmarkStart w:id="388" w:name="_Toc32663"/>
      <w:bookmarkStart w:id="389" w:name="_Toc40975447"/>
      <w:bookmarkStart w:id="390" w:name="_Toc25421"/>
      <w:bookmarkStart w:id="391" w:name="_Toc7660"/>
      <w:r>
        <w:rPr>
          <w:rFonts w:hint="eastAsia" w:hAnsi="宋体" w:cs="宋体"/>
          <w:sz w:val="28"/>
        </w:rPr>
        <w:t>六．定标与签订合同</w:t>
      </w:r>
      <w:bookmarkEnd w:id="385"/>
      <w:bookmarkEnd w:id="386"/>
      <w:bookmarkEnd w:id="387"/>
      <w:bookmarkEnd w:id="388"/>
      <w:bookmarkEnd w:id="389"/>
      <w:bookmarkEnd w:id="390"/>
      <w:bookmarkEnd w:id="391"/>
    </w:p>
    <w:p w14:paraId="269966D6">
      <w:pPr>
        <w:spacing w:line="360" w:lineRule="auto"/>
        <w:ind w:firstLine="549"/>
        <w:rPr>
          <w:rFonts w:ascii="宋体" w:hAnsi="宋体" w:cs="宋体"/>
          <w:b/>
          <w:sz w:val="24"/>
        </w:rPr>
      </w:pPr>
      <w:r>
        <w:rPr>
          <w:rFonts w:hint="eastAsia" w:ascii="宋体" w:hAnsi="宋体" w:cs="宋体"/>
          <w:b/>
          <w:sz w:val="24"/>
        </w:rPr>
        <w:t>30.定标</w:t>
      </w:r>
    </w:p>
    <w:p w14:paraId="594E3DE4">
      <w:pPr>
        <w:spacing w:line="360" w:lineRule="auto"/>
        <w:ind w:firstLine="549"/>
        <w:rPr>
          <w:rFonts w:ascii="宋体" w:hAnsi="宋体" w:cs="宋体"/>
          <w:sz w:val="24"/>
        </w:rPr>
      </w:pPr>
      <w:r>
        <w:rPr>
          <w:rFonts w:hint="eastAsia" w:ascii="宋体" w:hAnsi="宋体" w:cs="宋体"/>
          <w:sz w:val="24"/>
        </w:rPr>
        <w:t>30.1 投标符合性审查后，评委会应当按招标文件规定的综合评分办法提出独立评审意见，推荐中标候选人。</w:t>
      </w:r>
    </w:p>
    <w:p w14:paraId="7B2EF01E">
      <w:pPr>
        <w:spacing w:line="360" w:lineRule="auto"/>
        <w:ind w:firstLine="549"/>
        <w:rPr>
          <w:rFonts w:ascii="宋体" w:hAnsi="宋体" w:cs="宋体"/>
          <w:sz w:val="24"/>
        </w:rPr>
      </w:pPr>
      <w:r>
        <w:rPr>
          <w:rFonts w:hint="eastAsia" w:ascii="宋体" w:hAnsi="宋体" w:cs="宋体"/>
          <w:sz w:val="24"/>
        </w:rPr>
        <w:t>30.2采购人应当自收到评审报告之日起5个工作日内在评审报告推荐的中标或者成交候选人中按顺序确定中标或者成交供应商。</w:t>
      </w:r>
    </w:p>
    <w:p w14:paraId="1DB8747D">
      <w:pPr>
        <w:spacing w:line="360" w:lineRule="auto"/>
        <w:ind w:firstLine="549"/>
        <w:rPr>
          <w:rFonts w:ascii="宋体" w:hAnsi="宋体" w:cs="宋体"/>
          <w:sz w:val="24"/>
        </w:rPr>
      </w:pPr>
      <w:r>
        <w:rPr>
          <w:rFonts w:hint="eastAsia" w:ascii="宋体" w:hAnsi="宋体" w:cs="宋体"/>
          <w:sz w:val="24"/>
        </w:rPr>
        <w:t>30.3如评委会认为有必要，首先对第一中标候选人就投标文件所提供的内容是否符合招标文件的要求进行资格后审。资格后审视为本项目采购活动的延续，以书面报告作为最终审查的结果。如果确定第一中标候选人无法履行合同，将按排名依次对其余中标候选人进行类似的审查。</w:t>
      </w:r>
    </w:p>
    <w:p w14:paraId="0B14676B">
      <w:pPr>
        <w:spacing w:line="360" w:lineRule="auto"/>
        <w:ind w:firstLine="549"/>
        <w:rPr>
          <w:rFonts w:ascii="宋体" w:hAnsi="宋体" w:cs="宋体"/>
          <w:sz w:val="24"/>
        </w:rPr>
      </w:pPr>
      <w:r>
        <w:rPr>
          <w:rFonts w:hint="eastAsia" w:ascii="宋体" w:hAnsi="宋体" w:cs="宋体"/>
          <w:sz w:val="24"/>
        </w:rPr>
        <w:t>排名第一的中标候选人放弃中标、因不可抗力不能履行合同、不按照合同约定提交履约保证金，或者被查实存在影响中标结果的违法行为等情形，不符合中标条件的，采购人可以按照评标委员会提出的中标候选人名单排序依次确定其他中标候选人为中标人，也可以重新招标。</w:t>
      </w:r>
    </w:p>
    <w:p w14:paraId="1E88D80E">
      <w:pPr>
        <w:spacing w:line="360" w:lineRule="auto"/>
        <w:ind w:firstLine="549"/>
        <w:rPr>
          <w:rFonts w:ascii="宋体" w:hAnsi="宋体" w:cs="宋体"/>
          <w:sz w:val="24"/>
        </w:rPr>
      </w:pPr>
      <w:r>
        <w:rPr>
          <w:rFonts w:hint="eastAsia" w:ascii="宋体" w:hAnsi="宋体" w:cs="宋体"/>
          <w:sz w:val="24"/>
        </w:rPr>
        <w:t>30.4原则上把合同授予实质上响应招标文件要求的排名最前的中标候选人或通过上条资格审查的中标候选人。</w:t>
      </w:r>
    </w:p>
    <w:p w14:paraId="30CC04C3">
      <w:pPr>
        <w:spacing w:line="360" w:lineRule="auto"/>
        <w:ind w:firstLine="549"/>
        <w:rPr>
          <w:rFonts w:ascii="宋体" w:hAnsi="宋体" w:cs="宋体"/>
          <w:sz w:val="24"/>
        </w:rPr>
      </w:pPr>
      <w:r>
        <w:rPr>
          <w:rFonts w:hint="eastAsia" w:ascii="宋体" w:hAnsi="宋体" w:cs="宋体"/>
          <w:sz w:val="24"/>
        </w:rPr>
        <w:t>30.5 最低报价并不是中标的保证。</w:t>
      </w:r>
    </w:p>
    <w:p w14:paraId="3B72231C">
      <w:pPr>
        <w:spacing w:line="360" w:lineRule="auto"/>
        <w:ind w:firstLine="549"/>
        <w:rPr>
          <w:rFonts w:ascii="宋体" w:hAnsi="宋体" w:cs="宋体"/>
          <w:sz w:val="24"/>
        </w:rPr>
      </w:pPr>
      <w:r>
        <w:rPr>
          <w:rFonts w:hint="eastAsia" w:ascii="宋体" w:hAnsi="宋体" w:cs="宋体"/>
          <w:sz w:val="24"/>
        </w:rPr>
        <w:t>30.6凡发现中标候选人有下列行为之一的，其中标无效，并移交政府采购监督管理部门依法处理：</w:t>
      </w:r>
    </w:p>
    <w:p w14:paraId="5E0CA8E9">
      <w:pPr>
        <w:spacing w:line="360" w:lineRule="auto"/>
        <w:ind w:left="549"/>
        <w:rPr>
          <w:rFonts w:ascii="宋体" w:hAnsi="宋体" w:cs="宋体"/>
          <w:sz w:val="24"/>
        </w:rPr>
      </w:pPr>
      <w:r>
        <w:rPr>
          <w:rFonts w:hint="eastAsia" w:ascii="宋体" w:hAnsi="宋体" w:cs="宋体"/>
          <w:sz w:val="24"/>
        </w:rPr>
        <w:t>30.6.1 以他人名义投标、或提供虚假材料弄虚作假谋取中标的；</w:t>
      </w:r>
    </w:p>
    <w:p w14:paraId="760FE2C1">
      <w:pPr>
        <w:spacing w:line="360" w:lineRule="auto"/>
        <w:ind w:left="549"/>
        <w:rPr>
          <w:rFonts w:ascii="宋体" w:hAnsi="宋体" w:cs="宋体"/>
          <w:sz w:val="24"/>
        </w:rPr>
      </w:pPr>
      <w:r>
        <w:rPr>
          <w:rFonts w:hint="eastAsia" w:ascii="宋体" w:hAnsi="宋体" w:cs="宋体"/>
          <w:sz w:val="24"/>
        </w:rPr>
        <w:t>30.6.1.1以他人名义投标，是指使用通过受让或者租借等方式获取的资格、资质证书投标。</w:t>
      </w:r>
    </w:p>
    <w:p w14:paraId="4BB7475F">
      <w:pPr>
        <w:spacing w:line="360" w:lineRule="auto"/>
        <w:ind w:left="549"/>
        <w:rPr>
          <w:rFonts w:ascii="宋体" w:hAnsi="宋体" w:cs="宋体"/>
          <w:sz w:val="24"/>
        </w:rPr>
      </w:pPr>
      <w:r>
        <w:rPr>
          <w:rFonts w:hint="eastAsia" w:ascii="宋体" w:hAnsi="宋体" w:cs="宋体"/>
          <w:sz w:val="24"/>
        </w:rPr>
        <w:t>30.6.1.2有投标人有下列情形之一的，属于弄虚作假的行为：</w:t>
      </w:r>
    </w:p>
    <w:p w14:paraId="28B99CFD">
      <w:pPr>
        <w:spacing w:line="360" w:lineRule="auto"/>
        <w:ind w:left="549"/>
        <w:rPr>
          <w:rFonts w:ascii="宋体" w:hAnsi="宋体" w:cs="宋体"/>
          <w:sz w:val="24"/>
        </w:rPr>
      </w:pPr>
      <w:r>
        <w:rPr>
          <w:rFonts w:hint="eastAsia" w:ascii="宋体" w:hAnsi="宋体" w:cs="宋体"/>
          <w:sz w:val="24"/>
        </w:rPr>
        <w:t>30.6.1.2.1使用伪造、变造的许可证件；</w:t>
      </w:r>
    </w:p>
    <w:p w14:paraId="3258144B">
      <w:pPr>
        <w:spacing w:line="360" w:lineRule="auto"/>
        <w:ind w:left="549"/>
        <w:rPr>
          <w:rFonts w:ascii="宋体" w:hAnsi="宋体" w:cs="宋体"/>
          <w:sz w:val="24"/>
        </w:rPr>
      </w:pPr>
      <w:r>
        <w:rPr>
          <w:rFonts w:hint="eastAsia" w:ascii="宋体" w:hAnsi="宋体" w:cs="宋体"/>
          <w:sz w:val="24"/>
        </w:rPr>
        <w:t>30.6.1.2.2提供虚假的财务状况或者业绩；</w:t>
      </w:r>
    </w:p>
    <w:p w14:paraId="5965D99A">
      <w:pPr>
        <w:spacing w:line="360" w:lineRule="auto"/>
        <w:ind w:left="549"/>
        <w:rPr>
          <w:rFonts w:ascii="宋体" w:hAnsi="宋体" w:cs="宋体"/>
          <w:sz w:val="24"/>
        </w:rPr>
      </w:pPr>
      <w:r>
        <w:rPr>
          <w:rFonts w:hint="eastAsia" w:ascii="宋体" w:hAnsi="宋体" w:cs="宋体"/>
          <w:sz w:val="24"/>
        </w:rPr>
        <w:t>30.6.1.2.3提供虚假的项目负责人或者主要技术人员简历、劳动关系证明；</w:t>
      </w:r>
    </w:p>
    <w:p w14:paraId="2C3581BF">
      <w:pPr>
        <w:spacing w:line="360" w:lineRule="auto"/>
        <w:ind w:left="549"/>
        <w:rPr>
          <w:rFonts w:ascii="宋体" w:hAnsi="宋体" w:cs="宋体"/>
          <w:sz w:val="24"/>
        </w:rPr>
      </w:pPr>
      <w:r>
        <w:rPr>
          <w:rFonts w:hint="eastAsia" w:ascii="宋体" w:hAnsi="宋体" w:cs="宋体"/>
          <w:sz w:val="24"/>
        </w:rPr>
        <w:t>30.6.1.2.4提供虚假的信用状况；</w:t>
      </w:r>
    </w:p>
    <w:p w14:paraId="0CA4A1D7">
      <w:pPr>
        <w:spacing w:line="360" w:lineRule="auto"/>
        <w:ind w:left="549"/>
        <w:rPr>
          <w:rFonts w:ascii="宋体" w:hAnsi="宋体" w:cs="宋体"/>
          <w:sz w:val="24"/>
        </w:rPr>
      </w:pPr>
      <w:r>
        <w:rPr>
          <w:rFonts w:hint="eastAsia" w:ascii="宋体" w:hAnsi="宋体" w:cs="宋体"/>
          <w:sz w:val="24"/>
        </w:rPr>
        <w:t>30.6.1.2.5其他弄虚作假的行为。</w:t>
      </w:r>
    </w:p>
    <w:p w14:paraId="1B6508AD">
      <w:pPr>
        <w:spacing w:line="360" w:lineRule="auto"/>
        <w:ind w:left="549"/>
        <w:rPr>
          <w:rFonts w:ascii="宋体" w:hAnsi="宋体" w:cs="宋体"/>
          <w:sz w:val="24"/>
        </w:rPr>
      </w:pPr>
      <w:r>
        <w:rPr>
          <w:rFonts w:hint="eastAsia" w:ascii="宋体" w:hAnsi="宋体" w:cs="宋体"/>
          <w:sz w:val="24"/>
        </w:rPr>
        <w:t>30.6.2与采购人、其他供应商或者采购代理机构名称工作人员恶意串通的；</w:t>
      </w:r>
    </w:p>
    <w:p w14:paraId="4F87E9A9">
      <w:pPr>
        <w:spacing w:line="360" w:lineRule="auto"/>
        <w:ind w:left="549"/>
        <w:rPr>
          <w:rFonts w:ascii="宋体" w:hAnsi="宋体" w:cs="宋体"/>
          <w:sz w:val="24"/>
        </w:rPr>
      </w:pPr>
      <w:r>
        <w:rPr>
          <w:rFonts w:hint="eastAsia" w:ascii="宋体" w:hAnsi="宋体" w:cs="宋体"/>
          <w:sz w:val="24"/>
        </w:rPr>
        <w:t>30.6.3向采购人、评审专家、采购代理机构工作人员行贿或者提供其他不正当利益的；</w:t>
      </w:r>
    </w:p>
    <w:p w14:paraId="6746CA9B">
      <w:pPr>
        <w:spacing w:line="360" w:lineRule="auto"/>
        <w:ind w:firstLine="549"/>
        <w:rPr>
          <w:rFonts w:ascii="宋体" w:hAnsi="宋体" w:cs="宋体"/>
          <w:sz w:val="24"/>
        </w:rPr>
      </w:pPr>
      <w:r>
        <w:rPr>
          <w:rFonts w:hint="eastAsia" w:ascii="宋体" w:hAnsi="宋体" w:cs="宋体"/>
          <w:sz w:val="24"/>
        </w:rPr>
        <w:t>30.6.4有法律、法规规定的其他损害采购人利益和社会公共利益情形的；</w:t>
      </w:r>
    </w:p>
    <w:p w14:paraId="3B97F833">
      <w:pPr>
        <w:spacing w:line="360" w:lineRule="auto"/>
        <w:ind w:firstLine="549"/>
        <w:rPr>
          <w:rFonts w:ascii="宋体" w:hAnsi="宋体" w:cs="宋体"/>
          <w:sz w:val="24"/>
        </w:rPr>
      </w:pPr>
      <w:r>
        <w:rPr>
          <w:rFonts w:hint="eastAsia" w:ascii="宋体" w:hAnsi="宋体" w:cs="宋体"/>
          <w:sz w:val="24"/>
        </w:rPr>
        <w:t>30.6.5其他违反招投标法律、法规和规章强制性规定的行为。</w:t>
      </w:r>
    </w:p>
    <w:p w14:paraId="334E2A5E">
      <w:pPr>
        <w:spacing w:line="360" w:lineRule="auto"/>
        <w:ind w:firstLine="549"/>
        <w:rPr>
          <w:rFonts w:ascii="宋体" w:hAnsi="宋体" w:cs="宋体"/>
          <w:sz w:val="24"/>
        </w:rPr>
      </w:pPr>
      <w:r>
        <w:rPr>
          <w:rFonts w:hint="eastAsia" w:ascii="宋体" w:hAnsi="宋体" w:cs="宋体"/>
          <w:sz w:val="24"/>
        </w:rPr>
        <w:t>30.7采购代理机构将在政府采购相关网站上发布评审结果公告。</w:t>
      </w:r>
    </w:p>
    <w:p w14:paraId="1815F087">
      <w:pPr>
        <w:spacing w:line="360" w:lineRule="auto"/>
        <w:ind w:firstLine="549"/>
        <w:rPr>
          <w:rFonts w:ascii="宋体" w:hAnsi="宋体" w:cs="宋体"/>
          <w:b/>
          <w:sz w:val="24"/>
        </w:rPr>
      </w:pPr>
      <w:r>
        <w:rPr>
          <w:rFonts w:hint="eastAsia" w:ascii="宋体" w:hAnsi="宋体" w:cs="宋体"/>
          <w:b/>
          <w:sz w:val="24"/>
        </w:rPr>
        <w:t>31.中标通知书</w:t>
      </w:r>
    </w:p>
    <w:p w14:paraId="0ED79960">
      <w:pPr>
        <w:spacing w:line="360" w:lineRule="auto"/>
        <w:ind w:firstLine="549"/>
        <w:rPr>
          <w:rFonts w:ascii="宋体" w:hAnsi="宋体" w:cs="宋体"/>
          <w:sz w:val="24"/>
        </w:rPr>
      </w:pPr>
      <w:r>
        <w:rPr>
          <w:rFonts w:hint="eastAsia" w:ascii="宋体" w:hAnsi="宋体" w:cs="宋体"/>
          <w:sz w:val="24"/>
        </w:rPr>
        <w:t>31.1在发出中标公告后请采购人、中标人登录周口市公共资源</w:t>
      </w:r>
      <w:r>
        <w:rPr>
          <w:rFonts w:hint="eastAsia" w:ascii="宋体" w:hAnsi="宋体" w:cs="宋体"/>
          <w:sz w:val="24"/>
          <w:szCs w:val="24"/>
        </w:rPr>
        <w:t>交易</w:t>
      </w:r>
      <w:r>
        <w:rPr>
          <w:rFonts w:hint="eastAsia" w:ascii="宋体" w:hAnsi="宋体" w:cs="宋体"/>
          <w:sz w:val="24"/>
        </w:rPr>
        <w:t>中心网</w:t>
      </w:r>
      <w:r>
        <w:rPr>
          <w:rFonts w:hint="eastAsia" w:ascii="宋体" w:hAnsi="宋体" w:cs="宋体"/>
          <w:sz w:val="24"/>
          <w:szCs w:val="24"/>
        </w:rPr>
        <w:t>（http://jyzx.zhoukou.gov.cn）自行下载</w:t>
      </w:r>
      <w:r>
        <w:rPr>
          <w:rFonts w:hint="eastAsia" w:ascii="宋体" w:hAnsi="宋体" w:cs="宋体"/>
          <w:sz w:val="24"/>
        </w:rPr>
        <w:t>中标通知书。</w:t>
      </w:r>
    </w:p>
    <w:p w14:paraId="464455BB">
      <w:pPr>
        <w:spacing w:line="360" w:lineRule="auto"/>
        <w:ind w:firstLine="549"/>
        <w:rPr>
          <w:rFonts w:ascii="宋体" w:hAnsi="宋体" w:cs="宋体"/>
          <w:sz w:val="24"/>
        </w:rPr>
      </w:pPr>
      <w:r>
        <w:rPr>
          <w:rFonts w:hint="eastAsia" w:ascii="宋体" w:hAnsi="宋体" w:cs="宋体"/>
          <w:sz w:val="24"/>
        </w:rPr>
        <w:t>31.2对未中标的投标人不做未中标原因的解释。</w:t>
      </w:r>
    </w:p>
    <w:p w14:paraId="68B9C9DF">
      <w:pPr>
        <w:spacing w:line="360" w:lineRule="auto"/>
        <w:ind w:firstLine="549"/>
        <w:rPr>
          <w:rFonts w:ascii="宋体" w:hAnsi="宋体" w:cs="宋体"/>
          <w:sz w:val="24"/>
        </w:rPr>
      </w:pPr>
      <w:r>
        <w:rPr>
          <w:rFonts w:hint="eastAsia" w:ascii="宋体" w:hAnsi="宋体" w:cs="宋体"/>
          <w:sz w:val="24"/>
        </w:rPr>
        <w:t>31.3评审结果确定后，中标人请及时领取中标通知书。</w:t>
      </w:r>
    </w:p>
    <w:p w14:paraId="0D17FA84">
      <w:pPr>
        <w:spacing w:line="360" w:lineRule="auto"/>
        <w:ind w:firstLine="549"/>
        <w:rPr>
          <w:rFonts w:ascii="宋体" w:hAnsi="宋体" w:cs="宋体"/>
          <w:sz w:val="24"/>
          <w:szCs w:val="22"/>
        </w:rPr>
      </w:pPr>
      <w:r>
        <w:rPr>
          <w:rFonts w:hint="eastAsia" w:ascii="宋体" w:hAnsi="宋体" w:cs="宋体"/>
          <w:sz w:val="24"/>
          <w:szCs w:val="22"/>
        </w:rPr>
        <w:t>32.中标服务费</w:t>
      </w:r>
    </w:p>
    <w:p w14:paraId="7B3C9A14">
      <w:pPr>
        <w:spacing w:line="360" w:lineRule="auto"/>
        <w:rPr>
          <w:rFonts w:ascii="宋体" w:hAnsi="宋体" w:cs="宋体"/>
          <w:b/>
          <w:sz w:val="24"/>
        </w:rPr>
      </w:pPr>
      <w:r>
        <w:rPr>
          <w:rFonts w:hint="eastAsia" w:ascii="宋体" w:hAnsi="宋体" w:cs="宋体"/>
          <w:b/>
          <w:sz w:val="24"/>
        </w:rPr>
        <w:t xml:space="preserve">     收费标准：参照河南省招标投标协会关于印发《河南省招标代理服务收费指导意见》的通知（豫招协[2023]002号）规定的标准向中标人收取代理费。</w:t>
      </w:r>
    </w:p>
    <w:p w14:paraId="46882C5D">
      <w:pPr>
        <w:spacing w:line="360" w:lineRule="auto"/>
        <w:rPr>
          <w:rFonts w:ascii="宋体" w:hAnsi="宋体" w:cs="宋体"/>
          <w:bCs/>
          <w:sz w:val="24"/>
        </w:rPr>
      </w:pPr>
      <w:r>
        <w:rPr>
          <w:rFonts w:hint="eastAsia" w:ascii="宋体" w:hAnsi="宋体" w:cs="宋体"/>
          <w:b/>
          <w:sz w:val="24"/>
        </w:rPr>
        <w:t xml:space="preserve">    支付方式：转账或现金</w:t>
      </w:r>
    </w:p>
    <w:p w14:paraId="6EB0BC68">
      <w:pPr>
        <w:spacing w:line="360" w:lineRule="auto"/>
        <w:ind w:firstLine="549"/>
        <w:rPr>
          <w:rFonts w:ascii="宋体" w:hAnsi="宋体" w:cs="宋体"/>
          <w:sz w:val="24"/>
        </w:rPr>
      </w:pPr>
      <w:r>
        <w:rPr>
          <w:rFonts w:hint="eastAsia" w:ascii="宋体" w:hAnsi="宋体" w:cs="宋体"/>
          <w:b/>
          <w:sz w:val="24"/>
        </w:rPr>
        <w:t>33.</w:t>
      </w:r>
      <w:r>
        <w:rPr>
          <w:rFonts w:hint="eastAsia" w:ascii="宋体" w:hAnsi="宋体" w:cs="宋体"/>
          <w:sz w:val="24"/>
        </w:rPr>
        <w:t>履约保证金</w:t>
      </w:r>
    </w:p>
    <w:p w14:paraId="63FFD153">
      <w:pPr>
        <w:spacing w:line="360" w:lineRule="auto"/>
        <w:ind w:firstLine="1200" w:firstLineChars="500"/>
        <w:rPr>
          <w:rFonts w:ascii="宋体" w:hAnsi="宋体" w:cs="宋体"/>
          <w:sz w:val="24"/>
        </w:rPr>
      </w:pPr>
      <w:r>
        <w:rPr>
          <w:rFonts w:hint="eastAsia" w:ascii="宋体" w:hAnsi="宋体" w:cs="宋体"/>
          <w:sz w:val="24"/>
        </w:rPr>
        <w:t>无</w:t>
      </w:r>
    </w:p>
    <w:p w14:paraId="22558F21">
      <w:pPr>
        <w:spacing w:line="360" w:lineRule="auto"/>
        <w:ind w:firstLine="549"/>
        <w:rPr>
          <w:rFonts w:ascii="宋体" w:hAnsi="宋体" w:cs="宋体"/>
          <w:b/>
          <w:sz w:val="24"/>
          <w:highlight w:val="none"/>
        </w:rPr>
      </w:pPr>
      <w:r>
        <w:rPr>
          <w:rFonts w:hint="eastAsia" w:ascii="宋体" w:hAnsi="宋体" w:cs="宋体"/>
          <w:b/>
          <w:sz w:val="24"/>
        </w:rPr>
        <w:t>34.签订合同</w:t>
      </w:r>
    </w:p>
    <w:p w14:paraId="18ACE159">
      <w:pPr>
        <w:spacing w:line="360" w:lineRule="auto"/>
        <w:ind w:firstLine="549"/>
        <w:rPr>
          <w:rFonts w:ascii="宋体" w:hAnsi="宋体" w:cs="宋体"/>
          <w:sz w:val="24"/>
          <w:highlight w:val="none"/>
        </w:rPr>
      </w:pPr>
      <w:r>
        <w:rPr>
          <w:rFonts w:hint="eastAsia" w:ascii="宋体" w:hAnsi="宋体" w:cs="宋体"/>
          <w:sz w:val="24"/>
          <w:highlight w:val="none"/>
        </w:rPr>
        <w:t>34.1中标人应在中标通知书发出之日起七日内（具体时间、地点见中标通知书）与采购人签订合同。招标文件、中标人的投标文件及澄清文件等，均作为合同的附件。</w:t>
      </w:r>
    </w:p>
    <w:p w14:paraId="68A7D9AC">
      <w:pPr>
        <w:spacing w:line="360" w:lineRule="auto"/>
        <w:ind w:firstLine="549"/>
        <w:rPr>
          <w:rFonts w:ascii="宋体" w:hAnsi="宋体" w:cs="宋体"/>
          <w:b/>
          <w:sz w:val="24"/>
          <w:highlight w:val="none"/>
        </w:rPr>
      </w:pPr>
      <w:r>
        <w:rPr>
          <w:rFonts w:hint="eastAsia" w:ascii="宋体" w:hAnsi="宋体" w:cs="宋体"/>
          <w:sz w:val="24"/>
          <w:highlight w:val="none"/>
        </w:rPr>
        <w:t>34.2</w:t>
      </w:r>
      <w:r>
        <w:rPr>
          <w:rFonts w:ascii="宋体" w:hAnsi="宋体" w:cs="宋体"/>
          <w:b/>
          <w:sz w:val="24"/>
          <w:highlight w:val="none"/>
        </w:rPr>
        <w:t xml:space="preserve"> </w:t>
      </w:r>
      <w:r>
        <w:rPr>
          <w:rFonts w:hint="eastAsia" w:ascii="宋体" w:hAnsi="宋体" w:cs="宋体"/>
          <w:sz w:val="24"/>
          <w:highlight w:val="none"/>
        </w:rPr>
        <w:t>中标</w:t>
      </w:r>
      <w:r>
        <w:rPr>
          <w:rFonts w:hint="eastAsia" w:ascii="宋体" w:hAnsi="宋体" w:cs="宋体"/>
          <w:sz w:val="24"/>
          <w:szCs w:val="28"/>
          <w:highlight w:val="none"/>
        </w:rPr>
        <w:t>人在初步协议签订后项目公司成立前3个工作日内由中标人先支付转让款2500</w:t>
      </w:r>
      <w:r>
        <w:rPr>
          <w:rFonts w:ascii="宋体" w:hAnsi="宋体" w:cs="宋体"/>
          <w:sz w:val="24"/>
          <w:szCs w:val="28"/>
          <w:highlight w:val="none"/>
        </w:rPr>
        <w:t>万元</w:t>
      </w:r>
      <w:r>
        <w:rPr>
          <w:rFonts w:hint="eastAsia" w:ascii="宋体" w:hAnsi="宋体" w:cs="宋体"/>
          <w:sz w:val="24"/>
          <w:szCs w:val="28"/>
          <w:highlight w:val="none"/>
        </w:rPr>
        <w:t>，剩余转让款的支付根据合同约定执行。</w:t>
      </w:r>
    </w:p>
    <w:p w14:paraId="4A21A7A6">
      <w:pPr>
        <w:spacing w:line="360" w:lineRule="auto"/>
        <w:ind w:firstLine="549"/>
        <w:rPr>
          <w:rFonts w:ascii="宋体" w:hAnsi="宋体" w:cs="宋体"/>
          <w:sz w:val="24"/>
        </w:rPr>
      </w:pPr>
      <w:r>
        <w:rPr>
          <w:rFonts w:hint="eastAsia" w:ascii="宋体" w:hAnsi="宋体" w:cs="宋体"/>
          <w:sz w:val="24"/>
        </w:rPr>
        <w:t>34.3 采购双方必须严格按照招标文件、投标文件及有关承诺签订采购合同，不得擅自变更。合同签订后，投标人不得将本项目及其他相关服务进行转包，投标人须在投标文件中附不得转包承诺，否则视为无效响应。合同的标的、价款、质量、履行期限等主要条款应当与招标文件和中标人的投标文件的内容一致，招标人和中标人不得再行订立背离合同实质性内容的其他协议。对任何因双方擅自变更合同引起的问题采购代理机构概不负责，合同风险由双方自行承担。</w:t>
      </w:r>
    </w:p>
    <w:p w14:paraId="4D4C283E">
      <w:pPr>
        <w:spacing w:line="360" w:lineRule="auto"/>
        <w:ind w:firstLine="523" w:firstLineChars="218"/>
        <w:rPr>
          <w:rFonts w:ascii="宋体" w:hAnsi="宋体" w:cs="宋体"/>
          <w:sz w:val="24"/>
        </w:rPr>
      </w:pPr>
      <w:r>
        <w:rPr>
          <w:rFonts w:hint="eastAsia" w:ascii="宋体" w:hAnsi="宋体" w:cs="宋体"/>
          <w:sz w:val="24"/>
        </w:rPr>
        <w:t>34.4采购人保留以书面形式要求合同的卖方对其所投服务的装运方式、交货地点及服务细则等作适当调整的权利。</w:t>
      </w:r>
    </w:p>
    <w:p w14:paraId="57DAD6A3">
      <w:pPr>
        <w:spacing w:line="360" w:lineRule="auto"/>
        <w:ind w:firstLine="549"/>
        <w:rPr>
          <w:rFonts w:ascii="宋体" w:hAnsi="宋体" w:cs="宋体"/>
          <w:sz w:val="24"/>
        </w:rPr>
      </w:pPr>
      <w:r>
        <w:rPr>
          <w:rFonts w:hint="eastAsia" w:ascii="宋体" w:hAnsi="宋体" w:cs="宋体"/>
          <w:b/>
          <w:sz w:val="24"/>
        </w:rPr>
        <w:t>35.验收</w:t>
      </w:r>
    </w:p>
    <w:p w14:paraId="5385D3EC">
      <w:pPr>
        <w:spacing w:line="360" w:lineRule="auto"/>
        <w:ind w:firstLine="549"/>
        <w:rPr>
          <w:rFonts w:ascii="宋体" w:hAnsi="宋体" w:cs="宋体"/>
          <w:sz w:val="24"/>
        </w:rPr>
      </w:pPr>
      <w:r>
        <w:rPr>
          <w:rFonts w:hint="eastAsia" w:ascii="宋体" w:hAnsi="宋体" w:cs="宋体"/>
          <w:sz w:val="24"/>
        </w:rPr>
        <w:t>由采购人自行组织对供应商的履约验收。</w:t>
      </w:r>
    </w:p>
    <w:p w14:paraId="6E332A1D">
      <w:pPr>
        <w:spacing w:line="360" w:lineRule="auto"/>
        <w:ind w:firstLine="549"/>
        <w:rPr>
          <w:rFonts w:ascii="宋体" w:hAnsi="宋体" w:cs="宋体"/>
          <w:b/>
          <w:bCs/>
          <w:sz w:val="24"/>
        </w:rPr>
      </w:pPr>
      <w:r>
        <w:rPr>
          <w:rFonts w:hint="eastAsia" w:ascii="宋体" w:hAnsi="宋体" w:cs="宋体"/>
          <w:b/>
          <w:bCs/>
          <w:sz w:val="24"/>
        </w:rPr>
        <w:t>36</w:t>
      </w:r>
      <w:r>
        <w:rPr>
          <w:rFonts w:hint="eastAsia" w:ascii="宋体" w:hAnsi="宋体" w:cs="宋体"/>
          <w:b/>
          <w:sz w:val="24"/>
        </w:rPr>
        <w:t>.</w:t>
      </w:r>
      <w:r>
        <w:rPr>
          <w:rFonts w:hint="eastAsia" w:ascii="宋体" w:hAnsi="宋体" w:cs="宋体"/>
          <w:b/>
          <w:bCs/>
          <w:sz w:val="24"/>
        </w:rPr>
        <w:t>质疑</w:t>
      </w:r>
    </w:p>
    <w:p w14:paraId="76033345">
      <w:pPr>
        <w:spacing w:line="360" w:lineRule="auto"/>
        <w:ind w:firstLine="523" w:firstLineChars="218"/>
        <w:rPr>
          <w:rFonts w:ascii="宋体" w:hAnsi="宋体" w:cs="宋体"/>
          <w:bCs/>
          <w:sz w:val="24"/>
        </w:rPr>
      </w:pPr>
      <w:r>
        <w:rPr>
          <w:rFonts w:hint="eastAsia" w:ascii="宋体" w:hAnsi="宋体" w:cs="宋体"/>
          <w:bCs/>
          <w:sz w:val="24"/>
        </w:rPr>
        <w:t>36.1投标人认为采购过程、中标结果使自己的合法权益受到损害的，可以在知道或应当知道自己的权益受到损害之日起7个工作日内，由投标人授权代表（或法人代表）按照相关规定，向</w:t>
      </w:r>
      <w:r>
        <w:rPr>
          <w:rFonts w:hint="eastAsia" w:ascii="宋体" w:hAnsi="宋体" w:cs="宋体"/>
          <w:sz w:val="24"/>
        </w:rPr>
        <w:t>采购人</w:t>
      </w:r>
      <w:r>
        <w:rPr>
          <w:rFonts w:hint="eastAsia" w:ascii="宋体" w:hAnsi="宋体" w:cs="宋体"/>
          <w:bCs/>
          <w:sz w:val="24"/>
        </w:rPr>
        <w:t>提出质疑，逾期不予受理，如果有异议在规定的时间内提出，没有异议需在投标文件中出具对招标文件无异议承诺书，无此承诺将被视为无效投标。</w:t>
      </w:r>
    </w:p>
    <w:p w14:paraId="263B4D05">
      <w:pPr>
        <w:spacing w:line="360" w:lineRule="auto"/>
        <w:ind w:firstLine="523" w:firstLineChars="218"/>
        <w:rPr>
          <w:rFonts w:ascii="宋体" w:hAnsi="宋体" w:cs="宋体"/>
          <w:bCs/>
          <w:sz w:val="24"/>
        </w:rPr>
      </w:pPr>
      <w:r>
        <w:rPr>
          <w:rFonts w:hint="eastAsia" w:ascii="宋体" w:hAnsi="宋体" w:cs="宋体"/>
          <w:bCs/>
          <w:sz w:val="24"/>
        </w:rPr>
        <w:t>36.2质疑书内容应包括质疑的详细理由和依据，并提供有关证明资料。</w:t>
      </w:r>
    </w:p>
    <w:p w14:paraId="48FF6761">
      <w:pPr>
        <w:spacing w:line="360" w:lineRule="auto"/>
        <w:ind w:firstLine="523" w:firstLineChars="218"/>
        <w:rPr>
          <w:rFonts w:ascii="宋体" w:hAnsi="宋体" w:cs="宋体"/>
          <w:bCs/>
          <w:sz w:val="24"/>
        </w:rPr>
      </w:pPr>
      <w:r>
        <w:rPr>
          <w:rFonts w:hint="eastAsia" w:ascii="宋体" w:hAnsi="宋体" w:cs="宋体"/>
          <w:bCs/>
          <w:sz w:val="24"/>
        </w:rPr>
        <w:t>36.3 有以下情形之一的，视为无效质疑：</w:t>
      </w:r>
    </w:p>
    <w:p w14:paraId="4E386233">
      <w:pPr>
        <w:spacing w:line="360" w:lineRule="auto"/>
        <w:ind w:firstLine="549"/>
        <w:rPr>
          <w:rFonts w:ascii="宋体" w:hAnsi="宋体" w:cs="宋体"/>
          <w:bCs/>
          <w:sz w:val="24"/>
        </w:rPr>
      </w:pPr>
      <w:r>
        <w:rPr>
          <w:rFonts w:hint="eastAsia" w:ascii="宋体" w:hAnsi="宋体" w:cs="宋体"/>
          <w:bCs/>
          <w:sz w:val="24"/>
        </w:rPr>
        <w:t>36.3.1 未按规定时间或规定手续提交质疑的；</w:t>
      </w:r>
    </w:p>
    <w:p w14:paraId="64BF6275">
      <w:pPr>
        <w:spacing w:line="360" w:lineRule="auto"/>
        <w:ind w:firstLine="549"/>
        <w:rPr>
          <w:rFonts w:ascii="宋体" w:hAnsi="宋体" w:cs="宋体"/>
          <w:bCs/>
          <w:sz w:val="24"/>
        </w:rPr>
      </w:pPr>
      <w:r>
        <w:rPr>
          <w:rFonts w:hint="eastAsia" w:ascii="宋体" w:hAnsi="宋体" w:cs="宋体"/>
          <w:bCs/>
          <w:sz w:val="24"/>
        </w:rPr>
        <w:t>36.3.2 质疑内容含糊不清、没有提供详细理由和依据，无法进行核查的；</w:t>
      </w:r>
    </w:p>
    <w:p w14:paraId="49AFCBFD">
      <w:pPr>
        <w:spacing w:line="360" w:lineRule="auto"/>
        <w:ind w:firstLine="549"/>
        <w:rPr>
          <w:rFonts w:ascii="宋体" w:hAnsi="宋体" w:cs="宋体"/>
          <w:bCs/>
          <w:sz w:val="24"/>
        </w:rPr>
      </w:pPr>
      <w:r>
        <w:rPr>
          <w:rFonts w:hint="eastAsia" w:ascii="宋体" w:hAnsi="宋体" w:cs="宋体"/>
          <w:bCs/>
          <w:sz w:val="24"/>
        </w:rPr>
        <w:t>36.3.3 其他不符合质疑程序和有关规定的。</w:t>
      </w:r>
    </w:p>
    <w:p w14:paraId="5A8459D6">
      <w:pPr>
        <w:spacing w:line="360" w:lineRule="auto"/>
        <w:ind w:firstLine="549"/>
        <w:rPr>
          <w:rFonts w:ascii="宋体" w:hAnsi="宋体" w:cs="宋体"/>
          <w:bCs/>
          <w:sz w:val="24"/>
        </w:rPr>
      </w:pPr>
      <w:r>
        <w:rPr>
          <w:rFonts w:hint="eastAsia" w:ascii="宋体" w:hAnsi="宋体" w:cs="宋体"/>
          <w:bCs/>
          <w:sz w:val="24"/>
        </w:rPr>
        <w:t>被判定无效质疑的，采购人将书面回复投标单位其质疑无效的理由，并记录无效质疑一次。</w:t>
      </w:r>
    </w:p>
    <w:p w14:paraId="753FAD79">
      <w:pPr>
        <w:spacing w:line="360" w:lineRule="auto"/>
        <w:ind w:firstLine="549"/>
        <w:rPr>
          <w:rFonts w:ascii="宋体" w:hAnsi="宋体" w:cs="宋体"/>
          <w:bCs/>
          <w:sz w:val="24"/>
        </w:rPr>
      </w:pPr>
      <w:r>
        <w:rPr>
          <w:rFonts w:hint="eastAsia" w:ascii="宋体" w:hAnsi="宋体" w:cs="宋体"/>
          <w:bCs/>
          <w:sz w:val="24"/>
        </w:rPr>
        <w:t>36.4</w:t>
      </w:r>
      <w:r>
        <w:rPr>
          <w:rFonts w:hint="eastAsia" w:ascii="宋体" w:hAnsi="宋体" w:cs="宋体"/>
          <w:sz w:val="24"/>
        </w:rPr>
        <w:t>采购人</w:t>
      </w:r>
      <w:r>
        <w:rPr>
          <w:rFonts w:hint="eastAsia" w:ascii="宋体" w:hAnsi="宋体" w:cs="宋体"/>
          <w:bCs/>
          <w:sz w:val="24"/>
        </w:rPr>
        <w:t>将在受到书面质疑后7个工作日内审查质疑事项，作出答复或相关处理决定，并以书面形式通知质疑人，但答复的内容不涉及商业秘密。</w:t>
      </w:r>
    </w:p>
    <w:p w14:paraId="4235C94D">
      <w:pPr>
        <w:spacing w:line="360" w:lineRule="auto"/>
        <w:ind w:firstLine="549"/>
        <w:rPr>
          <w:rFonts w:ascii="宋体" w:hAnsi="宋体" w:cs="宋体"/>
          <w:bCs/>
          <w:sz w:val="24"/>
        </w:rPr>
      </w:pPr>
      <w:r>
        <w:rPr>
          <w:rFonts w:hint="eastAsia" w:ascii="宋体" w:hAnsi="宋体" w:cs="宋体"/>
          <w:sz w:val="24"/>
        </w:rPr>
        <w:t>36.5</w:t>
      </w:r>
      <w:r>
        <w:rPr>
          <w:rFonts w:hint="eastAsia" w:ascii="宋体" w:hAnsi="宋体" w:cs="宋体"/>
          <w:bCs/>
          <w:sz w:val="24"/>
        </w:rPr>
        <w:t>投诉人有下列情形之一的，属于虚假、恶意投诉，</w:t>
      </w:r>
      <w:r>
        <w:rPr>
          <w:rFonts w:hint="eastAsia" w:ascii="宋体" w:hAnsi="宋体" w:cs="宋体"/>
          <w:sz w:val="24"/>
        </w:rPr>
        <w:t>政府采购监督管理部门</w:t>
      </w:r>
      <w:r>
        <w:rPr>
          <w:rFonts w:hint="eastAsia" w:ascii="宋体" w:hAnsi="宋体" w:cs="宋体"/>
          <w:bCs/>
          <w:sz w:val="24"/>
        </w:rPr>
        <w:t>将驳回投诉，将其列入不良行为记录名单，并依法予以处罚：</w:t>
      </w:r>
    </w:p>
    <w:p w14:paraId="4AD76B7A">
      <w:pPr>
        <w:spacing w:line="360" w:lineRule="auto"/>
        <w:ind w:firstLine="523" w:firstLineChars="218"/>
        <w:rPr>
          <w:rFonts w:ascii="宋体" w:hAnsi="宋体" w:cs="宋体"/>
          <w:bCs/>
          <w:sz w:val="24"/>
        </w:rPr>
      </w:pPr>
      <w:r>
        <w:rPr>
          <w:rFonts w:hint="eastAsia" w:ascii="宋体" w:hAnsi="宋体" w:cs="宋体"/>
          <w:bCs/>
          <w:sz w:val="24"/>
        </w:rPr>
        <w:t>36.5.1一年内三次以上投诉均查无实据的；</w:t>
      </w:r>
    </w:p>
    <w:p w14:paraId="0CDF7101">
      <w:pPr>
        <w:spacing w:line="360" w:lineRule="auto"/>
        <w:ind w:firstLine="523" w:firstLineChars="218"/>
        <w:rPr>
          <w:rFonts w:ascii="宋体" w:hAnsi="宋体" w:cs="宋体"/>
          <w:bCs/>
          <w:sz w:val="24"/>
        </w:rPr>
      </w:pPr>
      <w:r>
        <w:rPr>
          <w:rFonts w:hint="eastAsia" w:ascii="宋体" w:hAnsi="宋体" w:cs="宋体"/>
          <w:bCs/>
          <w:sz w:val="24"/>
        </w:rPr>
        <w:t>36.5.2捏造事实、提供虚假投诉材料或提供以非法手段取得的证明材料质疑的；</w:t>
      </w:r>
    </w:p>
    <w:p w14:paraId="7547385F">
      <w:pPr>
        <w:spacing w:line="360" w:lineRule="auto"/>
        <w:ind w:firstLine="523" w:firstLineChars="218"/>
        <w:rPr>
          <w:rFonts w:ascii="宋体" w:hAnsi="宋体" w:cs="宋体"/>
          <w:bCs/>
          <w:sz w:val="24"/>
        </w:rPr>
      </w:pPr>
      <w:r>
        <w:rPr>
          <w:rFonts w:hint="eastAsia" w:ascii="宋体" w:hAnsi="宋体" w:cs="宋体"/>
          <w:sz w:val="24"/>
        </w:rPr>
        <w:t>36.5.3其他经认定属于虚假、恶意投诉的行为</w:t>
      </w:r>
      <w:r>
        <w:rPr>
          <w:rFonts w:hint="eastAsia" w:ascii="宋体" w:hAnsi="宋体" w:cs="宋体"/>
          <w:bCs/>
          <w:sz w:val="24"/>
        </w:rPr>
        <w:t>。</w:t>
      </w:r>
    </w:p>
    <w:p w14:paraId="0EB08C74">
      <w:pPr>
        <w:spacing w:line="360" w:lineRule="auto"/>
        <w:ind w:firstLine="549"/>
        <w:rPr>
          <w:rFonts w:ascii="宋体" w:hAnsi="宋体" w:cs="宋体"/>
          <w:b/>
          <w:sz w:val="24"/>
        </w:rPr>
      </w:pPr>
      <w:r>
        <w:rPr>
          <w:rFonts w:hint="eastAsia" w:ascii="宋体" w:hAnsi="宋体" w:cs="宋体"/>
          <w:b/>
          <w:sz w:val="24"/>
        </w:rPr>
        <w:t>37.未尽事宜</w:t>
      </w:r>
    </w:p>
    <w:p w14:paraId="673781EF">
      <w:pPr>
        <w:spacing w:line="360" w:lineRule="auto"/>
        <w:ind w:firstLine="549"/>
        <w:rPr>
          <w:rFonts w:ascii="宋体" w:hAnsi="宋体" w:cs="宋体"/>
          <w:sz w:val="24"/>
        </w:rPr>
      </w:pPr>
      <w:r>
        <w:rPr>
          <w:rFonts w:hint="eastAsia" w:ascii="宋体" w:hAnsi="宋体" w:cs="宋体"/>
          <w:sz w:val="24"/>
        </w:rPr>
        <w:t>37.1按《中华人民共和国政府采购法》及其他有关法律法规的规定执行。</w:t>
      </w:r>
    </w:p>
    <w:p w14:paraId="6E455701">
      <w:pPr>
        <w:spacing w:line="360" w:lineRule="auto"/>
        <w:ind w:firstLine="549"/>
        <w:rPr>
          <w:rFonts w:ascii="宋体" w:hAnsi="宋体" w:cs="宋体"/>
          <w:bCs/>
          <w:sz w:val="24"/>
        </w:rPr>
      </w:pPr>
      <w:r>
        <w:rPr>
          <w:rFonts w:hint="eastAsia" w:ascii="宋体" w:hAnsi="宋体" w:cs="宋体"/>
          <w:b/>
          <w:sz w:val="24"/>
        </w:rPr>
        <w:t>38.解释权</w:t>
      </w:r>
    </w:p>
    <w:p w14:paraId="22FA974B">
      <w:pPr>
        <w:spacing w:line="360" w:lineRule="auto"/>
        <w:ind w:firstLine="549"/>
        <w:rPr>
          <w:rFonts w:ascii="宋体" w:hAnsi="宋体" w:cs="宋体"/>
          <w:bCs/>
          <w:sz w:val="24"/>
        </w:rPr>
      </w:pPr>
      <w:r>
        <w:rPr>
          <w:rFonts w:hint="eastAsia" w:ascii="宋体" w:hAnsi="宋体" w:cs="宋体"/>
          <w:bCs/>
          <w:sz w:val="24"/>
        </w:rPr>
        <w:t>38.1本招标文件的解释权属于采购人。</w:t>
      </w:r>
    </w:p>
    <w:p w14:paraId="38C1D267">
      <w:pPr>
        <w:spacing w:line="360" w:lineRule="auto"/>
        <w:rPr>
          <w:rFonts w:ascii="宋体" w:hAnsi="宋体" w:cs="宋体"/>
          <w:bCs/>
          <w:sz w:val="24"/>
        </w:rPr>
      </w:pPr>
    </w:p>
    <w:p w14:paraId="60781B59">
      <w:pPr>
        <w:pStyle w:val="3"/>
        <w:numPr>
          <w:ilvl w:val="0"/>
          <w:numId w:val="17"/>
        </w:numPr>
        <w:spacing w:before="0" w:after="0" w:line="240" w:lineRule="auto"/>
        <w:ind w:firstLine="0"/>
        <w:rPr>
          <w:rFonts w:ascii="宋体" w:hAnsi="宋体" w:eastAsia="宋体" w:cs="宋体"/>
          <w:w w:val="92"/>
        </w:rPr>
      </w:pPr>
      <w:bookmarkStart w:id="392" w:name="_Toc26087_WPSOffice_Level1"/>
      <w:bookmarkStart w:id="393" w:name="_Toc220232391"/>
      <w:r>
        <w:rPr>
          <w:rFonts w:hint="eastAsia" w:ascii="宋体" w:hAnsi="宋体" w:cs="宋体"/>
        </w:rPr>
        <w:br w:type="page"/>
      </w:r>
      <w:bookmarkEnd w:id="392"/>
      <w:bookmarkEnd w:id="393"/>
      <w:bookmarkStart w:id="394" w:name="_Toc17699_WPSOffice_Level1"/>
      <w:r>
        <w:rPr>
          <w:rFonts w:hint="eastAsia" w:ascii="宋体" w:hAnsi="宋体" w:eastAsia="宋体" w:cs="宋体"/>
        </w:rPr>
        <w:t>合同条款及格式</w:t>
      </w:r>
    </w:p>
    <w:p w14:paraId="32F1D9E2">
      <w:pPr>
        <w:rPr>
          <w:rFonts w:ascii="宋体" w:hAnsi="宋体" w:cs="宋体"/>
          <w:b/>
          <w:bCs/>
        </w:rPr>
      </w:pPr>
    </w:p>
    <w:p w14:paraId="39B9A720">
      <w:pPr>
        <w:jc w:val="center"/>
      </w:pPr>
      <w:r>
        <w:rPr>
          <w:rFonts w:hint="eastAsia" w:ascii="宋体" w:hAnsi="宋体" w:cs="宋体"/>
          <w:b/>
          <w:bCs/>
        </w:rPr>
        <w:t>（最终以采购人与成交人签订的合同条款为准）</w:t>
      </w:r>
    </w:p>
    <w:p w14:paraId="1760CB01">
      <w:pPr>
        <w:spacing w:line="900" w:lineRule="exact"/>
        <w:jc w:val="center"/>
        <w:rPr>
          <w:rFonts w:ascii="宋体" w:hAnsi="宋体" w:cs="宋体"/>
          <w:szCs w:val="27"/>
        </w:rPr>
      </w:pPr>
      <w:r>
        <w:rPr>
          <w:rFonts w:hint="eastAsia" w:ascii="宋体" w:hAnsi="宋体" w:cs="宋体"/>
          <w:szCs w:val="27"/>
        </w:rPr>
        <w:t xml:space="preserve">  </w:t>
      </w:r>
    </w:p>
    <w:p w14:paraId="6ED81161">
      <w:pPr>
        <w:pStyle w:val="117"/>
        <w:ind w:firstLine="210"/>
        <w:rPr>
          <w:rFonts w:ascii="宋体" w:hAnsi="宋体" w:cs="宋体"/>
          <w:szCs w:val="27"/>
        </w:rPr>
      </w:pPr>
    </w:p>
    <w:p w14:paraId="6EE50601">
      <w:pPr>
        <w:pStyle w:val="117"/>
        <w:ind w:firstLine="210"/>
        <w:rPr>
          <w:rFonts w:ascii="宋体" w:hAnsi="宋体" w:cs="宋体"/>
          <w:szCs w:val="27"/>
        </w:rPr>
      </w:pPr>
    </w:p>
    <w:p w14:paraId="3BE92F9B">
      <w:pPr>
        <w:pStyle w:val="117"/>
        <w:ind w:firstLine="210"/>
        <w:rPr>
          <w:rFonts w:ascii="宋体" w:hAnsi="宋体" w:cs="宋体"/>
          <w:szCs w:val="27"/>
        </w:rPr>
      </w:pPr>
    </w:p>
    <w:p w14:paraId="77B71886">
      <w:pPr>
        <w:pStyle w:val="117"/>
        <w:ind w:firstLine="210"/>
        <w:rPr>
          <w:rFonts w:ascii="宋体" w:hAnsi="宋体" w:cs="宋体"/>
          <w:szCs w:val="27"/>
        </w:rPr>
      </w:pPr>
    </w:p>
    <w:p w14:paraId="16C0060C">
      <w:pPr>
        <w:pStyle w:val="117"/>
        <w:ind w:firstLine="210"/>
        <w:rPr>
          <w:rFonts w:ascii="宋体" w:hAnsi="宋体" w:cs="宋体"/>
          <w:szCs w:val="27"/>
        </w:rPr>
      </w:pPr>
    </w:p>
    <w:p w14:paraId="1955323F">
      <w:pPr>
        <w:pStyle w:val="117"/>
        <w:ind w:firstLine="210"/>
        <w:rPr>
          <w:rFonts w:ascii="宋体" w:hAnsi="宋体" w:cs="宋体"/>
          <w:szCs w:val="27"/>
        </w:rPr>
      </w:pPr>
    </w:p>
    <w:p w14:paraId="35DBBE56">
      <w:pPr>
        <w:pStyle w:val="117"/>
        <w:ind w:firstLine="210"/>
        <w:rPr>
          <w:rFonts w:ascii="宋体" w:hAnsi="宋体" w:cs="宋体"/>
          <w:szCs w:val="27"/>
        </w:rPr>
      </w:pPr>
    </w:p>
    <w:p w14:paraId="5F2A0FFC">
      <w:pPr>
        <w:pStyle w:val="117"/>
        <w:ind w:firstLine="210"/>
        <w:rPr>
          <w:rFonts w:ascii="宋体" w:hAnsi="宋体" w:cs="宋体"/>
          <w:szCs w:val="27"/>
        </w:rPr>
      </w:pPr>
    </w:p>
    <w:p w14:paraId="1B791F89">
      <w:pPr>
        <w:pStyle w:val="117"/>
        <w:ind w:firstLine="210"/>
        <w:rPr>
          <w:rFonts w:ascii="宋体" w:hAnsi="宋体" w:cs="宋体"/>
          <w:szCs w:val="27"/>
        </w:rPr>
      </w:pPr>
    </w:p>
    <w:p w14:paraId="733F51C3">
      <w:pPr>
        <w:pStyle w:val="117"/>
        <w:ind w:firstLine="210"/>
        <w:rPr>
          <w:rFonts w:ascii="宋体" w:hAnsi="宋体" w:cs="宋体"/>
          <w:szCs w:val="27"/>
        </w:rPr>
      </w:pPr>
    </w:p>
    <w:p w14:paraId="5BDACC19">
      <w:pPr>
        <w:pStyle w:val="117"/>
        <w:ind w:firstLine="210"/>
        <w:rPr>
          <w:rFonts w:ascii="宋体" w:hAnsi="宋体" w:cs="宋体"/>
          <w:szCs w:val="27"/>
        </w:rPr>
      </w:pPr>
    </w:p>
    <w:p w14:paraId="62B8A2F2">
      <w:pPr>
        <w:spacing w:line="900" w:lineRule="exact"/>
        <w:jc w:val="center"/>
        <w:rPr>
          <w:rFonts w:ascii="宋体" w:hAnsi="宋体" w:cs="宋体"/>
          <w:b/>
          <w:bCs/>
          <w:sz w:val="32"/>
          <w:szCs w:val="32"/>
        </w:rPr>
      </w:pPr>
    </w:p>
    <w:p w14:paraId="2FA55645">
      <w:pPr>
        <w:spacing w:line="900" w:lineRule="exact"/>
        <w:jc w:val="center"/>
        <w:rPr>
          <w:rFonts w:ascii="宋体" w:hAnsi="宋体" w:cs="宋体"/>
          <w:b/>
          <w:bCs/>
          <w:sz w:val="32"/>
          <w:szCs w:val="32"/>
        </w:rPr>
      </w:pPr>
    </w:p>
    <w:p w14:paraId="03287047">
      <w:pPr>
        <w:pStyle w:val="2"/>
        <w:rPr>
          <w:rFonts w:ascii="宋体" w:hAnsi="宋体" w:cs="宋体"/>
        </w:rPr>
        <w:sectPr>
          <w:footerReference r:id="rId5" w:type="default"/>
          <w:pgSz w:w="11906" w:h="16838"/>
          <w:pgMar w:top="1389" w:right="1304" w:bottom="1440" w:left="1304" w:header="851" w:footer="992" w:gutter="0"/>
          <w:cols w:space="720" w:num="1"/>
          <w:docGrid w:linePitch="312" w:charSpace="0"/>
        </w:sectPr>
      </w:pPr>
    </w:p>
    <w:p w14:paraId="756A8732">
      <w:pPr>
        <w:pStyle w:val="3"/>
        <w:numPr>
          <w:ilvl w:val="0"/>
          <w:numId w:val="17"/>
        </w:numPr>
        <w:spacing w:before="0" w:after="0" w:line="240" w:lineRule="auto"/>
        <w:ind w:firstLine="0"/>
        <w:rPr>
          <w:rFonts w:ascii="宋体" w:hAnsi="宋体" w:eastAsia="宋体" w:cs="宋体"/>
        </w:rPr>
      </w:pPr>
      <w:bookmarkStart w:id="395" w:name="_Toc31363"/>
      <w:r>
        <w:rPr>
          <w:rFonts w:hint="eastAsia" w:ascii="宋体" w:hAnsi="宋体" w:eastAsia="宋体" w:cs="宋体"/>
        </w:rPr>
        <w:t>投标文件格式</w:t>
      </w:r>
      <w:bookmarkEnd w:id="394"/>
      <w:bookmarkEnd w:id="395"/>
    </w:p>
    <w:p w14:paraId="318AE0F9">
      <w:pPr>
        <w:spacing w:line="900" w:lineRule="exact"/>
        <w:jc w:val="center"/>
        <w:rPr>
          <w:rFonts w:ascii="宋体" w:hAnsi="宋体" w:cs="宋体"/>
          <w:b/>
          <w:bCs/>
          <w:sz w:val="32"/>
          <w:szCs w:val="32"/>
        </w:rPr>
      </w:pPr>
      <w:r>
        <w:rPr>
          <w:rFonts w:hint="eastAsia" w:ascii="宋体" w:hAnsi="宋体" w:cs="宋体"/>
          <w:b/>
          <w:bCs/>
          <w:sz w:val="32"/>
          <w:szCs w:val="32"/>
        </w:rPr>
        <w:t>****项目</w:t>
      </w:r>
    </w:p>
    <w:p w14:paraId="79609A9C">
      <w:pPr>
        <w:pStyle w:val="51"/>
        <w:rPr>
          <w:rFonts w:ascii="宋体" w:hAnsi="宋体" w:cs="宋体"/>
        </w:rPr>
      </w:pPr>
    </w:p>
    <w:p w14:paraId="60A34558">
      <w:pPr>
        <w:spacing w:line="900" w:lineRule="exact"/>
        <w:jc w:val="center"/>
        <w:rPr>
          <w:rFonts w:ascii="宋体" w:hAnsi="宋体" w:cs="宋体"/>
          <w:b/>
          <w:sz w:val="72"/>
        </w:rPr>
      </w:pPr>
      <w:r>
        <w:rPr>
          <w:rFonts w:hint="eastAsia" w:ascii="宋体" w:hAnsi="宋体" w:cs="宋体"/>
          <w:b/>
          <w:sz w:val="72"/>
        </w:rPr>
        <w:t>投</w:t>
      </w:r>
    </w:p>
    <w:p w14:paraId="3BA92306">
      <w:pPr>
        <w:spacing w:line="900" w:lineRule="exact"/>
        <w:jc w:val="center"/>
        <w:rPr>
          <w:rFonts w:ascii="宋体" w:hAnsi="宋体" w:cs="宋体"/>
          <w:b/>
          <w:sz w:val="72"/>
        </w:rPr>
      </w:pPr>
    </w:p>
    <w:p w14:paraId="3087A3D3">
      <w:pPr>
        <w:spacing w:line="900" w:lineRule="exact"/>
        <w:jc w:val="center"/>
        <w:rPr>
          <w:rFonts w:ascii="宋体" w:hAnsi="宋体" w:cs="宋体"/>
          <w:b/>
          <w:sz w:val="72"/>
        </w:rPr>
      </w:pPr>
      <w:r>
        <w:rPr>
          <w:rFonts w:hint="eastAsia" w:ascii="宋体" w:hAnsi="宋体" w:cs="宋体"/>
          <w:b/>
          <w:sz w:val="72"/>
        </w:rPr>
        <w:t>标</w:t>
      </w:r>
    </w:p>
    <w:p w14:paraId="50E3493F">
      <w:pPr>
        <w:spacing w:line="900" w:lineRule="exact"/>
        <w:jc w:val="center"/>
        <w:rPr>
          <w:rFonts w:ascii="宋体" w:hAnsi="宋体" w:cs="宋体"/>
          <w:b/>
          <w:sz w:val="72"/>
        </w:rPr>
      </w:pPr>
    </w:p>
    <w:p w14:paraId="5A31CD7B">
      <w:pPr>
        <w:spacing w:line="900" w:lineRule="exact"/>
        <w:jc w:val="center"/>
        <w:rPr>
          <w:rFonts w:ascii="宋体" w:hAnsi="宋体" w:cs="宋体"/>
          <w:b/>
          <w:sz w:val="72"/>
        </w:rPr>
      </w:pPr>
      <w:r>
        <w:rPr>
          <w:rFonts w:hint="eastAsia" w:ascii="宋体" w:hAnsi="宋体" w:cs="宋体"/>
          <w:b/>
          <w:sz w:val="72"/>
        </w:rPr>
        <w:t>文</w:t>
      </w:r>
    </w:p>
    <w:p w14:paraId="1286175C">
      <w:pPr>
        <w:spacing w:line="900" w:lineRule="exact"/>
        <w:jc w:val="center"/>
        <w:rPr>
          <w:rFonts w:ascii="宋体" w:hAnsi="宋体" w:cs="宋体"/>
          <w:b/>
          <w:sz w:val="72"/>
        </w:rPr>
      </w:pPr>
    </w:p>
    <w:p w14:paraId="25B15326">
      <w:pPr>
        <w:jc w:val="center"/>
        <w:rPr>
          <w:rFonts w:ascii="宋体" w:hAnsi="宋体" w:cs="宋体"/>
          <w:b/>
          <w:sz w:val="72"/>
        </w:rPr>
      </w:pPr>
      <w:r>
        <w:rPr>
          <w:rFonts w:hint="eastAsia" w:ascii="宋体" w:hAnsi="宋体" w:cs="宋体"/>
          <w:b/>
          <w:sz w:val="72"/>
        </w:rPr>
        <w:t>件</w:t>
      </w:r>
    </w:p>
    <w:p w14:paraId="52BFF1E4">
      <w:pPr>
        <w:spacing w:after="120" w:afterLines="50" w:line="500" w:lineRule="exact"/>
        <w:rPr>
          <w:rFonts w:ascii="宋体" w:hAnsi="宋体" w:cs="宋体"/>
          <w:b/>
          <w:sz w:val="32"/>
          <w:u w:val="single"/>
        </w:rPr>
      </w:pPr>
      <w:r>
        <w:rPr>
          <w:rFonts w:hint="eastAsia" w:ascii="宋体" w:hAnsi="宋体" w:cs="宋体"/>
          <w:b/>
          <w:sz w:val="30"/>
        </w:rPr>
        <w:t xml:space="preserve">                 </w:t>
      </w:r>
      <w:r>
        <w:rPr>
          <w:rFonts w:hint="eastAsia" w:ascii="宋体" w:hAnsi="宋体" w:cs="宋体"/>
          <w:b/>
          <w:sz w:val="32"/>
        </w:rPr>
        <w:t>投标人：</w:t>
      </w:r>
      <w:r>
        <w:rPr>
          <w:rFonts w:hint="eastAsia" w:ascii="宋体" w:hAnsi="宋体" w:cs="宋体"/>
          <w:b/>
          <w:sz w:val="32"/>
          <w:u w:val="single"/>
        </w:rPr>
        <w:t xml:space="preserve">               </w:t>
      </w:r>
    </w:p>
    <w:p w14:paraId="3F65764A">
      <w:pPr>
        <w:spacing w:after="120" w:afterLines="50" w:line="500" w:lineRule="exact"/>
        <w:jc w:val="center"/>
        <w:rPr>
          <w:rFonts w:ascii="宋体" w:hAnsi="宋体" w:cs="宋体"/>
        </w:rPr>
      </w:pPr>
      <w:r>
        <w:rPr>
          <w:rFonts w:hint="eastAsia" w:ascii="宋体" w:hAnsi="宋体" w:cs="宋体"/>
          <w:b/>
          <w:sz w:val="32"/>
          <w:u w:val="single"/>
        </w:rPr>
        <w:t xml:space="preserve"> </w:t>
      </w:r>
      <w:bookmarkStart w:id="396" w:name="_Toc5567_WPSOffice_Level2"/>
      <w:r>
        <w:rPr>
          <w:rFonts w:hint="eastAsia" w:ascii="宋体" w:hAnsi="宋体" w:cs="宋体"/>
          <w:b/>
          <w:sz w:val="32"/>
          <w:u w:val="single"/>
        </w:rPr>
        <w:t xml:space="preserve"> </w:t>
      </w:r>
      <w:r>
        <w:rPr>
          <w:rFonts w:hint="eastAsia" w:ascii="宋体" w:hAnsi="宋体" w:cs="宋体"/>
          <w:b/>
          <w:sz w:val="32"/>
        </w:rPr>
        <w:t>年</w:t>
      </w:r>
      <w:r>
        <w:rPr>
          <w:rFonts w:hint="eastAsia" w:ascii="宋体" w:hAnsi="宋体" w:cs="宋体"/>
          <w:b/>
          <w:sz w:val="32"/>
          <w:u w:val="single"/>
        </w:rPr>
        <w:t xml:space="preserve">  </w:t>
      </w:r>
      <w:r>
        <w:rPr>
          <w:rFonts w:hint="eastAsia" w:ascii="宋体" w:hAnsi="宋体" w:cs="宋体"/>
          <w:b/>
          <w:sz w:val="32"/>
        </w:rPr>
        <w:t>月</w:t>
      </w:r>
      <w:r>
        <w:rPr>
          <w:rFonts w:hint="eastAsia" w:ascii="宋体" w:hAnsi="宋体" w:cs="宋体"/>
          <w:b/>
          <w:sz w:val="32"/>
          <w:u w:val="single"/>
        </w:rPr>
        <w:t xml:space="preserve">  </w:t>
      </w:r>
      <w:r>
        <w:rPr>
          <w:rFonts w:hint="eastAsia" w:ascii="宋体" w:hAnsi="宋体" w:cs="宋体"/>
          <w:b/>
          <w:sz w:val="32"/>
        </w:rPr>
        <w:t>日</w:t>
      </w:r>
      <w:bookmarkEnd w:id="396"/>
      <w:bookmarkStart w:id="397" w:name="_Hlt50174972"/>
      <w:bookmarkEnd w:id="397"/>
      <w:bookmarkStart w:id="398" w:name="_Hlt519045470"/>
      <w:bookmarkEnd w:id="398"/>
      <w:bookmarkStart w:id="399" w:name="_Hlt50174722"/>
      <w:bookmarkEnd w:id="399"/>
      <w:bookmarkStart w:id="400" w:name="_Hlt50174708"/>
      <w:bookmarkEnd w:id="400"/>
      <w:bookmarkStart w:id="401" w:name="_Hlt533408877"/>
      <w:bookmarkEnd w:id="401"/>
      <w:bookmarkStart w:id="402" w:name="_Hlt519068595"/>
      <w:bookmarkEnd w:id="402"/>
      <w:bookmarkStart w:id="403" w:name="_Hlt509738509"/>
      <w:bookmarkStart w:id="404" w:name="_Hlt509738521"/>
      <w:bookmarkStart w:id="405" w:name="_Hlt519045391"/>
    </w:p>
    <w:p w14:paraId="0F6B3EEE">
      <w:pPr>
        <w:pStyle w:val="51"/>
        <w:rPr>
          <w:rFonts w:ascii="宋体" w:hAnsi="宋体" w:cs="宋体"/>
        </w:rPr>
      </w:pPr>
    </w:p>
    <w:p w14:paraId="27790A34">
      <w:pPr>
        <w:pStyle w:val="51"/>
        <w:rPr>
          <w:rFonts w:ascii="宋体" w:hAnsi="宋体" w:cs="宋体"/>
        </w:rPr>
      </w:pPr>
    </w:p>
    <w:p w14:paraId="35A89E38">
      <w:pPr>
        <w:pStyle w:val="51"/>
        <w:rPr>
          <w:rFonts w:ascii="宋体" w:hAnsi="宋体" w:cs="宋体"/>
        </w:rPr>
      </w:pPr>
    </w:p>
    <w:p w14:paraId="210B8BD1">
      <w:pPr>
        <w:pStyle w:val="51"/>
        <w:rPr>
          <w:rFonts w:ascii="宋体" w:hAnsi="宋体" w:cs="宋体"/>
        </w:rPr>
      </w:pPr>
    </w:p>
    <w:p w14:paraId="45424ABE">
      <w:pPr>
        <w:pStyle w:val="51"/>
        <w:rPr>
          <w:rFonts w:ascii="宋体" w:hAnsi="宋体" w:cs="宋体"/>
        </w:rPr>
      </w:pPr>
    </w:p>
    <w:p w14:paraId="0374FB44">
      <w:pPr>
        <w:pStyle w:val="51"/>
        <w:rPr>
          <w:rFonts w:ascii="宋体" w:hAnsi="宋体" w:cs="宋体"/>
        </w:rPr>
      </w:pPr>
    </w:p>
    <w:p w14:paraId="40AD6531">
      <w:pPr>
        <w:pStyle w:val="51"/>
        <w:rPr>
          <w:rFonts w:ascii="宋体" w:hAnsi="宋体" w:cs="宋体"/>
        </w:rPr>
      </w:pPr>
    </w:p>
    <w:p w14:paraId="71DA98F4">
      <w:pPr>
        <w:pStyle w:val="51"/>
        <w:rPr>
          <w:rFonts w:ascii="宋体" w:hAnsi="宋体" w:cs="宋体"/>
        </w:rPr>
      </w:pPr>
    </w:p>
    <w:p w14:paraId="360102E1">
      <w:pPr>
        <w:pStyle w:val="51"/>
        <w:rPr>
          <w:rFonts w:ascii="宋体" w:hAnsi="宋体" w:cs="宋体"/>
        </w:rPr>
      </w:pPr>
    </w:p>
    <w:p w14:paraId="3ED09271">
      <w:pPr>
        <w:pStyle w:val="48"/>
        <w:rPr>
          <w:rFonts w:ascii="宋体" w:hAnsi="宋体" w:eastAsia="宋体" w:cs="宋体"/>
        </w:rPr>
        <w:sectPr>
          <w:pgSz w:w="11906" w:h="16838"/>
          <w:pgMar w:top="1389" w:right="1304" w:bottom="1440" w:left="1304" w:header="851" w:footer="992" w:gutter="0"/>
          <w:cols w:space="720" w:num="1"/>
          <w:docGrid w:linePitch="312" w:charSpace="0"/>
        </w:sectPr>
      </w:pPr>
      <w:bookmarkStart w:id="406" w:name="_Toc20284_WPSOffice_Level2"/>
    </w:p>
    <w:p w14:paraId="5A8FC32D">
      <w:pPr>
        <w:pStyle w:val="48"/>
        <w:rPr>
          <w:rFonts w:ascii="宋体" w:hAnsi="宋体" w:eastAsia="宋体" w:cs="宋体"/>
        </w:rPr>
      </w:pPr>
      <w:r>
        <w:rPr>
          <w:rFonts w:hint="eastAsia" w:ascii="宋体" w:hAnsi="宋体" w:eastAsia="宋体" w:cs="宋体"/>
        </w:rPr>
        <w:t>投标文件资料清单</w:t>
      </w:r>
      <w:bookmarkEnd w:id="406"/>
    </w:p>
    <w:tbl>
      <w:tblPr>
        <w:tblStyle w:val="71"/>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0"/>
        <w:gridCol w:w="5460"/>
        <w:gridCol w:w="1854"/>
      </w:tblGrid>
      <w:tr w14:paraId="3FF87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050" w:type="dxa"/>
            <w:vAlign w:val="center"/>
          </w:tcPr>
          <w:p w14:paraId="568E66EE">
            <w:pPr>
              <w:spacing w:line="400" w:lineRule="exact"/>
              <w:jc w:val="center"/>
              <w:rPr>
                <w:rFonts w:ascii="宋体" w:hAnsi="宋体" w:cs="宋体"/>
                <w:b/>
                <w:sz w:val="24"/>
              </w:rPr>
            </w:pPr>
            <w:r>
              <w:rPr>
                <w:rFonts w:hint="eastAsia" w:ascii="宋体" w:hAnsi="宋体" w:cs="宋体"/>
                <w:b/>
                <w:sz w:val="24"/>
              </w:rPr>
              <w:t>序号</w:t>
            </w:r>
          </w:p>
        </w:tc>
        <w:tc>
          <w:tcPr>
            <w:tcW w:w="5460" w:type="dxa"/>
            <w:vAlign w:val="center"/>
          </w:tcPr>
          <w:p w14:paraId="391317BA">
            <w:pPr>
              <w:spacing w:line="400" w:lineRule="exact"/>
              <w:jc w:val="center"/>
              <w:rPr>
                <w:rFonts w:ascii="宋体" w:hAnsi="宋体" w:cs="宋体"/>
                <w:b/>
                <w:sz w:val="24"/>
              </w:rPr>
            </w:pPr>
            <w:r>
              <w:rPr>
                <w:rFonts w:hint="eastAsia" w:ascii="宋体" w:hAnsi="宋体" w:cs="宋体"/>
                <w:b/>
                <w:sz w:val="24"/>
              </w:rPr>
              <w:t>资料名称</w:t>
            </w:r>
          </w:p>
        </w:tc>
        <w:tc>
          <w:tcPr>
            <w:tcW w:w="1854" w:type="dxa"/>
            <w:vAlign w:val="center"/>
          </w:tcPr>
          <w:p w14:paraId="69A14A73">
            <w:pPr>
              <w:spacing w:line="400" w:lineRule="exact"/>
              <w:jc w:val="center"/>
              <w:rPr>
                <w:rFonts w:ascii="宋体" w:hAnsi="宋体" w:cs="宋体"/>
                <w:b/>
                <w:sz w:val="24"/>
              </w:rPr>
            </w:pPr>
            <w:r>
              <w:rPr>
                <w:rFonts w:hint="eastAsia" w:ascii="宋体" w:hAnsi="宋体" w:cs="宋体"/>
                <w:b/>
                <w:sz w:val="24"/>
              </w:rPr>
              <w:t>页码范围</w:t>
            </w:r>
          </w:p>
        </w:tc>
      </w:tr>
      <w:tr w14:paraId="66C12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050" w:type="dxa"/>
            <w:vAlign w:val="center"/>
          </w:tcPr>
          <w:p w14:paraId="5B81E5E8">
            <w:pPr>
              <w:jc w:val="center"/>
              <w:rPr>
                <w:rFonts w:ascii="宋体" w:hAnsi="宋体" w:cs="宋体"/>
                <w:sz w:val="24"/>
              </w:rPr>
            </w:pPr>
            <w:r>
              <w:rPr>
                <w:rFonts w:hint="eastAsia" w:ascii="宋体" w:hAnsi="宋体" w:cs="宋体"/>
                <w:sz w:val="24"/>
              </w:rPr>
              <w:t>一</w:t>
            </w:r>
          </w:p>
        </w:tc>
        <w:tc>
          <w:tcPr>
            <w:tcW w:w="5460" w:type="dxa"/>
            <w:vAlign w:val="center"/>
          </w:tcPr>
          <w:p w14:paraId="0E50D2B7">
            <w:pPr>
              <w:rPr>
                <w:rFonts w:ascii="宋体" w:hAnsi="宋体" w:cs="宋体"/>
                <w:u w:val="single"/>
              </w:rPr>
            </w:pPr>
            <w:r>
              <w:rPr>
                <w:rFonts w:hint="eastAsia" w:ascii="宋体" w:hAnsi="宋体" w:cs="宋体"/>
                <w:bCs/>
                <w:sz w:val="24"/>
              </w:rPr>
              <w:t>开标一览表</w:t>
            </w:r>
          </w:p>
        </w:tc>
        <w:tc>
          <w:tcPr>
            <w:tcW w:w="1854" w:type="dxa"/>
            <w:vAlign w:val="center"/>
          </w:tcPr>
          <w:p w14:paraId="6EAC82A3">
            <w:pPr>
              <w:spacing w:line="360" w:lineRule="auto"/>
              <w:jc w:val="center"/>
              <w:rPr>
                <w:rFonts w:ascii="宋体" w:hAnsi="宋体" w:cs="宋体"/>
                <w:b/>
                <w:sz w:val="24"/>
              </w:rPr>
            </w:pPr>
          </w:p>
        </w:tc>
      </w:tr>
      <w:tr w14:paraId="1909E4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050" w:type="dxa"/>
            <w:vAlign w:val="center"/>
          </w:tcPr>
          <w:p w14:paraId="06BAAB99">
            <w:pPr>
              <w:jc w:val="center"/>
              <w:rPr>
                <w:rFonts w:ascii="宋体" w:hAnsi="宋体" w:cs="宋体"/>
                <w:sz w:val="24"/>
              </w:rPr>
            </w:pPr>
            <w:r>
              <w:rPr>
                <w:rFonts w:hint="eastAsia" w:ascii="宋体" w:hAnsi="宋体" w:cs="宋体"/>
                <w:sz w:val="24"/>
              </w:rPr>
              <w:t>二</w:t>
            </w:r>
          </w:p>
        </w:tc>
        <w:tc>
          <w:tcPr>
            <w:tcW w:w="5460" w:type="dxa"/>
            <w:vAlign w:val="center"/>
          </w:tcPr>
          <w:p w14:paraId="5489CAFA">
            <w:pPr>
              <w:rPr>
                <w:rFonts w:ascii="宋体" w:hAnsi="宋体" w:cs="宋体"/>
                <w:bCs/>
                <w:sz w:val="24"/>
              </w:rPr>
            </w:pPr>
            <w:r>
              <w:rPr>
                <w:rFonts w:hint="eastAsia" w:ascii="宋体" w:hAnsi="宋体" w:cs="宋体"/>
                <w:sz w:val="24"/>
              </w:rPr>
              <w:t>投标人情况综合简介</w:t>
            </w:r>
          </w:p>
        </w:tc>
        <w:tc>
          <w:tcPr>
            <w:tcW w:w="1854" w:type="dxa"/>
            <w:vAlign w:val="center"/>
          </w:tcPr>
          <w:p w14:paraId="10C6A5DC">
            <w:pPr>
              <w:spacing w:line="360" w:lineRule="auto"/>
              <w:jc w:val="center"/>
              <w:rPr>
                <w:rFonts w:ascii="宋体" w:hAnsi="宋体" w:cs="宋体"/>
                <w:b/>
                <w:sz w:val="24"/>
              </w:rPr>
            </w:pPr>
          </w:p>
        </w:tc>
      </w:tr>
      <w:tr w14:paraId="2957A2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050" w:type="dxa"/>
            <w:vAlign w:val="center"/>
          </w:tcPr>
          <w:p w14:paraId="0F5A667A">
            <w:pPr>
              <w:jc w:val="center"/>
              <w:rPr>
                <w:rFonts w:ascii="宋体" w:hAnsi="宋体" w:cs="宋体"/>
                <w:bCs/>
                <w:sz w:val="24"/>
              </w:rPr>
            </w:pPr>
            <w:r>
              <w:rPr>
                <w:rFonts w:hint="eastAsia" w:ascii="宋体" w:hAnsi="宋体" w:cs="宋体"/>
                <w:bCs/>
                <w:sz w:val="24"/>
              </w:rPr>
              <w:t>三</w:t>
            </w:r>
          </w:p>
        </w:tc>
        <w:tc>
          <w:tcPr>
            <w:tcW w:w="5460" w:type="dxa"/>
            <w:vAlign w:val="center"/>
          </w:tcPr>
          <w:p w14:paraId="75043D39">
            <w:pPr>
              <w:rPr>
                <w:rFonts w:ascii="宋体" w:hAnsi="宋体" w:cs="宋体"/>
                <w:bCs/>
                <w:sz w:val="24"/>
              </w:rPr>
            </w:pPr>
            <w:r>
              <w:rPr>
                <w:rFonts w:hint="eastAsia" w:ascii="宋体" w:hAnsi="宋体" w:cs="宋体"/>
                <w:bCs/>
                <w:sz w:val="24"/>
              </w:rPr>
              <w:t>投标函</w:t>
            </w:r>
          </w:p>
        </w:tc>
        <w:tc>
          <w:tcPr>
            <w:tcW w:w="1854" w:type="dxa"/>
            <w:vAlign w:val="center"/>
          </w:tcPr>
          <w:p w14:paraId="25721A41">
            <w:pPr>
              <w:spacing w:line="360" w:lineRule="auto"/>
              <w:jc w:val="center"/>
              <w:rPr>
                <w:rFonts w:ascii="宋体" w:hAnsi="宋体" w:cs="宋体"/>
                <w:b/>
                <w:sz w:val="24"/>
              </w:rPr>
            </w:pPr>
          </w:p>
        </w:tc>
      </w:tr>
      <w:tr w14:paraId="311CD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050" w:type="dxa"/>
            <w:vAlign w:val="center"/>
          </w:tcPr>
          <w:p w14:paraId="7874BC06">
            <w:pPr>
              <w:jc w:val="center"/>
              <w:rPr>
                <w:rFonts w:ascii="宋体" w:hAnsi="宋体" w:cs="宋体"/>
                <w:sz w:val="24"/>
              </w:rPr>
            </w:pPr>
            <w:r>
              <w:rPr>
                <w:rFonts w:hint="eastAsia" w:ascii="宋体" w:hAnsi="宋体" w:cs="宋体"/>
                <w:sz w:val="24"/>
              </w:rPr>
              <w:t>四</w:t>
            </w:r>
          </w:p>
        </w:tc>
        <w:tc>
          <w:tcPr>
            <w:tcW w:w="5460" w:type="dxa"/>
            <w:vAlign w:val="center"/>
          </w:tcPr>
          <w:p w14:paraId="22075CFC">
            <w:pPr>
              <w:rPr>
                <w:rFonts w:ascii="宋体" w:hAnsi="宋体" w:cs="宋体"/>
                <w:bCs/>
                <w:sz w:val="24"/>
              </w:rPr>
            </w:pPr>
            <w:r>
              <w:rPr>
                <w:rFonts w:hint="eastAsia" w:ascii="宋体" w:hAnsi="宋体" w:cs="宋体"/>
                <w:sz w:val="24"/>
              </w:rPr>
              <w:t>商务/技术偏离表</w:t>
            </w:r>
          </w:p>
        </w:tc>
        <w:tc>
          <w:tcPr>
            <w:tcW w:w="1854" w:type="dxa"/>
            <w:vAlign w:val="center"/>
          </w:tcPr>
          <w:p w14:paraId="45B74A9A">
            <w:pPr>
              <w:spacing w:line="360" w:lineRule="auto"/>
              <w:jc w:val="center"/>
              <w:rPr>
                <w:rFonts w:ascii="宋体" w:hAnsi="宋体" w:cs="宋体"/>
                <w:b/>
                <w:sz w:val="24"/>
              </w:rPr>
            </w:pPr>
          </w:p>
        </w:tc>
      </w:tr>
      <w:tr w14:paraId="503E66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 w:hRule="atLeast"/>
        </w:trPr>
        <w:tc>
          <w:tcPr>
            <w:tcW w:w="1050" w:type="dxa"/>
            <w:vAlign w:val="center"/>
          </w:tcPr>
          <w:p w14:paraId="34631A4D">
            <w:pPr>
              <w:jc w:val="center"/>
              <w:rPr>
                <w:rFonts w:ascii="宋体" w:hAnsi="宋体" w:cs="宋体"/>
                <w:sz w:val="24"/>
              </w:rPr>
            </w:pPr>
            <w:r>
              <w:rPr>
                <w:rFonts w:hint="eastAsia" w:ascii="宋体" w:hAnsi="宋体" w:cs="宋体"/>
                <w:sz w:val="24"/>
              </w:rPr>
              <w:t>五</w:t>
            </w:r>
          </w:p>
        </w:tc>
        <w:tc>
          <w:tcPr>
            <w:tcW w:w="5460" w:type="dxa"/>
            <w:vAlign w:val="center"/>
          </w:tcPr>
          <w:p w14:paraId="3FEB60A9">
            <w:pPr>
              <w:rPr>
                <w:rFonts w:ascii="宋体" w:hAnsi="宋体" w:cs="宋体"/>
                <w:sz w:val="24"/>
              </w:rPr>
            </w:pPr>
            <w:r>
              <w:rPr>
                <w:rFonts w:hint="eastAsia" w:ascii="宋体" w:hAnsi="宋体" w:cs="宋体"/>
                <w:sz w:val="24"/>
              </w:rPr>
              <w:t>服务质量承诺</w:t>
            </w:r>
          </w:p>
        </w:tc>
        <w:tc>
          <w:tcPr>
            <w:tcW w:w="1854" w:type="dxa"/>
            <w:vAlign w:val="center"/>
          </w:tcPr>
          <w:p w14:paraId="08A08012">
            <w:pPr>
              <w:spacing w:line="360" w:lineRule="auto"/>
              <w:rPr>
                <w:rFonts w:ascii="宋体" w:hAnsi="宋体" w:cs="宋体"/>
                <w:b/>
                <w:sz w:val="24"/>
              </w:rPr>
            </w:pPr>
          </w:p>
        </w:tc>
      </w:tr>
      <w:tr w14:paraId="049A2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15" w:hRule="atLeast"/>
        </w:trPr>
        <w:tc>
          <w:tcPr>
            <w:tcW w:w="1050" w:type="dxa"/>
            <w:vAlign w:val="center"/>
          </w:tcPr>
          <w:p w14:paraId="289C6FC3">
            <w:pPr>
              <w:jc w:val="center"/>
              <w:rPr>
                <w:rFonts w:ascii="宋体" w:hAnsi="宋体" w:cs="宋体"/>
                <w:sz w:val="24"/>
              </w:rPr>
            </w:pPr>
            <w:r>
              <w:rPr>
                <w:rFonts w:hint="eastAsia" w:ascii="宋体" w:hAnsi="宋体" w:cs="宋体"/>
                <w:sz w:val="24"/>
              </w:rPr>
              <w:t>六</w:t>
            </w:r>
          </w:p>
        </w:tc>
        <w:tc>
          <w:tcPr>
            <w:tcW w:w="5460" w:type="dxa"/>
            <w:vAlign w:val="center"/>
          </w:tcPr>
          <w:p w14:paraId="63E68940">
            <w:pPr>
              <w:rPr>
                <w:rFonts w:ascii="宋体" w:hAnsi="宋体" w:cs="宋体"/>
                <w:sz w:val="24"/>
              </w:rPr>
            </w:pPr>
            <w:r>
              <w:rPr>
                <w:rFonts w:hint="eastAsia" w:ascii="宋体" w:hAnsi="宋体" w:cs="宋体"/>
                <w:sz w:val="24"/>
              </w:rPr>
              <w:t>有关证明文件</w:t>
            </w:r>
          </w:p>
        </w:tc>
        <w:tc>
          <w:tcPr>
            <w:tcW w:w="1854" w:type="dxa"/>
            <w:vAlign w:val="center"/>
          </w:tcPr>
          <w:p w14:paraId="6C69AFFC">
            <w:pPr>
              <w:spacing w:line="360" w:lineRule="auto"/>
              <w:rPr>
                <w:rFonts w:ascii="宋体" w:hAnsi="宋体" w:cs="宋体"/>
                <w:b/>
                <w:sz w:val="24"/>
              </w:rPr>
            </w:pPr>
          </w:p>
        </w:tc>
      </w:tr>
      <w:tr w14:paraId="42652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40" w:hRule="atLeast"/>
        </w:trPr>
        <w:tc>
          <w:tcPr>
            <w:tcW w:w="1050" w:type="dxa"/>
            <w:vAlign w:val="center"/>
          </w:tcPr>
          <w:p w14:paraId="2D4F0E90">
            <w:pPr>
              <w:jc w:val="center"/>
              <w:rPr>
                <w:rFonts w:ascii="宋体" w:hAnsi="宋体" w:cs="宋体"/>
                <w:sz w:val="24"/>
              </w:rPr>
            </w:pPr>
            <w:r>
              <w:rPr>
                <w:rFonts w:hint="eastAsia" w:ascii="宋体" w:hAnsi="宋体" w:cs="宋体"/>
                <w:sz w:val="24"/>
              </w:rPr>
              <w:t>七</w:t>
            </w:r>
          </w:p>
        </w:tc>
        <w:tc>
          <w:tcPr>
            <w:tcW w:w="5460" w:type="dxa"/>
            <w:vAlign w:val="center"/>
          </w:tcPr>
          <w:p w14:paraId="35B40E5D">
            <w:pPr>
              <w:rPr>
                <w:rFonts w:ascii="宋体" w:hAnsi="宋体" w:cs="宋体"/>
                <w:sz w:val="24"/>
              </w:rPr>
            </w:pPr>
            <w:r>
              <w:rPr>
                <w:rFonts w:hint="eastAsia" w:ascii="宋体" w:hAnsi="宋体" w:cs="宋体"/>
                <w:sz w:val="24"/>
              </w:rPr>
              <w:t>中小企业声明函</w:t>
            </w:r>
          </w:p>
        </w:tc>
        <w:tc>
          <w:tcPr>
            <w:tcW w:w="1854" w:type="dxa"/>
            <w:vAlign w:val="center"/>
          </w:tcPr>
          <w:p w14:paraId="7C25302E">
            <w:pPr>
              <w:spacing w:line="360" w:lineRule="auto"/>
              <w:rPr>
                <w:rFonts w:ascii="宋体" w:hAnsi="宋体" w:cs="宋体"/>
                <w:b/>
                <w:sz w:val="24"/>
              </w:rPr>
            </w:pPr>
          </w:p>
        </w:tc>
      </w:tr>
      <w:tr w14:paraId="3E2BE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trPr>
        <w:tc>
          <w:tcPr>
            <w:tcW w:w="1050" w:type="dxa"/>
            <w:vAlign w:val="center"/>
          </w:tcPr>
          <w:p w14:paraId="41BCD062">
            <w:pPr>
              <w:jc w:val="center"/>
              <w:rPr>
                <w:rFonts w:ascii="宋体" w:hAnsi="宋体" w:cs="宋体"/>
                <w:sz w:val="24"/>
              </w:rPr>
            </w:pPr>
            <w:r>
              <w:rPr>
                <w:rFonts w:hint="eastAsia" w:ascii="宋体" w:hAnsi="宋体" w:cs="宋体"/>
                <w:sz w:val="24"/>
              </w:rPr>
              <w:t>八</w:t>
            </w:r>
          </w:p>
        </w:tc>
        <w:tc>
          <w:tcPr>
            <w:tcW w:w="5460" w:type="dxa"/>
            <w:vAlign w:val="center"/>
          </w:tcPr>
          <w:p w14:paraId="516CBFD3">
            <w:pPr>
              <w:rPr>
                <w:rFonts w:ascii="宋体" w:hAnsi="宋体" w:cs="宋体"/>
                <w:sz w:val="24"/>
              </w:rPr>
            </w:pPr>
            <w:r>
              <w:rPr>
                <w:rFonts w:hint="eastAsia" w:ascii="宋体" w:hAnsi="宋体" w:cs="宋体"/>
                <w:sz w:val="24"/>
              </w:rPr>
              <w:t>其他投标人认为需要提供的材料等</w:t>
            </w:r>
          </w:p>
        </w:tc>
        <w:tc>
          <w:tcPr>
            <w:tcW w:w="1854" w:type="dxa"/>
            <w:vAlign w:val="center"/>
          </w:tcPr>
          <w:p w14:paraId="15622417">
            <w:pPr>
              <w:spacing w:line="360" w:lineRule="auto"/>
              <w:rPr>
                <w:rFonts w:ascii="宋体" w:hAnsi="宋体" w:cs="宋体"/>
                <w:b/>
                <w:sz w:val="24"/>
              </w:rPr>
            </w:pPr>
          </w:p>
        </w:tc>
      </w:tr>
      <w:tr w14:paraId="58148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1050" w:type="dxa"/>
            <w:vAlign w:val="center"/>
          </w:tcPr>
          <w:p w14:paraId="26904FCC">
            <w:pPr>
              <w:jc w:val="center"/>
              <w:rPr>
                <w:rFonts w:ascii="宋体" w:hAnsi="宋体" w:cs="宋体"/>
                <w:sz w:val="24"/>
              </w:rPr>
            </w:pPr>
            <w:r>
              <w:rPr>
                <w:rFonts w:hint="eastAsia" w:ascii="宋体" w:hAnsi="宋体" w:cs="宋体"/>
                <w:sz w:val="24"/>
              </w:rPr>
              <w:t>九</w:t>
            </w:r>
          </w:p>
        </w:tc>
        <w:tc>
          <w:tcPr>
            <w:tcW w:w="5460" w:type="dxa"/>
            <w:vAlign w:val="center"/>
          </w:tcPr>
          <w:p w14:paraId="466E50DF">
            <w:pPr>
              <w:rPr>
                <w:rFonts w:ascii="宋体" w:hAnsi="宋体" w:cs="宋体"/>
                <w:sz w:val="24"/>
              </w:rPr>
            </w:pPr>
            <w:r>
              <w:rPr>
                <w:rFonts w:hint="eastAsia" w:ascii="宋体" w:hAnsi="宋体" w:cs="宋体"/>
                <w:sz w:val="24"/>
              </w:rPr>
              <w:t>政府采购供应商诚信承诺书</w:t>
            </w:r>
          </w:p>
        </w:tc>
        <w:tc>
          <w:tcPr>
            <w:tcW w:w="1854" w:type="dxa"/>
            <w:vAlign w:val="center"/>
          </w:tcPr>
          <w:p w14:paraId="08EF9A19">
            <w:pPr>
              <w:spacing w:line="360" w:lineRule="auto"/>
              <w:rPr>
                <w:rFonts w:ascii="宋体" w:hAnsi="宋体" w:cs="宋体"/>
                <w:b/>
                <w:sz w:val="24"/>
              </w:rPr>
            </w:pPr>
          </w:p>
        </w:tc>
      </w:tr>
      <w:tr w14:paraId="58818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8364" w:type="dxa"/>
            <w:gridSpan w:val="3"/>
            <w:vAlign w:val="center"/>
          </w:tcPr>
          <w:p w14:paraId="582CDA3E">
            <w:pPr>
              <w:spacing w:line="500" w:lineRule="exact"/>
              <w:rPr>
                <w:rFonts w:ascii="宋体" w:hAnsi="宋体" w:cs="宋体"/>
                <w:b/>
                <w:sz w:val="28"/>
              </w:rPr>
            </w:pPr>
            <w:r>
              <w:rPr>
                <w:rFonts w:hint="eastAsia" w:ascii="宋体" w:hAnsi="宋体" w:cs="宋体"/>
                <w:b/>
                <w:sz w:val="28"/>
              </w:rPr>
              <w:t>备注：投标文件资料清单是投标人制作投标文件的参考格式，并非必须格式，请各位投标人根据所投项目需要自行增减，是否依据了本格式或自行增减了多少格式并不是废标的条款。</w:t>
            </w:r>
          </w:p>
        </w:tc>
      </w:tr>
    </w:tbl>
    <w:p w14:paraId="7402B429">
      <w:pPr>
        <w:spacing w:line="500" w:lineRule="exact"/>
        <w:rPr>
          <w:rFonts w:ascii="宋体" w:hAnsi="宋体" w:cs="宋体"/>
          <w:sz w:val="28"/>
        </w:rPr>
      </w:pPr>
    </w:p>
    <w:p w14:paraId="75D27B43">
      <w:pPr>
        <w:pStyle w:val="51"/>
        <w:rPr>
          <w:rFonts w:ascii="宋体" w:hAnsi="宋体" w:cs="宋体"/>
        </w:rPr>
      </w:pPr>
    </w:p>
    <w:p w14:paraId="0C7F003D">
      <w:pPr>
        <w:pStyle w:val="51"/>
        <w:rPr>
          <w:rFonts w:ascii="宋体" w:hAnsi="宋体" w:cs="宋体"/>
        </w:rPr>
      </w:pPr>
    </w:p>
    <w:p w14:paraId="678D158C">
      <w:pPr>
        <w:pStyle w:val="51"/>
        <w:rPr>
          <w:rFonts w:ascii="宋体" w:hAnsi="宋体" w:cs="宋体"/>
        </w:rPr>
      </w:pPr>
    </w:p>
    <w:p w14:paraId="59358AD6">
      <w:pPr>
        <w:pStyle w:val="51"/>
        <w:rPr>
          <w:rFonts w:ascii="宋体" w:hAnsi="宋体" w:cs="宋体"/>
        </w:rPr>
      </w:pPr>
    </w:p>
    <w:p w14:paraId="3B587552">
      <w:pPr>
        <w:pStyle w:val="4"/>
        <w:rPr>
          <w:rFonts w:hAnsi="宋体" w:cs="宋体"/>
          <w:sz w:val="28"/>
        </w:rPr>
      </w:pPr>
      <w:bookmarkStart w:id="407" w:name="_Toc2396_WPSOffice_Level2"/>
      <w:bookmarkStart w:id="408" w:name="_Toc40975449"/>
      <w:bookmarkStart w:id="409" w:name="_Toc197934561"/>
    </w:p>
    <w:p w14:paraId="65D389AA">
      <w:pPr>
        <w:rPr>
          <w:rFonts w:hAnsi="宋体" w:cs="宋体"/>
          <w:sz w:val="28"/>
        </w:rPr>
      </w:pPr>
    </w:p>
    <w:p w14:paraId="2C9F840C">
      <w:pPr>
        <w:pStyle w:val="80"/>
        <w:rPr>
          <w:rFonts w:hAnsi="宋体" w:cs="宋体"/>
          <w:sz w:val="28"/>
        </w:rPr>
      </w:pPr>
    </w:p>
    <w:p w14:paraId="0BDF4513">
      <w:pPr>
        <w:pStyle w:val="16"/>
        <w:rPr>
          <w:rFonts w:hAnsi="宋体" w:cs="宋体"/>
          <w:sz w:val="28"/>
        </w:rPr>
      </w:pPr>
    </w:p>
    <w:p w14:paraId="2E4101C4">
      <w:pPr>
        <w:sectPr>
          <w:pgSz w:w="11906" w:h="16838"/>
          <w:pgMar w:top="1389" w:right="1304" w:bottom="1440" w:left="1304" w:header="851" w:footer="992" w:gutter="0"/>
          <w:cols w:space="720" w:num="1"/>
          <w:docGrid w:linePitch="312" w:charSpace="0"/>
        </w:sectPr>
      </w:pPr>
    </w:p>
    <w:p w14:paraId="215B6159"/>
    <w:p w14:paraId="399D7C4E">
      <w:pPr>
        <w:numPr>
          <w:ilvl w:val="0"/>
          <w:numId w:val="18"/>
        </w:numPr>
        <w:jc w:val="center"/>
        <w:rPr>
          <w:rFonts w:ascii="宋体" w:hAnsi="宋体" w:cs="宋体"/>
          <w:b/>
          <w:bCs/>
          <w:sz w:val="28"/>
          <w:szCs w:val="28"/>
        </w:rPr>
      </w:pPr>
      <w:bookmarkStart w:id="410" w:name="_Toc5255"/>
      <w:bookmarkStart w:id="411" w:name="_Toc11226"/>
      <w:bookmarkStart w:id="412" w:name="_Toc17431"/>
      <w:r>
        <w:rPr>
          <w:rFonts w:hint="eastAsia" w:ascii="宋体" w:hAnsi="宋体" w:cs="宋体"/>
          <w:b/>
          <w:bCs/>
          <w:sz w:val="28"/>
          <w:szCs w:val="28"/>
        </w:rPr>
        <w:t>开标一览表</w:t>
      </w:r>
      <w:bookmarkEnd w:id="407"/>
      <w:bookmarkEnd w:id="408"/>
      <w:bookmarkEnd w:id="409"/>
      <w:bookmarkEnd w:id="410"/>
      <w:bookmarkEnd w:id="411"/>
      <w:bookmarkEnd w:id="412"/>
    </w:p>
    <w:p w14:paraId="31AF31B5">
      <w:pPr>
        <w:pStyle w:val="80"/>
      </w:pPr>
    </w:p>
    <w:tbl>
      <w:tblPr>
        <w:tblStyle w:val="7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56"/>
        <w:gridCol w:w="6309"/>
      </w:tblGrid>
      <w:tr w14:paraId="521DD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5" w:hRule="atLeast"/>
          <w:jc w:val="center"/>
        </w:trPr>
        <w:tc>
          <w:tcPr>
            <w:tcW w:w="2056" w:type="dxa"/>
            <w:tcBorders>
              <w:top w:val="single" w:color="auto" w:sz="4" w:space="0"/>
              <w:bottom w:val="single" w:color="auto" w:sz="4" w:space="0"/>
              <w:right w:val="single" w:color="auto" w:sz="4" w:space="0"/>
            </w:tcBorders>
            <w:vAlign w:val="center"/>
          </w:tcPr>
          <w:p w14:paraId="4094501C">
            <w:pPr>
              <w:widowControl/>
              <w:spacing w:line="360" w:lineRule="exact"/>
              <w:jc w:val="center"/>
              <w:rPr>
                <w:rFonts w:ascii="宋体" w:hAnsi="宋体" w:cs="宋体"/>
                <w:b/>
                <w:sz w:val="24"/>
              </w:rPr>
            </w:pPr>
            <w:r>
              <w:rPr>
                <w:rFonts w:hint="eastAsia" w:ascii="宋体" w:hAnsi="宋体" w:cs="宋体"/>
                <w:b/>
                <w:sz w:val="24"/>
              </w:rPr>
              <w:t>项目名称</w:t>
            </w:r>
          </w:p>
        </w:tc>
        <w:tc>
          <w:tcPr>
            <w:tcW w:w="6309" w:type="dxa"/>
            <w:tcBorders>
              <w:top w:val="single" w:color="auto" w:sz="4" w:space="0"/>
              <w:bottom w:val="single" w:color="auto" w:sz="4" w:space="0"/>
              <w:right w:val="single" w:color="auto" w:sz="4" w:space="0"/>
            </w:tcBorders>
            <w:vAlign w:val="center"/>
          </w:tcPr>
          <w:p w14:paraId="3C8C31FE">
            <w:pPr>
              <w:spacing w:line="360" w:lineRule="exact"/>
              <w:jc w:val="center"/>
              <w:rPr>
                <w:rFonts w:ascii="宋体" w:hAnsi="宋体" w:cs="宋体"/>
                <w:bCs/>
                <w:sz w:val="24"/>
                <w:u w:val="single"/>
              </w:rPr>
            </w:pPr>
          </w:p>
        </w:tc>
      </w:tr>
      <w:tr w14:paraId="501AC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056" w:type="dxa"/>
            <w:tcBorders>
              <w:top w:val="nil"/>
            </w:tcBorders>
            <w:vAlign w:val="center"/>
          </w:tcPr>
          <w:p w14:paraId="43DB62AB">
            <w:pPr>
              <w:spacing w:line="360" w:lineRule="exact"/>
              <w:jc w:val="center"/>
              <w:rPr>
                <w:rFonts w:ascii="宋体" w:hAnsi="宋体" w:cs="宋体"/>
                <w:b/>
                <w:sz w:val="24"/>
              </w:rPr>
            </w:pPr>
            <w:r>
              <w:rPr>
                <w:rFonts w:hint="eastAsia" w:ascii="宋体" w:hAnsi="宋体" w:cs="宋体"/>
                <w:b/>
                <w:sz w:val="24"/>
              </w:rPr>
              <w:t>投标人全称</w:t>
            </w:r>
          </w:p>
        </w:tc>
        <w:tc>
          <w:tcPr>
            <w:tcW w:w="6309" w:type="dxa"/>
            <w:tcBorders>
              <w:top w:val="nil"/>
            </w:tcBorders>
            <w:vAlign w:val="center"/>
          </w:tcPr>
          <w:p w14:paraId="7A41F341">
            <w:pPr>
              <w:spacing w:line="360" w:lineRule="auto"/>
              <w:rPr>
                <w:rFonts w:ascii="宋体" w:hAnsi="宋体" w:cs="宋体"/>
                <w:sz w:val="24"/>
              </w:rPr>
            </w:pPr>
          </w:p>
        </w:tc>
      </w:tr>
      <w:tr w14:paraId="6FBF77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056" w:type="dxa"/>
            <w:tcBorders>
              <w:top w:val="nil"/>
            </w:tcBorders>
            <w:vAlign w:val="center"/>
          </w:tcPr>
          <w:p w14:paraId="008B4076">
            <w:pPr>
              <w:spacing w:line="360" w:lineRule="exact"/>
              <w:jc w:val="center"/>
              <w:rPr>
                <w:rFonts w:ascii="宋体" w:hAnsi="宋体" w:cs="宋体"/>
                <w:b/>
                <w:sz w:val="24"/>
              </w:rPr>
            </w:pPr>
            <w:r>
              <w:rPr>
                <w:rFonts w:hint="eastAsia" w:ascii="宋体" w:hAnsi="宋体" w:cs="宋体"/>
                <w:b/>
                <w:sz w:val="24"/>
              </w:rPr>
              <w:t>投标范围</w:t>
            </w:r>
          </w:p>
        </w:tc>
        <w:tc>
          <w:tcPr>
            <w:tcW w:w="6309" w:type="dxa"/>
            <w:tcBorders>
              <w:top w:val="nil"/>
            </w:tcBorders>
            <w:vAlign w:val="center"/>
          </w:tcPr>
          <w:p w14:paraId="64D512C5">
            <w:pPr>
              <w:widowControl/>
              <w:spacing w:line="360" w:lineRule="exact"/>
              <w:jc w:val="center"/>
              <w:rPr>
                <w:rFonts w:ascii="宋体" w:hAnsi="宋体" w:cs="宋体"/>
                <w:b/>
                <w:sz w:val="24"/>
              </w:rPr>
            </w:pPr>
            <w:r>
              <w:rPr>
                <w:rFonts w:hint="eastAsia" w:ascii="宋体" w:hAnsi="宋体" w:cs="宋体"/>
                <w:b/>
                <w:sz w:val="24"/>
              </w:rPr>
              <w:t>沈丘县全域供水特许经营</w:t>
            </w:r>
          </w:p>
        </w:tc>
      </w:tr>
      <w:tr w14:paraId="5A6F2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056" w:type="dxa"/>
            <w:tcBorders>
              <w:top w:val="nil"/>
            </w:tcBorders>
            <w:vAlign w:val="center"/>
          </w:tcPr>
          <w:p w14:paraId="73BF6BDC">
            <w:pPr>
              <w:spacing w:line="360" w:lineRule="exact"/>
              <w:jc w:val="center"/>
              <w:rPr>
                <w:rFonts w:ascii="宋体" w:hAnsi="宋体" w:cs="宋体"/>
              </w:rPr>
            </w:pPr>
            <w:r>
              <w:rPr>
                <w:rFonts w:hint="eastAsia" w:ascii="宋体" w:hAnsi="宋体" w:cs="宋体"/>
                <w:b/>
                <w:sz w:val="24"/>
              </w:rPr>
              <w:t>最终投标报价</w:t>
            </w:r>
          </w:p>
        </w:tc>
        <w:tc>
          <w:tcPr>
            <w:tcW w:w="6309" w:type="dxa"/>
            <w:tcBorders>
              <w:top w:val="nil"/>
            </w:tcBorders>
            <w:vAlign w:val="center"/>
          </w:tcPr>
          <w:p w14:paraId="3FC25855">
            <w:pPr>
              <w:numPr>
                <w:ilvl w:val="0"/>
                <w:numId w:val="19"/>
              </w:numPr>
              <w:spacing w:line="360" w:lineRule="exact"/>
              <w:rPr>
                <w:rFonts w:ascii="宋体" w:hAnsi="宋体" w:cs="宋体"/>
                <w:b/>
                <w:sz w:val="24"/>
              </w:rPr>
            </w:pPr>
            <w:r>
              <w:rPr>
                <w:rFonts w:hint="eastAsia" w:ascii="宋体" w:hAnsi="宋体" w:cs="宋体"/>
                <w:b/>
                <w:sz w:val="24"/>
              </w:rPr>
              <w:t xml:space="preserve">存量资产特许经营权转让价款：      元、大写：  </w:t>
            </w:r>
          </w:p>
          <w:p w14:paraId="05D3E359">
            <w:pPr>
              <w:spacing w:line="360" w:lineRule="exact"/>
              <w:rPr>
                <w:rFonts w:ascii="宋体" w:hAnsi="宋体" w:cs="宋体"/>
              </w:rPr>
            </w:pPr>
            <w:r>
              <w:rPr>
                <w:rFonts w:hint="eastAsia" w:ascii="宋体" w:hAnsi="宋体" w:cs="宋体"/>
                <w:b/>
                <w:sz w:val="24"/>
              </w:rPr>
              <w:t xml:space="preserve">2、特许经营期限：    年      </w:t>
            </w:r>
          </w:p>
        </w:tc>
      </w:tr>
      <w:tr w14:paraId="1A60D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10" w:hRule="atLeast"/>
          <w:jc w:val="center"/>
        </w:trPr>
        <w:tc>
          <w:tcPr>
            <w:tcW w:w="2056" w:type="dxa"/>
            <w:tcBorders>
              <w:top w:val="nil"/>
            </w:tcBorders>
            <w:vAlign w:val="center"/>
          </w:tcPr>
          <w:p w14:paraId="7DD0B00C">
            <w:pPr>
              <w:spacing w:line="360" w:lineRule="auto"/>
              <w:jc w:val="center"/>
              <w:rPr>
                <w:rFonts w:ascii="宋体" w:hAnsi="宋体" w:cs="宋体"/>
                <w:b/>
                <w:sz w:val="24"/>
              </w:rPr>
            </w:pPr>
            <w:r>
              <w:rPr>
                <w:rFonts w:hint="eastAsia" w:ascii="宋体" w:hAnsi="宋体" w:cs="宋体"/>
                <w:b/>
                <w:sz w:val="24"/>
              </w:rPr>
              <w:t>备注</w:t>
            </w:r>
          </w:p>
        </w:tc>
        <w:tc>
          <w:tcPr>
            <w:tcW w:w="6309" w:type="dxa"/>
            <w:tcBorders>
              <w:top w:val="nil"/>
            </w:tcBorders>
            <w:vAlign w:val="center"/>
          </w:tcPr>
          <w:p w14:paraId="1A2AB1BB">
            <w:pPr>
              <w:spacing w:line="360" w:lineRule="auto"/>
              <w:jc w:val="left"/>
              <w:rPr>
                <w:rFonts w:ascii="宋体" w:hAnsi="宋体" w:cs="宋体"/>
                <w:sz w:val="24"/>
                <w:szCs w:val="28"/>
              </w:rPr>
            </w:pPr>
          </w:p>
        </w:tc>
      </w:tr>
    </w:tbl>
    <w:p w14:paraId="365BD5B1">
      <w:pPr>
        <w:spacing w:line="380" w:lineRule="exact"/>
        <w:ind w:firstLine="3600" w:firstLineChars="1500"/>
        <w:rPr>
          <w:rFonts w:ascii="宋体" w:hAnsi="宋体" w:cs="宋体"/>
          <w:sz w:val="24"/>
        </w:rPr>
      </w:pPr>
    </w:p>
    <w:p w14:paraId="4B2ECE37">
      <w:pPr>
        <w:spacing w:line="380" w:lineRule="exact"/>
        <w:ind w:firstLine="3600" w:firstLineChars="1500"/>
        <w:rPr>
          <w:rFonts w:ascii="宋体" w:hAnsi="宋体" w:cs="宋体"/>
          <w:sz w:val="24"/>
        </w:rPr>
      </w:pPr>
    </w:p>
    <w:p w14:paraId="5F7CA955">
      <w:pPr>
        <w:spacing w:line="380" w:lineRule="exact"/>
        <w:ind w:firstLine="3600" w:firstLineChars="1500"/>
        <w:rPr>
          <w:rFonts w:ascii="宋体" w:hAnsi="宋体" w:cs="宋体"/>
          <w:sz w:val="24"/>
        </w:rPr>
      </w:pPr>
      <w:r>
        <w:rPr>
          <w:rFonts w:hint="eastAsia" w:ascii="宋体" w:hAnsi="宋体" w:cs="宋体"/>
          <w:sz w:val="24"/>
        </w:rPr>
        <w:t>供应商名称：（电子签章）</w:t>
      </w:r>
    </w:p>
    <w:p w14:paraId="3FCF3655">
      <w:pPr>
        <w:spacing w:line="380" w:lineRule="exact"/>
        <w:ind w:right="640" w:firstLine="1560" w:firstLineChars="650"/>
        <w:rPr>
          <w:rFonts w:ascii="宋体" w:hAnsi="宋体" w:cs="宋体"/>
          <w:sz w:val="24"/>
        </w:rPr>
      </w:pPr>
    </w:p>
    <w:p w14:paraId="58723062">
      <w:pPr>
        <w:spacing w:line="380" w:lineRule="exact"/>
        <w:ind w:right="640" w:firstLine="3600" w:firstLineChars="1500"/>
        <w:rPr>
          <w:rFonts w:ascii="宋体" w:hAnsi="宋体" w:cs="宋体"/>
          <w:sz w:val="24"/>
        </w:rPr>
      </w:pPr>
      <w:r>
        <w:rPr>
          <w:rFonts w:hint="eastAsia" w:ascii="宋体" w:hAnsi="宋体" w:cs="宋体"/>
          <w:sz w:val="24"/>
        </w:rPr>
        <w:t>授权委托人：</w:t>
      </w:r>
    </w:p>
    <w:p w14:paraId="4DE79CB2">
      <w:pPr>
        <w:spacing w:line="380" w:lineRule="exact"/>
        <w:jc w:val="center"/>
        <w:rPr>
          <w:rFonts w:ascii="宋体" w:hAnsi="宋体" w:cs="宋体"/>
          <w:sz w:val="24"/>
        </w:rPr>
      </w:pPr>
    </w:p>
    <w:p w14:paraId="21FF058D">
      <w:pPr>
        <w:jc w:val="center"/>
        <w:rPr>
          <w:rFonts w:ascii="宋体" w:hAnsi="宋体" w:cs="宋体"/>
          <w:sz w:val="24"/>
        </w:rPr>
      </w:pPr>
      <w:r>
        <w:rPr>
          <w:rFonts w:hint="eastAsia" w:ascii="宋体" w:hAnsi="宋体" w:cs="宋体"/>
          <w:sz w:val="24"/>
        </w:rPr>
        <w:t xml:space="preserve">        日期：      年   月    日</w:t>
      </w:r>
    </w:p>
    <w:p w14:paraId="3B3251D0">
      <w:pPr>
        <w:spacing w:before="100" w:beforeAutospacing="1" w:after="100" w:afterAutospacing="1" w:line="360" w:lineRule="auto"/>
        <w:rPr>
          <w:rFonts w:ascii="宋体" w:hAnsi="宋体" w:cs="宋体"/>
          <w:b/>
          <w:sz w:val="24"/>
        </w:rPr>
      </w:pPr>
      <w:r>
        <w:rPr>
          <w:rFonts w:hint="eastAsia" w:ascii="宋体" w:hAnsi="宋体" w:cs="宋体"/>
          <w:b/>
          <w:sz w:val="24"/>
        </w:rPr>
        <w:t xml:space="preserve">                                           </w:t>
      </w:r>
    </w:p>
    <w:p w14:paraId="3F0E6433">
      <w:pPr>
        <w:spacing w:line="500" w:lineRule="exact"/>
        <w:jc w:val="center"/>
        <w:rPr>
          <w:rFonts w:ascii="宋体" w:hAnsi="宋体" w:cs="宋体"/>
          <w:b/>
          <w:bCs/>
          <w:sz w:val="30"/>
        </w:rPr>
      </w:pPr>
    </w:p>
    <w:p w14:paraId="297E6C89">
      <w:pPr>
        <w:spacing w:line="500" w:lineRule="exact"/>
        <w:jc w:val="center"/>
        <w:rPr>
          <w:rFonts w:ascii="宋体" w:hAnsi="宋体" w:cs="宋体"/>
          <w:b/>
          <w:bCs/>
          <w:sz w:val="30"/>
        </w:rPr>
      </w:pPr>
    </w:p>
    <w:p w14:paraId="09111918">
      <w:pPr>
        <w:spacing w:line="500" w:lineRule="exact"/>
        <w:jc w:val="center"/>
        <w:rPr>
          <w:rFonts w:ascii="宋体" w:hAnsi="宋体" w:cs="宋体"/>
          <w:b/>
          <w:bCs/>
          <w:sz w:val="30"/>
        </w:rPr>
      </w:pPr>
    </w:p>
    <w:p w14:paraId="5554F57A">
      <w:pPr>
        <w:pStyle w:val="4"/>
        <w:rPr>
          <w:rFonts w:hAnsi="宋体" w:cs="宋体"/>
          <w:sz w:val="28"/>
        </w:rPr>
      </w:pPr>
      <w:bookmarkStart w:id="413" w:name="_Hlt533408916"/>
      <w:bookmarkEnd w:id="413"/>
      <w:bookmarkStart w:id="414" w:name="_Hlt519045798"/>
      <w:bookmarkEnd w:id="414"/>
      <w:bookmarkStart w:id="415" w:name="_Hlt533409360"/>
      <w:bookmarkEnd w:id="415"/>
      <w:bookmarkStart w:id="416" w:name="_Hlt533408409"/>
      <w:bookmarkEnd w:id="416"/>
      <w:bookmarkStart w:id="417" w:name="_Hlt509716873"/>
      <w:bookmarkEnd w:id="417"/>
      <w:bookmarkStart w:id="418" w:name="_Toc32321"/>
      <w:bookmarkStart w:id="419" w:name="_Toc11175_WPSOffice_Level2"/>
      <w:bookmarkStart w:id="420" w:name="_Toc6108"/>
      <w:bookmarkStart w:id="421" w:name="_Toc228"/>
      <w:bookmarkStart w:id="422" w:name="_Toc516969097"/>
      <w:bookmarkStart w:id="423" w:name="_Toc18070"/>
      <w:bookmarkStart w:id="424" w:name="_Toc40975450"/>
      <w:bookmarkStart w:id="425" w:name="_Toc197934563"/>
      <w:r>
        <w:rPr>
          <w:rFonts w:hint="eastAsia" w:hAnsi="宋体" w:cs="宋体"/>
          <w:sz w:val="28"/>
        </w:rPr>
        <w:t>二．投标人综合情况简介</w:t>
      </w:r>
      <w:bookmarkEnd w:id="418"/>
      <w:bookmarkEnd w:id="419"/>
      <w:bookmarkEnd w:id="420"/>
      <w:bookmarkEnd w:id="421"/>
      <w:bookmarkEnd w:id="422"/>
      <w:bookmarkEnd w:id="423"/>
      <w:bookmarkEnd w:id="424"/>
    </w:p>
    <w:p w14:paraId="493E5B6D">
      <w:pPr>
        <w:spacing w:line="500" w:lineRule="exact"/>
        <w:jc w:val="center"/>
        <w:rPr>
          <w:rFonts w:ascii="宋体" w:hAnsi="宋体" w:cs="宋体"/>
          <w:sz w:val="24"/>
        </w:rPr>
      </w:pPr>
      <w:r>
        <w:rPr>
          <w:rFonts w:hint="eastAsia" w:ascii="宋体" w:hAnsi="宋体" w:cs="宋体"/>
          <w:sz w:val="24"/>
        </w:rPr>
        <w:t>(投标人可自行制作格式)</w:t>
      </w:r>
    </w:p>
    <w:p w14:paraId="079FF86F">
      <w:pPr>
        <w:pStyle w:val="51"/>
        <w:rPr>
          <w:rFonts w:ascii="宋体" w:hAnsi="宋体" w:cs="宋体"/>
        </w:rPr>
      </w:pPr>
    </w:p>
    <w:p w14:paraId="710D5526">
      <w:pPr>
        <w:pStyle w:val="4"/>
        <w:spacing w:after="240"/>
        <w:rPr>
          <w:rFonts w:hAnsi="宋体" w:cs="宋体"/>
          <w:sz w:val="28"/>
        </w:rPr>
      </w:pPr>
      <w:bookmarkStart w:id="426" w:name="_Hlt509739007"/>
      <w:bookmarkEnd w:id="426"/>
      <w:bookmarkStart w:id="427" w:name="_Toc40975451"/>
      <w:bookmarkStart w:id="428" w:name="_Toc1391_WPSOffice_Level2"/>
      <w:bookmarkStart w:id="429" w:name="_Toc23480"/>
      <w:bookmarkStart w:id="430" w:name="_Toc15297"/>
      <w:bookmarkStart w:id="431" w:name="_Toc516969098"/>
      <w:bookmarkStart w:id="432" w:name="_Toc25232"/>
    </w:p>
    <w:p w14:paraId="42D03656">
      <w:pPr>
        <w:pStyle w:val="4"/>
        <w:spacing w:after="240"/>
        <w:rPr>
          <w:rFonts w:hAnsi="宋体" w:cs="宋体"/>
          <w:sz w:val="28"/>
        </w:rPr>
      </w:pPr>
    </w:p>
    <w:p w14:paraId="353D7CEE">
      <w:pPr>
        <w:pStyle w:val="4"/>
        <w:spacing w:after="240"/>
        <w:rPr>
          <w:rFonts w:hAnsi="宋体" w:cs="宋体"/>
          <w:sz w:val="28"/>
        </w:rPr>
      </w:pPr>
    </w:p>
    <w:p w14:paraId="0561200F">
      <w:pPr>
        <w:pStyle w:val="4"/>
        <w:spacing w:after="240"/>
        <w:rPr>
          <w:rFonts w:hAnsi="宋体" w:cs="宋体"/>
          <w:sz w:val="28"/>
        </w:rPr>
      </w:pPr>
    </w:p>
    <w:p w14:paraId="1337BC36">
      <w:pPr>
        <w:pStyle w:val="4"/>
        <w:keepNext w:val="0"/>
        <w:keepLines w:val="0"/>
        <w:spacing w:after="240"/>
        <w:jc w:val="both"/>
        <w:rPr>
          <w:rFonts w:hAnsi="宋体" w:cs="宋体"/>
          <w:sz w:val="28"/>
        </w:rPr>
      </w:pPr>
    </w:p>
    <w:p w14:paraId="1AB89A36">
      <w:pPr>
        <w:pStyle w:val="4"/>
        <w:keepNext w:val="0"/>
        <w:keepLines w:val="0"/>
        <w:spacing w:after="240"/>
        <w:jc w:val="both"/>
        <w:rPr>
          <w:rFonts w:hAnsi="宋体" w:cs="宋体"/>
          <w:sz w:val="28"/>
        </w:rPr>
      </w:pPr>
    </w:p>
    <w:p w14:paraId="00C1EE21">
      <w:pPr>
        <w:pStyle w:val="4"/>
        <w:keepNext w:val="0"/>
        <w:keepLines w:val="0"/>
        <w:spacing w:after="240"/>
        <w:jc w:val="both"/>
        <w:rPr>
          <w:rFonts w:hAnsi="宋体" w:cs="宋体"/>
          <w:sz w:val="28"/>
        </w:rPr>
      </w:pPr>
    </w:p>
    <w:p w14:paraId="11F48C14">
      <w:pPr>
        <w:pStyle w:val="4"/>
        <w:keepNext w:val="0"/>
        <w:keepLines w:val="0"/>
        <w:spacing w:after="240"/>
        <w:jc w:val="both"/>
        <w:rPr>
          <w:rFonts w:hAnsi="宋体" w:cs="宋体"/>
          <w:sz w:val="28"/>
        </w:rPr>
      </w:pPr>
    </w:p>
    <w:p w14:paraId="18426062">
      <w:pPr>
        <w:pStyle w:val="4"/>
        <w:keepNext w:val="0"/>
        <w:keepLines w:val="0"/>
        <w:spacing w:after="240"/>
        <w:jc w:val="both"/>
        <w:rPr>
          <w:rFonts w:hAnsi="宋体" w:cs="宋体"/>
          <w:sz w:val="28"/>
        </w:rPr>
      </w:pPr>
    </w:p>
    <w:p w14:paraId="13592A40">
      <w:pPr>
        <w:pStyle w:val="4"/>
        <w:keepNext w:val="0"/>
        <w:keepLines w:val="0"/>
        <w:spacing w:after="240"/>
        <w:jc w:val="both"/>
        <w:rPr>
          <w:rFonts w:hAnsi="宋体" w:cs="宋体"/>
          <w:sz w:val="28"/>
        </w:rPr>
      </w:pPr>
    </w:p>
    <w:p w14:paraId="412ED630">
      <w:pPr>
        <w:pStyle w:val="4"/>
        <w:keepNext w:val="0"/>
        <w:keepLines w:val="0"/>
        <w:spacing w:after="240"/>
        <w:jc w:val="both"/>
        <w:rPr>
          <w:rFonts w:hAnsi="宋体" w:cs="宋体"/>
          <w:sz w:val="28"/>
        </w:rPr>
      </w:pPr>
    </w:p>
    <w:p w14:paraId="26AB451A">
      <w:pPr>
        <w:pStyle w:val="4"/>
        <w:keepNext w:val="0"/>
        <w:keepLines w:val="0"/>
        <w:spacing w:after="240"/>
        <w:jc w:val="both"/>
        <w:rPr>
          <w:rFonts w:hAnsi="宋体" w:cs="宋体"/>
          <w:sz w:val="28"/>
        </w:rPr>
      </w:pPr>
    </w:p>
    <w:p w14:paraId="7D13CE7D">
      <w:pPr>
        <w:pStyle w:val="4"/>
        <w:keepNext w:val="0"/>
        <w:keepLines w:val="0"/>
        <w:spacing w:after="240"/>
        <w:jc w:val="both"/>
        <w:rPr>
          <w:rFonts w:hAnsi="宋体" w:cs="宋体"/>
          <w:sz w:val="28"/>
        </w:rPr>
      </w:pPr>
    </w:p>
    <w:p w14:paraId="50167D35">
      <w:pPr>
        <w:pStyle w:val="4"/>
        <w:keepNext w:val="0"/>
        <w:keepLines w:val="0"/>
        <w:spacing w:after="240"/>
        <w:jc w:val="both"/>
        <w:rPr>
          <w:rFonts w:hAnsi="宋体" w:cs="宋体"/>
          <w:sz w:val="28"/>
        </w:rPr>
      </w:pPr>
    </w:p>
    <w:p w14:paraId="0A8B454F">
      <w:pPr>
        <w:pStyle w:val="4"/>
        <w:keepNext w:val="0"/>
        <w:keepLines w:val="0"/>
        <w:spacing w:after="240"/>
        <w:rPr>
          <w:rFonts w:hAnsi="宋体" w:cs="宋体"/>
          <w:sz w:val="28"/>
        </w:rPr>
      </w:pPr>
      <w:bookmarkStart w:id="433" w:name="_Toc5334"/>
      <w:r>
        <w:rPr>
          <w:rFonts w:hint="eastAsia" w:hAnsi="宋体" w:cs="宋体"/>
          <w:sz w:val="28"/>
        </w:rPr>
        <w:t>三．投标函</w:t>
      </w:r>
      <w:bookmarkEnd w:id="427"/>
      <w:bookmarkEnd w:id="428"/>
      <w:bookmarkEnd w:id="429"/>
      <w:bookmarkEnd w:id="430"/>
      <w:bookmarkEnd w:id="431"/>
      <w:bookmarkEnd w:id="432"/>
      <w:bookmarkEnd w:id="433"/>
    </w:p>
    <w:p w14:paraId="13340EF5">
      <w:pPr>
        <w:pStyle w:val="39"/>
        <w:spacing w:line="360" w:lineRule="auto"/>
        <w:rPr>
          <w:rFonts w:ascii="宋体" w:hAnsi="宋体" w:cs="宋体"/>
          <w:b w:val="0"/>
          <w:sz w:val="24"/>
        </w:rPr>
      </w:pPr>
      <w:r>
        <w:rPr>
          <w:rFonts w:hint="eastAsia" w:ascii="宋体" w:hAnsi="宋体" w:cs="宋体"/>
          <w:b w:val="0"/>
          <w:sz w:val="24"/>
        </w:rPr>
        <w:t>致：（采购人或采购代理机构）</w:t>
      </w:r>
    </w:p>
    <w:p w14:paraId="1173041C">
      <w:pPr>
        <w:spacing w:line="360" w:lineRule="auto"/>
        <w:ind w:left="239" w:leftChars="114" w:firstLine="386" w:firstLineChars="161"/>
        <w:rPr>
          <w:rFonts w:ascii="宋体" w:hAnsi="宋体" w:cs="宋体"/>
          <w:b/>
          <w:bCs/>
          <w:sz w:val="24"/>
          <w:u w:val="single"/>
        </w:rPr>
      </w:pPr>
      <w:r>
        <w:rPr>
          <w:rFonts w:hint="eastAsia" w:ascii="宋体" w:hAnsi="宋体" w:cs="宋体"/>
          <w:sz w:val="24"/>
        </w:rPr>
        <w:t>根据贵方“</w:t>
      </w:r>
      <w:r>
        <w:rPr>
          <w:rFonts w:hint="eastAsia" w:ascii="宋体" w:hAnsi="宋体" w:cs="宋体"/>
          <w:sz w:val="24"/>
          <w:u w:val="single"/>
        </w:rPr>
        <w:t xml:space="preserve">                </w:t>
      </w:r>
      <w:r>
        <w:rPr>
          <w:rFonts w:hint="eastAsia" w:ascii="宋体" w:hAnsi="宋体" w:cs="宋体"/>
          <w:sz w:val="24"/>
        </w:rPr>
        <w:t>（</w:t>
      </w:r>
      <w:r>
        <w:rPr>
          <w:rFonts w:hint="eastAsia" w:ascii="宋体" w:hAnsi="宋体" w:cs="宋体"/>
          <w:b/>
          <w:bCs/>
          <w:sz w:val="24"/>
        </w:rPr>
        <w:t>项目名称、项目编号)</w:t>
      </w:r>
      <w:r>
        <w:rPr>
          <w:rFonts w:hint="eastAsia" w:ascii="宋体" w:hAnsi="宋体" w:cs="宋体"/>
          <w:sz w:val="24"/>
        </w:rPr>
        <w:t>”项目招标邀请书或招标公告，正式授权</w:t>
      </w:r>
      <w:r>
        <w:rPr>
          <w:rFonts w:hint="eastAsia" w:ascii="宋体" w:hAnsi="宋体" w:cs="宋体"/>
          <w:sz w:val="24"/>
          <w:u w:val="single"/>
        </w:rPr>
        <w:t xml:space="preserve">         　</w:t>
      </w:r>
      <w:r>
        <w:rPr>
          <w:rFonts w:hint="eastAsia" w:ascii="宋体" w:hAnsi="宋体" w:cs="宋体"/>
          <w:sz w:val="24"/>
        </w:rPr>
        <w:t>（姓名）代表投标人</w:t>
      </w:r>
      <w:r>
        <w:rPr>
          <w:rFonts w:hint="eastAsia" w:ascii="宋体" w:hAnsi="宋体" w:cs="宋体"/>
          <w:sz w:val="24"/>
          <w:u w:val="single"/>
        </w:rPr>
        <w:t xml:space="preserve">        　   </w:t>
      </w:r>
      <w:r>
        <w:rPr>
          <w:rFonts w:hint="eastAsia" w:ascii="宋体" w:hAnsi="宋体" w:cs="宋体"/>
          <w:sz w:val="24"/>
        </w:rPr>
        <w:t>（投标人全称），提交规定形式的投标文件。</w:t>
      </w:r>
    </w:p>
    <w:p w14:paraId="4B31DE04">
      <w:pPr>
        <w:spacing w:line="360" w:lineRule="auto"/>
        <w:ind w:firstLine="630"/>
        <w:rPr>
          <w:rFonts w:ascii="宋体" w:hAnsi="宋体" w:cs="宋体"/>
          <w:sz w:val="24"/>
        </w:rPr>
      </w:pPr>
      <w:r>
        <w:rPr>
          <w:rFonts w:hint="eastAsia" w:ascii="宋体" w:hAnsi="宋体" w:cs="宋体"/>
          <w:sz w:val="24"/>
        </w:rPr>
        <w:t>据此函，我方兹宣布同意如下：</w:t>
      </w:r>
    </w:p>
    <w:p w14:paraId="42A99AD5">
      <w:pPr>
        <w:spacing w:line="360" w:lineRule="auto"/>
        <w:ind w:firstLine="630"/>
        <w:rPr>
          <w:rFonts w:ascii="宋体" w:hAnsi="宋体" w:cs="宋体"/>
          <w:sz w:val="24"/>
        </w:rPr>
      </w:pPr>
      <w:r>
        <w:rPr>
          <w:rFonts w:hint="eastAsia" w:ascii="宋体" w:hAnsi="宋体" w:cs="宋体"/>
          <w:sz w:val="24"/>
        </w:rPr>
        <w:t>（1）如我公司中标，愿意按招标文件规定提供交付服务（包括税费等工作）的总报价为¥</w:t>
      </w:r>
      <w:r>
        <w:rPr>
          <w:rFonts w:hint="eastAsia" w:ascii="宋体" w:hAnsi="宋体" w:cs="宋体"/>
          <w:sz w:val="24"/>
          <w:u w:val="single"/>
        </w:rPr>
        <w:t xml:space="preserve">             </w:t>
      </w:r>
      <w:r>
        <w:rPr>
          <w:rFonts w:hint="eastAsia" w:ascii="宋体" w:hAnsi="宋体" w:cs="宋体"/>
          <w:sz w:val="24"/>
        </w:rPr>
        <w:t>元，服务期限</w:t>
      </w:r>
      <w:r>
        <w:rPr>
          <w:rFonts w:hint="eastAsia" w:ascii="宋体" w:hAnsi="宋体" w:cs="宋体"/>
          <w:sz w:val="24"/>
          <w:u w:val="single"/>
        </w:rPr>
        <w:t xml:space="preserve">        </w:t>
      </w:r>
      <w:r>
        <w:rPr>
          <w:rFonts w:hint="eastAsia" w:ascii="宋体" w:hAnsi="宋体" w:cs="宋体"/>
          <w:sz w:val="24"/>
        </w:rPr>
        <w:t>。</w:t>
      </w:r>
    </w:p>
    <w:p w14:paraId="4C374A1D">
      <w:pPr>
        <w:spacing w:line="360" w:lineRule="auto"/>
        <w:ind w:firstLine="630"/>
        <w:rPr>
          <w:rFonts w:ascii="宋体" w:hAnsi="宋体" w:cs="宋体"/>
          <w:sz w:val="24"/>
        </w:rPr>
      </w:pPr>
      <w:r>
        <w:rPr>
          <w:rFonts w:hint="eastAsia" w:ascii="宋体" w:hAnsi="宋体" w:cs="宋体"/>
          <w:sz w:val="24"/>
        </w:rPr>
        <w:t>（2）我方根据招标文件的规定，严格履行合同的责任和义务,并保证于买方要求的日期内完成服务，并通过买方验收。</w:t>
      </w:r>
    </w:p>
    <w:p w14:paraId="16A5025B">
      <w:pPr>
        <w:spacing w:line="360" w:lineRule="auto"/>
        <w:ind w:firstLine="630"/>
        <w:rPr>
          <w:rFonts w:ascii="宋体" w:hAnsi="宋体" w:cs="宋体"/>
          <w:sz w:val="24"/>
        </w:rPr>
      </w:pPr>
      <w:r>
        <w:rPr>
          <w:rFonts w:hint="eastAsia" w:ascii="宋体" w:hAnsi="宋体" w:cs="宋体"/>
          <w:sz w:val="24"/>
        </w:rPr>
        <w:t>（3）我方承诺报价低于同类货物和服务的市场平均价格。</w:t>
      </w:r>
    </w:p>
    <w:p w14:paraId="1A0BA63D">
      <w:pPr>
        <w:spacing w:line="360" w:lineRule="auto"/>
        <w:ind w:firstLine="630"/>
        <w:rPr>
          <w:rFonts w:ascii="宋体" w:hAnsi="宋体" w:cs="宋体"/>
          <w:sz w:val="24"/>
        </w:rPr>
      </w:pPr>
      <w:r>
        <w:rPr>
          <w:rFonts w:hint="eastAsia" w:ascii="宋体" w:hAnsi="宋体" w:cs="宋体"/>
          <w:sz w:val="24"/>
        </w:rPr>
        <w:t>（4）我方已详细审核全部招标文件，包括招标文件修改书（如有），参考资料及有关附件，我方正式认可本次招标文件，并对招标文件各项条款（包括开标时间）均无异议。我方知道必须放弃提出含糊不清或误解的问题的权利。</w:t>
      </w:r>
    </w:p>
    <w:p w14:paraId="32A398ED">
      <w:pPr>
        <w:spacing w:line="360" w:lineRule="auto"/>
        <w:ind w:firstLine="630"/>
        <w:rPr>
          <w:rFonts w:ascii="宋体" w:hAnsi="宋体" w:cs="宋体"/>
          <w:sz w:val="24"/>
        </w:rPr>
      </w:pPr>
      <w:r>
        <w:rPr>
          <w:rFonts w:hint="eastAsia" w:ascii="宋体" w:hAnsi="宋体" w:cs="宋体"/>
          <w:sz w:val="24"/>
        </w:rPr>
        <w:t>（5）我方同意从招标文件规定的开标日期起遵循本投标文件，并在招标文件规定的投标有效期之前均具有约束力，同意投标函此统一格式填写，由法定代表人签字和盖章。</w:t>
      </w:r>
    </w:p>
    <w:p w14:paraId="64F0982B">
      <w:pPr>
        <w:spacing w:line="360" w:lineRule="auto"/>
        <w:ind w:firstLine="630"/>
        <w:rPr>
          <w:rFonts w:ascii="宋体" w:hAnsi="宋体" w:cs="宋体"/>
          <w:sz w:val="24"/>
        </w:rPr>
      </w:pPr>
      <w:r>
        <w:rPr>
          <w:rFonts w:hint="eastAsia" w:ascii="宋体" w:hAnsi="宋体" w:cs="宋体"/>
          <w:sz w:val="24"/>
        </w:rPr>
        <w:t>（6）我方声明投标文件所提供的一切资料及周口市公共资源交易中心会员库申报资料均真实、及时、有效。由于我方提供资料不实而造成的责任和后果由我方承担。我方同意按照贵方提出的要求，提供与投标有关的任何证据、数据或资料。</w:t>
      </w:r>
    </w:p>
    <w:p w14:paraId="5FB5498F">
      <w:pPr>
        <w:spacing w:line="360" w:lineRule="auto"/>
        <w:ind w:firstLine="630"/>
        <w:rPr>
          <w:rFonts w:ascii="宋体" w:hAnsi="宋体" w:cs="宋体"/>
          <w:sz w:val="24"/>
        </w:rPr>
      </w:pPr>
      <w:r>
        <w:rPr>
          <w:rFonts w:hint="eastAsia" w:ascii="宋体" w:hAnsi="宋体" w:cs="宋体"/>
          <w:sz w:val="24"/>
        </w:rPr>
        <w:t>（7）我方完全理解贵方不一定接受最低报价的投标。</w:t>
      </w:r>
    </w:p>
    <w:p w14:paraId="19EDA6DB">
      <w:pPr>
        <w:spacing w:line="360" w:lineRule="auto"/>
        <w:ind w:firstLine="630"/>
        <w:rPr>
          <w:rFonts w:ascii="宋体" w:hAnsi="宋体" w:cs="宋体"/>
          <w:sz w:val="24"/>
          <w:u w:val="single"/>
        </w:rPr>
      </w:pPr>
      <w:r>
        <w:rPr>
          <w:rFonts w:hint="eastAsia" w:ascii="宋体" w:hAnsi="宋体" w:cs="宋体"/>
          <w:sz w:val="24"/>
        </w:rPr>
        <w:t>（8）与本投标有关的通讯地址：</w:t>
      </w:r>
      <w:r>
        <w:rPr>
          <w:rFonts w:hint="eastAsia" w:ascii="宋体" w:hAnsi="宋体" w:cs="宋体"/>
          <w:sz w:val="24"/>
          <w:u w:val="single"/>
        </w:rPr>
        <w:t xml:space="preserve">                                  </w:t>
      </w:r>
    </w:p>
    <w:p w14:paraId="0E6016F0">
      <w:pPr>
        <w:spacing w:line="380" w:lineRule="exact"/>
        <w:ind w:firstLine="3600" w:firstLineChars="1500"/>
        <w:rPr>
          <w:rFonts w:ascii="宋体" w:hAnsi="宋体" w:cs="宋体"/>
          <w:sz w:val="24"/>
        </w:rPr>
      </w:pPr>
    </w:p>
    <w:p w14:paraId="09EE0FDC">
      <w:pPr>
        <w:spacing w:line="380" w:lineRule="exact"/>
        <w:ind w:firstLine="3600" w:firstLineChars="1500"/>
        <w:rPr>
          <w:rFonts w:ascii="宋体" w:hAnsi="宋体" w:cs="宋体"/>
          <w:sz w:val="24"/>
        </w:rPr>
      </w:pPr>
      <w:r>
        <w:rPr>
          <w:rFonts w:hint="eastAsia" w:ascii="宋体" w:hAnsi="宋体" w:cs="宋体"/>
          <w:sz w:val="24"/>
        </w:rPr>
        <w:t>供应商名称：（电子公章）</w:t>
      </w:r>
    </w:p>
    <w:p w14:paraId="7A233C02">
      <w:pPr>
        <w:spacing w:line="380" w:lineRule="exact"/>
        <w:ind w:right="640" w:firstLine="1560" w:firstLineChars="650"/>
        <w:rPr>
          <w:rFonts w:ascii="宋体" w:hAnsi="宋体" w:cs="宋体"/>
          <w:sz w:val="24"/>
        </w:rPr>
      </w:pPr>
    </w:p>
    <w:p w14:paraId="0495734C">
      <w:pPr>
        <w:spacing w:line="380" w:lineRule="exact"/>
        <w:ind w:right="640" w:firstLine="3600" w:firstLineChars="1500"/>
        <w:rPr>
          <w:rFonts w:ascii="宋体" w:hAnsi="宋体" w:cs="宋体"/>
          <w:sz w:val="24"/>
        </w:rPr>
      </w:pPr>
      <w:r>
        <w:rPr>
          <w:rFonts w:hint="eastAsia" w:ascii="宋体" w:hAnsi="宋体" w:cs="宋体"/>
          <w:sz w:val="24"/>
        </w:rPr>
        <w:t>法人代表：</w:t>
      </w:r>
    </w:p>
    <w:p w14:paraId="39645E4A">
      <w:pPr>
        <w:spacing w:line="380" w:lineRule="exact"/>
        <w:jc w:val="center"/>
        <w:rPr>
          <w:rFonts w:ascii="宋体" w:hAnsi="宋体" w:cs="宋体"/>
          <w:sz w:val="24"/>
        </w:rPr>
      </w:pPr>
    </w:p>
    <w:p w14:paraId="2C75D052">
      <w:pPr>
        <w:jc w:val="center"/>
        <w:rPr>
          <w:rFonts w:ascii="宋体" w:hAnsi="宋体" w:cs="宋体"/>
          <w:sz w:val="24"/>
        </w:rPr>
      </w:pPr>
      <w:r>
        <w:rPr>
          <w:rFonts w:hint="eastAsia" w:ascii="宋体" w:hAnsi="宋体" w:cs="宋体"/>
          <w:sz w:val="24"/>
        </w:rPr>
        <w:t xml:space="preserve">        日期：      年   月    日</w:t>
      </w:r>
    </w:p>
    <w:bookmarkEnd w:id="403"/>
    <w:bookmarkEnd w:id="404"/>
    <w:bookmarkEnd w:id="405"/>
    <w:bookmarkEnd w:id="425"/>
    <w:p w14:paraId="1FE3D3C7">
      <w:pPr>
        <w:pStyle w:val="4"/>
        <w:numPr>
          <w:ilvl w:val="0"/>
          <w:numId w:val="20"/>
        </w:numPr>
        <w:rPr>
          <w:rFonts w:hAnsi="宋体" w:cs="宋体"/>
          <w:sz w:val="28"/>
        </w:rPr>
        <w:sectPr>
          <w:pgSz w:w="11906" w:h="16838"/>
          <w:pgMar w:top="1389" w:right="1304" w:bottom="1440" w:left="1304" w:header="851" w:footer="992" w:gutter="0"/>
          <w:cols w:space="720" w:num="1"/>
          <w:docGrid w:linePitch="312" w:charSpace="0"/>
        </w:sectPr>
      </w:pPr>
    </w:p>
    <w:p w14:paraId="506DDE92">
      <w:pPr>
        <w:pStyle w:val="4"/>
        <w:rPr>
          <w:rFonts w:hAnsi="宋体" w:cs="宋体"/>
          <w:sz w:val="28"/>
        </w:rPr>
      </w:pPr>
      <w:r>
        <w:rPr>
          <w:rFonts w:hint="eastAsia" w:hAnsi="宋体" w:cs="宋体"/>
          <w:sz w:val="28"/>
        </w:rPr>
        <w:t>四.商务/技术偏离表</w:t>
      </w:r>
    </w:p>
    <w:tbl>
      <w:tblPr>
        <w:tblStyle w:val="7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26"/>
        <w:gridCol w:w="1625"/>
        <w:gridCol w:w="1625"/>
        <w:gridCol w:w="1546"/>
        <w:gridCol w:w="1546"/>
        <w:gridCol w:w="1546"/>
      </w:tblGrid>
      <w:tr w14:paraId="39CD3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26" w:type="dxa"/>
          </w:tcPr>
          <w:p w14:paraId="5CBBB032">
            <w:pPr>
              <w:jc w:val="center"/>
            </w:pPr>
            <w:r>
              <w:rPr>
                <w:rFonts w:hint="eastAsia"/>
              </w:rPr>
              <w:t>序号</w:t>
            </w:r>
          </w:p>
        </w:tc>
        <w:tc>
          <w:tcPr>
            <w:tcW w:w="1625" w:type="dxa"/>
          </w:tcPr>
          <w:p w14:paraId="01FC59EC">
            <w:pPr>
              <w:jc w:val="center"/>
            </w:pPr>
            <w:r>
              <w:rPr>
                <w:rFonts w:hint="eastAsia"/>
              </w:rPr>
              <w:t>名称</w:t>
            </w:r>
          </w:p>
        </w:tc>
        <w:tc>
          <w:tcPr>
            <w:tcW w:w="1625" w:type="dxa"/>
          </w:tcPr>
          <w:p w14:paraId="780B7FB1">
            <w:pPr>
              <w:jc w:val="center"/>
            </w:pPr>
            <w:r>
              <w:rPr>
                <w:rFonts w:hint="eastAsia"/>
              </w:rPr>
              <w:t>招标文件要求内容</w:t>
            </w:r>
          </w:p>
        </w:tc>
        <w:tc>
          <w:tcPr>
            <w:tcW w:w="1546" w:type="dxa"/>
          </w:tcPr>
          <w:p w14:paraId="2755CECF">
            <w:pPr>
              <w:jc w:val="center"/>
            </w:pPr>
            <w:r>
              <w:rPr>
                <w:rFonts w:hint="eastAsia"/>
              </w:rPr>
              <w:t>投标文件响应内容</w:t>
            </w:r>
          </w:p>
        </w:tc>
        <w:tc>
          <w:tcPr>
            <w:tcW w:w="1546" w:type="dxa"/>
          </w:tcPr>
          <w:p w14:paraId="763755BC">
            <w:pPr>
              <w:jc w:val="center"/>
            </w:pPr>
            <w:r>
              <w:rPr>
                <w:rFonts w:hint="eastAsia"/>
              </w:rPr>
              <w:t>偏离说明</w:t>
            </w:r>
          </w:p>
        </w:tc>
        <w:tc>
          <w:tcPr>
            <w:tcW w:w="1546" w:type="dxa"/>
          </w:tcPr>
          <w:p w14:paraId="11903E1A">
            <w:pPr>
              <w:jc w:val="center"/>
            </w:pPr>
            <w:r>
              <w:rPr>
                <w:rFonts w:hint="eastAsia"/>
              </w:rPr>
              <w:t>备注</w:t>
            </w:r>
          </w:p>
        </w:tc>
      </w:tr>
      <w:tr w14:paraId="46388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7" w:hRule="atLeast"/>
        </w:trPr>
        <w:tc>
          <w:tcPr>
            <w:tcW w:w="1626" w:type="dxa"/>
          </w:tcPr>
          <w:p w14:paraId="72872B8F">
            <w:pPr>
              <w:jc w:val="center"/>
            </w:pPr>
          </w:p>
        </w:tc>
        <w:tc>
          <w:tcPr>
            <w:tcW w:w="1625" w:type="dxa"/>
          </w:tcPr>
          <w:p w14:paraId="77728257">
            <w:pPr>
              <w:jc w:val="center"/>
            </w:pPr>
          </w:p>
        </w:tc>
        <w:tc>
          <w:tcPr>
            <w:tcW w:w="1625" w:type="dxa"/>
          </w:tcPr>
          <w:p w14:paraId="69493561">
            <w:pPr>
              <w:jc w:val="center"/>
            </w:pPr>
          </w:p>
        </w:tc>
        <w:tc>
          <w:tcPr>
            <w:tcW w:w="1546" w:type="dxa"/>
          </w:tcPr>
          <w:p w14:paraId="0C4C3096">
            <w:pPr>
              <w:jc w:val="center"/>
            </w:pPr>
          </w:p>
        </w:tc>
        <w:tc>
          <w:tcPr>
            <w:tcW w:w="1546" w:type="dxa"/>
          </w:tcPr>
          <w:p w14:paraId="0240EE4E">
            <w:pPr>
              <w:jc w:val="center"/>
            </w:pPr>
          </w:p>
        </w:tc>
        <w:tc>
          <w:tcPr>
            <w:tcW w:w="1546" w:type="dxa"/>
          </w:tcPr>
          <w:p w14:paraId="125111A1">
            <w:pPr>
              <w:jc w:val="center"/>
            </w:pPr>
          </w:p>
        </w:tc>
      </w:tr>
      <w:tr w14:paraId="33FD4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8" w:hRule="atLeast"/>
        </w:trPr>
        <w:tc>
          <w:tcPr>
            <w:tcW w:w="1626" w:type="dxa"/>
          </w:tcPr>
          <w:p w14:paraId="24140A41"/>
        </w:tc>
        <w:tc>
          <w:tcPr>
            <w:tcW w:w="1625" w:type="dxa"/>
          </w:tcPr>
          <w:p w14:paraId="138A04FE"/>
        </w:tc>
        <w:tc>
          <w:tcPr>
            <w:tcW w:w="1625" w:type="dxa"/>
          </w:tcPr>
          <w:p w14:paraId="1F8F4BD6"/>
        </w:tc>
        <w:tc>
          <w:tcPr>
            <w:tcW w:w="1546" w:type="dxa"/>
          </w:tcPr>
          <w:p w14:paraId="3BE649D8"/>
        </w:tc>
        <w:tc>
          <w:tcPr>
            <w:tcW w:w="1546" w:type="dxa"/>
          </w:tcPr>
          <w:p w14:paraId="146CB27F"/>
        </w:tc>
        <w:tc>
          <w:tcPr>
            <w:tcW w:w="1546" w:type="dxa"/>
          </w:tcPr>
          <w:p w14:paraId="6A86FAF1"/>
        </w:tc>
      </w:tr>
    </w:tbl>
    <w:p w14:paraId="028AD81D"/>
    <w:p w14:paraId="57C49E72"/>
    <w:p w14:paraId="72C66493"/>
    <w:p w14:paraId="4E4846C3">
      <w:pPr>
        <w:spacing w:line="380" w:lineRule="exact"/>
        <w:jc w:val="left"/>
        <w:rPr>
          <w:rFonts w:ascii="宋体" w:hAnsi="宋体" w:cs="宋体"/>
          <w:sz w:val="24"/>
        </w:rPr>
      </w:pPr>
      <w:r>
        <w:rPr>
          <w:rFonts w:hint="eastAsia" w:ascii="宋体" w:hAnsi="宋体" w:cs="宋体"/>
          <w:sz w:val="24"/>
        </w:rPr>
        <w:t>供应商名称：（电子公章）</w:t>
      </w:r>
    </w:p>
    <w:p w14:paraId="7153BCFB">
      <w:pPr>
        <w:spacing w:line="380" w:lineRule="exact"/>
        <w:ind w:right="640" w:firstLine="1560" w:firstLineChars="650"/>
        <w:jc w:val="left"/>
        <w:rPr>
          <w:rFonts w:ascii="宋体" w:hAnsi="宋体" w:cs="宋体"/>
          <w:sz w:val="24"/>
        </w:rPr>
      </w:pPr>
    </w:p>
    <w:p w14:paraId="1D00797F">
      <w:pPr>
        <w:spacing w:line="380" w:lineRule="exact"/>
        <w:ind w:right="640"/>
        <w:jc w:val="left"/>
        <w:rPr>
          <w:rFonts w:ascii="宋体" w:hAnsi="宋体" w:cs="宋体"/>
          <w:sz w:val="24"/>
        </w:rPr>
      </w:pPr>
      <w:r>
        <w:rPr>
          <w:rFonts w:hint="eastAsia" w:ascii="宋体" w:hAnsi="宋体" w:cs="宋体"/>
          <w:sz w:val="24"/>
        </w:rPr>
        <w:t>法人代表：</w:t>
      </w:r>
    </w:p>
    <w:p w14:paraId="16ECFF9F">
      <w:pPr>
        <w:jc w:val="right"/>
        <w:rPr>
          <w:rFonts w:ascii="宋体" w:hAnsi="宋体" w:cs="宋体"/>
          <w:sz w:val="24"/>
        </w:rPr>
      </w:pPr>
      <w:r>
        <w:rPr>
          <w:rFonts w:hint="eastAsia" w:ascii="宋体" w:hAnsi="宋体" w:cs="宋体"/>
          <w:sz w:val="24"/>
        </w:rPr>
        <w:t xml:space="preserve">               日期：      年   月    日</w:t>
      </w:r>
    </w:p>
    <w:p w14:paraId="08485A96">
      <w:pPr>
        <w:adjustRightInd w:val="0"/>
        <w:snapToGrid w:val="0"/>
        <w:spacing w:line="360" w:lineRule="auto"/>
        <w:rPr>
          <w:rFonts w:ascii="宋体" w:hAnsi="宋体" w:cs="宋体"/>
          <w:b/>
          <w:bCs/>
          <w:sz w:val="24"/>
          <w:szCs w:val="28"/>
        </w:rPr>
      </w:pPr>
      <w:r>
        <w:rPr>
          <w:rFonts w:hint="eastAsia" w:ascii="宋体" w:hAnsi="宋体" w:cs="宋体"/>
          <w:b/>
          <w:bCs/>
          <w:sz w:val="24"/>
          <w:szCs w:val="28"/>
        </w:rPr>
        <w:t>备注：</w:t>
      </w:r>
    </w:p>
    <w:p w14:paraId="59A418F7">
      <w:pPr>
        <w:adjustRightInd w:val="0"/>
        <w:snapToGrid w:val="0"/>
        <w:spacing w:line="360" w:lineRule="auto"/>
        <w:rPr>
          <w:rFonts w:ascii="宋体" w:hAnsi="宋体" w:cs="宋体"/>
          <w:b/>
          <w:bCs/>
          <w:sz w:val="24"/>
          <w:szCs w:val="28"/>
        </w:rPr>
      </w:pPr>
      <w:r>
        <w:rPr>
          <w:rFonts w:hint="eastAsia" w:ascii="宋体" w:hAnsi="宋体" w:cs="宋体"/>
          <w:b/>
          <w:bCs/>
          <w:sz w:val="24"/>
          <w:szCs w:val="28"/>
        </w:rPr>
        <w:t>1、投标人必须将投标文件偏离部分在上表进行描述；如无偏离则填写无偏离即可。</w:t>
      </w:r>
    </w:p>
    <w:p w14:paraId="766F89F8">
      <w:pPr>
        <w:adjustRightInd w:val="0"/>
        <w:snapToGrid w:val="0"/>
        <w:spacing w:line="360" w:lineRule="auto"/>
        <w:rPr>
          <w:rFonts w:ascii="宋体" w:hAnsi="宋体" w:cs="宋体"/>
          <w:b/>
          <w:bCs/>
          <w:sz w:val="24"/>
          <w:szCs w:val="28"/>
        </w:rPr>
      </w:pPr>
      <w:r>
        <w:rPr>
          <w:rFonts w:hint="eastAsia" w:ascii="宋体" w:hAnsi="宋体" w:cs="宋体"/>
          <w:b/>
          <w:bCs/>
          <w:sz w:val="24"/>
          <w:szCs w:val="28"/>
        </w:rPr>
        <w:t>2、投标人所投服务如与招标文件要求不一致，则须在上表偏离说明中详细注明。</w:t>
      </w:r>
    </w:p>
    <w:p w14:paraId="334FFCFD">
      <w:pPr>
        <w:pStyle w:val="51"/>
        <w:rPr>
          <w:rFonts w:ascii="宋体" w:hAnsi="宋体" w:cs="宋体"/>
        </w:rPr>
      </w:pPr>
    </w:p>
    <w:p w14:paraId="6EE2DB1F">
      <w:pPr>
        <w:pStyle w:val="51"/>
        <w:rPr>
          <w:rFonts w:ascii="宋体" w:hAnsi="宋体" w:cs="宋体"/>
        </w:rPr>
      </w:pPr>
    </w:p>
    <w:p w14:paraId="26B425E8">
      <w:pPr>
        <w:pStyle w:val="51"/>
        <w:rPr>
          <w:rFonts w:ascii="宋体" w:hAnsi="宋体" w:cs="宋体"/>
        </w:rPr>
      </w:pPr>
    </w:p>
    <w:p w14:paraId="228920BD">
      <w:pPr>
        <w:pStyle w:val="51"/>
        <w:rPr>
          <w:rFonts w:ascii="宋体" w:hAnsi="宋体" w:cs="宋体"/>
        </w:rPr>
      </w:pPr>
    </w:p>
    <w:p w14:paraId="4AB7A562">
      <w:pPr>
        <w:pStyle w:val="51"/>
        <w:rPr>
          <w:rFonts w:ascii="宋体" w:hAnsi="宋体" w:cs="宋体"/>
        </w:rPr>
      </w:pPr>
    </w:p>
    <w:p w14:paraId="10235B94">
      <w:pPr>
        <w:pStyle w:val="51"/>
        <w:rPr>
          <w:rFonts w:ascii="宋体" w:hAnsi="宋体" w:cs="宋体"/>
        </w:rPr>
      </w:pPr>
    </w:p>
    <w:p w14:paraId="5D510E76">
      <w:pPr>
        <w:pStyle w:val="51"/>
        <w:rPr>
          <w:rFonts w:ascii="宋体" w:hAnsi="宋体" w:cs="宋体"/>
        </w:rPr>
      </w:pPr>
    </w:p>
    <w:p w14:paraId="084244D0">
      <w:pPr>
        <w:pStyle w:val="4"/>
        <w:rPr>
          <w:rFonts w:hAnsi="宋体" w:cs="宋体"/>
          <w:sz w:val="28"/>
        </w:rPr>
        <w:sectPr>
          <w:pgSz w:w="11906" w:h="16838"/>
          <w:pgMar w:top="1389" w:right="1304" w:bottom="1440" w:left="1304" w:header="851" w:footer="992" w:gutter="0"/>
          <w:cols w:space="720" w:num="1"/>
          <w:docGrid w:linePitch="312" w:charSpace="0"/>
        </w:sectPr>
      </w:pPr>
      <w:bookmarkStart w:id="434" w:name="_Hlt509738950"/>
      <w:bookmarkEnd w:id="434"/>
      <w:bookmarkStart w:id="435" w:name="_Toc1906"/>
      <w:bookmarkStart w:id="436" w:name="_Toc19673"/>
      <w:bookmarkStart w:id="437" w:name="_Toc220232400"/>
      <w:bookmarkStart w:id="438" w:name="_Toc28604"/>
      <w:bookmarkStart w:id="439" w:name="_Toc12471"/>
      <w:bookmarkStart w:id="440" w:name="_Toc40975454"/>
      <w:bookmarkStart w:id="441" w:name="_Toc2238_WPSOffice_Level2"/>
    </w:p>
    <w:p w14:paraId="6BEC31CE">
      <w:pPr>
        <w:pStyle w:val="4"/>
        <w:rPr>
          <w:rFonts w:hAnsi="宋体" w:cs="宋体"/>
          <w:sz w:val="28"/>
          <w:szCs w:val="36"/>
        </w:rPr>
      </w:pPr>
      <w:r>
        <w:rPr>
          <w:rFonts w:hint="eastAsia" w:hAnsi="宋体" w:cs="宋体"/>
          <w:sz w:val="28"/>
        </w:rPr>
        <w:t>五．服务承诺</w:t>
      </w:r>
      <w:bookmarkEnd w:id="435"/>
      <w:bookmarkEnd w:id="436"/>
      <w:bookmarkEnd w:id="437"/>
      <w:bookmarkEnd w:id="438"/>
      <w:bookmarkEnd w:id="439"/>
      <w:bookmarkEnd w:id="440"/>
      <w:bookmarkEnd w:id="441"/>
    </w:p>
    <w:p w14:paraId="044DF477">
      <w:pPr>
        <w:spacing w:before="48" w:beforeLines="20" w:after="48" w:afterLines="20" w:line="360" w:lineRule="auto"/>
        <w:jc w:val="center"/>
        <w:rPr>
          <w:rFonts w:ascii="宋体" w:hAnsi="宋体" w:cs="宋体"/>
          <w:sz w:val="24"/>
        </w:rPr>
      </w:pPr>
      <w:r>
        <w:rPr>
          <w:rFonts w:hint="eastAsia" w:ascii="宋体" w:hAnsi="宋体" w:cs="宋体"/>
          <w:sz w:val="24"/>
        </w:rPr>
        <w:t>(投标人可自行制作格式)</w:t>
      </w:r>
    </w:p>
    <w:p w14:paraId="6615DE3E">
      <w:pPr>
        <w:spacing w:before="48" w:beforeLines="20" w:after="48" w:afterLines="20" w:line="360" w:lineRule="auto"/>
        <w:rPr>
          <w:rFonts w:ascii="宋体" w:hAnsi="宋体" w:cs="宋体"/>
          <w:sz w:val="28"/>
        </w:rPr>
      </w:pPr>
    </w:p>
    <w:p w14:paraId="6BF593BF">
      <w:pPr>
        <w:pStyle w:val="51"/>
        <w:rPr>
          <w:rFonts w:ascii="宋体" w:hAnsi="宋体" w:cs="宋体"/>
        </w:rPr>
      </w:pPr>
    </w:p>
    <w:p w14:paraId="41F4DA9B">
      <w:pPr>
        <w:pStyle w:val="51"/>
        <w:rPr>
          <w:rFonts w:ascii="宋体" w:hAnsi="宋体" w:cs="宋体"/>
        </w:rPr>
      </w:pPr>
    </w:p>
    <w:p w14:paraId="5FA4A987">
      <w:pPr>
        <w:pStyle w:val="51"/>
        <w:rPr>
          <w:rFonts w:ascii="宋体" w:hAnsi="宋体" w:cs="宋体"/>
        </w:rPr>
      </w:pPr>
    </w:p>
    <w:p w14:paraId="30EB30A1">
      <w:pPr>
        <w:pStyle w:val="51"/>
        <w:rPr>
          <w:rFonts w:ascii="宋体" w:hAnsi="宋体" w:cs="宋体"/>
        </w:rPr>
      </w:pPr>
    </w:p>
    <w:p w14:paraId="19723D4C">
      <w:pPr>
        <w:pStyle w:val="51"/>
        <w:rPr>
          <w:rFonts w:ascii="宋体" w:hAnsi="宋体" w:cs="宋体"/>
        </w:rPr>
      </w:pPr>
    </w:p>
    <w:p w14:paraId="55A4DA61">
      <w:pPr>
        <w:pStyle w:val="51"/>
        <w:rPr>
          <w:rFonts w:ascii="宋体" w:hAnsi="宋体" w:cs="宋体"/>
        </w:rPr>
      </w:pPr>
    </w:p>
    <w:p w14:paraId="26B84026">
      <w:pPr>
        <w:pStyle w:val="51"/>
        <w:rPr>
          <w:rFonts w:ascii="宋体" w:hAnsi="宋体" w:cs="宋体"/>
        </w:rPr>
      </w:pPr>
    </w:p>
    <w:p w14:paraId="29614DBE">
      <w:pPr>
        <w:pStyle w:val="51"/>
        <w:rPr>
          <w:rFonts w:ascii="宋体" w:hAnsi="宋体" w:cs="宋体"/>
        </w:rPr>
      </w:pPr>
    </w:p>
    <w:p w14:paraId="39082030">
      <w:pPr>
        <w:pStyle w:val="51"/>
        <w:rPr>
          <w:rFonts w:ascii="宋体" w:hAnsi="宋体" w:cs="宋体"/>
        </w:rPr>
      </w:pPr>
    </w:p>
    <w:p w14:paraId="35E329A7">
      <w:pPr>
        <w:pStyle w:val="51"/>
        <w:rPr>
          <w:rFonts w:ascii="宋体" w:hAnsi="宋体" w:cs="宋体"/>
        </w:rPr>
      </w:pPr>
    </w:p>
    <w:p w14:paraId="02DA2083">
      <w:pPr>
        <w:pStyle w:val="51"/>
        <w:rPr>
          <w:rFonts w:ascii="宋体" w:hAnsi="宋体" w:cs="宋体"/>
        </w:rPr>
      </w:pPr>
    </w:p>
    <w:p w14:paraId="70A88779">
      <w:pPr>
        <w:pStyle w:val="51"/>
        <w:rPr>
          <w:rFonts w:ascii="宋体" w:hAnsi="宋体" w:cs="宋体"/>
        </w:rPr>
      </w:pPr>
    </w:p>
    <w:p w14:paraId="133B1F3C">
      <w:pPr>
        <w:pStyle w:val="51"/>
        <w:rPr>
          <w:rFonts w:ascii="宋体" w:hAnsi="宋体" w:cs="宋体"/>
        </w:rPr>
      </w:pPr>
    </w:p>
    <w:p w14:paraId="40EB5EE0">
      <w:pPr>
        <w:pStyle w:val="51"/>
        <w:rPr>
          <w:rFonts w:ascii="宋体" w:hAnsi="宋体" w:cs="宋体"/>
        </w:rPr>
      </w:pPr>
    </w:p>
    <w:p w14:paraId="5B3066E1">
      <w:pPr>
        <w:pStyle w:val="51"/>
        <w:rPr>
          <w:rFonts w:ascii="宋体" w:hAnsi="宋体" w:cs="宋体"/>
        </w:rPr>
      </w:pPr>
    </w:p>
    <w:p w14:paraId="7BCFBD2E">
      <w:pPr>
        <w:pStyle w:val="51"/>
        <w:rPr>
          <w:rFonts w:ascii="宋体" w:hAnsi="宋体" w:cs="宋体"/>
        </w:rPr>
      </w:pPr>
    </w:p>
    <w:p w14:paraId="45D9451A">
      <w:pPr>
        <w:pStyle w:val="51"/>
        <w:rPr>
          <w:rFonts w:ascii="宋体" w:hAnsi="宋体" w:cs="宋体"/>
        </w:rPr>
      </w:pPr>
    </w:p>
    <w:p w14:paraId="231D490B">
      <w:pPr>
        <w:pStyle w:val="51"/>
        <w:rPr>
          <w:rFonts w:ascii="宋体" w:hAnsi="宋体" w:cs="宋体"/>
        </w:rPr>
      </w:pPr>
    </w:p>
    <w:p w14:paraId="7342AD4A">
      <w:pPr>
        <w:pStyle w:val="51"/>
        <w:rPr>
          <w:rFonts w:ascii="宋体" w:hAnsi="宋体" w:cs="宋体"/>
        </w:rPr>
      </w:pPr>
    </w:p>
    <w:p w14:paraId="321FBA9A">
      <w:pPr>
        <w:pStyle w:val="4"/>
        <w:rPr>
          <w:rFonts w:hAnsi="宋体" w:cs="宋体"/>
          <w:sz w:val="28"/>
          <w:szCs w:val="36"/>
        </w:rPr>
      </w:pPr>
      <w:bookmarkStart w:id="442" w:name="_Toc7332"/>
      <w:bookmarkStart w:id="443" w:name="_Toc8310"/>
      <w:bookmarkStart w:id="444" w:name="_Toc220232402"/>
      <w:bookmarkStart w:id="445" w:name="_Toc40975456"/>
      <w:bookmarkStart w:id="446" w:name="_Toc25061"/>
      <w:bookmarkStart w:id="447" w:name="_Toc235"/>
      <w:bookmarkStart w:id="448" w:name="_Toc516969105"/>
      <w:bookmarkStart w:id="449" w:name="_Toc5312_WPSOffice_Level2"/>
      <w:r>
        <w:rPr>
          <w:rFonts w:hint="eastAsia" w:hAnsi="宋体" w:cs="宋体"/>
          <w:sz w:val="28"/>
        </w:rPr>
        <w:t>六．有关证明文件</w:t>
      </w:r>
      <w:bookmarkEnd w:id="442"/>
      <w:bookmarkEnd w:id="443"/>
      <w:bookmarkEnd w:id="444"/>
      <w:bookmarkEnd w:id="445"/>
      <w:bookmarkEnd w:id="446"/>
      <w:bookmarkEnd w:id="447"/>
      <w:bookmarkEnd w:id="448"/>
      <w:bookmarkEnd w:id="449"/>
    </w:p>
    <w:p w14:paraId="6E31F673">
      <w:pPr>
        <w:tabs>
          <w:tab w:val="left" w:pos="4620"/>
        </w:tabs>
        <w:spacing w:line="360" w:lineRule="auto"/>
        <w:ind w:firstLine="480" w:firstLineChars="200"/>
        <w:rPr>
          <w:rFonts w:ascii="宋体" w:hAnsi="宋体" w:cs="宋体"/>
          <w:sz w:val="24"/>
        </w:rPr>
      </w:pPr>
      <w:r>
        <w:rPr>
          <w:rFonts w:hint="eastAsia" w:ascii="宋体" w:hAnsi="宋体" w:cs="宋体"/>
          <w:sz w:val="24"/>
        </w:rPr>
        <w:t>提供符合投标邀请（招标公告）、需求一览表及评标办法规定的相关证明文件。</w:t>
      </w:r>
    </w:p>
    <w:p w14:paraId="251E0FEF">
      <w:pPr>
        <w:tabs>
          <w:tab w:val="left" w:pos="4620"/>
        </w:tabs>
        <w:spacing w:line="360" w:lineRule="auto"/>
        <w:ind w:firstLine="480" w:firstLineChars="200"/>
        <w:rPr>
          <w:rFonts w:ascii="宋体" w:hAnsi="宋体" w:cs="宋体"/>
          <w:sz w:val="24"/>
        </w:rPr>
      </w:pPr>
    </w:p>
    <w:p w14:paraId="7E63F421">
      <w:pPr>
        <w:tabs>
          <w:tab w:val="left" w:pos="4620"/>
        </w:tabs>
        <w:spacing w:line="360" w:lineRule="auto"/>
        <w:ind w:firstLine="480" w:firstLineChars="200"/>
        <w:rPr>
          <w:rFonts w:ascii="宋体" w:hAnsi="宋体" w:cs="宋体"/>
          <w:sz w:val="24"/>
        </w:rPr>
      </w:pPr>
    </w:p>
    <w:p w14:paraId="1092D7D6">
      <w:pPr>
        <w:tabs>
          <w:tab w:val="left" w:pos="4620"/>
        </w:tabs>
        <w:spacing w:line="360" w:lineRule="auto"/>
        <w:ind w:firstLine="480" w:firstLineChars="200"/>
        <w:rPr>
          <w:rFonts w:ascii="宋体" w:hAnsi="宋体" w:cs="宋体"/>
          <w:sz w:val="24"/>
        </w:rPr>
      </w:pPr>
    </w:p>
    <w:p w14:paraId="20ECE777">
      <w:pPr>
        <w:tabs>
          <w:tab w:val="left" w:pos="4620"/>
        </w:tabs>
        <w:spacing w:line="360" w:lineRule="auto"/>
        <w:ind w:firstLine="480" w:firstLineChars="200"/>
        <w:rPr>
          <w:rFonts w:ascii="宋体" w:hAnsi="宋体" w:cs="宋体"/>
          <w:sz w:val="24"/>
        </w:rPr>
      </w:pPr>
    </w:p>
    <w:p w14:paraId="3D7DCEA8">
      <w:pPr>
        <w:tabs>
          <w:tab w:val="left" w:pos="4620"/>
        </w:tabs>
        <w:spacing w:line="360" w:lineRule="auto"/>
        <w:ind w:firstLine="480" w:firstLineChars="200"/>
        <w:rPr>
          <w:rFonts w:ascii="宋体" w:hAnsi="宋体" w:cs="宋体"/>
          <w:sz w:val="24"/>
        </w:rPr>
      </w:pPr>
    </w:p>
    <w:p w14:paraId="70A4A2AF">
      <w:pPr>
        <w:tabs>
          <w:tab w:val="left" w:pos="4620"/>
        </w:tabs>
        <w:spacing w:line="360" w:lineRule="auto"/>
        <w:ind w:firstLine="480" w:firstLineChars="200"/>
        <w:rPr>
          <w:rFonts w:ascii="宋体" w:hAnsi="宋体" w:cs="宋体"/>
          <w:sz w:val="24"/>
        </w:rPr>
      </w:pPr>
    </w:p>
    <w:p w14:paraId="3E4D6DC3">
      <w:pPr>
        <w:tabs>
          <w:tab w:val="left" w:pos="4620"/>
        </w:tabs>
        <w:spacing w:line="360" w:lineRule="auto"/>
        <w:ind w:firstLine="480" w:firstLineChars="200"/>
        <w:rPr>
          <w:rFonts w:ascii="宋体" w:hAnsi="宋体" w:cs="宋体"/>
          <w:sz w:val="24"/>
        </w:rPr>
      </w:pPr>
    </w:p>
    <w:p w14:paraId="693C7632">
      <w:pPr>
        <w:tabs>
          <w:tab w:val="left" w:pos="4620"/>
        </w:tabs>
        <w:spacing w:line="360" w:lineRule="auto"/>
        <w:ind w:firstLine="480" w:firstLineChars="200"/>
        <w:rPr>
          <w:rFonts w:ascii="宋体" w:hAnsi="宋体" w:cs="宋体"/>
          <w:sz w:val="24"/>
        </w:rPr>
      </w:pPr>
    </w:p>
    <w:p w14:paraId="44FE3326">
      <w:pPr>
        <w:tabs>
          <w:tab w:val="left" w:pos="4620"/>
        </w:tabs>
        <w:spacing w:line="360" w:lineRule="auto"/>
        <w:ind w:firstLine="480" w:firstLineChars="200"/>
        <w:rPr>
          <w:rFonts w:ascii="宋体" w:hAnsi="宋体" w:cs="宋体"/>
          <w:sz w:val="24"/>
        </w:rPr>
      </w:pPr>
    </w:p>
    <w:p w14:paraId="6EE608F9">
      <w:pPr>
        <w:tabs>
          <w:tab w:val="left" w:pos="4620"/>
        </w:tabs>
        <w:spacing w:line="360" w:lineRule="auto"/>
        <w:ind w:firstLine="480" w:firstLineChars="200"/>
        <w:rPr>
          <w:rFonts w:ascii="宋体" w:hAnsi="宋体" w:cs="宋体"/>
          <w:sz w:val="24"/>
        </w:rPr>
      </w:pPr>
    </w:p>
    <w:p w14:paraId="5D760F3F">
      <w:pPr>
        <w:tabs>
          <w:tab w:val="left" w:pos="4620"/>
        </w:tabs>
        <w:spacing w:line="360" w:lineRule="auto"/>
        <w:ind w:firstLine="480" w:firstLineChars="200"/>
        <w:rPr>
          <w:rFonts w:ascii="宋体" w:hAnsi="宋体" w:cs="宋体"/>
          <w:sz w:val="24"/>
        </w:rPr>
      </w:pPr>
    </w:p>
    <w:p w14:paraId="30B23B69">
      <w:pPr>
        <w:tabs>
          <w:tab w:val="left" w:pos="4620"/>
        </w:tabs>
        <w:spacing w:line="360" w:lineRule="auto"/>
        <w:ind w:firstLine="480" w:firstLineChars="200"/>
        <w:rPr>
          <w:rFonts w:ascii="宋体" w:hAnsi="宋体" w:cs="宋体"/>
          <w:sz w:val="24"/>
        </w:rPr>
      </w:pPr>
    </w:p>
    <w:p w14:paraId="48E3C1BA">
      <w:pPr>
        <w:tabs>
          <w:tab w:val="left" w:pos="4620"/>
        </w:tabs>
        <w:spacing w:line="360" w:lineRule="auto"/>
        <w:rPr>
          <w:rFonts w:ascii="宋体" w:hAnsi="宋体" w:cs="宋体"/>
          <w:sz w:val="24"/>
        </w:rPr>
      </w:pPr>
    </w:p>
    <w:p w14:paraId="34126505">
      <w:pPr>
        <w:spacing w:line="360" w:lineRule="auto"/>
        <w:ind w:left="2940"/>
        <w:rPr>
          <w:b/>
          <w:bCs/>
          <w:sz w:val="28"/>
          <w:szCs w:val="28"/>
        </w:rPr>
      </w:pPr>
      <w:r>
        <w:rPr>
          <w:rFonts w:hint="eastAsia"/>
          <w:b/>
          <w:bCs/>
          <w:sz w:val="28"/>
          <w:szCs w:val="28"/>
        </w:rPr>
        <w:t>七．中小企业声明函（工程、服务）</w:t>
      </w:r>
    </w:p>
    <w:p w14:paraId="4D9A6D4E">
      <w:pPr>
        <w:spacing w:line="360" w:lineRule="auto"/>
        <w:rPr>
          <w:b/>
          <w:bCs/>
          <w:sz w:val="32"/>
          <w:szCs w:val="32"/>
        </w:rPr>
      </w:pPr>
    </w:p>
    <w:p w14:paraId="3F949F4D">
      <w:pPr>
        <w:spacing w:line="360" w:lineRule="auto"/>
        <w:ind w:firstLine="480" w:firstLineChars="200"/>
        <w:rPr>
          <w:rFonts w:ascii="宋体" w:hAnsi="宋体" w:cs="宋体"/>
          <w:sz w:val="24"/>
          <w:szCs w:val="24"/>
        </w:rPr>
      </w:pPr>
      <w:r>
        <w:rPr>
          <w:rFonts w:hint="eastAsia" w:ascii="宋体" w:hAnsi="宋体" w:cs="宋体"/>
          <w:sz w:val="24"/>
          <w:szCs w:val="24"/>
        </w:rPr>
        <w:t>本公司（联合体）郑重声明，根据《政府采购促进中小企业发展管理办法》（财库﹝2020﹞46号）的规定，本公司（联合体）参加</w:t>
      </w:r>
      <w:r>
        <w:rPr>
          <w:rFonts w:hint="eastAsia" w:ascii="宋体" w:hAnsi="宋体" w:cs="宋体"/>
          <w:sz w:val="24"/>
          <w:szCs w:val="24"/>
          <w:u w:val="single"/>
        </w:rPr>
        <w:t>（单位名称）</w:t>
      </w:r>
      <w:r>
        <w:rPr>
          <w:rFonts w:hint="eastAsia" w:ascii="宋体" w:hAnsi="宋体" w:cs="宋体"/>
          <w:sz w:val="24"/>
          <w:szCs w:val="24"/>
        </w:rPr>
        <w:t>的</w:t>
      </w:r>
      <w:r>
        <w:rPr>
          <w:rFonts w:hint="eastAsia" w:ascii="宋体" w:hAnsi="宋体" w:cs="宋体"/>
          <w:sz w:val="24"/>
          <w:szCs w:val="24"/>
          <w:u w:val="single"/>
        </w:rPr>
        <w:t>（项目名称）</w:t>
      </w:r>
      <w:r>
        <w:rPr>
          <w:rFonts w:hint="eastAsia" w:ascii="宋体" w:hAnsi="宋体" w:cs="宋体"/>
          <w:sz w:val="24"/>
          <w:szCs w:val="24"/>
        </w:rPr>
        <w:t>采购活动，工程的施工单位全部为符合政策要求的中小企业</w:t>
      </w:r>
      <w:r>
        <w:rPr>
          <w:rFonts w:hint="eastAsia" w:ascii="宋体" w:hAnsi="宋体" w:cs="宋体"/>
          <w:sz w:val="24"/>
          <w:szCs w:val="24"/>
          <w:u w:val="single"/>
        </w:rPr>
        <w:t>（或者：服务全部由符合政策要求的中小企业承接）</w:t>
      </w:r>
      <w:r>
        <w:rPr>
          <w:rFonts w:hint="eastAsia" w:ascii="宋体" w:hAnsi="宋体" w:cs="宋体"/>
          <w:sz w:val="24"/>
          <w:szCs w:val="24"/>
        </w:rPr>
        <w:t>。相关企业</w:t>
      </w:r>
      <w:r>
        <w:rPr>
          <w:rFonts w:hint="eastAsia" w:ascii="宋体" w:hAnsi="宋体" w:cs="宋体"/>
          <w:sz w:val="24"/>
          <w:szCs w:val="24"/>
          <w:u w:val="single"/>
        </w:rPr>
        <w:t>（含联合体中的中小企业、签订分包意向协议的中小企业）</w:t>
      </w:r>
      <w:r>
        <w:rPr>
          <w:rFonts w:hint="eastAsia" w:ascii="宋体" w:hAnsi="宋体" w:cs="宋体"/>
          <w:sz w:val="24"/>
          <w:szCs w:val="24"/>
        </w:rPr>
        <w:t>的具体情 况如下：</w:t>
      </w:r>
    </w:p>
    <w:p w14:paraId="55C2A32C">
      <w:pPr>
        <w:spacing w:line="360" w:lineRule="auto"/>
        <w:ind w:firstLine="480" w:firstLineChars="200"/>
        <w:rPr>
          <w:rFonts w:ascii="宋体" w:hAnsi="宋体" w:cs="宋体"/>
          <w:sz w:val="24"/>
          <w:szCs w:val="24"/>
        </w:rPr>
      </w:pPr>
      <w:r>
        <w:rPr>
          <w:rFonts w:hint="eastAsia" w:ascii="宋体" w:hAnsi="宋体" w:cs="宋体"/>
          <w:sz w:val="24"/>
          <w:szCs w:val="24"/>
        </w:rPr>
        <w:t>1.</w:t>
      </w:r>
      <w:r>
        <w:rPr>
          <w:rFonts w:hint="eastAsia" w:ascii="宋体" w:hAnsi="宋体" w:cs="宋体"/>
          <w:sz w:val="24"/>
          <w:szCs w:val="24"/>
          <w:u w:val="single"/>
        </w:rPr>
        <w:t>（标的名称）</w:t>
      </w:r>
      <w:r>
        <w:rPr>
          <w:rFonts w:hint="eastAsia" w:ascii="宋体" w:hAnsi="宋体" w:cs="宋体"/>
          <w:sz w:val="24"/>
          <w:szCs w:val="24"/>
        </w:rPr>
        <w:t>，属于</w:t>
      </w:r>
      <w:r>
        <w:rPr>
          <w:rFonts w:hint="eastAsia" w:ascii="宋体" w:hAnsi="宋体" w:cs="宋体"/>
          <w:sz w:val="24"/>
          <w:szCs w:val="24"/>
          <w:u w:val="single"/>
        </w:rPr>
        <w:t>（采购文件中明确的所属行业）</w:t>
      </w:r>
      <w:r>
        <w:rPr>
          <w:rFonts w:hint="eastAsia" w:ascii="宋体" w:hAnsi="宋体" w:cs="宋体"/>
          <w:sz w:val="24"/>
          <w:szCs w:val="24"/>
        </w:rPr>
        <w:t>； 承建（承接）企业为（企业名称），从业人员</w:t>
      </w:r>
      <w:r>
        <w:rPr>
          <w:rFonts w:hint="eastAsia" w:ascii="宋体" w:hAnsi="宋体" w:cs="宋体"/>
          <w:sz w:val="24"/>
          <w:szCs w:val="24"/>
          <w:u w:val="single"/>
        </w:rPr>
        <w:t xml:space="preserve">   </w:t>
      </w:r>
      <w:r>
        <w:rPr>
          <w:rFonts w:hint="eastAsia" w:ascii="宋体" w:hAnsi="宋体" w:cs="宋体"/>
          <w:sz w:val="24"/>
          <w:szCs w:val="24"/>
        </w:rPr>
        <w:t>人，营业收入为</w:t>
      </w:r>
      <w:r>
        <w:rPr>
          <w:rFonts w:hint="eastAsia" w:ascii="宋体" w:hAnsi="宋体" w:cs="宋体"/>
          <w:sz w:val="24"/>
          <w:szCs w:val="24"/>
          <w:u w:val="single"/>
        </w:rPr>
        <w:t xml:space="preserve">   </w:t>
      </w:r>
      <w:r>
        <w:rPr>
          <w:rFonts w:hint="eastAsia" w:ascii="宋体" w:hAnsi="宋体" w:cs="宋体"/>
          <w:sz w:val="24"/>
          <w:szCs w:val="24"/>
        </w:rPr>
        <w:t>万元，资产总额为</w:t>
      </w:r>
      <w:r>
        <w:rPr>
          <w:rFonts w:hint="eastAsia" w:ascii="宋体" w:hAnsi="宋体" w:cs="宋体"/>
          <w:sz w:val="24"/>
          <w:szCs w:val="24"/>
          <w:u w:val="single"/>
        </w:rPr>
        <w:t xml:space="preserve">   </w:t>
      </w:r>
      <w:r>
        <w:rPr>
          <w:rFonts w:hint="eastAsia" w:ascii="宋体" w:hAnsi="宋体" w:cs="宋体"/>
          <w:sz w:val="24"/>
          <w:szCs w:val="24"/>
        </w:rPr>
        <w:t xml:space="preserve">万元，属于（中型企业、小型企业、微型企业）； </w:t>
      </w:r>
    </w:p>
    <w:p w14:paraId="5BF52C68">
      <w:pPr>
        <w:spacing w:line="360" w:lineRule="auto"/>
        <w:ind w:firstLine="480" w:firstLineChars="200"/>
        <w:rPr>
          <w:rFonts w:ascii="宋体" w:hAnsi="宋体" w:cs="宋体"/>
          <w:sz w:val="24"/>
          <w:szCs w:val="24"/>
        </w:rPr>
      </w:pPr>
      <w:r>
        <w:rPr>
          <w:rFonts w:hint="eastAsia" w:ascii="宋体" w:hAnsi="宋体" w:cs="宋体"/>
          <w:sz w:val="24"/>
          <w:szCs w:val="24"/>
        </w:rPr>
        <w:t>2.</w:t>
      </w:r>
      <w:r>
        <w:rPr>
          <w:rFonts w:hint="eastAsia" w:ascii="宋体" w:hAnsi="宋体" w:cs="宋体"/>
          <w:sz w:val="24"/>
          <w:szCs w:val="24"/>
          <w:u w:val="single"/>
        </w:rPr>
        <w:t>（标的名称）</w:t>
      </w:r>
      <w:r>
        <w:rPr>
          <w:rFonts w:hint="eastAsia" w:ascii="宋体" w:hAnsi="宋体" w:cs="宋体"/>
          <w:sz w:val="24"/>
          <w:szCs w:val="24"/>
        </w:rPr>
        <w:t>，属于</w:t>
      </w:r>
      <w:r>
        <w:rPr>
          <w:rFonts w:hint="eastAsia" w:ascii="宋体" w:hAnsi="宋体" w:cs="宋体"/>
          <w:sz w:val="24"/>
          <w:szCs w:val="24"/>
          <w:u w:val="single"/>
        </w:rPr>
        <w:t>（采购文件中明确的所属行业）</w:t>
      </w:r>
      <w:r>
        <w:rPr>
          <w:rFonts w:hint="eastAsia" w:ascii="宋体" w:hAnsi="宋体" w:cs="宋体"/>
          <w:sz w:val="24"/>
          <w:szCs w:val="24"/>
        </w:rPr>
        <w:t>； 承建（承接）企业为</w:t>
      </w:r>
      <w:r>
        <w:rPr>
          <w:rFonts w:hint="eastAsia" w:ascii="宋体" w:hAnsi="宋体" w:cs="宋体"/>
          <w:sz w:val="24"/>
          <w:szCs w:val="24"/>
          <w:u w:val="single"/>
        </w:rPr>
        <w:t>（企业名称）</w:t>
      </w:r>
      <w:r>
        <w:rPr>
          <w:rFonts w:hint="eastAsia" w:ascii="宋体" w:hAnsi="宋体" w:cs="宋体"/>
          <w:sz w:val="24"/>
          <w:szCs w:val="24"/>
        </w:rPr>
        <w:t>，从业人员</w:t>
      </w:r>
      <w:r>
        <w:rPr>
          <w:rFonts w:hint="eastAsia" w:ascii="宋体" w:hAnsi="宋体" w:cs="宋体"/>
          <w:sz w:val="24"/>
          <w:szCs w:val="24"/>
          <w:u w:val="single"/>
        </w:rPr>
        <w:t xml:space="preserve">    </w:t>
      </w:r>
      <w:r>
        <w:rPr>
          <w:rFonts w:hint="eastAsia" w:ascii="宋体" w:hAnsi="宋体" w:cs="宋体"/>
          <w:sz w:val="24"/>
          <w:szCs w:val="24"/>
        </w:rPr>
        <w:t>人，营业收入为</w:t>
      </w:r>
      <w:r>
        <w:rPr>
          <w:rFonts w:hint="eastAsia" w:ascii="宋体" w:hAnsi="宋体" w:cs="宋体"/>
          <w:sz w:val="24"/>
          <w:szCs w:val="24"/>
          <w:u w:val="single"/>
        </w:rPr>
        <w:t xml:space="preserve">   </w:t>
      </w:r>
      <w:r>
        <w:rPr>
          <w:rFonts w:hint="eastAsia" w:ascii="宋体" w:hAnsi="宋体" w:cs="宋体"/>
          <w:sz w:val="24"/>
          <w:szCs w:val="24"/>
        </w:rPr>
        <w:t>万元，资产总额为</w:t>
      </w:r>
      <w:r>
        <w:rPr>
          <w:rFonts w:hint="eastAsia" w:ascii="宋体" w:hAnsi="宋体" w:cs="宋体"/>
          <w:sz w:val="24"/>
          <w:szCs w:val="24"/>
          <w:u w:val="single"/>
        </w:rPr>
        <w:t xml:space="preserve">    </w:t>
      </w:r>
      <w:r>
        <w:rPr>
          <w:rFonts w:hint="eastAsia" w:ascii="宋体" w:hAnsi="宋体" w:cs="宋体"/>
          <w:sz w:val="24"/>
          <w:szCs w:val="24"/>
        </w:rPr>
        <w:t>万元，属于</w:t>
      </w:r>
      <w:r>
        <w:rPr>
          <w:rFonts w:hint="eastAsia" w:ascii="宋体" w:hAnsi="宋体" w:cs="宋体"/>
          <w:sz w:val="24"/>
          <w:szCs w:val="24"/>
          <w:u w:val="single"/>
        </w:rPr>
        <w:t>（中型企业、 小型企业、微型企业）</w:t>
      </w:r>
      <w:r>
        <w:rPr>
          <w:rFonts w:hint="eastAsia" w:ascii="宋体" w:hAnsi="宋体" w:cs="宋体"/>
          <w:sz w:val="24"/>
          <w:szCs w:val="24"/>
        </w:rPr>
        <w:t>； ……</w:t>
      </w:r>
    </w:p>
    <w:p w14:paraId="3F251EB9">
      <w:pPr>
        <w:spacing w:line="360" w:lineRule="auto"/>
        <w:ind w:firstLine="480" w:firstLineChars="200"/>
        <w:rPr>
          <w:rFonts w:ascii="宋体" w:hAnsi="宋体" w:cs="宋体"/>
          <w:sz w:val="24"/>
          <w:szCs w:val="24"/>
        </w:rPr>
      </w:pPr>
      <w:r>
        <w:rPr>
          <w:rFonts w:hint="eastAsia" w:ascii="宋体" w:hAnsi="宋体" w:cs="宋体"/>
          <w:sz w:val="24"/>
          <w:szCs w:val="24"/>
        </w:rPr>
        <w:t>以上企业，不属于大企业的分支机构，不存在控股股东 为大企业的情形，也不存在与大企业的负责人为同一人的情形。</w:t>
      </w:r>
    </w:p>
    <w:p w14:paraId="05458A2E">
      <w:pPr>
        <w:spacing w:line="360" w:lineRule="auto"/>
        <w:ind w:firstLine="480" w:firstLineChars="200"/>
        <w:rPr>
          <w:rFonts w:ascii="宋体" w:hAnsi="宋体" w:cs="宋体"/>
          <w:sz w:val="24"/>
          <w:szCs w:val="24"/>
        </w:rPr>
      </w:pPr>
      <w:r>
        <w:rPr>
          <w:rFonts w:hint="eastAsia" w:ascii="宋体" w:hAnsi="宋体" w:cs="宋体"/>
          <w:sz w:val="24"/>
          <w:szCs w:val="24"/>
        </w:rPr>
        <w:t xml:space="preserve">本企业对上述声明内容的真实性负责。如有虚假，将依法承担相应责任。 </w:t>
      </w:r>
    </w:p>
    <w:p w14:paraId="12ADF7CE">
      <w:pPr>
        <w:spacing w:line="360" w:lineRule="auto"/>
        <w:ind w:firstLine="3600" w:firstLineChars="1500"/>
        <w:rPr>
          <w:rFonts w:ascii="宋体" w:hAnsi="宋体" w:cs="宋体"/>
          <w:sz w:val="24"/>
          <w:szCs w:val="24"/>
        </w:rPr>
      </w:pPr>
      <w:r>
        <w:rPr>
          <w:rFonts w:hint="eastAsia" w:ascii="宋体" w:hAnsi="宋体" w:cs="宋体"/>
          <w:sz w:val="24"/>
          <w:szCs w:val="24"/>
        </w:rPr>
        <w:t xml:space="preserve">企业名称（盖章）： </w:t>
      </w:r>
    </w:p>
    <w:p w14:paraId="6593A762">
      <w:pPr>
        <w:spacing w:line="360" w:lineRule="auto"/>
        <w:ind w:firstLine="4800" w:firstLineChars="2000"/>
        <w:rPr>
          <w:rFonts w:ascii="宋体" w:hAnsi="宋体" w:cs="宋体"/>
          <w:sz w:val="24"/>
          <w:szCs w:val="24"/>
        </w:rPr>
      </w:pPr>
      <w:r>
        <w:rPr>
          <w:rFonts w:hint="eastAsia" w:ascii="宋体" w:hAnsi="宋体" w:cs="宋体"/>
          <w:sz w:val="24"/>
          <w:szCs w:val="24"/>
        </w:rPr>
        <w:t xml:space="preserve">日 期： </w:t>
      </w:r>
    </w:p>
    <w:p w14:paraId="6496609F">
      <w:pPr>
        <w:pStyle w:val="80"/>
        <w:rPr>
          <w:rFonts w:ascii="宋体" w:hAnsi="宋体" w:cs="宋体"/>
          <w:sz w:val="24"/>
          <w:szCs w:val="24"/>
        </w:rPr>
      </w:pPr>
    </w:p>
    <w:p w14:paraId="5D2FC5B8">
      <w:pPr>
        <w:pStyle w:val="16"/>
        <w:rPr>
          <w:rFonts w:ascii="宋体" w:hAnsi="宋体" w:eastAsia="宋体" w:cs="宋体"/>
          <w:sz w:val="24"/>
          <w:szCs w:val="24"/>
        </w:rPr>
      </w:pPr>
    </w:p>
    <w:p w14:paraId="5D2911C4">
      <w:pPr>
        <w:rPr>
          <w:rFonts w:ascii="宋体" w:hAnsi="宋体" w:cs="宋体"/>
          <w:sz w:val="24"/>
          <w:szCs w:val="24"/>
        </w:rPr>
      </w:pPr>
    </w:p>
    <w:p w14:paraId="3F24C52A">
      <w:pPr>
        <w:pStyle w:val="80"/>
        <w:rPr>
          <w:rFonts w:ascii="宋体" w:hAnsi="宋体" w:cs="宋体"/>
          <w:sz w:val="24"/>
          <w:szCs w:val="24"/>
        </w:rPr>
      </w:pPr>
    </w:p>
    <w:p w14:paraId="74CB5D8B">
      <w:pPr>
        <w:pStyle w:val="16"/>
      </w:pPr>
    </w:p>
    <w:p w14:paraId="361C07E5">
      <w:pPr>
        <w:spacing w:line="360" w:lineRule="auto"/>
        <w:ind w:firstLine="420" w:firstLineChars="200"/>
      </w:pPr>
      <w:r>
        <w:rPr>
          <w:rFonts w:hint="eastAsia"/>
        </w:rPr>
        <w:t>注：1.从业人员、营业收入、资产总额填报上一年度数据，无上一年度数据的新成立企业可不填报。</w:t>
      </w:r>
    </w:p>
    <w:p w14:paraId="5F67C94C">
      <w:pPr>
        <w:spacing w:line="360" w:lineRule="auto"/>
        <w:ind w:firstLine="420" w:firstLineChars="200"/>
      </w:pPr>
      <w:r>
        <w:rPr>
          <w:rFonts w:hint="eastAsia"/>
        </w:rPr>
        <w:t>2.本项目如是只面向中小企业采购的应当必须提供。</w:t>
      </w:r>
    </w:p>
    <w:p w14:paraId="464ADAD5">
      <w:pPr>
        <w:spacing w:line="360" w:lineRule="auto"/>
        <w:rPr>
          <w:rFonts w:ascii="宋体" w:hAnsi="宋体" w:cs="宋体"/>
          <w:sz w:val="24"/>
          <w:szCs w:val="28"/>
        </w:rPr>
      </w:pPr>
    </w:p>
    <w:p w14:paraId="7DB2D235">
      <w:pPr>
        <w:rPr>
          <w:rFonts w:ascii="宋体" w:hAnsi="宋体" w:cs="宋体"/>
          <w:sz w:val="28"/>
          <w:szCs w:val="28"/>
        </w:rPr>
      </w:pPr>
    </w:p>
    <w:p w14:paraId="5FA5CBE8">
      <w:pPr>
        <w:rPr>
          <w:rFonts w:ascii="宋体" w:hAnsi="宋体" w:cs="宋体"/>
          <w:sz w:val="28"/>
          <w:szCs w:val="28"/>
        </w:rPr>
      </w:pPr>
      <w:bookmarkStart w:id="450" w:name="_Toc220232403"/>
    </w:p>
    <w:p w14:paraId="29C52829">
      <w:pPr>
        <w:rPr>
          <w:rFonts w:ascii="宋体" w:hAnsi="宋体" w:cs="宋体"/>
          <w:sz w:val="28"/>
          <w:szCs w:val="28"/>
        </w:rPr>
      </w:pPr>
    </w:p>
    <w:bookmarkEnd w:id="450"/>
    <w:p w14:paraId="7A7D2278">
      <w:pPr>
        <w:jc w:val="center"/>
        <w:rPr>
          <w:rFonts w:ascii="宋体" w:hAnsi="宋体" w:cs="宋体"/>
          <w:sz w:val="28"/>
        </w:rPr>
      </w:pPr>
      <w:bookmarkStart w:id="451" w:name="_Hlt526418103"/>
      <w:bookmarkEnd w:id="451"/>
      <w:bookmarkStart w:id="452" w:name="_Hlt526418111"/>
      <w:bookmarkEnd w:id="452"/>
      <w:bookmarkStart w:id="453" w:name="_Toc2532_WPSOffice_Level2"/>
      <w:bookmarkStart w:id="454" w:name="_Toc220232405"/>
      <w:bookmarkStart w:id="455" w:name="_Toc516969110"/>
      <w:r>
        <w:rPr>
          <w:rFonts w:hint="eastAsia" w:hAnsi="宋体" w:cs="宋体"/>
          <w:sz w:val="28"/>
        </w:rPr>
        <w:br w:type="page"/>
      </w:r>
      <w:bookmarkEnd w:id="453"/>
      <w:bookmarkEnd w:id="454"/>
      <w:bookmarkEnd w:id="455"/>
    </w:p>
    <w:p w14:paraId="43410EC6">
      <w:pPr>
        <w:pStyle w:val="4"/>
        <w:rPr>
          <w:rFonts w:hAnsi="宋体" w:cs="宋体"/>
          <w:sz w:val="28"/>
        </w:rPr>
      </w:pPr>
      <w:bookmarkStart w:id="456" w:name="_Hlt526418107"/>
      <w:bookmarkEnd w:id="456"/>
      <w:bookmarkStart w:id="457" w:name="_Toc17042"/>
      <w:bookmarkStart w:id="458" w:name="_Toc10283"/>
      <w:bookmarkStart w:id="459" w:name="_Toc1814"/>
      <w:bookmarkStart w:id="460" w:name="_Toc22556"/>
      <w:r>
        <w:rPr>
          <w:rFonts w:hint="eastAsia" w:hAnsi="宋体" w:cs="宋体"/>
          <w:sz w:val="28"/>
        </w:rPr>
        <w:t>八.其他投标人认为需要提供的材料等</w:t>
      </w:r>
      <w:bookmarkEnd w:id="457"/>
      <w:bookmarkEnd w:id="458"/>
      <w:bookmarkEnd w:id="459"/>
      <w:bookmarkEnd w:id="460"/>
    </w:p>
    <w:p w14:paraId="54FA89D2">
      <w:pPr>
        <w:pStyle w:val="4"/>
        <w:rPr>
          <w:rFonts w:hAnsi="宋体" w:cs="宋体"/>
          <w:sz w:val="28"/>
        </w:rPr>
      </w:pPr>
    </w:p>
    <w:p w14:paraId="3887A029">
      <w:pPr>
        <w:jc w:val="center"/>
        <w:rPr>
          <w:rFonts w:ascii="宋体" w:hAnsi="宋体" w:cs="宋体"/>
          <w:sz w:val="24"/>
        </w:rPr>
      </w:pPr>
    </w:p>
    <w:p w14:paraId="6AE6D535">
      <w:pPr>
        <w:jc w:val="center"/>
        <w:rPr>
          <w:rFonts w:ascii="宋体" w:hAnsi="宋体" w:cs="宋体"/>
          <w:sz w:val="24"/>
        </w:rPr>
      </w:pPr>
    </w:p>
    <w:p w14:paraId="57837271">
      <w:pPr>
        <w:jc w:val="center"/>
        <w:rPr>
          <w:rFonts w:ascii="宋体" w:hAnsi="宋体" w:cs="宋体"/>
          <w:sz w:val="24"/>
        </w:rPr>
      </w:pPr>
    </w:p>
    <w:p w14:paraId="7FB983A2">
      <w:pPr>
        <w:jc w:val="center"/>
        <w:rPr>
          <w:rFonts w:ascii="宋体" w:hAnsi="宋体" w:cs="宋体"/>
          <w:sz w:val="24"/>
        </w:rPr>
      </w:pPr>
    </w:p>
    <w:p w14:paraId="08D39D57">
      <w:pPr>
        <w:jc w:val="center"/>
        <w:rPr>
          <w:rFonts w:ascii="宋体" w:hAnsi="宋体" w:cs="宋体"/>
          <w:sz w:val="24"/>
        </w:rPr>
      </w:pPr>
    </w:p>
    <w:p w14:paraId="13AFB8AF">
      <w:pPr>
        <w:jc w:val="center"/>
        <w:rPr>
          <w:rFonts w:ascii="宋体" w:hAnsi="宋体" w:cs="宋体"/>
          <w:sz w:val="24"/>
        </w:rPr>
      </w:pPr>
    </w:p>
    <w:p w14:paraId="2C81C2CD">
      <w:pPr>
        <w:jc w:val="center"/>
        <w:rPr>
          <w:rFonts w:ascii="宋体" w:hAnsi="宋体" w:cs="宋体"/>
          <w:sz w:val="24"/>
        </w:rPr>
      </w:pPr>
    </w:p>
    <w:p w14:paraId="4A6EA9F3">
      <w:pPr>
        <w:jc w:val="center"/>
        <w:rPr>
          <w:rFonts w:ascii="宋体" w:hAnsi="宋体" w:cs="宋体"/>
          <w:sz w:val="24"/>
        </w:rPr>
      </w:pPr>
    </w:p>
    <w:p w14:paraId="0310ED5E">
      <w:pPr>
        <w:jc w:val="center"/>
        <w:rPr>
          <w:rFonts w:ascii="宋体" w:hAnsi="宋体" w:cs="宋体"/>
          <w:sz w:val="24"/>
        </w:rPr>
      </w:pPr>
    </w:p>
    <w:p w14:paraId="4F2F1DAF">
      <w:pPr>
        <w:jc w:val="center"/>
        <w:rPr>
          <w:rFonts w:ascii="宋体" w:hAnsi="宋体" w:cs="宋体"/>
          <w:sz w:val="24"/>
        </w:rPr>
      </w:pPr>
    </w:p>
    <w:p w14:paraId="66F49566">
      <w:pPr>
        <w:jc w:val="center"/>
        <w:rPr>
          <w:rFonts w:ascii="宋体" w:hAnsi="宋体" w:cs="宋体"/>
          <w:sz w:val="24"/>
        </w:rPr>
      </w:pPr>
    </w:p>
    <w:p w14:paraId="284B170F">
      <w:pPr>
        <w:jc w:val="center"/>
        <w:rPr>
          <w:rFonts w:ascii="宋体" w:hAnsi="宋体" w:cs="宋体"/>
          <w:sz w:val="24"/>
        </w:rPr>
      </w:pPr>
    </w:p>
    <w:p w14:paraId="62C30E49">
      <w:pPr>
        <w:pStyle w:val="51"/>
        <w:rPr>
          <w:rFonts w:ascii="宋体" w:hAnsi="宋体" w:cs="宋体"/>
        </w:rPr>
      </w:pPr>
    </w:p>
    <w:p w14:paraId="63470C4E">
      <w:pPr>
        <w:pStyle w:val="51"/>
        <w:rPr>
          <w:rFonts w:ascii="宋体" w:hAnsi="宋体" w:cs="宋体"/>
        </w:rPr>
      </w:pPr>
    </w:p>
    <w:p w14:paraId="2350959C">
      <w:pPr>
        <w:pStyle w:val="51"/>
        <w:rPr>
          <w:rFonts w:ascii="宋体" w:hAnsi="宋体" w:cs="宋体"/>
        </w:rPr>
      </w:pPr>
    </w:p>
    <w:p w14:paraId="79C5F85D">
      <w:pPr>
        <w:pStyle w:val="51"/>
        <w:rPr>
          <w:rFonts w:ascii="宋体" w:hAnsi="宋体" w:cs="宋体"/>
        </w:rPr>
      </w:pPr>
    </w:p>
    <w:p w14:paraId="426299E3">
      <w:pPr>
        <w:pStyle w:val="51"/>
        <w:rPr>
          <w:rFonts w:ascii="宋体" w:hAnsi="宋体" w:cs="宋体"/>
        </w:rPr>
      </w:pPr>
    </w:p>
    <w:p w14:paraId="47A03F0C">
      <w:pPr>
        <w:pStyle w:val="51"/>
        <w:rPr>
          <w:rFonts w:ascii="宋体" w:hAnsi="宋体" w:cs="宋体"/>
        </w:rPr>
      </w:pPr>
    </w:p>
    <w:p w14:paraId="3D9D1A84">
      <w:pPr>
        <w:pStyle w:val="51"/>
        <w:rPr>
          <w:rFonts w:ascii="宋体" w:hAnsi="宋体" w:cs="宋体"/>
        </w:rPr>
      </w:pPr>
    </w:p>
    <w:p w14:paraId="25D48DB5">
      <w:pPr>
        <w:spacing w:line="380" w:lineRule="exact"/>
        <w:jc w:val="center"/>
        <w:rPr>
          <w:rFonts w:ascii="宋体" w:hAnsi="宋体" w:cs="宋体"/>
          <w:b/>
          <w:sz w:val="28"/>
          <w:szCs w:val="28"/>
        </w:rPr>
        <w:sectPr>
          <w:pgSz w:w="11906" w:h="16838"/>
          <w:pgMar w:top="1389" w:right="1304" w:bottom="1440" w:left="1304" w:header="851" w:footer="992" w:gutter="0"/>
          <w:cols w:space="720" w:num="1"/>
          <w:docGrid w:linePitch="312" w:charSpace="0"/>
        </w:sectPr>
      </w:pPr>
    </w:p>
    <w:p w14:paraId="57D0C64A">
      <w:pPr>
        <w:spacing w:line="380" w:lineRule="exact"/>
        <w:jc w:val="center"/>
        <w:rPr>
          <w:rFonts w:ascii="宋体" w:hAnsi="宋体" w:cs="宋体"/>
          <w:b/>
          <w:sz w:val="28"/>
          <w:szCs w:val="28"/>
        </w:rPr>
      </w:pPr>
      <w:r>
        <w:rPr>
          <w:rFonts w:hint="eastAsia" w:ascii="宋体" w:hAnsi="宋体" w:cs="宋体"/>
          <w:b/>
          <w:sz w:val="28"/>
          <w:szCs w:val="28"/>
        </w:rPr>
        <w:t>九.政府采购供应商诚信承诺书</w:t>
      </w:r>
    </w:p>
    <w:p w14:paraId="01CBA3E7">
      <w:pPr>
        <w:spacing w:line="380" w:lineRule="exact"/>
        <w:jc w:val="center"/>
        <w:rPr>
          <w:rFonts w:ascii="宋体" w:hAnsi="宋体" w:cs="宋体"/>
          <w:b/>
          <w:sz w:val="24"/>
        </w:rPr>
      </w:pPr>
    </w:p>
    <w:p w14:paraId="7DACABE5">
      <w:pPr>
        <w:spacing w:line="380" w:lineRule="exact"/>
        <w:ind w:firstLine="480" w:firstLineChars="200"/>
        <w:rPr>
          <w:rFonts w:ascii="宋体" w:hAnsi="宋体" w:cs="宋体"/>
          <w:sz w:val="24"/>
        </w:rPr>
      </w:pPr>
      <w:r>
        <w:rPr>
          <w:rFonts w:hint="eastAsia" w:ascii="宋体" w:hAnsi="宋体" w:cs="宋体"/>
          <w:sz w:val="24"/>
        </w:rPr>
        <w:t>我公司自愿参与政府采购活动，严格遵守《中华人民共和国政府采购法》等相关法律法规的规定，坚守公平竞争，并无条件地遵守采购活动的各项规定，我们郑重承诺：如果在政府采购招标活动中有以下情形的,愿接受政府采购监管部门给予相关处罚并承担法律责任。</w:t>
      </w:r>
    </w:p>
    <w:p w14:paraId="347B4CA7">
      <w:pPr>
        <w:spacing w:line="380" w:lineRule="exact"/>
        <w:ind w:firstLine="403" w:firstLineChars="168"/>
        <w:rPr>
          <w:rFonts w:ascii="宋体" w:hAnsi="宋体" w:cs="宋体"/>
          <w:sz w:val="24"/>
        </w:rPr>
      </w:pPr>
      <w:r>
        <w:rPr>
          <w:rFonts w:hint="eastAsia" w:ascii="宋体" w:hAnsi="宋体" w:cs="宋体"/>
          <w:sz w:val="24"/>
        </w:rPr>
        <w:t>（一）提供虚假材料谋取中标;</w:t>
      </w:r>
    </w:p>
    <w:p w14:paraId="4078F44F">
      <w:pPr>
        <w:spacing w:line="380" w:lineRule="exact"/>
        <w:ind w:firstLine="403" w:firstLineChars="168"/>
        <w:rPr>
          <w:rFonts w:ascii="宋体" w:hAnsi="宋体" w:cs="宋体"/>
          <w:sz w:val="24"/>
        </w:rPr>
      </w:pPr>
      <w:r>
        <w:rPr>
          <w:rFonts w:hint="eastAsia" w:ascii="宋体" w:hAnsi="宋体" w:cs="宋体"/>
          <w:sz w:val="24"/>
        </w:rPr>
        <w:t>（二）采取不正当手段诋毁、排挤其他供应商;</w:t>
      </w:r>
    </w:p>
    <w:p w14:paraId="13E37CE3">
      <w:pPr>
        <w:spacing w:line="380" w:lineRule="exact"/>
        <w:ind w:firstLine="403" w:firstLineChars="168"/>
        <w:rPr>
          <w:rFonts w:ascii="宋体" w:hAnsi="宋体" w:cs="宋体"/>
          <w:sz w:val="24"/>
        </w:rPr>
      </w:pPr>
      <w:r>
        <w:rPr>
          <w:rFonts w:hint="eastAsia" w:ascii="宋体" w:hAnsi="宋体" w:cs="宋体"/>
          <w:sz w:val="24"/>
        </w:rPr>
        <w:t>（三）与招标采购单位、其他投标人恶意串通;</w:t>
      </w:r>
    </w:p>
    <w:p w14:paraId="4FB44283">
      <w:pPr>
        <w:spacing w:line="380" w:lineRule="exact"/>
        <w:ind w:firstLine="403" w:firstLineChars="168"/>
        <w:rPr>
          <w:rFonts w:ascii="宋体" w:hAnsi="宋体" w:cs="宋体"/>
          <w:sz w:val="24"/>
        </w:rPr>
      </w:pPr>
      <w:r>
        <w:rPr>
          <w:rFonts w:hint="eastAsia" w:ascii="宋体" w:hAnsi="宋体" w:cs="宋体"/>
          <w:sz w:val="24"/>
        </w:rPr>
        <w:t>（四）向招标采购单位或提供其他不正当利益;</w:t>
      </w:r>
    </w:p>
    <w:p w14:paraId="5CFA3322">
      <w:pPr>
        <w:spacing w:line="380" w:lineRule="exact"/>
        <w:ind w:firstLine="403" w:firstLineChars="168"/>
        <w:rPr>
          <w:rFonts w:ascii="宋体" w:hAnsi="宋体" w:cs="宋体"/>
          <w:sz w:val="24"/>
        </w:rPr>
      </w:pPr>
      <w:r>
        <w:rPr>
          <w:rFonts w:hint="eastAsia" w:ascii="宋体" w:hAnsi="宋体" w:cs="宋体"/>
          <w:sz w:val="24"/>
        </w:rPr>
        <w:t>（五）在招标过程中与招标采购单位进行协商谈判、不按照招标文件和投标文件订立合同，或者与采购人另立背离合同实质性内容协议;</w:t>
      </w:r>
    </w:p>
    <w:p w14:paraId="36643306">
      <w:pPr>
        <w:spacing w:line="380" w:lineRule="exact"/>
        <w:ind w:firstLine="403" w:firstLineChars="168"/>
        <w:rPr>
          <w:rFonts w:ascii="宋体" w:hAnsi="宋体" w:cs="宋体"/>
          <w:sz w:val="24"/>
        </w:rPr>
      </w:pPr>
      <w:r>
        <w:rPr>
          <w:rFonts w:hint="eastAsia" w:ascii="宋体" w:hAnsi="宋体" w:cs="宋体"/>
          <w:sz w:val="24"/>
        </w:rPr>
        <w:t>（六）开标后擅自撤销投标，影响招标继续进行的或领取招标文件纳投标保证金后不投标导致废标;</w:t>
      </w:r>
    </w:p>
    <w:p w14:paraId="62DE05E7">
      <w:pPr>
        <w:spacing w:line="380" w:lineRule="exact"/>
        <w:ind w:firstLine="403" w:firstLineChars="168"/>
        <w:rPr>
          <w:rFonts w:ascii="宋体" w:hAnsi="宋体" w:cs="宋体"/>
          <w:sz w:val="24"/>
        </w:rPr>
      </w:pPr>
      <w:r>
        <w:rPr>
          <w:rFonts w:hint="eastAsia" w:ascii="宋体" w:hAnsi="宋体" w:cs="宋体"/>
          <w:sz w:val="24"/>
        </w:rPr>
        <w:t>（七）中标后无正当理由，在规定时间内不与采购单位签订合同;</w:t>
      </w:r>
    </w:p>
    <w:p w14:paraId="34B9A969">
      <w:pPr>
        <w:spacing w:line="380" w:lineRule="exact"/>
        <w:ind w:firstLine="403" w:firstLineChars="168"/>
        <w:rPr>
          <w:rFonts w:ascii="宋体" w:hAnsi="宋体" w:cs="宋体"/>
          <w:sz w:val="24"/>
        </w:rPr>
      </w:pPr>
      <w:r>
        <w:rPr>
          <w:rFonts w:hint="eastAsia" w:ascii="宋体" w:hAnsi="宋体" w:cs="宋体"/>
          <w:sz w:val="24"/>
        </w:rPr>
        <w:t>（八）将中标项目转让给他人或非法分包他人;</w:t>
      </w:r>
    </w:p>
    <w:p w14:paraId="7A3EE88D">
      <w:pPr>
        <w:spacing w:line="380" w:lineRule="exact"/>
        <w:ind w:firstLine="403" w:firstLineChars="168"/>
        <w:rPr>
          <w:rFonts w:ascii="宋体" w:hAnsi="宋体" w:cs="宋体"/>
          <w:sz w:val="24"/>
        </w:rPr>
      </w:pPr>
      <w:r>
        <w:rPr>
          <w:rFonts w:hint="eastAsia" w:ascii="宋体" w:hAnsi="宋体" w:cs="宋体"/>
          <w:sz w:val="24"/>
        </w:rPr>
        <w:t>（九）无正当理由，拒绝履行合同义务;</w:t>
      </w:r>
    </w:p>
    <w:p w14:paraId="26138AA9">
      <w:pPr>
        <w:spacing w:line="380" w:lineRule="exact"/>
        <w:ind w:firstLine="403" w:firstLineChars="168"/>
        <w:rPr>
          <w:rFonts w:ascii="宋体" w:hAnsi="宋体" w:cs="宋体"/>
          <w:sz w:val="24"/>
        </w:rPr>
      </w:pPr>
      <w:r>
        <w:rPr>
          <w:rFonts w:hint="eastAsia" w:ascii="宋体" w:hAnsi="宋体" w:cs="宋体"/>
          <w:sz w:val="24"/>
        </w:rPr>
        <w:t>（十）无正当理由放弃中标（成交）项目;</w:t>
      </w:r>
    </w:p>
    <w:p w14:paraId="18CE2EFF">
      <w:pPr>
        <w:spacing w:line="380" w:lineRule="exact"/>
        <w:ind w:firstLine="403" w:firstLineChars="168"/>
        <w:rPr>
          <w:rFonts w:ascii="宋体" w:hAnsi="宋体" w:cs="宋体"/>
          <w:sz w:val="24"/>
        </w:rPr>
      </w:pPr>
      <w:r>
        <w:rPr>
          <w:rFonts w:hint="eastAsia" w:ascii="宋体" w:hAnsi="宋体" w:cs="宋体"/>
          <w:sz w:val="24"/>
        </w:rPr>
        <w:t>（十ー）擅自或与与采购人串通或接受采购人要求，在履约合同中通过减少服务数量，更服务标准等，却仍按原合同进行虚假验收或终止政府采购合同;</w:t>
      </w:r>
    </w:p>
    <w:p w14:paraId="1E8464DC">
      <w:pPr>
        <w:spacing w:line="380" w:lineRule="exact"/>
        <w:ind w:firstLine="403" w:firstLineChars="168"/>
        <w:jc w:val="left"/>
        <w:rPr>
          <w:rFonts w:ascii="宋体" w:hAnsi="宋体" w:cs="宋体"/>
          <w:sz w:val="24"/>
        </w:rPr>
      </w:pPr>
      <w:r>
        <w:rPr>
          <w:rFonts w:hint="eastAsia" w:ascii="宋体" w:hAnsi="宋体" w:cs="宋体"/>
          <w:sz w:val="24"/>
        </w:rPr>
        <w:t>（十二）与采购人串通，对尚未履约完毕的采购项目出具虚假验收报告；</w:t>
      </w:r>
    </w:p>
    <w:p w14:paraId="0AC8274C">
      <w:pPr>
        <w:spacing w:line="380" w:lineRule="exact"/>
        <w:ind w:firstLine="403" w:firstLineChars="168"/>
        <w:jc w:val="left"/>
        <w:rPr>
          <w:rFonts w:ascii="宋体" w:hAnsi="宋体" w:cs="宋体"/>
          <w:sz w:val="24"/>
        </w:rPr>
      </w:pPr>
      <w:r>
        <w:rPr>
          <w:rFonts w:hint="eastAsia" w:ascii="宋体" w:hAnsi="宋体" w:cs="宋体"/>
          <w:sz w:val="24"/>
        </w:rPr>
        <w:t>（十三）无不可抗力因素，拒绝提供售后服务、售后服务态度恶劣、故意提高维修配件价格（高于市场平均价）；</w:t>
      </w:r>
    </w:p>
    <w:p w14:paraId="7F4379DE">
      <w:pPr>
        <w:spacing w:line="380" w:lineRule="exact"/>
        <w:ind w:firstLine="360" w:firstLineChars="150"/>
        <w:jc w:val="left"/>
        <w:rPr>
          <w:rFonts w:ascii="宋体" w:hAnsi="宋体" w:cs="宋体"/>
          <w:sz w:val="24"/>
        </w:rPr>
      </w:pPr>
      <w:r>
        <w:rPr>
          <w:rFonts w:hint="eastAsia" w:ascii="宋体" w:hAnsi="宋体" w:cs="宋体"/>
          <w:sz w:val="24"/>
        </w:rPr>
        <w:t>（十四）开标后对招标文件的相关内容再进行质疑；</w:t>
      </w:r>
    </w:p>
    <w:p w14:paraId="2DAC2516">
      <w:pPr>
        <w:spacing w:line="380" w:lineRule="exact"/>
        <w:ind w:firstLine="360" w:firstLineChars="150"/>
        <w:jc w:val="left"/>
        <w:rPr>
          <w:rFonts w:ascii="宋体" w:hAnsi="宋体" w:cs="宋体"/>
          <w:sz w:val="24"/>
        </w:rPr>
      </w:pPr>
      <w:r>
        <w:rPr>
          <w:rFonts w:hint="eastAsia" w:ascii="宋体" w:hAnsi="宋体" w:cs="宋体"/>
          <w:sz w:val="24"/>
        </w:rPr>
        <w:t>（十五）恶意投诉的行为：投诉经查无实据的、捏造事实或者提供虚假设诉材料；</w:t>
      </w:r>
    </w:p>
    <w:p w14:paraId="4B811703">
      <w:pPr>
        <w:spacing w:line="380" w:lineRule="exact"/>
        <w:ind w:firstLine="240" w:firstLineChars="100"/>
        <w:jc w:val="left"/>
        <w:rPr>
          <w:rFonts w:ascii="宋体" w:hAnsi="宋体" w:cs="宋体"/>
          <w:sz w:val="24"/>
        </w:rPr>
      </w:pPr>
      <w:r>
        <w:rPr>
          <w:rFonts w:hint="eastAsia" w:ascii="宋体" w:hAnsi="宋体" w:cs="宋体"/>
          <w:sz w:val="24"/>
        </w:rPr>
        <w:t>（十六）拒绝有关部门监督检查或者提供虚假情况；</w:t>
      </w:r>
    </w:p>
    <w:p w14:paraId="51030FB0">
      <w:pPr>
        <w:spacing w:line="380" w:lineRule="exact"/>
        <w:ind w:firstLine="240" w:firstLineChars="100"/>
        <w:jc w:val="left"/>
        <w:rPr>
          <w:rFonts w:ascii="宋体" w:hAnsi="宋体" w:cs="宋体"/>
          <w:sz w:val="24"/>
        </w:rPr>
      </w:pPr>
      <w:r>
        <w:rPr>
          <w:rFonts w:hint="eastAsia" w:ascii="宋体" w:hAnsi="宋体" w:cs="宋体"/>
          <w:sz w:val="24"/>
        </w:rPr>
        <w:t>（十七）政府采购监管部门认定的其他政府采购活动中的不诚信行为。</w:t>
      </w:r>
    </w:p>
    <w:p w14:paraId="2B009704">
      <w:pPr>
        <w:spacing w:line="380" w:lineRule="exact"/>
        <w:jc w:val="center"/>
        <w:rPr>
          <w:rFonts w:ascii="宋体" w:hAnsi="宋体" w:cs="宋体"/>
          <w:sz w:val="24"/>
        </w:rPr>
      </w:pPr>
    </w:p>
    <w:p w14:paraId="7E27E5A1">
      <w:pPr>
        <w:spacing w:line="380" w:lineRule="exact"/>
        <w:jc w:val="center"/>
        <w:rPr>
          <w:rFonts w:ascii="宋体" w:hAnsi="宋体" w:cs="宋体"/>
          <w:sz w:val="24"/>
        </w:rPr>
      </w:pPr>
      <w:r>
        <w:rPr>
          <w:rFonts w:hint="eastAsia" w:ascii="宋体" w:hAnsi="宋体" w:cs="宋体"/>
          <w:sz w:val="24"/>
        </w:rPr>
        <w:t>供应商名称：（电子公章）</w:t>
      </w:r>
    </w:p>
    <w:p w14:paraId="0781E628">
      <w:pPr>
        <w:spacing w:line="380" w:lineRule="exact"/>
        <w:jc w:val="center"/>
        <w:rPr>
          <w:rFonts w:ascii="宋体" w:hAnsi="宋体" w:cs="宋体"/>
          <w:sz w:val="24"/>
        </w:rPr>
      </w:pPr>
      <w:r>
        <w:rPr>
          <w:rFonts w:hint="eastAsia" w:ascii="宋体" w:hAnsi="宋体" w:cs="宋体"/>
          <w:sz w:val="24"/>
        </w:rPr>
        <w:t xml:space="preserve"> </w:t>
      </w:r>
    </w:p>
    <w:p w14:paraId="4BD5E39E">
      <w:pPr>
        <w:spacing w:line="380" w:lineRule="exact"/>
        <w:ind w:firstLine="3360" w:firstLineChars="1400"/>
        <w:rPr>
          <w:rFonts w:ascii="宋体" w:hAnsi="宋体" w:cs="宋体"/>
          <w:sz w:val="24"/>
        </w:rPr>
      </w:pPr>
      <w:r>
        <w:rPr>
          <w:rFonts w:hint="eastAsia" w:ascii="宋体" w:hAnsi="宋体" w:cs="宋体"/>
          <w:sz w:val="24"/>
        </w:rPr>
        <w:t>法人代表或授权委托人：</w:t>
      </w:r>
    </w:p>
    <w:p w14:paraId="79A138A5">
      <w:pPr>
        <w:spacing w:line="380" w:lineRule="exact"/>
        <w:jc w:val="center"/>
        <w:rPr>
          <w:rFonts w:ascii="宋体" w:hAnsi="宋体" w:cs="宋体"/>
          <w:sz w:val="24"/>
        </w:rPr>
      </w:pPr>
    </w:p>
    <w:p w14:paraId="5E21A956">
      <w:pPr>
        <w:jc w:val="center"/>
        <w:rPr>
          <w:rFonts w:ascii="宋体" w:hAnsi="宋体" w:cs="宋体"/>
          <w:sz w:val="24"/>
        </w:rPr>
      </w:pPr>
      <w:r>
        <w:rPr>
          <w:rFonts w:hint="eastAsia" w:ascii="宋体" w:hAnsi="宋体" w:cs="宋体"/>
          <w:sz w:val="24"/>
        </w:rPr>
        <w:t xml:space="preserve">  日期：      年   月    日</w:t>
      </w:r>
    </w:p>
    <w:p w14:paraId="2BCF6999">
      <w:pPr>
        <w:pStyle w:val="117"/>
        <w:ind w:firstLine="210"/>
        <w:rPr>
          <w:rFonts w:ascii="宋体" w:hAnsi="宋体" w:cs="宋体"/>
        </w:rPr>
      </w:pPr>
    </w:p>
    <w:p w14:paraId="0A93FA3A">
      <w:pPr>
        <w:pStyle w:val="117"/>
        <w:ind w:firstLine="210"/>
        <w:rPr>
          <w:rFonts w:ascii="宋体" w:hAnsi="宋体" w:cs="宋体"/>
        </w:rPr>
      </w:pPr>
    </w:p>
    <w:p w14:paraId="51EFFB6C">
      <w:pPr>
        <w:pStyle w:val="2"/>
        <w:rPr>
          <w:rFonts w:ascii="宋体" w:hAnsi="宋体" w:cs="宋体"/>
        </w:rPr>
      </w:pPr>
      <w:bookmarkStart w:id="461" w:name="_Toc21726"/>
      <w:r>
        <w:rPr>
          <w:rFonts w:hint="eastAsia" w:ascii="宋体" w:hAnsi="宋体" w:cs="宋体"/>
        </w:rPr>
        <w:t>周口市政府采购合同融资政策告知函</w:t>
      </w:r>
      <w:bookmarkEnd w:id="461"/>
    </w:p>
    <w:p w14:paraId="7EB6D917">
      <w:pPr>
        <w:pStyle w:val="117"/>
        <w:ind w:firstLine="240"/>
        <w:rPr>
          <w:rFonts w:ascii="宋体" w:hAnsi="宋体" w:cs="宋体"/>
          <w:sz w:val="24"/>
          <w:szCs w:val="24"/>
        </w:rPr>
      </w:pPr>
    </w:p>
    <w:p w14:paraId="2BD20F6A">
      <w:pPr>
        <w:pStyle w:val="117"/>
        <w:ind w:firstLine="240"/>
        <w:rPr>
          <w:rFonts w:ascii="宋体" w:hAnsi="宋体" w:cs="宋体"/>
          <w:sz w:val="24"/>
          <w:szCs w:val="24"/>
        </w:rPr>
      </w:pPr>
    </w:p>
    <w:p w14:paraId="1A0CF906">
      <w:pPr>
        <w:pStyle w:val="117"/>
        <w:ind w:firstLine="240"/>
        <w:rPr>
          <w:rFonts w:ascii="宋体" w:hAnsi="宋体" w:cs="宋体"/>
          <w:sz w:val="24"/>
          <w:szCs w:val="24"/>
        </w:rPr>
      </w:pPr>
    </w:p>
    <w:p w14:paraId="7EA58734">
      <w:pPr>
        <w:pStyle w:val="117"/>
        <w:spacing w:line="360" w:lineRule="auto"/>
        <w:ind w:firstLine="240"/>
        <w:rPr>
          <w:rFonts w:ascii="宋体" w:hAnsi="宋体" w:cs="宋体"/>
          <w:sz w:val="24"/>
          <w:szCs w:val="24"/>
        </w:rPr>
      </w:pPr>
      <w:r>
        <w:rPr>
          <w:rFonts w:hint="eastAsia" w:ascii="宋体" w:hAnsi="宋体" w:cs="宋体"/>
          <w:sz w:val="24"/>
          <w:szCs w:val="24"/>
        </w:rPr>
        <w:t>各供应商：</w:t>
      </w:r>
    </w:p>
    <w:p w14:paraId="6ACD7A0F">
      <w:pPr>
        <w:pStyle w:val="117"/>
        <w:spacing w:line="360" w:lineRule="auto"/>
        <w:ind w:firstLine="240"/>
        <w:rPr>
          <w:rFonts w:ascii="宋体" w:hAnsi="宋体" w:cs="宋体"/>
          <w:sz w:val="24"/>
          <w:szCs w:val="24"/>
        </w:rPr>
      </w:pPr>
      <w:r>
        <w:rPr>
          <w:rFonts w:hint="eastAsia" w:ascii="宋体" w:hAnsi="宋体" w:cs="宋体"/>
          <w:sz w:val="24"/>
          <w:szCs w:val="24"/>
        </w:rPr>
        <w:t>欢迎贵公司参与周口市政府采购活动！</w:t>
      </w:r>
    </w:p>
    <w:p w14:paraId="7813B9CA">
      <w:pPr>
        <w:pStyle w:val="117"/>
        <w:spacing w:line="360" w:lineRule="auto"/>
        <w:ind w:firstLine="240"/>
        <w:rPr>
          <w:rFonts w:ascii="宋体" w:hAnsi="宋体" w:cs="宋体"/>
          <w:sz w:val="24"/>
          <w:szCs w:val="24"/>
        </w:rPr>
      </w:pPr>
      <w:r>
        <w:rPr>
          <w:rFonts w:hint="eastAsia" w:ascii="宋体" w:hAnsi="宋体" w:cs="宋体"/>
          <w:sz w:val="24"/>
          <w:szCs w:val="24"/>
        </w:rPr>
        <w:t>政府采购合同融资是河南省财政厅支持中小微企业发展，针对参与政府采购活动的供应商融资难、融资贵问题推出的一项融资政策。贵公司若成为本次政府采购项目的中标成交供应商，可持政府采购合同向金融机构申请贷款，无需抵押、担保，融资机构将根据《河南省政府采购合同融资工作实施方案》（豫财购〔2017〕10号），按照双方自愿的原则提供便捷、优惠的贷款服务。</w:t>
      </w:r>
    </w:p>
    <w:p w14:paraId="691FCA52">
      <w:pPr>
        <w:pStyle w:val="64"/>
        <w:spacing w:before="0" w:beforeAutospacing="0" w:after="0" w:afterAutospacing="0" w:line="360" w:lineRule="auto"/>
        <w:rPr>
          <w:rFonts w:cs="宋体"/>
        </w:rPr>
      </w:pPr>
      <w:r>
        <w:rPr>
          <w:rFonts w:hint="eastAsia" w:cs="宋体"/>
        </w:rPr>
        <w:t>贷款渠道和提供贷款的金融机构，可在河南省政府采购网“河南省政府采购合同融资平台”查询联系。投标人须将此函附于投标文件中。</w:t>
      </w:r>
    </w:p>
    <w:p w14:paraId="18E4DDBC">
      <w:pPr>
        <w:pStyle w:val="64"/>
        <w:spacing w:before="0" w:beforeAutospacing="0" w:after="0" w:afterAutospacing="0" w:line="330" w:lineRule="atLeast"/>
        <w:rPr>
          <w:rFonts w:cs="仿宋_GB2312"/>
          <w:b/>
          <w:bCs/>
          <w:color w:val="0000FF"/>
          <w:sz w:val="21"/>
          <w:szCs w:val="21"/>
        </w:rPr>
      </w:pPr>
    </w:p>
    <w:p w14:paraId="602E9FB7">
      <w:pPr>
        <w:pStyle w:val="64"/>
        <w:spacing w:before="0" w:beforeAutospacing="0" w:after="0" w:afterAutospacing="0" w:line="330" w:lineRule="atLeast"/>
        <w:rPr>
          <w:rFonts w:cs="仿宋_GB2312"/>
          <w:b/>
          <w:bCs/>
          <w:color w:val="0000FF"/>
          <w:sz w:val="21"/>
          <w:szCs w:val="21"/>
        </w:rPr>
      </w:pPr>
    </w:p>
    <w:p w14:paraId="06A49564">
      <w:pPr>
        <w:pStyle w:val="64"/>
        <w:spacing w:before="0" w:beforeAutospacing="0" w:after="0" w:afterAutospacing="0" w:line="330" w:lineRule="atLeast"/>
        <w:rPr>
          <w:rFonts w:cs="仿宋_GB2312"/>
          <w:b/>
          <w:bCs/>
          <w:color w:val="0000FF"/>
          <w:sz w:val="21"/>
          <w:szCs w:val="21"/>
        </w:rPr>
      </w:pPr>
    </w:p>
    <w:p w14:paraId="34D7A4DD">
      <w:pPr>
        <w:pStyle w:val="64"/>
        <w:spacing w:before="0" w:beforeAutospacing="0" w:after="0" w:afterAutospacing="0" w:line="330" w:lineRule="atLeast"/>
        <w:rPr>
          <w:rFonts w:cs="仿宋_GB2312"/>
          <w:b/>
          <w:bCs/>
          <w:color w:val="0000FF"/>
          <w:sz w:val="21"/>
          <w:szCs w:val="21"/>
        </w:rPr>
      </w:pPr>
    </w:p>
    <w:p w14:paraId="4E516A78">
      <w:pPr>
        <w:pStyle w:val="64"/>
        <w:spacing w:before="0" w:beforeAutospacing="0" w:after="0" w:afterAutospacing="0" w:line="330" w:lineRule="atLeast"/>
        <w:rPr>
          <w:rFonts w:cs="仿宋_GB2312"/>
          <w:b/>
          <w:bCs/>
          <w:color w:val="0000FF"/>
          <w:sz w:val="21"/>
          <w:szCs w:val="21"/>
        </w:rPr>
      </w:pPr>
    </w:p>
    <w:p w14:paraId="3614827B">
      <w:pPr>
        <w:pStyle w:val="64"/>
        <w:spacing w:before="0" w:beforeAutospacing="0" w:after="0" w:afterAutospacing="0" w:line="330" w:lineRule="atLeast"/>
        <w:rPr>
          <w:rFonts w:cs="仿宋_GB2312"/>
          <w:b/>
          <w:bCs/>
          <w:color w:val="0000FF"/>
          <w:sz w:val="21"/>
          <w:szCs w:val="21"/>
        </w:rPr>
      </w:pPr>
    </w:p>
    <w:p w14:paraId="0543FA1F">
      <w:pPr>
        <w:pStyle w:val="64"/>
        <w:spacing w:before="0" w:beforeAutospacing="0" w:after="0" w:afterAutospacing="0" w:line="330" w:lineRule="atLeast"/>
        <w:rPr>
          <w:rFonts w:cs="仿宋_GB2312"/>
          <w:b/>
          <w:bCs/>
          <w:color w:val="0000FF"/>
          <w:sz w:val="21"/>
          <w:szCs w:val="21"/>
        </w:rPr>
      </w:pPr>
    </w:p>
    <w:p w14:paraId="1048D6C2">
      <w:pPr>
        <w:pStyle w:val="64"/>
        <w:spacing w:before="0" w:beforeAutospacing="0" w:after="0" w:afterAutospacing="0" w:line="330" w:lineRule="atLeast"/>
        <w:rPr>
          <w:rFonts w:cs="仿宋_GB2312"/>
          <w:b/>
          <w:bCs/>
          <w:color w:val="0000FF"/>
          <w:sz w:val="21"/>
          <w:szCs w:val="21"/>
        </w:rPr>
      </w:pPr>
    </w:p>
    <w:p w14:paraId="722F6937">
      <w:pPr>
        <w:pStyle w:val="64"/>
        <w:spacing w:before="0" w:beforeAutospacing="0" w:after="0" w:afterAutospacing="0" w:line="330" w:lineRule="atLeast"/>
        <w:rPr>
          <w:rFonts w:cs="仿宋_GB2312"/>
          <w:b/>
          <w:bCs/>
          <w:color w:val="0000FF"/>
          <w:sz w:val="21"/>
          <w:szCs w:val="21"/>
        </w:rPr>
      </w:pPr>
    </w:p>
    <w:p w14:paraId="60A63B24">
      <w:pPr>
        <w:pStyle w:val="64"/>
        <w:spacing w:before="0" w:beforeAutospacing="0" w:after="0" w:afterAutospacing="0" w:line="330" w:lineRule="atLeast"/>
        <w:rPr>
          <w:rFonts w:cs="仿宋_GB2312"/>
          <w:b/>
          <w:bCs/>
          <w:color w:val="0000FF"/>
          <w:sz w:val="21"/>
          <w:szCs w:val="21"/>
        </w:rPr>
      </w:pPr>
    </w:p>
    <w:p w14:paraId="5D5E6D86">
      <w:pPr>
        <w:pStyle w:val="64"/>
        <w:spacing w:before="0" w:beforeAutospacing="0" w:after="0" w:afterAutospacing="0" w:line="330" w:lineRule="atLeast"/>
        <w:rPr>
          <w:rFonts w:cs="仿宋_GB2312"/>
          <w:b/>
          <w:bCs/>
          <w:color w:val="0000FF"/>
          <w:sz w:val="21"/>
          <w:szCs w:val="21"/>
        </w:rPr>
      </w:pPr>
    </w:p>
    <w:p w14:paraId="11EF6969">
      <w:pPr>
        <w:pStyle w:val="64"/>
        <w:spacing w:before="0" w:beforeAutospacing="0" w:after="0" w:afterAutospacing="0" w:line="330" w:lineRule="atLeast"/>
        <w:rPr>
          <w:rFonts w:cs="仿宋_GB2312"/>
          <w:b/>
          <w:bCs/>
          <w:color w:val="0000FF"/>
          <w:sz w:val="21"/>
          <w:szCs w:val="21"/>
        </w:rPr>
      </w:pPr>
    </w:p>
    <w:p w14:paraId="49B983FC">
      <w:pPr>
        <w:pStyle w:val="64"/>
        <w:spacing w:before="0" w:beforeAutospacing="0" w:after="0" w:afterAutospacing="0" w:line="330" w:lineRule="atLeast"/>
        <w:rPr>
          <w:rFonts w:cs="仿宋_GB2312"/>
          <w:b/>
          <w:bCs/>
          <w:color w:val="0000FF"/>
          <w:sz w:val="21"/>
          <w:szCs w:val="21"/>
        </w:rPr>
      </w:pPr>
    </w:p>
    <w:p w14:paraId="56640B5E">
      <w:pPr>
        <w:pStyle w:val="64"/>
        <w:spacing w:before="0" w:beforeAutospacing="0" w:after="0" w:afterAutospacing="0" w:line="330" w:lineRule="atLeast"/>
        <w:rPr>
          <w:rFonts w:cs="仿宋_GB2312"/>
          <w:b/>
          <w:bCs/>
          <w:color w:val="0000FF"/>
          <w:sz w:val="21"/>
          <w:szCs w:val="21"/>
        </w:rPr>
      </w:pPr>
    </w:p>
    <w:p w14:paraId="6BF285D3">
      <w:pPr>
        <w:pStyle w:val="64"/>
        <w:spacing w:before="0" w:beforeAutospacing="0" w:after="0" w:afterAutospacing="0" w:line="330" w:lineRule="atLeast"/>
        <w:rPr>
          <w:rFonts w:cs="仿宋_GB2312"/>
          <w:b/>
          <w:bCs/>
          <w:color w:val="0000FF"/>
          <w:sz w:val="21"/>
          <w:szCs w:val="21"/>
        </w:rPr>
      </w:pPr>
    </w:p>
    <w:p w14:paraId="123D6599">
      <w:pPr>
        <w:pStyle w:val="117"/>
        <w:ind w:firstLine="0" w:firstLineChars="0"/>
        <w:rPr>
          <w:rFonts w:ascii="宋体" w:hAnsi="宋体" w:cs="宋体"/>
          <w:sz w:val="24"/>
          <w:szCs w:val="24"/>
        </w:rPr>
      </w:pPr>
    </w:p>
    <w:sectPr>
      <w:pgSz w:w="11906" w:h="16838"/>
      <w:pgMar w:top="1389" w:right="1304" w:bottom="1440" w:left="1304" w:header="851" w:footer="992"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10" w:usb3="00000000" w:csb0="00040000" w:csb1="00000000"/>
  </w:font>
  <w:font w:name="Droid Sans">
    <w:altName w:val="宋体"/>
    <w:panose1 w:val="00000000000000000000"/>
    <w:charset w:val="00"/>
    <w:family w:val="auto"/>
    <w:pitch w:val="default"/>
    <w:sig w:usb0="00000000" w:usb1="00000000" w:usb2="00000000" w:usb3="00000000" w:csb0="00040001"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0000000000000000000"/>
    <w:charset w:val="86"/>
    <w:family w:val="modern"/>
    <w:pitch w:val="default"/>
    <w:sig w:usb0="00000000" w:usb1="00000000" w:usb2="00000010" w:usb3="00000000" w:csb0="00040000" w:csb1="00000000"/>
  </w:font>
  <w:font w:name="幼圆">
    <w:altName w:val="宋体"/>
    <w:panose1 w:val="02010509060101010101"/>
    <w:charset w:val="86"/>
    <w:family w:val="modern"/>
    <w:pitch w:val="default"/>
    <w:sig w:usb0="00000000" w:usb1="00000000" w:usb2="00000000" w:usb3="00000000" w:csb0="00040000" w:csb1="00000000"/>
  </w:font>
  <w:font w:name="等线">
    <w:panose1 w:val="02010600030101010101"/>
    <w:charset w:val="86"/>
    <w:family w:val="auto"/>
    <w:pitch w:val="default"/>
    <w:sig w:usb0="A00002BF" w:usb1="38CF7CFA" w:usb2="00000016" w:usb3="00000000" w:csb0="0004000F" w:csb1="00000000"/>
  </w:font>
  <w:font w:name="Times">
    <w:altName w:val="Times New Roman"/>
    <w:panose1 w:val="02020603050405020304"/>
    <w:charset w:val="00"/>
    <w:family w:val="roman"/>
    <w:pitch w:val="default"/>
    <w:sig w:usb0="00000000" w:usb1="00000000" w:usb2="00000009" w:usb3="00000000" w:csb0="000001FF" w:csb1="00000000"/>
  </w:font>
  <w:font w:name="Verdana">
    <w:panose1 w:val="020B0604030504040204"/>
    <w:charset w:val="00"/>
    <w:family w:val="swiss"/>
    <w:pitch w:val="default"/>
    <w:sig w:usb0="A00006FF" w:usb1="4000205B" w:usb2="00000010" w:usb3="00000000" w:csb0="2000019F" w:csb1="00000000"/>
  </w:font>
  <w:font w:name="Franklin Gothic Heavy">
    <w:altName w:val="Yu Gothic UI Semibold"/>
    <w:panose1 w:val="020B0903020102020204"/>
    <w:charset w:val="00"/>
    <w:family w:val="swiss"/>
    <w:pitch w:val="default"/>
    <w:sig w:usb0="00000000" w:usb1="00000000" w:usb2="00000000" w:usb3="00000000" w:csb0="2000009F" w:csb1="DFD70000"/>
  </w:font>
  <w:font w:name="微软雅黑">
    <w:panose1 w:val="020B0503020204020204"/>
    <w:charset w:val="86"/>
    <w:family w:val="swiss"/>
    <w:pitch w:val="default"/>
    <w:sig w:usb0="80000287" w:usb1="2ACF3C50" w:usb2="00000016" w:usb3="00000000" w:csb0="0004001F" w:csb1="00000000"/>
  </w:font>
  <w:font w:name="Arial Unicode MS">
    <w:altName w:val="宋体"/>
    <w:panose1 w:val="020B0604020202020204"/>
    <w:charset w:val="86"/>
    <w:family w:val="swiss"/>
    <w:pitch w:val="default"/>
    <w:sig w:usb0="00000000" w:usb1="00000000" w:usb2="0000003F" w:usb3="00000000" w:csb0="003F01FF" w:csb1="00000000"/>
  </w:font>
  <w:font w:name="Tahoma">
    <w:panose1 w:val="020B0604030504040204"/>
    <w:charset w:val="00"/>
    <w:family w:val="swiss"/>
    <w:pitch w:val="default"/>
    <w:sig w:usb0="E1002EFF" w:usb1="C000605B" w:usb2="00000029" w:usb3="00000000" w:csb0="200101FF" w:csb1="20280000"/>
  </w:font>
  <w:font w:name="PMingLiU">
    <w:altName w:val="PMingLiU-ExtB"/>
    <w:panose1 w:val="02020500000000000000"/>
    <w:charset w:val="88"/>
    <w:family w:val="auto"/>
    <w:pitch w:val="default"/>
    <w:sig w:usb0="00000000" w:usb1="00000000" w:usb2="00000010" w:usb3="00000000" w:csb0="00100000" w:csb1="00000000"/>
  </w:font>
  <w:font w:name="MS Mincho">
    <w:altName w:val="Yu Gothic UI"/>
    <w:panose1 w:val="02020609040205080304"/>
    <w:charset w:val="80"/>
    <w:family w:val="modern"/>
    <w:pitch w:val="default"/>
    <w:sig w:usb0="00000000" w:usb1="00000000" w:usb2="00000010" w:usb3="00000000" w:csb0="0002009F" w:csb1="00000000"/>
  </w:font>
  <w:font w:name="ˎ̥">
    <w:altName w:val="Times New Roman"/>
    <w:panose1 w:val="00000000000000000000"/>
    <w:charset w:val="00"/>
    <w:family w:val="roman"/>
    <w:pitch w:val="default"/>
    <w:sig w:usb0="00000000" w:usb1="00000000" w:usb2="00000000" w:usb3="00000000" w:csb0="00040001" w:csb1="00000000"/>
  </w:font>
  <w:font w:name="CG Times">
    <w:altName w:val="Segoe Print"/>
    <w:panose1 w:val="00000000000000000000"/>
    <w:charset w:val="00"/>
    <w:family w:val="roman"/>
    <w:pitch w:val="default"/>
    <w:sig w:usb0="00000000" w:usb1="00000000" w:usb2="00000000" w:usb3="00000000" w:csb0="00000001"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Yu Gothic UI Semibold">
    <w:panose1 w:val="020B0700000000000000"/>
    <w:charset w:val="80"/>
    <w:family w:val="auto"/>
    <w:pitch w:val="default"/>
    <w:sig w:usb0="E00002FF" w:usb1="2AC7FDFF" w:usb2="00000016" w:usb3="00000000" w:csb0="2002009F" w:csb1="00000000"/>
  </w:font>
  <w:font w:name="PMingLiU-ExtB">
    <w:panose1 w:val="02020500000000000000"/>
    <w:charset w:val="88"/>
    <w:family w:val="auto"/>
    <w:pitch w:val="default"/>
    <w:sig w:usb0="8000002F" w:usb1="02000008" w:usb2="00000000" w:usb3="00000000" w:csb0="00100001" w:csb1="00000000"/>
  </w:font>
  <w:font w:name="Yu Gothic UI">
    <w:panose1 w:val="020B0500000000000000"/>
    <w:charset w:val="80"/>
    <w:family w:val="auto"/>
    <w:pitch w:val="default"/>
    <w:sig w:usb0="E00002FF" w:usb1="2AC7FDFF" w:usb2="00000016" w:usb3="00000000" w:csb0="2002009F" w:csb1="00000000"/>
  </w:font>
  <w:font w:name="Segoe Print">
    <w:panose1 w:val="02000600000000000000"/>
    <w:charset w:val="00"/>
    <w:family w:val="auto"/>
    <w:pitch w:val="default"/>
    <w:sig w:usb0="0000028F" w:usb1="00000000" w:usb2="00000000" w:usb3="00000000" w:csb0="2000009F" w:csb1="4701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B4E860">
    <w:pPr>
      <w:pStyle w:val="42"/>
      <w:tabs>
        <w:tab w:val="clear" w:pos="8306"/>
      </w:tabs>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14:paraId="33413BE8">
                          <w:pPr>
                            <w:pStyle w:val="42"/>
                          </w:pPr>
                          <w:r>
                            <w:fldChar w:fldCharType="begin"/>
                          </w:r>
                          <w:r>
                            <w:instrText xml:space="preserve"> PAGE  \* MERGEFORMAT </w:instrText>
                          </w:r>
                          <w:r>
                            <w:fldChar w:fldCharType="separate"/>
                          </w:r>
                          <w:r>
                            <w:t>9</w:t>
                          </w:r>
                          <w:r>
                            <w:fldChar w:fldCharType="end"/>
                          </w:r>
                        </w:p>
                      </w:txbxContent>
                    </wps:txbx>
                    <wps:bodyPr vert="horz" wrap="none" lIns="0" tIns="0" rIns="0" bIns="0" anchor="t" anchorCtr="0">
                      <a:spAutoFit/>
                    </wps:bodyPr>
                  </wps:wsp>
                </a:graphicData>
              </a:graphic>
            </wp:anchor>
          </w:drawing>
        </mc:Choice>
        <mc:Fallback>
          <w:pict>
            <v:shape id="文本框 3"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6pebnPAAAABQEAAA8AAAAAAAAA&#10;AQAgAAAAIgAAAGRycy9kb3ducmV2LnhtbFBLAQIUABQAAAAIAIdO4kChBw3w4QEAALsDAAAOAAAA&#10;AAAAAAEAIAAAAB4BAABkcnMvZTJvRG9jLnhtbFBLBQYAAAAABgAGAFkBAABxBQAAAAA=&#10;">
              <v:fill on="f" focussize="0,0"/>
              <v:stroke on="f"/>
              <v:imagedata o:title=""/>
              <o:lock v:ext="edit" aspectratio="f"/>
              <v:textbox inset="0mm,0mm,0mm,0mm" style="mso-fit-shape-to-text:t;">
                <w:txbxContent>
                  <w:p w14:paraId="33413BE8">
                    <w:pPr>
                      <w:pStyle w:val="42"/>
                    </w:pPr>
                    <w:r>
                      <w:fldChar w:fldCharType="begin"/>
                    </w:r>
                    <w:r>
                      <w:instrText xml:space="preserve"> PAGE  \* MERGEFORMAT </w:instrText>
                    </w:r>
                    <w:r>
                      <w:fldChar w:fldCharType="separate"/>
                    </w:r>
                    <w:r>
                      <w:t>9</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095163">
    <w:pPr>
      <w:pStyle w:val="42"/>
      <w:ind w:firstLine="36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14:paraId="1A31450F">
                          <w:pPr>
                            <w:pStyle w:val="42"/>
                          </w:pPr>
                          <w:r>
                            <w:fldChar w:fldCharType="begin"/>
                          </w:r>
                          <w:r>
                            <w:instrText xml:space="preserve"> PAGE  \* MERGEFORMAT </w:instrText>
                          </w:r>
                          <w:r>
                            <w:fldChar w:fldCharType="separate"/>
                          </w:r>
                          <w:r>
                            <w:t>40</w:t>
                          </w:r>
                          <w:r>
                            <w:fldChar w:fldCharType="end"/>
                          </w:r>
                        </w:p>
                      </w:txbxContent>
                    </wps:txbx>
                    <wps:bodyPr vert="horz" wrap="none" lIns="0" tIns="0" rIns="0" bIns="0" anchor="t" anchorCtr="0">
                      <a:spAutoFit/>
                    </wps:bodyPr>
                  </wps:wsp>
                </a:graphicData>
              </a:graphic>
            </wp:anchor>
          </w:drawing>
        </mc:Choice>
        <mc:Fallback>
          <w:pict>
            <v:shape id="文本框 4"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6pebnPAAAABQEAAA8AAAAAAAAA&#10;AQAgAAAAIgAAAGRycy9kb3ducmV2LnhtbFBLAQIUABQAAAAIAIdO4kB4ZNK+4QEAALsDAAAOAAAA&#10;AAAAAAEAIAAAAB4BAABkcnMvZTJvRG9jLnhtbFBLBQYAAAAABgAGAFkBAABxBQAAAAA=&#10;">
              <v:fill on="f" focussize="0,0"/>
              <v:stroke on="f"/>
              <v:imagedata o:title=""/>
              <o:lock v:ext="edit" aspectratio="f"/>
              <v:textbox inset="0mm,0mm,0mm,0mm" style="mso-fit-shape-to-text:t;">
                <w:txbxContent>
                  <w:p w14:paraId="1A31450F">
                    <w:pPr>
                      <w:pStyle w:val="42"/>
                    </w:pPr>
                    <w:r>
                      <w:fldChar w:fldCharType="begin"/>
                    </w:r>
                    <w:r>
                      <w:instrText xml:space="preserve"> PAGE  \* MERGEFORMAT </w:instrText>
                    </w:r>
                    <w:r>
                      <w:fldChar w:fldCharType="separate"/>
                    </w:r>
                    <w:r>
                      <w:t>40</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D41244">
    <w:pPr>
      <w:pStyle w:val="42"/>
      <w:ind w:firstLine="36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14:paraId="6255621B">
                          <w:pPr>
                            <w:pStyle w:val="42"/>
                          </w:pPr>
                          <w:r>
                            <w:fldChar w:fldCharType="begin"/>
                          </w:r>
                          <w:r>
                            <w:instrText xml:space="preserve"> PAGE  \* MERGEFORMAT </w:instrText>
                          </w:r>
                          <w:r>
                            <w:fldChar w:fldCharType="separate"/>
                          </w:r>
                          <w:r>
                            <w:t>58</w:t>
                          </w:r>
                          <w:r>
                            <w:fldChar w:fldCharType="end"/>
                          </w:r>
                        </w:p>
                      </w:txbxContent>
                    </wps:txbx>
                    <wps:bodyPr vert="horz" wrap="none" lIns="0" tIns="0" rIns="0" bIns="0" anchor="t" anchorCtr="0">
                      <a:spAutoFit/>
                    </wps:bodyPr>
                  </wps:wsp>
                </a:graphicData>
              </a:graphic>
            </wp:anchor>
          </w:drawing>
        </mc:Choice>
        <mc:Fallback>
          <w:pict>
            <v:shape id="文本框 4"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6pebnPAAAABQEAAA8AAAAAAAAA&#10;AQAgAAAAIgAAAGRycy9kb3ducmV2LnhtbFBLAQIUABQAAAAIAIdO4kCo37/v4QEAALsDAAAOAAAA&#10;AAAAAAEAIAAAAB4BAABkcnMvZTJvRG9jLnhtbFBLBQYAAAAABgAGAFkBAABxBQAAAAA=&#10;">
              <v:fill on="f" focussize="0,0"/>
              <v:stroke on="f"/>
              <v:imagedata o:title=""/>
              <o:lock v:ext="edit" aspectratio="f"/>
              <v:textbox inset="0mm,0mm,0mm,0mm" style="mso-fit-shape-to-text:t;">
                <w:txbxContent>
                  <w:p w14:paraId="6255621B">
                    <w:pPr>
                      <w:pStyle w:val="42"/>
                    </w:pPr>
                    <w:r>
                      <w:fldChar w:fldCharType="begin"/>
                    </w:r>
                    <w:r>
                      <w:instrText xml:space="preserve"> PAGE  \* MERGEFORMAT </w:instrText>
                    </w:r>
                    <w:r>
                      <w:fldChar w:fldCharType="separate"/>
                    </w:r>
                    <w:r>
                      <w:t>58</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00344A5"/>
    <w:multiLevelType w:val="singleLevel"/>
    <w:tmpl w:val="A00344A5"/>
    <w:lvl w:ilvl="0" w:tentative="0">
      <w:start w:val="5"/>
      <w:numFmt w:val="chineseCounting"/>
      <w:suff w:val="nothing"/>
      <w:lvlText w:val="%1．"/>
      <w:lvlJc w:val="left"/>
      <w:rPr>
        <w:rFonts w:hint="eastAsia"/>
      </w:rPr>
    </w:lvl>
  </w:abstractNum>
  <w:abstractNum w:abstractNumId="1">
    <w:nsid w:val="00000006"/>
    <w:multiLevelType w:val="multilevel"/>
    <w:tmpl w:val="00000006"/>
    <w:lvl w:ilvl="0" w:tentative="0">
      <w:start w:val="1"/>
      <w:numFmt w:val="decimal"/>
      <w:pStyle w:val="553"/>
      <w:lvlText w:val="%1."/>
      <w:lvlJc w:val="left"/>
      <w:pPr>
        <w:tabs>
          <w:tab w:val="left" w:pos="709"/>
        </w:tabs>
        <w:ind w:left="709" w:hanging="709"/>
      </w:pPr>
      <w:rPr>
        <w:rFonts w:hint="eastAsia"/>
      </w:rPr>
    </w:lvl>
    <w:lvl w:ilvl="1" w:tentative="0">
      <w:start w:val="1"/>
      <w:numFmt w:val="decimal"/>
      <w:lvlText w:val="%1.%2"/>
      <w:lvlJc w:val="left"/>
      <w:pPr>
        <w:tabs>
          <w:tab w:val="left" w:pos="709"/>
        </w:tabs>
        <w:ind w:left="709" w:hanging="709"/>
      </w:pPr>
      <w:rPr>
        <w:rFonts w:hint="eastAsia"/>
      </w:rPr>
    </w:lvl>
    <w:lvl w:ilvl="2" w:tentative="0">
      <w:start w:val="1"/>
      <w:numFmt w:val="decimal"/>
      <w:lvlText w:val="%1.%2.%3."/>
      <w:lvlJc w:val="left"/>
      <w:pPr>
        <w:tabs>
          <w:tab w:val="left" w:pos="425"/>
        </w:tabs>
        <w:ind w:left="425" w:hanging="425"/>
      </w:pPr>
      <w:rPr>
        <w:rFonts w:hint="eastAsia"/>
      </w:rPr>
    </w:lvl>
    <w:lvl w:ilvl="3" w:tentative="0">
      <w:start w:val="1"/>
      <w:numFmt w:val="decimal"/>
      <w:lvlText w:val="%1.%2.%3.%4."/>
      <w:lvlJc w:val="left"/>
      <w:pPr>
        <w:tabs>
          <w:tab w:val="left" w:pos="851"/>
        </w:tabs>
        <w:ind w:left="851" w:hanging="851"/>
      </w:pPr>
      <w:rPr>
        <w:rFonts w:hint="eastAsia"/>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2">
    <w:nsid w:val="00000008"/>
    <w:multiLevelType w:val="singleLevel"/>
    <w:tmpl w:val="00000008"/>
    <w:lvl w:ilvl="0" w:tentative="0">
      <w:start w:val="1"/>
      <w:numFmt w:val="decimal"/>
      <w:lvlText w:val="（%1）"/>
      <w:lvlJc w:val="left"/>
      <w:pPr>
        <w:tabs>
          <w:tab w:val="left" w:pos="744"/>
        </w:tabs>
        <w:ind w:left="744" w:hanging="744"/>
      </w:pPr>
      <w:rPr>
        <w:rFonts w:hint="eastAsia"/>
      </w:rPr>
    </w:lvl>
  </w:abstractNum>
  <w:abstractNum w:abstractNumId="3">
    <w:nsid w:val="0000000A"/>
    <w:multiLevelType w:val="singleLevel"/>
    <w:tmpl w:val="0000000A"/>
    <w:lvl w:ilvl="0" w:tentative="0">
      <w:start w:val="1"/>
      <w:numFmt w:val="decimal"/>
      <w:lvlText w:val="（%1）"/>
      <w:lvlJc w:val="left"/>
      <w:pPr>
        <w:tabs>
          <w:tab w:val="left" w:pos="810"/>
        </w:tabs>
        <w:ind w:left="810" w:hanging="810"/>
      </w:pPr>
      <w:rPr>
        <w:rFonts w:hint="eastAsia"/>
      </w:rPr>
    </w:lvl>
  </w:abstractNum>
  <w:abstractNum w:abstractNumId="4">
    <w:nsid w:val="0000000E"/>
    <w:multiLevelType w:val="multilevel"/>
    <w:tmpl w:val="0000000E"/>
    <w:lvl w:ilvl="0" w:tentative="0">
      <w:start w:val="1"/>
      <w:numFmt w:val="decimal"/>
      <w:lvlText w:val="%1"/>
      <w:lvlJc w:val="left"/>
      <w:pPr>
        <w:tabs>
          <w:tab w:val="left" w:pos="2502"/>
        </w:tabs>
        <w:ind w:left="2502" w:hanging="432"/>
      </w:pPr>
      <w:rPr>
        <w:rFonts w:hint="default"/>
      </w:rPr>
    </w:lvl>
    <w:lvl w:ilvl="1" w:tentative="0">
      <w:start w:val="1"/>
      <w:numFmt w:val="decimal"/>
      <w:pStyle w:val="18"/>
      <w:lvlText w:val="%1.%2"/>
      <w:lvlJc w:val="left"/>
      <w:pPr>
        <w:tabs>
          <w:tab w:val="left" w:pos="2646"/>
        </w:tabs>
        <w:ind w:left="2646" w:hanging="576"/>
      </w:pPr>
      <w:rPr>
        <w:rFonts w:hint="default"/>
      </w:rPr>
    </w:lvl>
    <w:lvl w:ilvl="2" w:tentative="0">
      <w:start w:val="1"/>
      <w:numFmt w:val="decimal"/>
      <w:lvlText w:val="%1.%2.%3"/>
      <w:lvlJc w:val="left"/>
      <w:pPr>
        <w:tabs>
          <w:tab w:val="left" w:pos="2790"/>
        </w:tabs>
        <w:ind w:left="2790" w:hanging="720"/>
      </w:pPr>
      <w:rPr>
        <w:rFonts w:hint="default"/>
      </w:rPr>
    </w:lvl>
    <w:lvl w:ilvl="3" w:tentative="0">
      <w:start w:val="1"/>
      <w:numFmt w:val="decimal"/>
      <w:pStyle w:val="353"/>
      <w:lvlText w:val="%1.%2.%3.%4"/>
      <w:lvlJc w:val="left"/>
      <w:pPr>
        <w:tabs>
          <w:tab w:val="left" w:pos="2934"/>
        </w:tabs>
        <w:ind w:left="2934" w:hanging="864"/>
      </w:pPr>
      <w:rPr>
        <w:rFonts w:hint="default"/>
      </w:rPr>
    </w:lvl>
    <w:lvl w:ilvl="4" w:tentative="0">
      <w:start w:val="1"/>
      <w:numFmt w:val="decimal"/>
      <w:lvlText w:val="%1.%2.%3.%4.%5"/>
      <w:lvlJc w:val="left"/>
      <w:pPr>
        <w:tabs>
          <w:tab w:val="left" w:pos="3078"/>
        </w:tabs>
        <w:ind w:left="3078" w:hanging="1008"/>
      </w:pPr>
      <w:rPr>
        <w:rFonts w:hint="eastAsia"/>
      </w:rPr>
    </w:lvl>
    <w:lvl w:ilvl="5" w:tentative="0">
      <w:start w:val="1"/>
      <w:numFmt w:val="decimal"/>
      <w:lvlText w:val="%1.%2.%3.%4.%5.%6"/>
      <w:lvlJc w:val="left"/>
      <w:pPr>
        <w:tabs>
          <w:tab w:val="left" w:pos="3222"/>
        </w:tabs>
        <w:ind w:left="3222" w:hanging="1152"/>
      </w:pPr>
      <w:rPr>
        <w:rFonts w:hint="default"/>
      </w:rPr>
    </w:lvl>
    <w:lvl w:ilvl="6" w:tentative="0">
      <w:start w:val="1"/>
      <w:numFmt w:val="decimal"/>
      <w:lvlText w:val="%1.%2.%3.%4.%5.%6.%7"/>
      <w:lvlJc w:val="left"/>
      <w:pPr>
        <w:tabs>
          <w:tab w:val="left" w:pos="3366"/>
        </w:tabs>
        <w:ind w:left="3366" w:hanging="1296"/>
      </w:pPr>
      <w:rPr>
        <w:rFonts w:hint="default"/>
      </w:rPr>
    </w:lvl>
    <w:lvl w:ilvl="7" w:tentative="0">
      <w:start w:val="1"/>
      <w:numFmt w:val="decimal"/>
      <w:lvlText w:val="%1.%2.%3.%4.%5.%6.%7.%8"/>
      <w:lvlJc w:val="left"/>
      <w:pPr>
        <w:tabs>
          <w:tab w:val="left" w:pos="3510"/>
        </w:tabs>
        <w:ind w:left="3510" w:hanging="1440"/>
      </w:pPr>
      <w:rPr>
        <w:rFonts w:hint="default"/>
      </w:rPr>
    </w:lvl>
    <w:lvl w:ilvl="8" w:tentative="0">
      <w:start w:val="1"/>
      <w:numFmt w:val="decimal"/>
      <w:lvlText w:val="%1.%2.%3.%4.%5.%6.%7.%8.%9"/>
      <w:lvlJc w:val="left"/>
      <w:pPr>
        <w:tabs>
          <w:tab w:val="left" w:pos="3654"/>
        </w:tabs>
        <w:ind w:left="3654" w:hanging="1584"/>
      </w:pPr>
      <w:rPr>
        <w:rFonts w:hint="default"/>
      </w:rPr>
    </w:lvl>
  </w:abstractNum>
  <w:abstractNum w:abstractNumId="5">
    <w:nsid w:val="00000011"/>
    <w:multiLevelType w:val="multilevel"/>
    <w:tmpl w:val="00000011"/>
    <w:lvl w:ilvl="0" w:tentative="0">
      <w:start w:val="1"/>
      <w:numFmt w:val="decimal"/>
      <w:pStyle w:val="634"/>
      <w:lvlText w:val="%1、"/>
      <w:lvlJc w:val="left"/>
      <w:pPr>
        <w:tabs>
          <w:tab w:val="left" w:pos="360"/>
        </w:tabs>
        <w:ind w:left="360" w:hanging="36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0000012"/>
    <w:multiLevelType w:val="multilevel"/>
    <w:tmpl w:val="00000012"/>
    <w:lvl w:ilvl="0" w:tentative="0">
      <w:start w:val="1"/>
      <w:numFmt w:val="decimal"/>
      <w:pStyle w:val="585"/>
      <w:lvlText w:val="%1"/>
      <w:lvlJc w:val="left"/>
      <w:pPr>
        <w:tabs>
          <w:tab w:val="left" w:pos="425"/>
        </w:tabs>
        <w:ind w:left="425" w:hanging="425"/>
      </w:pPr>
      <w:rPr>
        <w:rFonts w:hint="default" w:ascii="Arial" w:hAnsi="Arial" w:eastAsia="黑体" w:cs="Times New Roman"/>
        <w:b w:val="0"/>
        <w:i w:val="0"/>
        <w:sz w:val="28"/>
        <w:szCs w:val="28"/>
      </w:rPr>
    </w:lvl>
    <w:lvl w:ilvl="1" w:tentative="0">
      <w:start w:val="1"/>
      <w:numFmt w:val="decimal"/>
      <w:pStyle w:val="396"/>
      <w:lvlText w:val="%1.%2"/>
      <w:lvlJc w:val="left"/>
      <w:pPr>
        <w:tabs>
          <w:tab w:val="left" w:pos="992"/>
        </w:tabs>
        <w:ind w:left="992" w:hanging="567"/>
      </w:pPr>
      <w:rPr>
        <w:rFonts w:hint="default" w:ascii="Arial" w:hAnsi="Arial" w:eastAsia="黑体" w:cs="Times New Roman"/>
        <w:b w:val="0"/>
        <w:i w:val="0"/>
        <w:sz w:val="24"/>
        <w:szCs w:val="24"/>
      </w:rPr>
    </w:lvl>
    <w:lvl w:ilvl="2" w:tentative="0">
      <w:start w:val="1"/>
      <w:numFmt w:val="decimal"/>
      <w:pStyle w:val="406"/>
      <w:lvlText w:val="%1.%2.%3"/>
      <w:lvlJc w:val="left"/>
      <w:pPr>
        <w:tabs>
          <w:tab w:val="left" w:pos="1418"/>
        </w:tabs>
        <w:ind w:left="1418"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7">
    <w:nsid w:val="00000013"/>
    <w:multiLevelType w:val="singleLevel"/>
    <w:tmpl w:val="00000013"/>
    <w:lvl w:ilvl="0" w:tentative="0">
      <w:start w:val="32"/>
      <w:numFmt w:val="decimal"/>
      <w:pStyle w:val="32"/>
      <w:suff w:val="nothing"/>
      <w:lvlText w:val="%1."/>
      <w:lvlJc w:val="left"/>
    </w:lvl>
  </w:abstractNum>
  <w:abstractNum w:abstractNumId="8">
    <w:nsid w:val="00000014"/>
    <w:multiLevelType w:val="singleLevel"/>
    <w:tmpl w:val="00000014"/>
    <w:lvl w:ilvl="0" w:tentative="0">
      <w:start w:val="7"/>
      <w:numFmt w:val="chineseCounting"/>
      <w:pStyle w:val="459"/>
      <w:suff w:val="nothing"/>
      <w:lvlText w:val="%1、"/>
      <w:lvlJc w:val="left"/>
    </w:lvl>
  </w:abstractNum>
  <w:abstractNum w:abstractNumId="9">
    <w:nsid w:val="10AD6982"/>
    <w:multiLevelType w:val="singleLevel"/>
    <w:tmpl w:val="10AD6982"/>
    <w:lvl w:ilvl="0" w:tentative="0">
      <w:start w:val="1"/>
      <w:numFmt w:val="chineseCounting"/>
      <w:suff w:val="nothing"/>
      <w:lvlText w:val="%1．"/>
      <w:lvlJc w:val="left"/>
      <w:rPr>
        <w:rFonts w:hint="eastAsia"/>
      </w:rPr>
    </w:lvl>
  </w:abstractNum>
  <w:abstractNum w:abstractNumId="10">
    <w:nsid w:val="1223B73C"/>
    <w:multiLevelType w:val="singleLevel"/>
    <w:tmpl w:val="1223B73C"/>
    <w:lvl w:ilvl="0" w:tentative="0">
      <w:start w:val="1"/>
      <w:numFmt w:val="chineseCounting"/>
      <w:suff w:val="space"/>
      <w:lvlText w:val="第%1章"/>
      <w:lvlJc w:val="left"/>
      <w:rPr>
        <w:rFonts w:hint="eastAsia"/>
      </w:rPr>
    </w:lvl>
  </w:abstractNum>
  <w:abstractNum w:abstractNumId="11">
    <w:nsid w:val="139E41D9"/>
    <w:multiLevelType w:val="multilevel"/>
    <w:tmpl w:val="139E41D9"/>
    <w:lvl w:ilvl="0" w:tentative="0">
      <w:start w:val="1"/>
      <w:numFmt w:val="decimal"/>
      <w:pStyle w:val="507"/>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1C546D00"/>
    <w:multiLevelType w:val="singleLevel"/>
    <w:tmpl w:val="1C546D00"/>
    <w:lvl w:ilvl="0" w:tentative="0">
      <w:start w:val="1"/>
      <w:numFmt w:val="decimal"/>
      <w:suff w:val="nothing"/>
      <w:lvlText w:val="%1、"/>
      <w:lvlJc w:val="left"/>
    </w:lvl>
  </w:abstractNum>
  <w:abstractNum w:abstractNumId="13">
    <w:nsid w:val="25240F87"/>
    <w:multiLevelType w:val="multilevel"/>
    <w:tmpl w:val="25240F87"/>
    <w:lvl w:ilvl="0" w:tentative="0">
      <w:start w:val="1"/>
      <w:numFmt w:val="decimal"/>
      <w:pStyle w:val="147"/>
      <w:lvlText w:val="%1."/>
      <w:lvlJc w:val="left"/>
      <w:rPr>
        <w:rFonts w:hint="default" w:cs="Times New Roman"/>
      </w:rPr>
    </w:lvl>
    <w:lvl w:ilvl="1" w:tentative="0">
      <w:start w:val="1"/>
      <w:numFmt w:val="decimal"/>
      <w:pStyle w:val="330"/>
      <w:isLgl/>
      <w:lvlText w:val="%1.%2"/>
      <w:lvlJc w:val="left"/>
      <w:rPr>
        <w:rFonts w:hint="default" w:cs="Times New Roman"/>
        <w:b/>
        <w:sz w:val="32"/>
        <w:szCs w:val="32"/>
      </w:rPr>
    </w:lvl>
    <w:lvl w:ilvl="2" w:tentative="0">
      <w:start w:val="1"/>
      <w:numFmt w:val="decimal"/>
      <w:pStyle w:val="159"/>
      <w:isLgl/>
      <w:lvlText w:val="%1.%2.%3"/>
      <w:lvlJc w:val="left"/>
      <w:rPr>
        <w:rFonts w:hint="default" w:cs="Times New Roman"/>
      </w:rPr>
    </w:lvl>
    <w:lvl w:ilvl="3" w:tentative="0">
      <w:start w:val="1"/>
      <w:numFmt w:val="decimal"/>
      <w:pStyle w:val="158"/>
      <w:isLgl/>
      <w:lvlText w:val="%1.%2.%3.%4"/>
      <w:lvlJc w:val="left"/>
      <w:rPr>
        <w:rFonts w:hint="eastAsia" w:cs="Times New Roman"/>
        <w:b w:val="0"/>
        <w:bCs w:val="0"/>
        <w:i w:val="0"/>
        <w:iCs w:val="0"/>
        <w:caps w:val="0"/>
        <w:smallCaps w:val="0"/>
        <w:strike w:val="0"/>
        <w:dstrike w:val="0"/>
        <w:vanish w:val="0"/>
        <w:color w:val="000000"/>
        <w:spacing w:val="0"/>
        <w:position w:val="0"/>
        <w:u w:val="none"/>
        <w:vertAlign w:val="baseline"/>
      </w:rPr>
    </w:lvl>
    <w:lvl w:ilvl="4" w:tentative="0">
      <w:start w:val="1"/>
      <w:numFmt w:val="decimal"/>
      <w:isLgl/>
      <w:lvlText w:val="%1.%2.%3.%4.%5"/>
      <w:lvlJc w:val="left"/>
      <w:rPr>
        <w:rFonts w:hint="default" w:cs="Times New Roman"/>
      </w:rPr>
    </w:lvl>
    <w:lvl w:ilvl="5" w:tentative="0">
      <w:start w:val="1"/>
      <w:numFmt w:val="decimal"/>
      <w:isLgl/>
      <w:lvlText w:val="%1.%2.%3.%4.%5.%6"/>
      <w:lvlJc w:val="left"/>
      <w:rPr>
        <w:rFonts w:hint="default" w:cs="Times New Roman"/>
      </w:rPr>
    </w:lvl>
    <w:lvl w:ilvl="6" w:tentative="0">
      <w:start w:val="1"/>
      <w:numFmt w:val="decimal"/>
      <w:isLgl/>
      <w:lvlText w:val="%1.%2.%3.%4.%5.%6.%7"/>
      <w:lvlJc w:val="left"/>
      <w:rPr>
        <w:rFonts w:hint="default" w:cs="Times New Roman"/>
      </w:rPr>
    </w:lvl>
    <w:lvl w:ilvl="7" w:tentative="0">
      <w:start w:val="1"/>
      <w:numFmt w:val="decimal"/>
      <w:isLgl/>
      <w:lvlText w:val="%1.%2.%3.%4.%5.%6.%7.%8"/>
      <w:lvlJc w:val="left"/>
      <w:rPr>
        <w:rFonts w:hint="default" w:cs="Times New Roman"/>
      </w:rPr>
    </w:lvl>
    <w:lvl w:ilvl="8" w:tentative="0">
      <w:start w:val="1"/>
      <w:numFmt w:val="decimal"/>
      <w:isLgl/>
      <w:lvlText w:val="%1.%2.%3.%4.%5.%6.%7.%8.%9"/>
      <w:lvlJc w:val="left"/>
      <w:rPr>
        <w:rFonts w:hint="default" w:cs="Times New Roman"/>
      </w:rPr>
    </w:lvl>
  </w:abstractNum>
  <w:abstractNum w:abstractNumId="14">
    <w:nsid w:val="3146156C"/>
    <w:multiLevelType w:val="multilevel"/>
    <w:tmpl w:val="3146156C"/>
    <w:lvl w:ilvl="0" w:tentative="0">
      <w:start w:val="1"/>
      <w:numFmt w:val="decimal"/>
      <w:pStyle w:val="591"/>
      <w:lvlText w:val="%1)"/>
      <w:lvlJc w:val="left"/>
      <w:pPr>
        <w:ind w:left="840" w:hanging="420"/>
      </w:pPr>
      <w:rPr>
        <w:rFonts w:cs="Times New Roman"/>
      </w:rPr>
    </w:lvl>
    <w:lvl w:ilvl="1" w:tentative="0">
      <w:start w:val="1"/>
      <w:numFmt w:val="lowerLetter"/>
      <w:lvlText w:val="%2)"/>
      <w:lvlJc w:val="left"/>
      <w:pPr>
        <w:ind w:left="1260" w:hanging="420"/>
      </w:pPr>
      <w:rPr>
        <w:rFonts w:cs="Times New Roman"/>
      </w:rPr>
    </w:lvl>
    <w:lvl w:ilvl="2" w:tentative="0">
      <w:start w:val="1"/>
      <w:numFmt w:val="lowerRoman"/>
      <w:lvlText w:val="%3."/>
      <w:lvlJc w:val="right"/>
      <w:pPr>
        <w:ind w:left="1680" w:hanging="420"/>
      </w:pPr>
      <w:rPr>
        <w:rFonts w:cs="Times New Roman"/>
      </w:rPr>
    </w:lvl>
    <w:lvl w:ilvl="3" w:tentative="0">
      <w:start w:val="1"/>
      <w:numFmt w:val="decimal"/>
      <w:lvlText w:val="%4."/>
      <w:lvlJc w:val="left"/>
      <w:pPr>
        <w:ind w:left="2100" w:hanging="420"/>
      </w:pPr>
      <w:rPr>
        <w:rFonts w:cs="Times New Roman"/>
      </w:rPr>
    </w:lvl>
    <w:lvl w:ilvl="4" w:tentative="0">
      <w:start w:val="1"/>
      <w:numFmt w:val="lowerLetter"/>
      <w:lvlText w:val="%5)"/>
      <w:lvlJc w:val="left"/>
      <w:pPr>
        <w:ind w:left="2520" w:hanging="420"/>
      </w:pPr>
      <w:rPr>
        <w:rFonts w:cs="Times New Roman"/>
      </w:rPr>
    </w:lvl>
    <w:lvl w:ilvl="5" w:tentative="0">
      <w:start w:val="1"/>
      <w:numFmt w:val="lowerRoman"/>
      <w:lvlText w:val="%6."/>
      <w:lvlJc w:val="right"/>
      <w:pPr>
        <w:ind w:left="2940" w:hanging="420"/>
      </w:pPr>
      <w:rPr>
        <w:rFonts w:cs="Times New Roman"/>
      </w:rPr>
    </w:lvl>
    <w:lvl w:ilvl="6" w:tentative="0">
      <w:start w:val="1"/>
      <w:numFmt w:val="decimal"/>
      <w:lvlText w:val="%7."/>
      <w:lvlJc w:val="left"/>
      <w:pPr>
        <w:ind w:left="3360" w:hanging="420"/>
      </w:pPr>
      <w:rPr>
        <w:rFonts w:cs="Times New Roman"/>
      </w:rPr>
    </w:lvl>
    <w:lvl w:ilvl="7" w:tentative="0">
      <w:start w:val="1"/>
      <w:numFmt w:val="lowerLetter"/>
      <w:lvlText w:val="%8)"/>
      <w:lvlJc w:val="left"/>
      <w:pPr>
        <w:ind w:left="3780" w:hanging="420"/>
      </w:pPr>
      <w:rPr>
        <w:rFonts w:cs="Times New Roman"/>
      </w:rPr>
    </w:lvl>
    <w:lvl w:ilvl="8" w:tentative="0">
      <w:start w:val="1"/>
      <w:numFmt w:val="lowerRoman"/>
      <w:lvlText w:val="%9."/>
      <w:lvlJc w:val="right"/>
      <w:pPr>
        <w:ind w:left="4200" w:hanging="420"/>
      </w:pPr>
      <w:rPr>
        <w:rFonts w:cs="Times New Roman"/>
      </w:rPr>
    </w:lvl>
  </w:abstractNum>
  <w:abstractNum w:abstractNumId="15">
    <w:nsid w:val="324833B9"/>
    <w:multiLevelType w:val="multilevel"/>
    <w:tmpl w:val="324833B9"/>
    <w:lvl w:ilvl="0" w:tentative="0">
      <w:start w:val="1"/>
      <w:numFmt w:val="bullet"/>
      <w:pStyle w:val="517"/>
      <w:lvlText w:val=""/>
      <w:lvlJc w:val="left"/>
      <w:pPr>
        <w:ind w:left="820" w:hanging="420"/>
      </w:pPr>
      <w:rPr>
        <w:b w:val="0"/>
        <w:i w:val="0"/>
        <w:caps w:val="0"/>
        <w:smallCaps w:val="0"/>
        <w:strike w:val="0"/>
        <w:dstrike w:val="0"/>
        <w:outline w:val="0"/>
        <w:shadow w:val="0"/>
        <w:emboss w:val="0"/>
        <w:imprint w:val="0"/>
        <w:vanish w:val="0"/>
        <w:spacing w:val="0"/>
        <w:position w:val="0"/>
        <w:u w:val="none"/>
        <w:vertAlign w:val="baseline"/>
      </w:rPr>
    </w:lvl>
    <w:lvl w:ilvl="1" w:tentative="0">
      <w:start w:val="1"/>
      <w:numFmt w:val="bullet"/>
      <w:lvlText w:val=""/>
      <w:lvlJc w:val="left"/>
      <w:pPr>
        <w:ind w:left="1240" w:hanging="420"/>
      </w:pPr>
      <w:rPr>
        <w:rFonts w:hint="default" w:ascii="Wingdings" w:hAnsi="Wingdings"/>
      </w:rPr>
    </w:lvl>
    <w:lvl w:ilvl="2" w:tentative="0">
      <w:start w:val="1"/>
      <w:numFmt w:val="bullet"/>
      <w:lvlText w:val=""/>
      <w:lvlJc w:val="left"/>
      <w:pPr>
        <w:ind w:left="1660" w:hanging="420"/>
      </w:pPr>
      <w:rPr>
        <w:rFonts w:hint="default" w:ascii="Wingdings" w:hAnsi="Wingdings"/>
      </w:rPr>
    </w:lvl>
    <w:lvl w:ilvl="3" w:tentative="0">
      <w:start w:val="1"/>
      <w:numFmt w:val="bullet"/>
      <w:lvlText w:val=""/>
      <w:lvlJc w:val="left"/>
      <w:pPr>
        <w:ind w:left="2080" w:hanging="420"/>
      </w:pPr>
      <w:rPr>
        <w:rFonts w:hint="default" w:ascii="Wingdings" w:hAnsi="Wingdings"/>
      </w:rPr>
    </w:lvl>
    <w:lvl w:ilvl="4" w:tentative="0">
      <w:start w:val="1"/>
      <w:numFmt w:val="bullet"/>
      <w:lvlText w:val=""/>
      <w:lvlJc w:val="left"/>
      <w:pPr>
        <w:ind w:left="2500" w:hanging="420"/>
      </w:pPr>
      <w:rPr>
        <w:rFonts w:hint="default" w:ascii="Wingdings" w:hAnsi="Wingdings"/>
      </w:rPr>
    </w:lvl>
    <w:lvl w:ilvl="5" w:tentative="0">
      <w:start w:val="1"/>
      <w:numFmt w:val="bullet"/>
      <w:lvlText w:val=""/>
      <w:lvlJc w:val="left"/>
      <w:pPr>
        <w:ind w:left="2920" w:hanging="420"/>
      </w:pPr>
      <w:rPr>
        <w:rFonts w:hint="default" w:ascii="Wingdings" w:hAnsi="Wingdings"/>
      </w:rPr>
    </w:lvl>
    <w:lvl w:ilvl="6" w:tentative="0">
      <w:start w:val="1"/>
      <w:numFmt w:val="bullet"/>
      <w:lvlText w:val=""/>
      <w:lvlJc w:val="left"/>
      <w:pPr>
        <w:ind w:left="3340" w:hanging="420"/>
      </w:pPr>
      <w:rPr>
        <w:rFonts w:hint="default" w:ascii="Wingdings" w:hAnsi="Wingdings"/>
      </w:rPr>
    </w:lvl>
    <w:lvl w:ilvl="7" w:tentative="0">
      <w:start w:val="1"/>
      <w:numFmt w:val="bullet"/>
      <w:lvlText w:val=""/>
      <w:lvlJc w:val="left"/>
      <w:pPr>
        <w:ind w:left="3760" w:hanging="420"/>
      </w:pPr>
      <w:rPr>
        <w:rFonts w:hint="default" w:ascii="Wingdings" w:hAnsi="Wingdings"/>
      </w:rPr>
    </w:lvl>
    <w:lvl w:ilvl="8" w:tentative="0">
      <w:start w:val="1"/>
      <w:numFmt w:val="bullet"/>
      <w:lvlText w:val=""/>
      <w:lvlJc w:val="left"/>
      <w:pPr>
        <w:ind w:left="4180" w:hanging="420"/>
      </w:pPr>
      <w:rPr>
        <w:rFonts w:hint="default" w:ascii="Wingdings" w:hAnsi="Wingdings"/>
      </w:rPr>
    </w:lvl>
  </w:abstractNum>
  <w:abstractNum w:abstractNumId="16">
    <w:nsid w:val="35554C28"/>
    <w:multiLevelType w:val="multilevel"/>
    <w:tmpl w:val="35554C28"/>
    <w:lvl w:ilvl="0" w:tentative="0">
      <w:start w:val="1"/>
      <w:numFmt w:val="bullet"/>
      <w:pStyle w:val="381"/>
      <w:lvlText w:val=""/>
      <w:lvlJc w:val="left"/>
      <w:pPr>
        <w:tabs>
          <w:tab w:val="left" w:pos="1140"/>
        </w:tabs>
        <w:ind w:left="114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7">
    <w:nsid w:val="47F37F83"/>
    <w:multiLevelType w:val="multilevel"/>
    <w:tmpl w:val="47F37F83"/>
    <w:lvl w:ilvl="0" w:tentative="0">
      <w:start w:val="1"/>
      <w:numFmt w:val="decimal"/>
      <w:suff w:val="space"/>
      <w:lvlText w:val="第 %1 章"/>
      <w:lvlJc w:val="center"/>
      <w:pPr>
        <w:ind w:firstLine="288"/>
      </w:pPr>
      <w:rPr>
        <w:rFonts w:hint="eastAsia" w:cs="Times New Roman"/>
        <w:b w:val="0"/>
        <w:i w:val="0"/>
        <w:iCs w:val="0"/>
        <w:caps w:val="0"/>
        <w:smallCaps w:val="0"/>
        <w:strike w:val="0"/>
        <w:dstrike w:val="0"/>
        <w:vanish w:val="0"/>
        <w:color w:val="000000"/>
        <w:spacing w:val="0"/>
        <w:kern w:val="0"/>
        <w:position w:val="0"/>
        <w:u w:val="none"/>
        <w:vertAlign w:val="baseline"/>
      </w:rPr>
    </w:lvl>
    <w:lvl w:ilvl="1" w:tentative="0">
      <w:start w:val="1"/>
      <w:numFmt w:val="decimal"/>
      <w:isLgl/>
      <w:suff w:val="space"/>
      <w:lvlText w:val="%1.%2"/>
      <w:lvlJc w:val="left"/>
      <w:pPr>
        <w:ind w:left="2268" w:hanging="2268"/>
      </w:pPr>
      <w:rPr>
        <w:rFonts w:hint="eastAsia" w:ascii="Arial" w:hAnsi="Arial" w:eastAsia="黑体" w:cs="Times New Roman"/>
        <w:b w:val="0"/>
        <w:bCs w:val="0"/>
        <w:i w:val="0"/>
        <w:iCs w:val="0"/>
        <w:caps w:val="0"/>
        <w:smallCaps w:val="0"/>
        <w:strike w:val="0"/>
        <w:dstrike w:val="0"/>
        <w:vanish w:val="0"/>
        <w:color w:val="auto"/>
        <w:spacing w:val="0"/>
        <w:w w:val="100"/>
        <w:kern w:val="2"/>
        <w:position w:val="0"/>
        <w:sz w:val="36"/>
        <w:u w:val="none"/>
        <w:vertAlign w:val="baseline"/>
      </w:rPr>
    </w:lvl>
    <w:lvl w:ilvl="2" w:tentative="0">
      <w:start w:val="1"/>
      <w:numFmt w:val="decimal"/>
      <w:isLgl/>
      <w:suff w:val="space"/>
      <w:lvlText w:val="%1.%2.%3"/>
      <w:lvlJc w:val="left"/>
      <w:pPr>
        <w:ind w:left="2270" w:hanging="2270"/>
      </w:pPr>
      <w:rPr>
        <w:rFonts w:hint="eastAsia" w:cs="Times New Roman"/>
        <w:b w:val="0"/>
        <w:i w:val="0"/>
        <w:iCs w:val="0"/>
        <w:caps w:val="0"/>
        <w:smallCaps w:val="0"/>
        <w:strike w:val="0"/>
        <w:dstrike w:val="0"/>
        <w:vanish w:val="0"/>
        <w:color w:val="000000"/>
        <w:spacing w:val="0"/>
        <w:kern w:val="0"/>
        <w:position w:val="0"/>
        <w:u w:val="none"/>
        <w:vertAlign w:val="baseline"/>
      </w:rPr>
    </w:lvl>
    <w:lvl w:ilvl="3" w:tentative="0">
      <w:start w:val="1"/>
      <w:numFmt w:val="decimal"/>
      <w:isLgl/>
      <w:suff w:val="space"/>
      <w:lvlText w:val="%1.%2.%3.%4"/>
      <w:lvlJc w:val="left"/>
      <w:pPr>
        <w:ind w:left="2268" w:hanging="2268"/>
      </w:pPr>
      <w:rPr>
        <w:rFonts w:hint="default" w:ascii="Arial" w:hAnsi="Arial" w:eastAsia="黑体" w:cs="Times New Roman"/>
        <w:b w:val="0"/>
        <w:i w:val="0"/>
        <w:sz w:val="30"/>
      </w:rPr>
    </w:lvl>
    <w:lvl w:ilvl="4" w:tentative="0">
      <w:start w:val="1"/>
      <w:numFmt w:val="decimal"/>
      <w:isLgl/>
      <w:suff w:val="space"/>
      <w:lvlText w:val="%1.%2.%3.%4.%5"/>
      <w:lvlJc w:val="left"/>
      <w:pPr>
        <w:ind w:left="2268" w:hanging="2268"/>
      </w:pPr>
      <w:rPr>
        <w:rFonts w:hint="default" w:ascii="Arial" w:hAnsi="Arial" w:eastAsia="黑体" w:cs="Times New Roman"/>
        <w:b w:val="0"/>
        <w:i w:val="0"/>
        <w:sz w:val="28"/>
      </w:rPr>
    </w:lvl>
    <w:lvl w:ilvl="5" w:tentative="0">
      <w:start w:val="1"/>
      <w:numFmt w:val="decimal"/>
      <w:isLgl/>
      <w:lvlText w:val="%1.%2.%3.%4.%5.%6"/>
      <w:lvlJc w:val="left"/>
      <w:pPr>
        <w:tabs>
          <w:tab w:val="left" w:pos="1992"/>
        </w:tabs>
        <w:ind w:left="2268" w:hanging="2268"/>
      </w:pPr>
      <w:rPr>
        <w:rFonts w:hint="eastAsia" w:cs="Times New Roman"/>
      </w:rPr>
    </w:lvl>
    <w:lvl w:ilvl="6" w:tentative="0">
      <w:start w:val="1"/>
      <w:numFmt w:val="decimal"/>
      <w:lvlText w:val="%1.%2.%3.%4.%5.%6.%7"/>
      <w:lvlJc w:val="left"/>
      <w:pPr>
        <w:tabs>
          <w:tab w:val="left" w:pos="2136"/>
        </w:tabs>
        <w:ind w:left="2136" w:hanging="1296"/>
      </w:pPr>
      <w:rPr>
        <w:rFonts w:hint="eastAsia" w:cs="Times New Roman"/>
      </w:rPr>
    </w:lvl>
    <w:lvl w:ilvl="7" w:tentative="0">
      <w:start w:val="1"/>
      <w:numFmt w:val="decimal"/>
      <w:pStyle w:val="552"/>
      <w:suff w:val="space"/>
      <w:lvlText w:val="%1.%2.%3.%4.%5.%6.%7.%8"/>
      <w:lvlJc w:val="left"/>
      <w:pPr>
        <w:ind w:left="2268" w:hanging="2268"/>
      </w:pPr>
      <w:rPr>
        <w:rFonts w:hint="eastAsia" w:cs="Times New Roman"/>
      </w:rPr>
    </w:lvl>
    <w:lvl w:ilvl="8" w:tentative="0">
      <w:start w:val="1"/>
      <w:numFmt w:val="decimal"/>
      <w:lvlText w:val="%1.%2.%3.%4.%5.%6.%7.%8.%9"/>
      <w:lvlJc w:val="left"/>
      <w:pPr>
        <w:tabs>
          <w:tab w:val="left" w:pos="2424"/>
        </w:tabs>
        <w:ind w:left="2424" w:hanging="1584"/>
      </w:pPr>
      <w:rPr>
        <w:rFonts w:hint="eastAsia" w:cs="Times New Roman"/>
      </w:rPr>
    </w:lvl>
  </w:abstractNum>
  <w:abstractNum w:abstractNumId="18">
    <w:nsid w:val="4CA75A52"/>
    <w:multiLevelType w:val="multilevel"/>
    <w:tmpl w:val="4CA75A52"/>
    <w:lvl w:ilvl="0" w:tentative="0">
      <w:start w:val="1"/>
      <w:numFmt w:val="decimal"/>
      <w:pStyle w:val="182"/>
      <w:lvlText w:val="%1)"/>
      <w:lvlJc w:val="left"/>
      <w:pPr>
        <w:ind w:left="840" w:hanging="420"/>
      </w:pPr>
      <w:rPr>
        <w:rFonts w:hint="eastAsia" w:cs="Times New Roman"/>
      </w:rPr>
    </w:lvl>
    <w:lvl w:ilvl="1" w:tentative="0">
      <w:start w:val="1"/>
      <w:numFmt w:val="lowerLetter"/>
      <w:lvlText w:val="%2)"/>
      <w:lvlJc w:val="left"/>
      <w:pPr>
        <w:ind w:left="420" w:hanging="420"/>
      </w:pPr>
      <w:rPr>
        <w:rFonts w:cs="Times New Roman"/>
      </w:rPr>
    </w:lvl>
    <w:lvl w:ilvl="2" w:tentative="0">
      <w:start w:val="1"/>
      <w:numFmt w:val="lowerRoman"/>
      <w:lvlText w:val="%3."/>
      <w:lvlJc w:val="right"/>
      <w:pPr>
        <w:ind w:left="840" w:hanging="420"/>
      </w:pPr>
      <w:rPr>
        <w:rFonts w:cs="Times New Roman"/>
      </w:rPr>
    </w:lvl>
    <w:lvl w:ilvl="3" w:tentative="0">
      <w:start w:val="1"/>
      <w:numFmt w:val="decimal"/>
      <w:lvlText w:val="%4."/>
      <w:lvlJc w:val="left"/>
      <w:pPr>
        <w:ind w:left="1260" w:hanging="420"/>
      </w:pPr>
      <w:rPr>
        <w:rFonts w:cs="Times New Roman"/>
      </w:rPr>
    </w:lvl>
    <w:lvl w:ilvl="4" w:tentative="0">
      <w:start w:val="1"/>
      <w:numFmt w:val="lowerLetter"/>
      <w:lvlText w:val="%5)"/>
      <w:lvlJc w:val="left"/>
      <w:pPr>
        <w:ind w:left="1680" w:hanging="420"/>
      </w:pPr>
      <w:rPr>
        <w:rFonts w:cs="Times New Roman"/>
      </w:rPr>
    </w:lvl>
    <w:lvl w:ilvl="5" w:tentative="0">
      <w:start w:val="1"/>
      <w:numFmt w:val="lowerRoman"/>
      <w:lvlText w:val="%6."/>
      <w:lvlJc w:val="right"/>
      <w:pPr>
        <w:ind w:left="2100" w:hanging="420"/>
      </w:pPr>
      <w:rPr>
        <w:rFonts w:cs="Times New Roman"/>
      </w:rPr>
    </w:lvl>
    <w:lvl w:ilvl="6" w:tentative="0">
      <w:start w:val="1"/>
      <w:numFmt w:val="decimal"/>
      <w:lvlText w:val="%7."/>
      <w:lvlJc w:val="left"/>
      <w:pPr>
        <w:ind w:left="2520" w:hanging="420"/>
      </w:pPr>
      <w:rPr>
        <w:rFonts w:cs="Times New Roman"/>
      </w:rPr>
    </w:lvl>
    <w:lvl w:ilvl="7" w:tentative="0">
      <w:start w:val="1"/>
      <w:numFmt w:val="lowerLetter"/>
      <w:lvlText w:val="%8)"/>
      <w:lvlJc w:val="left"/>
      <w:pPr>
        <w:ind w:left="2940" w:hanging="420"/>
      </w:pPr>
      <w:rPr>
        <w:rFonts w:cs="Times New Roman"/>
      </w:rPr>
    </w:lvl>
    <w:lvl w:ilvl="8" w:tentative="0">
      <w:start w:val="1"/>
      <w:numFmt w:val="lowerRoman"/>
      <w:lvlText w:val="%9."/>
      <w:lvlJc w:val="right"/>
      <w:pPr>
        <w:ind w:left="3360" w:hanging="420"/>
      </w:pPr>
      <w:rPr>
        <w:rFonts w:cs="Times New Roman"/>
      </w:rPr>
    </w:lvl>
  </w:abstractNum>
  <w:abstractNum w:abstractNumId="19">
    <w:nsid w:val="66410E74"/>
    <w:multiLevelType w:val="multilevel"/>
    <w:tmpl w:val="66410E74"/>
    <w:lvl w:ilvl="0" w:tentative="0">
      <w:start w:val="1"/>
      <w:numFmt w:val="decimal"/>
      <w:suff w:val="space"/>
      <w:lvlText w:val="第 %1 章"/>
      <w:lvlJc w:val="center"/>
      <w:pPr>
        <w:ind w:firstLine="288"/>
      </w:pPr>
      <w:rPr>
        <w:rFonts w:hint="default" w:ascii="Times New Roman" w:hAnsi="Times New Roman" w:eastAsia="黑体" w:cs="Times New Roman"/>
        <w:b w:val="0"/>
        <w:i w:val="0"/>
        <w:sz w:val="44"/>
      </w:rPr>
    </w:lvl>
    <w:lvl w:ilvl="1" w:tentative="0">
      <w:start w:val="1"/>
      <w:numFmt w:val="decimal"/>
      <w:isLgl/>
      <w:suff w:val="space"/>
      <w:lvlText w:val="%1.%2"/>
      <w:lvlJc w:val="left"/>
      <w:pPr>
        <w:ind w:left="2268" w:hanging="2268"/>
      </w:pPr>
      <w:rPr>
        <w:rFonts w:hint="eastAsia" w:ascii="Arial" w:hAnsi="Arial" w:eastAsia="黑体" w:cs="Times New Roman"/>
        <w:b w:val="0"/>
        <w:bCs w:val="0"/>
        <w:i w:val="0"/>
        <w:iCs w:val="0"/>
        <w:caps w:val="0"/>
        <w:smallCaps w:val="0"/>
        <w:strike w:val="0"/>
        <w:dstrike w:val="0"/>
        <w:vanish w:val="0"/>
        <w:color w:val="auto"/>
        <w:spacing w:val="0"/>
        <w:w w:val="100"/>
        <w:kern w:val="2"/>
        <w:position w:val="0"/>
        <w:sz w:val="36"/>
        <w:u w:val="none"/>
        <w:vertAlign w:val="baseline"/>
      </w:rPr>
    </w:lvl>
    <w:lvl w:ilvl="2" w:tentative="0">
      <w:start w:val="1"/>
      <w:numFmt w:val="decimal"/>
      <w:isLgl/>
      <w:suff w:val="space"/>
      <w:lvlText w:val="%1.%2.%3"/>
      <w:lvlJc w:val="left"/>
      <w:pPr>
        <w:ind w:left="2270" w:hanging="227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3" w:tentative="0">
      <w:start w:val="1"/>
      <w:numFmt w:val="decimal"/>
      <w:isLgl/>
      <w:suff w:val="space"/>
      <w:lvlText w:val="%1.%2.%3.%4"/>
      <w:lvlJc w:val="left"/>
      <w:pPr>
        <w:ind w:left="2268" w:hanging="2268"/>
      </w:pPr>
      <w:rPr>
        <w:rFonts w:hint="default" w:ascii="Arial" w:hAnsi="Arial" w:eastAsia="黑体" w:cs="Times New Roman"/>
        <w:b w:val="0"/>
        <w:i w:val="0"/>
        <w:sz w:val="30"/>
      </w:rPr>
    </w:lvl>
    <w:lvl w:ilvl="4" w:tentative="0">
      <w:start w:val="1"/>
      <w:numFmt w:val="decimal"/>
      <w:isLgl/>
      <w:suff w:val="space"/>
      <w:lvlText w:val="%1.%2.%3.%4.%5"/>
      <w:lvlJc w:val="left"/>
      <w:pPr>
        <w:ind w:left="2268" w:hanging="2268"/>
      </w:pPr>
      <w:rPr>
        <w:rFonts w:hint="default" w:ascii="Arial" w:hAnsi="Arial" w:eastAsia="黑体" w:cs="Times New Roman"/>
        <w:b w:val="0"/>
        <w:i w:val="0"/>
        <w:sz w:val="28"/>
      </w:rPr>
    </w:lvl>
    <w:lvl w:ilvl="5" w:tentative="0">
      <w:start w:val="1"/>
      <w:numFmt w:val="decimal"/>
      <w:isLgl/>
      <w:lvlText w:val="%1.%2.%3.%4.%5.%6"/>
      <w:lvlJc w:val="left"/>
      <w:pPr>
        <w:tabs>
          <w:tab w:val="left" w:pos="1992"/>
        </w:tabs>
        <w:ind w:left="2268" w:hanging="2268"/>
      </w:pPr>
      <w:rPr>
        <w:rFonts w:hint="eastAsia" w:cs="Times New Roman"/>
      </w:rPr>
    </w:lvl>
    <w:lvl w:ilvl="6" w:tentative="0">
      <w:start w:val="1"/>
      <w:numFmt w:val="decimal"/>
      <w:pStyle w:val="493"/>
      <w:suff w:val="space"/>
      <w:lvlText w:val="%1.%2.%3.%4.%5.%6.%7"/>
      <w:lvlJc w:val="left"/>
      <w:pPr>
        <w:ind w:left="2268" w:hanging="2268"/>
      </w:pPr>
      <w:rPr>
        <w:rFonts w:cs="Times New Roman"/>
        <w:b w:val="0"/>
        <w:bCs w:val="0"/>
        <w:i w:val="0"/>
        <w:iCs w:val="0"/>
        <w:caps w:val="0"/>
        <w:smallCaps w:val="0"/>
        <w:strike w:val="0"/>
        <w:dstrike w:val="0"/>
        <w:outline w:val="0"/>
        <w:shadow w:val="0"/>
        <w:emboss w:val="0"/>
        <w:imprint w:val="0"/>
        <w:vanish w:val="0"/>
        <w:spacing w:val="0"/>
        <w:position w:val="0"/>
        <w:u w:val="none"/>
        <w:vertAlign w:val="baseline"/>
      </w:rPr>
    </w:lvl>
    <w:lvl w:ilvl="7" w:tentative="0">
      <w:start w:val="1"/>
      <w:numFmt w:val="decimal"/>
      <w:lvlText w:val="%1.%2.%3.%4.%5.%6.%7.%8"/>
      <w:lvlJc w:val="left"/>
      <w:pPr>
        <w:tabs>
          <w:tab w:val="left" w:pos="2280"/>
        </w:tabs>
        <w:ind w:left="2280" w:hanging="1440"/>
      </w:pPr>
      <w:rPr>
        <w:rFonts w:hint="eastAsia" w:cs="Times New Roman"/>
      </w:rPr>
    </w:lvl>
    <w:lvl w:ilvl="8" w:tentative="0">
      <w:start w:val="1"/>
      <w:numFmt w:val="decimal"/>
      <w:lvlText w:val="%1.%2.%3.%4.%5.%6.%7.%8.%9"/>
      <w:lvlJc w:val="left"/>
      <w:pPr>
        <w:tabs>
          <w:tab w:val="left" w:pos="2424"/>
        </w:tabs>
        <w:ind w:left="2424" w:hanging="1584"/>
      </w:pPr>
      <w:rPr>
        <w:rFonts w:hint="eastAsia" w:cs="Times New Roman"/>
      </w:rPr>
    </w:lvl>
  </w:abstractNum>
  <w:num w:numId="1">
    <w:abstractNumId w:val="4"/>
  </w:num>
  <w:num w:numId="2">
    <w:abstractNumId w:val="7"/>
  </w:num>
  <w:num w:numId="3">
    <w:abstractNumId w:val="13"/>
  </w:num>
  <w:num w:numId="4">
    <w:abstractNumId w:val="18"/>
  </w:num>
  <w:num w:numId="5">
    <w:abstractNumId w:val="3"/>
  </w:num>
  <w:num w:numId="6">
    <w:abstractNumId w:val="16"/>
  </w:num>
  <w:num w:numId="7">
    <w:abstractNumId w:val="6"/>
  </w:num>
  <w:num w:numId="8">
    <w:abstractNumId w:val="8"/>
  </w:num>
  <w:num w:numId="9">
    <w:abstractNumId w:val="19"/>
  </w:num>
  <w:num w:numId="10">
    <w:abstractNumId w:val="11"/>
  </w:num>
  <w:num w:numId="11">
    <w:abstractNumId w:val="2"/>
  </w:num>
  <w:num w:numId="12">
    <w:abstractNumId w:val="15"/>
  </w:num>
  <w:num w:numId="13">
    <w:abstractNumId w:val="17"/>
  </w:num>
  <w:num w:numId="14">
    <w:abstractNumId w:val="1"/>
  </w:num>
  <w:num w:numId="15">
    <w:abstractNumId w:val="14"/>
  </w:num>
  <w:num w:numId="16">
    <w:abstractNumId w:val="5"/>
  </w:num>
  <w:num w:numId="17">
    <w:abstractNumId w:val="10"/>
  </w:num>
  <w:num w:numId="18">
    <w:abstractNumId w:val="9"/>
  </w:num>
  <w:num w:numId="19">
    <w:abstractNumId w:val="12"/>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321"/>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UyYzYyNWQ1YjZlYTc4Mjk0YmYzMGUyNDM3Yjk5ZGQifQ=="/>
  </w:docVars>
  <w:rsids>
    <w:rsidRoot w:val="005A08C3"/>
    <w:rsid w:val="000036B6"/>
    <w:rsid w:val="000047EB"/>
    <w:rsid w:val="00006E5A"/>
    <w:rsid w:val="000102A7"/>
    <w:rsid w:val="0001082C"/>
    <w:rsid w:val="00011984"/>
    <w:rsid w:val="00012333"/>
    <w:rsid w:val="0001297E"/>
    <w:rsid w:val="00012F30"/>
    <w:rsid w:val="00013908"/>
    <w:rsid w:val="00013C1A"/>
    <w:rsid w:val="00014943"/>
    <w:rsid w:val="00020FDA"/>
    <w:rsid w:val="0002316A"/>
    <w:rsid w:val="000243DB"/>
    <w:rsid w:val="00024AAC"/>
    <w:rsid w:val="000260D7"/>
    <w:rsid w:val="00027ED8"/>
    <w:rsid w:val="00035204"/>
    <w:rsid w:val="0003640F"/>
    <w:rsid w:val="00036D8B"/>
    <w:rsid w:val="00037C32"/>
    <w:rsid w:val="000414DA"/>
    <w:rsid w:val="000423CF"/>
    <w:rsid w:val="0004252A"/>
    <w:rsid w:val="00042902"/>
    <w:rsid w:val="00044DBA"/>
    <w:rsid w:val="00047960"/>
    <w:rsid w:val="000521BC"/>
    <w:rsid w:val="00052E72"/>
    <w:rsid w:val="000536A7"/>
    <w:rsid w:val="00053DF9"/>
    <w:rsid w:val="0005457A"/>
    <w:rsid w:val="000546D8"/>
    <w:rsid w:val="00057D9D"/>
    <w:rsid w:val="0006001C"/>
    <w:rsid w:val="00061C03"/>
    <w:rsid w:val="0006360F"/>
    <w:rsid w:val="00063D3D"/>
    <w:rsid w:val="000645F7"/>
    <w:rsid w:val="000656C0"/>
    <w:rsid w:val="0006618E"/>
    <w:rsid w:val="00066528"/>
    <w:rsid w:val="00070514"/>
    <w:rsid w:val="00070E3B"/>
    <w:rsid w:val="00073C31"/>
    <w:rsid w:val="000747CF"/>
    <w:rsid w:val="0007528F"/>
    <w:rsid w:val="000758E5"/>
    <w:rsid w:val="00077974"/>
    <w:rsid w:val="000812D4"/>
    <w:rsid w:val="00083E06"/>
    <w:rsid w:val="00084B8E"/>
    <w:rsid w:val="00090117"/>
    <w:rsid w:val="00090A4C"/>
    <w:rsid w:val="0009281D"/>
    <w:rsid w:val="00094D8E"/>
    <w:rsid w:val="00094EED"/>
    <w:rsid w:val="00097F66"/>
    <w:rsid w:val="000A0E7D"/>
    <w:rsid w:val="000A1A0E"/>
    <w:rsid w:val="000A1B7E"/>
    <w:rsid w:val="000A28E8"/>
    <w:rsid w:val="000A2AB3"/>
    <w:rsid w:val="000A748E"/>
    <w:rsid w:val="000B0577"/>
    <w:rsid w:val="000B43E2"/>
    <w:rsid w:val="000B4436"/>
    <w:rsid w:val="000B5252"/>
    <w:rsid w:val="000B600E"/>
    <w:rsid w:val="000B7610"/>
    <w:rsid w:val="000B7EA7"/>
    <w:rsid w:val="000C0705"/>
    <w:rsid w:val="000C0D98"/>
    <w:rsid w:val="000C2B6D"/>
    <w:rsid w:val="000C46C3"/>
    <w:rsid w:val="000C4BCB"/>
    <w:rsid w:val="000C4DAA"/>
    <w:rsid w:val="000C5587"/>
    <w:rsid w:val="000C5C78"/>
    <w:rsid w:val="000C6ADD"/>
    <w:rsid w:val="000C7525"/>
    <w:rsid w:val="000D3DAC"/>
    <w:rsid w:val="000D4445"/>
    <w:rsid w:val="000D6037"/>
    <w:rsid w:val="000D67E6"/>
    <w:rsid w:val="000D706E"/>
    <w:rsid w:val="000D7AAB"/>
    <w:rsid w:val="000E0009"/>
    <w:rsid w:val="000E171A"/>
    <w:rsid w:val="000E3225"/>
    <w:rsid w:val="000E3911"/>
    <w:rsid w:val="000E55B2"/>
    <w:rsid w:val="000E57BF"/>
    <w:rsid w:val="000E68BE"/>
    <w:rsid w:val="000F00CF"/>
    <w:rsid w:val="000F06BB"/>
    <w:rsid w:val="000F30E7"/>
    <w:rsid w:val="000F4322"/>
    <w:rsid w:val="000F52F2"/>
    <w:rsid w:val="000F5FF7"/>
    <w:rsid w:val="000F678C"/>
    <w:rsid w:val="000F69CC"/>
    <w:rsid w:val="0010138A"/>
    <w:rsid w:val="00101F3A"/>
    <w:rsid w:val="0010265A"/>
    <w:rsid w:val="00103F28"/>
    <w:rsid w:val="00107024"/>
    <w:rsid w:val="00107A7D"/>
    <w:rsid w:val="00110A4C"/>
    <w:rsid w:val="00111B6B"/>
    <w:rsid w:val="00113724"/>
    <w:rsid w:val="001140DB"/>
    <w:rsid w:val="0011775B"/>
    <w:rsid w:val="00117D08"/>
    <w:rsid w:val="00120BB9"/>
    <w:rsid w:val="0012108A"/>
    <w:rsid w:val="00122188"/>
    <w:rsid w:val="001257DE"/>
    <w:rsid w:val="0012582E"/>
    <w:rsid w:val="00127B7E"/>
    <w:rsid w:val="00130614"/>
    <w:rsid w:val="001306CA"/>
    <w:rsid w:val="001310AA"/>
    <w:rsid w:val="001341ED"/>
    <w:rsid w:val="00134C10"/>
    <w:rsid w:val="001354A9"/>
    <w:rsid w:val="001375B5"/>
    <w:rsid w:val="001402D7"/>
    <w:rsid w:val="0014103B"/>
    <w:rsid w:val="00142D5F"/>
    <w:rsid w:val="00143EA7"/>
    <w:rsid w:val="001446C6"/>
    <w:rsid w:val="00147D50"/>
    <w:rsid w:val="0015020D"/>
    <w:rsid w:val="00155AB3"/>
    <w:rsid w:val="00156585"/>
    <w:rsid w:val="00157979"/>
    <w:rsid w:val="00163B16"/>
    <w:rsid w:val="0016491F"/>
    <w:rsid w:val="00164DEB"/>
    <w:rsid w:val="0016502B"/>
    <w:rsid w:val="001704AD"/>
    <w:rsid w:val="00171CA2"/>
    <w:rsid w:val="0017306D"/>
    <w:rsid w:val="00174115"/>
    <w:rsid w:val="00175106"/>
    <w:rsid w:val="00176E85"/>
    <w:rsid w:val="00180406"/>
    <w:rsid w:val="00181402"/>
    <w:rsid w:val="001848EB"/>
    <w:rsid w:val="0018501C"/>
    <w:rsid w:val="001861E9"/>
    <w:rsid w:val="00190947"/>
    <w:rsid w:val="00191CDB"/>
    <w:rsid w:val="00193849"/>
    <w:rsid w:val="00193A49"/>
    <w:rsid w:val="00193DBD"/>
    <w:rsid w:val="00195909"/>
    <w:rsid w:val="00195FCD"/>
    <w:rsid w:val="0019733B"/>
    <w:rsid w:val="001A2E0D"/>
    <w:rsid w:val="001A317B"/>
    <w:rsid w:val="001A3C9D"/>
    <w:rsid w:val="001A3D6A"/>
    <w:rsid w:val="001A4AB9"/>
    <w:rsid w:val="001A4C66"/>
    <w:rsid w:val="001B0FF8"/>
    <w:rsid w:val="001B11CA"/>
    <w:rsid w:val="001B1245"/>
    <w:rsid w:val="001B1684"/>
    <w:rsid w:val="001B4C64"/>
    <w:rsid w:val="001B5A3C"/>
    <w:rsid w:val="001B6E6A"/>
    <w:rsid w:val="001B6F71"/>
    <w:rsid w:val="001B76EA"/>
    <w:rsid w:val="001B7E7A"/>
    <w:rsid w:val="001C391E"/>
    <w:rsid w:val="001D30C0"/>
    <w:rsid w:val="001D39AF"/>
    <w:rsid w:val="001D450A"/>
    <w:rsid w:val="001D4592"/>
    <w:rsid w:val="001D5075"/>
    <w:rsid w:val="001D5569"/>
    <w:rsid w:val="001D6080"/>
    <w:rsid w:val="001D71C2"/>
    <w:rsid w:val="001D7E63"/>
    <w:rsid w:val="001E0912"/>
    <w:rsid w:val="001E1B42"/>
    <w:rsid w:val="001E204E"/>
    <w:rsid w:val="001E4B81"/>
    <w:rsid w:val="001E5085"/>
    <w:rsid w:val="001E5279"/>
    <w:rsid w:val="001E6994"/>
    <w:rsid w:val="001F3BF8"/>
    <w:rsid w:val="001F4219"/>
    <w:rsid w:val="001F4B0C"/>
    <w:rsid w:val="001F4BB5"/>
    <w:rsid w:val="001F4D16"/>
    <w:rsid w:val="00201000"/>
    <w:rsid w:val="00201B04"/>
    <w:rsid w:val="00203582"/>
    <w:rsid w:val="00212A80"/>
    <w:rsid w:val="00213340"/>
    <w:rsid w:val="00213368"/>
    <w:rsid w:val="0021338F"/>
    <w:rsid w:val="002134AA"/>
    <w:rsid w:val="00213A07"/>
    <w:rsid w:val="00213D3B"/>
    <w:rsid w:val="0021418E"/>
    <w:rsid w:val="002145BF"/>
    <w:rsid w:val="00220B74"/>
    <w:rsid w:val="00223D05"/>
    <w:rsid w:val="00223F46"/>
    <w:rsid w:val="0022512E"/>
    <w:rsid w:val="00225196"/>
    <w:rsid w:val="002273E1"/>
    <w:rsid w:val="00227D77"/>
    <w:rsid w:val="00233089"/>
    <w:rsid w:val="0023446E"/>
    <w:rsid w:val="00234A8F"/>
    <w:rsid w:val="002356C1"/>
    <w:rsid w:val="00236226"/>
    <w:rsid w:val="002404F9"/>
    <w:rsid w:val="00244443"/>
    <w:rsid w:val="00244712"/>
    <w:rsid w:val="002458C1"/>
    <w:rsid w:val="00246C97"/>
    <w:rsid w:val="00251D5D"/>
    <w:rsid w:val="00255D5F"/>
    <w:rsid w:val="00256D68"/>
    <w:rsid w:val="0025743F"/>
    <w:rsid w:val="00261E44"/>
    <w:rsid w:val="002627F7"/>
    <w:rsid w:val="00264F52"/>
    <w:rsid w:val="00265CA3"/>
    <w:rsid w:val="002667AC"/>
    <w:rsid w:val="00266EA9"/>
    <w:rsid w:val="00267EAF"/>
    <w:rsid w:val="00270D3D"/>
    <w:rsid w:val="00274E4B"/>
    <w:rsid w:val="002756D0"/>
    <w:rsid w:val="00280088"/>
    <w:rsid w:val="002802DA"/>
    <w:rsid w:val="00280557"/>
    <w:rsid w:val="00280883"/>
    <w:rsid w:val="00280DB8"/>
    <w:rsid w:val="00281D86"/>
    <w:rsid w:val="002820DE"/>
    <w:rsid w:val="0028391D"/>
    <w:rsid w:val="00290887"/>
    <w:rsid w:val="00291D74"/>
    <w:rsid w:val="002925F3"/>
    <w:rsid w:val="002931DE"/>
    <w:rsid w:val="0029372E"/>
    <w:rsid w:val="00294367"/>
    <w:rsid w:val="00295564"/>
    <w:rsid w:val="00296749"/>
    <w:rsid w:val="002A3D78"/>
    <w:rsid w:val="002A4F0D"/>
    <w:rsid w:val="002A51FD"/>
    <w:rsid w:val="002A602E"/>
    <w:rsid w:val="002A6491"/>
    <w:rsid w:val="002B1764"/>
    <w:rsid w:val="002B3635"/>
    <w:rsid w:val="002B3FE7"/>
    <w:rsid w:val="002B56E0"/>
    <w:rsid w:val="002B5E7C"/>
    <w:rsid w:val="002B66C9"/>
    <w:rsid w:val="002B6ED5"/>
    <w:rsid w:val="002B74D8"/>
    <w:rsid w:val="002B7500"/>
    <w:rsid w:val="002B7949"/>
    <w:rsid w:val="002C0FF5"/>
    <w:rsid w:val="002C185B"/>
    <w:rsid w:val="002C1D57"/>
    <w:rsid w:val="002C1F4C"/>
    <w:rsid w:val="002C704F"/>
    <w:rsid w:val="002C7392"/>
    <w:rsid w:val="002C783F"/>
    <w:rsid w:val="002D0220"/>
    <w:rsid w:val="002D1E6C"/>
    <w:rsid w:val="002D293B"/>
    <w:rsid w:val="002D3539"/>
    <w:rsid w:val="002D3E57"/>
    <w:rsid w:val="002D459A"/>
    <w:rsid w:val="002D4674"/>
    <w:rsid w:val="002D4EDE"/>
    <w:rsid w:val="002D531C"/>
    <w:rsid w:val="002D67D2"/>
    <w:rsid w:val="002D6DC7"/>
    <w:rsid w:val="002E063A"/>
    <w:rsid w:val="002E10D0"/>
    <w:rsid w:val="002E30E7"/>
    <w:rsid w:val="002E541D"/>
    <w:rsid w:val="002E5427"/>
    <w:rsid w:val="002E5B52"/>
    <w:rsid w:val="002F0F05"/>
    <w:rsid w:val="002F42C2"/>
    <w:rsid w:val="00300036"/>
    <w:rsid w:val="003017F8"/>
    <w:rsid w:val="00303692"/>
    <w:rsid w:val="003046F8"/>
    <w:rsid w:val="00304E2F"/>
    <w:rsid w:val="00305D4E"/>
    <w:rsid w:val="0030612F"/>
    <w:rsid w:val="00307763"/>
    <w:rsid w:val="003121A9"/>
    <w:rsid w:val="00312244"/>
    <w:rsid w:val="00313FE8"/>
    <w:rsid w:val="0031780F"/>
    <w:rsid w:val="003208DC"/>
    <w:rsid w:val="0032315B"/>
    <w:rsid w:val="00325191"/>
    <w:rsid w:val="003253BD"/>
    <w:rsid w:val="003257F4"/>
    <w:rsid w:val="00326436"/>
    <w:rsid w:val="00326CF5"/>
    <w:rsid w:val="0032730A"/>
    <w:rsid w:val="003301EC"/>
    <w:rsid w:val="00330B45"/>
    <w:rsid w:val="003343F2"/>
    <w:rsid w:val="0033465B"/>
    <w:rsid w:val="00334C1A"/>
    <w:rsid w:val="00340CE6"/>
    <w:rsid w:val="0034106E"/>
    <w:rsid w:val="0034117E"/>
    <w:rsid w:val="0034186C"/>
    <w:rsid w:val="00342788"/>
    <w:rsid w:val="003464D1"/>
    <w:rsid w:val="00346761"/>
    <w:rsid w:val="003471E4"/>
    <w:rsid w:val="003532D4"/>
    <w:rsid w:val="00354A24"/>
    <w:rsid w:val="00355646"/>
    <w:rsid w:val="00356FB3"/>
    <w:rsid w:val="003610E5"/>
    <w:rsid w:val="0036252B"/>
    <w:rsid w:val="00364CA8"/>
    <w:rsid w:val="00365948"/>
    <w:rsid w:val="003670E3"/>
    <w:rsid w:val="00367FDE"/>
    <w:rsid w:val="00371934"/>
    <w:rsid w:val="003722F1"/>
    <w:rsid w:val="00373585"/>
    <w:rsid w:val="00376195"/>
    <w:rsid w:val="00376737"/>
    <w:rsid w:val="00376EA9"/>
    <w:rsid w:val="003770A6"/>
    <w:rsid w:val="00383AC1"/>
    <w:rsid w:val="00383D18"/>
    <w:rsid w:val="00384026"/>
    <w:rsid w:val="00384566"/>
    <w:rsid w:val="003850A4"/>
    <w:rsid w:val="00385792"/>
    <w:rsid w:val="00386546"/>
    <w:rsid w:val="00386853"/>
    <w:rsid w:val="00386BA1"/>
    <w:rsid w:val="00390CF2"/>
    <w:rsid w:val="00390EA5"/>
    <w:rsid w:val="003931D1"/>
    <w:rsid w:val="0039621A"/>
    <w:rsid w:val="00396CDA"/>
    <w:rsid w:val="003A073D"/>
    <w:rsid w:val="003A10E7"/>
    <w:rsid w:val="003A2434"/>
    <w:rsid w:val="003A5E83"/>
    <w:rsid w:val="003A6041"/>
    <w:rsid w:val="003A68A0"/>
    <w:rsid w:val="003A6CE1"/>
    <w:rsid w:val="003B1F0B"/>
    <w:rsid w:val="003B2877"/>
    <w:rsid w:val="003B3400"/>
    <w:rsid w:val="003B4319"/>
    <w:rsid w:val="003B45CF"/>
    <w:rsid w:val="003B69A0"/>
    <w:rsid w:val="003B7538"/>
    <w:rsid w:val="003C2C23"/>
    <w:rsid w:val="003C3293"/>
    <w:rsid w:val="003C3B45"/>
    <w:rsid w:val="003C4940"/>
    <w:rsid w:val="003D362D"/>
    <w:rsid w:val="003D4C72"/>
    <w:rsid w:val="003D609E"/>
    <w:rsid w:val="003D6515"/>
    <w:rsid w:val="003E049E"/>
    <w:rsid w:val="003E1433"/>
    <w:rsid w:val="003E1587"/>
    <w:rsid w:val="003E29D1"/>
    <w:rsid w:val="003E3243"/>
    <w:rsid w:val="003E4FF4"/>
    <w:rsid w:val="003E5681"/>
    <w:rsid w:val="003E5B02"/>
    <w:rsid w:val="003E5C82"/>
    <w:rsid w:val="003E6E20"/>
    <w:rsid w:val="003E717E"/>
    <w:rsid w:val="003F08C7"/>
    <w:rsid w:val="003F190A"/>
    <w:rsid w:val="003F2A85"/>
    <w:rsid w:val="003F39C2"/>
    <w:rsid w:val="003F432D"/>
    <w:rsid w:val="003F4A39"/>
    <w:rsid w:val="003F4CFD"/>
    <w:rsid w:val="003F5D4D"/>
    <w:rsid w:val="00400E97"/>
    <w:rsid w:val="00401888"/>
    <w:rsid w:val="004024AF"/>
    <w:rsid w:val="00402C4F"/>
    <w:rsid w:val="004031A6"/>
    <w:rsid w:val="004047ED"/>
    <w:rsid w:val="00405944"/>
    <w:rsid w:val="00410467"/>
    <w:rsid w:val="00410A63"/>
    <w:rsid w:val="00411D55"/>
    <w:rsid w:val="00412C4E"/>
    <w:rsid w:val="00413637"/>
    <w:rsid w:val="00414F59"/>
    <w:rsid w:val="004158E5"/>
    <w:rsid w:val="00415A0B"/>
    <w:rsid w:val="0041681C"/>
    <w:rsid w:val="00417772"/>
    <w:rsid w:val="00417D9E"/>
    <w:rsid w:val="004202A0"/>
    <w:rsid w:val="004211F1"/>
    <w:rsid w:val="00427620"/>
    <w:rsid w:val="00430068"/>
    <w:rsid w:val="00430C2F"/>
    <w:rsid w:val="00431092"/>
    <w:rsid w:val="004318F6"/>
    <w:rsid w:val="00431EB9"/>
    <w:rsid w:val="004328B9"/>
    <w:rsid w:val="00435B15"/>
    <w:rsid w:val="00436414"/>
    <w:rsid w:val="00442300"/>
    <w:rsid w:val="00446A69"/>
    <w:rsid w:val="00447612"/>
    <w:rsid w:val="00450D0F"/>
    <w:rsid w:val="0045120D"/>
    <w:rsid w:val="004524D3"/>
    <w:rsid w:val="0045263F"/>
    <w:rsid w:val="00452A61"/>
    <w:rsid w:val="00452BD6"/>
    <w:rsid w:val="004530A9"/>
    <w:rsid w:val="00454425"/>
    <w:rsid w:val="004544AE"/>
    <w:rsid w:val="00456396"/>
    <w:rsid w:val="004579F0"/>
    <w:rsid w:val="0046087F"/>
    <w:rsid w:val="00460881"/>
    <w:rsid w:val="00460FD3"/>
    <w:rsid w:val="00463EF9"/>
    <w:rsid w:val="00466E26"/>
    <w:rsid w:val="00470103"/>
    <w:rsid w:val="004745A3"/>
    <w:rsid w:val="004756F2"/>
    <w:rsid w:val="00475F03"/>
    <w:rsid w:val="004802BB"/>
    <w:rsid w:val="00481281"/>
    <w:rsid w:val="004837DD"/>
    <w:rsid w:val="0048447B"/>
    <w:rsid w:val="0048540B"/>
    <w:rsid w:val="00486D81"/>
    <w:rsid w:val="004913E4"/>
    <w:rsid w:val="00491E85"/>
    <w:rsid w:val="004922D4"/>
    <w:rsid w:val="004924C7"/>
    <w:rsid w:val="00494C16"/>
    <w:rsid w:val="00494E79"/>
    <w:rsid w:val="004957BB"/>
    <w:rsid w:val="004961B6"/>
    <w:rsid w:val="00497725"/>
    <w:rsid w:val="004A0396"/>
    <w:rsid w:val="004A0B7F"/>
    <w:rsid w:val="004A2A4F"/>
    <w:rsid w:val="004A2F46"/>
    <w:rsid w:val="004A3C94"/>
    <w:rsid w:val="004A3E92"/>
    <w:rsid w:val="004A42D9"/>
    <w:rsid w:val="004A44ED"/>
    <w:rsid w:val="004B4F62"/>
    <w:rsid w:val="004B5A82"/>
    <w:rsid w:val="004B64B2"/>
    <w:rsid w:val="004B6E9E"/>
    <w:rsid w:val="004B70A5"/>
    <w:rsid w:val="004B7EE5"/>
    <w:rsid w:val="004C1740"/>
    <w:rsid w:val="004C5B40"/>
    <w:rsid w:val="004C647D"/>
    <w:rsid w:val="004C6827"/>
    <w:rsid w:val="004C6FDC"/>
    <w:rsid w:val="004C7A0A"/>
    <w:rsid w:val="004D025A"/>
    <w:rsid w:val="004D05F8"/>
    <w:rsid w:val="004D2290"/>
    <w:rsid w:val="004D4F60"/>
    <w:rsid w:val="004D7C1B"/>
    <w:rsid w:val="004D7EF4"/>
    <w:rsid w:val="004E1458"/>
    <w:rsid w:val="004E14C9"/>
    <w:rsid w:val="004E2B81"/>
    <w:rsid w:val="004E4785"/>
    <w:rsid w:val="004E50BC"/>
    <w:rsid w:val="004E5E18"/>
    <w:rsid w:val="004E5FE0"/>
    <w:rsid w:val="004E73CA"/>
    <w:rsid w:val="004F0794"/>
    <w:rsid w:val="004F1149"/>
    <w:rsid w:val="004F289B"/>
    <w:rsid w:val="004F2FCC"/>
    <w:rsid w:val="004F3006"/>
    <w:rsid w:val="004F3220"/>
    <w:rsid w:val="004F38E1"/>
    <w:rsid w:val="004F3D2A"/>
    <w:rsid w:val="004F4993"/>
    <w:rsid w:val="004F6FC9"/>
    <w:rsid w:val="00500559"/>
    <w:rsid w:val="0050245B"/>
    <w:rsid w:val="00502781"/>
    <w:rsid w:val="00502FE0"/>
    <w:rsid w:val="00503DEB"/>
    <w:rsid w:val="00504C13"/>
    <w:rsid w:val="00505435"/>
    <w:rsid w:val="00505CAE"/>
    <w:rsid w:val="00506C5E"/>
    <w:rsid w:val="00510A3F"/>
    <w:rsid w:val="005131C2"/>
    <w:rsid w:val="005141B4"/>
    <w:rsid w:val="00521F80"/>
    <w:rsid w:val="0052476A"/>
    <w:rsid w:val="00524DED"/>
    <w:rsid w:val="00530111"/>
    <w:rsid w:val="00530717"/>
    <w:rsid w:val="00530DD7"/>
    <w:rsid w:val="005313DA"/>
    <w:rsid w:val="00531601"/>
    <w:rsid w:val="005348B4"/>
    <w:rsid w:val="00536A4F"/>
    <w:rsid w:val="00537EB2"/>
    <w:rsid w:val="00545231"/>
    <w:rsid w:val="005464E0"/>
    <w:rsid w:val="00552719"/>
    <w:rsid w:val="00555D2B"/>
    <w:rsid w:val="005574B1"/>
    <w:rsid w:val="005600A7"/>
    <w:rsid w:val="0056160A"/>
    <w:rsid w:val="00561C7A"/>
    <w:rsid w:val="00565017"/>
    <w:rsid w:val="00565F5B"/>
    <w:rsid w:val="00571509"/>
    <w:rsid w:val="00571927"/>
    <w:rsid w:val="00572B71"/>
    <w:rsid w:val="005731F5"/>
    <w:rsid w:val="00573249"/>
    <w:rsid w:val="00573FB5"/>
    <w:rsid w:val="005740B6"/>
    <w:rsid w:val="0057468A"/>
    <w:rsid w:val="00574D03"/>
    <w:rsid w:val="00575BC6"/>
    <w:rsid w:val="00577704"/>
    <w:rsid w:val="005778A1"/>
    <w:rsid w:val="00577C40"/>
    <w:rsid w:val="0058037C"/>
    <w:rsid w:val="0058073B"/>
    <w:rsid w:val="00580AD7"/>
    <w:rsid w:val="005811D5"/>
    <w:rsid w:val="0058323B"/>
    <w:rsid w:val="005864E6"/>
    <w:rsid w:val="005865DB"/>
    <w:rsid w:val="00586862"/>
    <w:rsid w:val="00586CB9"/>
    <w:rsid w:val="00586F62"/>
    <w:rsid w:val="0058736F"/>
    <w:rsid w:val="005873C5"/>
    <w:rsid w:val="005920F2"/>
    <w:rsid w:val="005933AA"/>
    <w:rsid w:val="00594FE9"/>
    <w:rsid w:val="00595A88"/>
    <w:rsid w:val="0059618F"/>
    <w:rsid w:val="005A056B"/>
    <w:rsid w:val="005A06FB"/>
    <w:rsid w:val="005A08AC"/>
    <w:rsid w:val="005A08C3"/>
    <w:rsid w:val="005A12F8"/>
    <w:rsid w:val="005A27E4"/>
    <w:rsid w:val="005A2AFD"/>
    <w:rsid w:val="005A41FC"/>
    <w:rsid w:val="005A4390"/>
    <w:rsid w:val="005A4B15"/>
    <w:rsid w:val="005A5AF4"/>
    <w:rsid w:val="005A5EDA"/>
    <w:rsid w:val="005A6296"/>
    <w:rsid w:val="005A63B2"/>
    <w:rsid w:val="005A755A"/>
    <w:rsid w:val="005A75A8"/>
    <w:rsid w:val="005A789C"/>
    <w:rsid w:val="005B0562"/>
    <w:rsid w:val="005B20E5"/>
    <w:rsid w:val="005B2663"/>
    <w:rsid w:val="005B2AAA"/>
    <w:rsid w:val="005B34E4"/>
    <w:rsid w:val="005B3575"/>
    <w:rsid w:val="005B3F1A"/>
    <w:rsid w:val="005B3FB5"/>
    <w:rsid w:val="005B5ADF"/>
    <w:rsid w:val="005B6C11"/>
    <w:rsid w:val="005B7B46"/>
    <w:rsid w:val="005B7BC3"/>
    <w:rsid w:val="005C0160"/>
    <w:rsid w:val="005C0275"/>
    <w:rsid w:val="005C1F0F"/>
    <w:rsid w:val="005C2DD9"/>
    <w:rsid w:val="005C76BF"/>
    <w:rsid w:val="005C7B31"/>
    <w:rsid w:val="005D0832"/>
    <w:rsid w:val="005D131C"/>
    <w:rsid w:val="005D2144"/>
    <w:rsid w:val="005D2BDF"/>
    <w:rsid w:val="005D3ED2"/>
    <w:rsid w:val="005D4E4F"/>
    <w:rsid w:val="005D75E4"/>
    <w:rsid w:val="005D7E06"/>
    <w:rsid w:val="005E1525"/>
    <w:rsid w:val="005E6006"/>
    <w:rsid w:val="005F1006"/>
    <w:rsid w:val="005F1FAC"/>
    <w:rsid w:val="005F5841"/>
    <w:rsid w:val="005F628D"/>
    <w:rsid w:val="005F6FCA"/>
    <w:rsid w:val="00601039"/>
    <w:rsid w:val="00601FD1"/>
    <w:rsid w:val="00603CF5"/>
    <w:rsid w:val="00604813"/>
    <w:rsid w:val="00604E3F"/>
    <w:rsid w:val="006066AB"/>
    <w:rsid w:val="00607A5A"/>
    <w:rsid w:val="00610AF3"/>
    <w:rsid w:val="00611723"/>
    <w:rsid w:val="00612665"/>
    <w:rsid w:val="00614FBB"/>
    <w:rsid w:val="0061527C"/>
    <w:rsid w:val="00616C6D"/>
    <w:rsid w:val="006228FB"/>
    <w:rsid w:val="006239FB"/>
    <w:rsid w:val="00624827"/>
    <w:rsid w:val="00624CE9"/>
    <w:rsid w:val="00627260"/>
    <w:rsid w:val="0063121B"/>
    <w:rsid w:val="0063353E"/>
    <w:rsid w:val="00634221"/>
    <w:rsid w:val="006346FE"/>
    <w:rsid w:val="00634E58"/>
    <w:rsid w:val="006359B5"/>
    <w:rsid w:val="00637A1A"/>
    <w:rsid w:val="00640563"/>
    <w:rsid w:val="00645147"/>
    <w:rsid w:val="00646B91"/>
    <w:rsid w:val="00646DD6"/>
    <w:rsid w:val="006474D0"/>
    <w:rsid w:val="00647541"/>
    <w:rsid w:val="00647870"/>
    <w:rsid w:val="006533C6"/>
    <w:rsid w:val="0065672E"/>
    <w:rsid w:val="0065741E"/>
    <w:rsid w:val="00657734"/>
    <w:rsid w:val="00661708"/>
    <w:rsid w:val="00661B49"/>
    <w:rsid w:val="00662B10"/>
    <w:rsid w:val="00663E5B"/>
    <w:rsid w:val="0066433A"/>
    <w:rsid w:val="00664B2C"/>
    <w:rsid w:val="00664D02"/>
    <w:rsid w:val="006650D7"/>
    <w:rsid w:val="00666A69"/>
    <w:rsid w:val="00670310"/>
    <w:rsid w:val="00670601"/>
    <w:rsid w:val="006706D3"/>
    <w:rsid w:val="00670FF9"/>
    <w:rsid w:val="00680BB2"/>
    <w:rsid w:val="00680E3D"/>
    <w:rsid w:val="00681CB3"/>
    <w:rsid w:val="00681DC9"/>
    <w:rsid w:val="00682F21"/>
    <w:rsid w:val="00685DDF"/>
    <w:rsid w:val="00687F70"/>
    <w:rsid w:val="0069010A"/>
    <w:rsid w:val="00690A88"/>
    <w:rsid w:val="0069190D"/>
    <w:rsid w:val="006933F7"/>
    <w:rsid w:val="00693967"/>
    <w:rsid w:val="00695EA6"/>
    <w:rsid w:val="006A2122"/>
    <w:rsid w:val="006A236E"/>
    <w:rsid w:val="006A4B03"/>
    <w:rsid w:val="006A4FAA"/>
    <w:rsid w:val="006A710C"/>
    <w:rsid w:val="006A74F3"/>
    <w:rsid w:val="006B0765"/>
    <w:rsid w:val="006B247F"/>
    <w:rsid w:val="006B6504"/>
    <w:rsid w:val="006C45FB"/>
    <w:rsid w:val="006C5B54"/>
    <w:rsid w:val="006C7BD5"/>
    <w:rsid w:val="006D0007"/>
    <w:rsid w:val="006D08FD"/>
    <w:rsid w:val="006D09A0"/>
    <w:rsid w:val="006D2516"/>
    <w:rsid w:val="006D54CF"/>
    <w:rsid w:val="006D7087"/>
    <w:rsid w:val="006D7FCC"/>
    <w:rsid w:val="006E12B6"/>
    <w:rsid w:val="006E2195"/>
    <w:rsid w:val="006E284E"/>
    <w:rsid w:val="006E460E"/>
    <w:rsid w:val="006E4EBC"/>
    <w:rsid w:val="006E63F4"/>
    <w:rsid w:val="006E65AD"/>
    <w:rsid w:val="006E69E1"/>
    <w:rsid w:val="006E7951"/>
    <w:rsid w:val="006F130A"/>
    <w:rsid w:val="006F434D"/>
    <w:rsid w:val="006F4A6B"/>
    <w:rsid w:val="006F4E30"/>
    <w:rsid w:val="006F5743"/>
    <w:rsid w:val="007015D1"/>
    <w:rsid w:val="00702461"/>
    <w:rsid w:val="007026B0"/>
    <w:rsid w:val="00704612"/>
    <w:rsid w:val="00705CA9"/>
    <w:rsid w:val="007100FB"/>
    <w:rsid w:val="00711712"/>
    <w:rsid w:val="00711FA9"/>
    <w:rsid w:val="00713037"/>
    <w:rsid w:val="00715D32"/>
    <w:rsid w:val="00715F61"/>
    <w:rsid w:val="00720C70"/>
    <w:rsid w:val="00721D5E"/>
    <w:rsid w:val="007237FF"/>
    <w:rsid w:val="00723816"/>
    <w:rsid w:val="00723F45"/>
    <w:rsid w:val="00723FB6"/>
    <w:rsid w:val="007243A1"/>
    <w:rsid w:val="007244C8"/>
    <w:rsid w:val="00724DDD"/>
    <w:rsid w:val="0072508E"/>
    <w:rsid w:val="00725A93"/>
    <w:rsid w:val="00725E0C"/>
    <w:rsid w:val="00726551"/>
    <w:rsid w:val="00726A03"/>
    <w:rsid w:val="00730CFE"/>
    <w:rsid w:val="007310FE"/>
    <w:rsid w:val="00731ADE"/>
    <w:rsid w:val="00733015"/>
    <w:rsid w:val="007338F8"/>
    <w:rsid w:val="00734064"/>
    <w:rsid w:val="00734204"/>
    <w:rsid w:val="00734984"/>
    <w:rsid w:val="007352DD"/>
    <w:rsid w:val="00740C17"/>
    <w:rsid w:val="0074196C"/>
    <w:rsid w:val="00742C1C"/>
    <w:rsid w:val="00746299"/>
    <w:rsid w:val="00747A05"/>
    <w:rsid w:val="00750A43"/>
    <w:rsid w:val="00750D08"/>
    <w:rsid w:val="007536F5"/>
    <w:rsid w:val="00754F10"/>
    <w:rsid w:val="0075502D"/>
    <w:rsid w:val="007552C6"/>
    <w:rsid w:val="00755697"/>
    <w:rsid w:val="00756F61"/>
    <w:rsid w:val="00757BEE"/>
    <w:rsid w:val="007634A2"/>
    <w:rsid w:val="007653BB"/>
    <w:rsid w:val="00767273"/>
    <w:rsid w:val="00767674"/>
    <w:rsid w:val="00771ADB"/>
    <w:rsid w:val="00773061"/>
    <w:rsid w:val="00773595"/>
    <w:rsid w:val="00774007"/>
    <w:rsid w:val="00775670"/>
    <w:rsid w:val="00775A6C"/>
    <w:rsid w:val="00777CA4"/>
    <w:rsid w:val="00780B72"/>
    <w:rsid w:val="00782234"/>
    <w:rsid w:val="00782510"/>
    <w:rsid w:val="00782825"/>
    <w:rsid w:val="00782E3E"/>
    <w:rsid w:val="00783654"/>
    <w:rsid w:val="0078494D"/>
    <w:rsid w:val="00785569"/>
    <w:rsid w:val="007861C4"/>
    <w:rsid w:val="00786CA3"/>
    <w:rsid w:val="007878B6"/>
    <w:rsid w:val="0078799E"/>
    <w:rsid w:val="00787BC0"/>
    <w:rsid w:val="00791813"/>
    <w:rsid w:val="00791AAC"/>
    <w:rsid w:val="00791D12"/>
    <w:rsid w:val="00791E75"/>
    <w:rsid w:val="00792B36"/>
    <w:rsid w:val="00792CE0"/>
    <w:rsid w:val="00793695"/>
    <w:rsid w:val="007A0B02"/>
    <w:rsid w:val="007A0B0E"/>
    <w:rsid w:val="007A1B67"/>
    <w:rsid w:val="007A4B94"/>
    <w:rsid w:val="007A6056"/>
    <w:rsid w:val="007A6469"/>
    <w:rsid w:val="007A6591"/>
    <w:rsid w:val="007A6C8A"/>
    <w:rsid w:val="007A7C0C"/>
    <w:rsid w:val="007B0879"/>
    <w:rsid w:val="007B0FD3"/>
    <w:rsid w:val="007B1CE8"/>
    <w:rsid w:val="007B34FF"/>
    <w:rsid w:val="007B36AB"/>
    <w:rsid w:val="007B42B7"/>
    <w:rsid w:val="007B4AA0"/>
    <w:rsid w:val="007B6339"/>
    <w:rsid w:val="007B7F2F"/>
    <w:rsid w:val="007C029F"/>
    <w:rsid w:val="007C081F"/>
    <w:rsid w:val="007C0F7D"/>
    <w:rsid w:val="007C18F9"/>
    <w:rsid w:val="007C2505"/>
    <w:rsid w:val="007C2B34"/>
    <w:rsid w:val="007C3BC3"/>
    <w:rsid w:val="007C4C6A"/>
    <w:rsid w:val="007D03E7"/>
    <w:rsid w:val="007D0DD7"/>
    <w:rsid w:val="007D10AC"/>
    <w:rsid w:val="007D1AC4"/>
    <w:rsid w:val="007D371F"/>
    <w:rsid w:val="007D387F"/>
    <w:rsid w:val="007D4967"/>
    <w:rsid w:val="007D4D83"/>
    <w:rsid w:val="007D4F6D"/>
    <w:rsid w:val="007D66FE"/>
    <w:rsid w:val="007E5D99"/>
    <w:rsid w:val="007F0DDD"/>
    <w:rsid w:val="007F1A59"/>
    <w:rsid w:val="007F3536"/>
    <w:rsid w:val="007F36D1"/>
    <w:rsid w:val="007F3D21"/>
    <w:rsid w:val="007F4E35"/>
    <w:rsid w:val="007F5EDB"/>
    <w:rsid w:val="007F5F58"/>
    <w:rsid w:val="008019F5"/>
    <w:rsid w:val="00802489"/>
    <w:rsid w:val="008064CE"/>
    <w:rsid w:val="0080754A"/>
    <w:rsid w:val="00807C27"/>
    <w:rsid w:val="0081055C"/>
    <w:rsid w:val="008127B3"/>
    <w:rsid w:val="00815F4C"/>
    <w:rsid w:val="008174D6"/>
    <w:rsid w:val="008209D6"/>
    <w:rsid w:val="008213FF"/>
    <w:rsid w:val="00821E45"/>
    <w:rsid w:val="00822DD8"/>
    <w:rsid w:val="00823C40"/>
    <w:rsid w:val="00824847"/>
    <w:rsid w:val="00825120"/>
    <w:rsid w:val="00825344"/>
    <w:rsid w:val="00825F97"/>
    <w:rsid w:val="008261BC"/>
    <w:rsid w:val="008267CD"/>
    <w:rsid w:val="00827EC4"/>
    <w:rsid w:val="0083010B"/>
    <w:rsid w:val="00831581"/>
    <w:rsid w:val="00831780"/>
    <w:rsid w:val="008318BC"/>
    <w:rsid w:val="0083347A"/>
    <w:rsid w:val="0083348A"/>
    <w:rsid w:val="008345DF"/>
    <w:rsid w:val="00834627"/>
    <w:rsid w:val="00834A0B"/>
    <w:rsid w:val="00836F7F"/>
    <w:rsid w:val="00837B0B"/>
    <w:rsid w:val="00841F93"/>
    <w:rsid w:val="008427CA"/>
    <w:rsid w:val="00845588"/>
    <w:rsid w:val="00845EB9"/>
    <w:rsid w:val="008460EA"/>
    <w:rsid w:val="00846B72"/>
    <w:rsid w:val="00847918"/>
    <w:rsid w:val="00851DA2"/>
    <w:rsid w:val="008522B6"/>
    <w:rsid w:val="00852A27"/>
    <w:rsid w:val="00854326"/>
    <w:rsid w:val="00856BE4"/>
    <w:rsid w:val="00857E44"/>
    <w:rsid w:val="00860421"/>
    <w:rsid w:val="00860B5B"/>
    <w:rsid w:val="008621B9"/>
    <w:rsid w:val="00867072"/>
    <w:rsid w:val="008709F3"/>
    <w:rsid w:val="0087226F"/>
    <w:rsid w:val="008731F0"/>
    <w:rsid w:val="00873289"/>
    <w:rsid w:val="008738D8"/>
    <w:rsid w:val="00874283"/>
    <w:rsid w:val="008747F4"/>
    <w:rsid w:val="00874C9B"/>
    <w:rsid w:val="00874F5B"/>
    <w:rsid w:val="0087727A"/>
    <w:rsid w:val="00880174"/>
    <w:rsid w:val="00880C9C"/>
    <w:rsid w:val="00881C4D"/>
    <w:rsid w:val="008865AD"/>
    <w:rsid w:val="00886899"/>
    <w:rsid w:val="00887DB7"/>
    <w:rsid w:val="008909E0"/>
    <w:rsid w:val="0089115D"/>
    <w:rsid w:val="00891CCC"/>
    <w:rsid w:val="00893980"/>
    <w:rsid w:val="00893EB6"/>
    <w:rsid w:val="008959DB"/>
    <w:rsid w:val="00895D89"/>
    <w:rsid w:val="00895DEA"/>
    <w:rsid w:val="00896780"/>
    <w:rsid w:val="00897A12"/>
    <w:rsid w:val="008A1322"/>
    <w:rsid w:val="008A1C12"/>
    <w:rsid w:val="008A1CB9"/>
    <w:rsid w:val="008A4609"/>
    <w:rsid w:val="008A49BD"/>
    <w:rsid w:val="008A4BFE"/>
    <w:rsid w:val="008A6557"/>
    <w:rsid w:val="008A6961"/>
    <w:rsid w:val="008B018B"/>
    <w:rsid w:val="008B1B1A"/>
    <w:rsid w:val="008B79D3"/>
    <w:rsid w:val="008C21CD"/>
    <w:rsid w:val="008C346C"/>
    <w:rsid w:val="008C45B0"/>
    <w:rsid w:val="008C5632"/>
    <w:rsid w:val="008C5BD3"/>
    <w:rsid w:val="008D3539"/>
    <w:rsid w:val="008D3933"/>
    <w:rsid w:val="008D6BAB"/>
    <w:rsid w:val="008E0150"/>
    <w:rsid w:val="008E0EB4"/>
    <w:rsid w:val="008E2425"/>
    <w:rsid w:val="008E34B7"/>
    <w:rsid w:val="008E4471"/>
    <w:rsid w:val="008E5D6E"/>
    <w:rsid w:val="008E60FE"/>
    <w:rsid w:val="008E6C3A"/>
    <w:rsid w:val="008F06AD"/>
    <w:rsid w:val="008F073B"/>
    <w:rsid w:val="008F0DD6"/>
    <w:rsid w:val="008F1476"/>
    <w:rsid w:val="008F1B4F"/>
    <w:rsid w:val="008F23EB"/>
    <w:rsid w:val="008F31B2"/>
    <w:rsid w:val="008F4AD0"/>
    <w:rsid w:val="008F4E4F"/>
    <w:rsid w:val="008F50B8"/>
    <w:rsid w:val="008F5781"/>
    <w:rsid w:val="00902019"/>
    <w:rsid w:val="009030EF"/>
    <w:rsid w:val="0090335A"/>
    <w:rsid w:val="00903A58"/>
    <w:rsid w:val="0090670E"/>
    <w:rsid w:val="00907111"/>
    <w:rsid w:val="009076C4"/>
    <w:rsid w:val="00913302"/>
    <w:rsid w:val="0091347C"/>
    <w:rsid w:val="00914829"/>
    <w:rsid w:val="00914D0A"/>
    <w:rsid w:val="00916D08"/>
    <w:rsid w:val="00916EF1"/>
    <w:rsid w:val="00917684"/>
    <w:rsid w:val="00917B19"/>
    <w:rsid w:val="00921972"/>
    <w:rsid w:val="00921C80"/>
    <w:rsid w:val="009259BD"/>
    <w:rsid w:val="00925B8D"/>
    <w:rsid w:val="009275C9"/>
    <w:rsid w:val="0092765D"/>
    <w:rsid w:val="00931FCA"/>
    <w:rsid w:val="00933379"/>
    <w:rsid w:val="00936776"/>
    <w:rsid w:val="0094058A"/>
    <w:rsid w:val="009455D5"/>
    <w:rsid w:val="0094568D"/>
    <w:rsid w:val="00945FEC"/>
    <w:rsid w:val="00946178"/>
    <w:rsid w:val="00946CB2"/>
    <w:rsid w:val="00950B53"/>
    <w:rsid w:val="009517A3"/>
    <w:rsid w:val="00957FC6"/>
    <w:rsid w:val="009603BF"/>
    <w:rsid w:val="009607E1"/>
    <w:rsid w:val="009613BB"/>
    <w:rsid w:val="00962552"/>
    <w:rsid w:val="009627CE"/>
    <w:rsid w:val="00963379"/>
    <w:rsid w:val="00964D7C"/>
    <w:rsid w:val="0096513B"/>
    <w:rsid w:val="00966FDE"/>
    <w:rsid w:val="00967D14"/>
    <w:rsid w:val="00971442"/>
    <w:rsid w:val="009741D9"/>
    <w:rsid w:val="00974403"/>
    <w:rsid w:val="00974466"/>
    <w:rsid w:val="00976A6A"/>
    <w:rsid w:val="00976E3E"/>
    <w:rsid w:val="00977595"/>
    <w:rsid w:val="009806C2"/>
    <w:rsid w:val="0098399F"/>
    <w:rsid w:val="00984EC4"/>
    <w:rsid w:val="00985629"/>
    <w:rsid w:val="009877B4"/>
    <w:rsid w:val="00990AA3"/>
    <w:rsid w:val="00990B90"/>
    <w:rsid w:val="009927A9"/>
    <w:rsid w:val="009974A5"/>
    <w:rsid w:val="009A0728"/>
    <w:rsid w:val="009A1858"/>
    <w:rsid w:val="009A4559"/>
    <w:rsid w:val="009B074B"/>
    <w:rsid w:val="009B254C"/>
    <w:rsid w:val="009B3971"/>
    <w:rsid w:val="009B5369"/>
    <w:rsid w:val="009B6244"/>
    <w:rsid w:val="009B63A3"/>
    <w:rsid w:val="009B6AF9"/>
    <w:rsid w:val="009B6F2E"/>
    <w:rsid w:val="009C6FAD"/>
    <w:rsid w:val="009D0793"/>
    <w:rsid w:val="009D2D77"/>
    <w:rsid w:val="009D38B1"/>
    <w:rsid w:val="009D3D46"/>
    <w:rsid w:val="009D585C"/>
    <w:rsid w:val="009D6202"/>
    <w:rsid w:val="009D6561"/>
    <w:rsid w:val="009D6E56"/>
    <w:rsid w:val="009D7690"/>
    <w:rsid w:val="009E1174"/>
    <w:rsid w:val="009E5CEA"/>
    <w:rsid w:val="009F31BE"/>
    <w:rsid w:val="009F62E9"/>
    <w:rsid w:val="009F6FB3"/>
    <w:rsid w:val="00A00118"/>
    <w:rsid w:val="00A0016F"/>
    <w:rsid w:val="00A023D4"/>
    <w:rsid w:val="00A028F6"/>
    <w:rsid w:val="00A02CEC"/>
    <w:rsid w:val="00A049E2"/>
    <w:rsid w:val="00A05262"/>
    <w:rsid w:val="00A11072"/>
    <w:rsid w:val="00A11248"/>
    <w:rsid w:val="00A1280E"/>
    <w:rsid w:val="00A128B6"/>
    <w:rsid w:val="00A12A14"/>
    <w:rsid w:val="00A13028"/>
    <w:rsid w:val="00A14A74"/>
    <w:rsid w:val="00A15A81"/>
    <w:rsid w:val="00A15AE0"/>
    <w:rsid w:val="00A17CF9"/>
    <w:rsid w:val="00A201EE"/>
    <w:rsid w:val="00A21D90"/>
    <w:rsid w:val="00A22368"/>
    <w:rsid w:val="00A233BD"/>
    <w:rsid w:val="00A24827"/>
    <w:rsid w:val="00A24D58"/>
    <w:rsid w:val="00A24E0B"/>
    <w:rsid w:val="00A25262"/>
    <w:rsid w:val="00A25A54"/>
    <w:rsid w:val="00A278C5"/>
    <w:rsid w:val="00A3160A"/>
    <w:rsid w:val="00A34ADD"/>
    <w:rsid w:val="00A35C50"/>
    <w:rsid w:val="00A36BCA"/>
    <w:rsid w:val="00A3714A"/>
    <w:rsid w:val="00A37A81"/>
    <w:rsid w:val="00A402EA"/>
    <w:rsid w:val="00A40BCF"/>
    <w:rsid w:val="00A40D20"/>
    <w:rsid w:val="00A41C01"/>
    <w:rsid w:val="00A41C6F"/>
    <w:rsid w:val="00A42CFB"/>
    <w:rsid w:val="00A44ABC"/>
    <w:rsid w:val="00A462D1"/>
    <w:rsid w:val="00A505FB"/>
    <w:rsid w:val="00A511BA"/>
    <w:rsid w:val="00A51459"/>
    <w:rsid w:val="00A51664"/>
    <w:rsid w:val="00A52D81"/>
    <w:rsid w:val="00A541E2"/>
    <w:rsid w:val="00A54616"/>
    <w:rsid w:val="00A56F96"/>
    <w:rsid w:val="00A5786F"/>
    <w:rsid w:val="00A60B3B"/>
    <w:rsid w:val="00A618A6"/>
    <w:rsid w:val="00A63D7B"/>
    <w:rsid w:val="00A6789D"/>
    <w:rsid w:val="00A70424"/>
    <w:rsid w:val="00A7120A"/>
    <w:rsid w:val="00A726AF"/>
    <w:rsid w:val="00A72A10"/>
    <w:rsid w:val="00A738BC"/>
    <w:rsid w:val="00A74CDD"/>
    <w:rsid w:val="00A74D98"/>
    <w:rsid w:val="00A7627D"/>
    <w:rsid w:val="00A76C2A"/>
    <w:rsid w:val="00A80477"/>
    <w:rsid w:val="00A822D0"/>
    <w:rsid w:val="00A82691"/>
    <w:rsid w:val="00A8296E"/>
    <w:rsid w:val="00A829AE"/>
    <w:rsid w:val="00A8371F"/>
    <w:rsid w:val="00A8449E"/>
    <w:rsid w:val="00A85535"/>
    <w:rsid w:val="00A91954"/>
    <w:rsid w:val="00A924FD"/>
    <w:rsid w:val="00A96C9B"/>
    <w:rsid w:val="00A9762F"/>
    <w:rsid w:val="00AA0153"/>
    <w:rsid w:val="00AA0202"/>
    <w:rsid w:val="00AA1D4E"/>
    <w:rsid w:val="00AA321F"/>
    <w:rsid w:val="00AA45AB"/>
    <w:rsid w:val="00AA5FE3"/>
    <w:rsid w:val="00AB0B67"/>
    <w:rsid w:val="00AB188F"/>
    <w:rsid w:val="00AB18BD"/>
    <w:rsid w:val="00AB5345"/>
    <w:rsid w:val="00AB5845"/>
    <w:rsid w:val="00AB5900"/>
    <w:rsid w:val="00AB591C"/>
    <w:rsid w:val="00AC10A5"/>
    <w:rsid w:val="00AC199C"/>
    <w:rsid w:val="00AC328D"/>
    <w:rsid w:val="00AC5BA1"/>
    <w:rsid w:val="00AC6E69"/>
    <w:rsid w:val="00AD23CF"/>
    <w:rsid w:val="00AD4D2E"/>
    <w:rsid w:val="00AD5928"/>
    <w:rsid w:val="00AD607A"/>
    <w:rsid w:val="00AD631F"/>
    <w:rsid w:val="00AD71C4"/>
    <w:rsid w:val="00AE08C7"/>
    <w:rsid w:val="00AE151E"/>
    <w:rsid w:val="00AE1639"/>
    <w:rsid w:val="00AE3868"/>
    <w:rsid w:val="00AE6CDF"/>
    <w:rsid w:val="00AE7442"/>
    <w:rsid w:val="00AF0020"/>
    <w:rsid w:val="00AF0058"/>
    <w:rsid w:val="00AF17B9"/>
    <w:rsid w:val="00AF20BA"/>
    <w:rsid w:val="00AF235F"/>
    <w:rsid w:val="00AF2527"/>
    <w:rsid w:val="00AF5383"/>
    <w:rsid w:val="00AF5AC1"/>
    <w:rsid w:val="00AF63C6"/>
    <w:rsid w:val="00AF7226"/>
    <w:rsid w:val="00AF7734"/>
    <w:rsid w:val="00B002E2"/>
    <w:rsid w:val="00B00342"/>
    <w:rsid w:val="00B004B7"/>
    <w:rsid w:val="00B01375"/>
    <w:rsid w:val="00B0636A"/>
    <w:rsid w:val="00B07053"/>
    <w:rsid w:val="00B07788"/>
    <w:rsid w:val="00B07AF2"/>
    <w:rsid w:val="00B110DC"/>
    <w:rsid w:val="00B111F1"/>
    <w:rsid w:val="00B117B5"/>
    <w:rsid w:val="00B14071"/>
    <w:rsid w:val="00B14471"/>
    <w:rsid w:val="00B149BE"/>
    <w:rsid w:val="00B22B9A"/>
    <w:rsid w:val="00B23126"/>
    <w:rsid w:val="00B2450E"/>
    <w:rsid w:val="00B245B3"/>
    <w:rsid w:val="00B24FB5"/>
    <w:rsid w:val="00B27367"/>
    <w:rsid w:val="00B277F3"/>
    <w:rsid w:val="00B31DBF"/>
    <w:rsid w:val="00B33A84"/>
    <w:rsid w:val="00B34443"/>
    <w:rsid w:val="00B34E05"/>
    <w:rsid w:val="00B369DC"/>
    <w:rsid w:val="00B41DF5"/>
    <w:rsid w:val="00B448DB"/>
    <w:rsid w:val="00B46A9A"/>
    <w:rsid w:val="00B47BF3"/>
    <w:rsid w:val="00B47D79"/>
    <w:rsid w:val="00B50BF4"/>
    <w:rsid w:val="00B51C80"/>
    <w:rsid w:val="00B52CC4"/>
    <w:rsid w:val="00B55757"/>
    <w:rsid w:val="00B568A7"/>
    <w:rsid w:val="00B6007E"/>
    <w:rsid w:val="00B60BAF"/>
    <w:rsid w:val="00B61CD1"/>
    <w:rsid w:val="00B61D29"/>
    <w:rsid w:val="00B64D33"/>
    <w:rsid w:val="00B6702B"/>
    <w:rsid w:val="00B723AB"/>
    <w:rsid w:val="00B741E3"/>
    <w:rsid w:val="00B7426A"/>
    <w:rsid w:val="00B75382"/>
    <w:rsid w:val="00B770EF"/>
    <w:rsid w:val="00B83AF9"/>
    <w:rsid w:val="00B83B99"/>
    <w:rsid w:val="00B85979"/>
    <w:rsid w:val="00B87359"/>
    <w:rsid w:val="00B8757D"/>
    <w:rsid w:val="00B92736"/>
    <w:rsid w:val="00B940A7"/>
    <w:rsid w:val="00B941F0"/>
    <w:rsid w:val="00B95BC0"/>
    <w:rsid w:val="00B96220"/>
    <w:rsid w:val="00B965DD"/>
    <w:rsid w:val="00B96EBE"/>
    <w:rsid w:val="00B970FE"/>
    <w:rsid w:val="00BA227B"/>
    <w:rsid w:val="00BB0A33"/>
    <w:rsid w:val="00BB2C1F"/>
    <w:rsid w:val="00BB2C9B"/>
    <w:rsid w:val="00BB2FBD"/>
    <w:rsid w:val="00BB3606"/>
    <w:rsid w:val="00BB4176"/>
    <w:rsid w:val="00BB43FC"/>
    <w:rsid w:val="00BB476F"/>
    <w:rsid w:val="00BB5736"/>
    <w:rsid w:val="00BB7107"/>
    <w:rsid w:val="00BC1265"/>
    <w:rsid w:val="00BC3DEA"/>
    <w:rsid w:val="00BC4CE3"/>
    <w:rsid w:val="00BC5BF0"/>
    <w:rsid w:val="00BC7BC5"/>
    <w:rsid w:val="00BD2488"/>
    <w:rsid w:val="00BD30AF"/>
    <w:rsid w:val="00BD4A22"/>
    <w:rsid w:val="00BD4F0F"/>
    <w:rsid w:val="00BD5256"/>
    <w:rsid w:val="00BD5E70"/>
    <w:rsid w:val="00BD6AC1"/>
    <w:rsid w:val="00BD7C44"/>
    <w:rsid w:val="00BE2487"/>
    <w:rsid w:val="00BE39EB"/>
    <w:rsid w:val="00BE63C1"/>
    <w:rsid w:val="00BF00C6"/>
    <w:rsid w:val="00BF11AC"/>
    <w:rsid w:val="00BF264A"/>
    <w:rsid w:val="00BF2746"/>
    <w:rsid w:val="00BF34BC"/>
    <w:rsid w:val="00BF4BFD"/>
    <w:rsid w:val="00BF55FE"/>
    <w:rsid w:val="00BF79F4"/>
    <w:rsid w:val="00C0290F"/>
    <w:rsid w:val="00C029B7"/>
    <w:rsid w:val="00C05743"/>
    <w:rsid w:val="00C05A26"/>
    <w:rsid w:val="00C05E84"/>
    <w:rsid w:val="00C145B6"/>
    <w:rsid w:val="00C146B4"/>
    <w:rsid w:val="00C16431"/>
    <w:rsid w:val="00C16C0A"/>
    <w:rsid w:val="00C1760A"/>
    <w:rsid w:val="00C17DE4"/>
    <w:rsid w:val="00C203FB"/>
    <w:rsid w:val="00C20CD0"/>
    <w:rsid w:val="00C2122E"/>
    <w:rsid w:val="00C21D3C"/>
    <w:rsid w:val="00C21F46"/>
    <w:rsid w:val="00C22A17"/>
    <w:rsid w:val="00C237BA"/>
    <w:rsid w:val="00C24B85"/>
    <w:rsid w:val="00C25F50"/>
    <w:rsid w:val="00C279CF"/>
    <w:rsid w:val="00C32A95"/>
    <w:rsid w:val="00C33BD2"/>
    <w:rsid w:val="00C3455B"/>
    <w:rsid w:val="00C34C16"/>
    <w:rsid w:val="00C34FCD"/>
    <w:rsid w:val="00C35768"/>
    <w:rsid w:val="00C373B0"/>
    <w:rsid w:val="00C405D3"/>
    <w:rsid w:val="00C40603"/>
    <w:rsid w:val="00C407FB"/>
    <w:rsid w:val="00C416E2"/>
    <w:rsid w:val="00C43A3D"/>
    <w:rsid w:val="00C43C97"/>
    <w:rsid w:val="00C45985"/>
    <w:rsid w:val="00C46033"/>
    <w:rsid w:val="00C46E00"/>
    <w:rsid w:val="00C47153"/>
    <w:rsid w:val="00C50733"/>
    <w:rsid w:val="00C50F0E"/>
    <w:rsid w:val="00C5148E"/>
    <w:rsid w:val="00C51B0F"/>
    <w:rsid w:val="00C53A50"/>
    <w:rsid w:val="00C5716C"/>
    <w:rsid w:val="00C600FF"/>
    <w:rsid w:val="00C62771"/>
    <w:rsid w:val="00C644E3"/>
    <w:rsid w:val="00C647B7"/>
    <w:rsid w:val="00C6480D"/>
    <w:rsid w:val="00C64BF5"/>
    <w:rsid w:val="00C65683"/>
    <w:rsid w:val="00C65C26"/>
    <w:rsid w:val="00C66197"/>
    <w:rsid w:val="00C6655F"/>
    <w:rsid w:val="00C67AD5"/>
    <w:rsid w:val="00C735A1"/>
    <w:rsid w:val="00C73A20"/>
    <w:rsid w:val="00C75CDD"/>
    <w:rsid w:val="00C77D97"/>
    <w:rsid w:val="00C804CC"/>
    <w:rsid w:val="00C84AA7"/>
    <w:rsid w:val="00C84B10"/>
    <w:rsid w:val="00C87027"/>
    <w:rsid w:val="00C87B45"/>
    <w:rsid w:val="00C90C77"/>
    <w:rsid w:val="00C91961"/>
    <w:rsid w:val="00C9209A"/>
    <w:rsid w:val="00C968B6"/>
    <w:rsid w:val="00C96D4D"/>
    <w:rsid w:val="00CA05C9"/>
    <w:rsid w:val="00CA15E9"/>
    <w:rsid w:val="00CA1CC9"/>
    <w:rsid w:val="00CA2239"/>
    <w:rsid w:val="00CB2035"/>
    <w:rsid w:val="00CB22EC"/>
    <w:rsid w:val="00CB23F1"/>
    <w:rsid w:val="00CB37C4"/>
    <w:rsid w:val="00CB4E3A"/>
    <w:rsid w:val="00CC0A7D"/>
    <w:rsid w:val="00CC3456"/>
    <w:rsid w:val="00CC36BA"/>
    <w:rsid w:val="00CC36BB"/>
    <w:rsid w:val="00CC3CAF"/>
    <w:rsid w:val="00CC4406"/>
    <w:rsid w:val="00CC5B34"/>
    <w:rsid w:val="00CC6F8F"/>
    <w:rsid w:val="00CD067D"/>
    <w:rsid w:val="00CD1882"/>
    <w:rsid w:val="00CD23B2"/>
    <w:rsid w:val="00CD289B"/>
    <w:rsid w:val="00CD3419"/>
    <w:rsid w:val="00CD4007"/>
    <w:rsid w:val="00CD5E41"/>
    <w:rsid w:val="00CE01A5"/>
    <w:rsid w:val="00CE0572"/>
    <w:rsid w:val="00CE2725"/>
    <w:rsid w:val="00CE34FA"/>
    <w:rsid w:val="00CE373D"/>
    <w:rsid w:val="00CE3990"/>
    <w:rsid w:val="00CE3E3B"/>
    <w:rsid w:val="00CE4468"/>
    <w:rsid w:val="00CE4F57"/>
    <w:rsid w:val="00CE72AC"/>
    <w:rsid w:val="00CF2F6F"/>
    <w:rsid w:val="00CF577A"/>
    <w:rsid w:val="00D00ED4"/>
    <w:rsid w:val="00D016F3"/>
    <w:rsid w:val="00D018C9"/>
    <w:rsid w:val="00D03629"/>
    <w:rsid w:val="00D0410E"/>
    <w:rsid w:val="00D043A0"/>
    <w:rsid w:val="00D04956"/>
    <w:rsid w:val="00D068D7"/>
    <w:rsid w:val="00D1214E"/>
    <w:rsid w:val="00D12318"/>
    <w:rsid w:val="00D12CD1"/>
    <w:rsid w:val="00D13825"/>
    <w:rsid w:val="00D15EB3"/>
    <w:rsid w:val="00D1642A"/>
    <w:rsid w:val="00D17B77"/>
    <w:rsid w:val="00D2247E"/>
    <w:rsid w:val="00D24611"/>
    <w:rsid w:val="00D272FC"/>
    <w:rsid w:val="00D30CA5"/>
    <w:rsid w:val="00D33802"/>
    <w:rsid w:val="00D33AC8"/>
    <w:rsid w:val="00D34302"/>
    <w:rsid w:val="00D36E02"/>
    <w:rsid w:val="00D37A3F"/>
    <w:rsid w:val="00D405B7"/>
    <w:rsid w:val="00D40C39"/>
    <w:rsid w:val="00D45B95"/>
    <w:rsid w:val="00D461A0"/>
    <w:rsid w:val="00D471DC"/>
    <w:rsid w:val="00D47D5A"/>
    <w:rsid w:val="00D50AF3"/>
    <w:rsid w:val="00D51B0B"/>
    <w:rsid w:val="00D5255D"/>
    <w:rsid w:val="00D52565"/>
    <w:rsid w:val="00D545DB"/>
    <w:rsid w:val="00D564AB"/>
    <w:rsid w:val="00D56CBD"/>
    <w:rsid w:val="00D578FC"/>
    <w:rsid w:val="00D57DD2"/>
    <w:rsid w:val="00D61F70"/>
    <w:rsid w:val="00D62021"/>
    <w:rsid w:val="00D626C9"/>
    <w:rsid w:val="00D62C68"/>
    <w:rsid w:val="00D62DAC"/>
    <w:rsid w:val="00D644AA"/>
    <w:rsid w:val="00D64540"/>
    <w:rsid w:val="00D64816"/>
    <w:rsid w:val="00D667D3"/>
    <w:rsid w:val="00D715A1"/>
    <w:rsid w:val="00D72CE9"/>
    <w:rsid w:val="00D73BF6"/>
    <w:rsid w:val="00D757FC"/>
    <w:rsid w:val="00D76C8E"/>
    <w:rsid w:val="00D76EA6"/>
    <w:rsid w:val="00D80D08"/>
    <w:rsid w:val="00D8133D"/>
    <w:rsid w:val="00D82CD2"/>
    <w:rsid w:val="00D835C3"/>
    <w:rsid w:val="00D836A5"/>
    <w:rsid w:val="00D83840"/>
    <w:rsid w:val="00D87313"/>
    <w:rsid w:val="00D905EB"/>
    <w:rsid w:val="00D92804"/>
    <w:rsid w:val="00D929E5"/>
    <w:rsid w:val="00D95051"/>
    <w:rsid w:val="00D95339"/>
    <w:rsid w:val="00D95CB1"/>
    <w:rsid w:val="00D9658E"/>
    <w:rsid w:val="00D96AF1"/>
    <w:rsid w:val="00DA180F"/>
    <w:rsid w:val="00DA209C"/>
    <w:rsid w:val="00DA3BFE"/>
    <w:rsid w:val="00DA4430"/>
    <w:rsid w:val="00DA7157"/>
    <w:rsid w:val="00DA7C46"/>
    <w:rsid w:val="00DB03AA"/>
    <w:rsid w:val="00DB1D55"/>
    <w:rsid w:val="00DB3244"/>
    <w:rsid w:val="00DB39DF"/>
    <w:rsid w:val="00DB3CC4"/>
    <w:rsid w:val="00DB401D"/>
    <w:rsid w:val="00DB5411"/>
    <w:rsid w:val="00DB5953"/>
    <w:rsid w:val="00DB5EED"/>
    <w:rsid w:val="00DC0492"/>
    <w:rsid w:val="00DC0799"/>
    <w:rsid w:val="00DC0AA6"/>
    <w:rsid w:val="00DC1918"/>
    <w:rsid w:val="00DC2B9D"/>
    <w:rsid w:val="00DC47D5"/>
    <w:rsid w:val="00DC5BFC"/>
    <w:rsid w:val="00DD05BC"/>
    <w:rsid w:val="00DD0945"/>
    <w:rsid w:val="00DD249A"/>
    <w:rsid w:val="00DD5867"/>
    <w:rsid w:val="00DE34F0"/>
    <w:rsid w:val="00DE41D0"/>
    <w:rsid w:val="00DE4323"/>
    <w:rsid w:val="00DE4CFF"/>
    <w:rsid w:val="00DE66FC"/>
    <w:rsid w:val="00DF0483"/>
    <w:rsid w:val="00DF2D88"/>
    <w:rsid w:val="00DF2EC8"/>
    <w:rsid w:val="00DF43AC"/>
    <w:rsid w:val="00DF4F68"/>
    <w:rsid w:val="00DF5036"/>
    <w:rsid w:val="00DF5B89"/>
    <w:rsid w:val="00DF6E68"/>
    <w:rsid w:val="00DF70FE"/>
    <w:rsid w:val="00DF7BC6"/>
    <w:rsid w:val="00DF7F84"/>
    <w:rsid w:val="00E0117F"/>
    <w:rsid w:val="00E017DE"/>
    <w:rsid w:val="00E036B4"/>
    <w:rsid w:val="00E03701"/>
    <w:rsid w:val="00E051FD"/>
    <w:rsid w:val="00E10340"/>
    <w:rsid w:val="00E11056"/>
    <w:rsid w:val="00E1141D"/>
    <w:rsid w:val="00E119F5"/>
    <w:rsid w:val="00E12749"/>
    <w:rsid w:val="00E14B39"/>
    <w:rsid w:val="00E169F1"/>
    <w:rsid w:val="00E20B0C"/>
    <w:rsid w:val="00E22102"/>
    <w:rsid w:val="00E22D86"/>
    <w:rsid w:val="00E24B87"/>
    <w:rsid w:val="00E259DA"/>
    <w:rsid w:val="00E26495"/>
    <w:rsid w:val="00E26DB9"/>
    <w:rsid w:val="00E26DE8"/>
    <w:rsid w:val="00E30366"/>
    <w:rsid w:val="00E31010"/>
    <w:rsid w:val="00E3147A"/>
    <w:rsid w:val="00E34F61"/>
    <w:rsid w:val="00E35BFB"/>
    <w:rsid w:val="00E35CE4"/>
    <w:rsid w:val="00E4112C"/>
    <w:rsid w:val="00E41BCA"/>
    <w:rsid w:val="00E441A8"/>
    <w:rsid w:val="00E52D65"/>
    <w:rsid w:val="00E54650"/>
    <w:rsid w:val="00E54A7F"/>
    <w:rsid w:val="00E54A89"/>
    <w:rsid w:val="00E55021"/>
    <w:rsid w:val="00E55336"/>
    <w:rsid w:val="00E561A9"/>
    <w:rsid w:val="00E57B44"/>
    <w:rsid w:val="00E60730"/>
    <w:rsid w:val="00E610D2"/>
    <w:rsid w:val="00E6125A"/>
    <w:rsid w:val="00E618DA"/>
    <w:rsid w:val="00E61FCC"/>
    <w:rsid w:val="00E624C6"/>
    <w:rsid w:val="00E6510C"/>
    <w:rsid w:val="00E65721"/>
    <w:rsid w:val="00E65DD3"/>
    <w:rsid w:val="00E661F6"/>
    <w:rsid w:val="00E674C0"/>
    <w:rsid w:val="00E70320"/>
    <w:rsid w:val="00E70EE8"/>
    <w:rsid w:val="00E74462"/>
    <w:rsid w:val="00E74985"/>
    <w:rsid w:val="00E815E4"/>
    <w:rsid w:val="00E818B8"/>
    <w:rsid w:val="00E8233F"/>
    <w:rsid w:val="00E8354D"/>
    <w:rsid w:val="00E8358C"/>
    <w:rsid w:val="00E83C38"/>
    <w:rsid w:val="00E8471C"/>
    <w:rsid w:val="00E85B43"/>
    <w:rsid w:val="00E879F4"/>
    <w:rsid w:val="00E9049A"/>
    <w:rsid w:val="00E9131B"/>
    <w:rsid w:val="00E91581"/>
    <w:rsid w:val="00E9217B"/>
    <w:rsid w:val="00E935E5"/>
    <w:rsid w:val="00E942FA"/>
    <w:rsid w:val="00E97CCB"/>
    <w:rsid w:val="00EA02F5"/>
    <w:rsid w:val="00EA12A8"/>
    <w:rsid w:val="00EA3E8F"/>
    <w:rsid w:val="00EA6C4A"/>
    <w:rsid w:val="00EB0A57"/>
    <w:rsid w:val="00EB34AA"/>
    <w:rsid w:val="00EB3BFB"/>
    <w:rsid w:val="00EB41CD"/>
    <w:rsid w:val="00EB4F34"/>
    <w:rsid w:val="00EB7B01"/>
    <w:rsid w:val="00EC06D7"/>
    <w:rsid w:val="00EC0ECE"/>
    <w:rsid w:val="00EC183C"/>
    <w:rsid w:val="00EC202A"/>
    <w:rsid w:val="00EC2D89"/>
    <w:rsid w:val="00EC3D4F"/>
    <w:rsid w:val="00EC6393"/>
    <w:rsid w:val="00EC73C9"/>
    <w:rsid w:val="00ED1F4A"/>
    <w:rsid w:val="00ED3524"/>
    <w:rsid w:val="00ED7342"/>
    <w:rsid w:val="00EE1D26"/>
    <w:rsid w:val="00EE270F"/>
    <w:rsid w:val="00EE2CD7"/>
    <w:rsid w:val="00EE3D24"/>
    <w:rsid w:val="00EE44D9"/>
    <w:rsid w:val="00EE4A60"/>
    <w:rsid w:val="00EF0D55"/>
    <w:rsid w:val="00EF1E10"/>
    <w:rsid w:val="00EF402A"/>
    <w:rsid w:val="00EF50AC"/>
    <w:rsid w:val="00EF606B"/>
    <w:rsid w:val="00EF6D31"/>
    <w:rsid w:val="00EF6DF6"/>
    <w:rsid w:val="00F009E1"/>
    <w:rsid w:val="00F019A7"/>
    <w:rsid w:val="00F0318E"/>
    <w:rsid w:val="00F03B27"/>
    <w:rsid w:val="00F04A36"/>
    <w:rsid w:val="00F05A94"/>
    <w:rsid w:val="00F07A78"/>
    <w:rsid w:val="00F1002D"/>
    <w:rsid w:val="00F1091F"/>
    <w:rsid w:val="00F10A64"/>
    <w:rsid w:val="00F1176D"/>
    <w:rsid w:val="00F11C7C"/>
    <w:rsid w:val="00F11E16"/>
    <w:rsid w:val="00F12385"/>
    <w:rsid w:val="00F12696"/>
    <w:rsid w:val="00F1369F"/>
    <w:rsid w:val="00F17220"/>
    <w:rsid w:val="00F21C7B"/>
    <w:rsid w:val="00F226F2"/>
    <w:rsid w:val="00F230F6"/>
    <w:rsid w:val="00F23C7C"/>
    <w:rsid w:val="00F276EC"/>
    <w:rsid w:val="00F30D1D"/>
    <w:rsid w:val="00F310F0"/>
    <w:rsid w:val="00F31AC5"/>
    <w:rsid w:val="00F31D26"/>
    <w:rsid w:val="00F32060"/>
    <w:rsid w:val="00F339D2"/>
    <w:rsid w:val="00F33F53"/>
    <w:rsid w:val="00F341DF"/>
    <w:rsid w:val="00F35E41"/>
    <w:rsid w:val="00F3692D"/>
    <w:rsid w:val="00F36D81"/>
    <w:rsid w:val="00F403E7"/>
    <w:rsid w:val="00F41ACC"/>
    <w:rsid w:val="00F41D00"/>
    <w:rsid w:val="00F43FC0"/>
    <w:rsid w:val="00F450F0"/>
    <w:rsid w:val="00F4583A"/>
    <w:rsid w:val="00F46600"/>
    <w:rsid w:val="00F47A59"/>
    <w:rsid w:val="00F52015"/>
    <w:rsid w:val="00F521EB"/>
    <w:rsid w:val="00F534F3"/>
    <w:rsid w:val="00F570DE"/>
    <w:rsid w:val="00F57F57"/>
    <w:rsid w:val="00F60DCA"/>
    <w:rsid w:val="00F617CF"/>
    <w:rsid w:val="00F63C19"/>
    <w:rsid w:val="00F64266"/>
    <w:rsid w:val="00F643E3"/>
    <w:rsid w:val="00F647F8"/>
    <w:rsid w:val="00F648FD"/>
    <w:rsid w:val="00F64BC2"/>
    <w:rsid w:val="00F65F84"/>
    <w:rsid w:val="00F700CC"/>
    <w:rsid w:val="00F71356"/>
    <w:rsid w:val="00F73AED"/>
    <w:rsid w:val="00F75DB3"/>
    <w:rsid w:val="00F81429"/>
    <w:rsid w:val="00F82667"/>
    <w:rsid w:val="00F8290B"/>
    <w:rsid w:val="00F84629"/>
    <w:rsid w:val="00F84CD4"/>
    <w:rsid w:val="00F85169"/>
    <w:rsid w:val="00F85D32"/>
    <w:rsid w:val="00F8664F"/>
    <w:rsid w:val="00F870AB"/>
    <w:rsid w:val="00F912C8"/>
    <w:rsid w:val="00F92334"/>
    <w:rsid w:val="00F92DEC"/>
    <w:rsid w:val="00F964C2"/>
    <w:rsid w:val="00F9669D"/>
    <w:rsid w:val="00F971CF"/>
    <w:rsid w:val="00FA03E3"/>
    <w:rsid w:val="00FA0887"/>
    <w:rsid w:val="00FA10A9"/>
    <w:rsid w:val="00FA15F0"/>
    <w:rsid w:val="00FA1FF6"/>
    <w:rsid w:val="00FA20CF"/>
    <w:rsid w:val="00FA3297"/>
    <w:rsid w:val="00FA3507"/>
    <w:rsid w:val="00FA39CB"/>
    <w:rsid w:val="00FA39F9"/>
    <w:rsid w:val="00FA5D9D"/>
    <w:rsid w:val="00FA6CD5"/>
    <w:rsid w:val="00FB00D5"/>
    <w:rsid w:val="00FB0AB9"/>
    <w:rsid w:val="00FB2C1E"/>
    <w:rsid w:val="00FC0BE5"/>
    <w:rsid w:val="00FC0ED4"/>
    <w:rsid w:val="00FC1120"/>
    <w:rsid w:val="00FC236C"/>
    <w:rsid w:val="00FC2573"/>
    <w:rsid w:val="00FC2EF0"/>
    <w:rsid w:val="00FC45E7"/>
    <w:rsid w:val="00FC60E1"/>
    <w:rsid w:val="00FC6E2E"/>
    <w:rsid w:val="00FC734C"/>
    <w:rsid w:val="00FD2128"/>
    <w:rsid w:val="00FD2C9A"/>
    <w:rsid w:val="00FD511A"/>
    <w:rsid w:val="00FD53E2"/>
    <w:rsid w:val="00FD55DB"/>
    <w:rsid w:val="00FD58D9"/>
    <w:rsid w:val="00FD5F08"/>
    <w:rsid w:val="00FD6024"/>
    <w:rsid w:val="00FD71BE"/>
    <w:rsid w:val="00FE1683"/>
    <w:rsid w:val="00FE191C"/>
    <w:rsid w:val="00FE3204"/>
    <w:rsid w:val="00FE39AD"/>
    <w:rsid w:val="00FE3FB9"/>
    <w:rsid w:val="00FE467C"/>
    <w:rsid w:val="00FE4ECE"/>
    <w:rsid w:val="00FE5222"/>
    <w:rsid w:val="00FE524C"/>
    <w:rsid w:val="00FE5B43"/>
    <w:rsid w:val="00FE6160"/>
    <w:rsid w:val="00FE7256"/>
    <w:rsid w:val="00FF0B29"/>
    <w:rsid w:val="00FF1D68"/>
    <w:rsid w:val="00FF1E81"/>
    <w:rsid w:val="00FF307F"/>
    <w:rsid w:val="00FF3E82"/>
    <w:rsid w:val="00FF51FE"/>
    <w:rsid w:val="00FF5712"/>
    <w:rsid w:val="00FF6105"/>
    <w:rsid w:val="00FF6B24"/>
    <w:rsid w:val="00FF713A"/>
    <w:rsid w:val="014D745A"/>
    <w:rsid w:val="019F31AE"/>
    <w:rsid w:val="01A72A5A"/>
    <w:rsid w:val="01BF5AAB"/>
    <w:rsid w:val="023C437C"/>
    <w:rsid w:val="0257294E"/>
    <w:rsid w:val="02826A8F"/>
    <w:rsid w:val="02C05ABD"/>
    <w:rsid w:val="02EE6485"/>
    <w:rsid w:val="03365776"/>
    <w:rsid w:val="036A3186"/>
    <w:rsid w:val="03CD15D7"/>
    <w:rsid w:val="0469042F"/>
    <w:rsid w:val="05102B68"/>
    <w:rsid w:val="05226AB1"/>
    <w:rsid w:val="058B47A5"/>
    <w:rsid w:val="05BB2D3F"/>
    <w:rsid w:val="05C96DE0"/>
    <w:rsid w:val="06144087"/>
    <w:rsid w:val="06557F19"/>
    <w:rsid w:val="067B0F55"/>
    <w:rsid w:val="068D1C71"/>
    <w:rsid w:val="06C8674D"/>
    <w:rsid w:val="06D3663F"/>
    <w:rsid w:val="07081583"/>
    <w:rsid w:val="07193F31"/>
    <w:rsid w:val="072B2711"/>
    <w:rsid w:val="07C06F05"/>
    <w:rsid w:val="07EE0585"/>
    <w:rsid w:val="081C53C1"/>
    <w:rsid w:val="08392CB3"/>
    <w:rsid w:val="0866708C"/>
    <w:rsid w:val="08AB4F0D"/>
    <w:rsid w:val="08DC087C"/>
    <w:rsid w:val="092C729B"/>
    <w:rsid w:val="09423491"/>
    <w:rsid w:val="09863673"/>
    <w:rsid w:val="0A3363AE"/>
    <w:rsid w:val="0B2E584B"/>
    <w:rsid w:val="0B6F4171"/>
    <w:rsid w:val="0B9633BD"/>
    <w:rsid w:val="0B993ACF"/>
    <w:rsid w:val="0BF62BE5"/>
    <w:rsid w:val="0C2672BE"/>
    <w:rsid w:val="0C2C5D1C"/>
    <w:rsid w:val="0C2C74E1"/>
    <w:rsid w:val="0C345668"/>
    <w:rsid w:val="0C3C0EAC"/>
    <w:rsid w:val="0C5D098D"/>
    <w:rsid w:val="0CA74247"/>
    <w:rsid w:val="0CAF4023"/>
    <w:rsid w:val="0CC25FC4"/>
    <w:rsid w:val="0CD56D9C"/>
    <w:rsid w:val="0D0777FE"/>
    <w:rsid w:val="0D336D85"/>
    <w:rsid w:val="0D874609"/>
    <w:rsid w:val="0E831FEA"/>
    <w:rsid w:val="0E9E7075"/>
    <w:rsid w:val="0ECE329B"/>
    <w:rsid w:val="0EE36172"/>
    <w:rsid w:val="0EF94B3D"/>
    <w:rsid w:val="0F370383"/>
    <w:rsid w:val="0F5163FF"/>
    <w:rsid w:val="0F9C2701"/>
    <w:rsid w:val="0FB401B7"/>
    <w:rsid w:val="0FF67276"/>
    <w:rsid w:val="103D3392"/>
    <w:rsid w:val="107F5005"/>
    <w:rsid w:val="11D410F5"/>
    <w:rsid w:val="1215652F"/>
    <w:rsid w:val="123A6BAD"/>
    <w:rsid w:val="125F48D0"/>
    <w:rsid w:val="128F4176"/>
    <w:rsid w:val="12D706B8"/>
    <w:rsid w:val="13E97F8B"/>
    <w:rsid w:val="14A20CDD"/>
    <w:rsid w:val="14F44E15"/>
    <w:rsid w:val="151F1D8D"/>
    <w:rsid w:val="152C43F7"/>
    <w:rsid w:val="15657AEF"/>
    <w:rsid w:val="15BA3FE8"/>
    <w:rsid w:val="15EB7B01"/>
    <w:rsid w:val="1613006B"/>
    <w:rsid w:val="16481484"/>
    <w:rsid w:val="165F6538"/>
    <w:rsid w:val="168E29AD"/>
    <w:rsid w:val="16DA32F3"/>
    <w:rsid w:val="16F6044C"/>
    <w:rsid w:val="16F84306"/>
    <w:rsid w:val="17BE18D1"/>
    <w:rsid w:val="17D71672"/>
    <w:rsid w:val="17F11316"/>
    <w:rsid w:val="181D1637"/>
    <w:rsid w:val="1A6C61E7"/>
    <w:rsid w:val="1A793114"/>
    <w:rsid w:val="1ABA53F2"/>
    <w:rsid w:val="1ABC771B"/>
    <w:rsid w:val="1AE4538C"/>
    <w:rsid w:val="1AEE0C14"/>
    <w:rsid w:val="1B8C4AB8"/>
    <w:rsid w:val="1BFF43FF"/>
    <w:rsid w:val="1C4E7C1D"/>
    <w:rsid w:val="1C502BA8"/>
    <w:rsid w:val="1C791009"/>
    <w:rsid w:val="1C7F6D3C"/>
    <w:rsid w:val="1CC2439E"/>
    <w:rsid w:val="1D0F7C29"/>
    <w:rsid w:val="1D233438"/>
    <w:rsid w:val="1D2D3051"/>
    <w:rsid w:val="1DBE513A"/>
    <w:rsid w:val="1DDE2B28"/>
    <w:rsid w:val="1E612A7B"/>
    <w:rsid w:val="1F1251D8"/>
    <w:rsid w:val="1F3972A8"/>
    <w:rsid w:val="1F560937"/>
    <w:rsid w:val="1F730A49"/>
    <w:rsid w:val="1FA944E4"/>
    <w:rsid w:val="1FCB0A8B"/>
    <w:rsid w:val="1FF45226"/>
    <w:rsid w:val="202E5364"/>
    <w:rsid w:val="204B4C27"/>
    <w:rsid w:val="20916818"/>
    <w:rsid w:val="20965AA6"/>
    <w:rsid w:val="20E862EE"/>
    <w:rsid w:val="21237B64"/>
    <w:rsid w:val="21A6258F"/>
    <w:rsid w:val="21B20862"/>
    <w:rsid w:val="22031F75"/>
    <w:rsid w:val="222178ED"/>
    <w:rsid w:val="222639BD"/>
    <w:rsid w:val="22540994"/>
    <w:rsid w:val="23DF1969"/>
    <w:rsid w:val="241C7396"/>
    <w:rsid w:val="2452781A"/>
    <w:rsid w:val="24632D28"/>
    <w:rsid w:val="246B00FB"/>
    <w:rsid w:val="248E66BB"/>
    <w:rsid w:val="24E576CD"/>
    <w:rsid w:val="255621F4"/>
    <w:rsid w:val="25D50A68"/>
    <w:rsid w:val="25FD6004"/>
    <w:rsid w:val="2651705F"/>
    <w:rsid w:val="26866D5B"/>
    <w:rsid w:val="27470682"/>
    <w:rsid w:val="27B24A33"/>
    <w:rsid w:val="282A37AE"/>
    <w:rsid w:val="28465F76"/>
    <w:rsid w:val="289B61B4"/>
    <w:rsid w:val="289E2258"/>
    <w:rsid w:val="28B52E2E"/>
    <w:rsid w:val="28B77C80"/>
    <w:rsid w:val="28BF11BC"/>
    <w:rsid w:val="28E22641"/>
    <w:rsid w:val="29334959"/>
    <w:rsid w:val="293F695A"/>
    <w:rsid w:val="2950356A"/>
    <w:rsid w:val="295433E1"/>
    <w:rsid w:val="295F6473"/>
    <w:rsid w:val="29CC0F6B"/>
    <w:rsid w:val="29CF23DC"/>
    <w:rsid w:val="29EC063E"/>
    <w:rsid w:val="2A167C2E"/>
    <w:rsid w:val="2A5572A5"/>
    <w:rsid w:val="2A5C62DB"/>
    <w:rsid w:val="2A6D51CD"/>
    <w:rsid w:val="2AE728C4"/>
    <w:rsid w:val="2B360826"/>
    <w:rsid w:val="2B4322C4"/>
    <w:rsid w:val="2B926785"/>
    <w:rsid w:val="2BA6108C"/>
    <w:rsid w:val="2BB73D02"/>
    <w:rsid w:val="2BB76C46"/>
    <w:rsid w:val="2C26401C"/>
    <w:rsid w:val="2C2E3878"/>
    <w:rsid w:val="2D0B5EEA"/>
    <w:rsid w:val="2D7A45D2"/>
    <w:rsid w:val="2DA059AB"/>
    <w:rsid w:val="2DC70A4F"/>
    <w:rsid w:val="2DF12F87"/>
    <w:rsid w:val="2E294723"/>
    <w:rsid w:val="2E3F41D7"/>
    <w:rsid w:val="2E621D9A"/>
    <w:rsid w:val="2E8F5AA9"/>
    <w:rsid w:val="2EB111B4"/>
    <w:rsid w:val="2F6E7FA8"/>
    <w:rsid w:val="2F8C0C0C"/>
    <w:rsid w:val="2FD333FD"/>
    <w:rsid w:val="30454731"/>
    <w:rsid w:val="30546D96"/>
    <w:rsid w:val="30792255"/>
    <w:rsid w:val="307E04FB"/>
    <w:rsid w:val="30C5751E"/>
    <w:rsid w:val="30F73FEB"/>
    <w:rsid w:val="312B78A2"/>
    <w:rsid w:val="3146530D"/>
    <w:rsid w:val="31697C17"/>
    <w:rsid w:val="320378A1"/>
    <w:rsid w:val="321330C9"/>
    <w:rsid w:val="32317565"/>
    <w:rsid w:val="323A16DC"/>
    <w:rsid w:val="3248505E"/>
    <w:rsid w:val="326C646B"/>
    <w:rsid w:val="32D95E2E"/>
    <w:rsid w:val="32F65A39"/>
    <w:rsid w:val="330E51B6"/>
    <w:rsid w:val="33BF2CF4"/>
    <w:rsid w:val="33D47F2F"/>
    <w:rsid w:val="33ED357D"/>
    <w:rsid w:val="343806DE"/>
    <w:rsid w:val="344C39B7"/>
    <w:rsid w:val="34626F4C"/>
    <w:rsid w:val="350F4AF1"/>
    <w:rsid w:val="35705809"/>
    <w:rsid w:val="3575344B"/>
    <w:rsid w:val="357D73DE"/>
    <w:rsid w:val="359B5798"/>
    <w:rsid w:val="35B41A2D"/>
    <w:rsid w:val="363909E6"/>
    <w:rsid w:val="36A15BBF"/>
    <w:rsid w:val="36AA0825"/>
    <w:rsid w:val="36EB4BDC"/>
    <w:rsid w:val="372D5674"/>
    <w:rsid w:val="377203B8"/>
    <w:rsid w:val="37B93841"/>
    <w:rsid w:val="37BA5991"/>
    <w:rsid w:val="37D326E7"/>
    <w:rsid w:val="387640B8"/>
    <w:rsid w:val="38EC41A7"/>
    <w:rsid w:val="39180414"/>
    <w:rsid w:val="394C3880"/>
    <w:rsid w:val="3B1C2093"/>
    <w:rsid w:val="3BAE2963"/>
    <w:rsid w:val="3BBA68E7"/>
    <w:rsid w:val="3C214048"/>
    <w:rsid w:val="3C477201"/>
    <w:rsid w:val="3C6251D3"/>
    <w:rsid w:val="3C6509B1"/>
    <w:rsid w:val="3C7157B5"/>
    <w:rsid w:val="3C790083"/>
    <w:rsid w:val="3C8B4E9D"/>
    <w:rsid w:val="3CA8765B"/>
    <w:rsid w:val="3D1618E8"/>
    <w:rsid w:val="3D516FF2"/>
    <w:rsid w:val="3D707831"/>
    <w:rsid w:val="3DA23D0A"/>
    <w:rsid w:val="3E4E5C3D"/>
    <w:rsid w:val="3E6701B5"/>
    <w:rsid w:val="3EB3120A"/>
    <w:rsid w:val="3EF5621B"/>
    <w:rsid w:val="3FB02221"/>
    <w:rsid w:val="3FB0547E"/>
    <w:rsid w:val="400A4E75"/>
    <w:rsid w:val="401C651D"/>
    <w:rsid w:val="40D211BA"/>
    <w:rsid w:val="422805AA"/>
    <w:rsid w:val="42AD4BFA"/>
    <w:rsid w:val="4363296F"/>
    <w:rsid w:val="438A7846"/>
    <w:rsid w:val="43CB02BB"/>
    <w:rsid w:val="44215282"/>
    <w:rsid w:val="443618CE"/>
    <w:rsid w:val="444C263C"/>
    <w:rsid w:val="44670B5C"/>
    <w:rsid w:val="448D3BF7"/>
    <w:rsid w:val="44922913"/>
    <w:rsid w:val="44FC0FC8"/>
    <w:rsid w:val="452D2E58"/>
    <w:rsid w:val="45346DD5"/>
    <w:rsid w:val="45382C86"/>
    <w:rsid w:val="456563FA"/>
    <w:rsid w:val="459729A6"/>
    <w:rsid w:val="46665B9E"/>
    <w:rsid w:val="466F53D0"/>
    <w:rsid w:val="46A52BAA"/>
    <w:rsid w:val="4717354F"/>
    <w:rsid w:val="476F570B"/>
    <w:rsid w:val="47B82F8C"/>
    <w:rsid w:val="480C19EA"/>
    <w:rsid w:val="484A713B"/>
    <w:rsid w:val="4861702F"/>
    <w:rsid w:val="48776D38"/>
    <w:rsid w:val="48CA64DA"/>
    <w:rsid w:val="48CD11B6"/>
    <w:rsid w:val="48D77783"/>
    <w:rsid w:val="490B709C"/>
    <w:rsid w:val="49231BBC"/>
    <w:rsid w:val="4A5B23AD"/>
    <w:rsid w:val="4B6E0530"/>
    <w:rsid w:val="4C61016D"/>
    <w:rsid w:val="4C9E0711"/>
    <w:rsid w:val="4D0463D3"/>
    <w:rsid w:val="4D9C718C"/>
    <w:rsid w:val="4DC63E5D"/>
    <w:rsid w:val="4E642584"/>
    <w:rsid w:val="4E8123F0"/>
    <w:rsid w:val="4E9234E5"/>
    <w:rsid w:val="4F004AC8"/>
    <w:rsid w:val="4FDD3421"/>
    <w:rsid w:val="50220974"/>
    <w:rsid w:val="50563A10"/>
    <w:rsid w:val="50744124"/>
    <w:rsid w:val="50DB612B"/>
    <w:rsid w:val="50FB7BCD"/>
    <w:rsid w:val="50FD670D"/>
    <w:rsid w:val="51D50F1C"/>
    <w:rsid w:val="51E970C3"/>
    <w:rsid w:val="528625FA"/>
    <w:rsid w:val="53163BF2"/>
    <w:rsid w:val="54E63AA1"/>
    <w:rsid w:val="54F70D70"/>
    <w:rsid w:val="559323C5"/>
    <w:rsid w:val="55DA574B"/>
    <w:rsid w:val="55DB14B9"/>
    <w:rsid w:val="55E333E3"/>
    <w:rsid w:val="5610528E"/>
    <w:rsid w:val="56182B6E"/>
    <w:rsid w:val="56C46547"/>
    <w:rsid w:val="56DA3123"/>
    <w:rsid w:val="56E723FE"/>
    <w:rsid w:val="574F4AA7"/>
    <w:rsid w:val="575A07A3"/>
    <w:rsid w:val="57E400AD"/>
    <w:rsid w:val="57EE76E4"/>
    <w:rsid w:val="585614E4"/>
    <w:rsid w:val="58774C70"/>
    <w:rsid w:val="58EA52A0"/>
    <w:rsid w:val="590004DA"/>
    <w:rsid w:val="59130765"/>
    <w:rsid w:val="592B4899"/>
    <w:rsid w:val="59BE008C"/>
    <w:rsid w:val="59CF6C6F"/>
    <w:rsid w:val="59E62CA7"/>
    <w:rsid w:val="5A914920"/>
    <w:rsid w:val="5AB00B25"/>
    <w:rsid w:val="5AC04A0B"/>
    <w:rsid w:val="5B18258A"/>
    <w:rsid w:val="5B4C62E3"/>
    <w:rsid w:val="5B4E3FA9"/>
    <w:rsid w:val="5B7504ED"/>
    <w:rsid w:val="5B8B449F"/>
    <w:rsid w:val="5C1B135A"/>
    <w:rsid w:val="5C2769E7"/>
    <w:rsid w:val="5C993234"/>
    <w:rsid w:val="5CEF39E7"/>
    <w:rsid w:val="5D0C639D"/>
    <w:rsid w:val="5D4D1366"/>
    <w:rsid w:val="5DA821BF"/>
    <w:rsid w:val="5DC139D2"/>
    <w:rsid w:val="5DF319AE"/>
    <w:rsid w:val="5DF67626"/>
    <w:rsid w:val="5E772F3C"/>
    <w:rsid w:val="5ED7778B"/>
    <w:rsid w:val="5F731BA9"/>
    <w:rsid w:val="5FC7474B"/>
    <w:rsid w:val="6058674D"/>
    <w:rsid w:val="61056E0B"/>
    <w:rsid w:val="615067D7"/>
    <w:rsid w:val="616A185D"/>
    <w:rsid w:val="619E2B89"/>
    <w:rsid w:val="620D2994"/>
    <w:rsid w:val="62C5787E"/>
    <w:rsid w:val="63202D68"/>
    <w:rsid w:val="63213448"/>
    <w:rsid w:val="633607E1"/>
    <w:rsid w:val="639533FD"/>
    <w:rsid w:val="639B5A24"/>
    <w:rsid w:val="63A8130F"/>
    <w:rsid w:val="63C8615D"/>
    <w:rsid w:val="64301060"/>
    <w:rsid w:val="643738BF"/>
    <w:rsid w:val="64AF1FBB"/>
    <w:rsid w:val="64C0660B"/>
    <w:rsid w:val="64F923D9"/>
    <w:rsid w:val="658223CF"/>
    <w:rsid w:val="658B4525"/>
    <w:rsid w:val="65AE4647"/>
    <w:rsid w:val="65B07A0B"/>
    <w:rsid w:val="65F76387"/>
    <w:rsid w:val="668A55F7"/>
    <w:rsid w:val="674246DE"/>
    <w:rsid w:val="67BA2DBD"/>
    <w:rsid w:val="680649AA"/>
    <w:rsid w:val="681D64C2"/>
    <w:rsid w:val="681E7B79"/>
    <w:rsid w:val="682D3D0A"/>
    <w:rsid w:val="68A824BF"/>
    <w:rsid w:val="68DE575D"/>
    <w:rsid w:val="68F9039B"/>
    <w:rsid w:val="693E48E3"/>
    <w:rsid w:val="694E203D"/>
    <w:rsid w:val="695F0F37"/>
    <w:rsid w:val="69C160CF"/>
    <w:rsid w:val="69E12102"/>
    <w:rsid w:val="69E15B12"/>
    <w:rsid w:val="6A9C0D44"/>
    <w:rsid w:val="6AE129F2"/>
    <w:rsid w:val="6AF80865"/>
    <w:rsid w:val="6AF84C9C"/>
    <w:rsid w:val="6B6B0FAF"/>
    <w:rsid w:val="6B780D2F"/>
    <w:rsid w:val="6B9C1813"/>
    <w:rsid w:val="6BD22901"/>
    <w:rsid w:val="6C356BD4"/>
    <w:rsid w:val="6CB14A3E"/>
    <w:rsid w:val="6CD6514E"/>
    <w:rsid w:val="6D0B269D"/>
    <w:rsid w:val="6D3F28C1"/>
    <w:rsid w:val="6D4516AF"/>
    <w:rsid w:val="6E1D4ED5"/>
    <w:rsid w:val="6E240780"/>
    <w:rsid w:val="6F0926A9"/>
    <w:rsid w:val="6F273251"/>
    <w:rsid w:val="6FBB46ED"/>
    <w:rsid w:val="703A3F85"/>
    <w:rsid w:val="70555B9D"/>
    <w:rsid w:val="72157655"/>
    <w:rsid w:val="724C24BE"/>
    <w:rsid w:val="724C636E"/>
    <w:rsid w:val="729C22B0"/>
    <w:rsid w:val="743B0D75"/>
    <w:rsid w:val="746147D0"/>
    <w:rsid w:val="75A13826"/>
    <w:rsid w:val="75A96F9D"/>
    <w:rsid w:val="75D20B44"/>
    <w:rsid w:val="761A1F87"/>
    <w:rsid w:val="76CF3BE6"/>
    <w:rsid w:val="77C17FC5"/>
    <w:rsid w:val="77EF1225"/>
    <w:rsid w:val="78494FAA"/>
    <w:rsid w:val="787B718E"/>
    <w:rsid w:val="78A465FF"/>
    <w:rsid w:val="78C569F8"/>
    <w:rsid w:val="79052F5E"/>
    <w:rsid w:val="797304FB"/>
    <w:rsid w:val="79C8592F"/>
    <w:rsid w:val="7A3754E3"/>
    <w:rsid w:val="7A4D30ED"/>
    <w:rsid w:val="7AD940D8"/>
    <w:rsid w:val="7AE668A5"/>
    <w:rsid w:val="7AE927AE"/>
    <w:rsid w:val="7AFB0A43"/>
    <w:rsid w:val="7B2F40E0"/>
    <w:rsid w:val="7B4927AB"/>
    <w:rsid w:val="7B806F5F"/>
    <w:rsid w:val="7B982198"/>
    <w:rsid w:val="7BEF1040"/>
    <w:rsid w:val="7BF94D5C"/>
    <w:rsid w:val="7C2461C6"/>
    <w:rsid w:val="7C74731A"/>
    <w:rsid w:val="7C861295"/>
    <w:rsid w:val="7CEC79E3"/>
    <w:rsid w:val="7CF36D8A"/>
    <w:rsid w:val="7D887CFF"/>
    <w:rsid w:val="7DB1624A"/>
    <w:rsid w:val="7DD80158"/>
    <w:rsid w:val="7E211608"/>
    <w:rsid w:val="7E5678FD"/>
    <w:rsid w:val="7E7D6358"/>
    <w:rsid w:val="7EE12A82"/>
    <w:rsid w:val="7F0A72D2"/>
    <w:rsid w:val="7FC35E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99"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qFormat="1" w:unhideWhenUsed="0" w:uiPriority="0" w:semiHidden="0" w:name="table of figures"/>
    <w:lsdException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99"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unhideWhenUsed="0" w:uiPriority="0" w:semiHidden="0" w:name="List Continue 4"/>
    <w:lsdException w:unhideWhenUsed="0" w:uiPriority="0" w:semiHidden="0" w:name="List Continue 5"/>
    <w:lsdException w:qFormat="1" w:unhideWhenUsed="0" w:uiPriority="99" w:semiHidden="0" w:name="Message Header"/>
    <w:lsdException w:qFormat="1" w:unhideWhenUsed="0" w:uiPriority="99"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99"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82"/>
    <w:qFormat/>
    <w:uiPriority w:val="0"/>
    <w:pPr>
      <w:keepNext/>
      <w:keepLines/>
      <w:spacing w:before="340" w:after="330" w:line="578" w:lineRule="auto"/>
      <w:jc w:val="center"/>
      <w:outlineLvl w:val="0"/>
    </w:pPr>
    <w:rPr>
      <w:b/>
      <w:bCs/>
      <w:kern w:val="44"/>
      <w:sz w:val="30"/>
      <w:szCs w:val="44"/>
    </w:rPr>
  </w:style>
  <w:style w:type="paragraph" w:styleId="3">
    <w:name w:val="heading 2"/>
    <w:basedOn w:val="1"/>
    <w:next w:val="1"/>
    <w:link w:val="83"/>
    <w:qFormat/>
    <w:uiPriority w:val="9"/>
    <w:pPr>
      <w:keepNext/>
      <w:keepLines/>
      <w:spacing w:before="260" w:after="260" w:line="416" w:lineRule="auto"/>
      <w:ind w:firstLine="628"/>
      <w:jc w:val="center"/>
      <w:outlineLvl w:val="1"/>
    </w:pPr>
    <w:rPr>
      <w:rFonts w:ascii="Arial" w:hAnsi="Arial" w:eastAsia="黑体"/>
      <w:b/>
      <w:bCs/>
      <w:sz w:val="32"/>
      <w:szCs w:val="32"/>
    </w:rPr>
  </w:style>
  <w:style w:type="paragraph" w:styleId="4">
    <w:name w:val="heading 3"/>
    <w:basedOn w:val="1"/>
    <w:next w:val="1"/>
    <w:link w:val="84"/>
    <w:qFormat/>
    <w:uiPriority w:val="0"/>
    <w:pPr>
      <w:keepNext/>
      <w:keepLines/>
      <w:spacing w:before="260" w:after="260" w:line="416" w:lineRule="auto"/>
      <w:jc w:val="center"/>
      <w:outlineLvl w:val="2"/>
    </w:pPr>
    <w:rPr>
      <w:rFonts w:ascii="宋体"/>
      <w:b/>
      <w:bCs/>
      <w:sz w:val="32"/>
      <w:szCs w:val="32"/>
    </w:rPr>
  </w:style>
  <w:style w:type="paragraph" w:styleId="5">
    <w:name w:val="heading 4"/>
    <w:basedOn w:val="1"/>
    <w:next w:val="1"/>
    <w:link w:val="85"/>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86"/>
    <w:qFormat/>
    <w:uiPriority w:val="0"/>
    <w:pPr>
      <w:keepNext/>
      <w:outlineLvl w:val="4"/>
    </w:pPr>
    <w:rPr>
      <w:rFonts w:ascii="宋体" w:hAnsi="Arial"/>
      <w:bCs/>
      <w:sz w:val="28"/>
    </w:rPr>
  </w:style>
  <w:style w:type="paragraph" w:styleId="7">
    <w:name w:val="heading 6"/>
    <w:basedOn w:val="1"/>
    <w:next w:val="1"/>
    <w:link w:val="87"/>
    <w:qFormat/>
    <w:uiPriority w:val="0"/>
    <w:pPr>
      <w:keepNext/>
      <w:autoSpaceDE w:val="0"/>
      <w:autoSpaceDN w:val="0"/>
      <w:adjustRightInd w:val="0"/>
      <w:spacing w:before="156" w:beforeLines="50" w:after="156" w:afterLines="50" w:line="300" w:lineRule="exact"/>
      <w:jc w:val="center"/>
      <w:outlineLvl w:val="5"/>
    </w:pPr>
    <w:rPr>
      <w:rFonts w:ascii="宋体" w:hAnsi="宋体"/>
      <w:kern w:val="0"/>
      <w:sz w:val="28"/>
    </w:rPr>
  </w:style>
  <w:style w:type="paragraph" w:styleId="8">
    <w:name w:val="heading 7"/>
    <w:basedOn w:val="1"/>
    <w:next w:val="1"/>
    <w:link w:val="88"/>
    <w:qFormat/>
    <w:uiPriority w:val="0"/>
    <w:pPr>
      <w:keepNext/>
      <w:keepLines/>
      <w:spacing w:before="240" w:after="64" w:line="320" w:lineRule="auto"/>
      <w:ind w:right="-24" w:rightChars="-10" w:firstLine="464" w:firstLineChars="225"/>
      <w:jc w:val="left"/>
      <w:outlineLvl w:val="6"/>
    </w:pPr>
    <w:rPr>
      <w:rFonts w:ascii="Arial" w:hAnsi="Arial" w:eastAsia="仿宋_GB2312"/>
      <w:b/>
      <w:bCs/>
      <w:spacing w:val="-4"/>
      <w:sz w:val="24"/>
      <w:szCs w:val="24"/>
    </w:rPr>
  </w:style>
  <w:style w:type="paragraph" w:styleId="9">
    <w:name w:val="heading 8"/>
    <w:basedOn w:val="1"/>
    <w:next w:val="1"/>
    <w:link w:val="89"/>
    <w:qFormat/>
    <w:uiPriority w:val="0"/>
    <w:pPr>
      <w:keepNext/>
      <w:keepLines/>
      <w:tabs>
        <w:tab w:val="left" w:pos="1440"/>
      </w:tabs>
      <w:spacing w:before="240" w:after="64" w:line="320" w:lineRule="auto"/>
      <w:ind w:left="1440" w:hanging="1440"/>
      <w:outlineLvl w:val="7"/>
    </w:pPr>
    <w:rPr>
      <w:rFonts w:ascii="Arial" w:hAnsi="Arial" w:eastAsia="黑体"/>
      <w:sz w:val="24"/>
      <w:szCs w:val="24"/>
    </w:rPr>
  </w:style>
  <w:style w:type="paragraph" w:styleId="10">
    <w:name w:val="heading 9"/>
    <w:basedOn w:val="1"/>
    <w:next w:val="1"/>
    <w:link w:val="90"/>
    <w:qFormat/>
    <w:uiPriority w:val="0"/>
    <w:pPr>
      <w:keepNext/>
      <w:keepLines/>
      <w:tabs>
        <w:tab w:val="left" w:pos="1584"/>
      </w:tabs>
      <w:spacing w:before="240" w:after="64" w:line="320" w:lineRule="auto"/>
      <w:ind w:left="1584" w:hanging="1584"/>
      <w:outlineLvl w:val="8"/>
    </w:pPr>
    <w:rPr>
      <w:rFonts w:ascii="Arial" w:hAnsi="Arial" w:eastAsia="黑体"/>
      <w:szCs w:val="21"/>
    </w:rPr>
  </w:style>
  <w:style w:type="character" w:default="1" w:styleId="73">
    <w:name w:val="Default Paragraph Font"/>
    <w:semiHidden/>
    <w:unhideWhenUsed/>
    <w:uiPriority w:val="1"/>
  </w:style>
  <w:style w:type="table" w:default="1" w:styleId="71">
    <w:name w:val="Normal Table"/>
    <w:semiHidden/>
    <w:unhideWhenUsed/>
    <w:qFormat/>
    <w:uiPriority w:val="99"/>
    <w:tblPr>
      <w:tblCellMar>
        <w:top w:w="0" w:type="dxa"/>
        <w:left w:w="108" w:type="dxa"/>
        <w:bottom w:w="0" w:type="dxa"/>
        <w:right w:w="108" w:type="dxa"/>
      </w:tblCellMar>
    </w:tblPr>
  </w:style>
  <w:style w:type="paragraph" w:styleId="11">
    <w:name w:val="List 3"/>
    <w:basedOn w:val="1"/>
    <w:qFormat/>
    <w:uiPriority w:val="0"/>
    <w:pPr>
      <w:ind w:left="600" w:leftChars="400" w:hanging="200" w:hangingChars="200"/>
    </w:pPr>
    <w:rPr>
      <w:rFonts w:cs="Droid Sans"/>
      <w:sz w:val="18"/>
    </w:rPr>
  </w:style>
  <w:style w:type="paragraph" w:styleId="12">
    <w:name w:val="toc 7"/>
    <w:basedOn w:val="1"/>
    <w:next w:val="1"/>
    <w:qFormat/>
    <w:uiPriority w:val="39"/>
    <w:pPr>
      <w:ind w:left="1260"/>
      <w:jc w:val="left"/>
    </w:pPr>
    <w:rPr>
      <w:szCs w:val="21"/>
    </w:rPr>
  </w:style>
  <w:style w:type="paragraph" w:styleId="13">
    <w:name w:val="table of authorities"/>
    <w:basedOn w:val="1"/>
    <w:next w:val="1"/>
    <w:qFormat/>
    <w:uiPriority w:val="0"/>
    <w:pPr>
      <w:ind w:left="420" w:leftChars="200"/>
    </w:pPr>
  </w:style>
  <w:style w:type="paragraph" w:styleId="14">
    <w:name w:val="index 8"/>
    <w:basedOn w:val="1"/>
    <w:next w:val="1"/>
    <w:qFormat/>
    <w:uiPriority w:val="0"/>
    <w:pPr>
      <w:ind w:left="1400" w:leftChars="1400"/>
    </w:pPr>
  </w:style>
  <w:style w:type="paragraph" w:styleId="15">
    <w:name w:val="Normal Indent"/>
    <w:basedOn w:val="1"/>
    <w:link w:val="91"/>
    <w:qFormat/>
    <w:uiPriority w:val="0"/>
    <w:pPr>
      <w:autoSpaceDE w:val="0"/>
      <w:autoSpaceDN w:val="0"/>
      <w:adjustRightInd w:val="0"/>
      <w:ind w:firstLine="420"/>
      <w:jc w:val="left"/>
    </w:pPr>
    <w:rPr>
      <w:rFonts w:ascii="宋体"/>
      <w:kern w:val="0"/>
      <w:sz w:val="24"/>
    </w:rPr>
  </w:style>
  <w:style w:type="paragraph" w:styleId="16">
    <w:name w:val="caption"/>
    <w:basedOn w:val="1"/>
    <w:next w:val="1"/>
    <w:link w:val="81"/>
    <w:qFormat/>
    <w:uiPriority w:val="0"/>
    <w:rPr>
      <w:rFonts w:ascii="Cambria" w:hAnsi="Cambria" w:eastAsia="黑体"/>
      <w:sz w:val="20"/>
    </w:rPr>
  </w:style>
  <w:style w:type="paragraph" w:styleId="17">
    <w:name w:val="index 5"/>
    <w:basedOn w:val="1"/>
    <w:next w:val="1"/>
    <w:qFormat/>
    <w:uiPriority w:val="0"/>
    <w:pPr>
      <w:ind w:left="800" w:leftChars="800"/>
    </w:pPr>
  </w:style>
  <w:style w:type="paragraph" w:styleId="18">
    <w:name w:val="List Bullet"/>
    <w:basedOn w:val="15"/>
    <w:qFormat/>
    <w:uiPriority w:val="0"/>
    <w:pPr>
      <w:widowControl/>
      <w:numPr>
        <w:ilvl w:val="1"/>
        <w:numId w:val="1"/>
      </w:numPr>
      <w:tabs>
        <w:tab w:val="left" w:pos="1440"/>
      </w:tabs>
      <w:autoSpaceDE/>
      <w:autoSpaceDN/>
      <w:adjustRightInd/>
      <w:spacing w:after="120"/>
    </w:pPr>
    <w:rPr>
      <w:rFonts w:ascii="Calibri" w:hAnsi="Calibri" w:cs="Droid Sans"/>
      <w:kern w:val="2"/>
    </w:rPr>
  </w:style>
  <w:style w:type="paragraph" w:styleId="19">
    <w:name w:val="Document Map"/>
    <w:basedOn w:val="1"/>
    <w:link w:val="92"/>
    <w:qFormat/>
    <w:uiPriority w:val="0"/>
    <w:pPr>
      <w:shd w:val="clear" w:color="auto" w:fill="000080"/>
    </w:pPr>
  </w:style>
  <w:style w:type="paragraph" w:styleId="20">
    <w:name w:val="toa heading"/>
    <w:basedOn w:val="1"/>
    <w:next w:val="1"/>
    <w:qFormat/>
    <w:uiPriority w:val="0"/>
    <w:pPr>
      <w:spacing w:before="120"/>
    </w:pPr>
    <w:rPr>
      <w:rFonts w:ascii="Arial" w:hAnsi="Arial"/>
      <w:b/>
      <w:bCs/>
      <w:szCs w:val="24"/>
    </w:rPr>
  </w:style>
  <w:style w:type="paragraph" w:styleId="21">
    <w:name w:val="annotation text"/>
    <w:basedOn w:val="1"/>
    <w:link w:val="93"/>
    <w:qFormat/>
    <w:uiPriority w:val="0"/>
    <w:pPr>
      <w:jc w:val="left"/>
    </w:pPr>
  </w:style>
  <w:style w:type="paragraph" w:styleId="22">
    <w:name w:val="index 6"/>
    <w:basedOn w:val="1"/>
    <w:next w:val="1"/>
    <w:qFormat/>
    <w:uiPriority w:val="0"/>
    <w:pPr>
      <w:ind w:left="1000" w:leftChars="1000"/>
    </w:pPr>
  </w:style>
  <w:style w:type="paragraph" w:styleId="23">
    <w:name w:val="Body Text 3"/>
    <w:basedOn w:val="1"/>
    <w:link w:val="94"/>
    <w:qFormat/>
    <w:uiPriority w:val="0"/>
    <w:rPr>
      <w:rFonts w:ascii="黑体" w:hAnsi="Arial" w:eastAsia="黑体"/>
      <w:b/>
      <w:sz w:val="28"/>
    </w:rPr>
  </w:style>
  <w:style w:type="paragraph" w:styleId="24">
    <w:name w:val="List Bullet 3"/>
    <w:basedOn w:val="1"/>
    <w:qFormat/>
    <w:uiPriority w:val="0"/>
    <w:pPr>
      <w:tabs>
        <w:tab w:val="left" w:pos="744"/>
      </w:tabs>
      <w:spacing w:line="360" w:lineRule="auto"/>
      <w:ind w:left="400" w:leftChars="400" w:hanging="200" w:hangingChars="200"/>
      <w:contextualSpacing/>
    </w:pPr>
    <w:rPr>
      <w:rFonts w:ascii="Arial" w:hAnsi="Arial" w:cs="宋体"/>
      <w:sz w:val="24"/>
    </w:rPr>
  </w:style>
  <w:style w:type="paragraph" w:styleId="25">
    <w:name w:val="Body Text"/>
    <w:basedOn w:val="1"/>
    <w:next w:val="26"/>
    <w:link w:val="95"/>
    <w:qFormat/>
    <w:uiPriority w:val="0"/>
    <w:rPr>
      <w:rFonts w:ascii="宋体" w:hAnsi="Arial"/>
      <w:sz w:val="28"/>
    </w:rPr>
  </w:style>
  <w:style w:type="paragraph" w:styleId="26">
    <w:name w:val="Body Text 2"/>
    <w:basedOn w:val="1"/>
    <w:next w:val="25"/>
    <w:link w:val="110"/>
    <w:qFormat/>
    <w:uiPriority w:val="0"/>
    <w:rPr>
      <w:rFonts w:ascii="仿宋_GB2312" w:eastAsia="仿宋_GB2312"/>
      <w:b/>
      <w:sz w:val="24"/>
    </w:rPr>
  </w:style>
  <w:style w:type="paragraph" w:styleId="27">
    <w:name w:val="Body Text Indent"/>
    <w:basedOn w:val="1"/>
    <w:next w:val="28"/>
    <w:link w:val="98"/>
    <w:qFormat/>
    <w:uiPriority w:val="0"/>
    <w:pPr>
      <w:ind w:firstLine="645"/>
    </w:pPr>
    <w:rPr>
      <w:rFonts w:ascii="楷体_GB2312" w:eastAsia="楷体_GB2312"/>
      <w:sz w:val="32"/>
    </w:rPr>
  </w:style>
  <w:style w:type="paragraph" w:styleId="28">
    <w:name w:val="envelope return"/>
    <w:basedOn w:val="1"/>
    <w:qFormat/>
    <w:uiPriority w:val="0"/>
    <w:rPr>
      <w:rFonts w:ascii="Arial" w:hAnsi="Arial"/>
    </w:rPr>
  </w:style>
  <w:style w:type="paragraph" w:styleId="29">
    <w:name w:val="List 2"/>
    <w:basedOn w:val="1"/>
    <w:qFormat/>
    <w:uiPriority w:val="0"/>
    <w:pPr>
      <w:ind w:left="400" w:leftChars="200" w:hanging="200" w:hangingChars="200"/>
    </w:pPr>
    <w:rPr>
      <w:rFonts w:cs="Droid Sans"/>
      <w:sz w:val="18"/>
    </w:rPr>
  </w:style>
  <w:style w:type="paragraph" w:styleId="30">
    <w:name w:val="List Continue"/>
    <w:basedOn w:val="1"/>
    <w:qFormat/>
    <w:uiPriority w:val="0"/>
    <w:pPr>
      <w:spacing w:after="120"/>
      <w:ind w:left="420"/>
    </w:pPr>
    <w:rPr>
      <w:szCs w:val="24"/>
    </w:rPr>
  </w:style>
  <w:style w:type="paragraph" w:styleId="31">
    <w:name w:val="Block Text"/>
    <w:basedOn w:val="1"/>
    <w:qFormat/>
    <w:uiPriority w:val="0"/>
    <w:pPr>
      <w:adjustRightInd w:val="0"/>
      <w:snapToGrid w:val="0"/>
      <w:spacing w:line="352" w:lineRule="auto"/>
      <w:ind w:left="342" w:leftChars="342" w:right="-38" w:rightChars="-38" w:firstLine="200" w:firstLineChars="200"/>
    </w:pPr>
    <w:rPr>
      <w:rFonts w:ascii="Calibri" w:hAnsi="Calibri" w:cs="Droid Sans"/>
      <w:sz w:val="24"/>
    </w:rPr>
  </w:style>
  <w:style w:type="paragraph" w:styleId="32">
    <w:name w:val="List Bullet 2"/>
    <w:basedOn w:val="1"/>
    <w:qFormat/>
    <w:uiPriority w:val="0"/>
    <w:pPr>
      <w:numPr>
        <w:ilvl w:val="0"/>
        <w:numId w:val="2"/>
      </w:numPr>
      <w:spacing w:line="312" w:lineRule="auto"/>
    </w:pPr>
    <w:rPr>
      <w:szCs w:val="21"/>
    </w:rPr>
  </w:style>
  <w:style w:type="paragraph" w:styleId="33">
    <w:name w:val="index 4"/>
    <w:basedOn w:val="1"/>
    <w:next w:val="1"/>
    <w:qFormat/>
    <w:uiPriority w:val="0"/>
    <w:pPr>
      <w:ind w:left="600" w:leftChars="600"/>
    </w:pPr>
  </w:style>
  <w:style w:type="paragraph" w:styleId="34">
    <w:name w:val="toc 5"/>
    <w:basedOn w:val="1"/>
    <w:next w:val="1"/>
    <w:qFormat/>
    <w:uiPriority w:val="39"/>
    <w:pPr>
      <w:ind w:left="840"/>
      <w:jc w:val="left"/>
    </w:pPr>
    <w:rPr>
      <w:szCs w:val="21"/>
    </w:rPr>
  </w:style>
  <w:style w:type="paragraph" w:styleId="35">
    <w:name w:val="toc 3"/>
    <w:basedOn w:val="1"/>
    <w:next w:val="1"/>
    <w:link w:val="99"/>
    <w:qFormat/>
    <w:uiPriority w:val="0"/>
    <w:pPr>
      <w:ind w:left="420"/>
      <w:jc w:val="left"/>
    </w:pPr>
    <w:rPr>
      <w:i/>
      <w:iCs/>
      <w:szCs w:val="24"/>
    </w:rPr>
  </w:style>
  <w:style w:type="paragraph" w:styleId="36">
    <w:name w:val="Plain Text"/>
    <w:basedOn w:val="1"/>
    <w:link w:val="100"/>
    <w:qFormat/>
    <w:uiPriority w:val="0"/>
    <w:rPr>
      <w:rFonts w:ascii="宋体" w:hAnsi="Courier New"/>
    </w:rPr>
  </w:style>
  <w:style w:type="paragraph" w:styleId="37">
    <w:name w:val="toc 8"/>
    <w:basedOn w:val="1"/>
    <w:next w:val="1"/>
    <w:qFormat/>
    <w:uiPriority w:val="39"/>
    <w:pPr>
      <w:ind w:left="1470"/>
      <w:jc w:val="left"/>
    </w:pPr>
    <w:rPr>
      <w:szCs w:val="21"/>
    </w:rPr>
  </w:style>
  <w:style w:type="paragraph" w:styleId="38">
    <w:name w:val="index 3"/>
    <w:basedOn w:val="1"/>
    <w:next w:val="1"/>
    <w:qFormat/>
    <w:uiPriority w:val="0"/>
    <w:pPr>
      <w:ind w:left="400" w:leftChars="400"/>
    </w:pPr>
  </w:style>
  <w:style w:type="paragraph" w:styleId="39">
    <w:name w:val="Date"/>
    <w:basedOn w:val="1"/>
    <w:next w:val="1"/>
    <w:link w:val="101"/>
    <w:qFormat/>
    <w:uiPriority w:val="0"/>
    <w:rPr>
      <w:b/>
      <w:sz w:val="28"/>
    </w:rPr>
  </w:style>
  <w:style w:type="paragraph" w:styleId="40">
    <w:name w:val="Body Text Indent 2"/>
    <w:basedOn w:val="1"/>
    <w:link w:val="102"/>
    <w:qFormat/>
    <w:uiPriority w:val="0"/>
    <w:pPr>
      <w:ind w:left="630" w:firstLine="645"/>
    </w:pPr>
    <w:rPr>
      <w:rFonts w:ascii="Arial" w:hAnsi="Arial" w:eastAsia="仿宋_GB2312"/>
      <w:sz w:val="32"/>
    </w:rPr>
  </w:style>
  <w:style w:type="paragraph" w:styleId="41">
    <w:name w:val="Balloon Text"/>
    <w:basedOn w:val="1"/>
    <w:link w:val="103"/>
    <w:qFormat/>
    <w:uiPriority w:val="0"/>
    <w:rPr>
      <w:sz w:val="18"/>
      <w:szCs w:val="18"/>
    </w:rPr>
  </w:style>
  <w:style w:type="paragraph" w:styleId="42">
    <w:name w:val="footer"/>
    <w:basedOn w:val="1"/>
    <w:link w:val="104"/>
    <w:qFormat/>
    <w:uiPriority w:val="0"/>
    <w:pPr>
      <w:tabs>
        <w:tab w:val="center" w:pos="4153"/>
        <w:tab w:val="right" w:pos="8306"/>
      </w:tabs>
      <w:snapToGrid w:val="0"/>
      <w:jc w:val="left"/>
    </w:pPr>
    <w:rPr>
      <w:sz w:val="18"/>
    </w:rPr>
  </w:style>
  <w:style w:type="paragraph" w:styleId="43">
    <w:name w:val="header"/>
    <w:basedOn w:val="1"/>
    <w:link w:val="105"/>
    <w:qFormat/>
    <w:uiPriority w:val="0"/>
    <w:pPr>
      <w:pBdr>
        <w:bottom w:val="single" w:color="auto" w:sz="6" w:space="1"/>
      </w:pBdr>
      <w:tabs>
        <w:tab w:val="center" w:pos="4153"/>
        <w:tab w:val="right" w:pos="8306"/>
      </w:tabs>
      <w:snapToGrid w:val="0"/>
      <w:jc w:val="center"/>
    </w:pPr>
    <w:rPr>
      <w:sz w:val="18"/>
    </w:rPr>
  </w:style>
  <w:style w:type="paragraph" w:styleId="44">
    <w:name w:val="Signature"/>
    <w:basedOn w:val="1"/>
    <w:link w:val="106"/>
    <w:qFormat/>
    <w:uiPriority w:val="0"/>
    <w:pPr>
      <w:ind w:left="2100" w:leftChars="2100"/>
    </w:pPr>
    <w:rPr>
      <w:sz w:val="18"/>
    </w:rPr>
  </w:style>
  <w:style w:type="paragraph" w:styleId="45">
    <w:name w:val="toc 1"/>
    <w:basedOn w:val="1"/>
    <w:next w:val="1"/>
    <w:qFormat/>
    <w:uiPriority w:val="39"/>
    <w:pPr>
      <w:spacing w:before="120" w:after="120"/>
      <w:jc w:val="left"/>
    </w:pPr>
    <w:rPr>
      <w:caps/>
      <w:szCs w:val="24"/>
    </w:rPr>
  </w:style>
  <w:style w:type="paragraph" w:styleId="46">
    <w:name w:val="toc 4"/>
    <w:basedOn w:val="1"/>
    <w:next w:val="1"/>
    <w:qFormat/>
    <w:uiPriority w:val="39"/>
    <w:pPr>
      <w:ind w:left="630"/>
      <w:jc w:val="left"/>
    </w:pPr>
    <w:rPr>
      <w:szCs w:val="21"/>
    </w:rPr>
  </w:style>
  <w:style w:type="paragraph" w:styleId="47">
    <w:name w:val="index heading"/>
    <w:basedOn w:val="1"/>
    <w:next w:val="48"/>
    <w:qFormat/>
    <w:uiPriority w:val="0"/>
  </w:style>
  <w:style w:type="paragraph" w:styleId="48">
    <w:name w:val="index 1"/>
    <w:basedOn w:val="1"/>
    <w:next w:val="1"/>
    <w:qFormat/>
    <w:uiPriority w:val="0"/>
    <w:pPr>
      <w:jc w:val="center"/>
    </w:pPr>
    <w:rPr>
      <w:rFonts w:ascii="仿宋_GB2312" w:eastAsia="仿宋_GB2312"/>
      <w:b/>
      <w:bCs/>
      <w:sz w:val="28"/>
    </w:rPr>
  </w:style>
  <w:style w:type="paragraph" w:styleId="49">
    <w:name w:val="Subtitle"/>
    <w:basedOn w:val="1"/>
    <w:next w:val="1"/>
    <w:link w:val="107"/>
    <w:qFormat/>
    <w:uiPriority w:val="99"/>
    <w:pPr>
      <w:spacing w:before="240" w:after="60" w:line="312" w:lineRule="auto"/>
      <w:jc w:val="center"/>
      <w:outlineLvl w:val="1"/>
    </w:pPr>
    <w:rPr>
      <w:rFonts w:ascii="Cambria" w:hAnsi="Cambria"/>
      <w:b/>
      <w:bCs/>
      <w:kern w:val="28"/>
      <w:sz w:val="32"/>
      <w:szCs w:val="32"/>
    </w:rPr>
  </w:style>
  <w:style w:type="paragraph" w:styleId="50">
    <w:name w:val="List"/>
    <w:basedOn w:val="1"/>
    <w:qFormat/>
    <w:uiPriority w:val="0"/>
    <w:pPr>
      <w:ind w:left="200" w:hanging="200" w:hangingChars="200"/>
      <w:contextualSpacing/>
    </w:pPr>
    <w:rPr>
      <w:szCs w:val="24"/>
    </w:rPr>
  </w:style>
  <w:style w:type="paragraph" w:styleId="51">
    <w:name w:val="footnote text"/>
    <w:basedOn w:val="1"/>
    <w:link w:val="108"/>
    <w:qFormat/>
    <w:uiPriority w:val="99"/>
    <w:pPr>
      <w:snapToGrid w:val="0"/>
      <w:jc w:val="left"/>
    </w:pPr>
    <w:rPr>
      <w:sz w:val="18"/>
      <w:szCs w:val="18"/>
    </w:rPr>
  </w:style>
  <w:style w:type="paragraph" w:styleId="52">
    <w:name w:val="toc 6"/>
    <w:basedOn w:val="1"/>
    <w:next w:val="1"/>
    <w:qFormat/>
    <w:uiPriority w:val="39"/>
    <w:pPr>
      <w:ind w:left="1050"/>
      <w:jc w:val="left"/>
    </w:pPr>
    <w:rPr>
      <w:szCs w:val="21"/>
    </w:rPr>
  </w:style>
  <w:style w:type="paragraph" w:styleId="53">
    <w:name w:val="List 5"/>
    <w:basedOn w:val="1"/>
    <w:qFormat/>
    <w:uiPriority w:val="0"/>
    <w:pPr>
      <w:ind w:left="2100" w:hanging="420"/>
    </w:pPr>
    <w:rPr>
      <w:szCs w:val="24"/>
    </w:rPr>
  </w:style>
  <w:style w:type="paragraph" w:styleId="54">
    <w:name w:val="Body Text Indent 3"/>
    <w:basedOn w:val="1"/>
    <w:link w:val="109"/>
    <w:qFormat/>
    <w:uiPriority w:val="0"/>
    <w:pPr>
      <w:ind w:firstLine="645"/>
    </w:pPr>
    <w:rPr>
      <w:rFonts w:ascii="仿宋_GB2312" w:hAnsi="Arial" w:eastAsia="仿宋_GB2312"/>
      <w:color w:val="000000"/>
      <w:sz w:val="30"/>
    </w:rPr>
  </w:style>
  <w:style w:type="paragraph" w:styleId="55">
    <w:name w:val="index 7"/>
    <w:basedOn w:val="1"/>
    <w:next w:val="1"/>
    <w:qFormat/>
    <w:uiPriority w:val="0"/>
    <w:pPr>
      <w:ind w:left="1200" w:leftChars="1200"/>
    </w:pPr>
  </w:style>
  <w:style w:type="paragraph" w:styleId="56">
    <w:name w:val="index 9"/>
    <w:basedOn w:val="1"/>
    <w:next w:val="1"/>
    <w:qFormat/>
    <w:uiPriority w:val="0"/>
    <w:pPr>
      <w:ind w:left="1600" w:leftChars="1600"/>
    </w:pPr>
  </w:style>
  <w:style w:type="paragraph" w:styleId="57">
    <w:name w:val="table of figures"/>
    <w:basedOn w:val="1"/>
    <w:next w:val="1"/>
    <w:qFormat/>
    <w:uiPriority w:val="0"/>
    <w:pPr>
      <w:spacing w:line="360" w:lineRule="auto"/>
      <w:ind w:left="840" w:leftChars="200" w:hanging="420" w:hangingChars="200"/>
    </w:pPr>
    <w:rPr>
      <w:rFonts w:ascii="Arial" w:hAnsi="Arial" w:cs="宋体"/>
      <w:sz w:val="24"/>
    </w:rPr>
  </w:style>
  <w:style w:type="paragraph" w:styleId="58">
    <w:name w:val="toc 2"/>
    <w:basedOn w:val="1"/>
    <w:next w:val="1"/>
    <w:qFormat/>
    <w:uiPriority w:val="39"/>
    <w:pPr>
      <w:ind w:left="210"/>
      <w:jc w:val="left"/>
    </w:pPr>
    <w:rPr>
      <w:smallCaps/>
      <w:sz w:val="28"/>
      <w:szCs w:val="24"/>
    </w:rPr>
  </w:style>
  <w:style w:type="paragraph" w:styleId="59">
    <w:name w:val="toc 9"/>
    <w:basedOn w:val="1"/>
    <w:next w:val="1"/>
    <w:qFormat/>
    <w:uiPriority w:val="39"/>
    <w:pPr>
      <w:ind w:left="1680"/>
      <w:jc w:val="left"/>
    </w:pPr>
    <w:rPr>
      <w:szCs w:val="21"/>
    </w:rPr>
  </w:style>
  <w:style w:type="paragraph" w:styleId="60">
    <w:name w:val="List 4"/>
    <w:basedOn w:val="1"/>
    <w:qFormat/>
    <w:uiPriority w:val="0"/>
    <w:pPr>
      <w:ind w:left="1680" w:hanging="420"/>
    </w:pPr>
    <w:rPr>
      <w:szCs w:val="24"/>
    </w:rPr>
  </w:style>
  <w:style w:type="paragraph" w:styleId="61">
    <w:name w:val="List Continue 2"/>
    <w:basedOn w:val="1"/>
    <w:qFormat/>
    <w:uiPriority w:val="0"/>
    <w:pPr>
      <w:spacing w:after="120"/>
      <w:ind w:left="400" w:leftChars="400"/>
    </w:pPr>
    <w:rPr>
      <w:rFonts w:cs="Droid Sans"/>
      <w:sz w:val="18"/>
    </w:rPr>
  </w:style>
  <w:style w:type="paragraph" w:styleId="62">
    <w:name w:val="Message Header"/>
    <w:basedOn w:val="1"/>
    <w:link w:val="111"/>
    <w:qFormat/>
    <w:uiPriority w:val="99"/>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Cambria" w:hAnsi="Cambria"/>
      <w:sz w:val="24"/>
      <w:szCs w:val="24"/>
    </w:rPr>
  </w:style>
  <w:style w:type="paragraph" w:styleId="63">
    <w:name w:val="HTML Preformatted"/>
    <w:basedOn w:val="1"/>
    <w:link w:val="112"/>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paragraph" w:styleId="64">
    <w:name w:val="Normal (Web)"/>
    <w:basedOn w:val="1"/>
    <w:qFormat/>
    <w:uiPriority w:val="99"/>
    <w:pPr>
      <w:widowControl/>
      <w:spacing w:before="100" w:beforeAutospacing="1" w:after="100" w:afterAutospacing="1"/>
      <w:jc w:val="left"/>
    </w:pPr>
    <w:rPr>
      <w:rFonts w:ascii="宋体" w:hAnsi="宋体"/>
      <w:kern w:val="0"/>
      <w:sz w:val="24"/>
      <w:szCs w:val="24"/>
    </w:rPr>
  </w:style>
  <w:style w:type="paragraph" w:styleId="65">
    <w:name w:val="List Continue 3"/>
    <w:basedOn w:val="1"/>
    <w:qFormat/>
    <w:uiPriority w:val="0"/>
    <w:pPr>
      <w:spacing w:after="120"/>
      <w:ind w:left="600" w:leftChars="600"/>
    </w:pPr>
    <w:rPr>
      <w:rFonts w:cs="Droid Sans"/>
      <w:sz w:val="18"/>
    </w:rPr>
  </w:style>
  <w:style w:type="paragraph" w:styleId="66">
    <w:name w:val="index 2"/>
    <w:basedOn w:val="1"/>
    <w:next w:val="1"/>
    <w:qFormat/>
    <w:uiPriority w:val="0"/>
    <w:pPr>
      <w:ind w:left="200" w:leftChars="200"/>
    </w:pPr>
  </w:style>
  <w:style w:type="paragraph" w:styleId="67">
    <w:name w:val="Title"/>
    <w:basedOn w:val="2"/>
    <w:link w:val="113"/>
    <w:qFormat/>
    <w:uiPriority w:val="0"/>
    <w:pPr>
      <w:spacing w:before="120" w:after="120" w:line="360" w:lineRule="auto"/>
    </w:pPr>
    <w:rPr>
      <w:rFonts w:ascii="宋体" w:hAnsi="宋体"/>
      <w:bCs w:val="0"/>
      <w:sz w:val="32"/>
      <w:szCs w:val="20"/>
    </w:rPr>
  </w:style>
  <w:style w:type="paragraph" w:styleId="68">
    <w:name w:val="annotation subject"/>
    <w:basedOn w:val="21"/>
    <w:next w:val="21"/>
    <w:link w:val="114"/>
    <w:qFormat/>
    <w:uiPriority w:val="99"/>
    <w:rPr>
      <w:b/>
      <w:bCs/>
      <w:szCs w:val="24"/>
    </w:rPr>
  </w:style>
  <w:style w:type="paragraph" w:styleId="69">
    <w:name w:val="Body Text First Indent"/>
    <w:basedOn w:val="25"/>
    <w:next w:val="1"/>
    <w:link w:val="115"/>
    <w:qFormat/>
    <w:uiPriority w:val="0"/>
    <w:pPr>
      <w:autoSpaceDE w:val="0"/>
      <w:autoSpaceDN w:val="0"/>
      <w:adjustRightInd w:val="0"/>
      <w:spacing w:line="360" w:lineRule="auto"/>
      <w:ind w:right="-24" w:rightChars="-10" w:firstLine="425" w:firstLineChars="225"/>
    </w:pPr>
    <w:rPr>
      <w:rFonts w:ascii="Arial" w:eastAsia="仿宋_GB2312"/>
      <w:kern w:val="0"/>
      <w:sz w:val="24"/>
      <w:szCs w:val="32"/>
    </w:rPr>
  </w:style>
  <w:style w:type="paragraph" w:styleId="70">
    <w:name w:val="Body Text First Indent 2"/>
    <w:basedOn w:val="27"/>
    <w:next w:val="1"/>
    <w:link w:val="116"/>
    <w:qFormat/>
    <w:uiPriority w:val="0"/>
    <w:pPr>
      <w:spacing w:after="120"/>
      <w:ind w:left="420" w:firstLine="210"/>
    </w:pPr>
    <w:rPr>
      <w:rFonts w:ascii="Times New Roman"/>
    </w:rPr>
  </w:style>
  <w:style w:type="table" w:styleId="72">
    <w:name w:val="Table Grid"/>
    <w:basedOn w:val="7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4">
    <w:name w:val="Strong"/>
    <w:qFormat/>
    <w:uiPriority w:val="22"/>
    <w:rPr>
      <w:b/>
      <w:bCs/>
    </w:rPr>
  </w:style>
  <w:style w:type="character" w:styleId="75">
    <w:name w:val="page number"/>
    <w:qFormat/>
    <w:uiPriority w:val="0"/>
  </w:style>
  <w:style w:type="character" w:styleId="76">
    <w:name w:val="FollowedHyperlink"/>
    <w:qFormat/>
    <w:uiPriority w:val="0"/>
    <w:rPr>
      <w:color w:val="333333"/>
      <w:u w:val="none"/>
    </w:rPr>
  </w:style>
  <w:style w:type="character" w:styleId="77">
    <w:name w:val="Emphasis"/>
    <w:qFormat/>
    <w:uiPriority w:val="20"/>
    <w:rPr>
      <w:color w:val="CC0033"/>
    </w:rPr>
  </w:style>
  <w:style w:type="character" w:styleId="78">
    <w:name w:val="Hyperlink"/>
    <w:qFormat/>
    <w:uiPriority w:val="99"/>
    <w:rPr>
      <w:color w:val="333333"/>
      <w:u w:val="none"/>
    </w:rPr>
  </w:style>
  <w:style w:type="character" w:styleId="79">
    <w:name w:val="annotation reference"/>
    <w:qFormat/>
    <w:uiPriority w:val="99"/>
    <w:rPr>
      <w:sz w:val="21"/>
    </w:rPr>
  </w:style>
  <w:style w:type="paragraph" w:customStyle="1" w:styleId="80">
    <w:name w:val="无间隔1"/>
    <w:next w:val="16"/>
    <w:qFormat/>
    <w:uiPriority w:val="0"/>
    <w:pPr>
      <w:widowControl w:val="0"/>
      <w:jc w:val="both"/>
    </w:pPr>
    <w:rPr>
      <w:rFonts w:ascii="Times New Roman" w:hAnsi="Times New Roman" w:eastAsia="宋体" w:cs="Times New Roman"/>
      <w:kern w:val="2"/>
      <w:sz w:val="21"/>
      <w:szCs w:val="22"/>
      <w:lang w:val="en-US" w:eastAsia="zh-CN" w:bidi="ar-SA"/>
    </w:rPr>
  </w:style>
  <w:style w:type="character" w:customStyle="1" w:styleId="81">
    <w:name w:val="题注 Char"/>
    <w:link w:val="16"/>
    <w:qFormat/>
    <w:locked/>
    <w:uiPriority w:val="0"/>
    <w:rPr>
      <w:rFonts w:ascii="Cambria" w:hAnsi="Cambria" w:eastAsia="黑体"/>
      <w:kern w:val="2"/>
      <w:lang w:val="en-US" w:eastAsia="zh-CN" w:bidi="ar-SA"/>
    </w:rPr>
  </w:style>
  <w:style w:type="character" w:customStyle="1" w:styleId="82">
    <w:name w:val="标题 1 Char"/>
    <w:link w:val="2"/>
    <w:qFormat/>
    <w:uiPriority w:val="0"/>
    <w:rPr>
      <w:rFonts w:ascii="Times New Roman" w:hAnsi="Times New Roman" w:eastAsia="宋体"/>
      <w:b/>
      <w:bCs/>
      <w:kern w:val="44"/>
      <w:sz w:val="30"/>
      <w:szCs w:val="44"/>
    </w:rPr>
  </w:style>
  <w:style w:type="character" w:customStyle="1" w:styleId="83">
    <w:name w:val="标题 2 Char"/>
    <w:link w:val="3"/>
    <w:qFormat/>
    <w:uiPriority w:val="9"/>
    <w:rPr>
      <w:rFonts w:ascii="Arial" w:hAnsi="Arial" w:eastAsia="黑体"/>
      <w:b/>
      <w:bCs/>
      <w:kern w:val="2"/>
      <w:sz w:val="32"/>
      <w:szCs w:val="32"/>
    </w:rPr>
  </w:style>
  <w:style w:type="character" w:customStyle="1" w:styleId="84">
    <w:name w:val="标题 3 Char1"/>
    <w:link w:val="4"/>
    <w:qFormat/>
    <w:uiPriority w:val="0"/>
    <w:rPr>
      <w:rFonts w:ascii="宋体"/>
      <w:b/>
      <w:bCs/>
      <w:kern w:val="2"/>
      <w:sz w:val="32"/>
      <w:szCs w:val="32"/>
    </w:rPr>
  </w:style>
  <w:style w:type="character" w:customStyle="1" w:styleId="85">
    <w:name w:val="标题 4 Char"/>
    <w:link w:val="5"/>
    <w:qFormat/>
    <w:uiPriority w:val="0"/>
    <w:rPr>
      <w:rFonts w:ascii="Arial" w:hAnsi="Arial" w:eastAsia="黑体"/>
      <w:b/>
      <w:bCs/>
      <w:kern w:val="2"/>
      <w:sz w:val="28"/>
      <w:szCs w:val="28"/>
    </w:rPr>
  </w:style>
  <w:style w:type="character" w:customStyle="1" w:styleId="86">
    <w:name w:val="标题 5 Char"/>
    <w:link w:val="6"/>
    <w:qFormat/>
    <w:uiPriority w:val="0"/>
    <w:rPr>
      <w:rFonts w:ascii="宋体" w:hAnsi="Arial"/>
      <w:bCs/>
      <w:kern w:val="2"/>
      <w:sz w:val="28"/>
    </w:rPr>
  </w:style>
  <w:style w:type="character" w:customStyle="1" w:styleId="87">
    <w:name w:val="标题 6 Char"/>
    <w:link w:val="7"/>
    <w:qFormat/>
    <w:uiPriority w:val="0"/>
    <w:rPr>
      <w:rFonts w:ascii="宋体" w:hAnsi="宋体"/>
      <w:sz w:val="28"/>
    </w:rPr>
  </w:style>
  <w:style w:type="character" w:customStyle="1" w:styleId="88">
    <w:name w:val="标题 7 Char"/>
    <w:link w:val="8"/>
    <w:qFormat/>
    <w:uiPriority w:val="0"/>
    <w:rPr>
      <w:rFonts w:ascii="Arial" w:hAnsi="Arial" w:eastAsia="仿宋_GB2312" w:cs="Arial"/>
      <w:b/>
      <w:bCs/>
      <w:spacing w:val="-4"/>
      <w:kern w:val="2"/>
      <w:sz w:val="24"/>
      <w:szCs w:val="24"/>
    </w:rPr>
  </w:style>
  <w:style w:type="character" w:customStyle="1" w:styleId="89">
    <w:name w:val="标题 8 Char"/>
    <w:link w:val="9"/>
    <w:qFormat/>
    <w:uiPriority w:val="0"/>
    <w:rPr>
      <w:rFonts w:ascii="Arial" w:hAnsi="Arial" w:eastAsia="黑体"/>
      <w:kern w:val="2"/>
      <w:sz w:val="24"/>
      <w:szCs w:val="24"/>
    </w:rPr>
  </w:style>
  <w:style w:type="character" w:customStyle="1" w:styleId="90">
    <w:name w:val="标题 9 Char"/>
    <w:link w:val="10"/>
    <w:qFormat/>
    <w:uiPriority w:val="0"/>
    <w:rPr>
      <w:rFonts w:ascii="Arial" w:hAnsi="Arial" w:eastAsia="黑体"/>
      <w:kern w:val="2"/>
      <w:sz w:val="21"/>
      <w:szCs w:val="21"/>
    </w:rPr>
  </w:style>
  <w:style w:type="character" w:customStyle="1" w:styleId="91">
    <w:name w:val="正文缩进 Char"/>
    <w:link w:val="15"/>
    <w:qFormat/>
    <w:uiPriority w:val="0"/>
    <w:rPr>
      <w:rFonts w:ascii="宋体"/>
      <w:sz w:val="24"/>
    </w:rPr>
  </w:style>
  <w:style w:type="character" w:customStyle="1" w:styleId="92">
    <w:name w:val="文档结构图 Char"/>
    <w:link w:val="19"/>
    <w:qFormat/>
    <w:uiPriority w:val="0"/>
    <w:rPr>
      <w:kern w:val="2"/>
      <w:sz w:val="21"/>
      <w:shd w:val="clear" w:color="auto" w:fill="000080"/>
    </w:rPr>
  </w:style>
  <w:style w:type="character" w:customStyle="1" w:styleId="93">
    <w:name w:val="批注文字 Char"/>
    <w:link w:val="21"/>
    <w:qFormat/>
    <w:uiPriority w:val="0"/>
    <w:rPr>
      <w:kern w:val="2"/>
      <w:sz w:val="21"/>
    </w:rPr>
  </w:style>
  <w:style w:type="character" w:customStyle="1" w:styleId="94">
    <w:name w:val="正文文本 3 Char"/>
    <w:link w:val="23"/>
    <w:qFormat/>
    <w:uiPriority w:val="0"/>
    <w:rPr>
      <w:rFonts w:ascii="黑体" w:hAnsi="Arial" w:eastAsia="黑体"/>
      <w:b/>
      <w:kern w:val="2"/>
      <w:sz w:val="28"/>
      <w:lang w:val="en-US" w:eastAsia="zh-CN" w:bidi="ar-SA"/>
    </w:rPr>
  </w:style>
  <w:style w:type="character" w:customStyle="1" w:styleId="95">
    <w:name w:val="正文文本 Char4"/>
    <w:link w:val="25"/>
    <w:qFormat/>
    <w:uiPriority w:val="0"/>
    <w:rPr>
      <w:rFonts w:ascii="宋体" w:hAnsi="Arial"/>
      <w:kern w:val="2"/>
      <w:sz w:val="28"/>
    </w:rPr>
  </w:style>
  <w:style w:type="paragraph" w:customStyle="1" w:styleId="96">
    <w:name w:val="Default"/>
    <w:link w:val="97"/>
    <w:qFormat/>
    <w:uiPriority w:val="99"/>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97">
    <w:name w:val="Default Char"/>
    <w:link w:val="96"/>
    <w:qFormat/>
    <w:locked/>
    <w:uiPriority w:val="99"/>
    <w:rPr>
      <w:rFonts w:ascii="宋体" w:cs="宋体"/>
      <w:color w:val="000000"/>
      <w:sz w:val="24"/>
      <w:szCs w:val="24"/>
      <w:lang w:val="en-US" w:eastAsia="zh-CN" w:bidi="ar-SA"/>
    </w:rPr>
  </w:style>
  <w:style w:type="character" w:customStyle="1" w:styleId="98">
    <w:name w:val="正文文本缩进 Char3"/>
    <w:link w:val="27"/>
    <w:qFormat/>
    <w:uiPriority w:val="0"/>
    <w:rPr>
      <w:rFonts w:ascii="楷体_GB2312" w:eastAsia="楷体_GB2312"/>
      <w:kern w:val="2"/>
      <w:sz w:val="32"/>
    </w:rPr>
  </w:style>
  <w:style w:type="character" w:customStyle="1" w:styleId="99">
    <w:name w:val="目录 3 Char"/>
    <w:link w:val="35"/>
    <w:qFormat/>
    <w:locked/>
    <w:uiPriority w:val="0"/>
    <w:rPr>
      <w:rFonts w:eastAsia="宋体"/>
      <w:i/>
      <w:iCs/>
      <w:kern w:val="2"/>
      <w:sz w:val="21"/>
      <w:szCs w:val="24"/>
      <w:lang w:val="en-US" w:eastAsia="zh-CN" w:bidi="ar-SA"/>
    </w:rPr>
  </w:style>
  <w:style w:type="character" w:customStyle="1" w:styleId="100">
    <w:name w:val="纯文本 Char4"/>
    <w:link w:val="36"/>
    <w:qFormat/>
    <w:uiPriority w:val="0"/>
    <w:rPr>
      <w:rFonts w:ascii="宋体" w:hAnsi="Courier New"/>
      <w:kern w:val="2"/>
      <w:sz w:val="21"/>
    </w:rPr>
  </w:style>
  <w:style w:type="character" w:customStyle="1" w:styleId="101">
    <w:name w:val="日期 Char"/>
    <w:link w:val="39"/>
    <w:qFormat/>
    <w:uiPriority w:val="0"/>
    <w:rPr>
      <w:b/>
      <w:kern w:val="2"/>
      <w:sz w:val="28"/>
    </w:rPr>
  </w:style>
  <w:style w:type="character" w:customStyle="1" w:styleId="102">
    <w:name w:val="正文文本缩进 2 Char"/>
    <w:link w:val="40"/>
    <w:qFormat/>
    <w:uiPriority w:val="0"/>
    <w:rPr>
      <w:rFonts w:ascii="Arial" w:hAnsi="Arial" w:eastAsia="仿宋_GB2312"/>
      <w:kern w:val="2"/>
      <w:sz w:val="32"/>
    </w:rPr>
  </w:style>
  <w:style w:type="character" w:customStyle="1" w:styleId="103">
    <w:name w:val="批注框文本 Char4"/>
    <w:link w:val="41"/>
    <w:qFormat/>
    <w:uiPriority w:val="0"/>
    <w:rPr>
      <w:kern w:val="2"/>
      <w:sz w:val="18"/>
      <w:szCs w:val="18"/>
    </w:rPr>
  </w:style>
  <w:style w:type="character" w:customStyle="1" w:styleId="104">
    <w:name w:val="页脚 Char2"/>
    <w:link w:val="42"/>
    <w:qFormat/>
    <w:uiPriority w:val="0"/>
    <w:rPr>
      <w:kern w:val="2"/>
      <w:sz w:val="18"/>
    </w:rPr>
  </w:style>
  <w:style w:type="character" w:customStyle="1" w:styleId="105">
    <w:name w:val="页眉 Char2"/>
    <w:link w:val="43"/>
    <w:qFormat/>
    <w:uiPriority w:val="0"/>
    <w:rPr>
      <w:kern w:val="2"/>
      <w:sz w:val="18"/>
    </w:rPr>
  </w:style>
  <w:style w:type="character" w:customStyle="1" w:styleId="106">
    <w:name w:val="签名 Char"/>
    <w:link w:val="44"/>
    <w:qFormat/>
    <w:uiPriority w:val="0"/>
    <w:rPr>
      <w:rFonts w:cs="Droid Sans"/>
      <w:kern w:val="2"/>
      <w:sz w:val="18"/>
    </w:rPr>
  </w:style>
  <w:style w:type="character" w:customStyle="1" w:styleId="107">
    <w:name w:val="副标题 Char"/>
    <w:link w:val="49"/>
    <w:qFormat/>
    <w:uiPriority w:val="99"/>
    <w:rPr>
      <w:rFonts w:ascii="Cambria" w:hAnsi="Cambria"/>
      <w:b/>
      <w:bCs/>
      <w:kern w:val="28"/>
      <w:sz w:val="32"/>
      <w:szCs w:val="32"/>
    </w:rPr>
  </w:style>
  <w:style w:type="character" w:customStyle="1" w:styleId="108">
    <w:name w:val="脚注文本 Char"/>
    <w:link w:val="51"/>
    <w:qFormat/>
    <w:uiPriority w:val="99"/>
    <w:rPr>
      <w:kern w:val="2"/>
      <w:sz w:val="18"/>
      <w:szCs w:val="18"/>
    </w:rPr>
  </w:style>
  <w:style w:type="character" w:customStyle="1" w:styleId="109">
    <w:name w:val="正文文本缩进 3 Char"/>
    <w:link w:val="54"/>
    <w:qFormat/>
    <w:uiPriority w:val="0"/>
    <w:rPr>
      <w:rFonts w:ascii="仿宋_GB2312" w:hAnsi="Arial" w:eastAsia="仿宋_GB2312"/>
      <w:color w:val="000000"/>
      <w:kern w:val="2"/>
      <w:sz w:val="30"/>
      <w:lang w:val="en-US" w:eastAsia="zh-CN" w:bidi="ar-SA"/>
    </w:rPr>
  </w:style>
  <w:style w:type="character" w:customStyle="1" w:styleId="110">
    <w:name w:val="正文文本 2 Char"/>
    <w:link w:val="26"/>
    <w:qFormat/>
    <w:uiPriority w:val="0"/>
    <w:rPr>
      <w:rFonts w:ascii="仿宋_GB2312" w:eastAsia="仿宋_GB2312"/>
      <w:b/>
      <w:kern w:val="2"/>
      <w:sz w:val="24"/>
      <w:lang w:val="en-US" w:eastAsia="zh-CN" w:bidi="ar-SA"/>
    </w:rPr>
  </w:style>
  <w:style w:type="character" w:customStyle="1" w:styleId="111">
    <w:name w:val="信息标题 Char"/>
    <w:link w:val="62"/>
    <w:qFormat/>
    <w:uiPriority w:val="99"/>
    <w:rPr>
      <w:rFonts w:ascii="Cambria" w:hAnsi="Cambria" w:cs="Cambria"/>
      <w:kern w:val="2"/>
      <w:sz w:val="24"/>
      <w:szCs w:val="24"/>
      <w:shd w:val="pct20" w:color="auto" w:fill="auto"/>
    </w:rPr>
  </w:style>
  <w:style w:type="character" w:customStyle="1" w:styleId="112">
    <w:name w:val="HTML 预设格式 Char"/>
    <w:link w:val="63"/>
    <w:qFormat/>
    <w:uiPriority w:val="0"/>
    <w:rPr>
      <w:rFonts w:ascii="宋体" w:hAnsi="宋体" w:cs="宋体"/>
      <w:sz w:val="24"/>
      <w:szCs w:val="24"/>
    </w:rPr>
  </w:style>
  <w:style w:type="character" w:customStyle="1" w:styleId="113">
    <w:name w:val="标题 Char"/>
    <w:link w:val="67"/>
    <w:qFormat/>
    <w:uiPriority w:val="0"/>
    <w:rPr>
      <w:rFonts w:ascii="宋体" w:hAnsi="宋体"/>
      <w:b/>
      <w:kern w:val="44"/>
      <w:sz w:val="32"/>
    </w:rPr>
  </w:style>
  <w:style w:type="character" w:customStyle="1" w:styleId="114">
    <w:name w:val="批注主题 Char"/>
    <w:link w:val="68"/>
    <w:qFormat/>
    <w:uiPriority w:val="99"/>
    <w:rPr>
      <w:b/>
      <w:bCs/>
      <w:kern w:val="2"/>
      <w:sz w:val="21"/>
      <w:szCs w:val="24"/>
    </w:rPr>
  </w:style>
  <w:style w:type="character" w:customStyle="1" w:styleId="115">
    <w:name w:val="正文首行缩进 Char2"/>
    <w:link w:val="69"/>
    <w:qFormat/>
    <w:uiPriority w:val="0"/>
    <w:rPr>
      <w:rFonts w:ascii="Arial" w:hAnsi="Arial" w:eastAsia="仿宋_GB2312" w:cs="Arial"/>
      <w:sz w:val="24"/>
      <w:szCs w:val="32"/>
    </w:rPr>
  </w:style>
  <w:style w:type="character" w:customStyle="1" w:styleId="116">
    <w:name w:val="正文首行缩进 2 Char2"/>
    <w:link w:val="70"/>
    <w:qFormat/>
    <w:uiPriority w:val="0"/>
  </w:style>
  <w:style w:type="paragraph" w:customStyle="1" w:styleId="117">
    <w:name w:val="BodyText1I"/>
    <w:basedOn w:val="118"/>
    <w:qFormat/>
    <w:uiPriority w:val="99"/>
    <w:pPr>
      <w:ind w:firstLine="420" w:firstLineChars="100"/>
    </w:pPr>
  </w:style>
  <w:style w:type="paragraph" w:customStyle="1" w:styleId="118">
    <w:name w:val="BodyText"/>
    <w:basedOn w:val="1"/>
    <w:qFormat/>
    <w:uiPriority w:val="99"/>
    <w:pPr>
      <w:spacing w:after="120"/>
    </w:pPr>
  </w:style>
  <w:style w:type="character" w:customStyle="1" w:styleId="119">
    <w:name w:val="blue1"/>
    <w:qFormat/>
    <w:uiPriority w:val="0"/>
    <w:rPr>
      <w:color w:val="06487A"/>
      <w:sz w:val="19"/>
      <w:szCs w:val="19"/>
    </w:rPr>
  </w:style>
  <w:style w:type="character" w:customStyle="1" w:styleId="120">
    <w:name w:val="明显引用 Char2"/>
    <w:qFormat/>
    <w:uiPriority w:val="0"/>
    <w:rPr>
      <w:b/>
      <w:bCs/>
      <w:i/>
      <w:iCs/>
      <w:color w:val="4F81BD"/>
      <w:kern w:val="2"/>
      <w:sz w:val="21"/>
      <w:szCs w:val="24"/>
    </w:rPr>
  </w:style>
  <w:style w:type="character" w:customStyle="1" w:styleId="121">
    <w:name w:val="style231"/>
    <w:qFormat/>
    <w:uiPriority w:val="0"/>
    <w:rPr>
      <w:b/>
      <w:bCs/>
      <w:color w:val="FF0000"/>
      <w:sz w:val="16"/>
      <w:szCs w:val="16"/>
    </w:rPr>
  </w:style>
  <w:style w:type="character" w:customStyle="1" w:styleId="122">
    <w:name w:val="Heading 2 Char"/>
    <w:qFormat/>
    <w:locked/>
    <w:uiPriority w:val="0"/>
    <w:rPr>
      <w:rFonts w:ascii="Cambria" w:hAnsi="Cambria" w:eastAsia="宋体" w:cs="Times New Roman"/>
      <w:b/>
      <w:bCs/>
      <w:sz w:val="32"/>
      <w:szCs w:val="32"/>
    </w:rPr>
  </w:style>
  <w:style w:type="character" w:customStyle="1" w:styleId="123">
    <w:name w:val="op-map-singlepoint-info-right1"/>
    <w:qFormat/>
    <w:uiPriority w:val="0"/>
  </w:style>
  <w:style w:type="character" w:customStyle="1" w:styleId="124">
    <w:name w:val="Table Text Char1"/>
    <w:link w:val="125"/>
    <w:qFormat/>
    <w:uiPriority w:val="0"/>
    <w:rPr>
      <w:rFonts w:ascii="Arial" w:hAnsi="Arial"/>
      <w:kern w:val="2"/>
      <w:sz w:val="18"/>
      <w:szCs w:val="18"/>
      <w:lang w:val="en-US" w:eastAsia="zh-CN" w:bidi="ar-SA"/>
    </w:rPr>
  </w:style>
  <w:style w:type="paragraph" w:customStyle="1" w:styleId="125">
    <w:name w:val="Table Text"/>
    <w:link w:val="124"/>
    <w:qFormat/>
    <w:uiPriority w:val="0"/>
    <w:pPr>
      <w:snapToGrid w:val="0"/>
      <w:spacing w:before="80" w:after="80"/>
    </w:pPr>
    <w:rPr>
      <w:rFonts w:ascii="Arial" w:hAnsi="Arial" w:eastAsia="宋体" w:cs="Times New Roman"/>
      <w:kern w:val="2"/>
      <w:sz w:val="18"/>
      <w:szCs w:val="18"/>
      <w:lang w:val="en-US" w:eastAsia="zh-CN" w:bidi="ar-SA"/>
    </w:rPr>
  </w:style>
  <w:style w:type="character" w:customStyle="1" w:styleId="126">
    <w:name w:val="Title Char1"/>
    <w:qFormat/>
    <w:locked/>
    <w:uiPriority w:val="0"/>
    <w:rPr>
      <w:rFonts w:ascii="Cambria" w:hAnsi="Cambria" w:cs="Times New Roman"/>
      <w:b/>
      <w:bCs/>
      <w:sz w:val="32"/>
      <w:szCs w:val="32"/>
    </w:rPr>
  </w:style>
  <w:style w:type="character" w:customStyle="1" w:styleId="127">
    <w:name w:val="para"/>
    <w:qFormat/>
    <w:uiPriority w:val="0"/>
  </w:style>
  <w:style w:type="character" w:customStyle="1" w:styleId="128">
    <w:name w:val="页眉 Char"/>
    <w:qFormat/>
    <w:uiPriority w:val="0"/>
    <w:rPr>
      <w:kern w:val="2"/>
      <w:sz w:val="18"/>
      <w:szCs w:val="18"/>
    </w:rPr>
  </w:style>
  <w:style w:type="character" w:customStyle="1" w:styleId="129">
    <w:name w:val="正文文本 Char2"/>
    <w:qFormat/>
    <w:uiPriority w:val="0"/>
    <w:rPr>
      <w:kern w:val="2"/>
      <w:sz w:val="21"/>
      <w:szCs w:val="24"/>
    </w:rPr>
  </w:style>
  <w:style w:type="character" w:customStyle="1" w:styleId="130">
    <w:name w:val="正文文本 Char3"/>
    <w:qFormat/>
    <w:uiPriority w:val="0"/>
    <w:rPr>
      <w:kern w:val="2"/>
      <w:sz w:val="21"/>
    </w:rPr>
  </w:style>
  <w:style w:type="character" w:customStyle="1" w:styleId="131">
    <w:name w:val="副标题 Char3"/>
    <w:qFormat/>
    <w:uiPriority w:val="11"/>
    <w:rPr>
      <w:rFonts w:ascii="Cambria" w:hAnsi="Cambria" w:cs="Times New Roman"/>
      <w:b/>
      <w:bCs/>
      <w:kern w:val="28"/>
      <w:sz w:val="32"/>
      <w:szCs w:val="32"/>
    </w:rPr>
  </w:style>
  <w:style w:type="character" w:customStyle="1" w:styleId="132">
    <w:name w:val="正文文本缩进 Char2"/>
    <w:semiHidden/>
    <w:qFormat/>
    <w:uiPriority w:val="99"/>
    <w:rPr>
      <w:kern w:val="2"/>
      <w:sz w:val="21"/>
      <w:szCs w:val="24"/>
    </w:rPr>
  </w:style>
  <w:style w:type="character" w:customStyle="1" w:styleId="133">
    <w:name w:val="_Style 132"/>
    <w:qFormat/>
    <w:uiPriority w:val="0"/>
    <w:rPr>
      <w:b/>
      <w:bCs/>
      <w:smallCaps/>
      <w:spacing w:val="5"/>
    </w:rPr>
  </w:style>
  <w:style w:type="character" w:customStyle="1" w:styleId="134">
    <w:name w:val="Comment Subject Char"/>
    <w:qFormat/>
    <w:locked/>
    <w:uiPriority w:val="0"/>
    <w:rPr>
      <w:rFonts w:ascii="宋体" w:hAnsi="Times New Roman"/>
      <w:b/>
      <w:sz w:val="28"/>
    </w:rPr>
  </w:style>
  <w:style w:type="character" w:customStyle="1" w:styleId="135">
    <w:name w:val="s011"/>
    <w:qFormat/>
    <w:uiPriority w:val="0"/>
    <w:rPr>
      <w:rFonts w:hint="eastAsia" w:ascii="宋体" w:hAnsi="宋体" w:eastAsia="宋体"/>
      <w:color w:val="000000"/>
      <w:sz w:val="20"/>
      <w:szCs w:val="20"/>
      <w:u w:val="none"/>
    </w:rPr>
  </w:style>
  <w:style w:type="character" w:customStyle="1" w:styleId="136">
    <w:name w:val="批注框文本 Char1"/>
    <w:qFormat/>
    <w:uiPriority w:val="0"/>
    <w:rPr>
      <w:kern w:val="2"/>
      <w:sz w:val="18"/>
      <w:szCs w:val="18"/>
    </w:rPr>
  </w:style>
  <w:style w:type="character" w:customStyle="1" w:styleId="137">
    <w:name w:val="HTML 预设格式 Char1"/>
    <w:semiHidden/>
    <w:qFormat/>
    <w:uiPriority w:val="99"/>
    <w:rPr>
      <w:rFonts w:ascii="Courier New" w:hAnsi="Courier New" w:cs="Courier New"/>
      <w:kern w:val="2"/>
    </w:rPr>
  </w:style>
  <w:style w:type="character" w:customStyle="1" w:styleId="138">
    <w:name w:val="列出段落 Char"/>
    <w:qFormat/>
    <w:locked/>
    <w:uiPriority w:val="34"/>
    <w:rPr>
      <w:rFonts w:ascii="Calibri" w:hAnsi="Calibri"/>
      <w:sz w:val="22"/>
      <w:szCs w:val="22"/>
    </w:rPr>
  </w:style>
  <w:style w:type="character" w:customStyle="1" w:styleId="139">
    <w:name w:val="shouchang1"/>
    <w:qFormat/>
    <w:uiPriority w:val="0"/>
    <w:rPr>
      <w:color w:val="000000"/>
      <w:sz w:val="11"/>
      <w:szCs w:val="11"/>
      <w:u w:val="none"/>
    </w:rPr>
  </w:style>
  <w:style w:type="character" w:customStyle="1" w:styleId="140">
    <w:name w:val="普通文字 Char Char Char"/>
    <w:qFormat/>
    <w:uiPriority w:val="0"/>
    <w:rPr>
      <w:rFonts w:ascii="宋体" w:hAnsi="Courier New" w:eastAsia="宋体" w:cs="Courier New"/>
      <w:kern w:val="2"/>
      <w:sz w:val="21"/>
      <w:szCs w:val="21"/>
      <w:lang w:val="en-US" w:eastAsia="zh-CN" w:bidi="ar-SA"/>
    </w:rPr>
  </w:style>
  <w:style w:type="character" w:customStyle="1" w:styleId="141">
    <w:name w:val="Quote Char1"/>
    <w:qFormat/>
    <w:locked/>
    <w:uiPriority w:val="0"/>
    <w:rPr>
      <w:rFonts w:cs="Times New Roman"/>
      <w:i/>
      <w:iCs/>
      <w:color w:val="000000"/>
    </w:rPr>
  </w:style>
  <w:style w:type="character" w:customStyle="1" w:styleId="142">
    <w:name w:val="纯文本 Char"/>
    <w:qFormat/>
    <w:uiPriority w:val="99"/>
    <w:rPr>
      <w:rFonts w:ascii="宋体" w:hAnsi="Courier New" w:eastAsia="宋体" w:cs="Courier New"/>
      <w:sz w:val="21"/>
      <w:szCs w:val="21"/>
    </w:rPr>
  </w:style>
  <w:style w:type="character" w:customStyle="1" w:styleId="143">
    <w:name w:val="标题4 Char"/>
    <w:qFormat/>
    <w:locked/>
    <w:uiPriority w:val="0"/>
    <w:rPr>
      <w:rFonts w:ascii="Times New Roman" w:hAnsi="Times New Roman" w:eastAsia="宋体" w:cs="Times New Roman"/>
      <w:b/>
      <w:sz w:val="24"/>
      <w:szCs w:val="24"/>
    </w:rPr>
  </w:style>
  <w:style w:type="character" w:customStyle="1" w:styleId="144">
    <w:name w:val="纯文本 Char2"/>
    <w:qFormat/>
    <w:uiPriority w:val="0"/>
    <w:rPr>
      <w:rFonts w:ascii="宋体" w:hAnsi="Courier New" w:cs="Courier New"/>
      <w:kern w:val="2"/>
      <w:sz w:val="21"/>
      <w:szCs w:val="21"/>
    </w:rPr>
  </w:style>
  <w:style w:type="character" w:customStyle="1" w:styleId="145">
    <w:name w:val="font1"/>
    <w:qFormat/>
    <w:uiPriority w:val="0"/>
    <w:rPr>
      <w:sz w:val="18"/>
      <w:szCs w:val="18"/>
    </w:rPr>
  </w:style>
  <w:style w:type="character" w:customStyle="1" w:styleId="146">
    <w:name w:val="标题1级 Char"/>
    <w:link w:val="147"/>
    <w:qFormat/>
    <w:locked/>
    <w:uiPriority w:val="0"/>
    <w:rPr>
      <w:rFonts w:ascii="Arial" w:hAnsi="Arial" w:eastAsia="宋体" w:cs="宋体"/>
      <w:b/>
      <w:kern w:val="2"/>
      <w:sz w:val="30"/>
      <w:szCs w:val="30"/>
    </w:rPr>
  </w:style>
  <w:style w:type="paragraph" w:customStyle="1" w:styleId="147">
    <w:name w:val="标题1级"/>
    <w:basedOn w:val="148"/>
    <w:link w:val="146"/>
    <w:qFormat/>
    <w:uiPriority w:val="0"/>
    <w:pPr>
      <w:numPr>
        <w:ilvl w:val="0"/>
        <w:numId w:val="3"/>
      </w:numPr>
      <w:ind w:firstLine="0" w:firstLineChars="0"/>
      <w:outlineLvl w:val="0"/>
    </w:pPr>
    <w:rPr>
      <w:rFonts w:ascii="Arial" w:hAnsi="Arial"/>
      <w:b/>
      <w:sz w:val="30"/>
      <w:szCs w:val="30"/>
    </w:rPr>
  </w:style>
  <w:style w:type="paragraph" w:customStyle="1" w:styleId="148">
    <w:name w:val="列出段落1"/>
    <w:basedOn w:val="1"/>
    <w:qFormat/>
    <w:uiPriority w:val="34"/>
    <w:pPr>
      <w:ind w:firstLine="200" w:firstLineChars="200"/>
    </w:pPr>
  </w:style>
  <w:style w:type="character" w:customStyle="1" w:styleId="149">
    <w:name w:val="批注文字 Char Char"/>
    <w:qFormat/>
    <w:uiPriority w:val="0"/>
    <w:rPr>
      <w:rFonts w:ascii="宋体" w:hAnsi="Times New Roman" w:eastAsia="宋体" w:cs="Times New Roman"/>
      <w:sz w:val="28"/>
      <w:szCs w:val="20"/>
    </w:rPr>
  </w:style>
  <w:style w:type="character" w:customStyle="1" w:styleId="150">
    <w:name w:val="Char Char3"/>
    <w:qFormat/>
    <w:uiPriority w:val="0"/>
    <w:rPr>
      <w:rFonts w:ascii="宋体" w:hAnsi="Courier New" w:eastAsia="幼圆"/>
      <w:kern w:val="2"/>
      <w:sz w:val="21"/>
    </w:rPr>
  </w:style>
  <w:style w:type="character" w:customStyle="1" w:styleId="151">
    <w:name w:val="批注框文本 Char2"/>
    <w:qFormat/>
    <w:uiPriority w:val="0"/>
    <w:rPr>
      <w:kern w:val="2"/>
      <w:sz w:val="18"/>
      <w:szCs w:val="18"/>
    </w:rPr>
  </w:style>
  <w:style w:type="character" w:customStyle="1" w:styleId="152">
    <w:name w:val="huei12b1"/>
    <w:qFormat/>
    <w:uiPriority w:val="0"/>
    <w:rPr>
      <w:b/>
      <w:bCs/>
      <w:color w:val="333333"/>
      <w:sz w:val="18"/>
      <w:szCs w:val="18"/>
    </w:rPr>
  </w:style>
  <w:style w:type="character" w:customStyle="1" w:styleId="153">
    <w:name w:val="纯文本 Char3"/>
    <w:semiHidden/>
    <w:qFormat/>
    <w:uiPriority w:val="99"/>
    <w:rPr>
      <w:rFonts w:ascii="宋体" w:hAnsi="Courier New" w:cs="Courier New"/>
      <w:kern w:val="2"/>
      <w:sz w:val="21"/>
      <w:szCs w:val="21"/>
    </w:rPr>
  </w:style>
  <w:style w:type="character" w:customStyle="1" w:styleId="154">
    <w:name w:val="标题 2 Char Char Char Char"/>
    <w:qFormat/>
    <w:uiPriority w:val="0"/>
    <w:rPr>
      <w:rFonts w:ascii="Arial" w:hAnsi="Arial" w:eastAsia="黑体"/>
      <w:b/>
      <w:bCs/>
      <w:kern w:val="2"/>
      <w:sz w:val="32"/>
      <w:szCs w:val="32"/>
      <w:lang w:val="en-US" w:eastAsia="zh-CN" w:bidi="ar-SA"/>
    </w:rPr>
  </w:style>
  <w:style w:type="character" w:customStyle="1" w:styleId="155">
    <w:name w:val="hei16b1"/>
    <w:qFormat/>
    <w:uiPriority w:val="0"/>
    <w:rPr>
      <w:rFonts w:hint="default" w:ascii="Arial" w:hAnsi="Arial" w:cs="Arial"/>
      <w:b/>
      <w:bCs/>
      <w:color w:val="000000"/>
      <w:sz w:val="23"/>
      <w:szCs w:val="23"/>
    </w:rPr>
  </w:style>
  <w:style w:type="character" w:customStyle="1" w:styleId="156">
    <w:name w:val="正文文本缩进 Char"/>
    <w:qFormat/>
    <w:uiPriority w:val="0"/>
    <w:rPr>
      <w:kern w:val="2"/>
      <w:sz w:val="21"/>
      <w:szCs w:val="24"/>
    </w:rPr>
  </w:style>
  <w:style w:type="character" w:customStyle="1" w:styleId="157">
    <w:name w:val="4级标题 Char"/>
    <w:link w:val="158"/>
    <w:qFormat/>
    <w:locked/>
    <w:uiPriority w:val="0"/>
  </w:style>
  <w:style w:type="paragraph" w:customStyle="1" w:styleId="158">
    <w:name w:val="4级标题"/>
    <w:basedOn w:val="159"/>
    <w:link w:val="157"/>
    <w:qFormat/>
    <w:uiPriority w:val="0"/>
    <w:pPr>
      <w:numPr>
        <w:ilvl w:val="3"/>
      </w:numPr>
      <w:ind w:left="1680" w:hanging="420"/>
      <w:outlineLvl w:val="3"/>
    </w:pPr>
  </w:style>
  <w:style w:type="paragraph" w:customStyle="1" w:styleId="159">
    <w:name w:val="3级标题"/>
    <w:basedOn w:val="148"/>
    <w:link w:val="160"/>
    <w:qFormat/>
    <w:uiPriority w:val="0"/>
    <w:pPr>
      <w:numPr>
        <w:ilvl w:val="2"/>
        <w:numId w:val="3"/>
      </w:numPr>
      <w:ind w:firstLine="0" w:firstLineChars="0"/>
      <w:outlineLvl w:val="2"/>
    </w:pPr>
    <w:rPr>
      <w:rFonts w:ascii="Arial" w:hAnsi="Arial"/>
      <w:b/>
      <w:sz w:val="32"/>
      <w:szCs w:val="32"/>
    </w:rPr>
  </w:style>
  <w:style w:type="character" w:customStyle="1" w:styleId="160">
    <w:name w:val="3级标题 Char"/>
    <w:link w:val="159"/>
    <w:qFormat/>
    <w:locked/>
    <w:uiPriority w:val="0"/>
    <w:rPr>
      <w:rFonts w:ascii="Arial" w:hAnsi="Arial" w:eastAsia="宋体" w:cs="宋体"/>
      <w:b/>
      <w:kern w:val="2"/>
      <w:sz w:val="32"/>
      <w:szCs w:val="32"/>
    </w:rPr>
  </w:style>
  <w:style w:type="character" w:customStyle="1" w:styleId="161">
    <w:name w:val="Heading 4 Char"/>
    <w:qFormat/>
    <w:locked/>
    <w:uiPriority w:val="0"/>
    <w:rPr>
      <w:rFonts w:ascii="Cambria" w:hAnsi="Cambria" w:eastAsia="宋体" w:cs="Times New Roman"/>
      <w:b/>
      <w:bCs/>
      <w:sz w:val="28"/>
      <w:szCs w:val="28"/>
    </w:rPr>
  </w:style>
  <w:style w:type="character" w:customStyle="1" w:styleId="162">
    <w:name w:val="p121"/>
    <w:qFormat/>
    <w:uiPriority w:val="0"/>
    <w:rPr>
      <w:sz w:val="18"/>
      <w:szCs w:val="18"/>
      <w:u w:val="none"/>
    </w:rPr>
  </w:style>
  <w:style w:type="character" w:customStyle="1" w:styleId="163">
    <w:name w:val="正文首行缩进 2 Char"/>
    <w:qFormat/>
    <w:uiPriority w:val="0"/>
    <w:rPr>
      <w:rFonts w:ascii="等线" w:hAnsi="等线" w:eastAsia="等线"/>
      <w:kern w:val="2"/>
      <w:sz w:val="21"/>
      <w:szCs w:val="24"/>
    </w:rPr>
  </w:style>
  <w:style w:type="character" w:customStyle="1" w:styleId="164">
    <w:name w:val="Intense Quote Char2"/>
    <w:link w:val="165"/>
    <w:qFormat/>
    <w:locked/>
    <w:uiPriority w:val="0"/>
    <w:rPr>
      <w:rFonts w:ascii="Calibri" w:hAnsi="Calibri"/>
      <w:b/>
      <w:i/>
      <w:color w:val="4F81BD"/>
    </w:rPr>
  </w:style>
  <w:style w:type="paragraph" w:customStyle="1" w:styleId="165">
    <w:name w:val="明显引用1"/>
    <w:basedOn w:val="1"/>
    <w:next w:val="1"/>
    <w:link w:val="164"/>
    <w:qFormat/>
    <w:uiPriority w:val="0"/>
    <w:pPr>
      <w:pBdr>
        <w:bottom w:val="single" w:color="4F81BD" w:sz="4" w:space="4"/>
      </w:pBdr>
      <w:spacing w:before="200" w:after="280"/>
      <w:ind w:left="936" w:right="936"/>
    </w:pPr>
    <w:rPr>
      <w:rFonts w:ascii="Calibri" w:hAnsi="Calibri"/>
      <w:b/>
      <w:i/>
      <w:color w:val="4F81BD"/>
      <w:kern w:val="0"/>
      <w:sz w:val="20"/>
    </w:rPr>
  </w:style>
  <w:style w:type="character" w:customStyle="1" w:styleId="166">
    <w:name w:val="contentlabel"/>
    <w:qFormat/>
    <w:uiPriority w:val="0"/>
  </w:style>
  <w:style w:type="character" w:customStyle="1" w:styleId="167">
    <w:name w:val="textcontents"/>
    <w:qFormat/>
    <w:uiPriority w:val="0"/>
    <w:rPr>
      <w:rFonts w:cs="Times New Roman"/>
    </w:rPr>
  </w:style>
  <w:style w:type="character" w:customStyle="1" w:styleId="168">
    <w:name w:val="15"/>
    <w:qFormat/>
    <w:uiPriority w:val="0"/>
    <w:rPr>
      <w:rFonts w:hint="default" w:ascii="Times New Roman" w:hAnsi="Times New Roman" w:eastAsia="宋体" w:cs="Times New Roman"/>
      <w:kern w:val="2"/>
      <w:sz w:val="21"/>
      <w:szCs w:val="21"/>
    </w:rPr>
  </w:style>
  <w:style w:type="character" w:customStyle="1" w:styleId="169">
    <w:name w:val="z-窗体顶端 Char1"/>
    <w:qFormat/>
    <w:uiPriority w:val="0"/>
    <w:rPr>
      <w:rFonts w:ascii="Arial" w:hAnsi="Arial" w:cs="Arial"/>
      <w:vanish/>
      <w:kern w:val="2"/>
      <w:sz w:val="16"/>
      <w:szCs w:val="16"/>
    </w:rPr>
  </w:style>
  <w:style w:type="character" w:customStyle="1" w:styleId="170">
    <w:name w:val="Heading 7 Char"/>
    <w:qFormat/>
    <w:locked/>
    <w:uiPriority w:val="0"/>
    <w:rPr>
      <w:rFonts w:ascii="Calibri" w:hAnsi="Calibri" w:eastAsia="宋体" w:cs="Times New Roman"/>
      <w:b/>
      <w:bCs/>
      <w:sz w:val="24"/>
      <w:szCs w:val="24"/>
    </w:rPr>
  </w:style>
  <w:style w:type="character" w:customStyle="1" w:styleId="171">
    <w:name w:val="leftdt1"/>
    <w:qFormat/>
    <w:uiPriority w:val="0"/>
    <w:rPr>
      <w:b/>
      <w:bCs/>
      <w:color w:val="474747"/>
    </w:rPr>
  </w:style>
  <w:style w:type="character" w:customStyle="1" w:styleId="172">
    <w:name w:val="point_normal"/>
    <w:qFormat/>
    <w:uiPriority w:val="0"/>
  </w:style>
  <w:style w:type="character" w:customStyle="1" w:styleId="173">
    <w:name w:val="标准正文 Char"/>
    <w:link w:val="174"/>
    <w:qFormat/>
    <w:locked/>
    <w:uiPriority w:val="0"/>
    <w:rPr>
      <w:rFonts w:eastAsia="宋体"/>
      <w:lang w:val="en-US" w:eastAsia="zh-CN" w:bidi="ar-SA"/>
    </w:rPr>
  </w:style>
  <w:style w:type="paragraph" w:customStyle="1" w:styleId="174">
    <w:name w:val="标准正文"/>
    <w:basedOn w:val="1"/>
    <w:link w:val="173"/>
    <w:qFormat/>
    <w:uiPriority w:val="0"/>
    <w:pPr>
      <w:spacing w:before="156" w:after="156" w:line="360" w:lineRule="auto"/>
      <w:ind w:firstLine="480" w:firstLineChars="200"/>
    </w:pPr>
    <w:rPr>
      <w:kern w:val="0"/>
      <w:sz w:val="20"/>
    </w:rPr>
  </w:style>
  <w:style w:type="character" w:customStyle="1" w:styleId="175">
    <w:name w:val="Plain Text Char"/>
    <w:qFormat/>
    <w:locked/>
    <w:uiPriority w:val="0"/>
    <w:rPr>
      <w:rFonts w:ascii="宋体" w:hAnsi="Courier New" w:eastAsia="宋体" w:cs="宋体"/>
      <w:kern w:val="0"/>
      <w:sz w:val="20"/>
      <w:szCs w:val="20"/>
    </w:rPr>
  </w:style>
  <w:style w:type="character" w:customStyle="1" w:styleId="176">
    <w:name w:val="Char Char30"/>
    <w:qFormat/>
    <w:uiPriority w:val="0"/>
    <w:rPr>
      <w:b/>
      <w:bCs/>
      <w:kern w:val="44"/>
      <w:sz w:val="44"/>
      <w:szCs w:val="44"/>
    </w:rPr>
  </w:style>
  <w:style w:type="character" w:customStyle="1" w:styleId="177">
    <w:name w:val="明显参考1"/>
    <w:qFormat/>
    <w:uiPriority w:val="0"/>
    <w:rPr>
      <w:rFonts w:cs="Times New Roman"/>
      <w:b/>
      <w:smallCaps/>
      <w:color w:val="C0504D"/>
      <w:spacing w:val="5"/>
      <w:u w:val="single"/>
    </w:rPr>
  </w:style>
  <w:style w:type="character" w:customStyle="1" w:styleId="178">
    <w:name w:val="p21"/>
    <w:qFormat/>
    <w:uiPriority w:val="0"/>
    <w:rPr>
      <w:color w:val="000000"/>
      <w:sz w:val="24"/>
      <w:szCs w:val="24"/>
    </w:rPr>
  </w:style>
  <w:style w:type="character" w:customStyle="1" w:styleId="179">
    <w:name w:val="font81"/>
    <w:qFormat/>
    <w:uiPriority w:val="0"/>
    <w:rPr>
      <w:rFonts w:hint="eastAsia" w:ascii="宋体" w:hAnsi="宋体" w:eastAsia="宋体" w:cs="宋体"/>
      <w:color w:val="000000"/>
      <w:sz w:val="18"/>
      <w:szCs w:val="18"/>
      <w:u w:val="none"/>
    </w:rPr>
  </w:style>
  <w:style w:type="character" w:customStyle="1" w:styleId="180">
    <w:name w:val="符号样式 Char"/>
    <w:link w:val="181"/>
    <w:qFormat/>
    <w:locked/>
    <w:uiPriority w:val="0"/>
    <w:rPr>
      <w:rFonts w:ascii="Arial" w:hAnsi="Arial" w:cs="宋体"/>
      <w:kern w:val="2"/>
      <w:sz w:val="24"/>
    </w:rPr>
  </w:style>
  <w:style w:type="paragraph" w:customStyle="1" w:styleId="181">
    <w:name w:val="符号样式"/>
    <w:basedOn w:val="182"/>
    <w:link w:val="180"/>
    <w:qFormat/>
    <w:uiPriority w:val="0"/>
    <w:pPr>
      <w:numPr>
        <w:numId w:val="0"/>
      </w:numPr>
      <w:ind w:left="840" w:firstLine="288" w:firstLineChars="200"/>
      <w:jc w:val="left"/>
    </w:pPr>
    <w:rPr>
      <w:rFonts w:cs="Times New Roman"/>
    </w:rPr>
  </w:style>
  <w:style w:type="paragraph" w:customStyle="1" w:styleId="182">
    <w:name w:val="编号，小四"/>
    <w:basedOn w:val="1"/>
    <w:qFormat/>
    <w:uiPriority w:val="0"/>
    <w:pPr>
      <w:numPr>
        <w:ilvl w:val="0"/>
        <w:numId w:val="4"/>
      </w:numPr>
      <w:spacing w:line="360" w:lineRule="auto"/>
      <w:ind w:left="0" w:firstLine="200" w:firstLineChars="200"/>
    </w:pPr>
    <w:rPr>
      <w:rFonts w:ascii="Arial" w:hAnsi="Arial" w:cs="宋体"/>
      <w:sz w:val="24"/>
    </w:rPr>
  </w:style>
  <w:style w:type="character" w:customStyle="1" w:styleId="183">
    <w:name w:val="param-value1"/>
    <w:qFormat/>
    <w:uiPriority w:val="0"/>
    <w:rPr>
      <w:color w:val="333333"/>
    </w:rPr>
  </w:style>
  <w:style w:type="character" w:customStyle="1" w:styleId="184">
    <w:name w:val="z-窗体底端 Char2"/>
    <w:qFormat/>
    <w:uiPriority w:val="99"/>
    <w:rPr>
      <w:rFonts w:ascii="Arial" w:hAnsi="Arial" w:cs="Arial"/>
      <w:vanish/>
      <w:kern w:val="2"/>
      <w:sz w:val="16"/>
      <w:szCs w:val="16"/>
    </w:rPr>
  </w:style>
  <w:style w:type="character" w:customStyle="1" w:styleId="185">
    <w:name w:val="1级标题 Char"/>
    <w:link w:val="186"/>
    <w:qFormat/>
    <w:locked/>
    <w:uiPriority w:val="0"/>
  </w:style>
  <w:style w:type="paragraph" w:customStyle="1" w:styleId="186">
    <w:name w:val="1级标题"/>
    <w:basedOn w:val="147"/>
    <w:link w:val="185"/>
    <w:qFormat/>
    <w:uiPriority w:val="0"/>
  </w:style>
  <w:style w:type="character" w:customStyle="1" w:styleId="187">
    <w:name w:val="Subtitle Char"/>
    <w:qFormat/>
    <w:locked/>
    <w:uiPriority w:val="0"/>
    <w:rPr>
      <w:rFonts w:ascii="Cambria" w:hAnsi="Cambria"/>
      <w:b/>
      <w:kern w:val="28"/>
      <w:sz w:val="32"/>
    </w:rPr>
  </w:style>
  <w:style w:type="character" w:customStyle="1" w:styleId="188">
    <w:name w:val="Body Text Char"/>
    <w:qFormat/>
    <w:locked/>
    <w:uiPriority w:val="0"/>
    <w:rPr>
      <w:rFonts w:ascii="Times New Roman" w:hAnsi="Times New Roman"/>
    </w:rPr>
  </w:style>
  <w:style w:type="character" w:customStyle="1" w:styleId="189">
    <w:name w:val="标题5 Char"/>
    <w:qFormat/>
    <w:locked/>
    <w:uiPriority w:val="0"/>
    <w:rPr>
      <w:rFonts w:eastAsia="宋体"/>
      <w:kern w:val="2"/>
      <w:sz w:val="24"/>
      <w:szCs w:val="24"/>
      <w:lang w:val="en-US" w:eastAsia="zh-CN" w:bidi="ar-SA"/>
    </w:rPr>
  </w:style>
  <w:style w:type="character" w:customStyle="1" w:styleId="190">
    <w:name w:val="main"/>
    <w:qFormat/>
    <w:uiPriority w:val="0"/>
  </w:style>
  <w:style w:type="character" w:customStyle="1" w:styleId="191">
    <w:name w:val="grame"/>
    <w:qFormat/>
    <w:uiPriority w:val="0"/>
  </w:style>
  <w:style w:type="character" w:customStyle="1" w:styleId="192">
    <w:name w:val="t141"/>
    <w:qFormat/>
    <w:uiPriority w:val="0"/>
    <w:rPr>
      <w:color w:val="000000"/>
      <w:w w:val="0"/>
      <w:sz w:val="21"/>
      <w:szCs w:val="21"/>
    </w:rPr>
  </w:style>
  <w:style w:type="character" w:customStyle="1" w:styleId="193">
    <w:name w:val="Heading 9 Char"/>
    <w:qFormat/>
    <w:locked/>
    <w:uiPriority w:val="0"/>
    <w:rPr>
      <w:rFonts w:ascii="Cambria" w:hAnsi="Cambria" w:eastAsia="宋体" w:cs="Times New Roman"/>
      <w:sz w:val="21"/>
      <w:szCs w:val="21"/>
    </w:rPr>
  </w:style>
  <w:style w:type="character" w:customStyle="1" w:styleId="194">
    <w:name w:val="mainfield"/>
    <w:qFormat/>
    <w:uiPriority w:val="0"/>
    <w:rPr>
      <w:b/>
    </w:rPr>
  </w:style>
  <w:style w:type="character" w:customStyle="1" w:styleId="195">
    <w:name w:val="彩色列表 - 强调文字颜色 1 Char"/>
    <w:link w:val="196"/>
    <w:qFormat/>
    <w:uiPriority w:val="34"/>
    <w:rPr>
      <w:rFonts w:ascii="Calibri" w:hAnsi="Calibri"/>
      <w:kern w:val="2"/>
      <w:sz w:val="21"/>
      <w:szCs w:val="22"/>
    </w:rPr>
  </w:style>
  <w:style w:type="paragraph" w:customStyle="1" w:styleId="196">
    <w:name w:val="彩色列表 - 强调文字颜色 11"/>
    <w:basedOn w:val="1"/>
    <w:link w:val="195"/>
    <w:qFormat/>
    <w:uiPriority w:val="34"/>
    <w:pPr>
      <w:ind w:firstLine="420" w:firstLineChars="200"/>
    </w:pPr>
    <w:rPr>
      <w:rFonts w:ascii="Calibri" w:hAnsi="Calibri"/>
      <w:szCs w:val="22"/>
    </w:rPr>
  </w:style>
  <w:style w:type="character" w:customStyle="1" w:styleId="197">
    <w:name w:val="Heading 5 Char"/>
    <w:qFormat/>
    <w:locked/>
    <w:uiPriority w:val="0"/>
    <w:rPr>
      <w:rFonts w:ascii="Calibri" w:hAnsi="Calibri" w:eastAsia="宋体" w:cs="Times New Roman"/>
      <w:b/>
      <w:bCs/>
      <w:sz w:val="28"/>
      <w:szCs w:val="28"/>
    </w:rPr>
  </w:style>
  <w:style w:type="character" w:customStyle="1" w:styleId="198">
    <w:name w:val="正文文本 2 Char2"/>
    <w:semiHidden/>
    <w:qFormat/>
    <w:uiPriority w:val="99"/>
    <w:rPr>
      <w:kern w:val="2"/>
      <w:sz w:val="21"/>
      <w:szCs w:val="24"/>
    </w:rPr>
  </w:style>
  <w:style w:type="character" w:customStyle="1" w:styleId="199">
    <w:name w:val="xkr1"/>
    <w:qFormat/>
    <w:uiPriority w:val="0"/>
    <w:rPr>
      <w:rFonts w:ascii="楷体_GB2312" w:hAnsi="楷体_GB2312"/>
      <w:color w:val="000000"/>
      <w:sz w:val="29"/>
    </w:rPr>
  </w:style>
  <w:style w:type="character" w:customStyle="1" w:styleId="200">
    <w:name w:val="正文缩进 Char Char"/>
    <w:qFormat/>
    <w:uiPriority w:val="0"/>
    <w:rPr>
      <w:rFonts w:eastAsia="宋体"/>
      <w:kern w:val="2"/>
      <w:sz w:val="21"/>
      <w:lang w:val="en-US" w:eastAsia="zh-CN" w:bidi="ar-SA"/>
    </w:rPr>
  </w:style>
  <w:style w:type="character" w:customStyle="1" w:styleId="201">
    <w:name w:val="副标题 Char2"/>
    <w:qFormat/>
    <w:uiPriority w:val="0"/>
    <w:rPr>
      <w:rFonts w:ascii="Cambria" w:hAnsi="Cambria" w:cs="Times New Roman"/>
      <w:b/>
      <w:bCs/>
      <w:kern w:val="28"/>
      <w:sz w:val="32"/>
      <w:szCs w:val="32"/>
    </w:rPr>
  </w:style>
  <w:style w:type="character" w:customStyle="1" w:styleId="202">
    <w:name w:val="普通文字1 Char"/>
    <w:qFormat/>
    <w:uiPriority w:val="0"/>
    <w:rPr>
      <w:rFonts w:ascii="宋体" w:hAnsi="Courier New" w:eastAsia="宋体" w:cs="Courier New"/>
      <w:kern w:val="2"/>
      <w:sz w:val="21"/>
      <w:szCs w:val="21"/>
      <w:lang w:val="en-US" w:eastAsia="zh-CN" w:bidi="ar-SA"/>
    </w:rPr>
  </w:style>
  <w:style w:type="character" w:customStyle="1" w:styleId="203">
    <w:name w:val="style101"/>
    <w:qFormat/>
    <w:uiPriority w:val="0"/>
    <w:rPr>
      <w:b/>
      <w:bCs/>
      <w:color w:val="0000FF"/>
    </w:rPr>
  </w:style>
  <w:style w:type="character" w:customStyle="1" w:styleId="204">
    <w:name w:val="书籍标题1"/>
    <w:qFormat/>
    <w:uiPriority w:val="0"/>
    <w:rPr>
      <w:rFonts w:cs="Times New Roman"/>
      <w:b/>
      <w:smallCaps/>
      <w:spacing w:val="5"/>
    </w:rPr>
  </w:style>
  <w:style w:type="character" w:customStyle="1" w:styleId="205">
    <w:name w:val="Heading 6 Char"/>
    <w:qFormat/>
    <w:locked/>
    <w:uiPriority w:val="0"/>
    <w:rPr>
      <w:rFonts w:ascii="Cambria" w:hAnsi="Cambria" w:eastAsia="宋体" w:cs="Times New Roman"/>
      <w:b/>
      <w:bCs/>
      <w:sz w:val="24"/>
      <w:szCs w:val="24"/>
    </w:rPr>
  </w:style>
  <w:style w:type="character" w:customStyle="1" w:styleId="206">
    <w:name w:val="main11"/>
    <w:qFormat/>
    <w:uiPriority w:val="0"/>
    <w:rPr>
      <w:rFonts w:hint="default" w:ascii="Arial" w:hAnsi="Arial"/>
      <w:color w:val="000000"/>
      <w:sz w:val="18"/>
      <w:u w:val="none"/>
    </w:rPr>
  </w:style>
  <w:style w:type="character" w:customStyle="1" w:styleId="207">
    <w:name w:val="正文文本缩进 Char1"/>
    <w:qFormat/>
    <w:uiPriority w:val="99"/>
    <w:rPr>
      <w:kern w:val="2"/>
      <w:sz w:val="21"/>
      <w:szCs w:val="24"/>
    </w:rPr>
  </w:style>
  <w:style w:type="character" w:customStyle="1" w:styleId="208">
    <w:name w:val="彩色网格 - 强调文字颜色 1 Char"/>
    <w:link w:val="209"/>
    <w:qFormat/>
    <w:uiPriority w:val="0"/>
    <w:rPr>
      <w:i/>
      <w:iCs/>
      <w:color w:val="000000"/>
      <w:kern w:val="2"/>
      <w:sz w:val="21"/>
      <w:szCs w:val="22"/>
    </w:rPr>
  </w:style>
  <w:style w:type="paragraph" w:customStyle="1" w:styleId="209">
    <w:name w:val="彩色网格 - 强调文字颜色 11"/>
    <w:basedOn w:val="1"/>
    <w:next w:val="1"/>
    <w:link w:val="208"/>
    <w:qFormat/>
    <w:uiPriority w:val="0"/>
    <w:rPr>
      <w:i/>
      <w:iCs/>
      <w:color w:val="000000"/>
      <w:szCs w:val="22"/>
    </w:rPr>
  </w:style>
  <w:style w:type="character" w:customStyle="1" w:styleId="210">
    <w:name w:val="标题 Char2"/>
    <w:qFormat/>
    <w:uiPriority w:val="10"/>
    <w:rPr>
      <w:rFonts w:ascii="Cambria" w:hAnsi="Cambria" w:cs="Times New Roman"/>
      <w:b/>
      <w:bCs/>
      <w:kern w:val="2"/>
      <w:sz w:val="32"/>
      <w:szCs w:val="32"/>
    </w:rPr>
  </w:style>
  <w:style w:type="character" w:customStyle="1" w:styleId="211">
    <w:name w:val="apple-converted-space"/>
    <w:qFormat/>
    <w:uiPriority w:val="0"/>
  </w:style>
  <w:style w:type="character" w:customStyle="1" w:styleId="212">
    <w:name w:val="标准正文 Char Char"/>
    <w:qFormat/>
    <w:uiPriority w:val="0"/>
    <w:rPr>
      <w:kern w:val="2"/>
      <w:sz w:val="24"/>
    </w:rPr>
  </w:style>
  <w:style w:type="character" w:customStyle="1" w:styleId="213">
    <w:name w:val="_Style 212"/>
    <w:qFormat/>
    <w:uiPriority w:val="0"/>
    <w:rPr>
      <w:b/>
      <w:bCs/>
      <w:smallCaps/>
      <w:color w:val="C0504D"/>
      <w:spacing w:val="5"/>
      <w:u w:val="single"/>
    </w:rPr>
  </w:style>
  <w:style w:type="character" w:customStyle="1" w:styleId="214">
    <w:name w:val="font2"/>
    <w:qFormat/>
    <w:uiPriority w:val="0"/>
    <w:rPr>
      <w:color w:val="0033CC"/>
    </w:rPr>
  </w:style>
  <w:style w:type="character" w:customStyle="1" w:styleId="215">
    <w:name w:val="param-value"/>
    <w:qFormat/>
    <w:uiPriority w:val="0"/>
  </w:style>
  <w:style w:type="character" w:customStyle="1" w:styleId="216">
    <w:name w:val="chanpinfont"/>
    <w:qFormat/>
    <w:uiPriority w:val="0"/>
  </w:style>
  <w:style w:type="character" w:customStyle="1" w:styleId="217">
    <w:name w:val="Title Char"/>
    <w:qFormat/>
    <w:locked/>
    <w:uiPriority w:val="0"/>
    <w:rPr>
      <w:rFonts w:ascii="Cambria" w:hAnsi="Cambria"/>
      <w:b/>
      <w:sz w:val="32"/>
    </w:rPr>
  </w:style>
  <w:style w:type="character" w:customStyle="1" w:styleId="218">
    <w:name w:val="引用 Char1"/>
    <w:qFormat/>
    <w:uiPriority w:val="0"/>
    <w:rPr>
      <w:i/>
      <w:iCs/>
      <w:color w:val="000000"/>
      <w:kern w:val="2"/>
      <w:sz w:val="21"/>
    </w:rPr>
  </w:style>
  <w:style w:type="character" w:customStyle="1" w:styleId="219">
    <w:name w:val="正文首行缩进 2 Char1"/>
    <w:semiHidden/>
    <w:qFormat/>
    <w:uiPriority w:val="99"/>
    <w:rPr>
      <w:rFonts w:ascii="Times New Roman" w:hAnsi="Times New Roman" w:eastAsia="宋体" w:cs="Times New Roman"/>
      <w:kern w:val="2"/>
      <w:sz w:val="21"/>
      <w:szCs w:val="21"/>
    </w:rPr>
  </w:style>
  <w:style w:type="character" w:customStyle="1" w:styleId="220">
    <w:name w:val="Footer Char"/>
    <w:qFormat/>
    <w:locked/>
    <w:uiPriority w:val="0"/>
    <w:rPr>
      <w:sz w:val="18"/>
    </w:rPr>
  </w:style>
  <w:style w:type="character" w:customStyle="1" w:styleId="221">
    <w:name w:val="v151"/>
    <w:qFormat/>
    <w:uiPriority w:val="0"/>
    <w:rPr>
      <w:spacing w:val="280"/>
      <w:sz w:val="18"/>
      <w:szCs w:val="18"/>
    </w:rPr>
  </w:style>
  <w:style w:type="character" w:customStyle="1" w:styleId="222">
    <w:name w:val="maintitle1"/>
    <w:qFormat/>
    <w:uiPriority w:val="0"/>
    <w:rPr>
      <w:b/>
      <w:color w:val="0066CC"/>
      <w:sz w:val="30"/>
      <w:u w:val="none"/>
    </w:rPr>
  </w:style>
  <w:style w:type="character" w:customStyle="1" w:styleId="223">
    <w:name w:val="副标题 Char1"/>
    <w:qFormat/>
    <w:uiPriority w:val="0"/>
    <w:rPr>
      <w:rFonts w:ascii="Cambria" w:hAnsi="Cambria" w:cs="Times New Roman"/>
      <w:b/>
      <w:bCs/>
      <w:kern w:val="28"/>
      <w:sz w:val="32"/>
      <w:szCs w:val="32"/>
    </w:rPr>
  </w:style>
  <w:style w:type="character" w:customStyle="1" w:styleId="224">
    <w:name w:val="bodyfont1"/>
    <w:qFormat/>
    <w:uiPriority w:val="0"/>
    <w:rPr>
      <w:spacing w:val="300"/>
      <w:sz w:val="18"/>
      <w:szCs w:val="18"/>
    </w:rPr>
  </w:style>
  <w:style w:type="character" w:customStyle="1" w:styleId="225">
    <w:name w:val="正文文本 2 Char1"/>
    <w:qFormat/>
    <w:uiPriority w:val="0"/>
    <w:rPr>
      <w:kern w:val="2"/>
      <w:sz w:val="21"/>
      <w:szCs w:val="24"/>
    </w:rPr>
  </w:style>
  <w:style w:type="character" w:customStyle="1" w:styleId="226">
    <w:name w:val="列出段落 Char1"/>
    <w:link w:val="227"/>
    <w:qFormat/>
    <w:locked/>
    <w:uiPriority w:val="34"/>
    <w:rPr>
      <w:rFonts w:ascii="Calibri" w:hAnsi="Calibri"/>
      <w:sz w:val="22"/>
      <w:szCs w:val="22"/>
    </w:rPr>
  </w:style>
  <w:style w:type="paragraph" w:styleId="227">
    <w:name w:val="List Paragraph"/>
    <w:basedOn w:val="1"/>
    <w:link w:val="226"/>
    <w:qFormat/>
    <w:uiPriority w:val="34"/>
    <w:pPr>
      <w:widowControl/>
      <w:spacing w:after="200" w:line="276" w:lineRule="auto"/>
      <w:ind w:left="720"/>
      <w:contextualSpacing/>
      <w:jc w:val="left"/>
    </w:pPr>
    <w:rPr>
      <w:rFonts w:ascii="Calibri" w:hAnsi="Calibri"/>
      <w:kern w:val="0"/>
      <w:sz w:val="22"/>
      <w:szCs w:val="22"/>
    </w:rPr>
  </w:style>
  <w:style w:type="character" w:customStyle="1" w:styleId="228">
    <w:name w:val="不明显参考1"/>
    <w:qFormat/>
    <w:uiPriority w:val="0"/>
    <w:rPr>
      <w:rFonts w:cs="Times New Roman"/>
      <w:smallCaps/>
      <w:color w:val="C0504D"/>
      <w:u w:val="single"/>
    </w:rPr>
  </w:style>
  <w:style w:type="character" w:customStyle="1" w:styleId="229">
    <w:name w:val="Blockquote Char Char"/>
    <w:link w:val="230"/>
    <w:qFormat/>
    <w:uiPriority w:val="0"/>
    <w:rPr>
      <w:sz w:val="24"/>
    </w:rPr>
  </w:style>
  <w:style w:type="paragraph" w:customStyle="1" w:styleId="230">
    <w:name w:val="Blockquote"/>
    <w:basedOn w:val="1"/>
    <w:link w:val="229"/>
    <w:qFormat/>
    <w:uiPriority w:val="0"/>
    <w:pPr>
      <w:autoSpaceDE w:val="0"/>
      <w:autoSpaceDN w:val="0"/>
      <w:adjustRightInd w:val="0"/>
      <w:spacing w:before="100" w:after="100"/>
      <w:ind w:left="360" w:right="360"/>
      <w:jc w:val="left"/>
    </w:pPr>
    <w:rPr>
      <w:kern w:val="0"/>
      <w:sz w:val="24"/>
    </w:rPr>
  </w:style>
  <w:style w:type="character" w:customStyle="1" w:styleId="231">
    <w:name w:val="引用 Char"/>
    <w:qFormat/>
    <w:uiPriority w:val="0"/>
    <w:rPr>
      <w:i/>
      <w:iCs/>
      <w:color w:val="000000"/>
      <w:kern w:val="2"/>
      <w:sz w:val="21"/>
      <w:szCs w:val="22"/>
    </w:rPr>
  </w:style>
  <w:style w:type="character" w:customStyle="1" w:styleId="232">
    <w:name w:val="Char Char17"/>
    <w:qFormat/>
    <w:uiPriority w:val="0"/>
    <w:rPr>
      <w:rFonts w:ascii="Arial" w:hAnsi="Arial" w:eastAsia="黑体"/>
      <w:b/>
      <w:bCs/>
      <w:kern w:val="2"/>
      <w:sz w:val="32"/>
      <w:szCs w:val="32"/>
      <w:lang w:val="en-US" w:eastAsia="zh-CN" w:bidi="ar-SA"/>
    </w:rPr>
  </w:style>
  <w:style w:type="character" w:customStyle="1" w:styleId="233">
    <w:name w:val="正文文本 3 Char1"/>
    <w:semiHidden/>
    <w:qFormat/>
    <w:uiPriority w:val="99"/>
    <w:rPr>
      <w:kern w:val="2"/>
      <w:sz w:val="16"/>
      <w:szCs w:val="16"/>
    </w:rPr>
  </w:style>
  <w:style w:type="character" w:customStyle="1" w:styleId="234">
    <w:name w:val="签名 Char1"/>
    <w:qFormat/>
    <w:uiPriority w:val="99"/>
    <w:rPr>
      <w:kern w:val="2"/>
      <w:sz w:val="21"/>
    </w:rPr>
  </w:style>
  <w:style w:type="character" w:customStyle="1" w:styleId="235">
    <w:name w:val="z-窗体底端 Char1"/>
    <w:qFormat/>
    <w:uiPriority w:val="0"/>
    <w:rPr>
      <w:rFonts w:ascii="Arial" w:hAnsi="Arial" w:cs="Arial"/>
      <w:vanish/>
      <w:kern w:val="2"/>
      <w:sz w:val="16"/>
      <w:szCs w:val="16"/>
    </w:rPr>
  </w:style>
  <w:style w:type="character" w:customStyle="1" w:styleId="236">
    <w:name w:val="Intense Quote Char1"/>
    <w:qFormat/>
    <w:locked/>
    <w:uiPriority w:val="0"/>
    <w:rPr>
      <w:rFonts w:cs="Times New Roman"/>
      <w:b/>
      <w:bCs/>
      <w:i/>
      <w:iCs/>
      <w:color w:val="4F81BD"/>
    </w:rPr>
  </w:style>
  <w:style w:type="character" w:customStyle="1" w:styleId="237">
    <w:name w:val="文档结构图 Char2"/>
    <w:semiHidden/>
    <w:qFormat/>
    <w:uiPriority w:val="99"/>
    <w:rPr>
      <w:rFonts w:ascii="宋体"/>
      <w:kern w:val="2"/>
      <w:sz w:val="18"/>
      <w:szCs w:val="18"/>
    </w:rPr>
  </w:style>
  <w:style w:type="character" w:customStyle="1" w:styleId="238">
    <w:name w:val="明显引用 Char1"/>
    <w:qFormat/>
    <w:uiPriority w:val="0"/>
    <w:rPr>
      <w:b/>
      <w:bCs/>
      <w:i/>
      <w:iCs/>
      <w:color w:val="4F81BD"/>
      <w:kern w:val="2"/>
      <w:sz w:val="21"/>
    </w:rPr>
  </w:style>
  <w:style w:type="character" w:customStyle="1" w:styleId="239">
    <w:name w:val="z-窗体底端 Char"/>
    <w:link w:val="240"/>
    <w:qFormat/>
    <w:uiPriority w:val="0"/>
    <w:rPr>
      <w:rFonts w:ascii="Arial" w:hAnsi="Arial"/>
      <w:vanish/>
      <w:sz w:val="16"/>
      <w:szCs w:val="16"/>
    </w:rPr>
  </w:style>
  <w:style w:type="paragraph" w:customStyle="1" w:styleId="240">
    <w:name w:val="_Style 239"/>
    <w:basedOn w:val="1"/>
    <w:next w:val="1"/>
    <w:link w:val="239"/>
    <w:qFormat/>
    <w:uiPriority w:val="0"/>
    <w:pPr>
      <w:widowControl/>
      <w:pBdr>
        <w:top w:val="single" w:color="auto" w:sz="6" w:space="1"/>
      </w:pBdr>
      <w:jc w:val="center"/>
    </w:pPr>
    <w:rPr>
      <w:rFonts w:ascii="Arial" w:hAnsi="Arial"/>
      <w:vanish/>
      <w:kern w:val="0"/>
      <w:sz w:val="16"/>
      <w:szCs w:val="16"/>
    </w:rPr>
  </w:style>
  <w:style w:type="character" w:customStyle="1" w:styleId="241">
    <w:name w:val="Char Char15"/>
    <w:qFormat/>
    <w:uiPriority w:val="0"/>
    <w:rPr>
      <w:rFonts w:ascii="宋体" w:hAnsi="Courier New"/>
      <w:kern w:val="2"/>
      <w:sz w:val="21"/>
    </w:rPr>
  </w:style>
  <w:style w:type="character" w:customStyle="1" w:styleId="242">
    <w:name w:val="param-explain"/>
    <w:qFormat/>
    <w:uiPriority w:val="0"/>
  </w:style>
  <w:style w:type="character" w:customStyle="1" w:styleId="243">
    <w:name w:val="Date Char"/>
    <w:qFormat/>
    <w:locked/>
    <w:uiPriority w:val="0"/>
    <w:rPr>
      <w:rFonts w:ascii="宋体" w:hAnsi="Times New Roman"/>
      <w:sz w:val="28"/>
    </w:rPr>
  </w:style>
  <w:style w:type="character" w:customStyle="1" w:styleId="244">
    <w:name w:val="z-窗体顶端 Char"/>
    <w:link w:val="245"/>
    <w:qFormat/>
    <w:uiPriority w:val="0"/>
    <w:rPr>
      <w:rFonts w:ascii="Arial" w:hAnsi="Arial"/>
      <w:vanish/>
      <w:sz w:val="16"/>
      <w:szCs w:val="16"/>
    </w:rPr>
  </w:style>
  <w:style w:type="paragraph" w:customStyle="1" w:styleId="245">
    <w:name w:val="_Style 244"/>
    <w:basedOn w:val="1"/>
    <w:next w:val="1"/>
    <w:link w:val="244"/>
    <w:qFormat/>
    <w:uiPriority w:val="0"/>
    <w:pPr>
      <w:widowControl/>
      <w:pBdr>
        <w:bottom w:val="single" w:color="auto" w:sz="6" w:space="1"/>
      </w:pBdr>
      <w:jc w:val="center"/>
    </w:pPr>
    <w:rPr>
      <w:rFonts w:ascii="Arial" w:hAnsi="Arial"/>
      <w:vanish/>
      <w:kern w:val="0"/>
      <w:sz w:val="16"/>
      <w:szCs w:val="16"/>
    </w:rPr>
  </w:style>
  <w:style w:type="character" w:customStyle="1" w:styleId="246">
    <w:name w:val="标题 Char1"/>
    <w:qFormat/>
    <w:uiPriority w:val="0"/>
    <w:rPr>
      <w:rFonts w:ascii="Cambria" w:hAnsi="Cambria" w:cs="Times New Roman"/>
      <w:b/>
      <w:bCs/>
      <w:kern w:val="2"/>
      <w:sz w:val="32"/>
      <w:szCs w:val="32"/>
    </w:rPr>
  </w:style>
  <w:style w:type="character" w:customStyle="1" w:styleId="247">
    <w:name w:val="ft331"/>
    <w:qFormat/>
    <w:uiPriority w:val="0"/>
    <w:rPr>
      <w:rFonts w:hint="default" w:ascii="Times" w:hAnsi="Times"/>
      <w:color w:val="000000"/>
      <w:spacing w:val="16"/>
      <w:sz w:val="15"/>
      <w:szCs w:val="15"/>
    </w:rPr>
  </w:style>
  <w:style w:type="character" w:customStyle="1" w:styleId="248">
    <w:name w:val="标题 3 Char"/>
    <w:qFormat/>
    <w:uiPriority w:val="9"/>
    <w:rPr>
      <w:rFonts w:ascii="宋体" w:hAnsi="宋体" w:cs="宋体"/>
      <w:b/>
      <w:bCs/>
      <w:sz w:val="27"/>
      <w:szCs w:val="27"/>
    </w:rPr>
  </w:style>
  <w:style w:type="character" w:customStyle="1" w:styleId="249">
    <w:name w:val="Balloon Text Char"/>
    <w:qFormat/>
    <w:locked/>
    <w:uiPriority w:val="0"/>
    <w:rPr>
      <w:rFonts w:ascii="宋体" w:hAnsi="Times New Roman"/>
      <w:sz w:val="18"/>
    </w:rPr>
  </w:style>
  <w:style w:type="character" w:customStyle="1" w:styleId="250">
    <w:name w:val="浅色底纹 - 强调文字颜色 2 Char"/>
    <w:link w:val="251"/>
    <w:qFormat/>
    <w:uiPriority w:val="0"/>
    <w:rPr>
      <w:b/>
      <w:bCs/>
      <w:i/>
      <w:iCs/>
      <w:color w:val="4F81BD"/>
      <w:kern w:val="2"/>
      <w:sz w:val="21"/>
      <w:szCs w:val="22"/>
    </w:rPr>
  </w:style>
  <w:style w:type="paragraph" w:customStyle="1" w:styleId="251">
    <w:name w:val="浅色底纹 - 强调文字颜色 21"/>
    <w:basedOn w:val="1"/>
    <w:next w:val="1"/>
    <w:link w:val="250"/>
    <w:qFormat/>
    <w:uiPriority w:val="0"/>
    <w:pPr>
      <w:pBdr>
        <w:bottom w:val="single" w:color="4F81BD" w:sz="4" w:space="4"/>
      </w:pBdr>
      <w:spacing w:before="200" w:after="280"/>
      <w:ind w:left="936" w:right="936"/>
    </w:pPr>
    <w:rPr>
      <w:b/>
      <w:bCs/>
      <w:i/>
      <w:iCs/>
      <w:color w:val="4F81BD"/>
      <w:szCs w:val="22"/>
    </w:rPr>
  </w:style>
  <w:style w:type="character" w:customStyle="1" w:styleId="252">
    <w:name w:val="不明显强调1"/>
    <w:qFormat/>
    <w:uiPriority w:val="0"/>
    <w:rPr>
      <w:rFonts w:cs="Times New Roman"/>
      <w:i/>
      <w:color w:val="808080"/>
    </w:rPr>
  </w:style>
  <w:style w:type="character" w:customStyle="1" w:styleId="253">
    <w:name w:val="*正文 Char"/>
    <w:link w:val="254"/>
    <w:qFormat/>
    <w:locked/>
    <w:uiPriority w:val="0"/>
    <w:rPr>
      <w:rFonts w:ascii="宋体" w:hAnsi="宋体" w:eastAsia="宋体"/>
      <w:sz w:val="24"/>
      <w:lang w:val="en-US" w:eastAsia="zh-CN" w:bidi="ar-SA"/>
    </w:rPr>
  </w:style>
  <w:style w:type="paragraph" w:customStyle="1" w:styleId="254">
    <w:name w:val="*正文"/>
    <w:basedOn w:val="1"/>
    <w:link w:val="253"/>
    <w:qFormat/>
    <w:uiPriority w:val="0"/>
    <w:pPr>
      <w:spacing w:line="360" w:lineRule="auto"/>
    </w:pPr>
    <w:rPr>
      <w:rFonts w:ascii="宋体" w:hAnsi="宋体"/>
      <w:kern w:val="0"/>
      <w:sz w:val="24"/>
    </w:rPr>
  </w:style>
  <w:style w:type="character" w:customStyle="1" w:styleId="255">
    <w:name w:val="明显强调1"/>
    <w:qFormat/>
    <w:uiPriority w:val="0"/>
    <w:rPr>
      <w:rFonts w:cs="Times New Roman"/>
      <w:b/>
      <w:i/>
      <w:color w:val="4F81BD"/>
    </w:rPr>
  </w:style>
  <w:style w:type="character" w:customStyle="1" w:styleId="256">
    <w:name w:val="Subtitle Char1"/>
    <w:qFormat/>
    <w:locked/>
    <w:uiPriority w:val="0"/>
    <w:rPr>
      <w:rFonts w:ascii="Cambria" w:hAnsi="Cambria" w:cs="Times New Roman"/>
      <w:b/>
      <w:bCs/>
      <w:kern w:val="28"/>
      <w:sz w:val="32"/>
      <w:szCs w:val="32"/>
    </w:rPr>
  </w:style>
  <w:style w:type="character" w:customStyle="1" w:styleId="257">
    <w:name w:val="6.1正文 Char"/>
    <w:link w:val="258"/>
    <w:qFormat/>
    <w:locked/>
    <w:uiPriority w:val="0"/>
    <w:rPr>
      <w:rFonts w:ascii="Calibri" w:hAnsi="Calibri" w:eastAsia="宋体"/>
      <w:sz w:val="21"/>
      <w:lang w:val="en-US" w:eastAsia="zh-CN" w:bidi="ar-SA"/>
    </w:rPr>
  </w:style>
  <w:style w:type="paragraph" w:customStyle="1" w:styleId="258">
    <w:name w:val="6.1正文"/>
    <w:basedOn w:val="1"/>
    <w:link w:val="257"/>
    <w:qFormat/>
    <w:uiPriority w:val="0"/>
    <w:pPr>
      <w:spacing w:before="120" w:after="120" w:line="360" w:lineRule="auto"/>
      <w:ind w:firstLine="420" w:firstLineChars="200"/>
    </w:pPr>
    <w:rPr>
      <w:rFonts w:ascii="Calibri" w:hAnsi="Calibri"/>
      <w:kern w:val="0"/>
    </w:rPr>
  </w:style>
  <w:style w:type="character" w:customStyle="1" w:styleId="259">
    <w:name w:val="style6"/>
    <w:qFormat/>
    <w:uiPriority w:val="0"/>
  </w:style>
  <w:style w:type="character" w:customStyle="1" w:styleId="260">
    <w:name w:val="中等深浅网格 11"/>
    <w:semiHidden/>
    <w:qFormat/>
    <w:uiPriority w:val="99"/>
    <w:rPr>
      <w:color w:val="808080"/>
    </w:rPr>
  </w:style>
  <w:style w:type="character" w:customStyle="1" w:styleId="261">
    <w:name w:val="Quote Char2"/>
    <w:link w:val="262"/>
    <w:qFormat/>
    <w:locked/>
    <w:uiPriority w:val="0"/>
    <w:rPr>
      <w:rFonts w:ascii="Calibri" w:hAnsi="Calibri"/>
      <w:i/>
      <w:color w:val="000000"/>
    </w:rPr>
  </w:style>
  <w:style w:type="paragraph" w:customStyle="1" w:styleId="262">
    <w:name w:val="引用1"/>
    <w:basedOn w:val="1"/>
    <w:next w:val="1"/>
    <w:link w:val="261"/>
    <w:qFormat/>
    <w:uiPriority w:val="0"/>
    <w:rPr>
      <w:rFonts w:ascii="Calibri" w:hAnsi="Calibri"/>
      <w:i/>
      <w:color w:val="000000"/>
      <w:kern w:val="0"/>
      <w:sz w:val="20"/>
    </w:rPr>
  </w:style>
  <w:style w:type="character" w:customStyle="1" w:styleId="263">
    <w:name w:val="font01"/>
    <w:qFormat/>
    <w:uiPriority w:val="0"/>
    <w:rPr>
      <w:rFonts w:hint="eastAsia" w:ascii="宋体" w:hAnsi="宋体" w:eastAsia="宋体"/>
      <w:color w:val="000000"/>
      <w:sz w:val="24"/>
      <w:szCs w:val="24"/>
      <w:u w:val="none"/>
    </w:rPr>
  </w:style>
  <w:style w:type="character" w:customStyle="1" w:styleId="264">
    <w:name w:val="正文首行缩进 Char1"/>
    <w:semiHidden/>
    <w:qFormat/>
    <w:uiPriority w:val="99"/>
  </w:style>
  <w:style w:type="character" w:customStyle="1" w:styleId="265">
    <w:name w:val="Heading 8 Char"/>
    <w:qFormat/>
    <w:locked/>
    <w:uiPriority w:val="0"/>
    <w:rPr>
      <w:rFonts w:ascii="Cambria" w:hAnsi="Cambria" w:eastAsia="宋体" w:cs="Times New Roman"/>
      <w:sz w:val="24"/>
      <w:szCs w:val="24"/>
    </w:rPr>
  </w:style>
  <w:style w:type="character" w:customStyle="1" w:styleId="266">
    <w:name w:val="_Style 265"/>
    <w:qFormat/>
    <w:uiPriority w:val="0"/>
    <w:rPr>
      <w:smallCaps/>
      <w:color w:val="C0504D"/>
      <w:u w:val="single"/>
    </w:rPr>
  </w:style>
  <w:style w:type="character" w:customStyle="1" w:styleId="267">
    <w:name w:val="Intense Quote Char"/>
    <w:qFormat/>
    <w:locked/>
    <w:uiPriority w:val="0"/>
    <w:rPr>
      <w:b/>
      <w:i/>
      <w:color w:val="4F81BD"/>
    </w:rPr>
  </w:style>
  <w:style w:type="character" w:customStyle="1" w:styleId="268">
    <w:name w:val="页脚 Char"/>
    <w:qFormat/>
    <w:uiPriority w:val="0"/>
    <w:rPr>
      <w:kern w:val="2"/>
      <w:sz w:val="18"/>
      <w:szCs w:val="18"/>
    </w:rPr>
  </w:style>
  <w:style w:type="character" w:customStyle="1" w:styleId="269">
    <w:name w:val="页眉 Char1"/>
    <w:semiHidden/>
    <w:qFormat/>
    <w:uiPriority w:val="99"/>
    <w:rPr>
      <w:kern w:val="2"/>
      <w:sz w:val="18"/>
      <w:szCs w:val="18"/>
    </w:rPr>
  </w:style>
  <w:style w:type="character" w:customStyle="1" w:styleId="270">
    <w:name w:val="样式 标书正文 + 下划线 Char"/>
    <w:qFormat/>
    <w:uiPriority w:val="0"/>
    <w:rPr>
      <w:rFonts w:eastAsia="楷体_GB2312"/>
      <w:kern w:val="2"/>
      <w:sz w:val="28"/>
      <w:u w:val="single"/>
      <w:lang w:val="en-US" w:eastAsia="zh-CN"/>
    </w:rPr>
  </w:style>
  <w:style w:type="character" w:customStyle="1" w:styleId="271">
    <w:name w:val="pagetext1"/>
    <w:qFormat/>
    <w:uiPriority w:val="0"/>
    <w:rPr>
      <w:rFonts w:hint="eastAsia" w:ascii="宋体" w:hAnsi="宋体" w:eastAsia="宋体"/>
      <w:sz w:val="20"/>
      <w:szCs w:val="20"/>
    </w:rPr>
  </w:style>
  <w:style w:type="character" w:customStyle="1" w:styleId="272">
    <w:name w:val="批注框文本 Char3"/>
    <w:semiHidden/>
    <w:qFormat/>
    <w:uiPriority w:val="99"/>
    <w:rPr>
      <w:kern w:val="2"/>
      <w:sz w:val="18"/>
      <w:szCs w:val="18"/>
    </w:rPr>
  </w:style>
  <w:style w:type="character" w:customStyle="1" w:styleId="273">
    <w:name w:val="redfont1"/>
    <w:qFormat/>
    <w:uiPriority w:val="0"/>
    <w:rPr>
      <w:color w:val="FF0000"/>
    </w:rPr>
  </w:style>
  <w:style w:type="character" w:customStyle="1" w:styleId="274">
    <w:name w:val="日期 Char2"/>
    <w:semiHidden/>
    <w:qFormat/>
    <w:uiPriority w:val="99"/>
    <w:rPr>
      <w:kern w:val="2"/>
      <w:sz w:val="21"/>
      <w:szCs w:val="24"/>
    </w:rPr>
  </w:style>
  <w:style w:type="character" w:customStyle="1" w:styleId="275">
    <w:name w:val="small1"/>
    <w:qFormat/>
    <w:uiPriority w:val="0"/>
    <w:rPr>
      <w:rFonts w:ascii="Verdana" w:hAnsi="Verdana" w:cs="Verdana"/>
      <w:sz w:val="18"/>
      <w:szCs w:val="18"/>
    </w:rPr>
  </w:style>
  <w:style w:type="character" w:customStyle="1" w:styleId="276">
    <w:name w:val="标题5 Char Char"/>
    <w:link w:val="277"/>
    <w:qFormat/>
    <w:uiPriority w:val="0"/>
    <w:rPr>
      <w:rFonts w:ascii="Arial" w:hAnsi="Arial"/>
      <w:b/>
      <w:bCs/>
      <w:sz w:val="24"/>
      <w:szCs w:val="32"/>
    </w:rPr>
  </w:style>
  <w:style w:type="paragraph" w:customStyle="1" w:styleId="277">
    <w:name w:val="标题5"/>
    <w:basedOn w:val="4"/>
    <w:link w:val="276"/>
    <w:qFormat/>
    <w:uiPriority w:val="0"/>
    <w:pPr>
      <w:spacing w:line="413" w:lineRule="auto"/>
      <w:jc w:val="both"/>
    </w:pPr>
    <w:rPr>
      <w:rFonts w:ascii="Arial" w:hAnsi="Arial"/>
      <w:kern w:val="0"/>
      <w:sz w:val="24"/>
    </w:rPr>
  </w:style>
  <w:style w:type="character" w:customStyle="1" w:styleId="278">
    <w:name w:val="Document Map Char"/>
    <w:qFormat/>
    <w:locked/>
    <w:uiPriority w:val="0"/>
    <w:rPr>
      <w:rFonts w:ascii="Times New Roman" w:hAnsi="Times New Roman"/>
      <w:sz w:val="24"/>
      <w:shd w:val="clear" w:color="auto" w:fill="000080"/>
    </w:rPr>
  </w:style>
  <w:style w:type="character" w:customStyle="1" w:styleId="279">
    <w:name w:val="textfont1"/>
    <w:qFormat/>
    <w:uiPriority w:val="0"/>
    <w:rPr>
      <w:spacing w:val="240"/>
      <w:sz w:val="22"/>
      <w:szCs w:val="22"/>
    </w:rPr>
  </w:style>
  <w:style w:type="character" w:customStyle="1" w:styleId="280">
    <w:name w:val="超链接1"/>
    <w:qFormat/>
    <w:uiPriority w:val="0"/>
    <w:rPr>
      <w:color w:val="0000FF"/>
      <w:u w:val="none"/>
    </w:rPr>
  </w:style>
  <w:style w:type="character" w:customStyle="1" w:styleId="281">
    <w:name w:val="正文文本 (2)_"/>
    <w:link w:val="282"/>
    <w:qFormat/>
    <w:uiPriority w:val="99"/>
    <w:rPr>
      <w:rFonts w:ascii="Franklin Gothic Heavy" w:eastAsia="Franklin Gothic Heavy" w:cs="Franklin Gothic Heavy"/>
      <w:sz w:val="18"/>
      <w:szCs w:val="18"/>
      <w:shd w:val="clear" w:color="auto" w:fill="FFFFFF"/>
    </w:rPr>
  </w:style>
  <w:style w:type="paragraph" w:customStyle="1" w:styleId="282">
    <w:name w:val="正文文本 (2)"/>
    <w:basedOn w:val="1"/>
    <w:link w:val="281"/>
    <w:qFormat/>
    <w:uiPriority w:val="99"/>
    <w:pPr>
      <w:shd w:val="clear" w:color="auto" w:fill="FFFFFF"/>
      <w:spacing w:line="240" w:lineRule="atLeast"/>
      <w:jc w:val="left"/>
    </w:pPr>
    <w:rPr>
      <w:rFonts w:ascii="Franklin Gothic Heavy" w:eastAsia="Franklin Gothic Heavy"/>
      <w:kern w:val="0"/>
      <w:sz w:val="18"/>
      <w:szCs w:val="18"/>
    </w:rPr>
  </w:style>
  <w:style w:type="character" w:customStyle="1" w:styleId="283">
    <w:name w:val="尖角符号样式 Char"/>
    <w:link w:val="284"/>
    <w:qFormat/>
    <w:locked/>
    <w:uiPriority w:val="0"/>
  </w:style>
  <w:style w:type="paragraph" w:customStyle="1" w:styleId="284">
    <w:name w:val="尖角符号样式"/>
    <w:basedOn w:val="181"/>
    <w:link w:val="283"/>
    <w:qFormat/>
    <w:uiPriority w:val="0"/>
    <w:pPr>
      <w:ind w:firstLine="480"/>
    </w:pPr>
  </w:style>
  <w:style w:type="character" w:customStyle="1" w:styleId="285">
    <w:name w:val="style221"/>
    <w:qFormat/>
    <w:uiPriority w:val="0"/>
    <w:rPr>
      <w:sz w:val="18"/>
      <w:szCs w:val="18"/>
    </w:rPr>
  </w:style>
  <w:style w:type="character" w:customStyle="1" w:styleId="286">
    <w:name w:val="font11"/>
    <w:qFormat/>
    <w:uiPriority w:val="0"/>
    <w:rPr>
      <w:rFonts w:hint="eastAsia" w:ascii="宋体" w:hAnsi="宋体" w:eastAsia="宋体" w:cs="宋体"/>
      <w:color w:val="000000"/>
      <w:sz w:val="22"/>
      <w:szCs w:val="22"/>
      <w:u w:val="none"/>
    </w:rPr>
  </w:style>
  <w:style w:type="character" w:customStyle="1" w:styleId="287">
    <w:name w:val="Comment Text Char"/>
    <w:qFormat/>
    <w:locked/>
    <w:uiPriority w:val="0"/>
    <w:rPr>
      <w:rFonts w:ascii="Arial" w:hAnsi="Arial" w:eastAsia="宋体" w:cs="宋体"/>
      <w:sz w:val="20"/>
      <w:szCs w:val="20"/>
    </w:rPr>
  </w:style>
  <w:style w:type="character" w:customStyle="1" w:styleId="288">
    <w:name w:val="Quote Char"/>
    <w:qFormat/>
    <w:locked/>
    <w:uiPriority w:val="0"/>
    <w:rPr>
      <w:i/>
      <w:color w:val="000000"/>
    </w:rPr>
  </w:style>
  <w:style w:type="character" w:customStyle="1" w:styleId="289">
    <w:name w:val="unnamed5 style4"/>
    <w:qFormat/>
    <w:uiPriority w:val="0"/>
    <w:rPr>
      <w:rFonts w:cs="Times New Roman"/>
    </w:rPr>
  </w:style>
  <w:style w:type="character" w:customStyle="1" w:styleId="290">
    <w:name w:val="unnamed1"/>
    <w:qFormat/>
    <w:uiPriority w:val="0"/>
  </w:style>
  <w:style w:type="character" w:customStyle="1" w:styleId="291">
    <w:name w:val="_Style 290"/>
    <w:qFormat/>
    <w:uiPriority w:val="0"/>
    <w:rPr>
      <w:b/>
      <w:bCs/>
      <w:i/>
      <w:iCs/>
      <w:color w:val="4F81BD"/>
    </w:rPr>
  </w:style>
  <w:style w:type="character" w:customStyle="1" w:styleId="292">
    <w:name w:val="hei12b1"/>
    <w:qFormat/>
    <w:uiPriority w:val="0"/>
    <w:rPr>
      <w:b/>
      <w:bCs/>
      <w:color w:val="000000"/>
      <w:sz w:val="21"/>
      <w:szCs w:val="21"/>
    </w:rPr>
  </w:style>
  <w:style w:type="character" w:customStyle="1" w:styleId="293">
    <w:name w:val="z-窗体顶端 Char2"/>
    <w:qFormat/>
    <w:uiPriority w:val="99"/>
    <w:rPr>
      <w:rFonts w:ascii="Arial" w:hAnsi="Arial" w:cs="Arial"/>
      <w:vanish/>
      <w:kern w:val="2"/>
      <w:sz w:val="16"/>
      <w:szCs w:val="16"/>
    </w:rPr>
  </w:style>
  <w:style w:type="character" w:customStyle="1" w:styleId="294">
    <w:name w:val="书籍标题11"/>
    <w:qFormat/>
    <w:uiPriority w:val="0"/>
    <w:rPr>
      <w:b/>
      <w:smallCaps/>
      <w:spacing w:val="5"/>
    </w:rPr>
  </w:style>
  <w:style w:type="character" w:customStyle="1" w:styleId="295">
    <w:name w:val="Heading 1 Char"/>
    <w:qFormat/>
    <w:locked/>
    <w:uiPriority w:val="0"/>
    <w:rPr>
      <w:rFonts w:ascii="Calibri" w:hAnsi="Calibri" w:eastAsia="宋体" w:cs="Times New Roman"/>
      <w:b/>
      <w:bCs/>
      <w:kern w:val="44"/>
      <w:sz w:val="44"/>
      <w:szCs w:val="44"/>
    </w:rPr>
  </w:style>
  <w:style w:type="character" w:customStyle="1" w:styleId="296">
    <w:name w:val="text11"/>
    <w:uiPriority w:val="0"/>
    <w:rPr>
      <w:color w:val="666666"/>
      <w:sz w:val="21"/>
      <w:szCs w:val="21"/>
    </w:rPr>
  </w:style>
  <w:style w:type="character" w:customStyle="1" w:styleId="297">
    <w:name w:val="批注框文本 Char"/>
    <w:uiPriority w:val="0"/>
    <w:rPr>
      <w:kern w:val="2"/>
      <w:sz w:val="18"/>
      <w:szCs w:val="18"/>
    </w:rPr>
  </w:style>
  <w:style w:type="character" w:customStyle="1" w:styleId="298">
    <w:name w:val="页脚 Char1"/>
    <w:semiHidden/>
    <w:uiPriority w:val="99"/>
    <w:rPr>
      <w:kern w:val="2"/>
      <w:sz w:val="18"/>
      <w:szCs w:val="18"/>
    </w:rPr>
  </w:style>
  <w:style w:type="character" w:customStyle="1" w:styleId="299">
    <w:name w:val="明显引用 Char"/>
    <w:uiPriority w:val="0"/>
    <w:rPr>
      <w:b/>
      <w:bCs/>
      <w:i/>
      <w:iCs/>
      <w:color w:val="4F81BD"/>
      <w:kern w:val="2"/>
      <w:sz w:val="21"/>
      <w:szCs w:val="22"/>
    </w:rPr>
  </w:style>
  <w:style w:type="character" w:customStyle="1" w:styleId="300">
    <w:name w:val="hui3"/>
    <w:uiPriority w:val="0"/>
    <w:rPr>
      <w:color w:val="333333"/>
    </w:rPr>
  </w:style>
  <w:style w:type="character" w:customStyle="1" w:styleId="301">
    <w:name w:val="批注文字 Char2"/>
    <w:semiHidden/>
    <w:uiPriority w:val="99"/>
    <w:rPr>
      <w:kern w:val="2"/>
      <w:sz w:val="21"/>
      <w:szCs w:val="24"/>
    </w:rPr>
  </w:style>
  <w:style w:type="character" w:customStyle="1" w:styleId="302">
    <w:name w:val="标题4 Char Char"/>
    <w:link w:val="303"/>
    <w:uiPriority w:val="0"/>
    <w:rPr>
      <w:rFonts w:ascii="Arial" w:hAnsi="Arial"/>
      <w:b/>
      <w:bCs/>
      <w:sz w:val="24"/>
      <w:szCs w:val="32"/>
    </w:rPr>
  </w:style>
  <w:style w:type="paragraph" w:customStyle="1" w:styleId="303">
    <w:name w:val="标题4"/>
    <w:basedOn w:val="3"/>
    <w:next w:val="33"/>
    <w:link w:val="302"/>
    <w:uiPriority w:val="0"/>
    <w:pPr>
      <w:spacing w:line="413" w:lineRule="auto"/>
      <w:ind w:firstLine="0"/>
      <w:jc w:val="both"/>
    </w:pPr>
    <w:rPr>
      <w:rFonts w:eastAsia="宋体"/>
      <w:kern w:val="0"/>
      <w:sz w:val="24"/>
    </w:rPr>
  </w:style>
  <w:style w:type="character" w:customStyle="1" w:styleId="304">
    <w:name w:val="正文文本 Char1"/>
    <w:uiPriority w:val="99"/>
    <w:rPr>
      <w:kern w:val="2"/>
      <w:sz w:val="21"/>
      <w:szCs w:val="22"/>
    </w:rPr>
  </w:style>
  <w:style w:type="character" w:customStyle="1" w:styleId="305">
    <w:name w:val="Char Char8"/>
    <w:qFormat/>
    <w:uiPriority w:val="0"/>
    <w:rPr>
      <w:rFonts w:eastAsia="宋体"/>
      <w:kern w:val="2"/>
      <w:sz w:val="21"/>
      <w:lang w:val="en-US" w:eastAsia="zh-CN" w:bidi="ar-SA"/>
    </w:rPr>
  </w:style>
  <w:style w:type="character" w:customStyle="1" w:styleId="306">
    <w:name w:val="apple-style-span"/>
    <w:uiPriority w:val="0"/>
  </w:style>
  <w:style w:type="character" w:customStyle="1" w:styleId="307">
    <w:name w:val="p12"/>
    <w:uiPriority w:val="0"/>
  </w:style>
  <w:style w:type="character" w:customStyle="1" w:styleId="308">
    <w:name w:val="Title Char2"/>
    <w:locked/>
    <w:uiPriority w:val="0"/>
    <w:rPr>
      <w:rFonts w:ascii="Cambria" w:hAnsi="Cambria" w:eastAsia="宋体" w:cs="Times New Roman"/>
      <w:b/>
      <w:bCs/>
      <w:sz w:val="32"/>
      <w:szCs w:val="32"/>
    </w:rPr>
  </w:style>
  <w:style w:type="character" w:customStyle="1" w:styleId="309">
    <w:name w:val="List Paragraph Char"/>
    <w:link w:val="310"/>
    <w:qFormat/>
    <w:locked/>
    <w:uiPriority w:val="0"/>
    <w:rPr>
      <w:rFonts w:ascii="Arial" w:hAnsi="Arial" w:cs="宋体"/>
      <w:kern w:val="2"/>
      <w:sz w:val="24"/>
    </w:rPr>
  </w:style>
  <w:style w:type="paragraph" w:customStyle="1" w:styleId="310">
    <w:name w:val="列出段落2"/>
    <w:basedOn w:val="1"/>
    <w:link w:val="309"/>
    <w:uiPriority w:val="0"/>
    <w:pPr>
      <w:spacing w:line="360" w:lineRule="auto"/>
      <w:ind w:firstLine="420" w:firstLineChars="200"/>
    </w:pPr>
    <w:rPr>
      <w:rFonts w:ascii="Arial" w:hAnsi="Arial"/>
      <w:sz w:val="24"/>
    </w:rPr>
  </w:style>
  <w:style w:type="character" w:customStyle="1" w:styleId="311">
    <w:name w:val="纯文本 Char1"/>
    <w:qFormat/>
    <w:uiPriority w:val="0"/>
    <w:rPr>
      <w:rFonts w:ascii="宋体" w:hAnsi="Courier New"/>
      <w:kern w:val="2"/>
      <w:sz w:val="21"/>
    </w:rPr>
  </w:style>
  <w:style w:type="character" w:customStyle="1" w:styleId="312">
    <w:name w:val="style211"/>
    <w:qFormat/>
    <w:uiPriority w:val="0"/>
    <w:rPr>
      <w:color w:val="000000"/>
    </w:rPr>
  </w:style>
  <w:style w:type="character" w:customStyle="1" w:styleId="313">
    <w:name w:val="Normal Indent Char"/>
    <w:locked/>
    <w:uiPriority w:val="0"/>
    <w:rPr>
      <w:rFonts w:ascii="Times New Roman" w:hAnsi="Times New Roman" w:eastAsia="宋体"/>
      <w:sz w:val="20"/>
    </w:rPr>
  </w:style>
  <w:style w:type="character" w:customStyle="1" w:styleId="314">
    <w:name w:val="title_emph"/>
    <w:qFormat/>
    <w:uiPriority w:val="0"/>
  </w:style>
  <w:style w:type="character" w:customStyle="1" w:styleId="315">
    <w:name w:val="ft621"/>
    <w:qFormat/>
    <w:uiPriority w:val="0"/>
    <w:rPr>
      <w:rFonts w:hint="default" w:ascii="Times" w:hAnsi="Times"/>
      <w:color w:val="000000"/>
      <w:spacing w:val="14"/>
      <w:sz w:val="15"/>
      <w:szCs w:val="15"/>
    </w:rPr>
  </w:style>
  <w:style w:type="character" w:customStyle="1" w:styleId="316">
    <w:name w:val="paramname3"/>
    <w:qFormat/>
    <w:uiPriority w:val="0"/>
    <w:rPr>
      <w:color w:val="999999"/>
    </w:rPr>
  </w:style>
  <w:style w:type="character" w:customStyle="1" w:styleId="317">
    <w:name w:val="正文首行缩进 Char"/>
    <w:qFormat/>
    <w:uiPriority w:val="0"/>
    <w:rPr>
      <w:rFonts w:ascii="宋体" w:hAnsi="宋体"/>
      <w:kern w:val="2"/>
      <w:sz w:val="21"/>
      <w:szCs w:val="24"/>
    </w:rPr>
  </w:style>
  <w:style w:type="character" w:customStyle="1" w:styleId="318">
    <w:name w:val="批注主题 Char2"/>
    <w:semiHidden/>
    <w:qFormat/>
    <w:uiPriority w:val="99"/>
    <w:rPr>
      <w:b/>
      <w:bCs/>
      <w:kern w:val="2"/>
      <w:sz w:val="21"/>
      <w:szCs w:val="24"/>
    </w:rPr>
  </w:style>
  <w:style w:type="character" w:customStyle="1" w:styleId="319">
    <w:name w:val="font41"/>
    <w:qFormat/>
    <w:uiPriority w:val="0"/>
    <w:rPr>
      <w:rFonts w:ascii="微软雅黑" w:hAnsi="微软雅黑" w:eastAsia="微软雅黑" w:cs="微软雅黑"/>
      <w:b/>
      <w:color w:val="FFFFFF"/>
      <w:sz w:val="20"/>
      <w:szCs w:val="20"/>
      <w:u w:val="none"/>
    </w:rPr>
  </w:style>
  <w:style w:type="character" w:customStyle="1" w:styleId="320">
    <w:name w:val="style3"/>
    <w:uiPriority w:val="0"/>
  </w:style>
  <w:style w:type="character" w:customStyle="1" w:styleId="321">
    <w:name w:val="Heading 3 Char"/>
    <w:qFormat/>
    <w:locked/>
    <w:uiPriority w:val="0"/>
    <w:rPr>
      <w:rFonts w:ascii="Calibri" w:hAnsi="Calibri" w:eastAsia="宋体" w:cs="Times New Roman"/>
      <w:b/>
      <w:bCs/>
      <w:sz w:val="32"/>
      <w:szCs w:val="32"/>
    </w:rPr>
  </w:style>
  <w:style w:type="character" w:customStyle="1" w:styleId="322">
    <w:name w:val="Char Char6"/>
    <w:qFormat/>
    <w:uiPriority w:val="0"/>
    <w:rPr>
      <w:kern w:val="2"/>
      <w:sz w:val="18"/>
      <w:szCs w:val="18"/>
    </w:rPr>
  </w:style>
  <w:style w:type="character" w:customStyle="1" w:styleId="323">
    <w:name w:val="批注主题 Char1"/>
    <w:uiPriority w:val="0"/>
    <w:rPr>
      <w:b/>
      <w:bCs/>
      <w:kern w:val="2"/>
      <w:sz w:val="21"/>
      <w:szCs w:val="22"/>
    </w:rPr>
  </w:style>
  <w:style w:type="character" w:customStyle="1" w:styleId="324">
    <w:name w:val="font161"/>
    <w:uiPriority w:val="0"/>
    <w:rPr>
      <w:b/>
      <w:sz w:val="32"/>
    </w:rPr>
  </w:style>
  <w:style w:type="character" w:customStyle="1" w:styleId="325">
    <w:name w:val="ca-13"/>
    <w:qFormat/>
    <w:uiPriority w:val="0"/>
    <w:rPr>
      <w:rFonts w:hint="eastAsia" w:ascii="宋体" w:hAnsi="宋体" w:eastAsia="宋体"/>
      <w:color w:val="000000"/>
      <w:sz w:val="21"/>
      <w:szCs w:val="21"/>
    </w:rPr>
  </w:style>
  <w:style w:type="character" w:customStyle="1" w:styleId="326">
    <w:name w:val="批注文字 Char1"/>
    <w:uiPriority w:val="99"/>
    <w:rPr>
      <w:rFonts w:eastAsia="宋体"/>
      <w:kern w:val="2"/>
      <w:sz w:val="21"/>
      <w:lang w:val="en-US" w:eastAsia="zh-CN" w:bidi="ar-SA"/>
    </w:rPr>
  </w:style>
  <w:style w:type="character" w:customStyle="1" w:styleId="327">
    <w:name w:val="Header Char"/>
    <w:qFormat/>
    <w:locked/>
    <w:uiPriority w:val="0"/>
    <w:rPr>
      <w:sz w:val="18"/>
    </w:rPr>
  </w:style>
  <w:style w:type="character" w:customStyle="1" w:styleId="328">
    <w:name w:val="列出段落 Char2"/>
    <w:qFormat/>
    <w:uiPriority w:val="34"/>
    <w:rPr>
      <w:kern w:val="2"/>
      <w:sz w:val="21"/>
      <w:szCs w:val="22"/>
    </w:rPr>
  </w:style>
  <w:style w:type="character" w:customStyle="1" w:styleId="329">
    <w:name w:val="2级标题 Char"/>
    <w:link w:val="330"/>
    <w:locked/>
    <w:uiPriority w:val="0"/>
    <w:rPr>
      <w:rFonts w:ascii="Arial" w:hAnsi="Arial" w:eastAsia="宋体" w:cs="宋体"/>
      <w:b/>
      <w:kern w:val="2"/>
      <w:sz w:val="32"/>
      <w:szCs w:val="32"/>
    </w:rPr>
  </w:style>
  <w:style w:type="paragraph" w:customStyle="1" w:styleId="330">
    <w:name w:val="2级标题"/>
    <w:basedOn w:val="148"/>
    <w:link w:val="329"/>
    <w:qFormat/>
    <w:uiPriority w:val="0"/>
    <w:pPr>
      <w:numPr>
        <w:ilvl w:val="1"/>
        <w:numId w:val="3"/>
      </w:numPr>
      <w:ind w:firstLine="0" w:firstLineChars="0"/>
      <w:outlineLvl w:val="1"/>
    </w:pPr>
    <w:rPr>
      <w:rFonts w:ascii="Arial" w:hAnsi="Arial"/>
      <w:b/>
      <w:sz w:val="32"/>
      <w:szCs w:val="32"/>
    </w:rPr>
  </w:style>
  <w:style w:type="character" w:customStyle="1" w:styleId="331">
    <w:name w:val="日期 Char1"/>
    <w:uiPriority w:val="0"/>
    <w:rPr>
      <w:kern w:val="2"/>
      <w:sz w:val="21"/>
      <w:szCs w:val="22"/>
    </w:rPr>
  </w:style>
  <w:style w:type="character" w:customStyle="1" w:styleId="332">
    <w:name w:val="文档结构图 Char1"/>
    <w:uiPriority w:val="0"/>
    <w:rPr>
      <w:rFonts w:ascii="宋体"/>
      <w:kern w:val="2"/>
      <w:sz w:val="18"/>
      <w:szCs w:val="18"/>
    </w:rPr>
  </w:style>
  <w:style w:type="character" w:customStyle="1" w:styleId="333">
    <w:name w:val="_Style 332"/>
    <w:qFormat/>
    <w:uiPriority w:val="0"/>
    <w:rPr>
      <w:i/>
      <w:iCs/>
      <w:color w:val="808080"/>
    </w:rPr>
  </w:style>
  <w:style w:type="character" w:customStyle="1" w:styleId="334">
    <w:name w:val="font51"/>
    <w:qFormat/>
    <w:uiPriority w:val="0"/>
    <w:rPr>
      <w:rFonts w:hint="eastAsia" w:ascii="宋体" w:hAnsi="宋体" w:eastAsia="宋体" w:cs="宋体"/>
      <w:color w:val="000000"/>
      <w:sz w:val="22"/>
      <w:szCs w:val="22"/>
      <w:u w:val="none"/>
    </w:rPr>
  </w:style>
  <w:style w:type="character" w:customStyle="1" w:styleId="335">
    <w:name w:val="标题6 Char"/>
    <w:link w:val="336"/>
    <w:locked/>
    <w:uiPriority w:val="0"/>
    <w:rPr>
      <w:rFonts w:ascii="Arial" w:hAnsi="Arial" w:eastAsia="黑体" w:cs="宋体"/>
      <w:b/>
      <w:bCs/>
      <w:kern w:val="2"/>
      <w:sz w:val="24"/>
      <w:lang w:val="en-US" w:eastAsia="zh-CN" w:bidi="ar-SA"/>
    </w:rPr>
  </w:style>
  <w:style w:type="paragraph" w:customStyle="1" w:styleId="336">
    <w:name w:val="标题6"/>
    <w:basedOn w:val="7"/>
    <w:next w:val="1"/>
    <w:link w:val="335"/>
    <w:qFormat/>
    <w:uiPriority w:val="0"/>
    <w:pPr>
      <w:keepLines/>
      <w:autoSpaceDE/>
      <w:autoSpaceDN/>
      <w:adjustRightInd/>
      <w:spacing w:before="240" w:beforeLines="0" w:after="64" w:afterLines="0" w:line="320" w:lineRule="auto"/>
      <w:jc w:val="both"/>
    </w:pPr>
    <w:rPr>
      <w:rFonts w:ascii="Arial" w:hAnsi="Arial" w:eastAsia="黑体" w:cs="宋体"/>
      <w:b/>
      <w:bCs/>
      <w:kern w:val="2"/>
      <w:sz w:val="24"/>
    </w:rPr>
  </w:style>
  <w:style w:type="character" w:customStyle="1" w:styleId="337">
    <w:name w:val="标题 2 Char1"/>
    <w:uiPriority w:val="9"/>
    <w:rPr>
      <w:rFonts w:ascii="Arial" w:hAnsi="Arial"/>
      <w:b/>
      <w:kern w:val="2"/>
      <w:sz w:val="28"/>
    </w:rPr>
  </w:style>
  <w:style w:type="character" w:customStyle="1" w:styleId="338">
    <w:name w:val="h31"/>
    <w:qFormat/>
    <w:uiPriority w:val="0"/>
    <w:rPr>
      <w:spacing w:val="314"/>
      <w:sz w:val="20"/>
      <w:szCs w:val="20"/>
    </w:rPr>
  </w:style>
  <w:style w:type="character" w:customStyle="1" w:styleId="339">
    <w:name w:val="样式1 Char Char"/>
    <w:link w:val="340"/>
    <w:locked/>
    <w:uiPriority w:val="0"/>
    <w:rPr>
      <w:rFonts w:ascii="宋体" w:hAnsi="宋体"/>
      <w:sz w:val="21"/>
    </w:rPr>
  </w:style>
  <w:style w:type="paragraph" w:customStyle="1" w:styleId="340">
    <w:name w:val="样式1"/>
    <w:basedOn w:val="1"/>
    <w:link w:val="339"/>
    <w:qFormat/>
    <w:uiPriority w:val="0"/>
    <w:pPr>
      <w:tabs>
        <w:tab w:val="left" w:pos="709"/>
      </w:tabs>
      <w:adjustRightInd w:val="0"/>
      <w:ind w:left="709" w:hanging="709"/>
      <w:textAlignment w:val="baseline"/>
    </w:pPr>
    <w:rPr>
      <w:rFonts w:ascii="宋体" w:hAnsi="宋体"/>
      <w:kern w:val="0"/>
    </w:rPr>
  </w:style>
  <w:style w:type="character" w:customStyle="1" w:styleId="341">
    <w:name w:val="Subtitle Char2"/>
    <w:qFormat/>
    <w:locked/>
    <w:uiPriority w:val="0"/>
    <w:rPr>
      <w:rFonts w:ascii="Cambria" w:hAnsi="Cambria" w:eastAsia="宋体" w:cs="Times New Roman"/>
      <w:b/>
      <w:bCs/>
      <w:kern w:val="28"/>
      <w:sz w:val="32"/>
      <w:szCs w:val="32"/>
    </w:rPr>
  </w:style>
  <w:style w:type="character" w:customStyle="1" w:styleId="342">
    <w:name w:val="Char Char16"/>
    <w:uiPriority w:val="0"/>
    <w:rPr>
      <w:rFonts w:ascii="Arial" w:hAnsi="Arial" w:eastAsia="黑体"/>
      <w:b/>
      <w:bCs/>
      <w:kern w:val="2"/>
      <w:sz w:val="32"/>
      <w:szCs w:val="32"/>
      <w:lang w:val="en-US" w:eastAsia="zh-CN" w:bidi="ar-SA"/>
    </w:rPr>
  </w:style>
  <w:style w:type="character" w:customStyle="1" w:styleId="343">
    <w:name w:val="style"/>
    <w:qFormat/>
    <w:uiPriority w:val="0"/>
  </w:style>
  <w:style w:type="character" w:customStyle="1" w:styleId="344">
    <w:name w:val="style111"/>
    <w:qFormat/>
    <w:uiPriority w:val="0"/>
    <w:rPr>
      <w:color w:val="0000FF"/>
    </w:rPr>
  </w:style>
  <w:style w:type="character" w:customStyle="1" w:styleId="345">
    <w:name w:val="font011"/>
    <w:uiPriority w:val="0"/>
    <w:rPr>
      <w:b/>
      <w:bCs/>
      <w:color w:val="0C5697"/>
    </w:rPr>
  </w:style>
  <w:style w:type="character" w:customStyle="1" w:styleId="346">
    <w:name w:val="正文文本 Char"/>
    <w:uiPriority w:val="0"/>
    <w:rPr>
      <w:kern w:val="2"/>
      <w:sz w:val="21"/>
      <w:szCs w:val="24"/>
    </w:rPr>
  </w:style>
  <w:style w:type="paragraph" w:customStyle="1" w:styleId="347">
    <w:name w:val="xl90"/>
    <w:basedOn w:val="1"/>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color w:val="000000"/>
      <w:kern w:val="0"/>
      <w:sz w:val="22"/>
      <w:szCs w:val="22"/>
    </w:rPr>
  </w:style>
  <w:style w:type="paragraph" w:customStyle="1" w:styleId="348">
    <w:name w:val="xl23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0"/>
    </w:rPr>
  </w:style>
  <w:style w:type="paragraph" w:customStyle="1" w:styleId="349">
    <w:name w:val="表格文字"/>
    <w:basedOn w:val="1"/>
    <w:uiPriority w:val="0"/>
    <w:pPr>
      <w:adjustRightInd w:val="0"/>
      <w:spacing w:line="420" w:lineRule="atLeast"/>
      <w:jc w:val="left"/>
      <w:textAlignment w:val="baseline"/>
    </w:pPr>
    <w:rPr>
      <w:kern w:val="0"/>
    </w:rPr>
  </w:style>
  <w:style w:type="paragraph" w:customStyle="1" w:styleId="350">
    <w:name w:val="eng"/>
    <w:basedOn w:val="1"/>
    <w:uiPriority w:val="0"/>
    <w:pPr>
      <w:widowControl/>
      <w:spacing w:before="100" w:beforeAutospacing="1" w:after="100" w:afterAutospacing="1"/>
      <w:jc w:val="left"/>
    </w:pPr>
    <w:rPr>
      <w:rFonts w:ascii="Verdana" w:hAnsi="Verdana"/>
      <w:color w:val="FFFFFF"/>
      <w:kern w:val="0"/>
      <w:sz w:val="18"/>
    </w:rPr>
  </w:style>
  <w:style w:type="paragraph" w:customStyle="1" w:styleId="351">
    <w:name w:val="xl2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楷体_GB2312"/>
      <w:kern w:val="0"/>
      <w:sz w:val="22"/>
      <w:szCs w:val="22"/>
    </w:rPr>
  </w:style>
  <w:style w:type="paragraph" w:customStyle="1" w:styleId="352">
    <w:name w:val="Char12"/>
    <w:basedOn w:val="1"/>
    <w:qFormat/>
    <w:uiPriority w:val="0"/>
    <w:rPr>
      <w:rFonts w:ascii="Tahoma" w:hAnsi="Tahoma"/>
      <w:sz w:val="24"/>
    </w:rPr>
  </w:style>
  <w:style w:type="paragraph" w:customStyle="1" w:styleId="353">
    <w:name w:val="SUR-需求定义-第4级"/>
    <w:basedOn w:val="5"/>
    <w:next w:val="1"/>
    <w:uiPriority w:val="0"/>
    <w:pPr>
      <w:numPr>
        <w:ilvl w:val="3"/>
        <w:numId w:val="1"/>
      </w:numPr>
      <w:tabs>
        <w:tab w:val="left" w:pos="1080"/>
        <w:tab w:val="clear" w:pos="2934"/>
      </w:tabs>
      <w:spacing w:before="0" w:after="0"/>
      <w:ind w:left="-283" w:firstLine="283"/>
      <w:jc w:val="left"/>
    </w:pPr>
    <w:rPr>
      <w:rFonts w:cs="Arial"/>
      <w:b w:val="0"/>
      <w:color w:val="0000FF"/>
      <w:sz w:val="24"/>
      <w:szCs w:val="24"/>
    </w:rPr>
  </w:style>
  <w:style w:type="paragraph" w:customStyle="1" w:styleId="354">
    <w:name w:val="Char Char Char Char Char Char1 Char Char"/>
    <w:basedOn w:val="1"/>
    <w:uiPriority w:val="0"/>
    <w:pPr>
      <w:widowControl/>
      <w:spacing w:after="160" w:line="240" w:lineRule="exact"/>
      <w:ind w:left="264" w:firstLine="280"/>
      <w:jc w:val="left"/>
    </w:pPr>
    <w:rPr>
      <w:rFonts w:ascii="Calibri" w:hAnsi="Calibri" w:cs="Droid Sans"/>
      <w:b/>
      <w:kern w:val="0"/>
      <w:sz w:val="24"/>
      <w:lang w:eastAsia="en-US"/>
    </w:rPr>
  </w:style>
  <w:style w:type="paragraph" w:customStyle="1" w:styleId="355">
    <w:name w:val="p22"/>
    <w:basedOn w:val="1"/>
    <w:uiPriority w:val="0"/>
    <w:pPr>
      <w:widowControl/>
      <w:spacing w:before="240" w:after="60"/>
      <w:jc w:val="center"/>
    </w:pPr>
    <w:rPr>
      <w:rFonts w:ascii="Cambria" w:hAnsi="Cambria" w:cs="宋体"/>
      <w:b/>
      <w:bCs/>
      <w:kern w:val="0"/>
      <w:sz w:val="32"/>
      <w:szCs w:val="32"/>
    </w:rPr>
  </w:style>
  <w:style w:type="paragraph" w:customStyle="1" w:styleId="356">
    <w:name w:val="普通(网站)1"/>
    <w:basedOn w:val="1"/>
    <w:qFormat/>
    <w:uiPriority w:val="0"/>
    <w:pPr>
      <w:widowControl/>
      <w:spacing w:before="75" w:after="75" w:line="432" w:lineRule="auto"/>
    </w:pPr>
    <w:rPr>
      <w:rFonts w:eastAsia="Times New Roman"/>
      <w:kern w:val="0"/>
      <w:sz w:val="24"/>
      <w:szCs w:val="24"/>
    </w:rPr>
  </w:style>
  <w:style w:type="paragraph" w:customStyle="1" w:styleId="357">
    <w:name w:val="about_main1"/>
    <w:basedOn w:val="1"/>
    <w:uiPriority w:val="0"/>
    <w:pPr>
      <w:widowControl/>
      <w:spacing w:before="24" w:after="100" w:afterAutospacing="1"/>
      <w:jc w:val="left"/>
    </w:pPr>
    <w:rPr>
      <w:rFonts w:ascii="宋体" w:hAnsi="宋体" w:cs="宋体"/>
      <w:kern w:val="0"/>
      <w:sz w:val="24"/>
      <w:szCs w:val="24"/>
    </w:rPr>
  </w:style>
  <w:style w:type="paragraph" w:customStyle="1" w:styleId="358">
    <w:name w:val="Char Char Char Char Char Char Char Char Char Char Char Char Char Char Char Char"/>
    <w:basedOn w:val="1"/>
    <w:qFormat/>
    <w:uiPriority w:val="0"/>
    <w:pPr>
      <w:tabs>
        <w:tab w:val="left" w:pos="360"/>
      </w:tabs>
      <w:spacing w:line="360" w:lineRule="auto"/>
      <w:ind w:left="482" w:firstLine="200" w:firstLineChars="200"/>
    </w:pPr>
    <w:rPr>
      <w:rFonts w:ascii="宋体"/>
      <w:sz w:val="24"/>
      <w:szCs w:val="24"/>
    </w:rPr>
  </w:style>
  <w:style w:type="paragraph" w:customStyle="1" w:styleId="359">
    <w:name w:val="xl2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kern w:val="0"/>
      <w:sz w:val="20"/>
    </w:rPr>
  </w:style>
  <w:style w:type="paragraph" w:customStyle="1" w:styleId="360">
    <w:name w:val="Char Char1 Char Char Char Char Char Char"/>
    <w:basedOn w:val="1"/>
    <w:uiPriority w:val="0"/>
    <w:pPr>
      <w:widowControl/>
      <w:adjustRightInd w:val="0"/>
      <w:snapToGrid w:val="0"/>
      <w:spacing w:line="360" w:lineRule="auto"/>
      <w:ind w:firstLine="601"/>
    </w:pPr>
    <w:rPr>
      <w:rFonts w:ascii="宋体" w:hAnsi="宋体"/>
      <w:color w:val="000000"/>
      <w:kern w:val="0"/>
      <w:sz w:val="24"/>
    </w:rPr>
  </w:style>
  <w:style w:type="paragraph" w:customStyle="1" w:styleId="361">
    <w:name w:val="条1"/>
    <w:basedOn w:val="1"/>
    <w:next w:val="362"/>
    <w:uiPriority w:val="0"/>
    <w:pPr>
      <w:numPr>
        <w:ilvl w:val="1"/>
        <w:numId w:val="5"/>
      </w:numPr>
      <w:tabs>
        <w:tab w:val="left" w:pos="810"/>
      </w:tabs>
      <w:outlineLvl w:val="1"/>
    </w:pPr>
    <w:rPr>
      <w:rFonts w:ascii="黑体" w:eastAsia="黑体"/>
      <w:kern w:val="21"/>
    </w:rPr>
  </w:style>
  <w:style w:type="paragraph" w:customStyle="1" w:styleId="362">
    <w:name w:val="段"/>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363">
    <w:name w:val="Table Heading"/>
    <w:basedOn w:val="364"/>
    <w:uiPriority w:val="0"/>
    <w:pPr>
      <w:jc w:val="center"/>
    </w:pPr>
    <w:rPr>
      <w:b/>
      <w:bCs/>
      <w:i/>
      <w:iCs/>
    </w:rPr>
  </w:style>
  <w:style w:type="paragraph" w:customStyle="1" w:styleId="364">
    <w:name w:val="Table Contents"/>
    <w:basedOn w:val="25"/>
    <w:qFormat/>
    <w:uiPriority w:val="0"/>
    <w:pPr>
      <w:suppressLineNumbers/>
      <w:suppressAutoHyphens/>
      <w:spacing w:after="120"/>
      <w:jc w:val="left"/>
    </w:pPr>
    <w:rPr>
      <w:rFonts w:ascii="Times New Roman" w:hAnsi="Times New Roman" w:eastAsia="PMingLiU"/>
      <w:kern w:val="0"/>
      <w:sz w:val="24"/>
      <w:szCs w:val="24"/>
    </w:rPr>
  </w:style>
  <w:style w:type="paragraph" w:customStyle="1" w:styleId="365">
    <w:name w:val="xl4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cs="楷体_GB2312"/>
      <w:kern w:val="0"/>
      <w:sz w:val="22"/>
      <w:szCs w:val="22"/>
    </w:rPr>
  </w:style>
  <w:style w:type="paragraph" w:customStyle="1" w:styleId="366">
    <w:name w:val="样式"/>
    <w:uiPriority w:val="0"/>
    <w:pPr>
      <w:widowControl w:val="0"/>
      <w:autoSpaceDE w:val="0"/>
      <w:autoSpaceDN w:val="0"/>
      <w:adjustRightInd w:val="0"/>
    </w:pPr>
    <w:rPr>
      <w:rFonts w:ascii="宋体" w:hAnsi="宋体" w:eastAsia="宋体" w:cs="宋体"/>
      <w:sz w:val="24"/>
      <w:szCs w:val="24"/>
      <w:lang w:val="en-US" w:eastAsia="zh-CN" w:bidi="ar-SA"/>
    </w:rPr>
  </w:style>
  <w:style w:type="paragraph" w:customStyle="1" w:styleId="367">
    <w:name w:val="xl93"/>
    <w:basedOn w:val="1"/>
    <w:uiPriority w:val="0"/>
    <w:pPr>
      <w:widowControl/>
      <w:pBdr>
        <w:bottom w:val="single" w:color="auto" w:sz="4" w:space="0"/>
      </w:pBdr>
      <w:shd w:val="clear" w:color="auto" w:fill="FFFFFF"/>
      <w:spacing w:before="100" w:beforeAutospacing="1" w:after="100" w:afterAutospacing="1"/>
      <w:jc w:val="center"/>
    </w:pPr>
    <w:rPr>
      <w:rFonts w:ascii="宋体" w:hAnsi="宋体" w:cs="宋体"/>
      <w:b/>
      <w:bCs/>
      <w:color w:val="000000"/>
      <w:kern w:val="0"/>
      <w:sz w:val="28"/>
      <w:szCs w:val="28"/>
    </w:rPr>
  </w:style>
  <w:style w:type="paragraph" w:customStyle="1" w:styleId="368">
    <w:name w:val="标题9"/>
    <w:basedOn w:val="10"/>
    <w:next w:val="1"/>
    <w:uiPriority w:val="0"/>
    <w:pPr>
      <w:tabs>
        <w:tab w:val="clear" w:pos="1584"/>
      </w:tabs>
      <w:ind w:left="1584" w:hanging="1584"/>
    </w:pPr>
    <w:rPr>
      <w:rFonts w:ascii="Cambria" w:hAnsi="Cambria" w:eastAsia="宋体"/>
      <w:lang w:eastAsia="en-US"/>
    </w:rPr>
  </w:style>
  <w:style w:type="paragraph" w:customStyle="1" w:styleId="369">
    <w:name w:val="Char Char Char Char Char Char Char"/>
    <w:basedOn w:val="1"/>
    <w:uiPriority w:val="0"/>
    <w:rPr>
      <w:szCs w:val="24"/>
    </w:rPr>
  </w:style>
  <w:style w:type="paragraph" w:customStyle="1" w:styleId="370">
    <w:name w:val="D标2"/>
    <w:basedOn w:val="3"/>
    <w:uiPriority w:val="0"/>
    <w:pPr>
      <w:keepLines w:val="0"/>
      <w:widowControl/>
      <w:tabs>
        <w:tab w:val="left" w:pos="425"/>
        <w:tab w:val="left" w:pos="810"/>
        <w:tab w:val="left" w:pos="1140"/>
      </w:tabs>
      <w:autoSpaceDE w:val="0"/>
      <w:autoSpaceDN w:val="0"/>
      <w:adjustRightInd w:val="0"/>
      <w:spacing w:before="360" w:after="0" w:line="480" w:lineRule="exact"/>
      <w:ind w:left="810" w:hanging="810"/>
      <w:jc w:val="left"/>
    </w:pPr>
    <w:rPr>
      <w:rFonts w:eastAsia="宋体" w:cs="Droid Sans"/>
      <w:bCs w:val="0"/>
      <w:kern w:val="0"/>
      <w:sz w:val="28"/>
      <w:szCs w:val="20"/>
    </w:rPr>
  </w:style>
  <w:style w:type="paragraph" w:customStyle="1" w:styleId="371">
    <w:name w:val="xl4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楷体_GB2312"/>
      <w:kern w:val="0"/>
      <w:sz w:val="22"/>
      <w:szCs w:val="22"/>
    </w:rPr>
  </w:style>
  <w:style w:type="paragraph" w:customStyle="1" w:styleId="372">
    <w:name w:val="Char Char Char Char1"/>
    <w:basedOn w:val="1"/>
    <w:qFormat/>
    <w:uiPriority w:val="0"/>
    <w:rPr>
      <w:rFonts w:ascii="Tahoma" w:hAnsi="Tahoma"/>
      <w:sz w:val="24"/>
    </w:rPr>
  </w:style>
  <w:style w:type="paragraph" w:customStyle="1" w:styleId="373">
    <w:name w:val="样式 首行缩进:  2 字符"/>
    <w:basedOn w:val="1"/>
    <w:uiPriority w:val="0"/>
    <w:pPr>
      <w:spacing w:line="400" w:lineRule="exact"/>
      <w:ind w:firstLine="200" w:firstLineChars="200"/>
    </w:pPr>
    <w:rPr>
      <w:rFonts w:cs="宋体"/>
      <w:sz w:val="24"/>
      <w:szCs w:val="24"/>
    </w:rPr>
  </w:style>
  <w:style w:type="paragraph" w:customStyle="1" w:styleId="374">
    <w:name w:val="Char Char Char Char Char Char Char1"/>
    <w:basedOn w:val="1"/>
    <w:qFormat/>
    <w:uiPriority w:val="0"/>
    <w:pPr>
      <w:spacing w:line="380" w:lineRule="exact"/>
      <w:ind w:firstLine="200" w:firstLineChars="200"/>
    </w:pPr>
    <w:rPr>
      <w:szCs w:val="24"/>
    </w:rPr>
  </w:style>
  <w:style w:type="paragraph" w:customStyle="1" w:styleId="375">
    <w:name w:val="CM51"/>
    <w:basedOn w:val="96"/>
    <w:next w:val="96"/>
    <w:uiPriority w:val="0"/>
    <w:pPr>
      <w:spacing w:after="103"/>
    </w:pPr>
    <w:rPr>
      <w:rFonts w:ascii="黑体" w:hAnsi="Calibri" w:eastAsia="黑体" w:cs="Times New Roman"/>
      <w:color w:val="auto"/>
      <w:szCs w:val="22"/>
    </w:rPr>
  </w:style>
  <w:style w:type="paragraph" w:customStyle="1" w:styleId="376">
    <w:name w:val="xl84"/>
    <w:basedOn w:val="1"/>
    <w:uiPriority w:val="0"/>
    <w:pPr>
      <w:widowControl/>
      <w:pBdr>
        <w:top w:val="single" w:color="auto" w:sz="4" w:space="0"/>
        <w:left w:val="single" w:color="auto" w:sz="4" w:space="0"/>
      </w:pBdr>
      <w:spacing w:before="100" w:beforeAutospacing="1" w:after="100" w:afterAutospacing="1"/>
      <w:jc w:val="center"/>
      <w:textAlignment w:val="center"/>
    </w:pPr>
    <w:rPr>
      <w:rFonts w:ascii="宋体" w:hAnsi="宋体" w:cs="宋体"/>
      <w:b/>
      <w:bCs/>
      <w:kern w:val="0"/>
      <w:sz w:val="22"/>
      <w:szCs w:val="22"/>
    </w:rPr>
  </w:style>
  <w:style w:type="paragraph" w:customStyle="1" w:styleId="377">
    <w:name w:val="日期1"/>
    <w:basedOn w:val="1"/>
    <w:next w:val="1"/>
    <w:qFormat/>
    <w:uiPriority w:val="0"/>
    <w:pPr>
      <w:ind w:left="100" w:leftChars="2500"/>
    </w:pPr>
    <w:rPr>
      <w:sz w:val="24"/>
    </w:rPr>
  </w:style>
  <w:style w:type="paragraph" w:customStyle="1" w:styleId="378">
    <w:name w:val="xl52"/>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cs="楷体_GB2312"/>
      <w:kern w:val="0"/>
      <w:sz w:val="24"/>
      <w:szCs w:val="24"/>
    </w:rPr>
  </w:style>
  <w:style w:type="paragraph" w:customStyle="1" w:styleId="379">
    <w:name w:val="xl73"/>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2"/>
      <w:szCs w:val="22"/>
    </w:rPr>
  </w:style>
  <w:style w:type="paragraph" w:customStyle="1" w:styleId="380">
    <w:name w:val="Char2"/>
    <w:basedOn w:val="1"/>
    <w:uiPriority w:val="0"/>
    <w:pPr>
      <w:widowControl/>
      <w:spacing w:after="160" w:line="240" w:lineRule="exact"/>
      <w:jc w:val="left"/>
    </w:pPr>
    <w:rPr>
      <w:rFonts w:ascii="Calibri" w:hAnsi="Calibri" w:eastAsia="Verdana" w:cs="Droid Sans"/>
      <w:kern w:val="0"/>
      <w:sz w:val="20"/>
      <w:lang w:eastAsia="en-US"/>
    </w:rPr>
  </w:style>
  <w:style w:type="paragraph" w:customStyle="1" w:styleId="381">
    <w:name w:val="规范"/>
    <w:basedOn w:val="1"/>
    <w:next w:val="1"/>
    <w:qFormat/>
    <w:uiPriority w:val="0"/>
    <w:pPr>
      <w:numPr>
        <w:ilvl w:val="0"/>
        <w:numId w:val="6"/>
      </w:numPr>
      <w:spacing w:line="288" w:lineRule="auto"/>
      <w:ind w:firstLine="0"/>
      <w:jc w:val="left"/>
    </w:pPr>
    <w:rPr>
      <w:sz w:val="24"/>
      <w:szCs w:val="24"/>
    </w:rPr>
  </w:style>
  <w:style w:type="paragraph" w:customStyle="1" w:styleId="382">
    <w:name w:val="xl246"/>
    <w:basedOn w:val="1"/>
    <w:uiPriority w:val="0"/>
    <w:pPr>
      <w:widowControl/>
      <w:spacing w:before="100" w:beforeAutospacing="1" w:after="100" w:afterAutospacing="1"/>
      <w:jc w:val="left"/>
      <w:textAlignment w:val="center"/>
    </w:pPr>
    <w:rPr>
      <w:rFonts w:ascii="宋体" w:hAnsi="宋体" w:cs="宋体"/>
      <w:kern w:val="0"/>
      <w:sz w:val="24"/>
      <w:szCs w:val="24"/>
    </w:rPr>
  </w:style>
  <w:style w:type="paragraph" w:customStyle="1" w:styleId="383">
    <w:name w:val="章标题"/>
    <w:next w:val="362"/>
    <w:qFormat/>
    <w:uiPriority w:val="0"/>
    <w:pPr>
      <w:spacing w:before="50" w:after="50"/>
      <w:jc w:val="both"/>
      <w:outlineLvl w:val="1"/>
    </w:pPr>
    <w:rPr>
      <w:rFonts w:ascii="黑体" w:hAnsi="Times New Roman" w:eastAsia="黑体" w:cs="Times New Roman"/>
      <w:sz w:val="21"/>
      <w:lang w:val="en-US" w:eastAsia="zh-CN" w:bidi="ar-SA"/>
    </w:rPr>
  </w:style>
  <w:style w:type="paragraph" w:customStyle="1" w:styleId="384">
    <w:name w:val="1.1.1"/>
    <w:basedOn w:val="1"/>
    <w:uiPriority w:val="0"/>
    <w:pPr>
      <w:tabs>
        <w:tab w:val="left" w:pos="0"/>
        <w:tab w:val="left" w:pos="1134"/>
        <w:tab w:val="left" w:pos="8505"/>
      </w:tabs>
      <w:autoSpaceDE w:val="0"/>
      <w:autoSpaceDN w:val="0"/>
      <w:adjustRightInd w:val="0"/>
      <w:spacing w:before="240" w:after="60" w:line="360" w:lineRule="atLeast"/>
    </w:pPr>
    <w:rPr>
      <w:rFonts w:ascii="宋体"/>
      <w:b/>
      <w:kern w:val="0"/>
      <w:sz w:val="24"/>
    </w:rPr>
  </w:style>
  <w:style w:type="paragraph" w:customStyle="1" w:styleId="385">
    <w:name w:val="TOC 标题1"/>
    <w:basedOn w:val="2"/>
    <w:next w:val="1"/>
    <w:qFormat/>
    <w:uiPriority w:val="0"/>
    <w:pPr>
      <w:spacing w:after="260" w:line="360" w:lineRule="auto"/>
      <w:outlineLvl w:val="9"/>
    </w:pPr>
    <w:rPr>
      <w:rFonts w:ascii="Calibri" w:hAnsi="Calibri"/>
      <w:sz w:val="32"/>
    </w:rPr>
  </w:style>
  <w:style w:type="paragraph" w:customStyle="1" w:styleId="386">
    <w:name w:val="标题2级"/>
    <w:basedOn w:val="148"/>
    <w:qFormat/>
    <w:uiPriority w:val="0"/>
    <w:pPr>
      <w:ind w:left="360" w:firstLine="0" w:firstLineChars="0"/>
      <w:outlineLvl w:val="0"/>
    </w:pPr>
    <w:rPr>
      <w:rFonts w:ascii="Calibri" w:hAnsi="Calibri"/>
      <w:b/>
      <w:sz w:val="30"/>
      <w:szCs w:val="30"/>
    </w:rPr>
  </w:style>
  <w:style w:type="paragraph" w:customStyle="1" w:styleId="387">
    <w:name w:val="元正正文标题2"/>
    <w:basedOn w:val="5"/>
    <w:uiPriority w:val="0"/>
    <w:pPr>
      <w:keepNext w:val="0"/>
      <w:keepLines w:val="0"/>
      <w:adjustRightInd w:val="0"/>
      <w:snapToGrid w:val="0"/>
      <w:spacing w:before="0" w:after="0" w:line="360" w:lineRule="auto"/>
      <w:jc w:val="center"/>
      <w:outlineLvl w:val="9"/>
    </w:pPr>
    <w:rPr>
      <w:rFonts w:ascii="Calibri" w:hAnsi="Calibri" w:eastAsia="宋体" w:cs="Droid Sans"/>
      <w:bCs w:val="0"/>
      <w:sz w:val="32"/>
      <w:szCs w:val="20"/>
    </w:rPr>
  </w:style>
  <w:style w:type="paragraph" w:customStyle="1" w:styleId="388">
    <w:name w:val="无间距"/>
    <w:basedOn w:val="1"/>
    <w:qFormat/>
    <w:uiPriority w:val="0"/>
    <w:rPr>
      <w:szCs w:val="22"/>
    </w:rPr>
  </w:style>
  <w:style w:type="paragraph" w:customStyle="1" w:styleId="389">
    <w:name w:val="Char1"/>
    <w:basedOn w:val="1"/>
    <w:uiPriority w:val="0"/>
    <w:rPr>
      <w:rFonts w:ascii="MS Mincho" w:hAnsi="MS Mincho" w:cs="Droid Sans"/>
      <w:sz w:val="24"/>
    </w:rPr>
  </w:style>
  <w:style w:type="paragraph" w:customStyle="1" w:styleId="390">
    <w:name w:val="xl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cs="楷体_GB2312"/>
      <w:kern w:val="0"/>
      <w:sz w:val="22"/>
      <w:szCs w:val="22"/>
    </w:rPr>
  </w:style>
  <w:style w:type="paragraph" w:customStyle="1" w:styleId="391">
    <w:name w:val="xl262"/>
    <w:basedOn w:val="1"/>
    <w:uiPriority w:val="0"/>
    <w:pPr>
      <w:widowControl/>
      <w:pBdr>
        <w:top w:val="single" w:color="auto" w:sz="4" w:space="0"/>
        <w:bottom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392">
    <w:name w:val="GP正文(首行缩进)"/>
    <w:basedOn w:val="1"/>
    <w:qFormat/>
    <w:uiPriority w:val="0"/>
    <w:pPr>
      <w:spacing w:line="360" w:lineRule="auto"/>
      <w:ind w:firstLine="480" w:firstLineChars="200"/>
      <w:jc w:val="left"/>
    </w:pPr>
    <w:rPr>
      <w:rFonts w:hAnsi="宋体"/>
      <w:sz w:val="24"/>
      <w:szCs w:val="24"/>
    </w:rPr>
  </w:style>
  <w:style w:type="paragraph" w:customStyle="1" w:styleId="393">
    <w:name w:val="普通(Web)2"/>
    <w:basedOn w:val="1"/>
    <w:qFormat/>
    <w:uiPriority w:val="0"/>
    <w:pPr>
      <w:widowControl/>
      <w:spacing w:before="88" w:after="100" w:afterAutospacing="1" w:line="316" w:lineRule="atLeast"/>
      <w:jc w:val="left"/>
    </w:pPr>
    <w:rPr>
      <w:rFonts w:ascii="宋体" w:hAnsi="宋体" w:cs="宋体"/>
      <w:kern w:val="0"/>
      <w:sz w:val="23"/>
      <w:szCs w:val="23"/>
    </w:rPr>
  </w:style>
  <w:style w:type="paragraph" w:customStyle="1" w:styleId="394">
    <w:name w:val="Default Paragraph Char Char Char Char"/>
    <w:basedOn w:val="1"/>
    <w:next w:val="1"/>
    <w:uiPriority w:val="0"/>
    <w:pPr>
      <w:widowControl/>
      <w:spacing w:line="360" w:lineRule="auto"/>
      <w:jc w:val="left"/>
    </w:pPr>
    <w:rPr>
      <w:kern w:val="0"/>
      <w:lang w:eastAsia="en-US"/>
    </w:rPr>
  </w:style>
  <w:style w:type="paragraph" w:customStyle="1" w:styleId="395">
    <w:name w:val="样式 标题 7 +"/>
    <w:basedOn w:val="8"/>
    <w:uiPriority w:val="0"/>
    <w:pPr>
      <w:spacing w:before="120" w:line="360" w:lineRule="auto"/>
      <w:ind w:right="0" w:rightChars="0" w:firstLine="464" w:firstLineChars="225"/>
      <w:jc w:val="center"/>
    </w:pPr>
    <w:rPr>
      <w:rFonts w:eastAsia="宋体" w:cs="宋体"/>
      <w:spacing w:val="0"/>
      <w:lang w:eastAsia="en-US"/>
    </w:rPr>
  </w:style>
  <w:style w:type="paragraph" w:customStyle="1" w:styleId="396">
    <w:name w:val="文章正文"/>
    <w:basedOn w:val="1"/>
    <w:uiPriority w:val="0"/>
    <w:pPr>
      <w:numPr>
        <w:ilvl w:val="1"/>
        <w:numId w:val="7"/>
      </w:numPr>
      <w:spacing w:before="156" w:beforeLines="50" w:after="156" w:afterLines="50" w:line="320" w:lineRule="exact"/>
      <w:ind w:left="0" w:firstLine="200" w:firstLineChars="200"/>
    </w:pPr>
    <w:rPr>
      <w:rFonts w:ascii="仿宋_GB2312" w:eastAsia="仿宋_GB2312"/>
      <w:sz w:val="28"/>
      <w:szCs w:val="24"/>
    </w:rPr>
  </w:style>
  <w:style w:type="paragraph" w:customStyle="1" w:styleId="397">
    <w:name w:val="xl24"/>
    <w:basedOn w:val="1"/>
    <w:uiPriority w:val="0"/>
    <w:pPr>
      <w:widowControl/>
      <w:pBdr>
        <w:bottom w:val="single" w:color="auto" w:sz="4" w:space="0"/>
        <w:right w:val="single" w:color="auto" w:sz="4" w:space="0"/>
      </w:pBdr>
      <w:spacing w:before="100" w:beforeAutospacing="1" w:after="100" w:afterAutospacing="1"/>
      <w:jc w:val="center"/>
    </w:pPr>
    <w:rPr>
      <w:rFonts w:ascii="Arial Unicode MS" w:hAnsi="Arial Unicode MS" w:eastAsia="Arial Unicode MS" w:cs="楷体_GB2312"/>
      <w:kern w:val="0"/>
      <w:sz w:val="22"/>
      <w:szCs w:val="22"/>
    </w:rPr>
  </w:style>
  <w:style w:type="paragraph" w:customStyle="1" w:styleId="398">
    <w:name w:val="Char Char Char Char Char Char Char Char Char Char Char Char Char Char Char Char1"/>
    <w:basedOn w:val="1"/>
    <w:uiPriority w:val="0"/>
    <w:pPr>
      <w:snapToGrid w:val="0"/>
      <w:spacing w:line="360" w:lineRule="auto"/>
      <w:ind w:firstLine="200" w:firstLineChars="200"/>
    </w:pPr>
    <w:rPr>
      <w:rFonts w:ascii="Tahoma" w:hAnsi="Tahoma" w:cs="宋体"/>
      <w:sz w:val="28"/>
      <w:szCs w:val="28"/>
    </w:rPr>
  </w:style>
  <w:style w:type="paragraph" w:customStyle="1" w:styleId="399">
    <w:name w:val="cjk"/>
    <w:basedOn w:val="1"/>
    <w:qFormat/>
    <w:uiPriority w:val="99"/>
    <w:pPr>
      <w:widowControl/>
      <w:spacing w:before="100" w:beforeAutospacing="1" w:after="100" w:afterAutospacing="1"/>
      <w:jc w:val="left"/>
    </w:pPr>
    <w:rPr>
      <w:rFonts w:ascii="宋体" w:hAnsi="宋体" w:cs="宋体"/>
      <w:kern w:val="0"/>
      <w:sz w:val="18"/>
      <w:szCs w:val="18"/>
      <w:u w:color="000000"/>
    </w:rPr>
  </w:style>
  <w:style w:type="paragraph" w:customStyle="1" w:styleId="400">
    <w:name w:val="D标3"/>
    <w:basedOn w:val="4"/>
    <w:qFormat/>
    <w:uiPriority w:val="0"/>
    <w:pPr>
      <w:keepNext w:val="0"/>
      <w:keepLines w:val="0"/>
      <w:tabs>
        <w:tab w:val="left" w:pos="1140"/>
      </w:tabs>
      <w:autoSpaceDE w:val="0"/>
      <w:autoSpaceDN w:val="0"/>
      <w:adjustRightInd w:val="0"/>
      <w:snapToGrid w:val="0"/>
      <w:spacing w:before="120" w:after="0" w:line="480" w:lineRule="atLeast"/>
      <w:jc w:val="both"/>
    </w:pPr>
    <w:rPr>
      <w:rFonts w:ascii="Calibri" w:hAnsi="Calibri" w:cs="Droid Sans"/>
      <w:b w:val="0"/>
      <w:bCs w:val="0"/>
      <w:kern w:val="0"/>
      <w:sz w:val="24"/>
      <w:szCs w:val="20"/>
    </w:rPr>
  </w:style>
  <w:style w:type="paragraph" w:customStyle="1" w:styleId="401">
    <w:name w:val="xl25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rPr>
  </w:style>
  <w:style w:type="paragraph" w:customStyle="1" w:styleId="402">
    <w:name w:val="文档正文"/>
    <w:basedOn w:val="1"/>
    <w:qFormat/>
    <w:uiPriority w:val="0"/>
    <w:pPr>
      <w:adjustRightInd w:val="0"/>
      <w:spacing w:line="480" w:lineRule="atLeast"/>
      <w:ind w:firstLine="567"/>
      <w:textAlignment w:val="baseline"/>
    </w:pPr>
    <w:rPr>
      <w:rFonts w:ascii="仿宋_GB2312" w:eastAsia="仿宋_GB2312"/>
      <w:kern w:val="0"/>
      <w:sz w:val="28"/>
    </w:rPr>
  </w:style>
  <w:style w:type="paragraph" w:customStyle="1" w:styleId="403">
    <w:name w:val="文字"/>
    <w:basedOn w:val="1"/>
    <w:qFormat/>
    <w:uiPriority w:val="0"/>
    <w:pPr>
      <w:tabs>
        <w:tab w:val="left" w:pos="8520"/>
      </w:tabs>
      <w:spacing w:line="312" w:lineRule="auto"/>
      <w:ind w:right="-210" w:firstLine="556"/>
    </w:pPr>
    <w:rPr>
      <w:rFonts w:ascii="Calibri" w:hAnsi="Calibri" w:eastAsia="Calibri" w:cs="Droid Sans"/>
      <w:sz w:val="28"/>
    </w:rPr>
  </w:style>
  <w:style w:type="paragraph" w:customStyle="1" w:styleId="404">
    <w:name w:val="6'"/>
    <w:basedOn w:val="1"/>
    <w:qFormat/>
    <w:uiPriority w:val="0"/>
    <w:pPr>
      <w:autoSpaceDE w:val="0"/>
      <w:autoSpaceDN w:val="0"/>
      <w:adjustRightInd w:val="0"/>
      <w:snapToGrid w:val="0"/>
      <w:spacing w:line="320" w:lineRule="exact"/>
      <w:jc w:val="center"/>
      <w:textAlignment w:val="baseline"/>
    </w:pPr>
    <w:rPr>
      <w:spacing w:val="20"/>
      <w:kern w:val="28"/>
    </w:rPr>
  </w:style>
  <w:style w:type="paragraph" w:customStyle="1" w:styleId="405">
    <w:name w:val="p16"/>
    <w:basedOn w:val="1"/>
    <w:qFormat/>
    <w:uiPriority w:val="99"/>
    <w:pPr>
      <w:widowControl/>
      <w:spacing w:before="100" w:beforeAutospacing="1" w:after="100" w:afterAutospacing="1"/>
      <w:jc w:val="left"/>
    </w:pPr>
    <w:rPr>
      <w:rFonts w:ascii="宋体" w:hAnsi="宋体" w:cs="宋体"/>
      <w:kern w:val="0"/>
      <w:sz w:val="24"/>
      <w:szCs w:val="24"/>
    </w:rPr>
  </w:style>
  <w:style w:type="paragraph" w:customStyle="1" w:styleId="406">
    <w:name w:val="一级标题"/>
    <w:basedOn w:val="1"/>
    <w:next w:val="407"/>
    <w:qFormat/>
    <w:uiPriority w:val="0"/>
    <w:pPr>
      <w:numPr>
        <w:ilvl w:val="2"/>
        <w:numId w:val="7"/>
      </w:numPr>
      <w:tabs>
        <w:tab w:val="left" w:pos="425"/>
      </w:tabs>
      <w:spacing w:after="312" w:afterLines="100"/>
      <w:ind w:left="850" w:hanging="425"/>
      <w:outlineLvl w:val="0"/>
    </w:pPr>
    <w:rPr>
      <w:rFonts w:ascii="黑体" w:eastAsia="黑体"/>
      <w:sz w:val="30"/>
      <w:szCs w:val="28"/>
    </w:rPr>
  </w:style>
  <w:style w:type="paragraph" w:customStyle="1" w:styleId="407">
    <w:name w:val="二级标题"/>
    <w:basedOn w:val="1"/>
    <w:next w:val="396"/>
    <w:uiPriority w:val="0"/>
    <w:pPr>
      <w:tabs>
        <w:tab w:val="left" w:pos="992"/>
      </w:tabs>
      <w:ind w:left="992" w:hanging="567"/>
      <w:outlineLvl w:val="1"/>
    </w:pPr>
    <w:rPr>
      <w:rFonts w:ascii="黑体" w:eastAsia="黑体"/>
      <w:sz w:val="28"/>
      <w:szCs w:val="24"/>
    </w:rPr>
  </w:style>
  <w:style w:type="paragraph" w:customStyle="1" w:styleId="408">
    <w:name w:val="正文标准样式ty"/>
    <w:basedOn w:val="1"/>
    <w:uiPriority w:val="0"/>
    <w:pPr>
      <w:spacing w:line="360" w:lineRule="auto"/>
      <w:ind w:firstLine="480" w:firstLineChars="200"/>
    </w:pPr>
    <w:rPr>
      <w:rFonts w:cs="宋体"/>
      <w:sz w:val="24"/>
    </w:rPr>
  </w:style>
  <w:style w:type="paragraph" w:customStyle="1" w:styleId="409">
    <w:name w:val="xl261"/>
    <w:basedOn w:val="1"/>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b/>
      <w:bCs/>
      <w:kern w:val="0"/>
      <w:sz w:val="24"/>
      <w:szCs w:val="24"/>
    </w:rPr>
  </w:style>
  <w:style w:type="paragraph" w:customStyle="1" w:styleId="410">
    <w:name w:val="TOC 标题11"/>
    <w:basedOn w:val="2"/>
    <w:next w:val="1"/>
    <w:unhideWhenUsed/>
    <w:qFormat/>
    <w:uiPriority w:val="99"/>
    <w:pPr>
      <w:widowControl/>
      <w:spacing w:before="480" w:after="0" w:line="276" w:lineRule="auto"/>
      <w:jc w:val="left"/>
      <w:outlineLvl w:val="9"/>
    </w:pPr>
    <w:rPr>
      <w:rFonts w:ascii="Cambria" w:hAnsi="Cambria"/>
      <w:color w:val="365F91"/>
      <w:kern w:val="0"/>
      <w:sz w:val="28"/>
      <w:szCs w:val="28"/>
    </w:rPr>
  </w:style>
  <w:style w:type="paragraph" w:customStyle="1" w:styleId="411">
    <w:name w:val="样式 标题 2 + Times New Roman 四号 非加粗 段前: 5 磅 段后: 0 磅 行距: 固定值 20..."/>
    <w:basedOn w:val="3"/>
    <w:uiPriority w:val="0"/>
    <w:pPr>
      <w:spacing w:before="100" w:after="0" w:line="400" w:lineRule="exact"/>
      <w:ind w:firstLine="0"/>
      <w:jc w:val="both"/>
    </w:pPr>
    <w:rPr>
      <w:rFonts w:ascii="Times New Roman" w:hAnsi="Times New Roman" w:eastAsia="宋体"/>
      <w:b w:val="0"/>
      <w:bCs w:val="0"/>
      <w:sz w:val="28"/>
      <w:szCs w:val="20"/>
    </w:rPr>
  </w:style>
  <w:style w:type="paragraph" w:customStyle="1" w:styleId="412">
    <w:name w:val="Char Char10 Char"/>
    <w:basedOn w:val="1"/>
    <w:uiPriority w:val="0"/>
    <w:rPr>
      <w:szCs w:val="24"/>
    </w:rPr>
  </w:style>
  <w:style w:type="paragraph" w:customStyle="1" w:styleId="413">
    <w:name w:val="xl245"/>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0"/>
    </w:rPr>
  </w:style>
  <w:style w:type="paragraph" w:customStyle="1" w:styleId="414">
    <w:name w:val="top1"/>
    <w:basedOn w:val="1"/>
    <w:qFormat/>
    <w:uiPriority w:val="0"/>
    <w:pPr>
      <w:widowControl/>
      <w:spacing w:before="100" w:beforeAutospacing="1" w:after="100" w:afterAutospacing="1"/>
      <w:jc w:val="left"/>
    </w:pPr>
    <w:rPr>
      <w:rFonts w:ascii="ˎ̥" w:hAnsi="ˎ̥"/>
      <w:color w:val="000066"/>
      <w:kern w:val="0"/>
      <w:sz w:val="18"/>
    </w:rPr>
  </w:style>
  <w:style w:type="paragraph" w:customStyle="1" w:styleId="415">
    <w:name w:val="xl32"/>
    <w:basedOn w:val="1"/>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Arial Unicode MS" w:hAnsi="Arial Unicode MS" w:eastAsia="Arial Unicode MS" w:cs="楷体_GB2312"/>
      <w:kern w:val="0"/>
      <w:sz w:val="22"/>
      <w:szCs w:val="22"/>
    </w:rPr>
  </w:style>
  <w:style w:type="paragraph" w:customStyle="1" w:styleId="416">
    <w:name w:val="Pa6"/>
    <w:basedOn w:val="1"/>
    <w:next w:val="1"/>
    <w:qFormat/>
    <w:uiPriority w:val="0"/>
    <w:pPr>
      <w:autoSpaceDE w:val="0"/>
      <w:autoSpaceDN w:val="0"/>
      <w:adjustRightInd w:val="0"/>
      <w:spacing w:line="221" w:lineRule="atLeast"/>
      <w:jc w:val="left"/>
    </w:pPr>
    <w:rPr>
      <w:rFonts w:hint="eastAsia" w:ascii="幼圆" w:hAnsi="幼圆" w:eastAsia="幼圆" w:cs="幼圆"/>
      <w:kern w:val="0"/>
      <w:sz w:val="24"/>
      <w:szCs w:val="28"/>
    </w:rPr>
  </w:style>
  <w:style w:type="paragraph" w:customStyle="1" w:styleId="417">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kern w:val="0"/>
      <w:sz w:val="32"/>
      <w:szCs w:val="32"/>
    </w:rPr>
  </w:style>
  <w:style w:type="paragraph" w:customStyle="1" w:styleId="418">
    <w:name w:val="style22"/>
    <w:basedOn w:val="1"/>
    <w:qFormat/>
    <w:uiPriority w:val="0"/>
    <w:pPr>
      <w:widowControl/>
      <w:spacing w:before="100" w:beforeAutospacing="1" w:after="100" w:afterAutospacing="1"/>
      <w:jc w:val="left"/>
    </w:pPr>
    <w:rPr>
      <w:rFonts w:ascii="宋体" w:hAnsi="宋体" w:cs="宋体"/>
      <w:b/>
      <w:bCs/>
      <w:color w:val="FF00FF"/>
      <w:kern w:val="0"/>
      <w:sz w:val="18"/>
      <w:szCs w:val="18"/>
    </w:rPr>
  </w:style>
  <w:style w:type="paragraph" w:customStyle="1" w:styleId="419">
    <w:name w:val="xl25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kern w:val="0"/>
      <w:sz w:val="24"/>
      <w:szCs w:val="24"/>
    </w:rPr>
  </w:style>
  <w:style w:type="paragraph" w:customStyle="1" w:styleId="420">
    <w:name w:val="r_title"/>
    <w:basedOn w:val="1"/>
    <w:uiPriority w:val="0"/>
    <w:pPr>
      <w:widowControl/>
      <w:spacing w:before="100" w:beforeAutospacing="1" w:after="100" w:afterAutospacing="1"/>
      <w:jc w:val="left"/>
    </w:pPr>
    <w:rPr>
      <w:rFonts w:ascii="ˎ̥" w:hAnsi="ˎ̥"/>
      <w:color w:val="000000"/>
      <w:kern w:val="0"/>
      <w:sz w:val="18"/>
    </w:rPr>
  </w:style>
  <w:style w:type="paragraph" w:customStyle="1" w:styleId="421">
    <w:name w:val="默认段落字体 Para Char Char Char Char Char Char Char"/>
    <w:basedOn w:val="1"/>
    <w:uiPriority w:val="0"/>
    <w:rPr>
      <w:rFonts w:ascii="MS Mincho" w:hAnsi="MS Mincho" w:cs="Droid Sans"/>
      <w:sz w:val="24"/>
    </w:rPr>
  </w:style>
  <w:style w:type="paragraph" w:customStyle="1" w:styleId="422">
    <w:name w:val="样式 标题 5 + 宋体"/>
    <w:basedOn w:val="6"/>
    <w:qFormat/>
    <w:uiPriority w:val="0"/>
    <w:pPr>
      <w:keepLines/>
      <w:spacing w:before="100" w:line="372" w:lineRule="auto"/>
    </w:pPr>
    <w:rPr>
      <w:rFonts w:ascii="楷体_GB2312" w:hAnsi="楷体_GB2312" w:cs="Droid Sans"/>
      <w:b/>
      <w:bCs w:val="0"/>
      <w:sz w:val="24"/>
      <w:szCs w:val="24"/>
    </w:rPr>
  </w:style>
  <w:style w:type="paragraph" w:customStyle="1" w:styleId="423">
    <w:name w:val="样式 标题 1 + 黑体 三号 非加粗 居中 段前: 6 磅 段后: 6 磅 行距: 固定值 20 磅"/>
    <w:basedOn w:val="2"/>
    <w:qFormat/>
    <w:uiPriority w:val="0"/>
    <w:pPr>
      <w:spacing w:before="120" w:after="120" w:line="400" w:lineRule="exact"/>
    </w:pPr>
    <w:rPr>
      <w:rFonts w:ascii="黑体" w:hAnsi="黑体" w:eastAsia="黑体"/>
      <w:b w:val="0"/>
      <w:bCs w:val="0"/>
      <w:sz w:val="32"/>
      <w:szCs w:val="20"/>
    </w:rPr>
  </w:style>
  <w:style w:type="paragraph" w:customStyle="1" w:styleId="424">
    <w:name w:val="xl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top"/>
    </w:pPr>
    <w:rPr>
      <w:rFonts w:eastAsia="Arial Unicode MS"/>
      <w:kern w:val="0"/>
      <w:sz w:val="22"/>
      <w:szCs w:val="22"/>
    </w:rPr>
  </w:style>
  <w:style w:type="paragraph" w:customStyle="1" w:styleId="425">
    <w:name w:val="NNN Char Char Char1 Char Char Char Char Char Char"/>
    <w:basedOn w:val="1"/>
    <w:uiPriority w:val="0"/>
    <w:pPr>
      <w:tabs>
        <w:tab w:val="left" w:pos="360"/>
      </w:tabs>
    </w:pPr>
    <w:rPr>
      <w:sz w:val="24"/>
      <w:szCs w:val="24"/>
    </w:rPr>
  </w:style>
  <w:style w:type="paragraph" w:customStyle="1" w:styleId="426">
    <w:name w:val="xl31"/>
    <w:basedOn w:val="1"/>
    <w:uiPriority w:val="0"/>
    <w:pPr>
      <w:widowControl/>
      <w:spacing w:before="100" w:beforeAutospacing="1" w:after="100" w:afterAutospacing="1"/>
      <w:jc w:val="center"/>
    </w:pPr>
    <w:rPr>
      <w:rFonts w:ascii="宋体" w:hAnsi="宋体"/>
      <w:b/>
      <w:bCs/>
      <w:kern w:val="0"/>
      <w:sz w:val="28"/>
      <w:szCs w:val="28"/>
    </w:rPr>
  </w:style>
  <w:style w:type="paragraph" w:customStyle="1" w:styleId="427">
    <w:name w:val="Char21"/>
    <w:basedOn w:val="1"/>
    <w:uiPriority w:val="0"/>
    <w:rPr>
      <w:rFonts w:ascii="Tahoma" w:hAnsi="Tahoma"/>
      <w:sz w:val="24"/>
    </w:rPr>
  </w:style>
  <w:style w:type="paragraph" w:customStyle="1" w:styleId="428">
    <w:name w:val="xl83"/>
    <w:basedOn w:val="1"/>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b/>
      <w:bCs/>
      <w:kern w:val="0"/>
      <w:sz w:val="22"/>
      <w:szCs w:val="22"/>
    </w:rPr>
  </w:style>
  <w:style w:type="paragraph" w:customStyle="1" w:styleId="429">
    <w:name w:val="ZHENWEN"/>
    <w:basedOn w:val="25"/>
    <w:qFormat/>
    <w:uiPriority w:val="0"/>
    <w:pPr>
      <w:spacing w:before="120" w:after="120"/>
      <w:ind w:firstLine="200" w:firstLineChars="200"/>
      <w:jc w:val="left"/>
    </w:pPr>
    <w:rPr>
      <w:rFonts w:ascii="Wingdings" w:hAnsi="Wingdings" w:eastAsia="Calibri" w:cs="Droid Sans"/>
      <w:sz w:val="24"/>
    </w:rPr>
  </w:style>
  <w:style w:type="paragraph" w:customStyle="1" w:styleId="430">
    <w:name w:val="Char Char Char Char Char Char Char Char Char Char Char Char1"/>
    <w:basedOn w:val="1"/>
    <w:qFormat/>
    <w:uiPriority w:val="0"/>
    <w:pPr>
      <w:spacing w:line="300" w:lineRule="auto"/>
    </w:pPr>
    <w:rPr>
      <w:rFonts w:ascii="宋体" w:hAnsi="宋体"/>
      <w:b/>
      <w:bCs/>
      <w:color w:val="000000"/>
      <w:spacing w:val="8"/>
      <w:kern w:val="0"/>
      <w:sz w:val="24"/>
      <w:szCs w:val="24"/>
    </w:rPr>
  </w:style>
  <w:style w:type="paragraph" w:customStyle="1" w:styleId="431">
    <w:name w:val="五级条标题"/>
    <w:basedOn w:val="432"/>
    <w:next w:val="362"/>
    <w:uiPriority w:val="0"/>
    <w:pPr>
      <w:outlineLvl w:val="6"/>
    </w:pPr>
  </w:style>
  <w:style w:type="paragraph" w:customStyle="1" w:styleId="432">
    <w:name w:val="四级条标题"/>
    <w:basedOn w:val="433"/>
    <w:next w:val="362"/>
    <w:qFormat/>
    <w:uiPriority w:val="0"/>
    <w:pPr>
      <w:outlineLvl w:val="5"/>
    </w:pPr>
  </w:style>
  <w:style w:type="paragraph" w:customStyle="1" w:styleId="433">
    <w:name w:val="三级条标题"/>
    <w:basedOn w:val="434"/>
    <w:next w:val="362"/>
    <w:qFormat/>
    <w:uiPriority w:val="0"/>
    <w:pPr>
      <w:outlineLvl w:val="4"/>
    </w:pPr>
  </w:style>
  <w:style w:type="paragraph" w:customStyle="1" w:styleId="434">
    <w:name w:val="二级条标题"/>
    <w:basedOn w:val="435"/>
    <w:next w:val="362"/>
    <w:qFormat/>
    <w:uiPriority w:val="0"/>
    <w:pPr>
      <w:outlineLvl w:val="3"/>
    </w:pPr>
  </w:style>
  <w:style w:type="paragraph" w:customStyle="1" w:styleId="435">
    <w:name w:val="一级条标题"/>
    <w:basedOn w:val="383"/>
    <w:next w:val="362"/>
    <w:uiPriority w:val="0"/>
    <w:pPr>
      <w:spacing w:before="0" w:after="0"/>
      <w:outlineLvl w:val="2"/>
    </w:pPr>
    <w:rPr>
      <w:rFonts w:ascii="宋体" w:eastAsia="宋体"/>
    </w:rPr>
  </w:style>
  <w:style w:type="paragraph" w:customStyle="1" w:styleId="436">
    <w:name w:val="默认段落字体 Para Char Char Char Char Char Char Char Char Char Char"/>
    <w:basedOn w:val="19"/>
    <w:qFormat/>
    <w:uiPriority w:val="0"/>
    <w:pPr>
      <w:shd w:val="clear" w:color="auto" w:fill="auto"/>
    </w:pPr>
    <w:rPr>
      <w:rFonts w:ascii="宋体"/>
      <w:sz w:val="18"/>
      <w:szCs w:val="18"/>
    </w:rPr>
  </w:style>
  <w:style w:type="paragraph" w:customStyle="1" w:styleId="437">
    <w:name w:val="font5"/>
    <w:basedOn w:val="1"/>
    <w:uiPriority w:val="0"/>
    <w:pPr>
      <w:widowControl/>
      <w:spacing w:before="100" w:beforeAutospacing="1" w:after="100" w:afterAutospacing="1"/>
      <w:jc w:val="left"/>
    </w:pPr>
    <w:rPr>
      <w:rFonts w:hint="eastAsia" w:ascii="宋体" w:hAnsi="宋体"/>
      <w:kern w:val="0"/>
      <w:sz w:val="18"/>
      <w:szCs w:val="18"/>
    </w:rPr>
  </w:style>
  <w:style w:type="paragraph" w:customStyle="1" w:styleId="438">
    <w:name w:val="1 Char"/>
    <w:basedOn w:val="1"/>
    <w:uiPriority w:val="0"/>
    <w:rPr>
      <w:rFonts w:ascii="Tahoma" w:hAnsi="Tahoma"/>
      <w:sz w:val="24"/>
    </w:rPr>
  </w:style>
  <w:style w:type="paragraph" w:customStyle="1" w:styleId="439">
    <w:name w:val="lift_top"/>
    <w:basedOn w:val="1"/>
    <w:uiPriority w:val="0"/>
    <w:pPr>
      <w:widowControl/>
      <w:spacing w:before="100" w:beforeAutospacing="1" w:after="100" w:afterAutospacing="1"/>
      <w:jc w:val="left"/>
    </w:pPr>
    <w:rPr>
      <w:rFonts w:ascii="ˎ̥" w:hAnsi="ˎ̥"/>
      <w:color w:val="000099"/>
      <w:kern w:val="0"/>
      <w:sz w:val="9"/>
    </w:rPr>
  </w:style>
  <w:style w:type="paragraph" w:customStyle="1" w:styleId="440">
    <w:name w:val="xl5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2"/>
      <w:szCs w:val="22"/>
    </w:rPr>
  </w:style>
  <w:style w:type="paragraph" w:customStyle="1" w:styleId="441">
    <w:name w:val="_Style 13"/>
    <w:basedOn w:val="1"/>
    <w:qFormat/>
    <w:uiPriority w:val="0"/>
    <w:pPr>
      <w:tabs>
        <w:tab w:val="left" w:pos="425"/>
      </w:tabs>
      <w:ind w:left="425" w:hanging="425"/>
    </w:pPr>
    <w:rPr>
      <w:rFonts w:cs="Droid Sans"/>
      <w:sz w:val="18"/>
    </w:rPr>
  </w:style>
  <w:style w:type="paragraph" w:customStyle="1" w:styleId="442">
    <w:name w:val="标书正文"/>
    <w:basedOn w:val="1"/>
    <w:uiPriority w:val="0"/>
    <w:pPr>
      <w:snapToGrid w:val="0"/>
      <w:spacing w:line="360" w:lineRule="auto"/>
      <w:ind w:firstLine="560" w:firstLineChars="200"/>
    </w:pPr>
    <w:rPr>
      <w:rFonts w:ascii="宋体" w:hAnsi="宋体"/>
      <w:color w:val="000000"/>
      <w:sz w:val="24"/>
    </w:rPr>
  </w:style>
  <w:style w:type="paragraph" w:customStyle="1" w:styleId="443">
    <w:name w:val="样式 标题 8 + 左"/>
    <w:basedOn w:val="9"/>
    <w:uiPriority w:val="0"/>
    <w:pPr>
      <w:tabs>
        <w:tab w:val="clear" w:pos="1440"/>
      </w:tabs>
      <w:spacing w:line="319" w:lineRule="auto"/>
      <w:ind w:left="1440" w:hanging="1440"/>
      <w:jc w:val="left"/>
    </w:pPr>
    <w:rPr>
      <w:rFonts w:ascii="Cambria" w:hAnsi="Cambria" w:eastAsia="宋体" w:cs="宋体"/>
      <w:szCs w:val="20"/>
      <w:lang w:eastAsia="en-US"/>
    </w:rPr>
  </w:style>
  <w:style w:type="paragraph" w:customStyle="1" w:styleId="444">
    <w:name w:val="样式 小四 段前: 5 磅 段后: 5 磅 首行缩进:  2 字符"/>
    <w:basedOn w:val="1"/>
    <w:qFormat/>
    <w:uiPriority w:val="0"/>
    <w:pPr>
      <w:spacing w:before="100" w:after="50" w:afterLines="50" w:line="360" w:lineRule="auto"/>
    </w:pPr>
    <w:rPr>
      <w:rFonts w:ascii="Calibri" w:hAnsi="Calibri" w:cs="Droid Sans"/>
      <w:kern w:val="0"/>
      <w:sz w:val="24"/>
    </w:rPr>
  </w:style>
  <w:style w:type="paragraph" w:customStyle="1" w:styleId="445">
    <w:name w:val="font7"/>
    <w:basedOn w:val="1"/>
    <w:uiPriority w:val="0"/>
    <w:pPr>
      <w:widowControl/>
      <w:spacing w:before="100" w:beforeAutospacing="1" w:after="100" w:afterAutospacing="1"/>
      <w:jc w:val="left"/>
    </w:pPr>
    <w:rPr>
      <w:rFonts w:hint="eastAsia" w:ascii="幼圆" w:hAnsi="宋体" w:eastAsia="幼圆"/>
      <w:kern w:val="0"/>
      <w:sz w:val="32"/>
      <w:szCs w:val="32"/>
    </w:rPr>
  </w:style>
  <w:style w:type="paragraph" w:customStyle="1" w:styleId="446">
    <w:name w:val="top"/>
    <w:basedOn w:val="1"/>
    <w:qFormat/>
    <w:uiPriority w:val="0"/>
    <w:pPr>
      <w:widowControl/>
      <w:spacing w:before="100" w:beforeAutospacing="1" w:after="100" w:afterAutospacing="1"/>
      <w:jc w:val="left"/>
    </w:pPr>
    <w:rPr>
      <w:rFonts w:ascii="ˎ̥" w:hAnsi="ˎ̥"/>
      <w:color w:val="FFFFFF"/>
      <w:kern w:val="0"/>
      <w:sz w:val="18"/>
    </w:rPr>
  </w:style>
  <w:style w:type="paragraph" w:customStyle="1" w:styleId="447">
    <w:name w:val="xl25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rPr>
  </w:style>
  <w:style w:type="paragraph" w:customStyle="1" w:styleId="448">
    <w:name w:val="xl244"/>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rPr>
  </w:style>
  <w:style w:type="paragraph" w:customStyle="1" w:styleId="449">
    <w:name w:val="D&amp;L"/>
    <w:basedOn w:val="43"/>
    <w:uiPriority w:val="0"/>
    <w:pPr>
      <w:pBdr>
        <w:bottom w:val="thinThickSmallGap" w:color="auto" w:sz="18" w:space="1"/>
      </w:pBdr>
      <w:adjustRightInd w:val="0"/>
      <w:snapToGrid/>
      <w:spacing w:line="240" w:lineRule="atLeast"/>
      <w:textAlignment w:val="baseline"/>
    </w:pPr>
    <w:rPr>
      <w:kern w:val="0"/>
      <w:sz w:val="24"/>
    </w:rPr>
  </w:style>
  <w:style w:type="paragraph" w:customStyle="1" w:styleId="450">
    <w:name w:val="1 Char Char Char Char"/>
    <w:basedOn w:val="1"/>
    <w:qFormat/>
    <w:uiPriority w:val="0"/>
    <w:rPr>
      <w:rFonts w:ascii="Tahoma" w:hAnsi="Tahoma"/>
      <w:sz w:val="24"/>
    </w:rPr>
  </w:style>
  <w:style w:type="paragraph" w:customStyle="1" w:styleId="451">
    <w:name w:val="样式 标题 8 +"/>
    <w:basedOn w:val="9"/>
    <w:uiPriority w:val="0"/>
    <w:pPr>
      <w:tabs>
        <w:tab w:val="clear" w:pos="1440"/>
      </w:tabs>
      <w:spacing w:line="319" w:lineRule="auto"/>
      <w:ind w:left="1440" w:hanging="1440"/>
      <w:jc w:val="left"/>
    </w:pPr>
    <w:rPr>
      <w:rFonts w:ascii="Cambria" w:hAnsi="Cambria" w:eastAsia="宋体"/>
      <w:lang w:eastAsia="en-US"/>
    </w:rPr>
  </w:style>
  <w:style w:type="paragraph" w:customStyle="1" w:styleId="452">
    <w:name w:val="图"/>
    <w:basedOn w:val="1"/>
    <w:uiPriority w:val="0"/>
    <w:pPr>
      <w:keepNext/>
      <w:adjustRightInd w:val="0"/>
      <w:spacing w:before="60" w:after="60" w:line="300" w:lineRule="auto"/>
      <w:jc w:val="center"/>
      <w:textAlignment w:val="center"/>
    </w:pPr>
    <w:rPr>
      <w:snapToGrid w:val="0"/>
      <w:spacing w:val="20"/>
      <w:kern w:val="0"/>
      <w:sz w:val="24"/>
    </w:rPr>
  </w:style>
  <w:style w:type="paragraph" w:customStyle="1" w:styleId="453">
    <w:name w:val="xl24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rPr>
  </w:style>
  <w:style w:type="paragraph" w:customStyle="1" w:styleId="454">
    <w:name w:val="_Style 2"/>
    <w:basedOn w:val="1"/>
    <w:qFormat/>
    <w:uiPriority w:val="0"/>
    <w:pPr>
      <w:ind w:firstLine="420" w:firstLineChars="200"/>
    </w:pPr>
    <w:rPr>
      <w:rFonts w:cs="Droid Sans"/>
    </w:rPr>
  </w:style>
  <w:style w:type="paragraph" w:customStyle="1" w:styleId="455">
    <w:name w:val="xl92"/>
    <w:basedOn w:val="1"/>
    <w:qFormat/>
    <w:uiPriority w:val="0"/>
    <w:pPr>
      <w:widowControl/>
      <w:spacing w:before="100" w:beforeAutospacing="1" w:after="100" w:afterAutospacing="1"/>
      <w:jc w:val="center"/>
    </w:pPr>
    <w:rPr>
      <w:rFonts w:ascii="宋体" w:hAnsi="宋体" w:cs="宋体"/>
      <w:b/>
      <w:bCs/>
      <w:color w:val="000000"/>
      <w:kern w:val="0"/>
      <w:sz w:val="28"/>
      <w:szCs w:val="28"/>
    </w:rPr>
  </w:style>
  <w:style w:type="paragraph" w:customStyle="1" w:styleId="456">
    <w:name w:val="Char Char Char Char Char Char Char1 Char"/>
    <w:basedOn w:val="1"/>
    <w:qFormat/>
    <w:uiPriority w:val="0"/>
    <w:rPr>
      <w:rFonts w:ascii="Tahoma" w:hAnsi="Tahoma"/>
      <w:sz w:val="24"/>
    </w:rPr>
  </w:style>
  <w:style w:type="paragraph" w:customStyle="1" w:styleId="457">
    <w:name w:val="style11"/>
    <w:basedOn w:val="1"/>
    <w:qFormat/>
    <w:uiPriority w:val="0"/>
    <w:pPr>
      <w:widowControl/>
      <w:spacing w:before="100" w:beforeAutospacing="1" w:after="100" w:afterAutospacing="1"/>
      <w:jc w:val="left"/>
    </w:pPr>
    <w:rPr>
      <w:rFonts w:ascii="宋体" w:hAnsi="宋体" w:cs="宋体"/>
      <w:color w:val="0000FF"/>
      <w:kern w:val="0"/>
      <w:sz w:val="18"/>
      <w:szCs w:val="18"/>
    </w:rPr>
  </w:style>
  <w:style w:type="paragraph" w:customStyle="1" w:styleId="458">
    <w:name w:val="ZW"/>
    <w:basedOn w:val="1"/>
    <w:uiPriority w:val="0"/>
    <w:pPr>
      <w:widowControl/>
      <w:topLinePunct/>
      <w:spacing w:line="360" w:lineRule="auto"/>
      <w:ind w:firstLine="425" w:firstLineChars="200"/>
    </w:pPr>
    <w:rPr>
      <w:rFonts w:eastAsia="仿宋_GB2312"/>
      <w:spacing w:val="8"/>
      <w:sz w:val="24"/>
    </w:rPr>
  </w:style>
  <w:style w:type="paragraph" w:customStyle="1" w:styleId="459">
    <w:name w:val="D标4"/>
    <w:basedOn w:val="1"/>
    <w:next w:val="460"/>
    <w:qFormat/>
    <w:uiPriority w:val="0"/>
    <w:pPr>
      <w:numPr>
        <w:ilvl w:val="0"/>
        <w:numId w:val="8"/>
      </w:numPr>
      <w:tabs>
        <w:tab w:val="left" w:pos="1140"/>
        <w:tab w:val="left" w:pos="2700"/>
      </w:tabs>
      <w:autoSpaceDE w:val="0"/>
      <w:autoSpaceDN w:val="0"/>
      <w:adjustRightInd w:val="0"/>
      <w:spacing w:before="120" w:line="480" w:lineRule="atLeast"/>
    </w:pPr>
    <w:rPr>
      <w:rFonts w:ascii="Calibri" w:hAnsi="Calibri" w:cs="Droid Sans"/>
      <w:kern w:val="0"/>
      <w:sz w:val="24"/>
    </w:rPr>
  </w:style>
  <w:style w:type="paragraph" w:customStyle="1" w:styleId="460">
    <w:name w:val="D文1"/>
    <w:basedOn w:val="1"/>
    <w:qFormat/>
    <w:uiPriority w:val="0"/>
    <w:pPr>
      <w:tabs>
        <w:tab w:val="left" w:pos="720"/>
      </w:tabs>
      <w:autoSpaceDE w:val="0"/>
      <w:autoSpaceDN w:val="0"/>
      <w:adjustRightInd w:val="0"/>
      <w:spacing w:after="120" w:line="480" w:lineRule="atLeast"/>
      <w:ind w:left="680" w:firstLine="510"/>
    </w:pPr>
    <w:rPr>
      <w:rFonts w:ascii="Calibri" w:hAnsi="Calibri" w:cs="Droid Sans"/>
      <w:kern w:val="0"/>
      <w:sz w:val="24"/>
    </w:rPr>
  </w:style>
  <w:style w:type="paragraph" w:customStyle="1" w:styleId="461">
    <w:name w:val="Char3"/>
    <w:basedOn w:val="1"/>
    <w:qFormat/>
    <w:uiPriority w:val="0"/>
    <w:rPr>
      <w:rFonts w:ascii="MS Mincho" w:hAnsi="MS Mincho" w:cs="Droid Sans"/>
      <w:sz w:val="24"/>
    </w:rPr>
  </w:style>
  <w:style w:type="paragraph" w:customStyle="1" w:styleId="462">
    <w:name w:val="xl25"/>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cs="楷体_GB2312"/>
      <w:kern w:val="0"/>
      <w:sz w:val="22"/>
      <w:szCs w:val="22"/>
    </w:rPr>
  </w:style>
  <w:style w:type="paragraph" w:customStyle="1" w:styleId="463">
    <w:name w:val="xl2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eastAsia="Arial Unicode MS"/>
      <w:kern w:val="0"/>
      <w:sz w:val="22"/>
      <w:szCs w:val="22"/>
    </w:rPr>
  </w:style>
  <w:style w:type="paragraph" w:customStyle="1" w:styleId="464">
    <w:name w:val="标题3"/>
    <w:basedOn w:val="45"/>
    <w:qFormat/>
    <w:uiPriority w:val="0"/>
    <w:pPr>
      <w:spacing w:before="0" w:after="0" w:line="360" w:lineRule="auto"/>
      <w:jc w:val="both"/>
    </w:pPr>
    <w:rPr>
      <w:rFonts w:ascii="Tahoma" w:hAnsi="Tahoma" w:eastAsia="黑体"/>
      <w:b/>
      <w:caps w:val="0"/>
      <w:sz w:val="24"/>
    </w:rPr>
  </w:style>
  <w:style w:type="paragraph" w:customStyle="1" w:styleId="465">
    <w:name w:val="xl54"/>
    <w:basedOn w:val="1"/>
    <w:qFormat/>
    <w:uiPriority w:val="0"/>
    <w:pPr>
      <w:widowControl/>
      <w:pBdr>
        <w:top w:val="single" w:color="auto" w:sz="4" w:space="0"/>
        <w:right w:val="single" w:color="auto" w:sz="4" w:space="0"/>
      </w:pBdr>
      <w:spacing w:before="100" w:beforeAutospacing="1" w:after="100" w:afterAutospacing="1"/>
      <w:jc w:val="center"/>
    </w:pPr>
    <w:rPr>
      <w:rFonts w:ascii="Arial Unicode MS" w:hAnsi="Arial Unicode MS" w:eastAsia="Arial Unicode MS" w:cs="楷体_GB2312"/>
      <w:kern w:val="0"/>
      <w:sz w:val="22"/>
      <w:szCs w:val="22"/>
    </w:rPr>
  </w:style>
  <w:style w:type="paragraph" w:customStyle="1" w:styleId="466">
    <w:name w:val="技术方案正文样式"/>
    <w:basedOn w:val="1"/>
    <w:qFormat/>
    <w:uiPriority w:val="0"/>
    <w:pPr>
      <w:autoSpaceDE w:val="0"/>
      <w:autoSpaceDN w:val="0"/>
      <w:adjustRightInd w:val="0"/>
      <w:spacing w:line="400" w:lineRule="exact"/>
      <w:ind w:firstLine="480" w:firstLineChars="200"/>
    </w:pPr>
    <w:rPr>
      <w:rFonts w:ascii="宋体" w:hAnsi="宋体" w:cs="宋体"/>
      <w:sz w:val="24"/>
      <w:szCs w:val="21"/>
    </w:rPr>
  </w:style>
  <w:style w:type="paragraph" w:customStyle="1" w:styleId="467">
    <w:name w:val="xl249"/>
    <w:basedOn w:val="1"/>
    <w:qFormat/>
    <w:uiPriority w:val="0"/>
    <w:pPr>
      <w:widowControl/>
      <w:spacing w:before="100" w:beforeAutospacing="1" w:after="100" w:afterAutospacing="1"/>
      <w:jc w:val="left"/>
      <w:textAlignment w:val="center"/>
    </w:pPr>
    <w:rPr>
      <w:rFonts w:ascii="宋体" w:hAnsi="宋体" w:cs="宋体"/>
      <w:kern w:val="0"/>
      <w:sz w:val="20"/>
    </w:rPr>
  </w:style>
  <w:style w:type="paragraph" w:customStyle="1" w:styleId="468">
    <w:name w:val="前言、引言标题"/>
    <w:next w:val="1"/>
    <w:qFormat/>
    <w:uiPriority w:val="0"/>
    <w:pPr>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469">
    <w:name w:val="xl8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cs="宋体"/>
      <w:kern w:val="0"/>
      <w:sz w:val="18"/>
      <w:szCs w:val="18"/>
    </w:rPr>
  </w:style>
  <w:style w:type="paragraph" w:customStyle="1" w:styleId="470">
    <w:name w:val="Char Char Char Char Char"/>
    <w:basedOn w:val="1"/>
    <w:qFormat/>
    <w:uiPriority w:val="0"/>
    <w:rPr>
      <w:rFonts w:ascii="Tahoma" w:hAnsi="Tahoma"/>
      <w:sz w:val="24"/>
    </w:rPr>
  </w:style>
  <w:style w:type="paragraph" w:customStyle="1" w:styleId="471">
    <w:name w:val="reader-word-layer reader-word-s1-13"/>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472">
    <w:name w:val="xl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2"/>
      <w:szCs w:val="22"/>
    </w:rPr>
  </w:style>
  <w:style w:type="paragraph" w:customStyle="1" w:styleId="473">
    <w:name w:val="black"/>
    <w:basedOn w:val="1"/>
    <w:qFormat/>
    <w:uiPriority w:val="0"/>
    <w:pPr>
      <w:widowControl/>
      <w:spacing w:before="100" w:beforeAutospacing="1" w:after="100" w:afterAutospacing="1"/>
      <w:jc w:val="left"/>
    </w:pPr>
    <w:rPr>
      <w:rFonts w:ascii="ˎ̥" w:hAnsi="ˎ̥"/>
      <w:color w:val="000066"/>
      <w:kern w:val="0"/>
      <w:sz w:val="18"/>
    </w:rPr>
  </w:style>
  <w:style w:type="paragraph" w:customStyle="1" w:styleId="474">
    <w:name w:val="xl76"/>
    <w:basedOn w:val="1"/>
    <w:qFormat/>
    <w:uiPriority w:val="0"/>
    <w:pPr>
      <w:widowControl/>
      <w:spacing w:before="100" w:beforeAutospacing="1" w:after="100" w:afterAutospacing="1"/>
      <w:jc w:val="center"/>
      <w:textAlignment w:val="center"/>
    </w:pPr>
    <w:rPr>
      <w:rFonts w:ascii="宋体" w:hAnsi="宋体" w:cs="宋体"/>
      <w:kern w:val="0"/>
      <w:sz w:val="22"/>
      <w:szCs w:val="22"/>
    </w:rPr>
  </w:style>
  <w:style w:type="paragraph" w:customStyle="1" w:styleId="475">
    <w:name w:val="style20"/>
    <w:basedOn w:val="1"/>
    <w:qFormat/>
    <w:uiPriority w:val="0"/>
    <w:pPr>
      <w:widowControl/>
      <w:spacing w:before="100" w:beforeAutospacing="1" w:after="100" w:afterAutospacing="1"/>
      <w:jc w:val="left"/>
    </w:pPr>
    <w:rPr>
      <w:rFonts w:ascii="宋体" w:hAnsi="宋体" w:cs="宋体"/>
      <w:color w:val="FF0000"/>
      <w:kern w:val="0"/>
      <w:sz w:val="18"/>
      <w:szCs w:val="18"/>
    </w:rPr>
  </w:style>
  <w:style w:type="paragraph" w:customStyle="1" w:styleId="476">
    <w:name w:val="link"/>
    <w:basedOn w:val="1"/>
    <w:qFormat/>
    <w:uiPriority w:val="0"/>
    <w:pPr>
      <w:widowControl/>
      <w:spacing w:before="100" w:beforeAutospacing="1" w:after="100" w:afterAutospacing="1"/>
      <w:jc w:val="left"/>
    </w:pPr>
    <w:rPr>
      <w:rFonts w:ascii="ˎ̥" w:hAnsi="ˎ̥"/>
      <w:color w:val="336699"/>
      <w:kern w:val="0"/>
      <w:sz w:val="18"/>
    </w:rPr>
  </w:style>
  <w:style w:type="paragraph" w:customStyle="1" w:styleId="477">
    <w:name w:val="Char Char Char Char"/>
    <w:basedOn w:val="1"/>
    <w:qFormat/>
    <w:uiPriority w:val="0"/>
    <w:rPr>
      <w:rFonts w:ascii="Tahoma" w:hAnsi="Tahoma"/>
      <w:sz w:val="24"/>
    </w:rPr>
  </w:style>
  <w:style w:type="paragraph" w:customStyle="1" w:styleId="478">
    <w:name w:val="xl47"/>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Arial Unicode MS" w:hAnsi="Arial Unicode MS" w:eastAsia="Arial Unicode MS" w:cs="楷体_GB2312"/>
      <w:kern w:val="0"/>
      <w:sz w:val="24"/>
      <w:szCs w:val="24"/>
    </w:rPr>
  </w:style>
  <w:style w:type="paragraph" w:customStyle="1" w:styleId="479">
    <w:name w:val="正文（缩进）"/>
    <w:basedOn w:val="1"/>
    <w:qFormat/>
    <w:uiPriority w:val="0"/>
    <w:pPr>
      <w:widowControl/>
      <w:spacing w:before="156" w:after="156"/>
      <w:ind w:firstLine="480" w:firstLineChars="200"/>
      <w:jc w:val="left"/>
    </w:pPr>
    <w:rPr>
      <w:rFonts w:ascii="仿宋_GB2312" w:eastAsia="仿宋_GB2312"/>
      <w:kern w:val="0"/>
      <w:sz w:val="24"/>
      <w:szCs w:val="24"/>
    </w:rPr>
  </w:style>
  <w:style w:type="paragraph" w:customStyle="1" w:styleId="480">
    <w:name w:val="right"/>
    <w:basedOn w:val="1"/>
    <w:qFormat/>
    <w:uiPriority w:val="0"/>
    <w:pPr>
      <w:widowControl/>
      <w:spacing w:before="100" w:beforeAutospacing="1" w:after="100" w:afterAutospacing="1"/>
      <w:jc w:val="left"/>
    </w:pPr>
    <w:rPr>
      <w:rFonts w:ascii="ˎ̥" w:hAnsi="ˎ̥"/>
      <w:color w:val="000099"/>
      <w:kern w:val="0"/>
      <w:sz w:val="18"/>
    </w:rPr>
  </w:style>
  <w:style w:type="paragraph" w:customStyle="1" w:styleId="481">
    <w:name w:val="rightbg"/>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482">
    <w:name w:val="xl27"/>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楷体_GB2312"/>
      <w:kern w:val="0"/>
      <w:sz w:val="22"/>
      <w:szCs w:val="22"/>
    </w:rPr>
  </w:style>
  <w:style w:type="paragraph" w:customStyle="1" w:styleId="483">
    <w:name w:val="样式 小四"/>
    <w:basedOn w:val="1"/>
    <w:uiPriority w:val="0"/>
    <w:pPr>
      <w:ind w:firstLine="480" w:firstLineChars="200"/>
    </w:pPr>
    <w:rPr>
      <w:sz w:val="24"/>
    </w:rPr>
  </w:style>
  <w:style w:type="paragraph" w:customStyle="1" w:styleId="484">
    <w:name w:val="中等深浅网格 21"/>
    <w:qFormat/>
    <w:uiPriority w:val="1"/>
    <w:pPr>
      <w:widowControl w:val="0"/>
      <w:jc w:val="both"/>
    </w:pPr>
    <w:rPr>
      <w:rFonts w:ascii="Times New Roman" w:hAnsi="Times New Roman" w:eastAsia="宋体" w:cs="Times New Roman"/>
      <w:kern w:val="2"/>
      <w:sz w:val="21"/>
      <w:szCs w:val="22"/>
      <w:lang w:val="en-US" w:eastAsia="zh-CN" w:bidi="ar-SA"/>
    </w:rPr>
  </w:style>
  <w:style w:type="paragraph" w:customStyle="1" w:styleId="485">
    <w:name w:val="No Spacing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486">
    <w:name w:val="_Style 485"/>
    <w:basedOn w:val="2"/>
    <w:next w:val="1"/>
    <w:qFormat/>
    <w:uiPriority w:val="39"/>
    <w:pPr>
      <w:spacing w:after="260" w:line="360" w:lineRule="auto"/>
      <w:outlineLvl w:val="9"/>
    </w:pPr>
    <w:rPr>
      <w:rFonts w:ascii="Calibri" w:hAnsi="Calibri"/>
      <w:sz w:val="32"/>
    </w:rPr>
  </w:style>
  <w:style w:type="paragraph" w:customStyle="1" w:styleId="487">
    <w:name w:val="图注1"/>
    <w:basedOn w:val="1"/>
    <w:qFormat/>
    <w:uiPriority w:val="99"/>
    <w:pPr>
      <w:widowControl/>
      <w:spacing w:before="5" w:line="300" w:lineRule="auto"/>
      <w:ind w:firstLine="200" w:firstLineChars="200"/>
      <w:jc w:val="center"/>
    </w:pPr>
    <w:rPr>
      <w:rFonts w:ascii="Calibri" w:hAnsi="Calibri"/>
      <w:sz w:val="24"/>
      <w:szCs w:val="21"/>
    </w:rPr>
  </w:style>
  <w:style w:type="paragraph" w:customStyle="1" w:styleId="488">
    <w:name w:val="样式4"/>
    <w:basedOn w:val="1"/>
    <w:qFormat/>
    <w:uiPriority w:val="0"/>
    <w:pPr>
      <w:spacing w:after="50" w:afterLines="50" w:line="360" w:lineRule="auto"/>
      <w:ind w:left="839" w:right="227"/>
      <w:textAlignment w:val="center"/>
    </w:pPr>
    <w:rPr>
      <w:rFonts w:ascii="Arial" w:hAnsi="Arial" w:eastAsia="Arial" w:cs="Droid Sans"/>
      <w:spacing w:val="20"/>
      <w:sz w:val="24"/>
    </w:rPr>
  </w:style>
  <w:style w:type="paragraph" w:customStyle="1" w:styleId="489">
    <w:name w:val="样式 首行缩进:  0 字符"/>
    <w:basedOn w:val="1"/>
    <w:qFormat/>
    <w:uiPriority w:val="0"/>
    <w:pPr>
      <w:spacing w:line="360" w:lineRule="auto"/>
      <w:ind w:firstLine="200" w:firstLineChars="200"/>
    </w:pPr>
    <w:rPr>
      <w:rFonts w:cs="宋体"/>
      <w:sz w:val="24"/>
    </w:rPr>
  </w:style>
  <w:style w:type="paragraph" w:customStyle="1" w:styleId="490">
    <w:name w:val="样式 标题6 + 左"/>
    <w:basedOn w:val="336"/>
    <w:qFormat/>
    <w:uiPriority w:val="0"/>
    <w:pPr>
      <w:spacing w:line="319" w:lineRule="auto"/>
      <w:jc w:val="left"/>
    </w:pPr>
  </w:style>
  <w:style w:type="paragraph" w:customStyle="1" w:styleId="491">
    <w:name w:val="attr-list-hd1"/>
    <w:basedOn w:val="1"/>
    <w:qFormat/>
    <w:uiPriority w:val="0"/>
    <w:pPr>
      <w:widowControl/>
      <w:spacing w:before="100" w:beforeAutospacing="1" w:after="100" w:afterAutospacing="1" w:line="330" w:lineRule="atLeast"/>
      <w:jc w:val="left"/>
    </w:pPr>
    <w:rPr>
      <w:rFonts w:ascii="宋体" w:hAnsi="宋体" w:cs="宋体"/>
      <w:color w:val="999999"/>
      <w:kern w:val="0"/>
      <w:sz w:val="24"/>
      <w:szCs w:val="24"/>
    </w:rPr>
  </w:style>
  <w:style w:type="paragraph" w:customStyle="1" w:styleId="492">
    <w:name w:val="xl24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rPr>
  </w:style>
  <w:style w:type="paragraph" w:customStyle="1" w:styleId="493">
    <w:name w:val="标题7"/>
    <w:basedOn w:val="8"/>
    <w:next w:val="1"/>
    <w:qFormat/>
    <w:uiPriority w:val="0"/>
    <w:pPr>
      <w:numPr>
        <w:ilvl w:val="6"/>
        <w:numId w:val="9"/>
      </w:numPr>
      <w:spacing w:before="120" w:beforeLines="50" w:afterLines="50" w:line="360" w:lineRule="auto"/>
      <w:ind w:right="0" w:rightChars="0" w:firstLine="0" w:firstLineChars="0"/>
    </w:pPr>
    <w:rPr>
      <w:rFonts w:eastAsia="黑体" w:cs="宋体"/>
      <w:spacing w:val="0"/>
      <w:szCs w:val="20"/>
    </w:rPr>
  </w:style>
  <w:style w:type="paragraph" w:customStyle="1" w:styleId="494">
    <w:name w:val="默认段落字体 Para Char Char Char Char"/>
    <w:basedOn w:val="1"/>
    <w:qFormat/>
    <w:uiPriority w:val="0"/>
    <w:pPr>
      <w:snapToGrid w:val="0"/>
      <w:spacing w:line="360" w:lineRule="auto"/>
      <w:ind w:firstLine="200" w:firstLineChars="200"/>
    </w:pPr>
    <w:rPr>
      <w:rFonts w:ascii="Calibri" w:hAnsi="Calibri"/>
    </w:rPr>
  </w:style>
  <w:style w:type="paragraph" w:customStyle="1" w:styleId="495">
    <w:name w:val="font8"/>
    <w:basedOn w:val="1"/>
    <w:qFormat/>
    <w:uiPriority w:val="0"/>
    <w:pPr>
      <w:widowControl/>
      <w:spacing w:before="100" w:beforeAutospacing="1" w:after="100" w:afterAutospacing="1"/>
      <w:jc w:val="left"/>
    </w:pPr>
    <w:rPr>
      <w:rFonts w:hint="eastAsia" w:ascii="宋体" w:hAnsi="宋体"/>
      <w:color w:val="000000"/>
      <w:kern w:val="0"/>
      <w:sz w:val="32"/>
      <w:szCs w:val="32"/>
    </w:rPr>
  </w:style>
  <w:style w:type="paragraph" w:customStyle="1" w:styleId="496">
    <w:name w:val="默认段落字体 Para Char"/>
    <w:basedOn w:val="1"/>
    <w:qFormat/>
    <w:uiPriority w:val="0"/>
  </w:style>
  <w:style w:type="paragraph" w:customStyle="1" w:styleId="497">
    <w:name w:val="List Paragraph11"/>
    <w:basedOn w:val="1"/>
    <w:qFormat/>
    <w:uiPriority w:val="0"/>
    <w:pPr>
      <w:ind w:firstLine="420" w:firstLineChars="200"/>
    </w:pPr>
  </w:style>
  <w:style w:type="paragraph" w:customStyle="1" w:styleId="498">
    <w:name w:val="xl4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eastAsia="Arial Unicode MS"/>
      <w:kern w:val="0"/>
      <w:sz w:val="22"/>
      <w:szCs w:val="22"/>
    </w:rPr>
  </w:style>
  <w:style w:type="paragraph" w:customStyle="1" w:styleId="499">
    <w:name w:val="样式2"/>
    <w:basedOn w:val="1"/>
    <w:qFormat/>
    <w:uiPriority w:val="0"/>
    <w:pPr>
      <w:ind w:firstLine="540" w:firstLineChars="225"/>
    </w:pPr>
    <w:rPr>
      <w:sz w:val="24"/>
    </w:rPr>
  </w:style>
  <w:style w:type="paragraph" w:customStyle="1" w:styleId="500">
    <w:name w:val="xl2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b/>
      <w:bCs/>
      <w:kern w:val="0"/>
      <w:sz w:val="20"/>
    </w:rPr>
  </w:style>
  <w:style w:type="paragraph" w:customStyle="1" w:styleId="501">
    <w:name w:val="middle"/>
    <w:basedOn w:val="1"/>
    <w:qFormat/>
    <w:uiPriority w:val="0"/>
    <w:pPr>
      <w:widowControl/>
      <w:spacing w:before="100" w:beforeAutospacing="1" w:after="100" w:afterAutospacing="1"/>
      <w:jc w:val="left"/>
    </w:pPr>
    <w:rPr>
      <w:rFonts w:ascii="ˎ̥" w:hAnsi="ˎ̥"/>
      <w:color w:val="666666"/>
      <w:kern w:val="0"/>
      <w:sz w:val="18"/>
    </w:rPr>
  </w:style>
  <w:style w:type="paragraph" w:customStyle="1" w:styleId="502">
    <w:name w:val="xl39"/>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rFonts w:ascii="Arial Unicode MS" w:hAnsi="Arial Unicode MS" w:eastAsia="Arial Unicode MS" w:cs="楷体_GB2312"/>
      <w:kern w:val="0"/>
      <w:sz w:val="22"/>
      <w:szCs w:val="22"/>
    </w:rPr>
  </w:style>
  <w:style w:type="paragraph" w:customStyle="1" w:styleId="503">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kern w:val="0"/>
      <w:sz w:val="22"/>
      <w:szCs w:val="22"/>
    </w:rPr>
  </w:style>
  <w:style w:type="paragraph" w:customStyle="1" w:styleId="504">
    <w:name w:val="List Paragraph1"/>
    <w:basedOn w:val="1"/>
    <w:qFormat/>
    <w:uiPriority w:val="0"/>
    <w:pPr>
      <w:ind w:firstLine="420" w:firstLineChars="200"/>
    </w:pPr>
    <w:rPr>
      <w:szCs w:val="22"/>
    </w:rPr>
  </w:style>
  <w:style w:type="paragraph" w:customStyle="1" w:styleId="505">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hint="eastAsia" w:ascii="幼圆" w:hAnsi="宋体" w:eastAsia="幼圆"/>
      <w:kern w:val="0"/>
      <w:sz w:val="32"/>
      <w:szCs w:val="32"/>
    </w:rPr>
  </w:style>
  <w:style w:type="paragraph" w:styleId="506">
    <w:name w:val="No Spacing"/>
    <w:qFormat/>
    <w:uiPriority w:val="0"/>
    <w:pPr>
      <w:adjustRightInd w:val="0"/>
      <w:snapToGrid w:val="0"/>
    </w:pPr>
    <w:rPr>
      <w:rFonts w:ascii="Tahoma" w:hAnsi="Tahoma" w:eastAsia="微软雅黑" w:cs="Times New Roman"/>
      <w:sz w:val="22"/>
      <w:szCs w:val="22"/>
      <w:lang w:val="en-US" w:eastAsia="zh-CN" w:bidi="ar-SA"/>
    </w:rPr>
  </w:style>
  <w:style w:type="paragraph" w:customStyle="1" w:styleId="507">
    <w:name w:val="标题 31"/>
    <w:basedOn w:val="1"/>
    <w:next w:val="1"/>
    <w:unhideWhenUsed/>
    <w:qFormat/>
    <w:uiPriority w:val="9"/>
    <w:pPr>
      <w:keepNext/>
      <w:keepLines/>
      <w:numPr>
        <w:ilvl w:val="0"/>
        <w:numId w:val="10"/>
      </w:numPr>
      <w:spacing w:before="260" w:after="260" w:line="416" w:lineRule="auto"/>
      <w:ind w:left="780" w:hanging="360"/>
      <w:outlineLvl w:val="2"/>
    </w:pPr>
    <w:rPr>
      <w:rFonts w:ascii="Calibri" w:hAnsi="Calibri"/>
      <w:b/>
      <w:bCs/>
      <w:sz w:val="28"/>
      <w:szCs w:val="32"/>
    </w:rPr>
  </w:style>
  <w:style w:type="paragraph" w:customStyle="1" w:styleId="508">
    <w:name w:val="样式 Arial 左侧:  2 字符 行距: 固定值 29 磅"/>
    <w:basedOn w:val="1"/>
    <w:qFormat/>
    <w:uiPriority w:val="0"/>
    <w:pPr>
      <w:adjustRightInd w:val="0"/>
      <w:spacing w:line="580" w:lineRule="exact"/>
      <w:textAlignment w:val="baseline"/>
    </w:pPr>
    <w:rPr>
      <w:rFonts w:ascii="Arial" w:hAnsi="Arial"/>
      <w:kern w:val="0"/>
      <w:sz w:val="24"/>
    </w:rPr>
  </w:style>
  <w:style w:type="paragraph" w:customStyle="1" w:styleId="509">
    <w:name w:val="flNote"/>
    <w:basedOn w:val="1"/>
    <w:qFormat/>
    <w:uiPriority w:val="0"/>
    <w:pPr>
      <w:adjustRightInd w:val="0"/>
      <w:spacing w:before="320" w:after="160" w:line="360" w:lineRule="atLeast"/>
      <w:jc w:val="center"/>
      <w:textAlignment w:val="baseline"/>
    </w:pPr>
    <w:rPr>
      <w:rFonts w:ascii="Arial" w:eastAsia="黑体"/>
      <w:kern w:val="0"/>
      <w:sz w:val="30"/>
    </w:rPr>
  </w:style>
  <w:style w:type="paragraph" w:customStyle="1" w:styleId="510">
    <w:name w:val="xl36"/>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cs="楷体_GB2312"/>
      <w:kern w:val="0"/>
      <w:sz w:val="22"/>
      <w:szCs w:val="22"/>
    </w:rPr>
  </w:style>
  <w:style w:type="paragraph" w:customStyle="1" w:styleId="511">
    <w:name w:val="news"/>
    <w:basedOn w:val="1"/>
    <w:qFormat/>
    <w:uiPriority w:val="0"/>
    <w:pPr>
      <w:widowControl/>
      <w:spacing w:before="100" w:beforeAutospacing="1" w:after="100" w:afterAutospacing="1" w:line="165" w:lineRule="atLeast"/>
      <w:jc w:val="left"/>
    </w:pPr>
    <w:rPr>
      <w:rFonts w:ascii="ˎ̥" w:hAnsi="ˎ̥"/>
      <w:color w:val="000000"/>
      <w:kern w:val="0"/>
      <w:sz w:val="11"/>
    </w:rPr>
  </w:style>
  <w:style w:type="paragraph" w:customStyle="1" w:styleId="512">
    <w:name w:val="正文序号 2"/>
    <w:basedOn w:val="1"/>
    <w:qFormat/>
    <w:uiPriority w:val="0"/>
    <w:pPr>
      <w:numPr>
        <w:ilvl w:val="1"/>
        <w:numId w:val="11"/>
      </w:numPr>
      <w:tabs>
        <w:tab w:val="left" w:pos="744"/>
        <w:tab w:val="left" w:pos="1049"/>
      </w:tabs>
      <w:spacing w:before="60"/>
    </w:pPr>
    <w:rPr>
      <w:rFonts w:cs="Droid Sans"/>
      <w:sz w:val="18"/>
    </w:rPr>
  </w:style>
  <w:style w:type="paragraph" w:customStyle="1" w:styleId="513">
    <w:name w:val="xl5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cs="楷体_GB2312"/>
      <w:kern w:val="0"/>
      <w:sz w:val="22"/>
      <w:szCs w:val="22"/>
    </w:rPr>
  </w:style>
  <w:style w:type="paragraph" w:customStyle="1" w:styleId="514">
    <w:name w:val="xl26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kern w:val="0"/>
      <w:sz w:val="20"/>
    </w:rPr>
  </w:style>
  <w:style w:type="paragraph" w:customStyle="1" w:styleId="515">
    <w:name w:val="xl91"/>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color w:val="000000"/>
      <w:kern w:val="0"/>
      <w:sz w:val="22"/>
      <w:szCs w:val="22"/>
    </w:rPr>
  </w:style>
  <w:style w:type="paragraph" w:customStyle="1" w:styleId="516">
    <w:name w:val="Char Char Char"/>
    <w:basedOn w:val="1"/>
    <w:qFormat/>
    <w:uiPriority w:val="0"/>
    <w:rPr>
      <w:rFonts w:ascii="Tahoma" w:hAnsi="Tahoma"/>
      <w:sz w:val="24"/>
    </w:rPr>
  </w:style>
  <w:style w:type="paragraph" w:customStyle="1" w:styleId="517">
    <w:name w:val="itemlist"/>
    <w:qFormat/>
    <w:uiPriority w:val="0"/>
    <w:pPr>
      <w:numPr>
        <w:ilvl w:val="0"/>
        <w:numId w:val="12"/>
      </w:numPr>
      <w:spacing w:before="200" w:after="200" w:line="20" w:lineRule="atLeast"/>
      <w:jc w:val="both"/>
    </w:pPr>
    <w:rPr>
      <w:rFonts w:ascii="Times New Roman" w:hAnsi="Times New Roman" w:eastAsia="宋体" w:cs="Times New Roman"/>
      <w:kern w:val="2"/>
      <w:sz w:val="21"/>
      <w:szCs w:val="24"/>
      <w:lang w:val="en-US" w:eastAsia="zh-CN" w:bidi="ar-SA"/>
    </w:rPr>
  </w:style>
  <w:style w:type="paragraph" w:customStyle="1" w:styleId="518">
    <w:name w:val="tytytyty"/>
    <w:basedOn w:val="1"/>
    <w:qFormat/>
    <w:uiPriority w:val="0"/>
    <w:pPr>
      <w:suppressAutoHyphens/>
      <w:spacing w:line="360" w:lineRule="auto"/>
      <w:ind w:left="359" w:leftChars="171" w:firstLine="480" w:firstLineChars="200"/>
    </w:pPr>
    <w:rPr>
      <w:kern w:val="1"/>
      <w:sz w:val="24"/>
      <w:szCs w:val="24"/>
      <w:lang w:eastAsia="ar-SA"/>
    </w:rPr>
  </w:style>
  <w:style w:type="paragraph" w:customStyle="1" w:styleId="519">
    <w:name w:val="正文黑体"/>
    <w:basedOn w:val="489"/>
    <w:qFormat/>
    <w:uiPriority w:val="0"/>
    <w:pPr>
      <w:ind w:firstLine="480"/>
    </w:pPr>
    <w:rPr>
      <w:rFonts w:ascii="黑体" w:hAnsi="黑体" w:eastAsia="黑体"/>
    </w:rPr>
  </w:style>
  <w:style w:type="paragraph" w:customStyle="1" w:styleId="520">
    <w:name w:val="xl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2"/>
      <w:szCs w:val="22"/>
    </w:rPr>
  </w:style>
  <w:style w:type="paragraph" w:customStyle="1" w:styleId="521">
    <w:name w:val="条2"/>
    <w:basedOn w:val="1"/>
    <w:next w:val="362"/>
    <w:qFormat/>
    <w:uiPriority w:val="0"/>
    <w:pPr>
      <w:numPr>
        <w:ilvl w:val="2"/>
        <w:numId w:val="5"/>
      </w:numPr>
      <w:tabs>
        <w:tab w:val="left" w:pos="810"/>
      </w:tabs>
      <w:outlineLvl w:val="1"/>
    </w:pPr>
    <w:rPr>
      <w:rFonts w:ascii="黑体" w:eastAsia="黑体"/>
      <w:kern w:val="21"/>
    </w:rPr>
  </w:style>
  <w:style w:type="paragraph" w:customStyle="1" w:styleId="522">
    <w:name w:val="正文文本缩进1"/>
    <w:basedOn w:val="1"/>
    <w:qFormat/>
    <w:uiPriority w:val="0"/>
    <w:pPr>
      <w:ind w:firstLine="645"/>
    </w:pPr>
    <w:rPr>
      <w:rFonts w:ascii="楷体_GB2312" w:eastAsia="楷体_GB2312"/>
      <w:sz w:val="32"/>
    </w:rPr>
  </w:style>
  <w:style w:type="paragraph" w:customStyle="1" w:styleId="523">
    <w:name w:val="font6"/>
    <w:basedOn w:val="1"/>
    <w:qFormat/>
    <w:uiPriority w:val="0"/>
    <w:pPr>
      <w:widowControl/>
      <w:spacing w:before="100" w:beforeAutospacing="1" w:after="100" w:afterAutospacing="1"/>
      <w:jc w:val="left"/>
    </w:pPr>
    <w:rPr>
      <w:rFonts w:hint="eastAsia" w:ascii="宋体" w:hAnsi="宋体"/>
      <w:kern w:val="0"/>
      <w:sz w:val="18"/>
      <w:szCs w:val="18"/>
    </w:rPr>
  </w:style>
  <w:style w:type="paragraph" w:customStyle="1" w:styleId="524">
    <w:name w:val="xl25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0"/>
    </w:rPr>
  </w:style>
  <w:style w:type="paragraph" w:customStyle="1" w:styleId="525">
    <w:name w:val="图形符号"/>
    <w:basedOn w:val="1"/>
    <w:qFormat/>
    <w:uiPriority w:val="0"/>
    <w:rPr>
      <w:sz w:val="24"/>
    </w:rPr>
  </w:style>
  <w:style w:type="paragraph" w:customStyle="1" w:styleId="526">
    <w:name w:val="xl34"/>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Arial Unicode MS" w:hAnsi="Arial Unicode MS" w:eastAsia="Arial Unicode MS" w:cs="楷体_GB2312"/>
      <w:kern w:val="0"/>
      <w:sz w:val="22"/>
      <w:szCs w:val="22"/>
    </w:rPr>
  </w:style>
  <w:style w:type="paragraph" w:customStyle="1" w:styleId="527">
    <w:name w:val="xl8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28">
    <w:name w:val="p15"/>
    <w:basedOn w:val="1"/>
    <w:qFormat/>
    <w:uiPriority w:val="0"/>
    <w:pPr>
      <w:widowControl/>
      <w:spacing w:line="360" w:lineRule="auto"/>
      <w:ind w:firstLine="420"/>
      <w:jc w:val="left"/>
    </w:pPr>
    <w:rPr>
      <w:kern w:val="0"/>
      <w:sz w:val="24"/>
      <w:szCs w:val="24"/>
    </w:rPr>
  </w:style>
  <w:style w:type="paragraph" w:customStyle="1" w:styleId="529">
    <w:name w:val="Char Char1"/>
    <w:basedOn w:val="1"/>
    <w:qFormat/>
    <w:uiPriority w:val="0"/>
    <w:rPr>
      <w:rFonts w:ascii="Tahoma" w:hAnsi="Tahoma"/>
      <w:sz w:val="24"/>
    </w:rPr>
  </w:style>
  <w:style w:type="paragraph" w:customStyle="1" w:styleId="530">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kern w:val="0"/>
      <w:sz w:val="32"/>
      <w:szCs w:val="32"/>
    </w:rPr>
  </w:style>
  <w:style w:type="paragraph" w:customStyle="1" w:styleId="531">
    <w:name w:val="表1"/>
    <w:basedOn w:val="1"/>
    <w:qFormat/>
    <w:uiPriority w:val="0"/>
    <w:pPr>
      <w:spacing w:before="20" w:after="20" w:line="200" w:lineRule="exact"/>
      <w:jc w:val="left"/>
      <w:textAlignment w:val="center"/>
    </w:pPr>
    <w:rPr>
      <w:rFonts w:cs="Droid Sans"/>
      <w:snapToGrid w:val="0"/>
      <w:spacing w:val="20"/>
      <w:kern w:val="0"/>
      <w:sz w:val="18"/>
    </w:rPr>
  </w:style>
  <w:style w:type="paragraph" w:customStyle="1" w:styleId="532">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hint="eastAsia" w:ascii="幼圆" w:hAnsi="宋体" w:eastAsia="幼圆"/>
      <w:kern w:val="0"/>
      <w:sz w:val="32"/>
      <w:szCs w:val="32"/>
    </w:rPr>
  </w:style>
  <w:style w:type="paragraph" w:customStyle="1" w:styleId="533">
    <w:name w:val="class"/>
    <w:basedOn w:val="1"/>
    <w:qFormat/>
    <w:uiPriority w:val="0"/>
    <w:pPr>
      <w:widowControl/>
      <w:spacing w:before="100" w:beforeAutospacing="1" w:after="100" w:afterAutospacing="1"/>
      <w:jc w:val="left"/>
    </w:pPr>
    <w:rPr>
      <w:rFonts w:ascii="ˎ̥" w:hAnsi="ˎ̥"/>
      <w:color w:val="000099"/>
      <w:kern w:val="0"/>
      <w:sz w:val="18"/>
    </w:rPr>
  </w:style>
  <w:style w:type="paragraph" w:customStyle="1" w:styleId="534">
    <w:name w:val="a2"/>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535">
    <w:name w:val="bijschrift"/>
    <w:basedOn w:val="1"/>
    <w:qFormat/>
    <w:uiPriority w:val="0"/>
    <w:pPr>
      <w:widowControl/>
      <w:overflowPunct w:val="0"/>
      <w:autoSpaceDE w:val="0"/>
      <w:autoSpaceDN w:val="0"/>
      <w:adjustRightInd w:val="0"/>
      <w:jc w:val="left"/>
      <w:textAlignment w:val="baseline"/>
    </w:pPr>
    <w:rPr>
      <w:rFonts w:ascii="CG Times" w:hAnsi="CG Times"/>
      <w:kern w:val="0"/>
      <w:sz w:val="24"/>
      <w:lang w:val="nl-NL"/>
    </w:rPr>
  </w:style>
  <w:style w:type="paragraph" w:customStyle="1" w:styleId="536">
    <w:name w:val="font0"/>
    <w:basedOn w:val="1"/>
    <w:qFormat/>
    <w:uiPriority w:val="0"/>
    <w:pPr>
      <w:widowControl/>
      <w:spacing w:before="100" w:beforeAutospacing="1" w:after="100" w:afterAutospacing="1"/>
      <w:jc w:val="left"/>
    </w:pPr>
    <w:rPr>
      <w:rFonts w:hint="eastAsia" w:ascii="宋体" w:hAnsi="宋体"/>
      <w:kern w:val="0"/>
      <w:sz w:val="24"/>
      <w:szCs w:val="24"/>
    </w:rPr>
  </w:style>
  <w:style w:type="paragraph" w:customStyle="1" w:styleId="537">
    <w:name w:val="xl87"/>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pPr>
    <w:rPr>
      <w:rFonts w:ascii="ˎ̥" w:hAnsi="ˎ̥" w:cs="宋体"/>
      <w:kern w:val="0"/>
      <w:sz w:val="18"/>
      <w:szCs w:val="18"/>
    </w:rPr>
  </w:style>
  <w:style w:type="paragraph" w:customStyle="1" w:styleId="538">
    <w:name w:val="Char Char Char Char Char Char Char Char Char Char"/>
    <w:basedOn w:val="1"/>
    <w:qFormat/>
    <w:uiPriority w:val="0"/>
    <w:pPr>
      <w:widowControl/>
      <w:spacing w:after="160" w:line="240" w:lineRule="exact"/>
      <w:jc w:val="left"/>
    </w:pPr>
  </w:style>
  <w:style w:type="paragraph" w:customStyle="1" w:styleId="539">
    <w:name w:val="空半行"/>
    <w:basedOn w:val="1"/>
    <w:qFormat/>
    <w:uiPriority w:val="0"/>
    <w:pPr>
      <w:adjustRightInd w:val="0"/>
      <w:spacing w:line="120" w:lineRule="exact"/>
      <w:textAlignment w:val="baseline"/>
    </w:pPr>
    <w:rPr>
      <w:rFonts w:eastAsia="仿宋_GB2312"/>
      <w:color w:val="FFFFFF"/>
      <w:kern w:val="0"/>
      <w:sz w:val="30"/>
    </w:rPr>
  </w:style>
  <w:style w:type="paragraph" w:customStyle="1" w:styleId="540">
    <w:name w:val="修订1"/>
    <w:qFormat/>
    <w:uiPriority w:val="0"/>
    <w:rPr>
      <w:rFonts w:ascii="Times New Roman" w:hAnsi="Times New Roman" w:eastAsia="宋体" w:cs="Times New Roman"/>
      <w:kern w:val="2"/>
      <w:sz w:val="21"/>
      <w:szCs w:val="24"/>
      <w:lang w:val="en-US" w:eastAsia="zh-CN" w:bidi="ar-SA"/>
    </w:rPr>
  </w:style>
  <w:style w:type="paragraph" w:customStyle="1" w:styleId="541">
    <w:name w:val="基本文字 Char"/>
    <w:basedOn w:val="1"/>
    <w:qFormat/>
    <w:uiPriority w:val="0"/>
    <w:pPr>
      <w:spacing w:before="156" w:line="400" w:lineRule="atLeast"/>
      <w:ind w:firstLine="540" w:firstLineChars="225"/>
    </w:pPr>
    <w:rPr>
      <w:sz w:val="24"/>
    </w:rPr>
  </w:style>
  <w:style w:type="paragraph" w:customStyle="1" w:styleId="542">
    <w:name w:val="PP 行"/>
    <w:basedOn w:val="44"/>
    <w:qFormat/>
    <w:uiPriority w:val="0"/>
  </w:style>
  <w:style w:type="paragraph" w:customStyle="1" w:styleId="543">
    <w:name w:val="p0"/>
    <w:basedOn w:val="1"/>
    <w:qFormat/>
    <w:uiPriority w:val="0"/>
    <w:pPr>
      <w:widowControl/>
    </w:pPr>
    <w:rPr>
      <w:kern w:val="0"/>
      <w:szCs w:val="21"/>
    </w:rPr>
  </w:style>
  <w:style w:type="paragraph" w:customStyle="1" w:styleId="544">
    <w:name w:val="xl4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cs="楷体_GB2312"/>
      <w:kern w:val="0"/>
      <w:sz w:val="22"/>
      <w:szCs w:val="22"/>
    </w:rPr>
  </w:style>
  <w:style w:type="paragraph" w:customStyle="1" w:styleId="545">
    <w:name w:val="0"/>
    <w:basedOn w:val="1"/>
    <w:qFormat/>
    <w:uiPriority w:val="0"/>
    <w:pPr>
      <w:widowControl/>
      <w:snapToGrid w:val="0"/>
      <w:spacing w:line="365" w:lineRule="atLeast"/>
      <w:ind w:left="1"/>
      <w:textAlignment w:val="bottom"/>
    </w:pPr>
    <w:rPr>
      <w:kern w:val="0"/>
      <w:sz w:val="20"/>
    </w:rPr>
  </w:style>
  <w:style w:type="paragraph" w:customStyle="1" w:styleId="546">
    <w:name w:val="Char"/>
    <w:basedOn w:val="1"/>
    <w:qFormat/>
    <w:uiPriority w:val="0"/>
    <w:pPr>
      <w:widowControl/>
      <w:spacing w:after="160" w:line="240" w:lineRule="exact"/>
      <w:jc w:val="left"/>
    </w:pPr>
    <w:rPr>
      <w:rFonts w:ascii="Verdana" w:hAnsi="Verdana"/>
      <w:kern w:val="0"/>
      <w:sz w:val="20"/>
      <w:lang w:eastAsia="en-US"/>
    </w:rPr>
  </w:style>
  <w:style w:type="paragraph" w:customStyle="1" w:styleId="547">
    <w:name w:val="c1"/>
    <w:basedOn w:val="1"/>
    <w:qFormat/>
    <w:uiPriority w:val="0"/>
    <w:pPr>
      <w:widowControl/>
      <w:spacing w:before="100" w:beforeAutospacing="1" w:after="100" w:afterAutospacing="1" w:line="270" w:lineRule="atLeast"/>
      <w:jc w:val="left"/>
    </w:pPr>
    <w:rPr>
      <w:rFonts w:ascii="宋体" w:hAnsi="宋体"/>
      <w:color w:val="333333"/>
      <w:kern w:val="0"/>
      <w:sz w:val="18"/>
      <w:szCs w:val="18"/>
    </w:rPr>
  </w:style>
  <w:style w:type="paragraph" w:customStyle="1" w:styleId="548">
    <w:name w:val="Table Paragraph"/>
    <w:basedOn w:val="1"/>
    <w:qFormat/>
    <w:uiPriority w:val="1"/>
    <w:pPr>
      <w:autoSpaceDE w:val="0"/>
      <w:autoSpaceDN w:val="0"/>
      <w:jc w:val="left"/>
    </w:pPr>
    <w:rPr>
      <w:rFonts w:ascii="宋体" w:hAnsi="宋体" w:cs="宋体"/>
      <w:kern w:val="0"/>
      <w:sz w:val="22"/>
      <w:szCs w:val="22"/>
      <w:lang w:val="zh-CN" w:bidi="zh-CN"/>
    </w:rPr>
  </w:style>
  <w:style w:type="paragraph" w:customStyle="1" w:styleId="549">
    <w:name w:val="Char111"/>
    <w:basedOn w:val="1"/>
    <w:qFormat/>
    <w:uiPriority w:val="0"/>
    <w:rPr>
      <w:rFonts w:ascii="Tahoma" w:hAnsi="Tahoma"/>
      <w:sz w:val="24"/>
    </w:rPr>
  </w:style>
  <w:style w:type="paragraph" w:customStyle="1" w:styleId="550">
    <w:name w:val="xl241"/>
    <w:basedOn w:val="1"/>
    <w:qFormat/>
    <w:uiPriority w:val="0"/>
    <w:pPr>
      <w:widowControl/>
      <w:spacing w:before="100" w:beforeAutospacing="1" w:after="100" w:afterAutospacing="1"/>
      <w:jc w:val="left"/>
      <w:textAlignment w:val="center"/>
    </w:pPr>
    <w:rPr>
      <w:rFonts w:ascii="宋体" w:hAnsi="宋体" w:cs="宋体"/>
      <w:kern w:val="0"/>
      <w:sz w:val="24"/>
      <w:szCs w:val="24"/>
    </w:rPr>
  </w:style>
  <w:style w:type="paragraph" w:customStyle="1" w:styleId="551">
    <w:name w:val="样式 标题8 + 段前: 0.5 行 段后: 0.5 行"/>
    <w:basedOn w:val="552"/>
    <w:next w:val="1"/>
    <w:qFormat/>
    <w:uiPriority w:val="0"/>
    <w:pPr>
      <w:ind w:left="0" w:firstLine="0"/>
    </w:pPr>
    <w:rPr>
      <w:rFonts w:cs="宋体"/>
    </w:rPr>
  </w:style>
  <w:style w:type="paragraph" w:customStyle="1" w:styleId="552">
    <w:name w:val="标题8"/>
    <w:basedOn w:val="9"/>
    <w:next w:val="1"/>
    <w:qFormat/>
    <w:uiPriority w:val="0"/>
    <w:pPr>
      <w:numPr>
        <w:ilvl w:val="7"/>
        <w:numId w:val="13"/>
      </w:numPr>
      <w:tabs>
        <w:tab w:val="clear" w:pos="1440"/>
      </w:tabs>
      <w:spacing w:beforeLines="50" w:afterLines="50" w:line="360" w:lineRule="auto"/>
      <w:jc w:val="left"/>
    </w:pPr>
    <w:rPr>
      <w:sz w:val="21"/>
      <w:szCs w:val="20"/>
    </w:rPr>
  </w:style>
  <w:style w:type="paragraph" w:customStyle="1" w:styleId="553">
    <w:name w:val="项目编号A"/>
    <w:basedOn w:val="1"/>
    <w:qFormat/>
    <w:uiPriority w:val="0"/>
    <w:pPr>
      <w:numPr>
        <w:ilvl w:val="0"/>
        <w:numId w:val="14"/>
      </w:numPr>
      <w:ind w:left="480" w:firstLine="0"/>
    </w:pPr>
    <w:rPr>
      <w:rFonts w:ascii="Arial" w:hAnsi="Arial"/>
      <w:kern w:val="0"/>
    </w:rPr>
  </w:style>
  <w:style w:type="paragraph" w:customStyle="1" w:styleId="554">
    <w:name w:val="表格表头"/>
    <w:basedOn w:val="1"/>
    <w:uiPriority w:val="0"/>
    <w:pPr>
      <w:spacing w:line="360" w:lineRule="auto"/>
      <w:jc w:val="center"/>
      <w:outlineLvl w:val="0"/>
    </w:pPr>
    <w:rPr>
      <w:rFonts w:ascii="宋体" w:hAnsi="宋体" w:eastAsia="黑体" w:cs="宋体"/>
      <w:sz w:val="24"/>
      <w:szCs w:val="21"/>
    </w:rPr>
  </w:style>
  <w:style w:type="paragraph" w:customStyle="1" w:styleId="555">
    <w:name w:val="font9"/>
    <w:basedOn w:val="1"/>
    <w:qFormat/>
    <w:uiPriority w:val="0"/>
    <w:pPr>
      <w:widowControl/>
      <w:spacing w:before="100" w:beforeAutospacing="1" w:after="100" w:afterAutospacing="1"/>
      <w:jc w:val="left"/>
    </w:pPr>
    <w:rPr>
      <w:rFonts w:hint="eastAsia" w:ascii="幼圆" w:hAnsi="宋体" w:eastAsia="幼圆"/>
      <w:kern w:val="0"/>
      <w:sz w:val="32"/>
      <w:szCs w:val="32"/>
    </w:rPr>
  </w:style>
  <w:style w:type="paragraph" w:customStyle="1" w:styleId="556">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557">
    <w:name w:val="1"/>
    <w:basedOn w:val="1"/>
    <w:next w:val="1"/>
    <w:qFormat/>
    <w:uiPriority w:val="0"/>
  </w:style>
  <w:style w:type="paragraph" w:customStyle="1" w:styleId="558">
    <w:name w:val="Char1 Char Char Char"/>
    <w:basedOn w:val="1"/>
    <w:qFormat/>
    <w:uiPriority w:val="0"/>
    <w:rPr>
      <w:rFonts w:ascii="Tahoma" w:hAnsi="Tahoma"/>
      <w:sz w:val="24"/>
    </w:rPr>
  </w:style>
  <w:style w:type="paragraph" w:customStyle="1" w:styleId="559">
    <w:name w:val="Char11"/>
    <w:basedOn w:val="1"/>
    <w:qFormat/>
    <w:uiPriority w:val="0"/>
    <w:rPr>
      <w:rFonts w:ascii="Tahoma" w:hAnsi="Tahoma"/>
      <w:sz w:val="24"/>
    </w:rPr>
  </w:style>
  <w:style w:type="paragraph" w:customStyle="1" w:styleId="560">
    <w:name w:val="简单回函地址"/>
    <w:basedOn w:val="1"/>
    <w:qFormat/>
    <w:uiPriority w:val="0"/>
    <w:rPr>
      <w:szCs w:val="24"/>
    </w:rPr>
  </w:style>
  <w:style w:type="paragraph" w:customStyle="1" w:styleId="561">
    <w:name w:val="Char1 Char Char Char1"/>
    <w:basedOn w:val="1"/>
    <w:qFormat/>
    <w:uiPriority w:val="0"/>
  </w:style>
  <w:style w:type="paragraph" w:customStyle="1" w:styleId="562">
    <w:name w:val="Style List + Left:  0 cm Hanging:  0.8 ch1"/>
    <w:basedOn w:val="50"/>
    <w:qFormat/>
    <w:uiPriority w:val="0"/>
    <w:pPr>
      <w:spacing w:line="360" w:lineRule="auto"/>
      <w:ind w:left="0" w:firstLine="0" w:firstLineChars="0"/>
      <w:jc w:val="left"/>
    </w:pPr>
    <w:rPr>
      <w:rFonts w:ascii="Tahoma" w:hAnsi="Tahoma"/>
      <w:szCs w:val="20"/>
    </w:rPr>
  </w:style>
  <w:style w:type="paragraph" w:customStyle="1" w:styleId="563">
    <w:name w:val="xl3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eastAsia="Arial Unicode MS"/>
      <w:kern w:val="0"/>
      <w:sz w:val="22"/>
      <w:szCs w:val="22"/>
    </w:rPr>
  </w:style>
  <w:style w:type="paragraph" w:customStyle="1" w:styleId="564">
    <w:name w:val="Char Char Char Char Char Char Char Char Char Char Char Char"/>
    <w:basedOn w:val="19"/>
    <w:qFormat/>
    <w:uiPriority w:val="0"/>
    <w:pPr>
      <w:shd w:val="clear" w:color="auto" w:fill="auto"/>
    </w:pPr>
    <w:rPr>
      <w:rFonts w:ascii="宋体"/>
      <w:sz w:val="18"/>
      <w:szCs w:val="18"/>
    </w:rPr>
  </w:style>
  <w:style w:type="paragraph" w:customStyle="1" w:styleId="565">
    <w:name w:val="l_title"/>
    <w:basedOn w:val="1"/>
    <w:qFormat/>
    <w:uiPriority w:val="0"/>
    <w:pPr>
      <w:widowControl/>
      <w:spacing w:before="100" w:beforeAutospacing="1" w:after="100" w:afterAutospacing="1"/>
      <w:jc w:val="left"/>
    </w:pPr>
    <w:rPr>
      <w:rFonts w:ascii="ˎ̥" w:hAnsi="ˎ̥"/>
      <w:color w:val="000000"/>
      <w:kern w:val="0"/>
      <w:sz w:val="18"/>
    </w:rPr>
  </w:style>
  <w:style w:type="paragraph" w:customStyle="1" w:styleId="566">
    <w:name w:val="Char1 Char Char Char Char Char Char"/>
    <w:basedOn w:val="1"/>
    <w:qFormat/>
    <w:uiPriority w:val="0"/>
    <w:rPr>
      <w:rFonts w:ascii="Tahoma" w:hAnsi="Tahoma"/>
      <w:sz w:val="24"/>
    </w:rPr>
  </w:style>
  <w:style w:type="paragraph" w:customStyle="1" w:styleId="567">
    <w:name w:val="xl77"/>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2"/>
      <w:szCs w:val="22"/>
    </w:rPr>
  </w:style>
  <w:style w:type="paragraph" w:customStyle="1" w:styleId="568">
    <w:name w:val="默认段落字体 Para Char Char Char Char Char Char Char Char Char"/>
    <w:basedOn w:val="1"/>
    <w:qFormat/>
    <w:uiPriority w:val="0"/>
    <w:rPr>
      <w:rFonts w:ascii="Tahoma" w:hAnsi="Tahoma" w:cs="Arial"/>
      <w:sz w:val="24"/>
    </w:rPr>
  </w:style>
  <w:style w:type="paragraph" w:customStyle="1" w:styleId="569">
    <w:name w:val="Char Char Char11"/>
    <w:basedOn w:val="1"/>
    <w:qFormat/>
    <w:uiPriority w:val="0"/>
    <w:rPr>
      <w:rFonts w:ascii="Tahoma" w:hAnsi="Tahoma"/>
      <w:sz w:val="24"/>
    </w:rPr>
  </w:style>
  <w:style w:type="paragraph" w:customStyle="1" w:styleId="570">
    <w:name w:val="bottom"/>
    <w:basedOn w:val="1"/>
    <w:qFormat/>
    <w:uiPriority w:val="0"/>
    <w:pPr>
      <w:widowControl/>
      <w:spacing w:before="100" w:beforeAutospacing="1" w:after="100" w:afterAutospacing="1"/>
      <w:jc w:val="left"/>
    </w:pPr>
    <w:rPr>
      <w:rFonts w:ascii="ˎ̥" w:hAnsi="ˎ̥"/>
      <w:color w:val="333333"/>
      <w:kern w:val="0"/>
      <w:sz w:val="18"/>
    </w:rPr>
  </w:style>
  <w:style w:type="paragraph" w:customStyle="1" w:styleId="571">
    <w:name w:val="xl2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rPr>
  </w:style>
  <w:style w:type="paragraph" w:customStyle="1" w:styleId="572">
    <w:name w:val="正文 New New New New"/>
    <w:qFormat/>
    <w:uiPriority w:val="0"/>
    <w:pPr>
      <w:widowControl w:val="0"/>
      <w:jc w:val="both"/>
    </w:pPr>
    <w:rPr>
      <w:rFonts w:ascii="Times New Roman" w:hAnsi="Times New Roman" w:eastAsia="宋体" w:cs="Times New Roman"/>
      <w:szCs w:val="24"/>
      <w:lang w:val="en-US" w:eastAsia="zh-CN" w:bidi="ar-SA"/>
    </w:rPr>
  </w:style>
  <w:style w:type="paragraph" w:customStyle="1" w:styleId="573">
    <w:name w:val="样式3"/>
    <w:basedOn w:val="36"/>
    <w:qFormat/>
    <w:uiPriority w:val="0"/>
    <w:pPr>
      <w:spacing w:line="240" w:lineRule="atLeast"/>
      <w:outlineLvl w:val="0"/>
    </w:pPr>
    <w:rPr>
      <w:rFonts w:hAnsi="Calibri" w:cs="Droid Sans"/>
      <w:sz w:val="28"/>
    </w:rPr>
  </w:style>
  <w:style w:type="paragraph" w:customStyle="1" w:styleId="574">
    <w:name w:val="xl251"/>
    <w:basedOn w:val="1"/>
    <w:qFormat/>
    <w:uiPriority w:val="0"/>
    <w:pPr>
      <w:widowControl/>
      <w:spacing w:before="100" w:beforeAutospacing="1" w:after="100" w:afterAutospacing="1"/>
      <w:jc w:val="center"/>
      <w:textAlignment w:val="center"/>
    </w:pPr>
    <w:rPr>
      <w:rFonts w:ascii="宋体" w:hAnsi="宋体" w:cs="宋体"/>
      <w:kern w:val="0"/>
      <w:sz w:val="24"/>
      <w:szCs w:val="24"/>
    </w:rPr>
  </w:style>
  <w:style w:type="paragraph" w:customStyle="1" w:styleId="575">
    <w:name w:val="正文1"/>
    <w:basedOn w:val="1"/>
    <w:qFormat/>
    <w:uiPriority w:val="0"/>
    <w:pPr>
      <w:widowControl/>
      <w:topLinePunct/>
      <w:spacing w:before="156" w:beforeLines="50" w:after="156" w:afterLines="50" w:line="300" w:lineRule="auto"/>
      <w:ind w:left="420"/>
    </w:pPr>
    <w:rPr>
      <w:szCs w:val="24"/>
    </w:rPr>
  </w:style>
  <w:style w:type="paragraph" w:customStyle="1" w:styleId="576">
    <w:name w:val="xl23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0"/>
    </w:rPr>
  </w:style>
  <w:style w:type="paragraph" w:customStyle="1" w:styleId="577">
    <w:name w:val="noline"/>
    <w:basedOn w:val="1"/>
    <w:uiPriority w:val="0"/>
    <w:pPr>
      <w:widowControl/>
      <w:spacing w:before="100" w:beforeAutospacing="1" w:after="100" w:afterAutospacing="1"/>
      <w:jc w:val="left"/>
    </w:pPr>
    <w:rPr>
      <w:rFonts w:ascii="ˎ̥" w:hAnsi="ˎ̥"/>
      <w:color w:val="000000"/>
      <w:kern w:val="0"/>
      <w:sz w:val="18"/>
    </w:rPr>
  </w:style>
  <w:style w:type="paragraph" w:customStyle="1" w:styleId="578">
    <w:name w:val="_Style 3"/>
    <w:basedOn w:val="1"/>
    <w:qFormat/>
    <w:uiPriority w:val="0"/>
    <w:pPr>
      <w:ind w:firstLine="420" w:firstLineChars="200"/>
    </w:pPr>
    <w:rPr>
      <w:rFonts w:ascii="Calibri" w:hAnsi="Calibri"/>
      <w:szCs w:val="24"/>
    </w:rPr>
  </w:style>
  <w:style w:type="paragraph" w:customStyle="1" w:styleId="579">
    <w:name w:val="样式 标题 3 + (中文) 黑体 小四 非加粗 段前: 7.8 磅 段后: 0 磅 行距: 固定值 20 磅"/>
    <w:basedOn w:val="4"/>
    <w:qFormat/>
    <w:uiPriority w:val="0"/>
    <w:pPr>
      <w:spacing w:before="0" w:after="0" w:line="400" w:lineRule="exact"/>
      <w:jc w:val="both"/>
    </w:pPr>
    <w:rPr>
      <w:rFonts w:ascii="Times New Roman" w:eastAsia="黑体"/>
      <w:b w:val="0"/>
      <w:bCs w:val="0"/>
      <w:sz w:val="24"/>
      <w:szCs w:val="20"/>
    </w:rPr>
  </w:style>
  <w:style w:type="paragraph" w:customStyle="1" w:styleId="580">
    <w:name w:val="p1"/>
    <w:basedOn w:val="1"/>
    <w:qFormat/>
    <w:uiPriority w:val="0"/>
    <w:pPr>
      <w:widowControl/>
      <w:jc w:val="left"/>
    </w:pPr>
    <w:rPr>
      <w:kern w:val="0"/>
      <w:sz w:val="22"/>
      <w:szCs w:val="22"/>
    </w:rPr>
  </w:style>
  <w:style w:type="paragraph" w:customStyle="1" w:styleId="581">
    <w:name w:val="文字 Char Char Char"/>
    <w:basedOn w:val="1"/>
    <w:uiPriority w:val="0"/>
    <w:pPr>
      <w:tabs>
        <w:tab w:val="left" w:pos="8520"/>
      </w:tabs>
      <w:spacing w:line="312" w:lineRule="auto"/>
      <w:ind w:right="-210" w:firstLine="556"/>
    </w:pPr>
    <w:rPr>
      <w:rFonts w:ascii="Calibri" w:hAnsi="Calibri" w:eastAsia="Calibri" w:cs="Droid Sans"/>
      <w:sz w:val="28"/>
    </w:rPr>
  </w:style>
  <w:style w:type="paragraph" w:customStyle="1" w:styleId="582">
    <w:name w:val="xl53"/>
    <w:basedOn w:val="1"/>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Arial Unicode MS" w:hAnsi="Arial Unicode MS" w:eastAsia="Arial Unicode MS" w:cs="楷体_GB2312"/>
      <w:kern w:val="0"/>
      <w:sz w:val="24"/>
      <w:szCs w:val="24"/>
    </w:rPr>
  </w:style>
  <w:style w:type="paragraph" w:customStyle="1" w:styleId="583">
    <w:name w:val="aa"/>
    <w:basedOn w:val="1"/>
    <w:uiPriority w:val="0"/>
    <w:pPr>
      <w:widowControl/>
      <w:spacing w:before="100" w:beforeAutospacing="1" w:after="100" w:afterAutospacing="1"/>
      <w:jc w:val="left"/>
    </w:pPr>
    <w:rPr>
      <w:rFonts w:hint="eastAsia" w:ascii="宋体" w:hAnsi="宋体"/>
      <w:kern w:val="0"/>
      <w:sz w:val="18"/>
      <w:szCs w:val="18"/>
    </w:rPr>
  </w:style>
  <w:style w:type="paragraph" w:customStyle="1" w:styleId="584">
    <w:name w:val="彩色底纹 - 强调文字颜色 11"/>
    <w:qFormat/>
    <w:uiPriority w:val="0"/>
    <w:rPr>
      <w:rFonts w:ascii="Times New Roman" w:hAnsi="Times New Roman" w:eastAsia="宋体" w:cs="Times New Roman"/>
      <w:kern w:val="2"/>
      <w:sz w:val="21"/>
      <w:szCs w:val="24"/>
      <w:lang w:val="en-US" w:eastAsia="zh-CN" w:bidi="ar-SA"/>
    </w:rPr>
  </w:style>
  <w:style w:type="paragraph" w:customStyle="1" w:styleId="585">
    <w:name w:val="P标3"/>
    <w:basedOn w:val="4"/>
    <w:qFormat/>
    <w:uiPriority w:val="0"/>
    <w:pPr>
      <w:keepNext w:val="0"/>
      <w:keepLines w:val="0"/>
      <w:numPr>
        <w:ilvl w:val="0"/>
        <w:numId w:val="7"/>
      </w:numPr>
      <w:tabs>
        <w:tab w:val="left" w:pos="570"/>
      </w:tabs>
      <w:autoSpaceDE w:val="0"/>
      <w:autoSpaceDN w:val="0"/>
      <w:adjustRightInd w:val="0"/>
      <w:snapToGrid w:val="0"/>
      <w:spacing w:before="120" w:after="120" w:line="480" w:lineRule="atLeast"/>
      <w:jc w:val="both"/>
    </w:pPr>
    <w:rPr>
      <w:rFonts w:ascii="Calibri" w:hAnsi="Calibri" w:cs="Droid Sans"/>
      <w:b w:val="0"/>
      <w:bCs w:val="0"/>
      <w:kern w:val="0"/>
      <w:sz w:val="24"/>
      <w:szCs w:val="20"/>
    </w:rPr>
  </w:style>
  <w:style w:type="paragraph" w:customStyle="1" w:styleId="586">
    <w:name w:val="xl4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楷体_GB2312"/>
      <w:kern w:val="0"/>
      <w:sz w:val="24"/>
      <w:szCs w:val="24"/>
    </w:rPr>
  </w:style>
  <w:style w:type="paragraph" w:customStyle="1" w:styleId="587">
    <w:name w:val="样式 标题 9 +"/>
    <w:basedOn w:val="368"/>
    <w:uiPriority w:val="0"/>
    <w:pPr/>
  </w:style>
  <w:style w:type="paragraph" w:customStyle="1" w:styleId="588">
    <w:name w:val="(符号)三标题1.1"/>
    <w:basedOn w:val="1"/>
    <w:uiPriority w:val="0"/>
    <w:pPr>
      <w:tabs>
        <w:tab w:val="left" w:pos="420"/>
        <w:tab w:val="left" w:pos="744"/>
      </w:tabs>
      <w:spacing w:before="140" w:after="140" w:line="500" w:lineRule="exact"/>
      <w:ind w:left="744" w:hanging="744"/>
      <w:outlineLvl w:val="2"/>
    </w:pPr>
    <w:rPr>
      <w:rFonts w:ascii="楷体_GB2312" w:hAnsi="宋体" w:eastAsia="楷体_GB2312" w:cs="宋体"/>
      <w:b/>
      <w:bCs/>
      <w:sz w:val="28"/>
    </w:rPr>
  </w:style>
  <w:style w:type="paragraph" w:customStyle="1" w:styleId="589">
    <w:name w:val="彩色列表 - 着色 11"/>
    <w:basedOn w:val="1"/>
    <w:qFormat/>
    <w:uiPriority w:val="0"/>
    <w:pPr>
      <w:ind w:firstLine="420" w:firstLineChars="200"/>
    </w:pPr>
    <w:rPr>
      <w:szCs w:val="24"/>
    </w:rPr>
  </w:style>
  <w:style w:type="paragraph" w:customStyle="1" w:styleId="590">
    <w:name w:val="xl239"/>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rPr>
  </w:style>
  <w:style w:type="paragraph" w:customStyle="1" w:styleId="591">
    <w:name w:val="编号，四号"/>
    <w:basedOn w:val="182"/>
    <w:uiPriority w:val="0"/>
    <w:pPr>
      <w:numPr>
        <w:ilvl w:val="0"/>
        <w:numId w:val="15"/>
      </w:numPr>
    </w:pPr>
    <w:rPr>
      <w:rFonts w:ascii="Times New Roman" w:hAnsi="Times New Roman"/>
      <w:sz w:val="28"/>
    </w:rPr>
  </w:style>
  <w:style w:type="paragraph" w:customStyle="1" w:styleId="592">
    <w:name w:val="xl81"/>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kern w:val="0"/>
      <w:sz w:val="22"/>
      <w:szCs w:val="22"/>
    </w:rPr>
  </w:style>
  <w:style w:type="paragraph" w:customStyle="1" w:styleId="593">
    <w:name w:val="Char Char2"/>
    <w:basedOn w:val="1"/>
    <w:uiPriority w:val="0"/>
    <w:rPr>
      <w:rFonts w:ascii="Tahoma" w:hAnsi="Tahoma"/>
      <w:sz w:val="24"/>
    </w:rPr>
  </w:style>
  <w:style w:type="paragraph" w:customStyle="1" w:styleId="594">
    <w:name w:val="表格"/>
    <w:basedOn w:val="50"/>
    <w:uiPriority w:val="0"/>
    <w:pPr>
      <w:snapToGrid w:val="0"/>
      <w:ind w:firstLine="42" w:firstLineChars="21"/>
    </w:pPr>
    <w:rPr>
      <w:rFonts w:ascii="宋体" w:hAnsi="宋体"/>
      <w:kern w:val="0"/>
      <w:sz w:val="20"/>
    </w:rPr>
  </w:style>
  <w:style w:type="paragraph" w:customStyle="1" w:styleId="595">
    <w:name w:val="xl3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楷体_GB2312"/>
      <w:kern w:val="0"/>
      <w:sz w:val="22"/>
      <w:szCs w:val="22"/>
    </w:rPr>
  </w:style>
  <w:style w:type="paragraph" w:customStyle="1" w:styleId="596">
    <w:name w:val="编号"/>
    <w:basedOn w:val="1"/>
    <w:qFormat/>
    <w:uiPriority w:val="0"/>
    <w:pPr>
      <w:ind w:left="736" w:hanging="312"/>
      <w:jc w:val="center"/>
      <w:textAlignment w:val="center"/>
    </w:pPr>
    <w:rPr>
      <w:rFonts w:ascii="楷体_GB2312" w:hAnsi="楷体_GB2312" w:cs="Droid Sans"/>
      <w:b/>
      <w:snapToGrid w:val="0"/>
      <w:kern w:val="0"/>
      <w:sz w:val="24"/>
    </w:rPr>
  </w:style>
  <w:style w:type="paragraph" w:customStyle="1" w:styleId="597">
    <w:name w:val="xl26"/>
    <w:basedOn w:val="1"/>
    <w:uiPriority w:val="0"/>
    <w:pPr>
      <w:widowControl/>
      <w:pBdr>
        <w:left w:val="single" w:color="auto" w:sz="4" w:space="0"/>
        <w:bottom w:val="single" w:color="auto" w:sz="4" w:space="0"/>
      </w:pBdr>
      <w:spacing w:before="100" w:beforeAutospacing="1" w:after="100" w:afterAutospacing="1"/>
      <w:jc w:val="center"/>
    </w:pPr>
    <w:rPr>
      <w:rFonts w:ascii="Arial Unicode MS" w:hAnsi="Arial Unicode MS" w:eastAsia="Arial Unicode MS" w:cs="楷体_GB2312"/>
      <w:kern w:val="0"/>
      <w:sz w:val="22"/>
      <w:szCs w:val="22"/>
    </w:rPr>
  </w:style>
  <w:style w:type="paragraph" w:customStyle="1" w:styleId="598">
    <w:name w:val="xl35"/>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2"/>
      <w:szCs w:val="22"/>
    </w:rPr>
  </w:style>
  <w:style w:type="paragraph" w:customStyle="1" w:styleId="599">
    <w:name w:val="Char Char Char1"/>
    <w:basedOn w:val="1"/>
    <w:uiPriority w:val="0"/>
    <w:rPr>
      <w:rFonts w:ascii="Tahoma" w:hAnsi="Tahoma"/>
      <w:sz w:val="24"/>
    </w:rPr>
  </w:style>
  <w:style w:type="paragraph" w:customStyle="1" w:styleId="600">
    <w:name w:val="正文序号 1"/>
    <w:basedOn w:val="1"/>
    <w:qFormat/>
    <w:uiPriority w:val="0"/>
    <w:pPr>
      <w:tabs>
        <w:tab w:val="left" w:pos="744"/>
        <w:tab w:val="left" w:pos="839"/>
      </w:tabs>
      <w:spacing w:before="60"/>
      <w:ind w:left="744" w:hanging="744"/>
    </w:pPr>
    <w:rPr>
      <w:rFonts w:cs="Droid Sans"/>
      <w:sz w:val="18"/>
    </w:rPr>
  </w:style>
  <w:style w:type="paragraph" w:customStyle="1" w:styleId="601">
    <w:name w:val="GP无序编号"/>
    <w:basedOn w:val="602"/>
    <w:uiPriority w:val="0"/>
    <w:pPr>
      <w:tabs>
        <w:tab w:val="left" w:pos="903"/>
        <w:tab w:val="left" w:pos="1140"/>
      </w:tabs>
      <w:ind w:left="1140" w:firstLine="0" w:firstLineChars="0"/>
      <w:jc w:val="left"/>
    </w:pPr>
    <w:rPr>
      <w:rFonts w:hAnsi="Times New Roman"/>
    </w:rPr>
  </w:style>
  <w:style w:type="paragraph" w:customStyle="1" w:styleId="602">
    <w:name w:val="GP正文(无首行缩进)"/>
    <w:basedOn w:val="392"/>
    <w:qFormat/>
    <w:uiPriority w:val="0"/>
    <w:pPr>
      <w:jc w:val="both"/>
    </w:pPr>
  </w:style>
  <w:style w:type="paragraph" w:customStyle="1" w:styleId="603">
    <w:name w:val="表格正文"/>
    <w:basedOn w:val="1"/>
    <w:qFormat/>
    <w:uiPriority w:val="0"/>
    <w:pPr>
      <w:ind w:right="45"/>
    </w:pPr>
    <w:rPr>
      <w:rFonts w:ascii="Arial" w:hAnsi="Arial" w:cs="Droid Sans"/>
      <w:sz w:val="24"/>
    </w:rPr>
  </w:style>
  <w:style w:type="paragraph" w:customStyle="1" w:styleId="604">
    <w:name w:val="xl257"/>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605">
    <w:name w:val="正文序号 3"/>
    <w:basedOn w:val="1"/>
    <w:qFormat/>
    <w:uiPriority w:val="0"/>
    <w:pPr>
      <w:numPr>
        <w:ilvl w:val="2"/>
        <w:numId w:val="11"/>
      </w:numPr>
      <w:tabs>
        <w:tab w:val="left" w:pos="744"/>
        <w:tab w:val="left" w:pos="1259"/>
      </w:tabs>
      <w:spacing w:before="60"/>
    </w:pPr>
    <w:rPr>
      <w:rFonts w:cs="Droid Sans"/>
      <w:sz w:val="18"/>
    </w:rPr>
  </w:style>
  <w:style w:type="paragraph" w:customStyle="1" w:styleId="606">
    <w:name w:val="WPSOffice手动目录 1"/>
    <w:uiPriority w:val="0"/>
    <w:rPr>
      <w:rFonts w:ascii="Times New Roman" w:hAnsi="Times New Roman" w:eastAsia="宋体" w:cs="Times New Roman"/>
      <w:lang w:val="en-US" w:eastAsia="zh-CN" w:bidi="ar-SA"/>
    </w:rPr>
  </w:style>
  <w:style w:type="paragraph" w:customStyle="1" w:styleId="607">
    <w:name w:val="Char Char Char Char2"/>
    <w:basedOn w:val="1"/>
    <w:qFormat/>
    <w:uiPriority w:val="0"/>
    <w:rPr>
      <w:rFonts w:ascii="Tahoma" w:hAnsi="Tahoma"/>
      <w:sz w:val="24"/>
    </w:rPr>
  </w:style>
  <w:style w:type="paragraph" w:customStyle="1" w:styleId="608">
    <w:name w:val="xl89"/>
    <w:basedOn w:val="1"/>
    <w:qFormat/>
    <w:uiPriority w:val="0"/>
    <w:pPr>
      <w:widowControl/>
      <w:pBdr>
        <w:top w:val="single" w:color="auto" w:sz="4" w:space="0"/>
        <w:left w:val="single" w:color="auto" w:sz="4" w:space="0"/>
        <w:bottom w:val="single" w:color="auto" w:sz="4" w:space="0"/>
      </w:pBdr>
      <w:shd w:val="clear" w:color="auto" w:fill="FFFFFF"/>
      <w:spacing w:before="100" w:beforeAutospacing="1" w:after="100" w:afterAutospacing="1"/>
      <w:jc w:val="center"/>
    </w:pPr>
    <w:rPr>
      <w:rFonts w:ascii="ˎ̥" w:hAnsi="ˎ̥" w:cs="宋体"/>
      <w:color w:val="000000"/>
      <w:kern w:val="0"/>
      <w:sz w:val="18"/>
      <w:szCs w:val="18"/>
    </w:rPr>
  </w:style>
  <w:style w:type="paragraph" w:customStyle="1" w:styleId="609">
    <w:name w:val="TOC Heading1"/>
    <w:basedOn w:val="2"/>
    <w:next w:val="1"/>
    <w:uiPriority w:val="99"/>
    <w:pPr>
      <w:widowControl/>
      <w:spacing w:before="480" w:after="0" w:line="276" w:lineRule="auto"/>
      <w:jc w:val="left"/>
      <w:outlineLvl w:val="9"/>
    </w:pPr>
    <w:rPr>
      <w:rFonts w:ascii="Cambria" w:hAnsi="Cambria" w:cs="Cambria"/>
      <w:color w:val="365F91"/>
      <w:kern w:val="0"/>
      <w:sz w:val="28"/>
      <w:szCs w:val="28"/>
      <w:u w:color="000000"/>
    </w:rPr>
  </w:style>
  <w:style w:type="paragraph" w:customStyle="1" w:styleId="610">
    <w:name w:val="lift"/>
    <w:basedOn w:val="1"/>
    <w:uiPriority w:val="0"/>
    <w:pPr>
      <w:widowControl/>
      <w:spacing w:before="100" w:beforeAutospacing="1" w:after="100" w:afterAutospacing="1"/>
      <w:jc w:val="left"/>
    </w:pPr>
    <w:rPr>
      <w:rFonts w:ascii="ˎ̥" w:hAnsi="ˎ̥"/>
      <w:color w:val="000099"/>
      <w:kern w:val="0"/>
      <w:sz w:val="9"/>
    </w:rPr>
  </w:style>
  <w:style w:type="paragraph" w:customStyle="1" w:styleId="611">
    <w:name w:val="xl78"/>
    <w:basedOn w:val="1"/>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612">
    <w:name w:val="xl3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cs="楷体_GB2312"/>
      <w:kern w:val="0"/>
      <w:sz w:val="22"/>
      <w:szCs w:val="22"/>
    </w:rPr>
  </w:style>
  <w:style w:type="paragraph" w:customStyle="1" w:styleId="613">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2"/>
      <w:szCs w:val="22"/>
    </w:rPr>
  </w:style>
  <w:style w:type="paragraph" w:customStyle="1" w:styleId="614">
    <w:name w:val="pa-0"/>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615">
    <w:name w:val="xl85"/>
    <w:basedOn w:val="1"/>
    <w:uiPriority w:val="0"/>
    <w:pPr>
      <w:widowControl/>
      <w:pBdr>
        <w:top w:val="single" w:color="auto" w:sz="4" w:space="0"/>
        <w:bottom w:val="single" w:color="auto" w:sz="4" w:space="0"/>
      </w:pBdr>
      <w:spacing w:before="100" w:beforeAutospacing="1" w:after="100" w:afterAutospacing="1"/>
      <w:jc w:val="center"/>
      <w:textAlignment w:val="center"/>
    </w:pPr>
    <w:rPr>
      <w:rFonts w:ascii="宋体" w:hAnsi="宋体" w:cs="宋体"/>
      <w:b/>
      <w:bCs/>
      <w:kern w:val="0"/>
      <w:sz w:val="22"/>
      <w:szCs w:val="22"/>
    </w:rPr>
  </w:style>
  <w:style w:type="paragraph" w:customStyle="1" w:styleId="616">
    <w:name w:val="Char Char Char1 Char Char Char Char"/>
    <w:basedOn w:val="1"/>
    <w:uiPriority w:val="0"/>
    <w:pPr>
      <w:widowControl/>
      <w:snapToGrid w:val="0"/>
      <w:spacing w:after="160" w:line="300" w:lineRule="auto"/>
      <w:jc w:val="left"/>
    </w:pPr>
    <w:rPr>
      <w:rFonts w:ascii="仿宋_GB2312" w:hAnsi="Verdana" w:eastAsia="仿宋_GB2312"/>
      <w:b/>
      <w:kern w:val="0"/>
      <w:sz w:val="28"/>
      <w:szCs w:val="28"/>
      <w:lang w:eastAsia="en-US"/>
    </w:rPr>
  </w:style>
  <w:style w:type="paragraph" w:customStyle="1" w:styleId="617">
    <w:name w:val="_Style 191"/>
    <w:next w:val="1"/>
    <w:qFormat/>
    <w:uiPriority w:val="99"/>
    <w:pPr>
      <w:widowControl w:val="0"/>
      <w:jc w:val="both"/>
    </w:pPr>
    <w:rPr>
      <w:rFonts w:ascii="Times New Roman" w:hAnsi="Times New Roman" w:eastAsia="宋体" w:cs="Times New Roman"/>
      <w:kern w:val="2"/>
      <w:sz w:val="21"/>
      <w:lang w:val="en-US" w:eastAsia="zh-CN" w:bidi="ar-SA"/>
    </w:rPr>
  </w:style>
  <w:style w:type="paragraph" w:customStyle="1" w:styleId="618">
    <w:name w:val="xl25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szCs w:val="24"/>
    </w:rPr>
  </w:style>
  <w:style w:type="paragraph" w:customStyle="1" w:styleId="619">
    <w:name w:val="xl72"/>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2"/>
      <w:szCs w:val="22"/>
    </w:rPr>
  </w:style>
  <w:style w:type="paragraph" w:customStyle="1" w:styleId="620">
    <w:name w:val="List Paragraph_9b970762-14a9-43ab-b627-ab24dd866b2c"/>
    <w:basedOn w:val="1"/>
    <w:qFormat/>
    <w:uiPriority w:val="34"/>
    <w:pPr>
      <w:ind w:firstLine="420" w:firstLineChars="200"/>
    </w:pPr>
    <w:rPr>
      <w:rFonts w:ascii="Calibri" w:hAnsi="Calibri"/>
      <w:szCs w:val="22"/>
    </w:rPr>
  </w:style>
  <w:style w:type="paragraph" w:customStyle="1" w:styleId="621">
    <w:name w:val="xl49"/>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top"/>
    </w:pPr>
    <w:rPr>
      <w:rFonts w:ascii="Arial Unicode MS" w:hAnsi="Arial Unicode MS" w:eastAsia="Arial Unicode MS" w:cs="楷体_GB2312"/>
      <w:kern w:val="0"/>
      <w:sz w:val="22"/>
      <w:szCs w:val="22"/>
    </w:rPr>
  </w:style>
  <w:style w:type="paragraph" w:customStyle="1" w:styleId="622">
    <w:name w:val="Char Char"/>
    <w:basedOn w:val="1"/>
    <w:uiPriority w:val="0"/>
    <w:rPr>
      <w:rFonts w:ascii="Tahoma" w:hAnsi="Tahoma"/>
      <w:sz w:val="24"/>
    </w:rPr>
  </w:style>
  <w:style w:type="paragraph" w:customStyle="1" w:styleId="623">
    <w:name w:val="xl41"/>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Arial Unicode MS" w:hAnsi="Arial Unicode MS" w:eastAsia="Arial Unicode MS" w:cs="楷体_GB2312"/>
      <w:kern w:val="0"/>
      <w:sz w:val="22"/>
      <w:szCs w:val="22"/>
    </w:rPr>
  </w:style>
  <w:style w:type="paragraph" w:customStyle="1" w:styleId="624">
    <w:name w:val="首行缩进"/>
    <w:basedOn w:val="1"/>
    <w:uiPriority w:val="0"/>
    <w:pPr>
      <w:spacing w:line="360" w:lineRule="auto"/>
      <w:ind w:firstLine="420" w:firstLineChars="200"/>
    </w:pPr>
    <w:rPr>
      <w:rFonts w:ascii="宋体" w:hAnsi="宋体"/>
      <w:szCs w:val="24"/>
    </w:rPr>
  </w:style>
  <w:style w:type="paragraph" w:customStyle="1" w:styleId="625">
    <w:name w:val="m_title"/>
    <w:basedOn w:val="1"/>
    <w:uiPriority w:val="0"/>
    <w:pPr>
      <w:widowControl/>
      <w:spacing w:before="100" w:beforeAutospacing="1" w:after="100" w:afterAutospacing="1"/>
      <w:jc w:val="left"/>
    </w:pPr>
    <w:rPr>
      <w:rFonts w:ascii="ˎ̥" w:hAnsi="ˎ̥"/>
      <w:color w:val="FFFFFF"/>
      <w:kern w:val="0"/>
      <w:sz w:val="18"/>
    </w:rPr>
  </w:style>
  <w:style w:type="paragraph" w:customStyle="1" w:styleId="626">
    <w:name w:val="Char4"/>
    <w:basedOn w:val="1"/>
    <w:uiPriority w:val="0"/>
    <w:rPr>
      <w:rFonts w:ascii="Tahoma" w:hAnsi="Tahoma"/>
      <w:sz w:val="24"/>
    </w:rPr>
  </w:style>
  <w:style w:type="paragraph" w:customStyle="1" w:styleId="627">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2"/>
      <w:szCs w:val="22"/>
    </w:rPr>
  </w:style>
  <w:style w:type="paragraph" w:customStyle="1" w:styleId="628">
    <w:name w:val="xl248"/>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rPr>
  </w:style>
  <w:style w:type="paragraph" w:customStyle="1" w:styleId="629">
    <w:name w:val="Char Char11"/>
    <w:basedOn w:val="1"/>
    <w:uiPriority w:val="0"/>
    <w:rPr>
      <w:rFonts w:ascii="Tahoma" w:hAnsi="Tahoma"/>
      <w:sz w:val="24"/>
    </w:rPr>
  </w:style>
  <w:style w:type="paragraph" w:customStyle="1" w:styleId="630">
    <w:name w:val="xl42"/>
    <w:basedOn w:val="1"/>
    <w:uiPriority w:val="0"/>
    <w:pPr>
      <w:widowControl/>
      <w:pBdr>
        <w:top w:val="single" w:color="auto" w:sz="4" w:space="0"/>
        <w:left w:val="single" w:color="auto" w:sz="4" w:space="31"/>
        <w:bottom w:val="single" w:color="auto" w:sz="4" w:space="0"/>
        <w:right w:val="single" w:color="auto" w:sz="4" w:space="0"/>
      </w:pBdr>
      <w:spacing w:before="100" w:beforeAutospacing="1" w:after="100" w:afterAutospacing="1"/>
      <w:ind w:firstLine="300" w:firstLineChars="300"/>
      <w:jc w:val="left"/>
      <w:textAlignment w:val="center"/>
    </w:pPr>
    <w:rPr>
      <w:rFonts w:eastAsia="Arial Unicode MS"/>
      <w:kern w:val="0"/>
      <w:sz w:val="22"/>
      <w:szCs w:val="22"/>
    </w:rPr>
  </w:style>
  <w:style w:type="paragraph" w:customStyle="1" w:styleId="631">
    <w:name w:val="xl263"/>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rPr>
  </w:style>
  <w:style w:type="paragraph" w:customStyle="1" w:styleId="632">
    <w:name w:val="正文序号 4"/>
    <w:basedOn w:val="1"/>
    <w:uiPriority w:val="0"/>
    <w:pPr>
      <w:numPr>
        <w:ilvl w:val="3"/>
        <w:numId w:val="11"/>
      </w:numPr>
      <w:tabs>
        <w:tab w:val="left" w:pos="744"/>
        <w:tab w:val="left" w:pos="1469"/>
      </w:tabs>
      <w:spacing w:before="60"/>
    </w:pPr>
    <w:rPr>
      <w:rFonts w:cs="Droid Sans"/>
      <w:sz w:val="18"/>
    </w:rPr>
  </w:style>
  <w:style w:type="paragraph" w:customStyle="1" w:styleId="633">
    <w:name w:val="xl247"/>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rPr>
  </w:style>
  <w:style w:type="paragraph" w:customStyle="1" w:styleId="634">
    <w:name w:val="D标1"/>
    <w:basedOn w:val="2"/>
    <w:next w:val="1"/>
    <w:qFormat/>
    <w:uiPriority w:val="0"/>
    <w:pPr>
      <w:keepLines w:val="0"/>
      <w:pageBreakBefore/>
      <w:widowControl/>
      <w:numPr>
        <w:ilvl w:val="0"/>
        <w:numId w:val="16"/>
      </w:numPr>
      <w:tabs>
        <w:tab w:val="left" w:pos="425"/>
      </w:tabs>
      <w:autoSpaceDE w:val="0"/>
      <w:autoSpaceDN w:val="0"/>
      <w:adjustRightInd w:val="0"/>
      <w:spacing w:before="360" w:after="240" w:line="315" w:lineRule="atLeast"/>
    </w:pPr>
    <w:rPr>
      <w:rFonts w:ascii="Arial" w:hAnsi="Arial" w:eastAsia="Arial" w:cs="Droid Sans"/>
      <w:b w:val="0"/>
      <w:bCs w:val="0"/>
      <w:kern w:val="0"/>
      <w:sz w:val="36"/>
      <w:szCs w:val="20"/>
    </w:rPr>
  </w:style>
  <w:style w:type="paragraph" w:customStyle="1" w:styleId="635">
    <w:name w:val="xl2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rPr>
  </w:style>
  <w:style w:type="paragraph" w:customStyle="1" w:styleId="636">
    <w:name w:val="xl25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kern w:val="0"/>
      <w:sz w:val="20"/>
    </w:rPr>
  </w:style>
  <w:style w:type="paragraph" w:customStyle="1" w:styleId="637">
    <w:name w:val="Char Char Char Char Char Char Char Char Char Char Char Char2"/>
    <w:basedOn w:val="1"/>
    <w:uiPriority w:val="0"/>
    <w:pPr>
      <w:spacing w:line="300" w:lineRule="auto"/>
    </w:pPr>
    <w:rPr>
      <w:rFonts w:ascii="宋体" w:hAnsi="宋体"/>
      <w:b/>
      <w:bCs/>
      <w:color w:val="000000"/>
      <w:spacing w:val="8"/>
      <w:kern w:val="0"/>
      <w:sz w:val="24"/>
      <w:szCs w:val="24"/>
    </w:rPr>
  </w:style>
  <w:style w:type="paragraph" w:customStyle="1" w:styleId="638">
    <w:name w:val="¤º¤å"/>
    <w:qFormat/>
    <w:uiPriority w:val="0"/>
    <w:pPr>
      <w:widowControl w:val="0"/>
      <w:overflowPunct w:val="0"/>
      <w:autoSpaceDE w:val="0"/>
      <w:autoSpaceDN w:val="0"/>
      <w:adjustRightInd w:val="0"/>
      <w:spacing w:line="360" w:lineRule="atLeast"/>
      <w:textAlignment w:val="baseline"/>
    </w:pPr>
    <w:rPr>
      <w:rFonts w:ascii="Wingdings" w:hAnsi="Wingdings" w:eastAsia="Arial Unicode MS" w:cs="Droid Sans"/>
      <w:sz w:val="24"/>
      <w:lang w:val="en-US" w:eastAsia="zh-TW" w:bidi="ar-SA"/>
    </w:rPr>
  </w:style>
  <w:style w:type="table" w:customStyle="1" w:styleId="639">
    <w:name w:val="网格型1"/>
    <w:basedOn w:val="71"/>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0">
    <w:name w:val="网格型5"/>
    <w:basedOn w:val="71"/>
    <w:uiPriority w:val="0"/>
    <w:rPr>
      <w:rFonts w:ascii="Calibri" w:hAnsi="Calibri"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1">
    <w:name w:val="TableGrid"/>
    <w:qFormat/>
    <w:uiPriority w:val="0"/>
    <w:rPr>
      <w:kern w:val="2"/>
      <w:sz w:val="21"/>
      <w:szCs w:val="22"/>
    </w:rPr>
    <w:tblPr>
      <w:tblCellMar>
        <w:top w:w="0" w:type="dxa"/>
        <w:left w:w="0" w:type="dxa"/>
        <w:bottom w:w="0" w:type="dxa"/>
        <w:right w:w="0" w:type="dxa"/>
      </w:tblCellMar>
    </w:tblPr>
  </w:style>
  <w:style w:type="table" w:customStyle="1" w:styleId="642">
    <w:name w:val="网格型4"/>
    <w:basedOn w:val="71"/>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3">
    <w:name w:val="网格型6"/>
    <w:basedOn w:val="71"/>
    <w:qFormat/>
    <w:uiPriority w:val="0"/>
    <w:pPr>
      <w:widowControl w:val="0"/>
      <w:jc w:val="both"/>
    </w:pPr>
    <w:rPr>
      <w:rFonts w:ascii="Calibri" w:hAnsi="Calibri" w:cs="Aria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4">
    <w:name w:val="网格型2"/>
    <w:basedOn w:val="71"/>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5">
    <w:name w:val="网格型3"/>
    <w:basedOn w:val="71"/>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46">
    <w:name w:val="hover17"/>
    <w:uiPriority w:val="0"/>
  </w:style>
  <w:style w:type="character" w:customStyle="1" w:styleId="647">
    <w:name w:val="fr"/>
    <w:uiPriority w:val="0"/>
  </w:style>
  <w:style w:type="character" w:customStyle="1" w:styleId="648">
    <w:name w:val="first-child"/>
    <w:uiPriority w:val="0"/>
    <w:rPr>
      <w:color w:val="1F3149"/>
      <w:sz w:val="24"/>
      <w:szCs w:val="24"/>
    </w:rPr>
  </w:style>
  <w:style w:type="character" w:customStyle="1" w:styleId="649">
    <w:name w:val="first-child1"/>
    <w:uiPriority w:val="0"/>
    <w:rPr>
      <w:color w:val="1F3149"/>
      <w:sz w:val="24"/>
      <w:szCs w:val="24"/>
    </w:rPr>
  </w:style>
  <w:style w:type="character" w:customStyle="1" w:styleId="650">
    <w:name w:val="icon_gys"/>
    <w:qFormat/>
    <w:uiPriority w:val="0"/>
    <w:rPr>
      <w:sz w:val="21"/>
      <w:szCs w:val="21"/>
    </w:rPr>
  </w:style>
  <w:style w:type="character" w:customStyle="1" w:styleId="651">
    <w:name w:val="xiadan"/>
    <w:uiPriority w:val="0"/>
    <w:rPr>
      <w:shd w:val="clear" w:color="auto" w:fill="E4393C"/>
    </w:rPr>
  </w:style>
  <w:style w:type="character" w:customStyle="1" w:styleId="652">
    <w:name w:val="icon_ds"/>
    <w:uiPriority w:val="0"/>
  </w:style>
  <w:style w:type="character" w:customStyle="1" w:styleId="653">
    <w:name w:val="icon_ds1"/>
    <w:uiPriority w:val="0"/>
    <w:rPr>
      <w:sz w:val="21"/>
      <w:szCs w:val="21"/>
    </w:rPr>
  </w:style>
  <w:style w:type="paragraph" w:customStyle="1" w:styleId="654">
    <w:name w:val="表格2"/>
    <w:basedOn w:val="1"/>
    <w:next w:val="1"/>
    <w:qFormat/>
    <w:uiPriority w:val="0"/>
    <w:pPr>
      <w:jc w:val="center"/>
    </w:pPr>
    <w:rPr>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daohangxitong.com</Company>
  <Pages>72</Pages>
  <Words>7914</Words>
  <Characters>8589</Characters>
  <Lines>309</Lines>
  <Paragraphs>87</Paragraphs>
  <TotalTime>16</TotalTime>
  <ScaleCrop>false</ScaleCrop>
  <LinksUpToDate>false</LinksUpToDate>
  <CharactersWithSpaces>8779</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2020-11-18T02:32:00Z</dcterms:created>
  <dc:creator>Administrator</dc:creator>
  <cp:lastModifiedBy>Aurora Pink</cp:lastModifiedBy>
  <cp:lastPrinted>2020-08-05T10:26:00Z</cp:lastPrinted>
  <dcterms:modified xsi:type="dcterms:W3CDTF">2026-04-30T08:05:54Z</dcterms:modified>
  <dc:title>周口市公共资源交易中心</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CC8420EF0A6341389E2810610235C7B1_13</vt:lpwstr>
  </property>
  <property fmtid="{D5CDD505-2E9C-101B-9397-08002B2CF9AE}" pid="4" name="KSOTemplateDocerSaveRecord">
    <vt:lpwstr>eyJoZGlkIjoiNjEzMTlhMTY2OTFhMDQ1NzgxYmYxNmQ2MmQ4YjFmMTgiLCJ1c2VySWQiOiIxNTU4MjMzNzk1In0=</vt:lpwstr>
  </property>
</Properties>
</file>