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正阳县雷寨镇人民政府2026年中央及省级小麦促弱转壮防灾减灾资金项目（二次）</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36AEA3A9">
      <w:pPr>
        <w:widowControl/>
        <w:spacing w:before="161" w:after="161" w:line="480" w:lineRule="atLeast"/>
        <w:ind w:firstLine="2240" w:firstLineChars="800"/>
        <w:jc w:val="both"/>
        <w:rPr>
          <w:rFonts w:hint="eastAsia" w:ascii="宋体" w:hAnsi="宋体" w:eastAsia="宋体" w:cs="宋体"/>
          <w:color w:val="auto"/>
          <w:kern w:val="0"/>
          <w:sz w:val="24"/>
          <w:lang w:val="en-US"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正阳竞谈-2026-25</w:t>
      </w: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正阳县雷寨镇人民政府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中豫建设工程咨询有限公司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12"/>
            <w:bookmarkStart w:id="1" w:name="_Toc35393629"/>
            <w:bookmarkStart w:id="2" w:name="_Toc2835908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正阳县雷寨镇人民政府2026年中央及省级小麦促弱转壮防灾减灾资金项目（二次）</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5</w:t>
            </w:r>
            <w:r>
              <w:rPr>
                <w:rFonts w:hint="eastAsia" w:ascii="宋体" w:hAnsi="宋体" w:eastAsia="宋体" w:cs="宋体"/>
                <w:color w:val="auto"/>
                <w:sz w:val="24"/>
              </w:rPr>
              <w:t>月</w:t>
            </w:r>
            <w:r>
              <w:rPr>
                <w:rFonts w:hint="eastAsia" w:ascii="宋体" w:hAnsi="宋体" w:cs="宋体"/>
                <w:color w:val="auto"/>
                <w:sz w:val="24"/>
                <w:lang w:val="en-US" w:eastAsia="zh-CN"/>
              </w:rPr>
              <w:t>8</w:t>
            </w:r>
            <w:r>
              <w:rPr>
                <w:rFonts w:hint="eastAsia" w:ascii="宋体" w:hAnsi="宋体" w:eastAsia="宋体" w:cs="宋体"/>
                <w:color w:val="auto"/>
                <w:sz w:val="24"/>
              </w:rPr>
              <w:t>日</w:t>
            </w:r>
            <w:r>
              <w:rPr>
                <w:rFonts w:hint="eastAsia" w:ascii="宋体" w:hAnsi="宋体" w:eastAsia="宋体" w:cs="宋体"/>
                <w:color w:val="auto"/>
                <w:sz w:val="24"/>
                <w:lang w:val="en-US" w:eastAsia="zh-CN"/>
              </w:rPr>
              <w:t>9</w:t>
            </w:r>
            <w:r>
              <w:rPr>
                <w:rFonts w:hint="eastAsia" w:ascii="宋体" w:hAnsi="宋体" w:eastAsia="宋体" w:cs="宋体"/>
                <w:color w:val="auto"/>
                <w:sz w:val="24"/>
              </w:rPr>
              <w:t>点</w:t>
            </w:r>
            <w:r>
              <w:rPr>
                <w:rFonts w:hint="eastAsia" w:ascii="宋体" w:hAnsi="宋体" w:cs="宋体"/>
                <w:color w:val="auto"/>
                <w:sz w:val="24"/>
                <w:lang w:val="en-US" w:eastAsia="zh-CN"/>
              </w:rPr>
              <w:t>3</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项目编号：正阳竞谈-2026-25；</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正阳县雷寨镇人民政府2026年中央及省级小麦促弱转壮防灾减灾资金项目（二次）</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590000.00元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590000.00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A</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正阳县雷寨镇人民政府2026年中央及省级小麦促弱转壮防灾减灾资金项目（二次）A包</w:t>
            </w:r>
          </w:p>
        </w:tc>
        <w:tc>
          <w:tcPr>
            <w:tcW w:w="2194" w:type="dxa"/>
            <w:noWrap w:val="0"/>
            <w:vAlign w:val="center"/>
          </w:tcPr>
          <w:p w14:paraId="444D2DBF">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color w:val="auto"/>
                <w:sz w:val="24"/>
                <w:szCs w:val="24"/>
                <w:lang w:val="en-US" w:eastAsia="zh-CN"/>
              </w:rPr>
            </w:pPr>
            <w:r>
              <w:rPr>
                <w:rFonts w:hint="eastAsia" w:ascii="宋体" w:hAnsi="宋体" w:cs="宋体"/>
                <w:b w:val="0"/>
                <w:bCs w:val="0"/>
                <w:color w:val="auto"/>
                <w:kern w:val="0"/>
                <w:sz w:val="24"/>
                <w:szCs w:val="24"/>
                <w:shd w:val="clear" w:color="auto" w:fill="auto"/>
                <w:lang w:val="en-US" w:eastAsia="zh-CN"/>
              </w:rPr>
              <w:t>200</w:t>
            </w:r>
            <w:r>
              <w:rPr>
                <w:rFonts w:hint="eastAsia" w:ascii="宋体" w:hAnsi="宋体" w:eastAsia="宋体" w:cs="宋体"/>
                <w:b w:val="0"/>
                <w:bCs w:val="0"/>
                <w:color w:val="auto"/>
                <w:kern w:val="0"/>
                <w:sz w:val="24"/>
                <w:szCs w:val="24"/>
                <w:shd w:val="clear" w:color="auto" w:fill="auto"/>
                <w:lang w:val="en-US" w:eastAsia="zh-CN"/>
              </w:rPr>
              <w:t>000.00</w:t>
            </w:r>
          </w:p>
        </w:tc>
        <w:tc>
          <w:tcPr>
            <w:tcW w:w="2112" w:type="dxa"/>
            <w:noWrap w:val="0"/>
            <w:vAlign w:val="center"/>
          </w:tcPr>
          <w:p w14:paraId="7A3D3EA9">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color w:val="auto"/>
                <w:sz w:val="24"/>
                <w:szCs w:val="24"/>
                <w:lang w:val="en-US" w:eastAsia="zh-CN"/>
              </w:rPr>
            </w:pPr>
            <w:r>
              <w:rPr>
                <w:rFonts w:hint="eastAsia" w:ascii="宋体" w:hAnsi="宋体" w:cs="宋体"/>
                <w:b w:val="0"/>
                <w:bCs w:val="0"/>
                <w:color w:val="auto"/>
                <w:kern w:val="0"/>
                <w:sz w:val="24"/>
                <w:szCs w:val="24"/>
                <w:shd w:val="clear" w:color="auto" w:fill="auto"/>
                <w:lang w:val="en-US" w:eastAsia="zh-CN"/>
              </w:rPr>
              <w:t>200</w:t>
            </w:r>
            <w:r>
              <w:rPr>
                <w:rFonts w:hint="eastAsia" w:ascii="宋体" w:hAnsi="宋体" w:eastAsia="宋体" w:cs="宋体"/>
                <w:b w:val="0"/>
                <w:bCs w:val="0"/>
                <w:color w:val="auto"/>
                <w:kern w:val="0"/>
                <w:sz w:val="24"/>
                <w:szCs w:val="24"/>
                <w:shd w:val="clear" w:color="auto" w:fill="auto"/>
                <w:lang w:val="en-US" w:eastAsia="zh-CN"/>
              </w:rPr>
              <w:t>000.00</w:t>
            </w:r>
          </w:p>
        </w:tc>
      </w:tr>
      <w:tr w14:paraId="77E0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61" w:type="dxa"/>
            <w:noWrap w:val="0"/>
            <w:vAlign w:val="top"/>
          </w:tcPr>
          <w:p w14:paraId="19DC4A24">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w:t>
            </w:r>
          </w:p>
        </w:tc>
        <w:tc>
          <w:tcPr>
            <w:tcW w:w="765" w:type="dxa"/>
            <w:noWrap w:val="0"/>
            <w:vAlign w:val="top"/>
          </w:tcPr>
          <w:p w14:paraId="37945126">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B</w:t>
            </w:r>
          </w:p>
        </w:tc>
        <w:tc>
          <w:tcPr>
            <w:tcW w:w="3066" w:type="dxa"/>
            <w:noWrap w:val="0"/>
            <w:vAlign w:val="top"/>
          </w:tcPr>
          <w:p w14:paraId="4653CBF6">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正阳县雷寨镇人民政府2026年中央及省级小麦促弱转壮防灾减灾资金项目（二次）B包</w:t>
            </w:r>
          </w:p>
        </w:tc>
        <w:tc>
          <w:tcPr>
            <w:tcW w:w="2194" w:type="dxa"/>
            <w:noWrap w:val="0"/>
            <w:vAlign w:val="center"/>
          </w:tcPr>
          <w:p w14:paraId="78B75641">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cs="宋体"/>
                <w:b w:val="0"/>
                <w:bCs w:val="0"/>
                <w:color w:val="auto"/>
                <w:kern w:val="0"/>
                <w:sz w:val="24"/>
                <w:szCs w:val="24"/>
                <w:shd w:val="clear" w:color="auto" w:fill="auto"/>
                <w:lang w:val="en-US" w:eastAsia="zh-CN"/>
              </w:rPr>
              <w:t>390</w:t>
            </w:r>
            <w:r>
              <w:rPr>
                <w:rFonts w:hint="eastAsia" w:ascii="宋体" w:hAnsi="宋体" w:eastAsia="宋体" w:cs="宋体"/>
                <w:b w:val="0"/>
                <w:bCs w:val="0"/>
                <w:color w:val="auto"/>
                <w:kern w:val="0"/>
                <w:sz w:val="24"/>
                <w:szCs w:val="24"/>
                <w:shd w:val="clear" w:color="auto" w:fill="auto"/>
                <w:lang w:val="en-US" w:eastAsia="zh-CN"/>
              </w:rPr>
              <w:t>000.00</w:t>
            </w:r>
          </w:p>
        </w:tc>
        <w:tc>
          <w:tcPr>
            <w:tcW w:w="2112" w:type="dxa"/>
            <w:noWrap w:val="0"/>
            <w:vAlign w:val="center"/>
          </w:tcPr>
          <w:p w14:paraId="5A323E63">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cs="宋体"/>
                <w:b w:val="0"/>
                <w:bCs w:val="0"/>
                <w:color w:val="auto"/>
                <w:kern w:val="0"/>
                <w:sz w:val="24"/>
                <w:szCs w:val="24"/>
                <w:shd w:val="clear" w:color="auto" w:fill="auto"/>
                <w:lang w:val="en-US" w:eastAsia="zh-CN"/>
              </w:rPr>
              <w:t>390</w:t>
            </w:r>
            <w:r>
              <w:rPr>
                <w:rFonts w:hint="eastAsia" w:ascii="宋体" w:hAnsi="宋体" w:eastAsia="宋体" w:cs="宋体"/>
                <w:b w:val="0"/>
                <w:bCs w:val="0"/>
                <w:color w:val="auto"/>
                <w:kern w:val="0"/>
                <w:sz w:val="24"/>
                <w:szCs w:val="24"/>
                <w:shd w:val="clear" w:color="auto" w:fill="auto"/>
                <w:lang w:val="en-US" w:eastAsia="zh-CN"/>
              </w:rPr>
              <w:t>000.00</w:t>
            </w:r>
          </w:p>
        </w:tc>
      </w:tr>
    </w:tbl>
    <w:p w14:paraId="4754A4CC">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6、合同履行期限：合同签订后10日内；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630"/>
      <w:bookmarkStart w:id="6" w:name="_Toc28359013"/>
      <w:bookmarkStart w:id="7" w:name="_Toc35393799"/>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cs="宋体"/>
          <w:b w:val="0"/>
          <w:bCs w:val="0"/>
          <w:color w:val="auto"/>
          <w:sz w:val="24"/>
          <w:szCs w:val="24"/>
          <w:vertAlign w:val="baseline"/>
          <w:lang w:val="en-US" w:eastAsia="zh-CN"/>
        </w:rPr>
        <w:t>中量元素</w:t>
      </w:r>
      <w:r>
        <w:rPr>
          <w:rFonts w:hint="eastAsia" w:ascii="宋体" w:hAnsi="宋体" w:eastAsia="宋体" w:cs="宋体"/>
          <w:b w:val="0"/>
          <w:bCs w:val="0"/>
          <w:color w:val="auto"/>
          <w:sz w:val="24"/>
          <w:szCs w:val="24"/>
          <w:vertAlign w:val="baseline"/>
          <w:lang w:val="en-US" w:eastAsia="zh-CN"/>
        </w:rPr>
        <w:t>水溶肥</w:t>
      </w:r>
      <w:r>
        <w:rPr>
          <w:rFonts w:hint="eastAsia" w:ascii="宋体" w:hAnsi="宋体" w:eastAsia="宋体" w:cs="宋体"/>
          <w:color w:val="auto"/>
          <w:kern w:val="0"/>
          <w:sz w:val="24"/>
          <w:szCs w:val="24"/>
          <w:shd w:val="clear" w:color="auto" w:fill="FFFFFF"/>
          <w:lang w:val="en-US" w:eastAsia="zh-CN" w:bidi="ar"/>
        </w:rPr>
        <w:t>在农业农村部种植业管理司的肥料备案截图。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30</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5</w:t>
      </w:r>
      <w:r>
        <w:rPr>
          <w:rFonts w:hint="eastAsia" w:ascii="宋体" w:hAnsi="宋体" w:eastAsia="宋体" w:cs="宋体"/>
          <w:color w:val="auto"/>
          <w:sz w:val="24"/>
          <w:szCs w:val="24"/>
        </w:rPr>
        <w:t>月</w:t>
      </w:r>
      <w:r>
        <w:rPr>
          <w:rFonts w:hint="eastAsia" w:cs="宋体"/>
          <w:color w:val="auto"/>
          <w:sz w:val="24"/>
          <w:szCs w:val="24"/>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w:t>
      </w:r>
      <w:r>
        <w:rPr>
          <w:rFonts w:hint="eastAsia" w:cs="宋体"/>
          <w:color w:val="auto"/>
          <w:sz w:val="24"/>
          <w:lang w:val="en-US" w:eastAsia="zh-CN"/>
        </w:rPr>
        <w:t>8</w:t>
      </w:r>
      <w:r>
        <w:rPr>
          <w:rFonts w:hint="eastAsia" w:ascii="宋体" w:hAnsi="宋体" w:eastAsia="宋体" w:cs="宋体"/>
          <w:color w:val="auto"/>
          <w:sz w:val="24"/>
        </w:rPr>
        <w:t>:</w:t>
      </w:r>
      <w:r>
        <w:rPr>
          <w:rFonts w:hint="eastAsia" w:cs="宋体"/>
          <w:color w:val="auto"/>
          <w:sz w:val="24"/>
          <w:lang w:val="en-US" w:eastAsia="zh-CN"/>
        </w:rPr>
        <w:t>0</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bookmarkStart w:id="10" w:name="_GoBack"/>
      <w:bookmarkEnd w:id="10"/>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正阳县雷寨镇人民政府</w:t>
      </w:r>
      <w:r>
        <w:rPr>
          <w:rFonts w:hint="eastAsia" w:ascii="宋体" w:hAnsi="宋体" w:eastAsia="宋体" w:cs="宋体"/>
          <w:color w:val="auto"/>
          <w:sz w:val="24"/>
          <w:szCs w:val="24"/>
          <w:highlight w:val="none"/>
          <w:lang w:val="en-US" w:eastAsia="zh-CN"/>
        </w:rPr>
        <w:t xml:space="preserve">   </w:t>
      </w:r>
    </w:p>
    <w:p w14:paraId="06CDCCB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雷寨镇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邹先生</w:t>
      </w:r>
    </w:p>
    <w:p w14:paraId="2531CFC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13839915780</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中豫建设工程咨询有限公司</w:t>
      </w:r>
    </w:p>
    <w:p w14:paraId="2F4BB99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地址：河南自贸试验区郑州片区(郑东)榆林北路36号1号楼15层1516号</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高彦光</w:t>
      </w:r>
    </w:p>
    <w:p w14:paraId="52D4571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联系方式：13223872830</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8EE2A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邹先生</w:t>
      </w:r>
    </w:p>
    <w:p w14:paraId="3D51BB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13839915780</w:t>
      </w:r>
    </w:p>
    <w:p w14:paraId="235E9D1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p>
    <w:p w14:paraId="60D5AA9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正阳县雷寨镇人民政府2026年中央及省级小麦促弱转壮防灾减灾资金项目（二次）</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p w14:paraId="3A527E6E">
      <w:pPr>
        <w:pStyle w:val="2"/>
        <w:rPr>
          <w:rFonts w:hint="default" w:eastAsia="宋体"/>
          <w:color w:val="auto"/>
          <w:lang w:val="en-US" w:eastAsia="zh-CN"/>
        </w:rPr>
      </w:pPr>
      <w:r>
        <w:rPr>
          <w:rFonts w:hint="eastAsia" w:cs="宋体"/>
          <w:b/>
          <w:color w:val="auto"/>
          <w:sz w:val="28"/>
          <w:szCs w:val="28"/>
          <w:lang w:val="en-US" w:eastAsia="zh-CN"/>
        </w:rPr>
        <w:t>A包：核心产品：</w:t>
      </w:r>
      <w:r>
        <w:rPr>
          <w:rFonts w:hint="eastAsia" w:ascii="宋体" w:hAnsi="宋体" w:eastAsia="宋体" w:cs="宋体"/>
          <w:b w:val="0"/>
          <w:bCs w:val="0"/>
          <w:color w:val="auto"/>
          <w:sz w:val="24"/>
          <w:szCs w:val="24"/>
          <w:vertAlign w:val="baseline"/>
          <w:lang w:val="en-US" w:eastAsia="zh-CN"/>
        </w:rPr>
        <w:t>磷酸二氢钾</w:t>
      </w:r>
    </w:p>
    <w:tbl>
      <w:tblPr>
        <w:tblStyle w:val="18"/>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gridCol w:w="139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最高限价（单价）</w:t>
            </w:r>
          </w:p>
        </w:tc>
        <w:tc>
          <w:tcPr>
            <w:tcW w:w="1394" w:type="dxa"/>
            <w:vAlign w:val="center"/>
          </w:tcPr>
          <w:p w14:paraId="2E699C0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最高限价（总价）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磷酸二氢钾</w:t>
            </w:r>
          </w:p>
          <w:p w14:paraId="528B4169">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r>
              <w:rPr>
                <w:rStyle w:val="20"/>
                <w:rFonts w:ascii="Arial" w:hAnsi="Arial" w:eastAsia="Arial" w:cs="Arial"/>
                <w:i w:val="0"/>
                <w:iCs w:val="0"/>
                <w:caps w:val="0"/>
                <w:color w:val="auto"/>
                <w:spacing w:val="0"/>
                <w:sz w:val="24"/>
                <w:szCs w:val="24"/>
                <w:shd w:val="clear" w:fill="FFFFFF"/>
              </w:rPr>
              <w:t>KH₂PO₄</w:t>
            </w:r>
            <w:r>
              <w:rPr>
                <w:rFonts w:hint="default" w:ascii="Arial" w:hAnsi="Arial" w:eastAsia="Arial" w:cs="Arial"/>
                <w:i w:val="0"/>
                <w:iCs w:val="0"/>
                <w:caps w:val="0"/>
                <w:color w:val="auto"/>
                <w:spacing w:val="0"/>
                <w:sz w:val="24"/>
                <w:szCs w:val="24"/>
                <w:shd w:val="clear" w:fill="FFFFFF"/>
              </w:rPr>
              <w:t>‌</w:t>
            </w:r>
            <w:r>
              <w:rPr>
                <w:rFonts w:hint="eastAsia" w:ascii="宋体" w:hAnsi="宋体" w:eastAsia="宋体" w:cs="宋体"/>
                <w:b w:val="0"/>
                <w:bCs w:val="0"/>
                <w:color w:val="auto"/>
                <w:sz w:val="24"/>
                <w:szCs w:val="24"/>
                <w:vertAlign w:val="baseline"/>
                <w:lang w:val="en-US" w:eastAsia="zh-CN"/>
              </w:rPr>
              <w:t>‌）≥9</w:t>
            </w:r>
            <w:r>
              <w:rPr>
                <w:rFonts w:hint="eastAsia" w:ascii="宋体" w:hAnsi="宋体" w:cs="宋体"/>
                <w:b w:val="0"/>
                <w:bCs w:val="0"/>
                <w:color w:val="auto"/>
                <w:sz w:val="24"/>
                <w:szCs w:val="24"/>
                <w:vertAlign w:val="baseline"/>
                <w:lang w:val="en-US" w:eastAsia="zh-CN"/>
              </w:rPr>
              <w:t>8</w:t>
            </w:r>
            <w:r>
              <w:rPr>
                <w:rFonts w:hint="eastAsia" w:ascii="宋体" w:hAnsi="宋体" w:eastAsia="宋体" w:cs="宋体"/>
                <w:b w:val="0"/>
                <w:bCs w:val="0"/>
                <w:color w:val="auto"/>
                <w:sz w:val="24"/>
                <w:szCs w:val="24"/>
                <w:vertAlign w:val="baseline"/>
                <w:lang w:val="en-US" w:eastAsia="zh-CN"/>
              </w:rPr>
              <w:t>%</w:t>
            </w:r>
          </w:p>
        </w:tc>
        <w:tc>
          <w:tcPr>
            <w:tcW w:w="1110" w:type="dxa"/>
            <w:vAlign w:val="center"/>
          </w:tcPr>
          <w:p w14:paraId="014B60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20</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0DEF082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100</w:t>
            </w:r>
            <w:r>
              <w:rPr>
                <w:rFonts w:hint="eastAsia" w:ascii="宋体" w:hAnsi="宋体" w:eastAsia="宋体" w:cs="宋体"/>
                <w:b w:val="0"/>
                <w:bCs w:val="0"/>
                <w:color w:val="auto"/>
                <w:sz w:val="24"/>
                <w:szCs w:val="24"/>
                <w:vertAlign w:val="baseline"/>
                <w:lang w:val="en-US" w:eastAsia="zh-CN"/>
              </w:rPr>
              <w:t>000.00元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994" w:type="dxa"/>
            <w:vAlign w:val="center"/>
          </w:tcPr>
          <w:p w14:paraId="162A608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中量元</w:t>
            </w:r>
          </w:p>
          <w:p w14:paraId="75F98A7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素水溶</w:t>
            </w:r>
          </w:p>
          <w:p w14:paraId="21A414E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肥料</w:t>
            </w:r>
          </w:p>
        </w:tc>
        <w:tc>
          <w:tcPr>
            <w:tcW w:w="1545" w:type="dxa"/>
            <w:vAlign w:val="center"/>
          </w:tcPr>
          <w:p w14:paraId="4C70196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Ca+Mg≥100</w:t>
            </w:r>
            <w:r>
              <w:rPr>
                <w:rFonts w:hint="eastAsia" w:ascii="宋体" w:hAnsi="宋体" w:eastAsia="宋体" w:cs="宋体"/>
                <w:b w:val="0"/>
                <w:bCs w:val="0"/>
                <w:color w:val="auto"/>
                <w:sz w:val="24"/>
                <w:szCs w:val="24"/>
                <w:vertAlign w:val="baseline"/>
                <w:lang w:val="en-US" w:eastAsia="zh-CN"/>
              </w:rPr>
              <w:t>g/L</w:t>
            </w:r>
          </w:p>
        </w:tc>
        <w:tc>
          <w:tcPr>
            <w:tcW w:w="1110" w:type="dxa"/>
            <w:vAlign w:val="center"/>
          </w:tcPr>
          <w:p w14:paraId="5D5BD5C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20</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784B941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100</w:t>
            </w:r>
            <w:r>
              <w:rPr>
                <w:rFonts w:hint="eastAsia" w:ascii="宋体" w:hAnsi="宋体" w:eastAsia="宋体" w:cs="宋体"/>
                <w:b w:val="0"/>
                <w:bCs w:val="0"/>
                <w:color w:val="auto"/>
                <w:sz w:val="24"/>
                <w:szCs w:val="24"/>
                <w:vertAlign w:val="baseline"/>
                <w:lang w:val="en-US" w:eastAsia="zh-CN"/>
              </w:rPr>
              <w:t>000.00元</w:t>
            </w:r>
          </w:p>
        </w:tc>
      </w:tr>
    </w:tbl>
    <w:p w14:paraId="13F2813C">
      <w:pPr>
        <w:pStyle w:val="2"/>
        <w:rPr>
          <w:rFonts w:hint="default" w:eastAsia="宋体"/>
          <w:color w:val="auto"/>
          <w:lang w:val="en-US" w:eastAsia="zh-CN"/>
        </w:rPr>
      </w:pPr>
      <w:r>
        <w:rPr>
          <w:rFonts w:hint="eastAsia" w:cs="宋体"/>
          <w:b/>
          <w:color w:val="auto"/>
          <w:sz w:val="28"/>
          <w:szCs w:val="28"/>
          <w:lang w:val="en-US" w:eastAsia="zh-CN"/>
        </w:rPr>
        <w:t>B包：核心产品：</w:t>
      </w:r>
      <w:r>
        <w:rPr>
          <w:rFonts w:hint="eastAsia" w:ascii="宋体" w:hAnsi="宋体" w:eastAsia="宋体" w:cs="宋体"/>
          <w:b w:val="0"/>
          <w:bCs w:val="0"/>
          <w:color w:val="auto"/>
          <w:sz w:val="24"/>
          <w:szCs w:val="24"/>
          <w:vertAlign w:val="baseline"/>
          <w:lang w:val="en-US" w:eastAsia="zh-CN"/>
        </w:rPr>
        <w:t>磷酸二氢钾</w:t>
      </w:r>
    </w:p>
    <w:tbl>
      <w:tblPr>
        <w:tblStyle w:val="18"/>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gridCol w:w="1394"/>
      </w:tblGrid>
      <w:tr w14:paraId="5103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6C71B6E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94" w:type="dxa"/>
            <w:vAlign w:val="center"/>
          </w:tcPr>
          <w:p w14:paraId="0844B29D">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货物名称</w:t>
            </w:r>
          </w:p>
        </w:tc>
        <w:tc>
          <w:tcPr>
            <w:tcW w:w="1545" w:type="dxa"/>
            <w:vAlign w:val="center"/>
          </w:tcPr>
          <w:p w14:paraId="6F294C8A">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技术参数</w:t>
            </w:r>
          </w:p>
        </w:tc>
        <w:tc>
          <w:tcPr>
            <w:tcW w:w="1110" w:type="dxa"/>
            <w:vAlign w:val="center"/>
          </w:tcPr>
          <w:p w14:paraId="7049EE27">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单位</w:t>
            </w:r>
          </w:p>
        </w:tc>
        <w:tc>
          <w:tcPr>
            <w:tcW w:w="898" w:type="dxa"/>
            <w:vAlign w:val="center"/>
          </w:tcPr>
          <w:p w14:paraId="6E6A8334">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1256" w:type="dxa"/>
            <w:vAlign w:val="center"/>
          </w:tcPr>
          <w:p w14:paraId="4A8BC60B">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规格</w:t>
            </w:r>
          </w:p>
        </w:tc>
        <w:tc>
          <w:tcPr>
            <w:tcW w:w="1159" w:type="dxa"/>
            <w:vAlign w:val="center"/>
          </w:tcPr>
          <w:p w14:paraId="10B0546A">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最高限价（单价）</w:t>
            </w:r>
          </w:p>
        </w:tc>
        <w:tc>
          <w:tcPr>
            <w:tcW w:w="1394" w:type="dxa"/>
            <w:vAlign w:val="center"/>
          </w:tcPr>
          <w:p w14:paraId="1BED34D0">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最高限价（总价）</w:t>
            </w:r>
          </w:p>
        </w:tc>
      </w:tr>
      <w:tr w14:paraId="5F6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69D7E91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994" w:type="dxa"/>
            <w:vAlign w:val="center"/>
          </w:tcPr>
          <w:p w14:paraId="35AF2A4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叶面肥：磷酸二氢钾</w:t>
            </w:r>
          </w:p>
        </w:tc>
        <w:tc>
          <w:tcPr>
            <w:tcW w:w="1545" w:type="dxa"/>
            <w:vAlign w:val="center"/>
          </w:tcPr>
          <w:p w14:paraId="2076D98E">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磷酸二氢钾</w:t>
            </w:r>
          </w:p>
          <w:p w14:paraId="1E8686FB">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r>
              <w:rPr>
                <w:rStyle w:val="20"/>
                <w:rFonts w:ascii="Arial" w:hAnsi="Arial" w:eastAsia="Arial" w:cs="Arial"/>
                <w:i w:val="0"/>
                <w:iCs w:val="0"/>
                <w:caps w:val="0"/>
                <w:color w:val="auto"/>
                <w:spacing w:val="0"/>
                <w:sz w:val="24"/>
                <w:szCs w:val="24"/>
                <w:shd w:val="clear" w:fill="FFFFFF"/>
              </w:rPr>
              <w:t>KH₂PO₄</w:t>
            </w:r>
            <w:r>
              <w:rPr>
                <w:rFonts w:hint="default" w:ascii="Arial" w:hAnsi="Arial" w:eastAsia="Arial" w:cs="Arial"/>
                <w:i w:val="0"/>
                <w:iCs w:val="0"/>
                <w:caps w:val="0"/>
                <w:color w:val="auto"/>
                <w:spacing w:val="0"/>
                <w:sz w:val="24"/>
                <w:szCs w:val="24"/>
                <w:shd w:val="clear" w:fill="FFFFFF"/>
              </w:rPr>
              <w:t>‌</w:t>
            </w:r>
            <w:r>
              <w:rPr>
                <w:rFonts w:hint="eastAsia" w:ascii="宋体" w:hAnsi="宋体" w:eastAsia="宋体" w:cs="宋体"/>
                <w:b w:val="0"/>
                <w:bCs w:val="0"/>
                <w:color w:val="auto"/>
                <w:sz w:val="24"/>
                <w:szCs w:val="24"/>
                <w:vertAlign w:val="baseline"/>
                <w:lang w:val="en-US" w:eastAsia="zh-CN"/>
              </w:rPr>
              <w:t>‌）≥9</w:t>
            </w:r>
            <w:r>
              <w:rPr>
                <w:rFonts w:hint="eastAsia" w:ascii="宋体" w:hAnsi="宋体" w:cs="宋体"/>
                <w:b w:val="0"/>
                <w:bCs w:val="0"/>
                <w:color w:val="auto"/>
                <w:sz w:val="24"/>
                <w:szCs w:val="24"/>
                <w:vertAlign w:val="baseline"/>
                <w:lang w:val="en-US" w:eastAsia="zh-CN"/>
              </w:rPr>
              <w:t>8</w:t>
            </w:r>
            <w:r>
              <w:rPr>
                <w:rFonts w:hint="eastAsia" w:ascii="宋体" w:hAnsi="宋体" w:eastAsia="宋体" w:cs="宋体"/>
                <w:b w:val="0"/>
                <w:bCs w:val="0"/>
                <w:color w:val="auto"/>
                <w:sz w:val="24"/>
                <w:szCs w:val="24"/>
                <w:vertAlign w:val="baseline"/>
                <w:lang w:val="en-US" w:eastAsia="zh-CN"/>
              </w:rPr>
              <w:t>%</w:t>
            </w:r>
          </w:p>
        </w:tc>
        <w:tc>
          <w:tcPr>
            <w:tcW w:w="1110" w:type="dxa"/>
            <w:vAlign w:val="center"/>
          </w:tcPr>
          <w:p w14:paraId="6CCF8C3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7BEEE65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39</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0B67C33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100克/袋</w:t>
            </w:r>
          </w:p>
        </w:tc>
        <w:tc>
          <w:tcPr>
            <w:tcW w:w="1159" w:type="dxa"/>
            <w:vAlign w:val="center"/>
          </w:tcPr>
          <w:p w14:paraId="112DC69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39FE2FA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195</w:t>
            </w:r>
            <w:r>
              <w:rPr>
                <w:rFonts w:hint="eastAsia" w:ascii="宋体" w:hAnsi="宋体" w:eastAsia="宋体" w:cs="宋体"/>
                <w:b w:val="0"/>
                <w:bCs w:val="0"/>
                <w:color w:val="auto"/>
                <w:sz w:val="24"/>
                <w:szCs w:val="24"/>
                <w:vertAlign w:val="baseline"/>
                <w:lang w:val="en-US" w:eastAsia="zh-CN"/>
              </w:rPr>
              <w:t>000.00元</w:t>
            </w:r>
          </w:p>
        </w:tc>
      </w:tr>
      <w:tr w14:paraId="1DA4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1F2EB4C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994" w:type="dxa"/>
            <w:vAlign w:val="center"/>
          </w:tcPr>
          <w:p w14:paraId="39314A0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中量元</w:t>
            </w:r>
          </w:p>
          <w:p w14:paraId="6D46EC7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素水溶</w:t>
            </w:r>
          </w:p>
          <w:p w14:paraId="489A900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肥料</w:t>
            </w:r>
          </w:p>
        </w:tc>
        <w:tc>
          <w:tcPr>
            <w:tcW w:w="1545" w:type="dxa"/>
            <w:vAlign w:val="center"/>
          </w:tcPr>
          <w:p w14:paraId="7576321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Ca+Mg≥100</w:t>
            </w:r>
            <w:r>
              <w:rPr>
                <w:rFonts w:hint="eastAsia" w:ascii="宋体" w:hAnsi="宋体" w:eastAsia="宋体" w:cs="宋体"/>
                <w:b w:val="0"/>
                <w:bCs w:val="0"/>
                <w:color w:val="auto"/>
                <w:sz w:val="24"/>
                <w:szCs w:val="24"/>
                <w:vertAlign w:val="baseline"/>
                <w:lang w:val="en-US" w:eastAsia="zh-CN"/>
              </w:rPr>
              <w:t>g/L</w:t>
            </w:r>
          </w:p>
        </w:tc>
        <w:tc>
          <w:tcPr>
            <w:tcW w:w="1110" w:type="dxa"/>
            <w:vAlign w:val="center"/>
          </w:tcPr>
          <w:p w14:paraId="4498C4E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1FB2303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39</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2604B10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50克/袋</w:t>
            </w:r>
          </w:p>
        </w:tc>
        <w:tc>
          <w:tcPr>
            <w:tcW w:w="1159" w:type="dxa"/>
            <w:vAlign w:val="center"/>
          </w:tcPr>
          <w:p w14:paraId="310A7E8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0B84226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195</w:t>
            </w:r>
            <w:r>
              <w:rPr>
                <w:rFonts w:hint="eastAsia" w:ascii="宋体" w:hAnsi="宋体" w:eastAsia="宋体" w:cs="宋体"/>
                <w:b w:val="0"/>
                <w:bCs w:val="0"/>
                <w:color w:val="auto"/>
                <w:sz w:val="24"/>
                <w:szCs w:val="24"/>
                <w:vertAlign w:val="baseline"/>
                <w:lang w:val="en-US" w:eastAsia="zh-CN"/>
              </w:rPr>
              <w:t>000.00元</w:t>
            </w:r>
          </w:p>
        </w:tc>
      </w:tr>
    </w:tbl>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合同签订后10日内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16F1880C">
      <w:pPr>
        <w:pStyle w:val="36"/>
        <w:tabs>
          <w:tab w:val="left" w:pos="2779"/>
        </w:tabs>
        <w:jc w:val="center"/>
        <w:textAlignment w:val="baseline"/>
        <w:rPr>
          <w:rFonts w:hint="eastAsia" w:ascii="宋体" w:hAnsi="宋体" w:eastAsia="宋体" w:cs="宋体"/>
          <w:b/>
          <w:bCs/>
          <w:color w:val="auto"/>
          <w:kern w:val="0"/>
          <w:sz w:val="32"/>
          <w:szCs w:val="32"/>
        </w:rPr>
      </w:pPr>
    </w:p>
    <w:p w14:paraId="4DF02205">
      <w:pPr>
        <w:pStyle w:val="36"/>
        <w:tabs>
          <w:tab w:val="left" w:pos="2779"/>
        </w:tabs>
        <w:jc w:val="center"/>
        <w:textAlignment w:val="baseline"/>
        <w:rPr>
          <w:rFonts w:hint="eastAsia" w:ascii="宋体" w:hAnsi="宋体" w:eastAsia="宋体" w:cs="宋体"/>
          <w:b/>
          <w:bCs/>
          <w:color w:val="auto"/>
          <w:kern w:val="0"/>
          <w:sz w:val="32"/>
          <w:szCs w:val="32"/>
        </w:rPr>
      </w:pPr>
    </w:p>
    <w:p w14:paraId="5A44CBBF">
      <w:pPr>
        <w:pStyle w:val="36"/>
        <w:tabs>
          <w:tab w:val="left" w:pos="2779"/>
        </w:tabs>
        <w:jc w:val="center"/>
        <w:textAlignment w:val="baseline"/>
        <w:rPr>
          <w:rFonts w:hint="eastAsia" w:ascii="宋体" w:hAnsi="宋体" w:eastAsia="宋体" w:cs="宋体"/>
          <w:b/>
          <w:bCs/>
          <w:color w:val="auto"/>
          <w:kern w:val="0"/>
          <w:sz w:val="32"/>
          <w:szCs w:val="32"/>
        </w:rPr>
      </w:pPr>
    </w:p>
    <w:p w14:paraId="6715B12D">
      <w:pPr>
        <w:pStyle w:val="36"/>
        <w:tabs>
          <w:tab w:val="left" w:pos="2779"/>
        </w:tabs>
        <w:jc w:val="center"/>
        <w:textAlignment w:val="baseline"/>
        <w:rPr>
          <w:rFonts w:hint="eastAsia" w:ascii="宋体" w:hAnsi="宋体" w:eastAsia="宋体" w:cs="宋体"/>
          <w:b/>
          <w:bCs/>
          <w:color w:val="auto"/>
          <w:kern w:val="0"/>
          <w:sz w:val="32"/>
          <w:szCs w:val="32"/>
        </w:rPr>
      </w:pPr>
    </w:p>
    <w:p w14:paraId="553F7B7F">
      <w:pPr>
        <w:pStyle w:val="36"/>
        <w:tabs>
          <w:tab w:val="left" w:pos="2779"/>
        </w:tabs>
        <w:jc w:val="center"/>
        <w:textAlignment w:val="baseline"/>
        <w:rPr>
          <w:rFonts w:hint="eastAsia" w:ascii="宋体" w:hAnsi="宋体" w:eastAsia="宋体" w:cs="宋体"/>
          <w:b/>
          <w:bCs/>
          <w:color w:val="auto"/>
          <w:kern w:val="0"/>
          <w:sz w:val="32"/>
          <w:szCs w:val="32"/>
        </w:rPr>
      </w:pPr>
    </w:p>
    <w:p w14:paraId="52927821">
      <w:pPr>
        <w:pStyle w:val="36"/>
        <w:tabs>
          <w:tab w:val="left" w:pos="2779"/>
        </w:tabs>
        <w:jc w:val="center"/>
        <w:textAlignment w:val="baseline"/>
        <w:rPr>
          <w:rFonts w:hint="eastAsia" w:ascii="宋体" w:hAnsi="宋体" w:eastAsia="宋体" w:cs="宋体"/>
          <w:b/>
          <w:bCs/>
          <w:color w:val="auto"/>
          <w:kern w:val="0"/>
          <w:sz w:val="32"/>
          <w:szCs w:val="32"/>
        </w:rPr>
      </w:pPr>
    </w:p>
    <w:p w14:paraId="30363C8B">
      <w:pPr>
        <w:pStyle w:val="36"/>
        <w:tabs>
          <w:tab w:val="left" w:pos="2779"/>
        </w:tabs>
        <w:jc w:val="center"/>
        <w:textAlignment w:val="baseline"/>
        <w:rPr>
          <w:rFonts w:hint="eastAsia" w:ascii="宋体" w:hAnsi="宋体" w:eastAsia="宋体" w:cs="宋体"/>
          <w:b/>
          <w:bCs/>
          <w:color w:val="auto"/>
          <w:kern w:val="0"/>
          <w:sz w:val="32"/>
          <w:szCs w:val="32"/>
        </w:rPr>
      </w:pPr>
    </w:p>
    <w:p w14:paraId="4DB763D5">
      <w:pPr>
        <w:pStyle w:val="36"/>
        <w:tabs>
          <w:tab w:val="left" w:pos="2779"/>
        </w:tabs>
        <w:jc w:val="center"/>
        <w:textAlignment w:val="baseline"/>
        <w:rPr>
          <w:rFonts w:hint="eastAsia" w:ascii="宋体" w:hAnsi="宋体" w:eastAsia="宋体" w:cs="宋体"/>
          <w:b/>
          <w:bCs/>
          <w:color w:val="auto"/>
          <w:kern w:val="0"/>
          <w:sz w:val="32"/>
          <w:szCs w:val="32"/>
        </w:rPr>
      </w:pPr>
    </w:p>
    <w:p w14:paraId="174A7BC9">
      <w:pPr>
        <w:pStyle w:val="36"/>
        <w:tabs>
          <w:tab w:val="left" w:pos="2779"/>
        </w:tabs>
        <w:jc w:val="center"/>
        <w:textAlignment w:val="baseline"/>
        <w:rPr>
          <w:rFonts w:hint="eastAsia" w:ascii="宋体" w:hAnsi="宋体" w:eastAsia="宋体" w:cs="宋体"/>
          <w:b/>
          <w:bCs/>
          <w:color w:val="auto"/>
          <w:kern w:val="0"/>
          <w:sz w:val="32"/>
          <w:szCs w:val="32"/>
        </w:rPr>
      </w:pPr>
    </w:p>
    <w:p w14:paraId="36E49EC5">
      <w:pPr>
        <w:pStyle w:val="36"/>
        <w:tabs>
          <w:tab w:val="left" w:pos="2779"/>
        </w:tabs>
        <w:jc w:val="center"/>
        <w:textAlignment w:val="baseline"/>
        <w:rPr>
          <w:rFonts w:hint="eastAsia" w:ascii="宋体" w:hAnsi="宋体" w:eastAsia="宋体" w:cs="宋体"/>
          <w:b/>
          <w:bCs/>
          <w:color w:val="auto"/>
          <w:kern w:val="0"/>
          <w:sz w:val="32"/>
          <w:szCs w:val="32"/>
        </w:rPr>
      </w:pPr>
    </w:p>
    <w:p w14:paraId="0D7DA6DB">
      <w:pPr>
        <w:pStyle w:val="36"/>
        <w:tabs>
          <w:tab w:val="left" w:pos="2779"/>
        </w:tabs>
        <w:jc w:val="center"/>
        <w:textAlignment w:val="baseline"/>
        <w:rPr>
          <w:rFonts w:hint="eastAsia" w:ascii="宋体" w:hAnsi="宋体" w:eastAsia="宋体" w:cs="宋体"/>
          <w:b/>
          <w:bCs/>
          <w:color w:val="auto"/>
          <w:kern w:val="0"/>
          <w:sz w:val="32"/>
          <w:szCs w:val="32"/>
        </w:rPr>
      </w:pPr>
    </w:p>
    <w:p w14:paraId="761D755E">
      <w:pPr>
        <w:pStyle w:val="36"/>
        <w:tabs>
          <w:tab w:val="left" w:pos="2779"/>
        </w:tabs>
        <w:jc w:val="center"/>
        <w:textAlignment w:val="baseline"/>
        <w:rPr>
          <w:rFonts w:hint="eastAsia" w:ascii="宋体" w:hAnsi="宋体" w:eastAsia="宋体" w:cs="宋体"/>
          <w:b/>
          <w:bCs/>
          <w:color w:val="auto"/>
          <w:kern w:val="0"/>
          <w:sz w:val="32"/>
          <w:szCs w:val="32"/>
        </w:rPr>
      </w:pPr>
    </w:p>
    <w:p w14:paraId="4E3D49EB">
      <w:pPr>
        <w:pStyle w:val="36"/>
        <w:tabs>
          <w:tab w:val="left" w:pos="2779"/>
        </w:tabs>
        <w:jc w:val="center"/>
        <w:textAlignment w:val="baseline"/>
        <w:rPr>
          <w:rFonts w:hint="eastAsia" w:ascii="宋体" w:hAnsi="宋体" w:eastAsia="宋体" w:cs="宋体"/>
          <w:b/>
          <w:bCs/>
          <w:color w:val="auto"/>
          <w:kern w:val="0"/>
          <w:sz w:val="32"/>
          <w:szCs w:val="32"/>
        </w:rPr>
      </w:pPr>
    </w:p>
    <w:p w14:paraId="71FBBF78">
      <w:pPr>
        <w:pStyle w:val="36"/>
        <w:tabs>
          <w:tab w:val="left" w:pos="2779"/>
        </w:tabs>
        <w:jc w:val="center"/>
        <w:textAlignment w:val="baseline"/>
        <w:rPr>
          <w:rFonts w:hint="eastAsia" w:ascii="宋体" w:hAnsi="宋体" w:eastAsia="宋体" w:cs="宋体"/>
          <w:b/>
          <w:bCs/>
          <w:color w:val="auto"/>
          <w:kern w:val="0"/>
          <w:sz w:val="32"/>
          <w:szCs w:val="32"/>
        </w:rPr>
      </w:pPr>
    </w:p>
    <w:p w14:paraId="5B124AE2">
      <w:pPr>
        <w:pStyle w:val="36"/>
        <w:tabs>
          <w:tab w:val="left" w:pos="2779"/>
        </w:tabs>
        <w:jc w:val="center"/>
        <w:textAlignment w:val="baseline"/>
        <w:rPr>
          <w:rFonts w:hint="eastAsia" w:ascii="宋体" w:hAnsi="宋体" w:eastAsia="宋体" w:cs="宋体"/>
          <w:b/>
          <w:bCs/>
          <w:color w:val="auto"/>
          <w:kern w:val="0"/>
          <w:sz w:val="32"/>
          <w:szCs w:val="32"/>
        </w:rPr>
      </w:pPr>
    </w:p>
    <w:p w14:paraId="4487DE5F">
      <w:pPr>
        <w:pStyle w:val="36"/>
        <w:tabs>
          <w:tab w:val="left" w:pos="2779"/>
        </w:tabs>
        <w:jc w:val="center"/>
        <w:textAlignment w:val="baseline"/>
        <w:rPr>
          <w:rFonts w:hint="eastAsia" w:ascii="宋体" w:hAnsi="宋体" w:eastAsia="宋体" w:cs="宋体"/>
          <w:b/>
          <w:bCs/>
          <w:color w:val="auto"/>
          <w:kern w:val="0"/>
          <w:sz w:val="32"/>
          <w:szCs w:val="32"/>
        </w:rPr>
      </w:pPr>
    </w:p>
    <w:p w14:paraId="4A2648C0">
      <w:pPr>
        <w:pStyle w:val="36"/>
        <w:tabs>
          <w:tab w:val="left" w:pos="2779"/>
        </w:tabs>
        <w:jc w:val="center"/>
        <w:textAlignment w:val="baseline"/>
        <w:rPr>
          <w:rFonts w:hint="eastAsia" w:ascii="宋体" w:hAnsi="宋体" w:eastAsia="宋体" w:cs="宋体"/>
          <w:b/>
          <w:bCs/>
          <w:color w:val="auto"/>
          <w:kern w:val="0"/>
          <w:sz w:val="32"/>
          <w:szCs w:val="32"/>
        </w:rPr>
      </w:pPr>
    </w:p>
    <w:p w14:paraId="063189F2">
      <w:pPr>
        <w:pStyle w:val="36"/>
        <w:tabs>
          <w:tab w:val="left" w:pos="2779"/>
        </w:tabs>
        <w:jc w:val="center"/>
        <w:textAlignment w:val="baseline"/>
        <w:rPr>
          <w:rFonts w:hint="eastAsia" w:ascii="宋体" w:hAnsi="宋体" w:eastAsia="宋体" w:cs="宋体"/>
          <w:b/>
          <w:bCs/>
          <w:color w:val="auto"/>
          <w:kern w:val="0"/>
          <w:sz w:val="32"/>
          <w:szCs w:val="32"/>
        </w:rPr>
      </w:pPr>
    </w:p>
    <w:p w14:paraId="395B7DF6">
      <w:pPr>
        <w:pStyle w:val="36"/>
        <w:tabs>
          <w:tab w:val="left" w:pos="2779"/>
        </w:tabs>
        <w:jc w:val="center"/>
        <w:textAlignment w:val="baseline"/>
        <w:rPr>
          <w:rFonts w:hint="eastAsia" w:ascii="宋体" w:hAnsi="宋体" w:eastAsia="宋体" w:cs="宋体"/>
          <w:b/>
          <w:bCs/>
          <w:color w:val="auto"/>
          <w:kern w:val="0"/>
          <w:sz w:val="32"/>
          <w:szCs w:val="32"/>
        </w:rPr>
      </w:pPr>
    </w:p>
    <w:p w14:paraId="03BE080D">
      <w:pPr>
        <w:pStyle w:val="36"/>
        <w:tabs>
          <w:tab w:val="left" w:pos="2779"/>
        </w:tabs>
        <w:jc w:val="center"/>
        <w:textAlignment w:val="baseline"/>
        <w:rPr>
          <w:rFonts w:hint="eastAsia" w:ascii="宋体" w:hAnsi="宋体" w:eastAsia="宋体" w:cs="宋体"/>
          <w:b/>
          <w:bCs/>
          <w:color w:val="auto"/>
          <w:kern w:val="0"/>
          <w:sz w:val="32"/>
          <w:szCs w:val="32"/>
        </w:rPr>
      </w:pPr>
    </w:p>
    <w:p w14:paraId="404AFD33">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正阳县雷寨镇人民政府2026年中央及省级小麦促弱转壮防灾减灾资金项目（二次）</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正阳县雷寨镇人民政府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正阳竞谈-2026-25</w:t>
            </w:r>
          </w:p>
        </w:tc>
      </w:tr>
      <w:tr w14:paraId="1315472E">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采购标的对应行业的中小企业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B40A8A4">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w:t>
      </w:r>
      <w:r>
        <w:rPr>
          <w:rFonts w:hint="eastAsia" w:ascii="宋体" w:hAnsi="宋体" w:cs="宋体"/>
          <w:color w:val="auto"/>
          <w:kern w:val="0"/>
          <w:sz w:val="24"/>
          <w:lang w:val="en-US" w:eastAsia="zh-CN"/>
        </w:rPr>
        <w:t>需承诺</w:t>
      </w:r>
      <w:r>
        <w:rPr>
          <w:rFonts w:hint="eastAsia" w:ascii="宋体" w:hAnsi="宋体" w:eastAsia="宋体" w:cs="宋体"/>
          <w:color w:val="auto"/>
          <w:kern w:val="0"/>
          <w:sz w:val="24"/>
        </w:rPr>
        <w:t>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48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3DD5F48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(6)任何1项主要技术指标低于采购需求的。</w:t>
      </w:r>
    </w:p>
    <w:p w14:paraId="389B4C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供货方案没有针对性的</w:t>
      </w:r>
      <w:r>
        <w:rPr>
          <w:rFonts w:hint="eastAsia" w:ascii="宋体" w:hAnsi="宋体" w:eastAsia="宋体" w:cs="宋体"/>
          <w:color w:val="auto"/>
          <w:kern w:val="0"/>
          <w:sz w:val="24"/>
        </w:rPr>
        <w:t>。</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7B53951D">
      <w:pPr>
        <w:widowControl/>
        <w:shd w:val="clear" w:color="auto" w:fill="FFFFFF"/>
        <w:spacing w:line="460" w:lineRule="atLeast"/>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.2</w:t>
      </w:r>
      <w:r>
        <w:rPr>
          <w:rFonts w:hint="eastAsia" w:ascii="宋体" w:hAnsi="宋体" w:cs="宋体"/>
          <w:color w:val="000000"/>
          <w:kern w:val="0"/>
          <w:sz w:val="24"/>
          <w:highlight w:val="none"/>
          <w:lang w:val="en-US" w:eastAsia="zh-CN"/>
        </w:rPr>
        <w:t>.</w:t>
      </w:r>
      <w:r>
        <w:rPr>
          <w:rFonts w:hint="eastAsia" w:ascii="宋体" w:hAnsi="宋体" w:eastAsia="宋体" w:cs="宋体"/>
          <w:color w:val="000000"/>
          <w:kern w:val="0"/>
          <w:sz w:val="24"/>
          <w:highlight w:val="none"/>
        </w:rPr>
        <w:t>3 对资格性检查和符合性检查不合格的供应商，将通过驻马店市公共资源交易中心电子交易平台不见面交易系统网上实时告知其理由。</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020D1A8">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28.4</w:t>
      </w:r>
      <w:r>
        <w:rPr>
          <w:rFonts w:hint="eastAsia" w:ascii="宋体" w:hAnsi="宋体" w:eastAsia="宋体" w:cs="宋体"/>
          <w:color w:val="000000"/>
          <w:kern w:val="0"/>
          <w:sz w:val="24"/>
          <w:highlight w:val="none"/>
          <w:lang w:val="en-US" w:eastAsia="zh-CN"/>
        </w:rPr>
        <w:t>28.4</w:t>
      </w:r>
      <w:r>
        <w:rPr>
          <w:rFonts w:hint="eastAsia" w:ascii="宋体" w:hAnsi="宋体" w:eastAsia="宋体" w:cs="宋体"/>
          <w:color w:val="000000"/>
          <w:kern w:val="0"/>
          <w:sz w:val="24"/>
          <w:szCs w:val="20"/>
          <w:highlight w:val="none"/>
          <w:lang w:val="en-US" w:eastAsia="zh-CN" w:bidi="ar-SA"/>
        </w:rPr>
        <w:t>在确定成交供应商之前，</w:t>
      </w:r>
      <w:r>
        <w:rPr>
          <w:rFonts w:hint="eastAsia" w:ascii="宋体" w:hAnsi="宋体" w:eastAsia="宋体" w:cs="宋体"/>
          <w:color w:val="auto"/>
          <w:kern w:val="0"/>
          <w:sz w:val="24"/>
          <w:highlight w:val="none"/>
        </w:rPr>
        <w:t>根据《关于推动解决政府采购异常低价问题的通知》财库〔2026〕2号要求：</w:t>
      </w:r>
    </w:p>
    <w:p w14:paraId="2E574CCE">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（一）政府采购评审中出现下列情形之一的，</w:t>
      </w: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 xml:space="preserve">应当启动异常低价投标（响应）审查程序： </w:t>
      </w:r>
    </w:p>
    <w:p w14:paraId="7196493C">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1.投标（响应）报价低于全部通过符合性审查供应商投标（响应）报价平均值50%的，即投标（响应）报价&lt;全部通过符合性审查供应商投标（响应）报价平均值×50%； </w:t>
      </w:r>
    </w:p>
    <w:p w14:paraId="5C22A7E6">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2.投标（响应）报价低于通过符合性审查的次低报价供应商投标（响应）报价50%的，即投标（响应）报价&lt;通过符合性审查的次低报价供应商投标（响应）报价×50%； </w:t>
      </w:r>
    </w:p>
    <w:p w14:paraId="3FC2B307">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3.投标（响应）报价低于采购项目最高限价45%的，即投标（响应）报价&lt;采购项目最高限价×45%； </w:t>
      </w:r>
    </w:p>
    <w:p w14:paraId="408C6F54">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 xml:space="preserve">基于专业判断，认为供应商报价过低，有可能影响产品质量或者不能诚信履约的其他情形。 </w:t>
      </w:r>
    </w:p>
    <w:p w14:paraId="46D4246D">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相关法律法规对供应商报价有规定的，从其规定。 </w:t>
      </w:r>
    </w:p>
    <w:p w14:paraId="71FDC2B6">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 xml:space="preserve">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8F2A6D1">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 xml:space="preserve">应当将其作为无效投标（响应）处理。 </w:t>
      </w:r>
    </w:p>
    <w:p w14:paraId="491DFFEE">
      <w:pPr>
        <w:widowControl/>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采购人、采购代理机构应当为</w:t>
      </w: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 xml:space="preserve">借助互联网等渠道查询相关信息的，应当严格遵守评审工作纪律，不得实施影响评审公正的行为。 </w:t>
      </w:r>
    </w:p>
    <w:p w14:paraId="1EB0AC1E">
      <w:pPr>
        <w:widowControl/>
        <w:shd w:val="clear" w:color="auto" w:fill="FFFFFF"/>
        <w:spacing w:line="460" w:lineRule="atLeast"/>
        <w:ind w:firstLine="480" w:firstLineChars="200"/>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auto"/>
          <w:kern w:val="0"/>
          <w:sz w:val="24"/>
          <w:highlight w:val="none"/>
        </w:rPr>
        <w:t>异常低价投标（响应）审查的启动原因、审查意见和审查结果应当在评审报告中记录，并随供应商提供的相关书面说明及证明材料，以及</w:t>
      </w:r>
      <w:r>
        <w:rPr>
          <w:rFonts w:hint="eastAsia" w:ascii="宋体" w:hAnsi="宋体" w:eastAsia="宋体" w:cs="宋体"/>
          <w:color w:val="auto"/>
          <w:kern w:val="0"/>
          <w:sz w:val="24"/>
          <w:highlight w:val="none"/>
          <w:lang w:eastAsia="zh-CN"/>
        </w:rPr>
        <w:t>评标委员会</w:t>
      </w:r>
      <w:r>
        <w:rPr>
          <w:rFonts w:hint="eastAsia" w:ascii="宋体" w:hAnsi="宋体" w:eastAsia="宋体" w:cs="宋体"/>
          <w:color w:val="auto"/>
          <w:kern w:val="0"/>
          <w:sz w:val="24"/>
          <w:highlight w:val="none"/>
        </w:rPr>
        <w:t>有关互联网浏览、查询历史一并归档。</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天</w:t>
      </w:r>
      <w:r>
        <w:rPr>
          <w:rFonts w:hint="eastAsia" w:ascii="宋体" w:hAnsi="宋体" w:eastAsia="宋体" w:cs="宋体"/>
          <w:color w:val="auto"/>
          <w:kern w:val="0"/>
          <w:sz w:val="24"/>
        </w:rPr>
        <w:t>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color w:val="auto"/>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auto"/>
          <w:spacing w:val="0"/>
          <w:kern w:val="0"/>
          <w:sz w:val="24"/>
          <w:szCs w:val="24"/>
          <w:lang w:val="en-US" w:eastAsia="zh-CN" w:bidi="ar-SA"/>
        </w:rPr>
      </w:pPr>
      <w:r>
        <w:rPr>
          <w:rStyle w:val="20"/>
          <w:rFonts w:hint="eastAsia" w:ascii="宋体" w:hAnsi="宋体" w:eastAsia="宋体" w:cs="宋体"/>
          <w:b/>
          <w:bCs/>
          <w:i w:val="0"/>
          <w:iCs w:val="0"/>
          <w:caps w:val="0"/>
          <w:color w:val="auto"/>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color w:val="auto"/>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auto"/>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2B2688DE">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8EB6831"/>
    <w:rsid w:val="093A1DE0"/>
    <w:rsid w:val="09A77BE3"/>
    <w:rsid w:val="0A0D0E47"/>
    <w:rsid w:val="0A674B0B"/>
    <w:rsid w:val="0A982C58"/>
    <w:rsid w:val="0AB74D55"/>
    <w:rsid w:val="0B263516"/>
    <w:rsid w:val="0B2F2E3F"/>
    <w:rsid w:val="0B485D26"/>
    <w:rsid w:val="0B4B3B45"/>
    <w:rsid w:val="0C7573D2"/>
    <w:rsid w:val="0D5819B3"/>
    <w:rsid w:val="0DD56E56"/>
    <w:rsid w:val="0DDA6460"/>
    <w:rsid w:val="10396C8F"/>
    <w:rsid w:val="11E206E3"/>
    <w:rsid w:val="12D71320"/>
    <w:rsid w:val="13164C0C"/>
    <w:rsid w:val="134F1AEE"/>
    <w:rsid w:val="1379253A"/>
    <w:rsid w:val="14F6659C"/>
    <w:rsid w:val="15CC22D2"/>
    <w:rsid w:val="16227A29"/>
    <w:rsid w:val="18DF4C2D"/>
    <w:rsid w:val="192E637E"/>
    <w:rsid w:val="1A51100A"/>
    <w:rsid w:val="1A7D3228"/>
    <w:rsid w:val="1B6638B9"/>
    <w:rsid w:val="1BAA34FF"/>
    <w:rsid w:val="1C876061"/>
    <w:rsid w:val="1D163FCD"/>
    <w:rsid w:val="1D486FE8"/>
    <w:rsid w:val="1D9B6291"/>
    <w:rsid w:val="1E3232B6"/>
    <w:rsid w:val="1E7948A6"/>
    <w:rsid w:val="1FC2105A"/>
    <w:rsid w:val="20070A63"/>
    <w:rsid w:val="20272F1D"/>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98B3FCA"/>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2A3C11"/>
    <w:rsid w:val="30BC3F17"/>
    <w:rsid w:val="31434FCB"/>
    <w:rsid w:val="322F37A1"/>
    <w:rsid w:val="32D264A0"/>
    <w:rsid w:val="33303C2E"/>
    <w:rsid w:val="338A74B4"/>
    <w:rsid w:val="347257F7"/>
    <w:rsid w:val="348D5620"/>
    <w:rsid w:val="350140A8"/>
    <w:rsid w:val="35AD4795"/>
    <w:rsid w:val="360F1920"/>
    <w:rsid w:val="368C72EC"/>
    <w:rsid w:val="36B3674F"/>
    <w:rsid w:val="37E372F1"/>
    <w:rsid w:val="383521AD"/>
    <w:rsid w:val="38886B36"/>
    <w:rsid w:val="38EB7267"/>
    <w:rsid w:val="3A940DFB"/>
    <w:rsid w:val="3C0F4B52"/>
    <w:rsid w:val="3C2D3E6D"/>
    <w:rsid w:val="3C441695"/>
    <w:rsid w:val="3CBE19AA"/>
    <w:rsid w:val="3CCE0ED2"/>
    <w:rsid w:val="3CFC3095"/>
    <w:rsid w:val="3D2407C2"/>
    <w:rsid w:val="3D63227C"/>
    <w:rsid w:val="3DBD2A65"/>
    <w:rsid w:val="40B05AAD"/>
    <w:rsid w:val="40EC78CE"/>
    <w:rsid w:val="414915C6"/>
    <w:rsid w:val="415B2634"/>
    <w:rsid w:val="41D35EF7"/>
    <w:rsid w:val="42044568"/>
    <w:rsid w:val="42324E3D"/>
    <w:rsid w:val="429C5115"/>
    <w:rsid w:val="436A4EA4"/>
    <w:rsid w:val="43F263DD"/>
    <w:rsid w:val="4457142C"/>
    <w:rsid w:val="44B778FB"/>
    <w:rsid w:val="44E77D0C"/>
    <w:rsid w:val="45677B22"/>
    <w:rsid w:val="45A47BEB"/>
    <w:rsid w:val="463474AD"/>
    <w:rsid w:val="468F052E"/>
    <w:rsid w:val="46C87BC0"/>
    <w:rsid w:val="46E651F7"/>
    <w:rsid w:val="4862335B"/>
    <w:rsid w:val="48E12E3A"/>
    <w:rsid w:val="494E2B6D"/>
    <w:rsid w:val="49550EA5"/>
    <w:rsid w:val="4B8B6BD3"/>
    <w:rsid w:val="4BC17E5D"/>
    <w:rsid w:val="4C2B13C4"/>
    <w:rsid w:val="4CB5358D"/>
    <w:rsid w:val="4CE85DF9"/>
    <w:rsid w:val="4D67790C"/>
    <w:rsid w:val="4DCB42A2"/>
    <w:rsid w:val="4E2D6D97"/>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E75086F"/>
    <w:rsid w:val="6F4C5FF2"/>
    <w:rsid w:val="6F533AB9"/>
    <w:rsid w:val="6F6830AC"/>
    <w:rsid w:val="6FBA43D4"/>
    <w:rsid w:val="6FF6518B"/>
    <w:rsid w:val="70D311C0"/>
    <w:rsid w:val="71844269"/>
    <w:rsid w:val="72AF0483"/>
    <w:rsid w:val="7436244E"/>
    <w:rsid w:val="76075D1F"/>
    <w:rsid w:val="76686F63"/>
    <w:rsid w:val="76C26FA1"/>
    <w:rsid w:val="76D01BD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56</Pages>
  <Words>17900</Words>
  <Characters>19678</Characters>
  <Lines>252</Lines>
  <Paragraphs>71</Paragraphs>
  <TotalTime>19</TotalTime>
  <ScaleCrop>false</ScaleCrop>
  <LinksUpToDate>false</LinksUpToDate>
  <CharactersWithSpaces>19973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2026-04-29T09:09:04Z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11F9758B7B8B4DEDA614B95CD2C0DFF0_13</vt:lpwstr>
  </property>
  <property fmtid="{D5CDD505-2E9C-101B-9397-08002B2CF9AE}" pid="4" name="KSOTemplateDocerSaveRecord">
    <vt:lpwstr>eyJoZGlkIjoiMDAwMWZkMTVmYTYzNzk2ZTk2OTUxMzNmMDBiMTRmMWYiLCJ1c2VySWQiOiI0NTY4MjIxNzIifQ==</vt:lpwstr>
  </property>
</Properties>
</file>