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5"/>
        <w:spacing w:line="360" w:lineRule="auto"/>
        <w:jc w:val="center"/>
        <w:rPr>
          <w:rFonts w:ascii="宋体" w:hAnsi="宋体" w:eastAsia="宋体" w:cs="宋体"/>
          <w:b/>
          <w:bCs/>
          <w:sz w:val="52"/>
          <w:szCs w:val="52"/>
          <w:highlight w:val="none"/>
        </w:rPr>
      </w:pPr>
      <w:bookmarkStart w:id="0" w:name="EBb46fd0463b5c4fa194678f835053836e"/>
    </w:p>
    <w:p>
      <w:pPr>
        <w:pStyle w:val="25"/>
        <w:spacing w:line="360" w:lineRule="auto"/>
        <w:jc w:val="center"/>
        <w:rPr>
          <w:rFonts w:ascii="宋体" w:hAnsi="宋体" w:eastAsia="宋体" w:cs="宋体"/>
          <w:b/>
          <w:bCs/>
          <w:spacing w:val="14"/>
          <w:sz w:val="24"/>
          <w:szCs w:val="24"/>
          <w:highlight w:val="none"/>
        </w:rPr>
      </w:pPr>
      <w:r>
        <w:rPr>
          <w:rFonts w:hint="eastAsia" w:ascii="宋体" w:hAnsi="宋体" w:eastAsia="宋体" w:cs="宋体"/>
          <w:b/>
          <w:bCs/>
          <w:sz w:val="52"/>
          <w:szCs w:val="52"/>
          <w:highlight w:val="none"/>
        </w:rPr>
        <w:t>河南科技大学第二附属医院介入手术医疗设备采购项目（第一批）</w:t>
      </w:r>
    </w:p>
    <w:p>
      <w:pPr>
        <w:pStyle w:val="25"/>
        <w:spacing w:line="360" w:lineRule="auto"/>
        <w:jc w:val="center"/>
        <w:rPr>
          <w:rFonts w:ascii="宋体" w:hAnsi="宋体" w:eastAsia="宋体" w:cs="宋体"/>
          <w:b/>
          <w:bCs/>
          <w:spacing w:val="14"/>
          <w:sz w:val="24"/>
          <w:szCs w:val="24"/>
          <w:highlight w:val="none"/>
        </w:rPr>
      </w:pPr>
    </w:p>
    <w:p>
      <w:pPr>
        <w:pStyle w:val="26"/>
        <w:rPr>
          <w:highlight w:val="none"/>
        </w:rPr>
      </w:pPr>
    </w:p>
    <w:p>
      <w:pPr>
        <w:pStyle w:val="25"/>
        <w:spacing w:line="360" w:lineRule="auto"/>
        <w:jc w:val="center"/>
        <w:rPr>
          <w:rFonts w:ascii="宋体" w:hAnsi="宋体" w:eastAsia="宋体" w:cs="宋体"/>
          <w:b/>
          <w:bCs/>
          <w:spacing w:val="14"/>
          <w:sz w:val="96"/>
          <w:szCs w:val="96"/>
          <w:highlight w:val="none"/>
        </w:rPr>
      </w:pPr>
      <w:r>
        <w:rPr>
          <w:rFonts w:hint="eastAsia" w:ascii="宋体" w:hAnsi="宋体" w:eastAsia="宋体" w:cs="宋体"/>
          <w:b/>
          <w:bCs/>
          <w:spacing w:val="14"/>
          <w:sz w:val="96"/>
          <w:szCs w:val="96"/>
          <w:highlight w:val="none"/>
        </w:rPr>
        <w:t>招 标 文 件</w:t>
      </w:r>
    </w:p>
    <w:p>
      <w:pPr>
        <w:pStyle w:val="25"/>
        <w:spacing w:line="360" w:lineRule="auto"/>
        <w:ind w:firstLine="0"/>
        <w:jc w:val="center"/>
        <w:rPr>
          <w:rFonts w:ascii="宋体" w:hAnsi="宋体" w:eastAsia="宋体" w:cs="宋体"/>
          <w:b/>
          <w:bCs/>
          <w:color w:val="000000"/>
          <w:spacing w:val="14"/>
          <w:sz w:val="28"/>
          <w:szCs w:val="28"/>
          <w:highlight w:val="none"/>
        </w:rPr>
      </w:pPr>
      <w:r>
        <w:rPr>
          <w:rFonts w:hint="eastAsia" w:ascii="宋体" w:hAnsi="宋体" w:eastAsia="宋体" w:cs="宋体"/>
          <w:b/>
          <w:bCs/>
          <w:color w:val="000000"/>
          <w:spacing w:val="14"/>
          <w:sz w:val="28"/>
          <w:szCs w:val="28"/>
          <w:highlight w:val="none"/>
        </w:rPr>
        <w:t>政府采购管理部门备案编号：洛采公开-2023-253</w:t>
      </w:r>
    </w:p>
    <w:p>
      <w:pPr>
        <w:pStyle w:val="25"/>
        <w:spacing w:line="360" w:lineRule="auto"/>
        <w:jc w:val="center"/>
        <w:rPr>
          <w:rFonts w:ascii="宋体" w:hAnsi="宋体" w:eastAsia="宋体" w:cs="宋体"/>
          <w:b/>
          <w:bCs/>
          <w:spacing w:val="14"/>
          <w:sz w:val="28"/>
          <w:szCs w:val="28"/>
          <w:highlight w:val="none"/>
        </w:rPr>
      </w:pPr>
      <w:r>
        <w:rPr>
          <w:rFonts w:hint="eastAsia" w:ascii="宋体" w:hAnsi="宋体" w:eastAsia="宋体" w:cs="宋体"/>
          <w:b/>
          <w:bCs/>
          <w:spacing w:val="14"/>
          <w:sz w:val="28"/>
          <w:szCs w:val="28"/>
          <w:highlight w:val="none"/>
        </w:rPr>
        <w:t xml:space="preserve">项目编号:洛直政采招标(2023)0758号 </w:t>
      </w:r>
    </w:p>
    <w:p>
      <w:pPr>
        <w:pStyle w:val="25"/>
        <w:spacing w:line="360" w:lineRule="auto"/>
        <w:ind w:firstLine="2824" w:firstLineChars="1050"/>
        <w:rPr>
          <w:rFonts w:ascii="宋体" w:hAnsi="宋体" w:eastAsia="宋体" w:cs="宋体"/>
          <w:b/>
          <w:bCs/>
          <w:spacing w:val="14"/>
          <w:sz w:val="24"/>
          <w:szCs w:val="24"/>
          <w:highlight w:val="none"/>
        </w:rPr>
      </w:pPr>
    </w:p>
    <w:p>
      <w:pPr>
        <w:pStyle w:val="25"/>
        <w:spacing w:line="360" w:lineRule="auto"/>
        <w:rPr>
          <w:rFonts w:ascii="宋体" w:hAnsi="宋体" w:eastAsia="宋体" w:cs="宋体"/>
          <w:b/>
          <w:bCs/>
          <w:spacing w:val="14"/>
          <w:sz w:val="24"/>
          <w:szCs w:val="24"/>
          <w:highlight w:val="none"/>
        </w:rPr>
      </w:pPr>
    </w:p>
    <w:p>
      <w:pPr>
        <w:pStyle w:val="26"/>
        <w:rPr>
          <w:rFonts w:ascii="宋体" w:hAnsi="宋体" w:cs="宋体"/>
          <w:b/>
          <w:bCs/>
          <w:spacing w:val="14"/>
          <w:sz w:val="24"/>
          <w:szCs w:val="24"/>
          <w:highlight w:val="none"/>
        </w:rPr>
      </w:pPr>
    </w:p>
    <w:p>
      <w:pPr>
        <w:pStyle w:val="27"/>
        <w:spacing w:before="240" w:after="240"/>
        <w:rPr>
          <w:highlight w:val="none"/>
        </w:rPr>
      </w:pPr>
    </w:p>
    <w:p>
      <w:pPr>
        <w:pStyle w:val="25"/>
        <w:spacing w:line="360" w:lineRule="auto"/>
        <w:rPr>
          <w:rFonts w:ascii="宋体" w:hAnsi="宋体" w:eastAsia="宋体" w:cs="宋体"/>
          <w:b/>
          <w:bCs/>
          <w:spacing w:val="14"/>
          <w:sz w:val="24"/>
          <w:szCs w:val="24"/>
          <w:highlight w:val="none"/>
        </w:rPr>
      </w:pPr>
      <w:r>
        <w:rPr>
          <w:rFonts w:hint="eastAsia" w:ascii="宋体" w:hAnsi="宋体" w:eastAsia="宋体" w:cs="宋体"/>
          <w:b/>
          <w:bCs/>
          <w:spacing w:val="14"/>
          <w:sz w:val="24"/>
          <w:szCs w:val="24"/>
          <w:highlight w:val="none"/>
        </w:rPr>
        <w:drawing>
          <wp:inline distT="0" distB="0" distL="114300" distR="114300">
            <wp:extent cx="5756910" cy="2446020"/>
            <wp:effectExtent l="0" t="0" r="0" b="0"/>
            <wp:docPr id="4" name="图片 4" descr="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标志"/>
                    <pic:cNvPicPr>
                      <a:picLocks noChangeAspect="1"/>
                    </pic:cNvPicPr>
                  </pic:nvPicPr>
                  <pic:blipFill>
                    <a:blip r:embed="rId11"/>
                    <a:stretch>
                      <a:fillRect/>
                    </a:stretch>
                  </pic:blipFill>
                  <pic:spPr>
                    <a:xfrm>
                      <a:off x="0" y="0"/>
                      <a:ext cx="5756910" cy="2446020"/>
                    </a:xfrm>
                    <a:prstGeom prst="rect">
                      <a:avLst/>
                    </a:prstGeom>
                  </pic:spPr>
                </pic:pic>
              </a:graphicData>
            </a:graphic>
          </wp:inline>
        </w:drawing>
      </w:r>
    </w:p>
    <w:p>
      <w:pPr>
        <w:pStyle w:val="25"/>
        <w:spacing w:line="360" w:lineRule="auto"/>
        <w:ind w:firstLine="0"/>
        <w:jc w:val="center"/>
        <w:rPr>
          <w:rFonts w:ascii="宋体" w:hAnsi="宋体" w:eastAsia="宋体" w:cs="宋体"/>
          <w:b/>
          <w:bCs/>
          <w:spacing w:val="14"/>
          <w:sz w:val="28"/>
          <w:szCs w:val="28"/>
          <w:highlight w:val="none"/>
        </w:rPr>
      </w:pPr>
      <w:r>
        <w:rPr>
          <w:rFonts w:hint="eastAsia" w:ascii="宋体" w:hAnsi="宋体" w:eastAsia="宋体" w:cs="宋体"/>
          <w:b/>
          <w:bCs/>
          <w:spacing w:val="14"/>
          <w:sz w:val="28"/>
          <w:szCs w:val="28"/>
          <w:highlight w:val="none"/>
        </w:rPr>
        <w:t>采购人：河南科技大学第二附属医院</w:t>
      </w:r>
    </w:p>
    <w:p>
      <w:pPr>
        <w:pStyle w:val="26"/>
        <w:spacing w:line="360" w:lineRule="auto"/>
        <w:jc w:val="center"/>
        <w:rPr>
          <w:rFonts w:ascii="宋体" w:hAnsi="宋体" w:cs="宋体"/>
          <w:b/>
          <w:bCs/>
          <w:spacing w:val="14"/>
          <w:sz w:val="28"/>
          <w:szCs w:val="28"/>
          <w:highlight w:val="none"/>
        </w:rPr>
      </w:pPr>
      <w:r>
        <w:rPr>
          <w:rFonts w:hint="eastAsia" w:ascii="宋体" w:hAnsi="宋体" w:cs="宋体"/>
          <w:b/>
          <w:bCs/>
          <w:spacing w:val="14"/>
          <w:sz w:val="28"/>
          <w:szCs w:val="28"/>
          <w:highlight w:val="none"/>
        </w:rPr>
        <w:t>采购代理机构：河南平业建设工程技术咨询有限公司</w:t>
      </w:r>
    </w:p>
    <w:p>
      <w:pPr>
        <w:pStyle w:val="26"/>
        <w:spacing w:line="360" w:lineRule="auto"/>
        <w:jc w:val="center"/>
        <w:rPr>
          <w:highlight w:val="none"/>
        </w:rPr>
      </w:pPr>
      <w:r>
        <w:rPr>
          <w:rFonts w:hint="eastAsia" w:ascii="宋体" w:hAnsi="宋体" w:cs="宋体"/>
          <w:b/>
          <w:bCs/>
          <w:color w:val="000000"/>
          <w:spacing w:val="14"/>
          <w:sz w:val="28"/>
          <w:szCs w:val="28"/>
          <w:highlight w:val="none"/>
        </w:rPr>
        <w:t>二〇二三年十</w:t>
      </w:r>
      <w:r>
        <w:rPr>
          <w:rFonts w:hint="eastAsia" w:ascii="宋体" w:hAnsi="宋体" w:cs="宋体"/>
          <w:b/>
          <w:bCs/>
          <w:color w:val="000000"/>
          <w:spacing w:val="14"/>
          <w:sz w:val="28"/>
          <w:szCs w:val="28"/>
          <w:highlight w:val="none"/>
          <w:lang w:val="en-US" w:eastAsia="zh-CN"/>
        </w:rPr>
        <w:t>二</w:t>
      </w:r>
      <w:r>
        <w:rPr>
          <w:rFonts w:hint="eastAsia" w:ascii="宋体" w:hAnsi="宋体" w:cs="宋体"/>
          <w:b/>
          <w:bCs/>
          <w:color w:val="000000"/>
          <w:spacing w:val="14"/>
          <w:sz w:val="28"/>
          <w:szCs w:val="28"/>
          <w:highlight w:val="none"/>
        </w:rPr>
        <w:t>月</w:t>
      </w:r>
    </w:p>
    <w:bookmarkEnd w:id="0"/>
    <w:p>
      <w:pPr>
        <w:pStyle w:val="28"/>
        <w:spacing w:line="360" w:lineRule="auto"/>
        <w:jc w:val="center"/>
        <w:rPr>
          <w:rFonts w:ascii="宋体" w:hAnsi="宋体" w:eastAsia="宋体" w:cs="宋体"/>
          <w:b/>
          <w:spacing w:val="14"/>
          <w:sz w:val="24"/>
          <w:szCs w:val="24"/>
          <w:highlight w:val="none"/>
        </w:rPr>
      </w:pPr>
      <w:bookmarkStart w:id="1" w:name="EB27329096884745cf8a42d0e115149153"/>
    </w:p>
    <w:p>
      <w:pPr>
        <w:pStyle w:val="28"/>
        <w:spacing w:line="360" w:lineRule="auto"/>
        <w:jc w:val="center"/>
        <w:rPr>
          <w:rFonts w:ascii="宋体" w:hAnsi="宋体" w:eastAsia="宋体" w:cs="宋体"/>
          <w:sz w:val="24"/>
          <w:szCs w:val="24"/>
          <w:highlight w:val="none"/>
        </w:rPr>
      </w:pPr>
      <w:r>
        <w:rPr>
          <w:rFonts w:hint="eastAsia" w:ascii="宋体" w:hAnsi="宋体" w:eastAsia="宋体" w:cs="宋体"/>
          <w:b/>
          <w:spacing w:val="14"/>
          <w:sz w:val="24"/>
          <w:szCs w:val="24"/>
          <w:highlight w:val="none"/>
        </w:rPr>
        <w:t>特 别 提 示</w:t>
      </w:r>
    </w:p>
    <w:p>
      <w:pPr>
        <w:pStyle w:val="28"/>
        <w:spacing w:line="360" w:lineRule="auto"/>
        <w:rPr>
          <w:rFonts w:ascii="宋体" w:hAnsi="宋体" w:eastAsia="宋体" w:cs="宋体"/>
          <w:b/>
          <w:spacing w:val="14"/>
          <w:sz w:val="24"/>
          <w:szCs w:val="24"/>
          <w:highlight w:val="none"/>
        </w:rPr>
      </w:pPr>
      <w:r>
        <w:rPr>
          <w:rFonts w:hint="eastAsia" w:ascii="宋体" w:hAnsi="宋体" w:eastAsia="宋体" w:cs="宋体"/>
          <w:b/>
          <w:spacing w:val="14"/>
          <w:sz w:val="24"/>
          <w:szCs w:val="24"/>
          <w:highlight w:val="none"/>
        </w:rPr>
        <w:t>1、投标文件制作</w:t>
      </w:r>
    </w:p>
    <w:p>
      <w:pPr>
        <w:pStyle w:val="28"/>
        <w:spacing w:line="360" w:lineRule="auto"/>
        <w:rPr>
          <w:rFonts w:ascii="宋体" w:hAnsi="宋体" w:eastAsia="宋体" w:cs="宋体"/>
          <w:spacing w:val="14"/>
          <w:sz w:val="24"/>
          <w:szCs w:val="24"/>
          <w:highlight w:val="none"/>
        </w:rPr>
      </w:pPr>
      <w:r>
        <w:rPr>
          <w:rFonts w:hint="eastAsia" w:ascii="宋体" w:hAnsi="宋体" w:eastAsia="宋体" w:cs="宋体"/>
          <w:spacing w:val="14"/>
          <w:sz w:val="24"/>
          <w:szCs w:val="24"/>
          <w:highlight w:val="none"/>
        </w:rPr>
        <w:t>1.1投标人登录“洛阳市公共资源交易中心”网站，按要求下载“新点投标文件制作软件”。</w:t>
      </w:r>
    </w:p>
    <w:p>
      <w:pPr>
        <w:pStyle w:val="28"/>
        <w:spacing w:line="360" w:lineRule="auto"/>
        <w:rPr>
          <w:rFonts w:ascii="宋体" w:hAnsi="宋体" w:eastAsia="宋体" w:cs="宋体"/>
          <w:spacing w:val="14"/>
          <w:sz w:val="24"/>
          <w:szCs w:val="24"/>
          <w:highlight w:val="none"/>
        </w:rPr>
      </w:pPr>
      <w:r>
        <w:rPr>
          <w:rFonts w:hint="eastAsia" w:ascii="宋体" w:hAnsi="宋体" w:eastAsia="宋体" w:cs="宋体"/>
          <w:spacing w:val="14"/>
          <w:sz w:val="24"/>
          <w:szCs w:val="24"/>
          <w:highlight w:val="none"/>
        </w:rPr>
        <w:t>1.2投标人凭CA锁登录，并按网上提示自行下载招标文件。使用“新点投标文件制作软件”按要求制作电子投标文件。投标人在制作电子投标文件时，应按要求进行电子签章。投标人编辑电子投标文件时，根据招标文件要求用法定代表人CA锁和企业CA锁进行签章制作；最后一步生成电子投标文件（*.lytf格式和*.nlytf格式）时，只能用本单位的企业CA锁。联合体投标的，投标文件由联合体牵头人按上述规定进行签章。</w:t>
      </w:r>
    </w:p>
    <w:p>
      <w:pPr>
        <w:pStyle w:val="28"/>
        <w:spacing w:line="360" w:lineRule="auto"/>
        <w:rPr>
          <w:rFonts w:ascii="宋体" w:hAnsi="宋体" w:eastAsia="宋体" w:cs="宋体"/>
          <w:spacing w:val="14"/>
          <w:sz w:val="24"/>
          <w:szCs w:val="24"/>
          <w:highlight w:val="none"/>
        </w:rPr>
      </w:pPr>
      <w:r>
        <w:rPr>
          <w:rFonts w:hint="eastAsia" w:ascii="宋体" w:hAnsi="宋体" w:eastAsia="宋体" w:cs="宋体"/>
          <w:spacing w:val="14"/>
          <w:sz w:val="24"/>
          <w:szCs w:val="24"/>
          <w:highlight w:val="none"/>
        </w:rPr>
        <w:t>1.3加密的电子投标文件为“洛阳市公共资源交易中心”网站提供的“新点投标文件制作软件”制作生成的加密版投标文件。未加密的电子投标文件应与加密的电子投标文件为同时生成的版本。</w:t>
      </w:r>
    </w:p>
    <w:p>
      <w:pPr>
        <w:pStyle w:val="28"/>
        <w:spacing w:line="360" w:lineRule="auto"/>
        <w:rPr>
          <w:rFonts w:ascii="宋体" w:hAnsi="宋体" w:eastAsia="宋体" w:cs="宋体"/>
          <w:spacing w:val="14"/>
          <w:sz w:val="24"/>
          <w:szCs w:val="24"/>
          <w:highlight w:val="none"/>
        </w:rPr>
      </w:pPr>
      <w:r>
        <w:rPr>
          <w:rFonts w:hint="eastAsia" w:ascii="宋体" w:hAnsi="宋体" w:eastAsia="宋体" w:cs="宋体"/>
          <w:spacing w:val="14"/>
          <w:sz w:val="24"/>
          <w:szCs w:val="24"/>
          <w:highlight w:val="none"/>
        </w:rPr>
        <w:t>1.4投标文件格式所要求包含的全部资料应全部制作在投标文件内，严格按照本项目投标文件所有格式如实填写（不涉及的内容除外），不应存在漏项或缺项，否则将存在投标被否决的风险。</w:t>
      </w:r>
    </w:p>
    <w:p>
      <w:pPr>
        <w:pStyle w:val="28"/>
        <w:spacing w:line="360" w:lineRule="auto"/>
        <w:rPr>
          <w:rFonts w:ascii="宋体" w:hAnsi="宋体" w:eastAsia="宋体" w:cs="宋体"/>
          <w:spacing w:val="14"/>
          <w:sz w:val="24"/>
          <w:szCs w:val="24"/>
          <w:highlight w:val="none"/>
        </w:rPr>
      </w:pPr>
      <w:r>
        <w:rPr>
          <w:rFonts w:hint="eastAsia" w:ascii="宋体" w:hAnsi="宋体" w:eastAsia="宋体" w:cs="宋体"/>
          <w:spacing w:val="14"/>
          <w:sz w:val="24"/>
          <w:szCs w:val="24"/>
          <w:highlight w:val="none"/>
        </w:rPr>
        <w:t>1.5投标文件所附证明材料均为扫描件（或照片），尺寸和清晰度应该能够在电脑上被阅读、识别和判断；若投标人未按要求提供证明材料或提供不清晰的扫描件（或照片）的，评标委员会有权认定其投标文件未对招标文件有关要求进行响应，涉及资格审查或符合性审查的将不予通过。</w:t>
      </w:r>
    </w:p>
    <w:p>
      <w:pPr>
        <w:pStyle w:val="28"/>
        <w:spacing w:line="360" w:lineRule="auto"/>
        <w:rPr>
          <w:rFonts w:ascii="宋体" w:hAnsi="宋体" w:eastAsia="宋体" w:cs="宋体"/>
          <w:b/>
          <w:spacing w:val="14"/>
          <w:sz w:val="24"/>
          <w:szCs w:val="24"/>
          <w:highlight w:val="none"/>
        </w:rPr>
      </w:pPr>
      <w:r>
        <w:rPr>
          <w:rFonts w:hint="eastAsia" w:ascii="宋体" w:hAnsi="宋体" w:eastAsia="宋体" w:cs="宋体"/>
          <w:b/>
          <w:spacing w:val="14"/>
          <w:sz w:val="24"/>
          <w:szCs w:val="24"/>
          <w:highlight w:val="none"/>
        </w:rPr>
        <w:t>2、投标文件的提交</w:t>
      </w:r>
    </w:p>
    <w:p>
      <w:pPr>
        <w:pStyle w:val="28"/>
        <w:spacing w:line="360" w:lineRule="auto"/>
        <w:rPr>
          <w:rFonts w:ascii="宋体" w:hAnsi="宋体" w:eastAsia="宋体" w:cs="宋体"/>
          <w:spacing w:val="14"/>
          <w:sz w:val="24"/>
          <w:szCs w:val="24"/>
          <w:highlight w:val="none"/>
        </w:rPr>
      </w:pPr>
      <w:r>
        <w:rPr>
          <w:rFonts w:hint="eastAsia" w:ascii="宋体" w:hAnsi="宋体" w:eastAsia="宋体" w:cs="宋体"/>
          <w:spacing w:val="14"/>
          <w:sz w:val="24"/>
          <w:szCs w:val="24"/>
          <w:highlight w:val="none"/>
        </w:rPr>
        <w:t>2.1除电子投标文件外，投标时不再接受任何纸质文件、资料等。</w:t>
      </w:r>
    </w:p>
    <w:p>
      <w:pPr>
        <w:pStyle w:val="28"/>
        <w:spacing w:line="360" w:lineRule="auto"/>
        <w:rPr>
          <w:rFonts w:ascii="宋体" w:hAnsi="宋体" w:eastAsia="宋体" w:cs="宋体"/>
          <w:spacing w:val="14"/>
          <w:sz w:val="24"/>
          <w:szCs w:val="24"/>
          <w:highlight w:val="none"/>
        </w:rPr>
      </w:pPr>
      <w:r>
        <w:rPr>
          <w:rFonts w:hint="eastAsia" w:ascii="宋体" w:hAnsi="宋体" w:eastAsia="宋体" w:cs="宋体"/>
          <w:spacing w:val="14"/>
          <w:sz w:val="24"/>
          <w:szCs w:val="24"/>
          <w:highlight w:val="none"/>
        </w:rPr>
        <w:t>2.2投标人应在投标截止时间前上传加密的电子投标文件（*.lytf）到洛阳市电子招投标交易平台指定位置。上传时投标人须使用制作该投标文件的同一CA锁进行上传操作。请投标人在上传时认真检查上传投标文件是否完整、正确。投标人应充分考虑上传文件时的不可预见因素，未在投标截止时间前完成上传的，视为逾期送达，洛阳市电子招投标交易平台将拒绝接收。上传成功后将得到上传成功的确认。</w:t>
      </w:r>
    </w:p>
    <w:p>
      <w:pPr>
        <w:pStyle w:val="28"/>
        <w:spacing w:line="360" w:lineRule="auto"/>
        <w:rPr>
          <w:rFonts w:ascii="宋体" w:hAnsi="宋体" w:eastAsia="宋体" w:cs="宋体"/>
          <w:spacing w:val="14"/>
          <w:sz w:val="24"/>
          <w:szCs w:val="24"/>
          <w:highlight w:val="none"/>
        </w:rPr>
      </w:pPr>
      <w:r>
        <w:rPr>
          <w:rFonts w:hint="eastAsia" w:ascii="宋体" w:hAnsi="宋体" w:eastAsia="宋体" w:cs="宋体"/>
          <w:spacing w:val="14"/>
          <w:sz w:val="24"/>
          <w:szCs w:val="24"/>
          <w:highlight w:val="none"/>
        </w:rPr>
        <w:t>2.3投标人因洛阳市电子招投标交易平台问题无法上传电子投标文件时，</w:t>
      </w:r>
      <w:r>
        <w:rPr>
          <w:rFonts w:hint="eastAsia" w:ascii="宋体" w:hAnsi="宋体" w:eastAsia="宋体" w:cs="宋体"/>
          <w:color w:val="000000"/>
          <w:spacing w:val="14"/>
          <w:sz w:val="24"/>
          <w:szCs w:val="24"/>
          <w:highlight w:val="none"/>
        </w:rPr>
        <w:t>请在工作时间与</w:t>
      </w:r>
      <w:r>
        <w:rPr>
          <w:rFonts w:hint="eastAsia" w:ascii="宋体" w:hAnsi="宋体" w:eastAsia="宋体" w:cs="宋体"/>
          <w:spacing w:val="14"/>
          <w:sz w:val="24"/>
          <w:szCs w:val="24"/>
          <w:highlight w:val="none"/>
        </w:rPr>
        <w:t>代理机构联系。</w:t>
      </w:r>
    </w:p>
    <w:p>
      <w:pPr>
        <w:pStyle w:val="28"/>
        <w:spacing w:line="360" w:lineRule="auto"/>
        <w:rPr>
          <w:rFonts w:ascii="宋体" w:hAnsi="宋体" w:eastAsia="宋体" w:cs="宋体"/>
          <w:spacing w:val="14"/>
          <w:sz w:val="24"/>
          <w:szCs w:val="24"/>
          <w:highlight w:val="none"/>
        </w:rPr>
      </w:pPr>
      <w:r>
        <w:rPr>
          <w:rFonts w:hint="eastAsia" w:ascii="宋体" w:hAnsi="宋体" w:eastAsia="宋体" w:cs="宋体"/>
          <w:spacing w:val="14"/>
          <w:sz w:val="24"/>
          <w:szCs w:val="24"/>
          <w:highlight w:val="none"/>
        </w:rPr>
        <w:t>2.4（此条款仅适用于现场开标的项目）未加密的电子投标文件1份（U盘介质），密封包装，注明项目名称，并在封套上加盖投标人单位公章或由投标人的法定代表人（单位负责人）或其授权的代理人签字。</w:t>
      </w:r>
    </w:p>
    <w:p>
      <w:pPr>
        <w:pStyle w:val="28"/>
        <w:spacing w:line="360" w:lineRule="auto"/>
        <w:rPr>
          <w:rFonts w:ascii="宋体" w:hAnsi="宋体" w:eastAsia="宋体" w:cs="宋体"/>
          <w:b/>
          <w:spacing w:val="14"/>
          <w:sz w:val="24"/>
          <w:szCs w:val="24"/>
          <w:highlight w:val="none"/>
        </w:rPr>
      </w:pPr>
      <w:r>
        <w:rPr>
          <w:rFonts w:hint="eastAsia" w:ascii="宋体" w:hAnsi="宋体" w:eastAsia="宋体" w:cs="宋体"/>
          <w:b/>
          <w:spacing w:val="14"/>
          <w:sz w:val="24"/>
          <w:szCs w:val="24"/>
          <w:highlight w:val="none"/>
        </w:rPr>
        <w:t>3. 招标文件的澄清、修改</w:t>
      </w:r>
    </w:p>
    <w:p>
      <w:pPr>
        <w:pStyle w:val="28"/>
        <w:spacing w:line="360" w:lineRule="auto"/>
        <w:rPr>
          <w:rFonts w:ascii="宋体" w:hAnsi="宋体" w:eastAsia="宋体" w:cs="宋体"/>
          <w:spacing w:val="14"/>
          <w:sz w:val="24"/>
          <w:szCs w:val="24"/>
          <w:highlight w:val="none"/>
        </w:rPr>
      </w:pPr>
      <w:r>
        <w:rPr>
          <w:rFonts w:hint="eastAsia" w:ascii="宋体" w:hAnsi="宋体" w:eastAsia="宋体" w:cs="宋体"/>
          <w:spacing w:val="14"/>
          <w:sz w:val="24"/>
          <w:szCs w:val="24"/>
          <w:highlight w:val="none"/>
        </w:rPr>
        <w:t>3.1</w:t>
      </w:r>
      <w:r>
        <w:rPr>
          <w:rFonts w:hint="eastAsia" w:ascii="宋体" w:hAnsi="宋体" w:eastAsia="宋体" w:cs="宋体"/>
          <w:color w:val="000000"/>
          <w:spacing w:val="14"/>
          <w:sz w:val="24"/>
          <w:szCs w:val="24"/>
          <w:highlight w:val="none"/>
        </w:rPr>
        <w:t>招标文件的澄清、修改将在</w:t>
      </w:r>
      <w:r>
        <w:rPr>
          <w:rFonts w:hint="eastAsia" w:ascii="宋体" w:hAnsi="宋体" w:eastAsia="宋体" w:cs="宋体"/>
          <w:spacing w:val="14"/>
          <w:sz w:val="24"/>
          <w:szCs w:val="24"/>
          <w:highlight w:val="none"/>
        </w:rPr>
        <w:t>（河南省）洛阳市政府采购网（http://ccgp-henan.gov.cn/luoyang）、洛阳市公共资源交易中心网（</w:t>
      </w:r>
      <w:r>
        <w:rPr>
          <w:rFonts w:hint="eastAsia" w:ascii="宋体" w:hAnsi="宋体" w:eastAsia="宋体" w:cs="宋体"/>
          <w:spacing w:val="14"/>
          <w:sz w:val="24"/>
          <w:szCs w:val="24"/>
          <w:highlight w:val="none"/>
          <w:lang w:eastAsia="zh-CN"/>
        </w:rPr>
        <w:t>http://111.7.67.183/</w:t>
      </w:r>
      <w:r>
        <w:rPr>
          <w:rFonts w:hint="eastAsia" w:ascii="宋体" w:hAnsi="宋体" w:eastAsia="宋体" w:cs="宋体"/>
          <w:spacing w:val="14"/>
          <w:sz w:val="24"/>
          <w:szCs w:val="24"/>
          <w:highlight w:val="none"/>
        </w:rPr>
        <w:t>）</w:t>
      </w:r>
      <w:r>
        <w:rPr>
          <w:rFonts w:hint="eastAsia" w:ascii="宋体" w:hAnsi="宋体" w:eastAsia="宋体" w:cs="宋体"/>
          <w:color w:val="000000"/>
          <w:spacing w:val="14"/>
          <w:sz w:val="24"/>
          <w:szCs w:val="24"/>
          <w:highlight w:val="none"/>
        </w:rPr>
        <w:t>上发布“变更公告”，</w:t>
      </w:r>
      <w:r>
        <w:rPr>
          <w:rFonts w:hint="eastAsia" w:ascii="宋体" w:hAnsi="宋体" w:eastAsia="宋体" w:cs="宋体"/>
          <w:spacing w:val="14"/>
          <w:sz w:val="24"/>
          <w:szCs w:val="24"/>
          <w:highlight w:val="none"/>
        </w:rPr>
        <w:t>如需修改招标文件，则同时在洛阳市电子招投标交易平台发布“答疑文件”（答疑文件指修改后最新的招标文件）。对于各项目中已经成功报名并下载招标文件的投标人，将通过第三方短信群发方式提醒投标人进行查询。各投标人须重新下载最新的“答疑文件”，并以此编制投标文件。如不以最新发布的“答疑文件”编制投标文件，造成投标无效的后果由投标人自己承担。</w:t>
      </w:r>
    </w:p>
    <w:p>
      <w:pPr>
        <w:pStyle w:val="28"/>
        <w:spacing w:line="360" w:lineRule="auto"/>
        <w:rPr>
          <w:rFonts w:ascii="宋体" w:hAnsi="宋体" w:eastAsia="宋体" w:cs="宋体"/>
          <w:spacing w:val="14"/>
          <w:sz w:val="24"/>
          <w:szCs w:val="24"/>
          <w:highlight w:val="none"/>
        </w:rPr>
      </w:pPr>
      <w:r>
        <w:rPr>
          <w:rFonts w:hint="eastAsia" w:ascii="宋体" w:hAnsi="宋体" w:eastAsia="宋体" w:cs="宋体"/>
          <w:spacing w:val="14"/>
          <w:sz w:val="24"/>
          <w:szCs w:val="24"/>
          <w:highlight w:val="none"/>
        </w:rPr>
        <w:t>3.2因洛阳市电子招投标交易平台在开标前具有保密性，投标人在投标文件递交截止时间前须自行查看项目进展、变更通知、澄清及回复，因投标人未及时查看而造成的后果自负。</w:t>
      </w:r>
    </w:p>
    <w:p>
      <w:pPr>
        <w:pStyle w:val="28"/>
        <w:spacing w:line="360" w:lineRule="auto"/>
        <w:rPr>
          <w:rFonts w:ascii="宋体" w:hAnsi="宋体" w:eastAsia="宋体" w:cs="宋体"/>
          <w:b/>
          <w:spacing w:val="14"/>
          <w:sz w:val="24"/>
          <w:szCs w:val="24"/>
          <w:highlight w:val="none"/>
        </w:rPr>
      </w:pPr>
      <w:r>
        <w:rPr>
          <w:rFonts w:hint="eastAsia" w:ascii="宋体" w:hAnsi="宋体" w:eastAsia="宋体" w:cs="宋体"/>
          <w:b/>
          <w:spacing w:val="14"/>
          <w:sz w:val="24"/>
          <w:szCs w:val="24"/>
          <w:highlight w:val="none"/>
        </w:rPr>
        <w:t>4、开标</w:t>
      </w:r>
    </w:p>
    <w:p>
      <w:pPr>
        <w:pStyle w:val="28"/>
        <w:spacing w:line="360" w:lineRule="auto"/>
        <w:rPr>
          <w:rFonts w:ascii="宋体" w:hAnsi="宋体" w:eastAsia="宋体" w:cs="宋体"/>
          <w:spacing w:val="14"/>
          <w:sz w:val="24"/>
          <w:szCs w:val="24"/>
          <w:highlight w:val="none"/>
        </w:rPr>
      </w:pPr>
      <w:r>
        <w:rPr>
          <w:rFonts w:hint="eastAsia" w:ascii="宋体" w:hAnsi="宋体" w:eastAsia="宋体" w:cs="宋体"/>
          <w:spacing w:val="14"/>
          <w:sz w:val="24"/>
          <w:szCs w:val="24"/>
          <w:highlight w:val="none"/>
        </w:rPr>
        <w:t>4.1 采购人在招标文件规定的时间和地点开标，投标人授权代表应携带企业CA锁参加开标。</w:t>
      </w:r>
    </w:p>
    <w:p>
      <w:pPr>
        <w:pStyle w:val="28"/>
        <w:spacing w:line="360" w:lineRule="auto"/>
        <w:rPr>
          <w:rFonts w:ascii="宋体" w:hAnsi="宋体" w:eastAsia="宋体" w:cs="宋体"/>
          <w:spacing w:val="14"/>
          <w:sz w:val="24"/>
          <w:szCs w:val="24"/>
          <w:highlight w:val="none"/>
        </w:rPr>
      </w:pPr>
      <w:r>
        <w:rPr>
          <w:rFonts w:hint="eastAsia" w:ascii="宋体" w:hAnsi="宋体" w:eastAsia="宋体" w:cs="宋体"/>
          <w:spacing w:val="14"/>
          <w:sz w:val="24"/>
          <w:szCs w:val="24"/>
          <w:highlight w:val="none"/>
        </w:rPr>
        <w:t>4.2（此条款仅适用于现场开标的项目）开标前，采购代理机构将会同投标人代表检查自己的未加密的电子投标文件的密封情况，确认无误后开标。</w:t>
      </w:r>
    </w:p>
    <w:p>
      <w:pPr>
        <w:pStyle w:val="28"/>
        <w:spacing w:line="360" w:lineRule="auto"/>
        <w:rPr>
          <w:rFonts w:ascii="宋体" w:hAnsi="宋体" w:eastAsia="宋体" w:cs="宋体"/>
          <w:spacing w:val="14"/>
          <w:sz w:val="24"/>
          <w:szCs w:val="24"/>
          <w:highlight w:val="none"/>
        </w:rPr>
      </w:pPr>
      <w:r>
        <w:rPr>
          <w:rFonts w:hint="eastAsia" w:ascii="宋体" w:hAnsi="宋体" w:eastAsia="宋体" w:cs="宋体"/>
          <w:spacing w:val="14"/>
          <w:sz w:val="24"/>
          <w:szCs w:val="24"/>
          <w:highlight w:val="none"/>
        </w:rPr>
        <w:t>4.3开标时，各投标人应在规定时间内对本单位的投标文件解密。开标时，采购代理机构将通过洛阳市电子招投标交易平台进行唱标。</w:t>
      </w:r>
    </w:p>
    <w:p>
      <w:pPr>
        <w:pStyle w:val="28"/>
        <w:spacing w:line="360" w:lineRule="auto"/>
        <w:rPr>
          <w:rFonts w:ascii="宋体" w:hAnsi="宋体" w:eastAsia="宋体" w:cs="宋体"/>
          <w:spacing w:val="14"/>
          <w:sz w:val="24"/>
          <w:szCs w:val="24"/>
          <w:highlight w:val="none"/>
        </w:rPr>
      </w:pPr>
      <w:r>
        <w:rPr>
          <w:rFonts w:hint="eastAsia" w:ascii="宋体" w:hAnsi="宋体" w:eastAsia="宋体" w:cs="宋体"/>
          <w:spacing w:val="14"/>
          <w:sz w:val="24"/>
          <w:szCs w:val="24"/>
          <w:highlight w:val="none"/>
        </w:rPr>
        <w:t>4.4（此条款仅适用于现场开标的项目）如投标人现场解密失败，投标人应使用未加密的电子投标文件。</w:t>
      </w:r>
    </w:p>
    <w:p>
      <w:pPr>
        <w:pStyle w:val="28"/>
        <w:spacing w:line="360" w:lineRule="auto"/>
        <w:rPr>
          <w:rFonts w:ascii="宋体" w:hAnsi="宋体" w:eastAsia="宋体" w:cs="宋体"/>
          <w:spacing w:val="14"/>
          <w:sz w:val="24"/>
          <w:szCs w:val="24"/>
          <w:highlight w:val="none"/>
        </w:rPr>
      </w:pPr>
      <w:r>
        <w:rPr>
          <w:rFonts w:hint="eastAsia" w:ascii="宋体" w:hAnsi="宋体" w:eastAsia="宋体" w:cs="宋体"/>
          <w:spacing w:val="14"/>
          <w:sz w:val="24"/>
          <w:szCs w:val="24"/>
          <w:highlight w:val="none"/>
        </w:rPr>
        <w:t>4.5（此条款仅适用于现场开标的项目）开标前没有提交未加密的电子投标文件，视同放弃使用未加密的电子投标文件投标。未加密的投标文件现场无法成功上传的，投标无效。</w:t>
      </w:r>
    </w:p>
    <w:p>
      <w:pPr>
        <w:pStyle w:val="28"/>
        <w:spacing w:line="360" w:lineRule="auto"/>
        <w:rPr>
          <w:rFonts w:ascii="宋体" w:hAnsi="宋体" w:eastAsia="宋体" w:cs="宋体"/>
          <w:spacing w:val="14"/>
          <w:sz w:val="24"/>
          <w:szCs w:val="24"/>
          <w:highlight w:val="none"/>
        </w:rPr>
      </w:pPr>
      <w:r>
        <w:rPr>
          <w:rFonts w:hint="eastAsia" w:ascii="宋体" w:hAnsi="宋体" w:eastAsia="宋体" w:cs="宋体"/>
          <w:spacing w:val="14"/>
          <w:sz w:val="24"/>
          <w:szCs w:val="24"/>
          <w:highlight w:val="none"/>
        </w:rPr>
        <w:t>4.6（此条款仅适用于现场开标的项目）未加密的电子投标文件仅仅作为网上提交的加密的电子投标文件在特殊情况下才启用的备份资料。没有提交网上加密电子投标文件，仅提交未加密电子投标文件的，投标无效。</w:t>
      </w:r>
    </w:p>
    <w:p>
      <w:pPr>
        <w:pStyle w:val="28"/>
        <w:spacing w:line="360" w:lineRule="auto"/>
        <w:rPr>
          <w:rFonts w:ascii="宋体" w:hAnsi="宋体" w:eastAsia="宋体" w:cs="宋体"/>
          <w:spacing w:val="14"/>
          <w:sz w:val="24"/>
          <w:szCs w:val="24"/>
          <w:highlight w:val="none"/>
        </w:rPr>
      </w:pPr>
      <w:r>
        <w:rPr>
          <w:rFonts w:hint="eastAsia" w:ascii="宋体" w:hAnsi="宋体" w:eastAsia="宋体" w:cs="宋体"/>
          <w:spacing w:val="14"/>
          <w:sz w:val="24"/>
          <w:szCs w:val="24"/>
          <w:highlight w:val="none"/>
        </w:rPr>
        <w:t>5、为便于投标人（投标人）制作投标（响应）文件，本投标（响应）文件格式所列招标投标的主体称呼及专业术语，也适用于政府采购非招标方式（竞争性谈判、竞争性磋商、询价）对应的主体称呼及专业术语。</w:t>
      </w:r>
    </w:p>
    <w:p>
      <w:pPr>
        <w:pStyle w:val="28"/>
        <w:spacing w:line="360" w:lineRule="auto"/>
        <w:rPr>
          <w:rFonts w:ascii="宋体" w:hAnsi="宋体" w:eastAsia="宋体" w:cs="宋体"/>
          <w:spacing w:val="14"/>
          <w:sz w:val="24"/>
          <w:szCs w:val="24"/>
          <w:highlight w:val="none"/>
        </w:rPr>
      </w:pPr>
      <w:r>
        <w:rPr>
          <w:rFonts w:hint="eastAsia" w:ascii="宋体" w:hAnsi="宋体" w:eastAsia="宋体" w:cs="宋体"/>
          <w:spacing w:val="14"/>
          <w:sz w:val="24"/>
          <w:szCs w:val="24"/>
          <w:highlight w:val="none"/>
        </w:rPr>
        <w:t>6、投标人《参与评审打分的证书（证件）一览表》及《参与评审打分的合同业绩一览表》中所填写内容须与表后所附的参与评审打分的证书（证件）扫描件、合同业绩扫描件相对应，否则将不予评审打分。采用竞争性谈判、询价方式的，该两表不进行评审。</w:t>
      </w:r>
    </w:p>
    <w:p>
      <w:pPr>
        <w:pStyle w:val="28"/>
        <w:spacing w:line="360" w:lineRule="auto"/>
        <w:rPr>
          <w:rFonts w:ascii="宋体" w:hAnsi="宋体" w:eastAsia="宋体" w:cs="宋体"/>
          <w:spacing w:val="14"/>
          <w:sz w:val="24"/>
          <w:szCs w:val="24"/>
          <w:highlight w:val="none"/>
        </w:rPr>
      </w:pPr>
      <w:r>
        <w:rPr>
          <w:rFonts w:hint="eastAsia" w:ascii="宋体" w:hAnsi="宋体" w:eastAsia="宋体" w:cs="宋体"/>
          <w:spacing w:val="14"/>
          <w:sz w:val="24"/>
          <w:szCs w:val="24"/>
          <w:highlight w:val="none"/>
        </w:rPr>
        <w:t>7、采购代理机构有权将《报价明细表》、《参与评审打分的证书（证件）一览表》及《参与评审打分的合同业绩一览表》内容进行公示。</w:t>
      </w:r>
    </w:p>
    <w:p>
      <w:pPr>
        <w:pStyle w:val="28"/>
        <w:spacing w:line="360" w:lineRule="auto"/>
        <w:rPr>
          <w:rFonts w:ascii="宋体" w:hAnsi="宋体" w:eastAsia="宋体" w:cs="宋体"/>
          <w:spacing w:val="14"/>
          <w:sz w:val="24"/>
          <w:szCs w:val="24"/>
          <w:highlight w:val="none"/>
        </w:rPr>
      </w:pPr>
      <w:r>
        <w:rPr>
          <w:rFonts w:hint="eastAsia" w:ascii="宋体" w:hAnsi="宋体" w:eastAsia="宋体" w:cs="宋体"/>
          <w:spacing w:val="14"/>
          <w:sz w:val="24"/>
          <w:szCs w:val="24"/>
          <w:highlight w:val="none"/>
        </w:rPr>
        <w:t>8、（此条款仅适用于远程不见面交易的项目）本项目采用远程不见面交易的模式。</w:t>
      </w:r>
    </w:p>
    <w:p>
      <w:pPr>
        <w:pStyle w:val="28"/>
        <w:keepNext w:val="0"/>
        <w:keepLines w:val="0"/>
        <w:pageBreakBefore w:val="0"/>
        <w:widowControl/>
        <w:kinsoku/>
        <w:wordWrap w:val="0"/>
        <w:overflowPunct/>
        <w:topLinePunct w:val="0"/>
        <w:autoSpaceDE/>
        <w:autoSpaceDN/>
        <w:bidi w:val="0"/>
        <w:adjustRightInd/>
        <w:snapToGrid/>
        <w:spacing w:line="360" w:lineRule="auto"/>
        <w:ind w:firstLine="482"/>
        <w:textAlignment w:val="auto"/>
        <w:rPr>
          <w:rFonts w:ascii="宋体" w:hAnsi="宋体" w:eastAsia="宋体" w:cs="宋体"/>
          <w:spacing w:val="14"/>
          <w:sz w:val="24"/>
          <w:szCs w:val="24"/>
          <w:highlight w:val="none"/>
        </w:rPr>
      </w:pPr>
      <w:r>
        <w:rPr>
          <w:rFonts w:hint="eastAsia" w:ascii="宋体" w:hAnsi="宋体" w:eastAsia="宋体" w:cs="宋体"/>
          <w:spacing w:val="14"/>
          <w:sz w:val="24"/>
          <w:szCs w:val="24"/>
          <w:highlight w:val="none"/>
        </w:rPr>
        <w:t>8.1不见面开标大厅网址（</w:t>
      </w:r>
      <w:r>
        <w:rPr>
          <w:rFonts w:hint="eastAsia" w:ascii="宋体" w:hAnsi="宋体" w:eastAsia="宋体" w:cs="宋体"/>
          <w:spacing w:val="14"/>
          <w:sz w:val="24"/>
          <w:szCs w:val="24"/>
          <w:highlight w:val="none"/>
          <w:lang w:eastAsia="zh-CN"/>
        </w:rPr>
        <w:t>https://61.168.99.35:7070/BidOpening/bidopeninghallaction/hall/login</w:t>
      </w:r>
      <w:r>
        <w:rPr>
          <w:rFonts w:hint="eastAsia" w:ascii="宋体" w:hAnsi="宋体" w:eastAsia="宋体" w:cs="宋体"/>
          <w:spacing w:val="14"/>
          <w:sz w:val="24"/>
          <w:szCs w:val="24"/>
          <w:highlight w:val="none"/>
        </w:rPr>
        <w:t>），投标人（投标人）应当在招标文件（磋商文件、谈判文件、询价通知书）确定的投标截止时间前，登录不见面开标大厅，在线准时参加开标活动并进行文件解密、答疑澄清等。投标人（投标人）应在开标当天及时关注本单位的情况，如遇问题，请拨打技术服务单位（国泰新点）电话：4009980000。</w:t>
      </w:r>
    </w:p>
    <w:p>
      <w:pPr>
        <w:pStyle w:val="28"/>
        <w:spacing w:line="360" w:lineRule="auto"/>
        <w:rPr>
          <w:rFonts w:ascii="宋体" w:hAnsi="宋体" w:eastAsia="宋体" w:cs="宋体"/>
          <w:spacing w:val="14"/>
          <w:sz w:val="24"/>
          <w:szCs w:val="24"/>
          <w:highlight w:val="none"/>
        </w:rPr>
      </w:pPr>
      <w:r>
        <w:rPr>
          <w:rFonts w:hint="eastAsia" w:ascii="宋体" w:hAnsi="宋体" w:eastAsia="宋体" w:cs="宋体"/>
          <w:spacing w:val="14"/>
          <w:sz w:val="24"/>
          <w:szCs w:val="24"/>
          <w:highlight w:val="none"/>
        </w:rPr>
        <w:t>8.2投标人（投标人）应认真学习洛阳市公共资源交易中心网站发布的《洛阳市公共资源交易中心不见面开标大厅操作手册（投标人）》，根据手册要求做好不见面开标的准备工作，否则由此可能引起的签到失败、解密失败或无法解密等问题由投标人（投标人）自行承担。</w:t>
      </w:r>
    </w:p>
    <w:p>
      <w:pPr>
        <w:pStyle w:val="28"/>
        <w:spacing w:line="360" w:lineRule="auto"/>
        <w:rPr>
          <w:rFonts w:ascii="宋体" w:hAnsi="宋体" w:eastAsia="宋体" w:cs="宋体"/>
          <w:spacing w:val="14"/>
          <w:sz w:val="24"/>
          <w:szCs w:val="24"/>
          <w:highlight w:val="none"/>
        </w:rPr>
      </w:pPr>
      <w:r>
        <w:rPr>
          <w:rFonts w:hint="eastAsia" w:ascii="宋体" w:hAnsi="宋体" w:eastAsia="宋体" w:cs="宋体"/>
          <w:spacing w:val="14"/>
          <w:sz w:val="24"/>
          <w:szCs w:val="24"/>
          <w:highlight w:val="none"/>
        </w:rPr>
        <w:t>8.4投标人（投标人）应在开标时间前一小时内通过不见面开标系统进行电子签到。</w:t>
      </w:r>
    </w:p>
    <w:p>
      <w:pPr>
        <w:pStyle w:val="28"/>
        <w:spacing w:line="360" w:lineRule="auto"/>
        <w:rPr>
          <w:rFonts w:ascii="宋体" w:hAnsi="宋体" w:eastAsia="宋体" w:cs="宋体"/>
          <w:spacing w:val="14"/>
          <w:sz w:val="24"/>
          <w:szCs w:val="24"/>
          <w:highlight w:val="none"/>
        </w:rPr>
      </w:pPr>
      <w:r>
        <w:rPr>
          <w:rFonts w:hint="eastAsia" w:ascii="宋体" w:hAnsi="宋体" w:eastAsia="宋体" w:cs="宋体"/>
          <w:spacing w:val="14"/>
          <w:sz w:val="24"/>
          <w:szCs w:val="24"/>
          <w:highlight w:val="none"/>
        </w:rPr>
        <w:t>8.5投标人（投标人）应在解密时间内插入CA锁，输入密码，进行解密；如果在解密时间内解密失败，可再次解密。</w:t>
      </w:r>
    </w:p>
    <w:p>
      <w:pPr>
        <w:pStyle w:val="28"/>
        <w:spacing w:line="360" w:lineRule="auto"/>
        <w:rPr>
          <w:rFonts w:ascii="宋体" w:hAnsi="宋体" w:eastAsia="宋体" w:cs="宋体"/>
          <w:spacing w:val="14"/>
          <w:sz w:val="24"/>
          <w:szCs w:val="24"/>
          <w:highlight w:val="none"/>
        </w:rPr>
      </w:pPr>
      <w:r>
        <w:rPr>
          <w:rFonts w:hint="eastAsia" w:ascii="宋体" w:hAnsi="宋体" w:eastAsia="宋体" w:cs="宋体"/>
          <w:spacing w:val="14"/>
          <w:sz w:val="24"/>
          <w:szCs w:val="24"/>
          <w:highlight w:val="none"/>
        </w:rPr>
        <w:t>8.6采购人及采购代理机构在招标文件（磋商文件、谈判文件、询价通知书）规定的时间及地点开标。投标人（投标人）无需到达开标现场，但在开评标期间，投标人（投标人）的法定代表人或其授权委托人应参与远程交互，中途不得更换，在废标、澄清、提疑、传送文件、最后报价等特殊情况下需要交互时，投标人（投标人）一端参与交互的人员将均被视为是投标人（投标人）的法定代表人或其授权委托人，投标人（投标人）不得以不承认交互人员的资格或身份等为借口抵赖推脱，投标人（投标人）自行承担随意更换人员或未按要求参与交互所导致的一切后果。</w:t>
      </w:r>
    </w:p>
    <w:p>
      <w:pPr>
        <w:pStyle w:val="28"/>
        <w:spacing w:line="360" w:lineRule="auto"/>
        <w:rPr>
          <w:rFonts w:ascii="宋体" w:hAnsi="宋体" w:eastAsia="宋体" w:cs="宋体"/>
          <w:spacing w:val="14"/>
          <w:sz w:val="24"/>
          <w:szCs w:val="24"/>
          <w:highlight w:val="none"/>
        </w:rPr>
      </w:pPr>
      <w:r>
        <w:rPr>
          <w:rFonts w:hint="eastAsia" w:ascii="宋体" w:hAnsi="宋体" w:eastAsia="宋体" w:cs="宋体"/>
          <w:spacing w:val="14"/>
          <w:sz w:val="24"/>
          <w:szCs w:val="24"/>
          <w:highlight w:val="none"/>
        </w:rPr>
        <w:t>投标人（投标人）超时交互，由此产生的不利于投标人（投标人）的评审风险由投标人（投标人）自行承担。</w:t>
      </w:r>
    </w:p>
    <w:p>
      <w:pPr>
        <w:pStyle w:val="28"/>
        <w:spacing w:line="360" w:lineRule="auto"/>
        <w:rPr>
          <w:rFonts w:ascii="宋体" w:hAnsi="宋体" w:eastAsia="宋体" w:cs="宋体"/>
          <w:spacing w:val="14"/>
          <w:sz w:val="24"/>
          <w:szCs w:val="24"/>
          <w:highlight w:val="none"/>
        </w:rPr>
      </w:pPr>
      <w:r>
        <w:rPr>
          <w:rFonts w:hint="eastAsia" w:ascii="宋体" w:hAnsi="宋体" w:eastAsia="宋体" w:cs="宋体"/>
          <w:spacing w:val="14"/>
          <w:sz w:val="24"/>
          <w:szCs w:val="24"/>
          <w:highlight w:val="none"/>
        </w:rPr>
        <w:t>9、开标前，投标人（投标人）务必在洛阳市电子招投标交易平台（http://61.168.99.35/TPBidder/login2.aspx）投标文件上传模块中使用“模拟解密”功能，验证自助解密环境。</w:t>
      </w:r>
    </w:p>
    <w:p>
      <w:pPr>
        <w:pStyle w:val="28"/>
        <w:spacing w:line="360" w:lineRule="auto"/>
        <w:rPr>
          <w:rFonts w:ascii="宋体" w:hAnsi="宋体" w:eastAsia="宋体" w:cs="宋体"/>
          <w:spacing w:val="14"/>
          <w:sz w:val="24"/>
          <w:szCs w:val="24"/>
          <w:highlight w:val="none"/>
        </w:rPr>
      </w:pPr>
      <w:r>
        <w:rPr>
          <w:rFonts w:hint="eastAsia" w:ascii="宋体" w:hAnsi="宋体" w:eastAsia="宋体" w:cs="宋体"/>
          <w:spacing w:val="14"/>
          <w:sz w:val="24"/>
          <w:szCs w:val="24"/>
          <w:highlight w:val="none"/>
        </w:rPr>
        <w:t>10.开标异常处理</w:t>
      </w:r>
    </w:p>
    <w:p>
      <w:pPr>
        <w:pStyle w:val="28"/>
        <w:spacing w:line="360" w:lineRule="auto"/>
        <w:rPr>
          <w:rFonts w:ascii="宋体" w:hAnsi="宋体" w:eastAsia="宋体" w:cs="宋体"/>
          <w:spacing w:val="14"/>
          <w:sz w:val="24"/>
          <w:szCs w:val="24"/>
          <w:highlight w:val="none"/>
        </w:rPr>
      </w:pPr>
      <w:r>
        <w:rPr>
          <w:rFonts w:hint="eastAsia" w:ascii="宋体" w:hAnsi="宋体" w:eastAsia="宋体" w:cs="宋体"/>
          <w:spacing w:val="14"/>
          <w:sz w:val="24"/>
          <w:szCs w:val="24"/>
          <w:highlight w:val="none"/>
        </w:rPr>
        <w:t>当出现以下情况时，应对未开标的中止电子开标，对原有资料及信息作出妥善保密处理，并在恢复正常后及时安排时间开标：</w:t>
      </w:r>
    </w:p>
    <w:p>
      <w:pPr>
        <w:pStyle w:val="28"/>
        <w:spacing w:line="360" w:lineRule="auto"/>
        <w:rPr>
          <w:rFonts w:ascii="宋体" w:hAnsi="宋体" w:eastAsia="宋体" w:cs="宋体"/>
          <w:spacing w:val="14"/>
          <w:sz w:val="24"/>
          <w:szCs w:val="24"/>
          <w:highlight w:val="none"/>
        </w:rPr>
      </w:pPr>
      <w:r>
        <w:rPr>
          <w:rFonts w:hint="eastAsia" w:ascii="宋体" w:hAnsi="宋体" w:eastAsia="宋体" w:cs="宋体"/>
          <w:spacing w:val="14"/>
          <w:sz w:val="24"/>
          <w:szCs w:val="24"/>
          <w:highlight w:val="none"/>
        </w:rPr>
        <w:t>（1）系统服务器发生故障，无法访问或无法使用系统；</w:t>
      </w:r>
    </w:p>
    <w:p>
      <w:pPr>
        <w:pStyle w:val="28"/>
        <w:spacing w:line="360" w:lineRule="auto"/>
        <w:rPr>
          <w:rFonts w:ascii="宋体" w:hAnsi="宋体" w:eastAsia="宋体" w:cs="宋体"/>
          <w:spacing w:val="14"/>
          <w:sz w:val="24"/>
          <w:szCs w:val="24"/>
          <w:highlight w:val="none"/>
        </w:rPr>
      </w:pPr>
      <w:r>
        <w:rPr>
          <w:rFonts w:hint="eastAsia" w:ascii="宋体" w:hAnsi="宋体" w:eastAsia="宋体" w:cs="宋体"/>
          <w:spacing w:val="14"/>
          <w:sz w:val="24"/>
          <w:szCs w:val="24"/>
          <w:highlight w:val="none"/>
        </w:rPr>
        <w:t>（2）系统的软件或数据库出现错误，不能进行正常操作；</w:t>
      </w:r>
    </w:p>
    <w:p>
      <w:pPr>
        <w:pStyle w:val="28"/>
        <w:spacing w:line="360" w:lineRule="auto"/>
        <w:rPr>
          <w:rFonts w:ascii="宋体" w:hAnsi="宋体" w:eastAsia="宋体" w:cs="宋体"/>
          <w:spacing w:val="14"/>
          <w:sz w:val="24"/>
          <w:szCs w:val="24"/>
          <w:highlight w:val="none"/>
        </w:rPr>
      </w:pPr>
      <w:r>
        <w:rPr>
          <w:rFonts w:hint="eastAsia" w:ascii="宋体" w:hAnsi="宋体" w:eastAsia="宋体" w:cs="宋体"/>
          <w:spacing w:val="14"/>
          <w:sz w:val="24"/>
          <w:szCs w:val="24"/>
          <w:highlight w:val="none"/>
        </w:rPr>
        <w:t>（3）系统发现有安全漏洞，有潜在的泄密危险；</w:t>
      </w:r>
    </w:p>
    <w:p>
      <w:pPr>
        <w:pStyle w:val="28"/>
        <w:spacing w:line="360" w:lineRule="auto"/>
        <w:rPr>
          <w:rFonts w:ascii="宋体" w:hAnsi="宋体" w:eastAsia="宋体" w:cs="宋体"/>
          <w:spacing w:val="14"/>
          <w:sz w:val="24"/>
          <w:szCs w:val="24"/>
          <w:highlight w:val="none"/>
        </w:rPr>
      </w:pPr>
      <w:r>
        <w:rPr>
          <w:rFonts w:hint="eastAsia" w:ascii="宋体" w:hAnsi="宋体" w:eastAsia="宋体" w:cs="宋体"/>
          <w:spacing w:val="14"/>
          <w:sz w:val="24"/>
          <w:szCs w:val="24"/>
          <w:highlight w:val="none"/>
        </w:rPr>
        <w:t>（4）出现断电事故且短时间内无法恢复供电；</w:t>
      </w:r>
    </w:p>
    <w:p>
      <w:pPr>
        <w:pStyle w:val="28"/>
        <w:spacing w:line="360" w:lineRule="auto"/>
        <w:rPr>
          <w:rFonts w:hint="eastAsia" w:ascii="宋体" w:hAnsi="宋体" w:eastAsia="宋体" w:cs="宋体"/>
          <w:spacing w:val="14"/>
          <w:sz w:val="24"/>
          <w:szCs w:val="24"/>
          <w:highlight w:val="none"/>
        </w:rPr>
        <w:sectPr>
          <w:headerReference r:id="rId3" w:type="default"/>
          <w:footerReference r:id="rId4" w:type="default"/>
          <w:pgSz w:w="11910" w:h="16845"/>
          <w:pgMar w:top="990" w:right="915" w:bottom="857" w:left="1096" w:header="705" w:footer="683" w:gutter="0"/>
          <w:cols w:space="720" w:num="1"/>
        </w:sectPr>
      </w:pPr>
      <w:r>
        <w:rPr>
          <w:rFonts w:hint="eastAsia" w:ascii="宋体" w:hAnsi="宋体" w:eastAsia="宋体" w:cs="宋体"/>
          <w:spacing w:val="14"/>
          <w:sz w:val="24"/>
          <w:szCs w:val="24"/>
          <w:highlight w:val="none"/>
        </w:rPr>
        <w:t>（5）其他无法保证招投标过程正常进行的情形。</w:t>
      </w:r>
    </w:p>
    <w:p>
      <w:pPr>
        <w:pStyle w:val="37"/>
      </w:pPr>
    </w:p>
    <w:p>
      <w:pPr>
        <w:pStyle w:val="43"/>
        <w:spacing w:before="0" w:after="0"/>
        <w:ind w:firstLine="482"/>
        <w:outlineLvl w:val="9"/>
        <w:rPr>
          <w:rFonts w:ascii="宋体" w:hAnsi="宋体" w:cs="宋体"/>
          <w:sz w:val="24"/>
          <w:szCs w:val="24"/>
          <w:highlight w:val="none"/>
        </w:rPr>
      </w:pPr>
      <w:bookmarkStart w:id="2" w:name="_Toc4423"/>
      <w:bookmarkStart w:id="3" w:name="_Toc256000002"/>
      <w:bookmarkStart w:id="4" w:name="_Toc1660780"/>
      <w:bookmarkStart w:id="5" w:name="_Toc504741945"/>
      <w:r>
        <w:rPr>
          <w:rFonts w:hint="eastAsia" w:ascii="宋体" w:hAnsi="宋体" w:cs="宋体"/>
          <w:sz w:val="24"/>
          <w:szCs w:val="24"/>
          <w:highlight w:val="none"/>
        </w:rPr>
        <w:t>目    录</w:t>
      </w:r>
      <w:bookmarkEnd w:id="2"/>
      <w:bookmarkEnd w:id="3"/>
      <w:bookmarkEnd w:id="4"/>
      <w:bookmarkEnd w:id="5"/>
    </w:p>
    <w:p>
      <w:pPr>
        <w:pStyle w:val="15"/>
        <w:tabs>
          <w:tab w:val="right" w:leader="dot" w:pos="9241"/>
        </w:tabs>
        <w:spacing w:before="0" w:after="0" w:line="360" w:lineRule="auto"/>
        <w:rPr>
          <w:rFonts w:ascii="宋体" w:hAnsi="宋体" w:eastAsia="宋体" w:cs="宋体"/>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TOC \o "1-4" \h \z \u </w:instrText>
      </w:r>
      <w:r>
        <w:rPr>
          <w:rFonts w:hint="eastAsia" w:ascii="宋体" w:hAnsi="宋体" w:eastAsia="宋体" w:cs="宋体"/>
          <w:highlight w:val="none"/>
        </w:rPr>
        <w:fldChar w:fldCharType="separate"/>
      </w:r>
      <w:r>
        <w:rPr>
          <w:highlight w:val="none"/>
        </w:rPr>
        <w:fldChar w:fldCharType="begin"/>
      </w:r>
      <w:r>
        <w:rPr>
          <w:highlight w:val="none"/>
        </w:rPr>
        <w:instrText xml:space="preserve"> HYPERLINK \l "_Toc29698" </w:instrText>
      </w:r>
      <w:r>
        <w:rPr>
          <w:highlight w:val="none"/>
        </w:rPr>
        <w:fldChar w:fldCharType="separate"/>
      </w:r>
      <w:r>
        <w:rPr>
          <w:rFonts w:hint="eastAsia" w:ascii="宋体" w:hAnsi="宋体" w:eastAsia="宋体" w:cs="宋体"/>
          <w:highlight w:val="none"/>
        </w:rPr>
        <w:t>第一章  招标公告</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_Toc29698 \h </w:instrText>
      </w:r>
      <w:r>
        <w:rPr>
          <w:rFonts w:hint="eastAsia" w:ascii="宋体" w:hAnsi="宋体" w:eastAsia="宋体" w:cs="宋体"/>
          <w:highlight w:val="none"/>
        </w:rPr>
        <w:fldChar w:fldCharType="separate"/>
      </w:r>
      <w:r>
        <w:rPr>
          <w:rFonts w:hint="eastAsia" w:ascii="宋体" w:hAnsi="宋体" w:eastAsia="宋体" w:cs="宋体"/>
          <w:highlight w:val="none"/>
        </w:rPr>
        <w:t>7</w:t>
      </w:r>
      <w:r>
        <w:rPr>
          <w:rFonts w:hint="eastAsia" w:ascii="宋体" w:hAnsi="宋体" w:eastAsia="宋体" w:cs="宋体"/>
          <w:highlight w:val="none"/>
        </w:rPr>
        <w:fldChar w:fldCharType="end"/>
      </w:r>
      <w:r>
        <w:rPr>
          <w:rFonts w:hint="eastAsia" w:ascii="宋体" w:hAnsi="宋体" w:eastAsia="宋体" w:cs="宋体"/>
          <w:highlight w:val="none"/>
        </w:rPr>
        <w:fldChar w:fldCharType="end"/>
      </w:r>
    </w:p>
    <w:p>
      <w:pPr>
        <w:pStyle w:val="15"/>
        <w:tabs>
          <w:tab w:val="right" w:leader="dot" w:pos="9241"/>
        </w:tabs>
        <w:spacing w:before="0" w:after="0" w:line="360" w:lineRule="auto"/>
        <w:rPr>
          <w:rFonts w:ascii="宋体" w:hAnsi="宋体" w:eastAsia="宋体" w:cs="宋体"/>
          <w:highlight w:val="none"/>
        </w:rPr>
      </w:pPr>
      <w:r>
        <w:rPr>
          <w:highlight w:val="none"/>
        </w:rPr>
        <w:fldChar w:fldCharType="begin"/>
      </w:r>
      <w:r>
        <w:rPr>
          <w:highlight w:val="none"/>
        </w:rPr>
        <w:instrText xml:space="preserve"> HYPERLINK \l "_Toc29055" </w:instrText>
      </w:r>
      <w:r>
        <w:rPr>
          <w:highlight w:val="none"/>
        </w:rPr>
        <w:fldChar w:fldCharType="separate"/>
      </w:r>
      <w:r>
        <w:rPr>
          <w:rFonts w:hint="eastAsia" w:ascii="宋体" w:hAnsi="宋体" w:eastAsia="宋体" w:cs="宋体"/>
          <w:highlight w:val="none"/>
        </w:rPr>
        <w:t>第二章  投标人须知</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_Toc29055 \h </w:instrText>
      </w:r>
      <w:r>
        <w:rPr>
          <w:rFonts w:hint="eastAsia" w:ascii="宋体" w:hAnsi="宋体" w:eastAsia="宋体" w:cs="宋体"/>
          <w:highlight w:val="none"/>
        </w:rPr>
        <w:fldChar w:fldCharType="separate"/>
      </w:r>
      <w:r>
        <w:rPr>
          <w:rFonts w:hint="eastAsia" w:ascii="宋体" w:hAnsi="宋体" w:eastAsia="宋体" w:cs="宋体"/>
          <w:highlight w:val="none"/>
        </w:rPr>
        <w:t>11</w:t>
      </w:r>
      <w:r>
        <w:rPr>
          <w:rFonts w:hint="eastAsia" w:ascii="宋体" w:hAnsi="宋体" w:eastAsia="宋体" w:cs="宋体"/>
          <w:highlight w:val="none"/>
        </w:rPr>
        <w:fldChar w:fldCharType="end"/>
      </w:r>
      <w:r>
        <w:rPr>
          <w:rFonts w:hint="eastAsia" w:ascii="宋体" w:hAnsi="宋体" w:eastAsia="宋体" w:cs="宋体"/>
          <w:highlight w:val="none"/>
        </w:rPr>
        <w:fldChar w:fldCharType="end"/>
      </w:r>
    </w:p>
    <w:p>
      <w:pPr>
        <w:pStyle w:val="15"/>
        <w:tabs>
          <w:tab w:val="right" w:leader="dot" w:pos="9241"/>
        </w:tabs>
        <w:spacing w:before="0" w:after="0" w:line="360" w:lineRule="auto"/>
        <w:rPr>
          <w:rFonts w:ascii="宋体" w:hAnsi="宋体" w:eastAsia="宋体" w:cs="宋体"/>
          <w:highlight w:val="none"/>
        </w:rPr>
      </w:pPr>
      <w:r>
        <w:rPr>
          <w:highlight w:val="none"/>
        </w:rPr>
        <w:fldChar w:fldCharType="begin"/>
      </w:r>
      <w:r>
        <w:rPr>
          <w:highlight w:val="none"/>
        </w:rPr>
        <w:instrText xml:space="preserve"> HYPERLINK \l "_Toc9104" </w:instrText>
      </w:r>
      <w:r>
        <w:rPr>
          <w:highlight w:val="none"/>
        </w:rPr>
        <w:fldChar w:fldCharType="separate"/>
      </w:r>
      <w:r>
        <w:rPr>
          <w:rFonts w:hint="eastAsia" w:ascii="宋体" w:hAnsi="宋体" w:eastAsia="宋体" w:cs="宋体"/>
          <w:highlight w:val="none"/>
        </w:rPr>
        <w:t>第三章  采购需求</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_Toc9104 \h </w:instrText>
      </w:r>
      <w:r>
        <w:rPr>
          <w:rFonts w:hint="eastAsia" w:ascii="宋体" w:hAnsi="宋体" w:eastAsia="宋体" w:cs="宋体"/>
          <w:highlight w:val="none"/>
        </w:rPr>
        <w:fldChar w:fldCharType="separate"/>
      </w:r>
      <w:r>
        <w:rPr>
          <w:rFonts w:hint="eastAsia" w:ascii="宋体" w:hAnsi="宋体" w:eastAsia="宋体" w:cs="宋体"/>
          <w:highlight w:val="none"/>
        </w:rPr>
        <w:t>54</w:t>
      </w:r>
      <w:r>
        <w:rPr>
          <w:rFonts w:hint="eastAsia" w:ascii="宋体" w:hAnsi="宋体" w:eastAsia="宋体" w:cs="宋体"/>
          <w:highlight w:val="none"/>
        </w:rPr>
        <w:fldChar w:fldCharType="end"/>
      </w:r>
      <w:r>
        <w:rPr>
          <w:rFonts w:hint="eastAsia" w:ascii="宋体" w:hAnsi="宋体" w:eastAsia="宋体" w:cs="宋体"/>
          <w:highlight w:val="none"/>
        </w:rPr>
        <w:fldChar w:fldCharType="end"/>
      </w:r>
    </w:p>
    <w:p>
      <w:pPr>
        <w:pStyle w:val="15"/>
        <w:tabs>
          <w:tab w:val="right" w:leader="dot" w:pos="9241"/>
        </w:tabs>
        <w:spacing w:before="0" w:after="0" w:line="360" w:lineRule="auto"/>
        <w:rPr>
          <w:rFonts w:ascii="宋体" w:hAnsi="宋体" w:eastAsia="宋体" w:cs="宋体"/>
          <w:highlight w:val="none"/>
        </w:rPr>
      </w:pPr>
      <w:r>
        <w:rPr>
          <w:highlight w:val="none"/>
        </w:rPr>
        <w:fldChar w:fldCharType="begin"/>
      </w:r>
      <w:r>
        <w:rPr>
          <w:highlight w:val="none"/>
        </w:rPr>
        <w:instrText xml:space="preserve"> HYPERLINK \l "_Toc19226" </w:instrText>
      </w:r>
      <w:r>
        <w:rPr>
          <w:highlight w:val="none"/>
        </w:rPr>
        <w:fldChar w:fldCharType="separate"/>
      </w:r>
      <w:r>
        <w:rPr>
          <w:rFonts w:hint="eastAsia" w:ascii="宋体" w:hAnsi="宋体" w:eastAsia="宋体" w:cs="宋体"/>
          <w:highlight w:val="none"/>
        </w:rPr>
        <w:t>第四章  合 同(样本)</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_Toc19226 \h </w:instrText>
      </w:r>
      <w:r>
        <w:rPr>
          <w:rFonts w:hint="eastAsia" w:ascii="宋体" w:hAnsi="宋体" w:eastAsia="宋体" w:cs="宋体"/>
          <w:highlight w:val="none"/>
        </w:rPr>
        <w:fldChar w:fldCharType="separate"/>
      </w:r>
      <w:r>
        <w:rPr>
          <w:rFonts w:hint="eastAsia" w:ascii="宋体" w:hAnsi="宋体" w:eastAsia="宋体" w:cs="宋体"/>
          <w:highlight w:val="none"/>
        </w:rPr>
        <w:t>58</w:t>
      </w:r>
      <w:r>
        <w:rPr>
          <w:rFonts w:hint="eastAsia" w:ascii="宋体" w:hAnsi="宋体" w:eastAsia="宋体" w:cs="宋体"/>
          <w:highlight w:val="none"/>
        </w:rPr>
        <w:fldChar w:fldCharType="end"/>
      </w:r>
      <w:r>
        <w:rPr>
          <w:rFonts w:hint="eastAsia" w:ascii="宋体" w:hAnsi="宋体" w:eastAsia="宋体" w:cs="宋体"/>
          <w:highlight w:val="none"/>
        </w:rPr>
        <w:fldChar w:fldCharType="end"/>
      </w:r>
    </w:p>
    <w:p>
      <w:pPr>
        <w:pStyle w:val="15"/>
        <w:tabs>
          <w:tab w:val="right" w:leader="dot" w:pos="9241"/>
        </w:tabs>
        <w:spacing w:before="0" w:after="0" w:line="360" w:lineRule="auto"/>
        <w:rPr>
          <w:rFonts w:ascii="宋体" w:hAnsi="宋体" w:eastAsia="宋体" w:cs="宋体"/>
          <w:highlight w:val="none"/>
        </w:rPr>
      </w:pPr>
      <w:r>
        <w:rPr>
          <w:highlight w:val="none"/>
        </w:rPr>
        <w:fldChar w:fldCharType="begin"/>
      </w:r>
      <w:r>
        <w:rPr>
          <w:highlight w:val="none"/>
        </w:rPr>
        <w:instrText xml:space="preserve"> HYPERLINK \l "_Toc4965" </w:instrText>
      </w:r>
      <w:r>
        <w:rPr>
          <w:highlight w:val="none"/>
        </w:rPr>
        <w:fldChar w:fldCharType="separate"/>
      </w:r>
      <w:r>
        <w:rPr>
          <w:rFonts w:hint="eastAsia" w:ascii="宋体" w:hAnsi="宋体" w:eastAsia="宋体" w:cs="宋体"/>
          <w:highlight w:val="none"/>
        </w:rPr>
        <w:t>第五章  资格审查与评标办法</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_Toc4965 \h </w:instrText>
      </w:r>
      <w:r>
        <w:rPr>
          <w:rFonts w:hint="eastAsia" w:ascii="宋体" w:hAnsi="宋体" w:eastAsia="宋体" w:cs="宋体"/>
          <w:highlight w:val="none"/>
        </w:rPr>
        <w:fldChar w:fldCharType="separate"/>
      </w:r>
      <w:r>
        <w:rPr>
          <w:rFonts w:hint="eastAsia" w:ascii="宋体" w:hAnsi="宋体" w:eastAsia="宋体" w:cs="宋体"/>
          <w:highlight w:val="none"/>
        </w:rPr>
        <w:t>66</w:t>
      </w:r>
      <w:r>
        <w:rPr>
          <w:rFonts w:hint="eastAsia" w:ascii="宋体" w:hAnsi="宋体" w:eastAsia="宋体" w:cs="宋体"/>
          <w:highlight w:val="none"/>
        </w:rPr>
        <w:fldChar w:fldCharType="end"/>
      </w:r>
      <w:r>
        <w:rPr>
          <w:rFonts w:hint="eastAsia" w:ascii="宋体" w:hAnsi="宋体" w:eastAsia="宋体" w:cs="宋体"/>
          <w:highlight w:val="none"/>
        </w:rPr>
        <w:fldChar w:fldCharType="end"/>
      </w:r>
    </w:p>
    <w:p>
      <w:pPr>
        <w:pStyle w:val="15"/>
        <w:tabs>
          <w:tab w:val="right" w:leader="dot" w:pos="9241"/>
        </w:tabs>
        <w:spacing w:before="0" w:after="0" w:line="360" w:lineRule="auto"/>
        <w:rPr>
          <w:rFonts w:ascii="宋体" w:hAnsi="宋体" w:eastAsia="宋体" w:cs="宋体"/>
          <w:highlight w:val="none"/>
        </w:rPr>
      </w:pPr>
      <w:r>
        <w:rPr>
          <w:highlight w:val="none"/>
        </w:rPr>
        <w:fldChar w:fldCharType="begin"/>
      </w:r>
      <w:r>
        <w:rPr>
          <w:highlight w:val="none"/>
        </w:rPr>
        <w:instrText xml:space="preserve"> HYPERLINK \l "_Toc21422" </w:instrText>
      </w:r>
      <w:r>
        <w:rPr>
          <w:highlight w:val="none"/>
        </w:rPr>
        <w:fldChar w:fldCharType="separate"/>
      </w:r>
      <w:r>
        <w:rPr>
          <w:rFonts w:hint="eastAsia" w:ascii="宋体" w:hAnsi="宋体" w:eastAsia="宋体" w:cs="宋体"/>
          <w:highlight w:val="none"/>
        </w:rPr>
        <w:t>第六章  资格审查与评审标准</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_Toc21422 \h </w:instrText>
      </w:r>
      <w:r>
        <w:rPr>
          <w:rFonts w:hint="eastAsia" w:ascii="宋体" w:hAnsi="宋体" w:eastAsia="宋体" w:cs="宋体"/>
          <w:highlight w:val="none"/>
        </w:rPr>
        <w:fldChar w:fldCharType="separate"/>
      </w:r>
      <w:r>
        <w:rPr>
          <w:rFonts w:hint="eastAsia" w:ascii="宋体" w:hAnsi="宋体" w:eastAsia="宋体" w:cs="宋体"/>
          <w:highlight w:val="none"/>
        </w:rPr>
        <w:t>70</w:t>
      </w:r>
      <w:r>
        <w:rPr>
          <w:rFonts w:hint="eastAsia" w:ascii="宋体" w:hAnsi="宋体" w:eastAsia="宋体" w:cs="宋体"/>
          <w:highlight w:val="none"/>
        </w:rPr>
        <w:fldChar w:fldCharType="end"/>
      </w:r>
      <w:r>
        <w:rPr>
          <w:rFonts w:hint="eastAsia" w:ascii="宋体" w:hAnsi="宋体" w:eastAsia="宋体" w:cs="宋体"/>
          <w:highlight w:val="none"/>
        </w:rPr>
        <w:fldChar w:fldCharType="end"/>
      </w:r>
    </w:p>
    <w:p>
      <w:pPr>
        <w:pStyle w:val="15"/>
        <w:tabs>
          <w:tab w:val="right" w:leader="dot" w:pos="9241"/>
        </w:tabs>
        <w:spacing w:before="0" w:after="0" w:line="360" w:lineRule="auto"/>
        <w:rPr>
          <w:rFonts w:ascii="宋体" w:hAnsi="宋体" w:eastAsia="宋体" w:cs="宋体"/>
          <w:highlight w:val="none"/>
        </w:rPr>
      </w:pPr>
      <w:r>
        <w:rPr>
          <w:highlight w:val="none"/>
        </w:rPr>
        <w:fldChar w:fldCharType="begin"/>
      </w:r>
      <w:r>
        <w:rPr>
          <w:highlight w:val="none"/>
        </w:rPr>
        <w:instrText xml:space="preserve"> HYPERLINK \l "_Toc15810" </w:instrText>
      </w:r>
      <w:r>
        <w:rPr>
          <w:highlight w:val="none"/>
        </w:rPr>
        <w:fldChar w:fldCharType="separate"/>
      </w:r>
      <w:r>
        <w:rPr>
          <w:rFonts w:hint="eastAsia" w:ascii="宋体" w:hAnsi="宋体" w:eastAsia="宋体" w:cs="宋体"/>
          <w:highlight w:val="none"/>
        </w:rPr>
        <w:t>第七章  投标文件格式</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_Toc15810 \h </w:instrText>
      </w:r>
      <w:r>
        <w:rPr>
          <w:rFonts w:hint="eastAsia" w:ascii="宋体" w:hAnsi="宋体" w:eastAsia="宋体" w:cs="宋体"/>
          <w:highlight w:val="none"/>
        </w:rPr>
        <w:fldChar w:fldCharType="separate"/>
      </w:r>
      <w:r>
        <w:rPr>
          <w:rFonts w:hint="eastAsia" w:ascii="宋体" w:hAnsi="宋体" w:eastAsia="宋体" w:cs="宋体"/>
          <w:highlight w:val="none"/>
        </w:rPr>
        <w:t>74</w:t>
      </w:r>
      <w:r>
        <w:rPr>
          <w:rFonts w:hint="eastAsia" w:ascii="宋体" w:hAnsi="宋体" w:eastAsia="宋体" w:cs="宋体"/>
          <w:highlight w:val="none"/>
        </w:rPr>
        <w:fldChar w:fldCharType="end"/>
      </w:r>
      <w:r>
        <w:rPr>
          <w:rFonts w:hint="eastAsia" w:ascii="宋体" w:hAnsi="宋体" w:eastAsia="宋体" w:cs="宋体"/>
          <w:highlight w:val="none"/>
        </w:rPr>
        <w:fldChar w:fldCharType="end"/>
      </w:r>
    </w:p>
    <w:p>
      <w:pPr>
        <w:pStyle w:val="15"/>
        <w:tabs>
          <w:tab w:val="right" w:leader="dot" w:pos="9241"/>
        </w:tabs>
        <w:spacing w:before="0" w:after="0" w:line="360" w:lineRule="auto"/>
        <w:rPr>
          <w:rFonts w:ascii="宋体" w:hAnsi="宋体" w:eastAsia="宋体" w:cs="宋体"/>
          <w:highlight w:val="none"/>
        </w:rPr>
      </w:pPr>
      <w:r>
        <w:rPr>
          <w:rFonts w:hint="eastAsia" w:ascii="宋体" w:hAnsi="宋体" w:eastAsia="宋体" w:cs="宋体"/>
          <w:highlight w:val="none"/>
        </w:rPr>
        <w:fldChar w:fldCharType="end"/>
      </w:r>
    </w:p>
    <w:p>
      <w:pPr>
        <w:pStyle w:val="41"/>
        <w:spacing w:line="360" w:lineRule="auto"/>
        <w:rPr>
          <w:rFonts w:ascii="宋体" w:hAnsi="宋体" w:cs="宋体"/>
          <w:spacing w:val="14"/>
          <w:highlight w:val="none"/>
        </w:rPr>
      </w:pPr>
    </w:p>
    <w:p>
      <w:pPr>
        <w:pStyle w:val="42"/>
        <w:spacing w:line="360" w:lineRule="auto"/>
        <w:rPr>
          <w:rFonts w:ascii="宋体" w:hAnsi="宋体" w:cs="宋体"/>
          <w:spacing w:val="14"/>
          <w:sz w:val="24"/>
          <w:szCs w:val="24"/>
          <w:highlight w:val="none"/>
        </w:rPr>
      </w:pPr>
    </w:p>
    <w:p>
      <w:pPr>
        <w:pStyle w:val="42"/>
        <w:spacing w:line="360" w:lineRule="auto"/>
        <w:rPr>
          <w:rFonts w:ascii="宋体" w:hAnsi="宋体" w:cs="宋体"/>
          <w:spacing w:val="14"/>
          <w:sz w:val="24"/>
          <w:szCs w:val="24"/>
          <w:highlight w:val="none"/>
        </w:rPr>
      </w:pPr>
    </w:p>
    <w:p>
      <w:pPr>
        <w:pStyle w:val="42"/>
        <w:spacing w:line="360" w:lineRule="auto"/>
        <w:rPr>
          <w:rFonts w:ascii="宋体" w:hAnsi="宋体" w:cs="宋体"/>
          <w:spacing w:val="14"/>
          <w:sz w:val="24"/>
          <w:szCs w:val="24"/>
          <w:highlight w:val="none"/>
        </w:rPr>
      </w:pPr>
    </w:p>
    <w:p>
      <w:pPr>
        <w:pStyle w:val="42"/>
        <w:spacing w:line="360" w:lineRule="auto"/>
        <w:rPr>
          <w:rFonts w:ascii="宋体" w:hAnsi="宋体" w:cs="宋体"/>
          <w:spacing w:val="14"/>
          <w:sz w:val="24"/>
          <w:szCs w:val="24"/>
          <w:highlight w:val="none"/>
        </w:rPr>
      </w:pPr>
    </w:p>
    <w:p>
      <w:pPr>
        <w:pStyle w:val="42"/>
        <w:spacing w:line="360" w:lineRule="auto"/>
        <w:rPr>
          <w:rFonts w:ascii="宋体" w:hAnsi="宋体" w:cs="宋体"/>
          <w:spacing w:val="14"/>
          <w:sz w:val="24"/>
          <w:szCs w:val="24"/>
          <w:highlight w:val="none"/>
        </w:rPr>
      </w:pPr>
    </w:p>
    <w:p>
      <w:pPr>
        <w:pStyle w:val="42"/>
        <w:spacing w:line="360" w:lineRule="auto"/>
        <w:rPr>
          <w:rFonts w:ascii="宋体" w:hAnsi="宋体" w:cs="宋体"/>
          <w:spacing w:val="14"/>
          <w:sz w:val="24"/>
          <w:szCs w:val="24"/>
          <w:highlight w:val="none"/>
        </w:rPr>
      </w:pPr>
    </w:p>
    <w:p>
      <w:pPr>
        <w:pStyle w:val="42"/>
        <w:spacing w:line="360" w:lineRule="auto"/>
        <w:rPr>
          <w:rFonts w:ascii="宋体" w:hAnsi="宋体" w:cs="宋体"/>
          <w:spacing w:val="14"/>
          <w:sz w:val="24"/>
          <w:szCs w:val="24"/>
          <w:highlight w:val="none"/>
        </w:rPr>
      </w:pPr>
    </w:p>
    <w:p>
      <w:pPr>
        <w:pStyle w:val="42"/>
        <w:spacing w:line="360" w:lineRule="auto"/>
        <w:rPr>
          <w:rFonts w:ascii="宋体" w:hAnsi="宋体" w:cs="宋体"/>
          <w:spacing w:val="14"/>
          <w:sz w:val="24"/>
          <w:szCs w:val="24"/>
          <w:highlight w:val="none"/>
        </w:rPr>
      </w:pPr>
    </w:p>
    <w:p>
      <w:pPr>
        <w:pStyle w:val="42"/>
        <w:spacing w:line="360" w:lineRule="auto"/>
        <w:rPr>
          <w:rFonts w:ascii="宋体" w:hAnsi="宋体" w:cs="宋体"/>
          <w:spacing w:val="14"/>
          <w:sz w:val="24"/>
          <w:szCs w:val="24"/>
          <w:highlight w:val="none"/>
        </w:rPr>
      </w:pPr>
    </w:p>
    <w:p>
      <w:pPr>
        <w:pStyle w:val="42"/>
        <w:spacing w:line="360" w:lineRule="auto"/>
        <w:rPr>
          <w:rFonts w:ascii="宋体" w:hAnsi="宋体" w:cs="宋体"/>
          <w:spacing w:val="14"/>
          <w:sz w:val="24"/>
          <w:szCs w:val="24"/>
          <w:highlight w:val="none"/>
        </w:rPr>
      </w:pPr>
    </w:p>
    <w:p>
      <w:pPr>
        <w:pStyle w:val="42"/>
        <w:spacing w:line="360" w:lineRule="auto"/>
        <w:rPr>
          <w:rFonts w:ascii="宋体" w:hAnsi="宋体" w:cs="宋体"/>
          <w:spacing w:val="14"/>
          <w:sz w:val="24"/>
          <w:szCs w:val="24"/>
          <w:highlight w:val="none"/>
        </w:rPr>
      </w:pPr>
    </w:p>
    <w:p>
      <w:pPr>
        <w:pStyle w:val="42"/>
        <w:spacing w:line="360" w:lineRule="auto"/>
        <w:rPr>
          <w:rFonts w:ascii="宋体" w:hAnsi="宋体" w:cs="宋体"/>
          <w:spacing w:val="14"/>
          <w:sz w:val="24"/>
          <w:szCs w:val="24"/>
          <w:highlight w:val="none"/>
        </w:rPr>
      </w:pPr>
    </w:p>
    <w:p>
      <w:pPr>
        <w:pStyle w:val="42"/>
        <w:spacing w:line="360" w:lineRule="auto"/>
        <w:rPr>
          <w:rFonts w:ascii="宋体" w:hAnsi="宋体" w:cs="宋体"/>
          <w:spacing w:val="14"/>
          <w:sz w:val="24"/>
          <w:szCs w:val="24"/>
          <w:highlight w:val="none"/>
        </w:rPr>
      </w:pPr>
    </w:p>
    <w:p>
      <w:pPr>
        <w:pStyle w:val="42"/>
        <w:spacing w:line="360" w:lineRule="auto"/>
        <w:rPr>
          <w:rFonts w:ascii="宋体" w:hAnsi="宋体" w:cs="宋体"/>
          <w:spacing w:val="14"/>
          <w:sz w:val="24"/>
          <w:szCs w:val="24"/>
          <w:highlight w:val="none"/>
        </w:rPr>
      </w:pPr>
    </w:p>
    <w:p>
      <w:pPr>
        <w:pStyle w:val="42"/>
        <w:spacing w:line="360" w:lineRule="auto"/>
        <w:rPr>
          <w:rFonts w:ascii="宋体" w:hAnsi="宋体" w:cs="宋体"/>
          <w:spacing w:val="14"/>
          <w:sz w:val="24"/>
          <w:szCs w:val="24"/>
          <w:highlight w:val="none"/>
        </w:rPr>
      </w:pPr>
    </w:p>
    <w:p>
      <w:pPr>
        <w:pStyle w:val="42"/>
        <w:spacing w:line="360" w:lineRule="auto"/>
        <w:rPr>
          <w:rFonts w:ascii="宋体" w:hAnsi="宋体" w:cs="宋体"/>
          <w:spacing w:val="14"/>
          <w:sz w:val="24"/>
          <w:szCs w:val="24"/>
          <w:highlight w:val="none"/>
        </w:rPr>
      </w:pPr>
    </w:p>
    <w:p>
      <w:pPr>
        <w:pStyle w:val="42"/>
        <w:spacing w:line="360" w:lineRule="auto"/>
        <w:rPr>
          <w:rFonts w:ascii="宋体" w:hAnsi="宋体" w:cs="宋体"/>
          <w:spacing w:val="14"/>
          <w:sz w:val="24"/>
          <w:szCs w:val="24"/>
          <w:highlight w:val="none"/>
        </w:rPr>
      </w:pPr>
    </w:p>
    <w:p>
      <w:pPr>
        <w:pStyle w:val="42"/>
        <w:spacing w:line="360" w:lineRule="auto"/>
        <w:rPr>
          <w:rFonts w:ascii="宋体" w:hAnsi="宋体" w:cs="宋体"/>
          <w:spacing w:val="14"/>
          <w:sz w:val="24"/>
          <w:szCs w:val="24"/>
          <w:highlight w:val="none"/>
        </w:rPr>
      </w:pPr>
    </w:p>
    <w:p>
      <w:pPr>
        <w:pStyle w:val="42"/>
        <w:spacing w:line="360" w:lineRule="auto"/>
        <w:rPr>
          <w:rFonts w:ascii="宋体" w:hAnsi="宋体" w:cs="宋体"/>
          <w:spacing w:val="14"/>
          <w:sz w:val="24"/>
          <w:szCs w:val="24"/>
          <w:highlight w:val="none"/>
        </w:rPr>
      </w:pPr>
    </w:p>
    <w:p>
      <w:pPr>
        <w:pStyle w:val="42"/>
        <w:spacing w:line="360" w:lineRule="auto"/>
        <w:rPr>
          <w:rFonts w:ascii="宋体" w:hAnsi="宋体" w:cs="宋体"/>
          <w:spacing w:val="14"/>
          <w:sz w:val="24"/>
          <w:szCs w:val="24"/>
          <w:highlight w:val="none"/>
        </w:rPr>
      </w:pPr>
    </w:p>
    <w:p>
      <w:pPr>
        <w:pStyle w:val="42"/>
        <w:spacing w:line="360" w:lineRule="auto"/>
        <w:rPr>
          <w:rFonts w:ascii="宋体" w:hAnsi="宋体" w:cs="宋体"/>
          <w:spacing w:val="14"/>
          <w:sz w:val="24"/>
          <w:szCs w:val="24"/>
          <w:highlight w:val="none"/>
        </w:rPr>
      </w:pPr>
    </w:p>
    <w:p>
      <w:pPr>
        <w:pStyle w:val="43"/>
        <w:spacing w:before="0" w:after="0"/>
        <w:ind w:firstLine="0" w:firstLineChars="0"/>
        <w:jc w:val="both"/>
        <w:outlineLvl w:val="9"/>
        <w:rPr>
          <w:rFonts w:ascii="宋体" w:hAnsi="宋体" w:cs="宋体"/>
          <w:sz w:val="24"/>
          <w:szCs w:val="24"/>
          <w:highlight w:val="none"/>
        </w:rPr>
      </w:pPr>
      <w:bookmarkStart w:id="6" w:name="_Toc1660781"/>
      <w:bookmarkStart w:id="7" w:name="_Toc504741946"/>
    </w:p>
    <w:p>
      <w:pPr>
        <w:pStyle w:val="43"/>
        <w:spacing w:before="0" w:after="0"/>
        <w:ind w:firstLine="562"/>
        <w:rPr>
          <w:rFonts w:ascii="宋体" w:hAnsi="宋体" w:cs="宋体"/>
          <w:sz w:val="28"/>
          <w:szCs w:val="28"/>
          <w:highlight w:val="none"/>
        </w:rPr>
      </w:pPr>
      <w:bookmarkStart w:id="8" w:name="_Toc29698"/>
      <w:bookmarkStart w:id="9" w:name="_Toc256000004"/>
      <w:r>
        <w:rPr>
          <w:rFonts w:hint="eastAsia" w:ascii="宋体" w:hAnsi="宋体" w:cs="宋体"/>
          <w:sz w:val="28"/>
          <w:szCs w:val="28"/>
          <w:highlight w:val="none"/>
        </w:rPr>
        <w:t>第一章  招标公告</w:t>
      </w:r>
      <w:bookmarkEnd w:id="6"/>
      <w:bookmarkEnd w:id="7"/>
      <w:bookmarkEnd w:id="8"/>
      <w:bookmarkEnd w:id="9"/>
    </w:p>
    <w:p>
      <w:pPr>
        <w:pStyle w:val="44"/>
        <w:spacing w:before="0" w:beforeAutospacing="0" w:after="0" w:afterAutospacing="0" w:line="360" w:lineRule="auto"/>
        <w:ind w:firstLine="480"/>
        <w:jc w:val="both"/>
        <w:rPr>
          <w:rFonts w:cs="宋体"/>
          <w:sz w:val="24"/>
          <w:szCs w:val="24"/>
          <w:highlight w:val="none"/>
        </w:rPr>
      </w:pPr>
      <w:r>
        <w:rPr>
          <w:rFonts w:hint="eastAsia" w:cs="宋体"/>
          <w:sz w:val="24"/>
          <w:szCs w:val="24"/>
          <w:highlight w:val="none"/>
        </w:rPr>
        <w:t>项目概况：</w:t>
      </w:r>
    </w:p>
    <w:p>
      <w:pPr>
        <w:pStyle w:val="44"/>
        <w:spacing w:before="0" w:beforeAutospacing="0" w:after="0" w:afterAutospacing="0" w:line="360" w:lineRule="auto"/>
        <w:ind w:firstLine="480"/>
        <w:jc w:val="both"/>
        <w:rPr>
          <w:rFonts w:cs="宋体"/>
          <w:sz w:val="24"/>
          <w:szCs w:val="24"/>
          <w:highlight w:val="none"/>
        </w:rPr>
      </w:pPr>
      <w:r>
        <w:rPr>
          <w:rFonts w:hint="eastAsia" w:cs="宋体"/>
          <w:sz w:val="24"/>
          <w:szCs w:val="24"/>
          <w:highlight w:val="none"/>
        </w:rPr>
        <w:t>河南科技大学第二附属医院介入手术医疗设备采购项目（第一批）招标项目的潜在投标人应在洛阳市公共资源交易中心网站（</w:t>
      </w:r>
      <w:r>
        <w:rPr>
          <w:rFonts w:hint="eastAsia" w:cs="宋体"/>
          <w:sz w:val="24"/>
          <w:szCs w:val="24"/>
          <w:highlight w:val="none"/>
          <w:lang w:eastAsia="zh-CN"/>
        </w:rPr>
        <w:t>http://111.7.67.183/</w:t>
      </w:r>
      <w:r>
        <w:rPr>
          <w:rFonts w:hint="eastAsia" w:cs="宋体"/>
          <w:sz w:val="24"/>
          <w:szCs w:val="24"/>
          <w:highlight w:val="none"/>
        </w:rPr>
        <w:t>）获取招标文件，并于</w:t>
      </w:r>
      <w:r>
        <w:rPr>
          <w:rFonts w:hint="eastAsia" w:cs="宋体"/>
          <w:sz w:val="24"/>
          <w:szCs w:val="24"/>
          <w:highlight w:val="none"/>
          <w:lang w:val="en-US" w:eastAsia="zh-CN"/>
        </w:rPr>
        <w:t>2024年1月4日9</w:t>
      </w:r>
      <w:r>
        <w:rPr>
          <w:rFonts w:hint="eastAsia" w:cs="宋体"/>
          <w:sz w:val="24"/>
          <w:szCs w:val="24"/>
          <w:highlight w:val="none"/>
        </w:rPr>
        <w:t>时</w:t>
      </w:r>
      <w:r>
        <w:rPr>
          <w:rFonts w:hint="eastAsia" w:cs="宋体"/>
          <w:sz w:val="24"/>
          <w:szCs w:val="24"/>
          <w:highlight w:val="none"/>
          <w:lang w:val="en-US" w:eastAsia="zh-CN"/>
        </w:rPr>
        <w:t>05</w:t>
      </w:r>
      <w:r>
        <w:rPr>
          <w:rFonts w:hint="eastAsia" w:cs="宋体"/>
          <w:sz w:val="24"/>
          <w:szCs w:val="24"/>
          <w:highlight w:val="none"/>
        </w:rPr>
        <w:t>分（北京时间）前递交投标文件。</w:t>
      </w:r>
    </w:p>
    <w:p>
      <w:pPr>
        <w:pStyle w:val="44"/>
        <w:spacing w:before="0" w:beforeAutospacing="0" w:after="0" w:afterAutospacing="0" w:line="360" w:lineRule="auto"/>
        <w:ind w:firstLine="482"/>
        <w:jc w:val="both"/>
        <w:rPr>
          <w:rFonts w:cs="宋体"/>
          <w:sz w:val="24"/>
          <w:szCs w:val="24"/>
          <w:highlight w:val="none"/>
        </w:rPr>
      </w:pPr>
      <w:r>
        <w:rPr>
          <w:rFonts w:hint="eastAsia" w:cs="宋体"/>
          <w:b/>
          <w:sz w:val="24"/>
          <w:szCs w:val="24"/>
          <w:highlight w:val="none"/>
        </w:rPr>
        <w:t>一、项目基本情况</w:t>
      </w:r>
    </w:p>
    <w:p>
      <w:pPr>
        <w:pStyle w:val="44"/>
        <w:spacing w:before="0" w:beforeAutospacing="0" w:after="0" w:afterAutospacing="0" w:line="360" w:lineRule="auto"/>
        <w:ind w:firstLine="480"/>
        <w:jc w:val="both"/>
        <w:rPr>
          <w:rFonts w:cs="宋体"/>
          <w:sz w:val="24"/>
          <w:szCs w:val="24"/>
          <w:highlight w:val="none"/>
        </w:rPr>
      </w:pPr>
      <w:r>
        <w:rPr>
          <w:rFonts w:hint="eastAsia" w:cs="宋体"/>
          <w:sz w:val="24"/>
          <w:szCs w:val="24"/>
          <w:highlight w:val="none"/>
        </w:rPr>
        <w:t>1、项目编号：洛采公开-2023-253</w:t>
      </w:r>
    </w:p>
    <w:p>
      <w:pPr>
        <w:pStyle w:val="44"/>
        <w:spacing w:before="0" w:beforeAutospacing="0" w:after="0" w:afterAutospacing="0" w:line="360" w:lineRule="auto"/>
        <w:ind w:firstLine="480"/>
        <w:jc w:val="both"/>
        <w:rPr>
          <w:rFonts w:cs="宋体"/>
          <w:sz w:val="24"/>
          <w:szCs w:val="24"/>
          <w:highlight w:val="none"/>
        </w:rPr>
      </w:pPr>
      <w:r>
        <w:rPr>
          <w:rFonts w:hint="eastAsia" w:cs="宋体"/>
          <w:sz w:val="24"/>
          <w:szCs w:val="24"/>
          <w:highlight w:val="none"/>
        </w:rPr>
        <w:t>2、项目名称：河南科技大学第二附属医院介入手术医疗设备采购项目（第一批）</w:t>
      </w:r>
    </w:p>
    <w:p>
      <w:pPr>
        <w:pStyle w:val="44"/>
        <w:spacing w:before="0" w:beforeAutospacing="0" w:after="0" w:afterAutospacing="0" w:line="360" w:lineRule="auto"/>
        <w:ind w:firstLine="480"/>
        <w:jc w:val="both"/>
        <w:rPr>
          <w:rFonts w:cs="宋体"/>
          <w:sz w:val="24"/>
          <w:szCs w:val="24"/>
          <w:highlight w:val="none"/>
        </w:rPr>
      </w:pPr>
      <w:r>
        <w:rPr>
          <w:rFonts w:hint="eastAsia" w:cs="宋体"/>
          <w:sz w:val="24"/>
          <w:szCs w:val="24"/>
          <w:highlight w:val="none"/>
        </w:rPr>
        <w:t>3、采购方式：公开招标</w:t>
      </w:r>
    </w:p>
    <w:p>
      <w:pPr>
        <w:pStyle w:val="44"/>
        <w:spacing w:before="0" w:beforeAutospacing="0" w:after="0" w:afterAutospacing="0" w:line="360" w:lineRule="auto"/>
        <w:ind w:firstLine="480"/>
        <w:jc w:val="both"/>
        <w:rPr>
          <w:rFonts w:cs="宋体"/>
          <w:sz w:val="24"/>
          <w:szCs w:val="24"/>
          <w:highlight w:val="none"/>
        </w:rPr>
      </w:pPr>
      <w:r>
        <w:rPr>
          <w:rFonts w:hint="eastAsia" w:cs="宋体"/>
          <w:sz w:val="24"/>
          <w:szCs w:val="24"/>
          <w:highlight w:val="none"/>
        </w:rPr>
        <w:t>4、预算金额：1000000.00元</w:t>
      </w:r>
    </w:p>
    <w:p>
      <w:pPr>
        <w:pStyle w:val="44"/>
        <w:spacing w:before="0" w:beforeAutospacing="0" w:after="0" w:afterAutospacing="0" w:line="360" w:lineRule="auto"/>
        <w:ind w:firstLine="480"/>
        <w:jc w:val="both"/>
        <w:rPr>
          <w:rFonts w:cs="宋体"/>
          <w:sz w:val="24"/>
          <w:szCs w:val="24"/>
          <w:highlight w:val="none"/>
        </w:rPr>
      </w:pPr>
      <w:r>
        <w:rPr>
          <w:rFonts w:hint="eastAsia" w:cs="宋体"/>
          <w:sz w:val="24"/>
          <w:szCs w:val="24"/>
          <w:highlight w:val="none"/>
        </w:rPr>
        <w:t>最高限价：1000000.00元</w:t>
      </w:r>
    </w:p>
    <w:tbl>
      <w:tblPr>
        <w:tblStyle w:val="19"/>
        <w:tblW w:w="9058" w:type="dxa"/>
        <w:jc w:val="center"/>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Layout w:type="fixed"/>
        <w:tblCellMar>
          <w:top w:w="15" w:type="dxa"/>
          <w:left w:w="15" w:type="dxa"/>
          <w:bottom w:w="15" w:type="dxa"/>
          <w:right w:w="15" w:type="dxa"/>
        </w:tblCellMar>
      </w:tblPr>
      <w:tblGrid>
        <w:gridCol w:w="906"/>
        <w:gridCol w:w="1179"/>
        <w:gridCol w:w="3665"/>
        <w:gridCol w:w="1674"/>
        <w:gridCol w:w="1634"/>
      </w:tblGrid>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CellMar>
            <w:top w:w="15" w:type="dxa"/>
            <w:left w:w="15" w:type="dxa"/>
            <w:bottom w:w="15" w:type="dxa"/>
            <w:right w:w="15" w:type="dxa"/>
          </w:tblCellMar>
        </w:tblPrEx>
        <w:trPr>
          <w:trHeight w:val="1071" w:hRule="atLeast"/>
          <w:jc w:val="center"/>
        </w:trPr>
        <w:tc>
          <w:tcPr>
            <w:tcW w:w="906"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44"/>
              <w:spacing w:before="0" w:beforeAutospacing="0" w:after="0" w:afterAutospacing="0" w:line="360" w:lineRule="auto"/>
              <w:ind w:firstLine="0" w:firstLineChars="0"/>
              <w:jc w:val="center"/>
              <w:rPr>
                <w:rFonts w:cs="宋体"/>
                <w:sz w:val="24"/>
                <w:szCs w:val="24"/>
                <w:highlight w:val="none"/>
              </w:rPr>
            </w:pPr>
            <w:r>
              <w:rPr>
                <w:rFonts w:hint="eastAsia" w:cs="宋体"/>
                <w:sz w:val="24"/>
                <w:szCs w:val="24"/>
                <w:highlight w:val="none"/>
              </w:rPr>
              <w:t>序号</w:t>
            </w:r>
          </w:p>
        </w:tc>
        <w:tc>
          <w:tcPr>
            <w:tcW w:w="1179"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44"/>
              <w:spacing w:before="0" w:beforeAutospacing="0" w:after="0" w:afterAutospacing="0" w:line="360" w:lineRule="auto"/>
              <w:ind w:firstLine="0" w:firstLineChars="0"/>
              <w:jc w:val="center"/>
              <w:rPr>
                <w:rFonts w:cs="宋体"/>
                <w:sz w:val="24"/>
                <w:szCs w:val="24"/>
                <w:highlight w:val="none"/>
              </w:rPr>
            </w:pPr>
            <w:r>
              <w:rPr>
                <w:rFonts w:hint="eastAsia" w:cs="宋体"/>
                <w:sz w:val="24"/>
                <w:szCs w:val="24"/>
                <w:highlight w:val="none"/>
              </w:rPr>
              <w:t>包号</w:t>
            </w:r>
          </w:p>
        </w:tc>
        <w:tc>
          <w:tcPr>
            <w:tcW w:w="3665"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44"/>
              <w:spacing w:before="0" w:beforeAutospacing="0" w:after="0" w:afterAutospacing="0" w:line="360" w:lineRule="auto"/>
              <w:ind w:firstLine="0" w:firstLineChars="0"/>
              <w:jc w:val="center"/>
              <w:rPr>
                <w:rFonts w:cs="宋体"/>
                <w:sz w:val="24"/>
                <w:szCs w:val="24"/>
                <w:highlight w:val="none"/>
              </w:rPr>
            </w:pPr>
            <w:r>
              <w:rPr>
                <w:rFonts w:hint="eastAsia" w:cs="宋体"/>
                <w:sz w:val="24"/>
                <w:szCs w:val="24"/>
                <w:highlight w:val="none"/>
              </w:rPr>
              <w:t>包名称</w:t>
            </w:r>
          </w:p>
        </w:tc>
        <w:tc>
          <w:tcPr>
            <w:tcW w:w="1674"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44"/>
              <w:spacing w:before="0" w:beforeAutospacing="0" w:after="0" w:afterAutospacing="0" w:line="360" w:lineRule="auto"/>
              <w:ind w:firstLine="0" w:firstLineChars="0"/>
              <w:jc w:val="center"/>
              <w:rPr>
                <w:rFonts w:cs="宋体"/>
                <w:sz w:val="24"/>
                <w:szCs w:val="24"/>
                <w:highlight w:val="none"/>
              </w:rPr>
            </w:pPr>
            <w:r>
              <w:rPr>
                <w:rFonts w:hint="eastAsia" w:cs="宋体"/>
                <w:sz w:val="24"/>
                <w:szCs w:val="24"/>
                <w:highlight w:val="none"/>
              </w:rPr>
              <w:t>包预算（元）</w:t>
            </w:r>
          </w:p>
        </w:tc>
        <w:tc>
          <w:tcPr>
            <w:tcW w:w="1634"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44"/>
              <w:spacing w:before="0" w:beforeAutospacing="0" w:after="0" w:afterAutospacing="0" w:line="360" w:lineRule="auto"/>
              <w:ind w:firstLine="0" w:firstLineChars="0"/>
              <w:jc w:val="center"/>
              <w:rPr>
                <w:rFonts w:cs="宋体"/>
                <w:sz w:val="24"/>
                <w:szCs w:val="24"/>
                <w:highlight w:val="none"/>
              </w:rPr>
            </w:pPr>
            <w:r>
              <w:rPr>
                <w:rFonts w:hint="eastAsia" w:cs="宋体"/>
                <w:sz w:val="24"/>
                <w:szCs w:val="24"/>
                <w:highlight w:val="none"/>
              </w:rPr>
              <w:t>包最高限价（元）</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15" w:type="dxa"/>
            <w:left w:w="15" w:type="dxa"/>
            <w:bottom w:w="15" w:type="dxa"/>
            <w:right w:w="15" w:type="dxa"/>
          </w:tblCellMar>
        </w:tblPrEx>
        <w:trPr>
          <w:trHeight w:val="1100" w:hRule="atLeast"/>
          <w:jc w:val="center"/>
        </w:trPr>
        <w:tc>
          <w:tcPr>
            <w:tcW w:w="906"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44"/>
              <w:spacing w:before="0" w:beforeAutospacing="0" w:after="0" w:afterAutospacing="0" w:line="360" w:lineRule="auto"/>
              <w:ind w:firstLine="0" w:firstLineChars="0"/>
              <w:jc w:val="center"/>
              <w:rPr>
                <w:rFonts w:cs="宋体"/>
                <w:sz w:val="24"/>
                <w:szCs w:val="24"/>
                <w:highlight w:val="none"/>
              </w:rPr>
            </w:pPr>
            <w:r>
              <w:rPr>
                <w:rFonts w:hint="eastAsia" w:cs="宋体"/>
                <w:sz w:val="24"/>
                <w:szCs w:val="24"/>
                <w:highlight w:val="none"/>
              </w:rPr>
              <w:t>1</w:t>
            </w:r>
          </w:p>
        </w:tc>
        <w:tc>
          <w:tcPr>
            <w:tcW w:w="1179"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44"/>
              <w:spacing w:before="0" w:beforeAutospacing="0" w:after="0" w:afterAutospacing="0" w:line="360" w:lineRule="auto"/>
              <w:ind w:firstLine="0" w:firstLineChars="0"/>
              <w:jc w:val="center"/>
              <w:rPr>
                <w:rFonts w:cs="宋体"/>
                <w:sz w:val="24"/>
                <w:szCs w:val="24"/>
                <w:highlight w:val="none"/>
              </w:rPr>
            </w:pPr>
            <w:r>
              <w:rPr>
                <w:rFonts w:cs="宋体"/>
                <w:sz w:val="24"/>
                <w:szCs w:val="24"/>
                <w:highlight w:val="none"/>
              </w:rPr>
              <w:t>洛直政采招标(2023)0758号</w:t>
            </w:r>
          </w:p>
        </w:tc>
        <w:tc>
          <w:tcPr>
            <w:tcW w:w="3665"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44"/>
              <w:spacing w:before="0" w:beforeAutospacing="0" w:after="0" w:afterAutospacing="0" w:line="360" w:lineRule="auto"/>
              <w:ind w:firstLine="0" w:firstLineChars="0"/>
              <w:jc w:val="center"/>
              <w:rPr>
                <w:rFonts w:cs="宋体"/>
                <w:sz w:val="24"/>
                <w:szCs w:val="24"/>
                <w:highlight w:val="none"/>
              </w:rPr>
            </w:pPr>
            <w:r>
              <w:rPr>
                <w:rFonts w:hint="eastAsia" w:cs="宋体"/>
                <w:sz w:val="24"/>
                <w:szCs w:val="24"/>
                <w:highlight w:val="none"/>
              </w:rPr>
              <w:t>血管内超声(IVUS)设备</w:t>
            </w:r>
          </w:p>
        </w:tc>
        <w:tc>
          <w:tcPr>
            <w:tcW w:w="1674"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44"/>
              <w:spacing w:before="0" w:beforeAutospacing="0" w:after="0" w:afterAutospacing="0" w:line="360" w:lineRule="auto"/>
              <w:ind w:firstLine="0" w:firstLineChars="0"/>
              <w:jc w:val="center"/>
              <w:rPr>
                <w:rFonts w:cs="宋体"/>
                <w:sz w:val="24"/>
                <w:szCs w:val="24"/>
                <w:highlight w:val="none"/>
              </w:rPr>
            </w:pPr>
            <w:r>
              <w:rPr>
                <w:rFonts w:hint="eastAsia" w:cs="宋体"/>
                <w:sz w:val="24"/>
                <w:szCs w:val="24"/>
                <w:highlight w:val="none"/>
              </w:rPr>
              <w:t>1000000.00</w:t>
            </w:r>
          </w:p>
        </w:tc>
        <w:tc>
          <w:tcPr>
            <w:tcW w:w="1634"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44"/>
              <w:spacing w:before="0" w:beforeAutospacing="0" w:after="0" w:afterAutospacing="0" w:line="360" w:lineRule="auto"/>
              <w:ind w:firstLine="0" w:firstLineChars="0"/>
              <w:jc w:val="center"/>
              <w:rPr>
                <w:rFonts w:cs="宋体"/>
                <w:sz w:val="24"/>
                <w:szCs w:val="24"/>
                <w:highlight w:val="none"/>
              </w:rPr>
            </w:pPr>
            <w:r>
              <w:rPr>
                <w:rFonts w:hint="eastAsia" w:cs="宋体"/>
                <w:sz w:val="24"/>
                <w:szCs w:val="24"/>
                <w:highlight w:val="none"/>
              </w:rPr>
              <w:t>1000000.00</w:t>
            </w:r>
          </w:p>
        </w:tc>
      </w:tr>
    </w:tbl>
    <w:p>
      <w:pPr>
        <w:pStyle w:val="44"/>
        <w:spacing w:before="0" w:beforeAutospacing="0" w:after="0" w:afterAutospacing="0" w:line="360" w:lineRule="auto"/>
        <w:ind w:firstLine="480"/>
        <w:jc w:val="both"/>
        <w:rPr>
          <w:rFonts w:cs="宋体"/>
          <w:sz w:val="24"/>
          <w:szCs w:val="24"/>
          <w:highlight w:val="none"/>
        </w:rPr>
      </w:pPr>
      <w:r>
        <w:rPr>
          <w:rFonts w:hint="eastAsia" w:cs="宋体"/>
          <w:sz w:val="24"/>
          <w:szCs w:val="24"/>
          <w:highlight w:val="none"/>
        </w:rPr>
        <w:t>5、采购需求：</w:t>
      </w:r>
    </w:p>
    <w:p>
      <w:pPr>
        <w:pStyle w:val="44"/>
        <w:spacing w:before="0" w:beforeAutospacing="0" w:after="0" w:afterAutospacing="0" w:line="360" w:lineRule="auto"/>
        <w:ind w:firstLine="480"/>
        <w:jc w:val="both"/>
        <w:rPr>
          <w:rFonts w:cs="宋体"/>
          <w:sz w:val="24"/>
          <w:szCs w:val="24"/>
          <w:highlight w:val="none"/>
        </w:rPr>
      </w:pPr>
      <w:r>
        <w:rPr>
          <w:rFonts w:hint="eastAsia" w:cs="宋体"/>
          <w:sz w:val="24"/>
          <w:szCs w:val="24"/>
          <w:highlight w:val="none"/>
        </w:rPr>
        <w:t>（1）采购标的的名称、数量、简要技术需求：本次拟采购血管内超声(IVUS)设备1</w:t>
      </w:r>
      <w:r>
        <w:rPr>
          <w:rFonts w:hint="eastAsia" w:cs="宋体"/>
          <w:sz w:val="24"/>
          <w:szCs w:val="24"/>
          <w:highlight w:val="none"/>
          <w:lang w:val="en-US" w:eastAsia="zh-CN"/>
        </w:rPr>
        <w:t>套</w:t>
      </w:r>
      <w:r>
        <w:rPr>
          <w:rFonts w:hint="eastAsia" w:cs="宋体"/>
          <w:sz w:val="24"/>
          <w:szCs w:val="24"/>
          <w:highlight w:val="none"/>
        </w:rPr>
        <w:t>（具体参数及内容详见招标文件）；</w:t>
      </w:r>
    </w:p>
    <w:p>
      <w:pPr>
        <w:pStyle w:val="44"/>
        <w:spacing w:before="0" w:beforeAutospacing="0" w:after="0" w:afterAutospacing="0" w:line="360" w:lineRule="auto"/>
        <w:ind w:firstLine="480"/>
        <w:jc w:val="both"/>
        <w:rPr>
          <w:rFonts w:cs="宋体"/>
          <w:sz w:val="24"/>
          <w:szCs w:val="24"/>
          <w:highlight w:val="none"/>
        </w:rPr>
      </w:pPr>
      <w:r>
        <w:rPr>
          <w:rFonts w:hint="eastAsia" w:cs="宋体"/>
          <w:sz w:val="24"/>
          <w:szCs w:val="24"/>
          <w:highlight w:val="none"/>
        </w:rPr>
        <w:t>（2）采购范围：包含设备的供货、运输、保险、装卸、安装、检测、调试、试运行、验收交付、培训、技术支持、软件升级、售后保修及相关伴随服务等；</w:t>
      </w:r>
    </w:p>
    <w:p>
      <w:pPr>
        <w:pStyle w:val="44"/>
        <w:spacing w:before="0" w:beforeAutospacing="0" w:after="0" w:afterAutospacing="0" w:line="360" w:lineRule="auto"/>
        <w:ind w:firstLine="480"/>
        <w:jc w:val="both"/>
        <w:rPr>
          <w:rFonts w:cs="宋体"/>
          <w:sz w:val="24"/>
          <w:szCs w:val="24"/>
          <w:highlight w:val="none"/>
        </w:rPr>
      </w:pPr>
      <w:r>
        <w:rPr>
          <w:rFonts w:hint="eastAsia" w:cs="宋体"/>
          <w:sz w:val="24"/>
          <w:szCs w:val="24"/>
          <w:highlight w:val="none"/>
        </w:rPr>
        <w:t>（3）交货期：自合同签订之日起45日内完成供货、安装、调试完毕至正常使用；</w:t>
      </w:r>
    </w:p>
    <w:p>
      <w:pPr>
        <w:pStyle w:val="44"/>
        <w:spacing w:before="0" w:beforeAutospacing="0" w:after="0" w:afterAutospacing="0" w:line="360" w:lineRule="auto"/>
        <w:ind w:firstLine="480"/>
        <w:jc w:val="both"/>
        <w:rPr>
          <w:rFonts w:cs="宋体"/>
          <w:sz w:val="24"/>
          <w:szCs w:val="24"/>
          <w:highlight w:val="none"/>
        </w:rPr>
      </w:pPr>
      <w:r>
        <w:rPr>
          <w:rFonts w:hint="eastAsia" w:cs="宋体"/>
          <w:sz w:val="24"/>
          <w:szCs w:val="24"/>
          <w:highlight w:val="none"/>
        </w:rPr>
        <w:t>（4）交货地点：采购人指定地点；</w:t>
      </w:r>
    </w:p>
    <w:p>
      <w:pPr>
        <w:pStyle w:val="44"/>
        <w:spacing w:before="0" w:beforeAutospacing="0" w:after="0" w:afterAutospacing="0" w:line="360" w:lineRule="auto"/>
        <w:ind w:firstLine="480"/>
        <w:jc w:val="both"/>
        <w:rPr>
          <w:rFonts w:cs="宋体"/>
          <w:sz w:val="24"/>
          <w:szCs w:val="24"/>
          <w:highlight w:val="none"/>
        </w:rPr>
      </w:pPr>
      <w:r>
        <w:rPr>
          <w:rFonts w:hint="eastAsia" w:cs="宋体"/>
          <w:sz w:val="24"/>
          <w:szCs w:val="24"/>
          <w:highlight w:val="none"/>
        </w:rPr>
        <w:t>（5）质量要求：符合国家相关合格标准；</w:t>
      </w:r>
    </w:p>
    <w:p>
      <w:pPr>
        <w:pStyle w:val="44"/>
        <w:spacing w:before="0" w:beforeAutospacing="0" w:after="0" w:afterAutospacing="0" w:line="360" w:lineRule="auto"/>
        <w:ind w:firstLine="480"/>
        <w:jc w:val="both"/>
        <w:rPr>
          <w:rFonts w:cs="宋体"/>
          <w:sz w:val="24"/>
          <w:szCs w:val="24"/>
          <w:highlight w:val="none"/>
        </w:rPr>
      </w:pPr>
      <w:r>
        <w:rPr>
          <w:rFonts w:hint="eastAsia" w:cs="宋体"/>
          <w:sz w:val="24"/>
          <w:szCs w:val="24"/>
          <w:highlight w:val="none"/>
        </w:rPr>
        <w:t>（6）验收标准：满足国家、行业及采购人验收标准；</w:t>
      </w:r>
    </w:p>
    <w:p>
      <w:pPr>
        <w:pStyle w:val="44"/>
        <w:spacing w:before="0" w:beforeAutospacing="0" w:after="0" w:afterAutospacing="0" w:line="360" w:lineRule="auto"/>
        <w:ind w:firstLine="480"/>
        <w:jc w:val="both"/>
        <w:rPr>
          <w:rFonts w:cs="宋体"/>
          <w:sz w:val="24"/>
          <w:szCs w:val="24"/>
          <w:highlight w:val="none"/>
        </w:rPr>
      </w:pPr>
      <w:r>
        <w:rPr>
          <w:rFonts w:hint="eastAsia" w:cs="宋体"/>
          <w:sz w:val="24"/>
          <w:szCs w:val="24"/>
          <w:highlight w:val="none"/>
        </w:rPr>
        <w:t>（7）本项目共划分为 1 个包。</w:t>
      </w:r>
    </w:p>
    <w:p>
      <w:pPr>
        <w:pStyle w:val="44"/>
        <w:spacing w:before="0" w:beforeAutospacing="0" w:after="0" w:afterAutospacing="0" w:line="360" w:lineRule="auto"/>
        <w:ind w:firstLine="480"/>
        <w:jc w:val="both"/>
        <w:rPr>
          <w:rFonts w:cs="宋体"/>
          <w:sz w:val="24"/>
          <w:szCs w:val="24"/>
          <w:highlight w:val="none"/>
        </w:rPr>
      </w:pPr>
      <w:r>
        <w:rPr>
          <w:rFonts w:hint="eastAsia" w:cs="宋体"/>
          <w:sz w:val="24"/>
          <w:szCs w:val="24"/>
          <w:highlight w:val="none"/>
        </w:rPr>
        <w:t>6、合同履行期限：合同签订之日至质保期结束。</w:t>
      </w:r>
    </w:p>
    <w:p>
      <w:pPr>
        <w:pStyle w:val="44"/>
        <w:spacing w:before="0" w:beforeAutospacing="0" w:after="0" w:afterAutospacing="0" w:line="360" w:lineRule="auto"/>
        <w:ind w:firstLine="480"/>
        <w:jc w:val="both"/>
        <w:rPr>
          <w:rFonts w:cs="宋体"/>
          <w:sz w:val="24"/>
          <w:szCs w:val="24"/>
          <w:highlight w:val="none"/>
        </w:rPr>
      </w:pPr>
      <w:r>
        <w:rPr>
          <w:rFonts w:hint="eastAsia" w:cs="宋体"/>
          <w:sz w:val="24"/>
          <w:szCs w:val="24"/>
          <w:highlight w:val="none"/>
        </w:rPr>
        <w:t>7、本项目是否接受联合体投标：否</w:t>
      </w:r>
    </w:p>
    <w:p>
      <w:pPr>
        <w:pStyle w:val="44"/>
        <w:spacing w:before="0" w:beforeAutospacing="0" w:after="0" w:afterAutospacing="0" w:line="360" w:lineRule="auto"/>
        <w:ind w:firstLine="480"/>
        <w:jc w:val="both"/>
        <w:rPr>
          <w:rFonts w:cs="宋体"/>
          <w:sz w:val="24"/>
          <w:szCs w:val="24"/>
          <w:highlight w:val="none"/>
        </w:rPr>
      </w:pPr>
      <w:r>
        <w:rPr>
          <w:rFonts w:hint="eastAsia" w:cs="宋体"/>
          <w:sz w:val="24"/>
          <w:szCs w:val="24"/>
          <w:highlight w:val="none"/>
        </w:rPr>
        <w:t>8、是否接受进口产品：是</w:t>
      </w:r>
    </w:p>
    <w:p>
      <w:pPr>
        <w:pStyle w:val="44"/>
        <w:spacing w:before="0" w:beforeAutospacing="0" w:after="0" w:afterAutospacing="0" w:line="360" w:lineRule="auto"/>
        <w:ind w:firstLine="480"/>
        <w:jc w:val="both"/>
        <w:rPr>
          <w:rFonts w:cs="宋体"/>
          <w:sz w:val="24"/>
          <w:szCs w:val="24"/>
          <w:highlight w:val="none"/>
        </w:rPr>
      </w:pPr>
      <w:r>
        <w:rPr>
          <w:rFonts w:hint="eastAsia" w:cs="宋体"/>
          <w:sz w:val="24"/>
          <w:szCs w:val="24"/>
          <w:highlight w:val="none"/>
        </w:rPr>
        <w:t>9、是否专门面向中小企业：否。</w:t>
      </w:r>
    </w:p>
    <w:p>
      <w:pPr>
        <w:pStyle w:val="44"/>
        <w:spacing w:before="0" w:beforeAutospacing="0" w:after="0" w:afterAutospacing="0" w:line="360" w:lineRule="auto"/>
        <w:ind w:firstLine="482"/>
        <w:jc w:val="both"/>
        <w:rPr>
          <w:rFonts w:cs="宋体"/>
          <w:sz w:val="24"/>
          <w:szCs w:val="24"/>
          <w:highlight w:val="none"/>
        </w:rPr>
      </w:pPr>
      <w:r>
        <w:rPr>
          <w:rFonts w:hint="eastAsia" w:cs="宋体"/>
          <w:b/>
          <w:sz w:val="24"/>
          <w:szCs w:val="24"/>
          <w:highlight w:val="none"/>
        </w:rPr>
        <w:t>二、申请人资格要求</w:t>
      </w:r>
    </w:p>
    <w:p>
      <w:pPr>
        <w:pStyle w:val="44"/>
        <w:spacing w:before="0" w:beforeAutospacing="0" w:after="0" w:afterAutospacing="0" w:line="360" w:lineRule="auto"/>
        <w:ind w:firstLine="480"/>
        <w:jc w:val="both"/>
        <w:rPr>
          <w:rFonts w:cs="宋体"/>
          <w:sz w:val="24"/>
          <w:szCs w:val="24"/>
          <w:highlight w:val="none"/>
        </w:rPr>
      </w:pPr>
      <w:r>
        <w:rPr>
          <w:rFonts w:hint="eastAsia" w:cs="宋体"/>
          <w:sz w:val="24"/>
          <w:szCs w:val="24"/>
          <w:highlight w:val="none"/>
        </w:rPr>
        <w:t>1、满足《中华人民共和国政府采购法》第二十二条规定；</w:t>
      </w:r>
    </w:p>
    <w:p>
      <w:pPr>
        <w:pStyle w:val="44"/>
        <w:spacing w:before="0" w:beforeAutospacing="0" w:after="0" w:afterAutospacing="0" w:line="360" w:lineRule="auto"/>
        <w:ind w:firstLine="480"/>
        <w:jc w:val="both"/>
        <w:rPr>
          <w:rFonts w:hint="eastAsia" w:eastAsia="宋体" w:cs="宋体"/>
          <w:sz w:val="24"/>
          <w:szCs w:val="24"/>
          <w:highlight w:val="none"/>
          <w:lang w:val="en-US" w:eastAsia="zh-CN"/>
        </w:rPr>
      </w:pPr>
      <w:r>
        <w:rPr>
          <w:rFonts w:hint="eastAsia" w:cs="宋体"/>
          <w:sz w:val="24"/>
          <w:szCs w:val="24"/>
          <w:highlight w:val="none"/>
        </w:rPr>
        <w:t>2、落实政府采购政策满足的资格要求：</w:t>
      </w:r>
      <w:r>
        <w:rPr>
          <w:rFonts w:hint="eastAsia" w:cs="宋体"/>
          <w:sz w:val="24"/>
          <w:szCs w:val="24"/>
          <w:highlight w:val="none"/>
          <w:lang w:val="en-US" w:eastAsia="zh-CN"/>
        </w:rPr>
        <w:t>/</w:t>
      </w:r>
    </w:p>
    <w:p>
      <w:pPr>
        <w:pStyle w:val="44"/>
        <w:spacing w:before="0" w:beforeAutospacing="0" w:after="0" w:afterAutospacing="0" w:line="360" w:lineRule="auto"/>
        <w:ind w:firstLine="480"/>
        <w:jc w:val="both"/>
        <w:rPr>
          <w:rFonts w:cs="宋体"/>
          <w:sz w:val="24"/>
          <w:szCs w:val="24"/>
          <w:highlight w:val="none"/>
        </w:rPr>
      </w:pPr>
      <w:r>
        <w:rPr>
          <w:rFonts w:hint="eastAsia" w:cs="宋体"/>
          <w:sz w:val="24"/>
          <w:szCs w:val="24"/>
          <w:highlight w:val="none"/>
        </w:rPr>
        <w:t>3、本项目的特定资格要求：</w:t>
      </w:r>
    </w:p>
    <w:p>
      <w:pPr>
        <w:pStyle w:val="44"/>
        <w:spacing w:before="0" w:beforeAutospacing="0" w:after="0" w:afterAutospacing="0" w:line="360" w:lineRule="auto"/>
        <w:ind w:firstLine="480"/>
        <w:jc w:val="both"/>
        <w:rPr>
          <w:rFonts w:cs="宋体"/>
          <w:sz w:val="24"/>
          <w:szCs w:val="24"/>
          <w:highlight w:val="none"/>
        </w:rPr>
      </w:pPr>
      <w:r>
        <w:rPr>
          <w:rFonts w:hint="eastAsia" w:cs="宋体"/>
          <w:sz w:val="24"/>
          <w:szCs w:val="24"/>
          <w:highlight w:val="none"/>
        </w:rPr>
        <w:t>3.1投标人应具有独立承担民事责任能力，具有有效的营业执照或事业单位法人证书；</w:t>
      </w:r>
    </w:p>
    <w:p>
      <w:pPr>
        <w:pStyle w:val="44"/>
        <w:spacing w:before="0" w:beforeAutospacing="0" w:after="0" w:afterAutospacing="0" w:line="360" w:lineRule="auto"/>
        <w:ind w:firstLine="480"/>
        <w:jc w:val="both"/>
        <w:rPr>
          <w:rFonts w:cs="宋体"/>
          <w:sz w:val="24"/>
          <w:szCs w:val="24"/>
          <w:highlight w:val="none"/>
        </w:rPr>
      </w:pPr>
      <w:r>
        <w:rPr>
          <w:rFonts w:hint="eastAsia" w:cs="宋体"/>
          <w:sz w:val="24"/>
          <w:szCs w:val="24"/>
          <w:highlight w:val="none"/>
        </w:rPr>
        <w:t>3.2投标人为代理商时，应具有医疗器械经营许可证或医疗器械经营备案凭证并具有相应的经营范围（从事一类医疗器械经营活动的除外）；投标人为生产企业时，应具有医疗器械生产许可证（从事第一类医疗器械生产的须具有备案凭证）(投标人须提供上述证明材料的扫描件，并加盖企业电子章)；</w:t>
      </w:r>
    </w:p>
    <w:p>
      <w:pPr>
        <w:pStyle w:val="44"/>
        <w:spacing w:before="0" w:beforeAutospacing="0" w:after="0" w:afterAutospacing="0" w:line="360" w:lineRule="auto"/>
        <w:ind w:firstLine="480"/>
        <w:jc w:val="both"/>
        <w:rPr>
          <w:rFonts w:cs="宋体"/>
          <w:sz w:val="24"/>
          <w:szCs w:val="24"/>
          <w:highlight w:val="none"/>
        </w:rPr>
      </w:pPr>
      <w:r>
        <w:rPr>
          <w:rFonts w:hint="eastAsia" w:cs="宋体"/>
          <w:sz w:val="24"/>
          <w:szCs w:val="24"/>
          <w:highlight w:val="none"/>
        </w:rPr>
        <w:t>3.3投标产品为进口产品的，应提供生产制造商或授权代理商出具的针对本项目的授权函及售后服务承诺书(投标人须提供上述证明材料的扫描件，并加盖企业电子章)。</w:t>
      </w:r>
    </w:p>
    <w:p>
      <w:pPr>
        <w:pStyle w:val="44"/>
        <w:spacing w:before="0" w:beforeAutospacing="0" w:after="0" w:afterAutospacing="0" w:line="360" w:lineRule="auto"/>
        <w:ind w:firstLine="480"/>
        <w:jc w:val="both"/>
        <w:rPr>
          <w:rFonts w:cs="宋体"/>
          <w:sz w:val="24"/>
          <w:szCs w:val="24"/>
          <w:highlight w:val="none"/>
        </w:rPr>
      </w:pPr>
      <w:r>
        <w:rPr>
          <w:rFonts w:hint="eastAsia" w:cs="宋体"/>
          <w:sz w:val="24"/>
          <w:szCs w:val="24"/>
          <w:highlight w:val="none"/>
        </w:rPr>
        <w:t>3.4所投产品须符合中华人民共和国国务院令第739号《医疗器械监督管理条例》相关规定，应具有有效期内的医疗器械注册证或医疗器械产品备案凭证（二类三类所投产品必须提供有效期内的医疗器械注册证）(投标人须提供上述证明材料的扫描件，并加盖企业电子章)；</w:t>
      </w:r>
    </w:p>
    <w:p>
      <w:pPr>
        <w:pStyle w:val="44"/>
        <w:spacing w:before="0" w:beforeAutospacing="0" w:after="0" w:afterAutospacing="0" w:line="360" w:lineRule="auto"/>
        <w:ind w:firstLine="480"/>
        <w:jc w:val="both"/>
        <w:rPr>
          <w:rFonts w:cs="宋体"/>
          <w:sz w:val="24"/>
          <w:szCs w:val="24"/>
          <w:highlight w:val="none"/>
        </w:rPr>
      </w:pPr>
      <w:r>
        <w:rPr>
          <w:rFonts w:hint="eastAsia" w:cs="宋体"/>
          <w:sz w:val="24"/>
          <w:szCs w:val="24"/>
          <w:highlight w:val="none"/>
        </w:rPr>
        <w:t>3.5根据《洛阳市财政局关于推行政府采购信用承诺制的通知》（洛财购【2021】11号），在政府采购活动中，投标人须提供满足相应条件的书面承诺书，以及违背承诺自愿承担相关责任的承诺。（投标文件中须附《洛阳市政府采购供应商信用承诺函》，格式见第七章投标文件格式）。</w:t>
      </w:r>
    </w:p>
    <w:p>
      <w:pPr>
        <w:pStyle w:val="44"/>
        <w:spacing w:before="0" w:beforeAutospacing="0" w:after="0" w:afterAutospacing="0" w:line="360" w:lineRule="auto"/>
        <w:ind w:firstLine="480"/>
        <w:jc w:val="both"/>
        <w:rPr>
          <w:rFonts w:cs="宋体"/>
          <w:sz w:val="24"/>
          <w:szCs w:val="24"/>
          <w:highlight w:val="none"/>
        </w:rPr>
      </w:pPr>
      <w:r>
        <w:rPr>
          <w:rFonts w:hint="eastAsia" w:cs="宋体"/>
          <w:sz w:val="24"/>
          <w:szCs w:val="24"/>
          <w:highlight w:val="none"/>
        </w:rPr>
        <w:t>注：采购人有权在签订合同前要求中标人提供相关证明材料以核实中标人承诺事项的真实性。</w:t>
      </w:r>
    </w:p>
    <w:p>
      <w:pPr>
        <w:pStyle w:val="44"/>
        <w:spacing w:before="0" w:beforeAutospacing="0" w:after="0" w:afterAutospacing="0" w:line="360" w:lineRule="auto"/>
        <w:ind w:firstLine="480"/>
        <w:jc w:val="both"/>
        <w:rPr>
          <w:rFonts w:cs="宋体"/>
          <w:sz w:val="24"/>
          <w:szCs w:val="24"/>
          <w:highlight w:val="none"/>
        </w:rPr>
      </w:pPr>
      <w:r>
        <w:rPr>
          <w:rFonts w:hint="eastAsia" w:cs="宋体"/>
          <w:sz w:val="24"/>
          <w:szCs w:val="24"/>
          <w:highlight w:val="none"/>
        </w:rPr>
        <w:t>3.6单位负责人为同一人或者存在直接控股、管理关系的不同投标人，不得参加同一合同项下的政府采购活动。</w:t>
      </w:r>
    </w:p>
    <w:p>
      <w:pPr>
        <w:pStyle w:val="44"/>
        <w:spacing w:before="0" w:beforeAutospacing="0" w:after="0" w:afterAutospacing="0" w:line="360" w:lineRule="auto"/>
        <w:ind w:firstLine="480"/>
        <w:jc w:val="both"/>
        <w:rPr>
          <w:rFonts w:cs="宋体"/>
          <w:sz w:val="24"/>
          <w:szCs w:val="24"/>
          <w:highlight w:val="none"/>
        </w:rPr>
      </w:pPr>
      <w:r>
        <w:rPr>
          <w:rFonts w:hint="eastAsia" w:cs="宋体"/>
          <w:sz w:val="24"/>
          <w:szCs w:val="24"/>
          <w:highlight w:val="none"/>
        </w:rPr>
        <w:t>3.7本项目不接受联合体投标。</w:t>
      </w:r>
    </w:p>
    <w:p>
      <w:pPr>
        <w:pStyle w:val="44"/>
        <w:spacing w:before="0" w:beforeAutospacing="0" w:after="0" w:afterAutospacing="0" w:line="360" w:lineRule="auto"/>
        <w:ind w:firstLine="480"/>
        <w:jc w:val="both"/>
        <w:rPr>
          <w:rFonts w:cs="宋体"/>
          <w:sz w:val="24"/>
          <w:szCs w:val="24"/>
          <w:highlight w:val="none"/>
        </w:rPr>
      </w:pPr>
      <w:r>
        <w:rPr>
          <w:rFonts w:hint="eastAsia" w:cs="宋体"/>
          <w:sz w:val="24"/>
          <w:szCs w:val="24"/>
          <w:highlight w:val="none"/>
        </w:rPr>
        <w:t>3.8本次招标实行资格后审，资格后审不合格的投标人的响应文件将按无效标处理。</w:t>
      </w:r>
    </w:p>
    <w:p>
      <w:pPr>
        <w:pStyle w:val="44"/>
        <w:spacing w:before="0" w:beforeAutospacing="0" w:after="0" w:afterAutospacing="0" w:line="360" w:lineRule="auto"/>
        <w:ind w:firstLine="482"/>
        <w:jc w:val="both"/>
        <w:rPr>
          <w:rFonts w:cs="宋体"/>
          <w:sz w:val="24"/>
          <w:szCs w:val="24"/>
          <w:highlight w:val="none"/>
        </w:rPr>
      </w:pPr>
      <w:r>
        <w:rPr>
          <w:rFonts w:hint="eastAsia" w:cs="宋体"/>
          <w:b/>
          <w:sz w:val="24"/>
          <w:szCs w:val="24"/>
          <w:highlight w:val="none"/>
        </w:rPr>
        <w:t>三、获取招标文件</w:t>
      </w:r>
    </w:p>
    <w:p>
      <w:pPr>
        <w:pStyle w:val="44"/>
        <w:spacing w:before="0" w:beforeAutospacing="0" w:after="0" w:afterAutospacing="0" w:line="360" w:lineRule="auto"/>
        <w:ind w:firstLine="480"/>
        <w:jc w:val="both"/>
        <w:rPr>
          <w:rFonts w:cs="宋体"/>
          <w:sz w:val="24"/>
          <w:szCs w:val="24"/>
          <w:highlight w:val="none"/>
        </w:rPr>
      </w:pPr>
      <w:r>
        <w:rPr>
          <w:rFonts w:hint="eastAsia" w:cs="宋体"/>
          <w:sz w:val="24"/>
          <w:szCs w:val="24"/>
          <w:highlight w:val="none"/>
        </w:rPr>
        <w:t>1.时间：2023年</w:t>
      </w:r>
      <w:r>
        <w:rPr>
          <w:rFonts w:hint="eastAsia" w:cs="宋体"/>
          <w:sz w:val="24"/>
          <w:szCs w:val="24"/>
          <w:highlight w:val="none"/>
          <w:lang w:val="en-US" w:eastAsia="zh-CN"/>
        </w:rPr>
        <w:t>11</w:t>
      </w:r>
      <w:r>
        <w:rPr>
          <w:rFonts w:hint="eastAsia" w:cs="宋体"/>
          <w:sz w:val="24"/>
          <w:szCs w:val="24"/>
          <w:highlight w:val="none"/>
        </w:rPr>
        <w:t>月</w:t>
      </w:r>
      <w:r>
        <w:rPr>
          <w:rFonts w:hint="eastAsia" w:cs="宋体"/>
          <w:sz w:val="24"/>
          <w:szCs w:val="24"/>
          <w:highlight w:val="none"/>
          <w:lang w:val="en-US" w:eastAsia="zh-CN"/>
        </w:rPr>
        <w:t>20</w:t>
      </w:r>
      <w:r>
        <w:rPr>
          <w:rFonts w:hint="eastAsia" w:cs="宋体"/>
          <w:sz w:val="24"/>
          <w:szCs w:val="24"/>
          <w:highlight w:val="none"/>
        </w:rPr>
        <w:t>日至2023年</w:t>
      </w:r>
      <w:r>
        <w:rPr>
          <w:rFonts w:hint="eastAsia" w:cs="宋体"/>
          <w:sz w:val="24"/>
          <w:szCs w:val="24"/>
          <w:highlight w:val="none"/>
          <w:lang w:val="en-US" w:eastAsia="zh-CN"/>
        </w:rPr>
        <w:t>11</w:t>
      </w:r>
      <w:r>
        <w:rPr>
          <w:rFonts w:hint="eastAsia" w:cs="宋体"/>
          <w:sz w:val="24"/>
          <w:szCs w:val="24"/>
          <w:highlight w:val="none"/>
        </w:rPr>
        <w:t>月</w:t>
      </w:r>
      <w:r>
        <w:rPr>
          <w:rFonts w:hint="eastAsia" w:cs="宋体"/>
          <w:sz w:val="24"/>
          <w:szCs w:val="24"/>
          <w:highlight w:val="none"/>
          <w:lang w:val="en-US" w:eastAsia="zh-CN"/>
        </w:rPr>
        <w:t>24</w:t>
      </w:r>
      <w:r>
        <w:rPr>
          <w:rFonts w:hint="eastAsia" w:cs="宋体"/>
          <w:sz w:val="24"/>
          <w:szCs w:val="24"/>
          <w:highlight w:val="none"/>
        </w:rPr>
        <w:t xml:space="preserve">日，每天上午00：00至12:00，下午12:00至23:59（北京时间，法定节假日除外。） </w:t>
      </w:r>
    </w:p>
    <w:p>
      <w:pPr>
        <w:pStyle w:val="44"/>
        <w:spacing w:before="0" w:beforeAutospacing="0" w:after="0" w:afterAutospacing="0" w:line="360" w:lineRule="auto"/>
        <w:ind w:firstLine="480"/>
        <w:jc w:val="both"/>
        <w:rPr>
          <w:rFonts w:cs="宋体"/>
          <w:sz w:val="24"/>
          <w:szCs w:val="24"/>
          <w:highlight w:val="none"/>
        </w:rPr>
      </w:pPr>
      <w:r>
        <w:rPr>
          <w:rFonts w:hint="eastAsia" w:cs="宋体"/>
          <w:sz w:val="24"/>
          <w:szCs w:val="24"/>
          <w:highlight w:val="none"/>
        </w:rPr>
        <w:t>2.地点：洛阳市公共资源交易中心网站（</w:t>
      </w:r>
      <w:r>
        <w:rPr>
          <w:rFonts w:hint="eastAsia" w:cs="宋体"/>
          <w:sz w:val="24"/>
          <w:szCs w:val="24"/>
          <w:highlight w:val="none"/>
          <w:lang w:eastAsia="zh-CN"/>
        </w:rPr>
        <w:t>http://111.7.67.183/</w:t>
      </w:r>
      <w:r>
        <w:rPr>
          <w:rFonts w:hint="eastAsia" w:cs="宋体"/>
          <w:sz w:val="24"/>
          <w:szCs w:val="24"/>
          <w:highlight w:val="none"/>
        </w:rPr>
        <w:t>）</w:t>
      </w:r>
    </w:p>
    <w:p>
      <w:pPr>
        <w:pStyle w:val="44"/>
        <w:spacing w:before="0" w:beforeAutospacing="0" w:after="0" w:afterAutospacing="0" w:line="360" w:lineRule="auto"/>
        <w:ind w:firstLine="480"/>
        <w:jc w:val="both"/>
        <w:rPr>
          <w:rFonts w:cs="宋体"/>
          <w:sz w:val="24"/>
          <w:szCs w:val="24"/>
          <w:highlight w:val="none"/>
        </w:rPr>
      </w:pPr>
      <w:r>
        <w:rPr>
          <w:rFonts w:hint="eastAsia" w:cs="宋体"/>
          <w:sz w:val="24"/>
          <w:szCs w:val="24"/>
          <w:highlight w:val="none"/>
        </w:rPr>
        <w:t>3.方式：洛阳市公共资源交易中心网站（</w:t>
      </w:r>
      <w:r>
        <w:rPr>
          <w:rFonts w:hint="eastAsia" w:cs="宋体"/>
          <w:sz w:val="24"/>
          <w:szCs w:val="24"/>
          <w:highlight w:val="none"/>
          <w:lang w:eastAsia="zh-CN"/>
        </w:rPr>
        <w:t>http://111.7.67.183/</w:t>
      </w:r>
      <w:r>
        <w:rPr>
          <w:rFonts w:hint="eastAsia" w:cs="宋体"/>
          <w:sz w:val="24"/>
          <w:szCs w:val="24"/>
          <w:highlight w:val="none"/>
        </w:rPr>
        <w:t>）上获取。请在“洛阳市电子招投标交易平台（</w:t>
      </w:r>
      <w:r>
        <w:rPr>
          <w:rFonts w:hint="eastAsia" w:cs="宋体"/>
          <w:sz w:val="24"/>
          <w:szCs w:val="24"/>
          <w:highlight w:val="none"/>
          <w:lang w:eastAsia="zh-CN"/>
        </w:rPr>
        <w:t>http://61.168.99.35/TPBidder/login2.aspx</w:t>
      </w:r>
      <w:r>
        <w:rPr>
          <w:rFonts w:hint="eastAsia" w:cs="宋体"/>
          <w:sz w:val="24"/>
          <w:szCs w:val="24"/>
          <w:highlight w:val="none"/>
        </w:rPr>
        <w:t>）”进行用户注册，办理数字证书后下载招标（采购）文件。如投多个标段（包），则应就所投每个标段（包）分别下载。联合体投标的，由联合体牵头人完成招标（采购）文件下载。详见洛阳市公共资源交易中心网站—办事指南内的“主体注册CA办理”和“洛阳政府采购系统操作手册（投标人用）”。</w:t>
      </w:r>
    </w:p>
    <w:p>
      <w:pPr>
        <w:pStyle w:val="44"/>
        <w:spacing w:before="0" w:beforeAutospacing="0" w:after="0" w:afterAutospacing="0" w:line="360" w:lineRule="auto"/>
        <w:ind w:firstLine="480"/>
        <w:jc w:val="both"/>
        <w:rPr>
          <w:rFonts w:cs="宋体"/>
          <w:sz w:val="24"/>
          <w:szCs w:val="24"/>
          <w:highlight w:val="none"/>
        </w:rPr>
      </w:pPr>
      <w:r>
        <w:rPr>
          <w:rFonts w:hint="eastAsia" w:cs="宋体"/>
          <w:sz w:val="24"/>
          <w:szCs w:val="24"/>
          <w:highlight w:val="none"/>
        </w:rPr>
        <w:t>4.售价：0元</w:t>
      </w:r>
    </w:p>
    <w:p>
      <w:pPr>
        <w:pStyle w:val="44"/>
        <w:spacing w:before="0" w:beforeAutospacing="0" w:after="0" w:afterAutospacing="0" w:line="360" w:lineRule="auto"/>
        <w:ind w:firstLine="482"/>
        <w:jc w:val="both"/>
        <w:rPr>
          <w:rFonts w:cs="宋体"/>
          <w:sz w:val="24"/>
          <w:szCs w:val="24"/>
          <w:highlight w:val="none"/>
        </w:rPr>
      </w:pPr>
      <w:r>
        <w:rPr>
          <w:rFonts w:hint="eastAsia" w:cs="宋体"/>
          <w:b/>
          <w:sz w:val="24"/>
          <w:szCs w:val="24"/>
          <w:highlight w:val="none"/>
        </w:rPr>
        <w:t>四、投标截止时间及地点</w:t>
      </w:r>
    </w:p>
    <w:p>
      <w:pPr>
        <w:pStyle w:val="44"/>
        <w:spacing w:before="0" w:beforeAutospacing="0" w:after="0" w:afterAutospacing="0" w:line="360" w:lineRule="auto"/>
        <w:ind w:firstLine="480"/>
        <w:jc w:val="both"/>
        <w:rPr>
          <w:rFonts w:cs="宋体"/>
          <w:sz w:val="24"/>
          <w:szCs w:val="24"/>
          <w:highlight w:val="none"/>
        </w:rPr>
      </w:pPr>
      <w:r>
        <w:rPr>
          <w:rFonts w:hint="eastAsia" w:cs="宋体"/>
          <w:sz w:val="24"/>
          <w:szCs w:val="24"/>
          <w:highlight w:val="none"/>
        </w:rPr>
        <w:t>1.时间：</w:t>
      </w:r>
      <w:r>
        <w:rPr>
          <w:rFonts w:hint="eastAsia" w:cs="宋体"/>
          <w:sz w:val="24"/>
          <w:szCs w:val="24"/>
          <w:highlight w:val="none"/>
          <w:lang w:val="en-US" w:eastAsia="zh-CN"/>
        </w:rPr>
        <w:t>2024年1月4日9</w:t>
      </w:r>
      <w:r>
        <w:rPr>
          <w:rFonts w:hint="eastAsia" w:cs="宋体"/>
          <w:sz w:val="24"/>
          <w:szCs w:val="24"/>
          <w:highlight w:val="none"/>
        </w:rPr>
        <w:t>时</w:t>
      </w:r>
      <w:r>
        <w:rPr>
          <w:rFonts w:hint="eastAsia" w:cs="宋体"/>
          <w:sz w:val="24"/>
          <w:szCs w:val="24"/>
          <w:highlight w:val="none"/>
          <w:lang w:val="en-US" w:eastAsia="zh-CN"/>
        </w:rPr>
        <w:t>05</w:t>
      </w:r>
      <w:r>
        <w:rPr>
          <w:rFonts w:hint="eastAsia" w:cs="宋体"/>
          <w:sz w:val="24"/>
          <w:szCs w:val="24"/>
          <w:highlight w:val="none"/>
        </w:rPr>
        <w:t>分（北京时间）</w:t>
      </w:r>
    </w:p>
    <w:p>
      <w:pPr>
        <w:pStyle w:val="44"/>
        <w:spacing w:before="0" w:beforeAutospacing="0" w:after="0" w:afterAutospacing="0" w:line="360" w:lineRule="auto"/>
        <w:ind w:firstLine="480"/>
        <w:jc w:val="both"/>
        <w:rPr>
          <w:rFonts w:cs="宋体"/>
          <w:sz w:val="24"/>
          <w:szCs w:val="24"/>
          <w:highlight w:val="none"/>
        </w:rPr>
      </w:pPr>
      <w:r>
        <w:rPr>
          <w:rFonts w:hint="eastAsia" w:cs="宋体"/>
          <w:sz w:val="24"/>
          <w:szCs w:val="24"/>
          <w:highlight w:val="none"/>
        </w:rPr>
        <w:t>2.地点：洛阳市公共资源交易中心网站（</w:t>
      </w:r>
      <w:r>
        <w:rPr>
          <w:rFonts w:hint="eastAsia" w:cs="宋体"/>
          <w:sz w:val="24"/>
          <w:szCs w:val="24"/>
          <w:highlight w:val="none"/>
          <w:lang w:eastAsia="zh-CN"/>
        </w:rPr>
        <w:t>http://111.7.67.183/</w:t>
      </w:r>
      <w:r>
        <w:rPr>
          <w:rFonts w:hint="eastAsia" w:cs="宋体"/>
          <w:sz w:val="24"/>
          <w:szCs w:val="24"/>
          <w:highlight w:val="none"/>
        </w:rPr>
        <w:t>）。获取招标（采购）文件后，请下载并安装最新版本投标文件制作工具，制作电子投标（响应）文件，在投标截止时间前，上传加密的投标（响应）文件。投标人未在投标截止时间前完成上传的，视为逾期送达，洛阳市电子招投标交易平台将拒绝接收。</w:t>
      </w:r>
    </w:p>
    <w:p>
      <w:pPr>
        <w:pStyle w:val="44"/>
        <w:spacing w:before="0" w:beforeAutospacing="0" w:after="0" w:afterAutospacing="0" w:line="360" w:lineRule="auto"/>
        <w:ind w:firstLine="482"/>
        <w:jc w:val="both"/>
        <w:rPr>
          <w:rFonts w:cs="宋体"/>
          <w:sz w:val="24"/>
          <w:szCs w:val="24"/>
          <w:highlight w:val="none"/>
        </w:rPr>
      </w:pPr>
      <w:r>
        <w:rPr>
          <w:rFonts w:hint="eastAsia" w:cs="宋体"/>
          <w:b/>
          <w:sz w:val="24"/>
          <w:szCs w:val="24"/>
          <w:highlight w:val="none"/>
        </w:rPr>
        <w:t>五、开标时间及地点</w:t>
      </w:r>
    </w:p>
    <w:p>
      <w:pPr>
        <w:pStyle w:val="44"/>
        <w:spacing w:before="0" w:beforeAutospacing="0" w:after="0" w:afterAutospacing="0" w:line="360" w:lineRule="auto"/>
        <w:ind w:firstLine="480"/>
        <w:jc w:val="both"/>
        <w:rPr>
          <w:rFonts w:cs="宋体"/>
          <w:sz w:val="24"/>
          <w:szCs w:val="24"/>
          <w:highlight w:val="none"/>
        </w:rPr>
      </w:pPr>
      <w:r>
        <w:rPr>
          <w:rFonts w:hint="eastAsia" w:cs="宋体"/>
          <w:sz w:val="24"/>
          <w:szCs w:val="24"/>
          <w:highlight w:val="none"/>
        </w:rPr>
        <w:t>1.时间：</w:t>
      </w:r>
      <w:r>
        <w:rPr>
          <w:rFonts w:hint="eastAsia" w:cs="宋体"/>
          <w:sz w:val="24"/>
          <w:szCs w:val="24"/>
          <w:highlight w:val="none"/>
          <w:lang w:val="en-US" w:eastAsia="zh-CN"/>
        </w:rPr>
        <w:t>2024年1月4日9</w:t>
      </w:r>
      <w:r>
        <w:rPr>
          <w:rFonts w:hint="eastAsia" w:cs="宋体"/>
          <w:sz w:val="24"/>
          <w:szCs w:val="24"/>
          <w:highlight w:val="none"/>
        </w:rPr>
        <w:t>时</w:t>
      </w:r>
      <w:r>
        <w:rPr>
          <w:rFonts w:hint="eastAsia" w:cs="宋体"/>
          <w:sz w:val="24"/>
          <w:szCs w:val="24"/>
          <w:highlight w:val="none"/>
          <w:lang w:val="en-US" w:eastAsia="zh-CN"/>
        </w:rPr>
        <w:t>05</w:t>
      </w:r>
      <w:r>
        <w:rPr>
          <w:rFonts w:hint="eastAsia" w:cs="宋体"/>
          <w:sz w:val="24"/>
          <w:szCs w:val="24"/>
          <w:highlight w:val="none"/>
        </w:rPr>
        <w:t>分（北京时间）</w:t>
      </w:r>
    </w:p>
    <w:p>
      <w:pPr>
        <w:pStyle w:val="44"/>
        <w:spacing w:before="0" w:beforeAutospacing="0" w:after="0" w:afterAutospacing="0" w:line="360" w:lineRule="auto"/>
        <w:ind w:firstLine="480"/>
        <w:jc w:val="both"/>
        <w:rPr>
          <w:rFonts w:cs="宋体"/>
          <w:sz w:val="24"/>
          <w:szCs w:val="24"/>
          <w:highlight w:val="none"/>
        </w:rPr>
      </w:pPr>
      <w:r>
        <w:rPr>
          <w:rFonts w:hint="eastAsia" w:cs="宋体"/>
          <w:sz w:val="24"/>
          <w:szCs w:val="24"/>
          <w:highlight w:val="none"/>
        </w:rPr>
        <w:t>2.地点：洛阳市公共资源交易中心开标</w:t>
      </w:r>
      <w:r>
        <w:rPr>
          <w:rFonts w:hint="eastAsia" w:cs="宋体"/>
          <w:sz w:val="24"/>
          <w:szCs w:val="24"/>
          <w:highlight w:val="none"/>
          <w:lang w:val="en-US" w:eastAsia="zh-CN"/>
        </w:rPr>
        <w:t>六</w:t>
      </w:r>
      <w:r>
        <w:rPr>
          <w:rFonts w:hint="eastAsia" w:cs="宋体"/>
          <w:sz w:val="24"/>
          <w:szCs w:val="24"/>
          <w:highlight w:val="none"/>
        </w:rPr>
        <w:t>室（洛龙区开元大道与永泰街交叉口西南角洛阳市民之家六楼）。本项目采用远程不见面交易的模式，开标当日，投标人无需到现场参加开标会议，应在投标截止时间前，登录“不见面开标大厅”，在线准时参加开标活动并进行投标（响应）文件解密等。因投标人原因未能解密或解密失败的将被拒绝。详见洛阳市公共资源交易中心网站-办事指南内的“洛阳市公共资源交易中心不见面开标大厅操作手册（投标人）”。除电子投标（响应）文件外，投标时不再接受任何纸质文件、资料等。</w:t>
      </w:r>
    </w:p>
    <w:p>
      <w:pPr>
        <w:pStyle w:val="44"/>
        <w:spacing w:before="0" w:beforeAutospacing="0" w:after="0" w:afterAutospacing="0" w:line="360" w:lineRule="auto"/>
        <w:ind w:firstLine="482"/>
        <w:jc w:val="both"/>
        <w:rPr>
          <w:rFonts w:cs="宋体"/>
          <w:sz w:val="24"/>
          <w:szCs w:val="24"/>
          <w:highlight w:val="none"/>
        </w:rPr>
      </w:pPr>
      <w:r>
        <w:rPr>
          <w:rFonts w:hint="eastAsia" w:cs="宋体"/>
          <w:b/>
          <w:sz w:val="24"/>
          <w:szCs w:val="24"/>
          <w:highlight w:val="none"/>
        </w:rPr>
        <w:t>六、发布公告的媒介及招标公告期限</w:t>
      </w:r>
    </w:p>
    <w:p>
      <w:pPr>
        <w:pStyle w:val="44"/>
        <w:spacing w:before="0" w:beforeAutospacing="0" w:after="0" w:afterAutospacing="0" w:line="360" w:lineRule="auto"/>
        <w:ind w:firstLine="480"/>
        <w:jc w:val="both"/>
        <w:rPr>
          <w:rFonts w:cs="宋体"/>
          <w:sz w:val="24"/>
          <w:szCs w:val="24"/>
          <w:highlight w:val="none"/>
        </w:rPr>
      </w:pPr>
      <w:r>
        <w:rPr>
          <w:rFonts w:hint="eastAsia" w:cs="宋体"/>
          <w:sz w:val="24"/>
          <w:szCs w:val="24"/>
          <w:highlight w:val="none"/>
        </w:rPr>
        <w:t>本次招标公告在《河南省政府采购网》、《中国招标投标公共服务平台》、《洛阳市公共资源交易中心》及《河南科技大学第二附属医院官网》上发布。招标公告期限为五个工作日。</w:t>
      </w:r>
    </w:p>
    <w:p>
      <w:pPr>
        <w:pStyle w:val="44"/>
        <w:spacing w:before="0" w:beforeAutospacing="0" w:after="0" w:afterAutospacing="0" w:line="360" w:lineRule="auto"/>
        <w:ind w:firstLine="482"/>
        <w:jc w:val="both"/>
        <w:rPr>
          <w:rFonts w:cs="宋体"/>
          <w:b/>
          <w:sz w:val="24"/>
          <w:szCs w:val="24"/>
          <w:highlight w:val="none"/>
        </w:rPr>
      </w:pPr>
      <w:r>
        <w:rPr>
          <w:rFonts w:hint="eastAsia" w:cs="宋体"/>
          <w:b/>
          <w:sz w:val="24"/>
          <w:szCs w:val="24"/>
          <w:highlight w:val="none"/>
        </w:rPr>
        <w:t>七、其他补充事宜</w:t>
      </w:r>
    </w:p>
    <w:p>
      <w:pPr>
        <w:pStyle w:val="44"/>
        <w:spacing w:before="0" w:beforeAutospacing="0" w:after="0" w:afterAutospacing="0" w:line="360" w:lineRule="auto"/>
        <w:ind w:firstLine="480"/>
        <w:jc w:val="both"/>
        <w:rPr>
          <w:rFonts w:cs="宋体"/>
          <w:sz w:val="24"/>
          <w:szCs w:val="24"/>
          <w:highlight w:val="none"/>
          <w:shd w:val="clear" w:color="auto" w:fill="FFFFFF"/>
        </w:rPr>
      </w:pPr>
      <w:r>
        <w:rPr>
          <w:rFonts w:hint="eastAsia" w:cs="宋体"/>
          <w:sz w:val="24"/>
          <w:szCs w:val="24"/>
          <w:highlight w:val="none"/>
          <w:shd w:val="clear" w:color="auto" w:fill="FFFFFF"/>
        </w:rPr>
        <w:t>1、监管部门及其联系方式：洛阳市财政局</w:t>
      </w:r>
    </w:p>
    <w:p>
      <w:pPr>
        <w:pStyle w:val="44"/>
        <w:spacing w:before="0" w:beforeAutospacing="0" w:after="0" w:afterAutospacing="0" w:line="360" w:lineRule="auto"/>
        <w:ind w:firstLine="480"/>
        <w:jc w:val="both"/>
        <w:rPr>
          <w:rFonts w:cs="宋体"/>
          <w:sz w:val="24"/>
          <w:szCs w:val="24"/>
          <w:highlight w:val="none"/>
          <w:shd w:val="clear" w:color="auto" w:fill="FFFFFF"/>
        </w:rPr>
      </w:pPr>
      <w:r>
        <w:rPr>
          <w:rFonts w:hint="eastAsia" w:cs="宋体"/>
          <w:sz w:val="24"/>
          <w:szCs w:val="24"/>
          <w:highlight w:val="none"/>
          <w:shd w:val="clear" w:color="auto" w:fill="FFFFFF"/>
        </w:rPr>
        <w:t xml:space="preserve">联系人：洛阳市政府采购监督管理科 </w:t>
      </w:r>
    </w:p>
    <w:p>
      <w:pPr>
        <w:pStyle w:val="44"/>
        <w:spacing w:before="0" w:beforeAutospacing="0" w:after="0" w:afterAutospacing="0" w:line="360" w:lineRule="auto"/>
        <w:ind w:firstLine="480"/>
        <w:jc w:val="both"/>
        <w:rPr>
          <w:rFonts w:cs="宋体"/>
          <w:sz w:val="24"/>
          <w:szCs w:val="24"/>
          <w:highlight w:val="none"/>
          <w:shd w:val="clear" w:color="auto" w:fill="FFFFFF"/>
        </w:rPr>
      </w:pPr>
      <w:r>
        <w:rPr>
          <w:rFonts w:hint="eastAsia" w:cs="宋体"/>
          <w:sz w:val="24"/>
          <w:szCs w:val="24"/>
          <w:highlight w:val="none"/>
          <w:shd w:val="clear" w:color="auto" w:fill="FFFFFF"/>
        </w:rPr>
        <w:t>联系方式：0379-63221264</w:t>
      </w:r>
    </w:p>
    <w:p>
      <w:pPr>
        <w:pStyle w:val="44"/>
        <w:spacing w:before="0" w:beforeAutospacing="0" w:after="0" w:afterAutospacing="0" w:line="360" w:lineRule="auto"/>
        <w:ind w:firstLine="480"/>
        <w:jc w:val="both"/>
        <w:rPr>
          <w:rFonts w:cs="宋体"/>
          <w:sz w:val="24"/>
          <w:szCs w:val="24"/>
          <w:highlight w:val="none"/>
        </w:rPr>
      </w:pPr>
      <w:r>
        <w:rPr>
          <w:rFonts w:hint="eastAsia" w:cs="宋体"/>
          <w:sz w:val="24"/>
          <w:szCs w:val="24"/>
          <w:highlight w:val="none"/>
        </w:rPr>
        <w:t>2、投标人在参与本项目招标采购活动期间应及时关注本网站获取相关澄清或变更等信息(如果有)。</w:t>
      </w:r>
    </w:p>
    <w:p>
      <w:pPr>
        <w:pStyle w:val="44"/>
        <w:spacing w:before="0" w:beforeAutospacing="0" w:after="0" w:afterAutospacing="0" w:line="360" w:lineRule="auto"/>
        <w:ind w:firstLine="482"/>
        <w:jc w:val="both"/>
        <w:rPr>
          <w:rFonts w:cs="宋体"/>
          <w:sz w:val="24"/>
          <w:szCs w:val="24"/>
          <w:highlight w:val="none"/>
        </w:rPr>
      </w:pPr>
      <w:r>
        <w:rPr>
          <w:rFonts w:hint="eastAsia" w:cs="宋体"/>
          <w:b/>
          <w:sz w:val="24"/>
          <w:szCs w:val="24"/>
          <w:highlight w:val="none"/>
        </w:rPr>
        <w:t>八、凡是对本次招标提出询问，请按照以下方式联系</w:t>
      </w:r>
    </w:p>
    <w:p>
      <w:pPr>
        <w:pStyle w:val="44"/>
        <w:spacing w:before="0" w:beforeAutospacing="0" w:after="0" w:afterAutospacing="0" w:line="360" w:lineRule="auto"/>
        <w:ind w:firstLine="480"/>
        <w:jc w:val="both"/>
        <w:rPr>
          <w:rFonts w:cs="宋体"/>
          <w:sz w:val="24"/>
          <w:szCs w:val="24"/>
          <w:highlight w:val="none"/>
        </w:rPr>
      </w:pPr>
      <w:r>
        <w:rPr>
          <w:rFonts w:hint="eastAsia" w:cs="宋体"/>
          <w:sz w:val="24"/>
          <w:szCs w:val="24"/>
          <w:highlight w:val="none"/>
        </w:rPr>
        <w:t>1.采购人信息</w:t>
      </w:r>
    </w:p>
    <w:p>
      <w:pPr>
        <w:pStyle w:val="44"/>
        <w:spacing w:before="0" w:beforeAutospacing="0" w:after="0" w:afterAutospacing="0" w:line="360" w:lineRule="auto"/>
        <w:ind w:firstLine="480"/>
        <w:jc w:val="both"/>
        <w:rPr>
          <w:rFonts w:cs="宋体"/>
          <w:sz w:val="24"/>
          <w:szCs w:val="24"/>
          <w:highlight w:val="none"/>
        </w:rPr>
      </w:pPr>
      <w:r>
        <w:rPr>
          <w:rFonts w:hint="eastAsia" w:cs="宋体"/>
          <w:sz w:val="24"/>
          <w:szCs w:val="24"/>
          <w:highlight w:val="none"/>
        </w:rPr>
        <w:t>名    称：河南科技大学第二附属医院</w:t>
      </w:r>
    </w:p>
    <w:p>
      <w:pPr>
        <w:pStyle w:val="44"/>
        <w:spacing w:before="0" w:beforeAutospacing="0" w:after="0" w:afterAutospacing="0" w:line="360" w:lineRule="auto"/>
        <w:ind w:firstLine="480"/>
        <w:jc w:val="both"/>
        <w:rPr>
          <w:rFonts w:cs="宋体"/>
          <w:sz w:val="24"/>
          <w:szCs w:val="24"/>
          <w:highlight w:val="none"/>
        </w:rPr>
      </w:pPr>
      <w:r>
        <w:rPr>
          <w:rFonts w:hint="eastAsia" w:cs="宋体"/>
          <w:sz w:val="24"/>
          <w:szCs w:val="24"/>
          <w:highlight w:val="none"/>
        </w:rPr>
        <w:t>地    址：河南省洛阳市西工区金谷园路80号</w:t>
      </w:r>
    </w:p>
    <w:p>
      <w:pPr>
        <w:pStyle w:val="44"/>
        <w:spacing w:before="0" w:beforeAutospacing="0" w:after="0" w:afterAutospacing="0" w:line="360" w:lineRule="auto"/>
        <w:ind w:firstLine="480"/>
        <w:jc w:val="both"/>
        <w:rPr>
          <w:rFonts w:cs="宋体"/>
          <w:sz w:val="24"/>
          <w:szCs w:val="24"/>
          <w:highlight w:val="none"/>
        </w:rPr>
      </w:pPr>
      <w:r>
        <w:rPr>
          <w:rFonts w:hint="eastAsia" w:cs="宋体"/>
          <w:sz w:val="24"/>
          <w:szCs w:val="24"/>
          <w:highlight w:val="none"/>
        </w:rPr>
        <w:t>联 系 人：李先生</w:t>
      </w:r>
    </w:p>
    <w:p>
      <w:pPr>
        <w:pStyle w:val="44"/>
        <w:spacing w:before="0" w:beforeAutospacing="0" w:after="0" w:afterAutospacing="0" w:line="360" w:lineRule="auto"/>
        <w:ind w:firstLine="480"/>
        <w:jc w:val="both"/>
        <w:rPr>
          <w:rFonts w:cs="宋体"/>
          <w:sz w:val="24"/>
          <w:szCs w:val="24"/>
          <w:highlight w:val="none"/>
        </w:rPr>
      </w:pPr>
      <w:r>
        <w:rPr>
          <w:rFonts w:hint="eastAsia" w:cs="宋体"/>
          <w:sz w:val="24"/>
          <w:szCs w:val="24"/>
          <w:highlight w:val="none"/>
        </w:rPr>
        <w:t>电    话：0379-63626191</w:t>
      </w:r>
    </w:p>
    <w:p>
      <w:pPr>
        <w:pStyle w:val="44"/>
        <w:spacing w:before="0" w:beforeAutospacing="0" w:after="0" w:afterAutospacing="0" w:line="360" w:lineRule="auto"/>
        <w:ind w:firstLine="480"/>
        <w:jc w:val="both"/>
        <w:rPr>
          <w:rFonts w:cs="宋体"/>
          <w:sz w:val="24"/>
          <w:szCs w:val="24"/>
          <w:highlight w:val="none"/>
        </w:rPr>
      </w:pPr>
      <w:r>
        <w:rPr>
          <w:rFonts w:hint="eastAsia" w:cs="宋体"/>
          <w:sz w:val="24"/>
          <w:szCs w:val="24"/>
          <w:highlight w:val="none"/>
        </w:rPr>
        <w:t>2.采购代理机构信息</w:t>
      </w:r>
    </w:p>
    <w:p>
      <w:pPr>
        <w:pStyle w:val="44"/>
        <w:spacing w:before="0" w:beforeAutospacing="0" w:after="0" w:afterAutospacing="0" w:line="360" w:lineRule="auto"/>
        <w:ind w:firstLine="480"/>
        <w:jc w:val="both"/>
        <w:rPr>
          <w:rFonts w:cs="宋体"/>
          <w:sz w:val="24"/>
          <w:szCs w:val="24"/>
          <w:highlight w:val="none"/>
        </w:rPr>
      </w:pPr>
      <w:r>
        <w:rPr>
          <w:rFonts w:hint="eastAsia" w:cs="宋体"/>
          <w:sz w:val="24"/>
          <w:szCs w:val="24"/>
          <w:highlight w:val="none"/>
        </w:rPr>
        <w:t>名    称：河南平业建设工程技术咨询有限公司</w:t>
      </w:r>
    </w:p>
    <w:p>
      <w:pPr>
        <w:pStyle w:val="44"/>
        <w:spacing w:before="0" w:beforeAutospacing="0" w:after="0" w:afterAutospacing="0" w:line="360" w:lineRule="auto"/>
        <w:ind w:firstLine="480"/>
        <w:jc w:val="both"/>
        <w:rPr>
          <w:rFonts w:cs="宋体"/>
          <w:sz w:val="24"/>
          <w:szCs w:val="24"/>
          <w:highlight w:val="none"/>
        </w:rPr>
      </w:pPr>
      <w:r>
        <w:rPr>
          <w:rFonts w:hint="eastAsia" w:cs="宋体"/>
          <w:sz w:val="24"/>
          <w:szCs w:val="24"/>
          <w:highlight w:val="none"/>
        </w:rPr>
        <w:t>地    址：河南自贸试验区郑州片区（郑东）金水东路51号楷林商务中心北区二单元7层03、04号房</w:t>
      </w:r>
    </w:p>
    <w:p>
      <w:pPr>
        <w:pStyle w:val="44"/>
        <w:spacing w:before="0" w:beforeAutospacing="0" w:after="0" w:afterAutospacing="0" w:line="360" w:lineRule="auto"/>
        <w:ind w:firstLine="480"/>
        <w:jc w:val="both"/>
        <w:rPr>
          <w:rFonts w:cs="宋体"/>
          <w:sz w:val="24"/>
          <w:szCs w:val="24"/>
          <w:highlight w:val="none"/>
        </w:rPr>
      </w:pPr>
      <w:r>
        <w:rPr>
          <w:rFonts w:hint="eastAsia" w:cs="宋体"/>
          <w:sz w:val="24"/>
          <w:szCs w:val="24"/>
          <w:highlight w:val="none"/>
        </w:rPr>
        <w:t>联 系 人：王女士</w:t>
      </w:r>
    </w:p>
    <w:p>
      <w:pPr>
        <w:pStyle w:val="44"/>
        <w:spacing w:before="0" w:beforeAutospacing="0" w:after="0" w:afterAutospacing="0" w:line="360" w:lineRule="auto"/>
        <w:ind w:firstLine="480"/>
        <w:jc w:val="both"/>
        <w:rPr>
          <w:rFonts w:cs="宋体"/>
          <w:sz w:val="24"/>
          <w:szCs w:val="24"/>
          <w:highlight w:val="none"/>
        </w:rPr>
      </w:pPr>
      <w:r>
        <w:rPr>
          <w:rFonts w:hint="eastAsia" w:cs="宋体"/>
          <w:sz w:val="24"/>
          <w:szCs w:val="24"/>
          <w:highlight w:val="none"/>
        </w:rPr>
        <w:t>电    话：0379-60675077</w:t>
      </w:r>
    </w:p>
    <w:p>
      <w:pPr>
        <w:pStyle w:val="44"/>
        <w:spacing w:before="0" w:beforeAutospacing="0" w:after="0" w:afterAutospacing="0" w:line="360" w:lineRule="auto"/>
        <w:ind w:firstLine="480"/>
        <w:jc w:val="both"/>
        <w:rPr>
          <w:rFonts w:cs="宋体"/>
          <w:sz w:val="24"/>
          <w:szCs w:val="24"/>
          <w:highlight w:val="none"/>
        </w:rPr>
      </w:pPr>
      <w:r>
        <w:rPr>
          <w:rFonts w:hint="eastAsia" w:cs="宋体"/>
          <w:sz w:val="24"/>
          <w:szCs w:val="24"/>
          <w:highlight w:val="none"/>
        </w:rPr>
        <w:t>3.项目联系方式</w:t>
      </w:r>
    </w:p>
    <w:p>
      <w:pPr>
        <w:pStyle w:val="44"/>
        <w:spacing w:before="0" w:beforeAutospacing="0" w:after="0" w:afterAutospacing="0" w:line="360" w:lineRule="auto"/>
        <w:ind w:firstLine="480"/>
        <w:jc w:val="both"/>
        <w:rPr>
          <w:rFonts w:cs="宋体"/>
          <w:sz w:val="24"/>
          <w:szCs w:val="24"/>
          <w:highlight w:val="none"/>
        </w:rPr>
      </w:pPr>
      <w:r>
        <w:rPr>
          <w:rFonts w:hint="eastAsia" w:cs="宋体"/>
          <w:sz w:val="24"/>
          <w:szCs w:val="24"/>
          <w:highlight w:val="none"/>
        </w:rPr>
        <w:t>项目联系人：王女士</w:t>
      </w:r>
    </w:p>
    <w:p>
      <w:pPr>
        <w:pStyle w:val="44"/>
        <w:spacing w:before="0" w:beforeAutospacing="0" w:after="0" w:afterAutospacing="0" w:line="360" w:lineRule="auto"/>
        <w:ind w:firstLine="480"/>
        <w:jc w:val="both"/>
        <w:rPr>
          <w:rFonts w:cs="宋体"/>
          <w:sz w:val="24"/>
          <w:szCs w:val="24"/>
          <w:highlight w:val="none"/>
        </w:rPr>
      </w:pPr>
      <w:r>
        <w:rPr>
          <w:rFonts w:hint="eastAsia" w:cs="宋体"/>
          <w:sz w:val="24"/>
          <w:szCs w:val="24"/>
          <w:highlight w:val="none"/>
        </w:rPr>
        <w:t>联系方式：0379-60675077</w:t>
      </w:r>
    </w:p>
    <w:p>
      <w:pPr>
        <w:pStyle w:val="44"/>
        <w:spacing w:before="0" w:beforeAutospacing="0" w:after="0" w:afterAutospacing="0" w:line="360" w:lineRule="auto"/>
        <w:ind w:firstLine="480"/>
        <w:jc w:val="right"/>
        <w:rPr>
          <w:rFonts w:cs="宋体"/>
          <w:sz w:val="24"/>
          <w:szCs w:val="24"/>
          <w:highlight w:val="none"/>
        </w:rPr>
      </w:pPr>
      <w:r>
        <w:rPr>
          <w:rFonts w:hint="eastAsia" w:cs="宋体"/>
          <w:sz w:val="24"/>
          <w:szCs w:val="24"/>
          <w:highlight w:val="none"/>
        </w:rPr>
        <w:t>河南平业建设工程技术咨询有限公司</w:t>
      </w:r>
    </w:p>
    <w:p>
      <w:pPr>
        <w:pStyle w:val="44"/>
        <w:spacing w:before="0" w:beforeAutospacing="0" w:after="0" w:afterAutospacing="0" w:line="360" w:lineRule="auto"/>
        <w:ind w:firstLine="480"/>
        <w:jc w:val="right"/>
        <w:rPr>
          <w:rFonts w:cs="宋体"/>
          <w:color w:val="FF0000"/>
          <w:sz w:val="24"/>
          <w:szCs w:val="24"/>
          <w:highlight w:val="none"/>
        </w:rPr>
      </w:pPr>
      <w:r>
        <w:rPr>
          <w:rFonts w:hint="eastAsia" w:cs="宋体"/>
          <w:sz w:val="24"/>
          <w:szCs w:val="24"/>
          <w:highlight w:val="none"/>
        </w:rPr>
        <w:t xml:space="preserve"> 2023年</w:t>
      </w:r>
      <w:r>
        <w:rPr>
          <w:rFonts w:hint="eastAsia" w:cs="宋体"/>
          <w:sz w:val="24"/>
          <w:szCs w:val="24"/>
          <w:highlight w:val="none"/>
          <w:lang w:val="en-US" w:eastAsia="zh-CN"/>
        </w:rPr>
        <w:t>11</w:t>
      </w:r>
      <w:r>
        <w:rPr>
          <w:rFonts w:hint="eastAsia" w:cs="宋体"/>
          <w:sz w:val="24"/>
          <w:szCs w:val="24"/>
          <w:highlight w:val="none"/>
        </w:rPr>
        <w:t>月</w:t>
      </w:r>
      <w:r>
        <w:rPr>
          <w:rFonts w:hint="eastAsia" w:cs="宋体"/>
          <w:sz w:val="24"/>
          <w:szCs w:val="24"/>
          <w:highlight w:val="none"/>
          <w:lang w:val="en-US" w:eastAsia="zh-CN"/>
        </w:rPr>
        <w:t>17</w:t>
      </w:r>
      <w:r>
        <w:rPr>
          <w:rFonts w:hint="eastAsia" w:cs="宋体"/>
          <w:sz w:val="24"/>
          <w:szCs w:val="24"/>
          <w:highlight w:val="none"/>
        </w:rPr>
        <w:t>日</w:t>
      </w:r>
    </w:p>
    <w:p>
      <w:pPr>
        <w:pStyle w:val="28"/>
        <w:spacing w:line="360" w:lineRule="auto"/>
        <w:ind w:firstLine="0"/>
        <w:rPr>
          <w:rFonts w:ascii="宋体" w:hAnsi="宋体" w:eastAsia="宋体" w:cs="宋体"/>
          <w:spacing w:val="14"/>
          <w:sz w:val="24"/>
          <w:szCs w:val="24"/>
          <w:highlight w:val="none"/>
        </w:rPr>
      </w:pPr>
    </w:p>
    <w:p>
      <w:pPr>
        <w:pStyle w:val="33"/>
        <w:spacing w:line="360" w:lineRule="auto"/>
        <w:rPr>
          <w:rFonts w:ascii="宋体" w:hAnsi="宋体" w:cs="宋体"/>
          <w:spacing w:val="14"/>
          <w:sz w:val="24"/>
          <w:szCs w:val="24"/>
          <w:highlight w:val="none"/>
        </w:rPr>
      </w:pPr>
    </w:p>
    <w:p>
      <w:pPr>
        <w:pStyle w:val="34"/>
        <w:ind w:right="72" w:firstLine="536"/>
        <w:rPr>
          <w:rFonts w:ascii="宋体" w:hAnsi="宋体" w:cs="宋体"/>
          <w:spacing w:val="14"/>
          <w:sz w:val="24"/>
          <w:szCs w:val="24"/>
          <w:highlight w:val="none"/>
        </w:rPr>
      </w:pPr>
    </w:p>
    <w:p>
      <w:pPr>
        <w:pStyle w:val="35"/>
        <w:rPr>
          <w:rFonts w:ascii="宋体" w:hAnsi="宋体" w:cs="宋体"/>
          <w:spacing w:val="14"/>
          <w:sz w:val="24"/>
          <w:szCs w:val="24"/>
          <w:highlight w:val="none"/>
        </w:rPr>
      </w:pPr>
    </w:p>
    <w:p>
      <w:pPr>
        <w:pStyle w:val="36"/>
        <w:ind w:right="72" w:firstLine="536"/>
        <w:rPr>
          <w:rFonts w:ascii="宋体" w:hAnsi="宋体" w:cs="宋体"/>
          <w:spacing w:val="14"/>
          <w:sz w:val="24"/>
          <w:highlight w:val="none"/>
        </w:rPr>
      </w:pPr>
    </w:p>
    <w:p>
      <w:pPr>
        <w:pStyle w:val="36"/>
        <w:ind w:right="72" w:firstLine="536"/>
        <w:rPr>
          <w:rFonts w:ascii="宋体" w:hAnsi="宋体" w:cs="宋体"/>
          <w:spacing w:val="14"/>
          <w:sz w:val="24"/>
          <w:highlight w:val="none"/>
        </w:rPr>
      </w:pPr>
    </w:p>
    <w:p>
      <w:pPr>
        <w:pStyle w:val="36"/>
        <w:ind w:right="72" w:firstLine="536"/>
        <w:rPr>
          <w:rFonts w:ascii="宋体" w:hAnsi="宋体" w:cs="宋体"/>
          <w:spacing w:val="14"/>
          <w:sz w:val="24"/>
          <w:highlight w:val="none"/>
        </w:rPr>
      </w:pPr>
    </w:p>
    <w:p>
      <w:pPr>
        <w:pStyle w:val="36"/>
        <w:ind w:right="72" w:firstLine="536"/>
        <w:rPr>
          <w:rFonts w:ascii="宋体" w:hAnsi="宋体" w:cs="宋体"/>
          <w:spacing w:val="14"/>
          <w:sz w:val="24"/>
          <w:highlight w:val="none"/>
        </w:rPr>
      </w:pPr>
    </w:p>
    <w:p>
      <w:pPr>
        <w:pStyle w:val="36"/>
        <w:ind w:right="72" w:firstLine="536"/>
        <w:rPr>
          <w:rFonts w:ascii="宋体" w:hAnsi="宋体" w:cs="宋体"/>
          <w:spacing w:val="14"/>
          <w:sz w:val="24"/>
          <w:highlight w:val="none"/>
        </w:rPr>
      </w:pPr>
    </w:p>
    <w:p>
      <w:pPr>
        <w:pStyle w:val="36"/>
        <w:ind w:right="72" w:firstLine="536"/>
        <w:rPr>
          <w:rFonts w:ascii="宋体" w:hAnsi="宋体" w:cs="宋体"/>
          <w:spacing w:val="14"/>
          <w:sz w:val="24"/>
          <w:highlight w:val="none"/>
        </w:rPr>
      </w:pPr>
    </w:p>
    <w:p>
      <w:pPr>
        <w:pStyle w:val="36"/>
        <w:ind w:right="72" w:firstLine="536"/>
        <w:rPr>
          <w:rFonts w:ascii="宋体" w:hAnsi="宋体" w:cs="宋体"/>
          <w:spacing w:val="14"/>
          <w:sz w:val="24"/>
          <w:highlight w:val="none"/>
        </w:rPr>
      </w:pPr>
    </w:p>
    <w:p>
      <w:pPr>
        <w:pStyle w:val="36"/>
        <w:ind w:right="72" w:firstLine="536"/>
        <w:rPr>
          <w:rFonts w:ascii="宋体" w:hAnsi="宋体" w:cs="宋体"/>
          <w:spacing w:val="14"/>
          <w:sz w:val="24"/>
          <w:highlight w:val="none"/>
        </w:rPr>
      </w:pPr>
    </w:p>
    <w:p>
      <w:pPr>
        <w:pStyle w:val="36"/>
        <w:ind w:right="72" w:firstLine="536"/>
        <w:rPr>
          <w:rFonts w:ascii="宋体" w:hAnsi="宋体" w:cs="宋体"/>
          <w:spacing w:val="14"/>
          <w:sz w:val="24"/>
          <w:highlight w:val="none"/>
        </w:rPr>
      </w:pPr>
    </w:p>
    <w:p>
      <w:pPr>
        <w:pStyle w:val="36"/>
        <w:ind w:right="72" w:firstLine="536"/>
        <w:rPr>
          <w:rFonts w:ascii="宋体" w:hAnsi="宋体" w:cs="宋体"/>
          <w:spacing w:val="14"/>
          <w:sz w:val="24"/>
          <w:highlight w:val="none"/>
        </w:rPr>
      </w:pPr>
    </w:p>
    <w:p>
      <w:pPr>
        <w:pStyle w:val="36"/>
        <w:ind w:right="72" w:firstLine="536"/>
        <w:rPr>
          <w:rFonts w:ascii="宋体" w:hAnsi="宋体" w:cs="宋体"/>
          <w:spacing w:val="14"/>
          <w:sz w:val="24"/>
          <w:highlight w:val="none"/>
        </w:rPr>
      </w:pPr>
    </w:p>
    <w:p>
      <w:pPr>
        <w:pStyle w:val="36"/>
        <w:ind w:right="72" w:firstLine="536"/>
        <w:rPr>
          <w:rFonts w:ascii="宋体" w:hAnsi="宋体" w:cs="宋体"/>
          <w:spacing w:val="14"/>
          <w:sz w:val="24"/>
          <w:highlight w:val="none"/>
        </w:rPr>
      </w:pPr>
    </w:p>
    <w:p>
      <w:pPr>
        <w:pStyle w:val="36"/>
        <w:ind w:right="72" w:firstLine="536"/>
        <w:rPr>
          <w:rFonts w:ascii="宋体" w:hAnsi="宋体" w:cs="宋体"/>
          <w:spacing w:val="14"/>
          <w:sz w:val="24"/>
          <w:highlight w:val="none"/>
        </w:rPr>
      </w:pPr>
    </w:p>
    <w:p>
      <w:pPr>
        <w:pStyle w:val="43"/>
        <w:spacing w:before="0" w:after="0"/>
        <w:ind w:firstLine="562"/>
        <w:rPr>
          <w:rFonts w:hint="eastAsia" w:ascii="宋体" w:hAnsi="宋体" w:cs="宋体"/>
          <w:sz w:val="28"/>
          <w:szCs w:val="28"/>
          <w:highlight w:val="none"/>
        </w:rPr>
      </w:pPr>
      <w:bookmarkStart w:id="10" w:name="_Toc504741947"/>
      <w:bookmarkStart w:id="11" w:name="_Toc1660782"/>
      <w:bookmarkStart w:id="12" w:name="_Toc29055"/>
      <w:bookmarkStart w:id="13" w:name="_Toc256000005"/>
    </w:p>
    <w:p>
      <w:pPr>
        <w:pStyle w:val="43"/>
        <w:spacing w:before="0" w:after="0"/>
        <w:ind w:firstLine="562"/>
        <w:rPr>
          <w:rFonts w:hint="eastAsia" w:ascii="宋体" w:hAnsi="宋体" w:cs="宋体"/>
          <w:sz w:val="28"/>
          <w:szCs w:val="28"/>
          <w:highlight w:val="none"/>
        </w:rPr>
      </w:pPr>
    </w:p>
    <w:p>
      <w:pPr>
        <w:pStyle w:val="43"/>
        <w:spacing w:before="0" w:after="0"/>
        <w:ind w:firstLine="562"/>
        <w:rPr>
          <w:rFonts w:hint="eastAsia" w:ascii="宋体" w:hAnsi="宋体" w:cs="宋体"/>
          <w:sz w:val="28"/>
          <w:szCs w:val="28"/>
          <w:highlight w:val="none"/>
        </w:rPr>
      </w:pPr>
    </w:p>
    <w:p>
      <w:pPr>
        <w:pStyle w:val="43"/>
        <w:spacing w:before="0" w:after="0"/>
        <w:ind w:firstLine="562"/>
        <w:rPr>
          <w:rFonts w:hint="eastAsia" w:ascii="宋体" w:hAnsi="宋体" w:cs="宋体"/>
          <w:sz w:val="28"/>
          <w:szCs w:val="28"/>
          <w:highlight w:val="none"/>
        </w:rPr>
      </w:pPr>
    </w:p>
    <w:p>
      <w:pPr>
        <w:pStyle w:val="43"/>
        <w:spacing w:before="0" w:after="0"/>
        <w:ind w:firstLine="562"/>
        <w:rPr>
          <w:rFonts w:hint="eastAsia" w:ascii="宋体" w:hAnsi="宋体" w:cs="宋体"/>
          <w:sz w:val="28"/>
          <w:szCs w:val="28"/>
          <w:highlight w:val="none"/>
        </w:rPr>
      </w:pPr>
    </w:p>
    <w:p>
      <w:pPr>
        <w:pStyle w:val="43"/>
        <w:spacing w:before="0" w:after="0"/>
        <w:ind w:firstLine="562"/>
        <w:rPr>
          <w:rFonts w:ascii="宋体" w:hAnsi="宋体" w:cs="宋体"/>
          <w:sz w:val="28"/>
          <w:szCs w:val="28"/>
          <w:highlight w:val="none"/>
        </w:rPr>
      </w:pPr>
      <w:r>
        <w:rPr>
          <w:rFonts w:hint="eastAsia" w:ascii="宋体" w:hAnsi="宋体" w:cs="宋体"/>
          <w:sz w:val="28"/>
          <w:szCs w:val="28"/>
          <w:highlight w:val="none"/>
        </w:rPr>
        <w:t>第二章   投标人须知</w:t>
      </w:r>
      <w:bookmarkEnd w:id="10"/>
      <w:bookmarkEnd w:id="11"/>
      <w:bookmarkEnd w:id="12"/>
      <w:bookmarkEnd w:id="13"/>
    </w:p>
    <w:p>
      <w:pPr>
        <w:pStyle w:val="43"/>
        <w:spacing w:before="0" w:after="0"/>
        <w:ind w:firstLine="562"/>
        <w:rPr>
          <w:rFonts w:ascii="宋体" w:hAnsi="宋体" w:cs="宋体"/>
          <w:sz w:val="28"/>
          <w:szCs w:val="28"/>
          <w:highlight w:val="none"/>
        </w:rPr>
      </w:pPr>
      <w:r>
        <w:rPr>
          <w:rFonts w:hint="eastAsia" w:ascii="宋体" w:hAnsi="宋体" w:cs="宋体"/>
          <w:sz w:val="28"/>
          <w:szCs w:val="28"/>
          <w:highlight w:val="none"/>
        </w:rPr>
        <w:t>投标人须知前附表</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2"/>
        <w:gridCol w:w="1948"/>
        <w:gridCol w:w="60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 w:hRule="atLeast"/>
          <w:jc w:val="center"/>
        </w:trPr>
        <w:tc>
          <w:tcPr>
            <w:tcW w:w="1202" w:type="dxa"/>
            <w:vAlign w:val="center"/>
          </w:tcPr>
          <w:p>
            <w:pPr>
              <w:pStyle w:val="28"/>
              <w:spacing w:line="360" w:lineRule="auto"/>
              <w:ind w:firstLine="0"/>
              <w:jc w:val="center"/>
              <w:rPr>
                <w:rFonts w:ascii="宋体" w:hAnsi="宋体" w:eastAsia="宋体" w:cs="宋体"/>
                <w:spacing w:val="14"/>
                <w:sz w:val="24"/>
                <w:szCs w:val="24"/>
                <w:highlight w:val="none"/>
              </w:rPr>
            </w:pPr>
            <w:r>
              <w:rPr>
                <w:rFonts w:hint="eastAsia" w:ascii="宋体" w:hAnsi="宋体" w:eastAsia="宋体" w:cs="宋体"/>
                <w:spacing w:val="14"/>
                <w:sz w:val="24"/>
                <w:szCs w:val="24"/>
                <w:highlight w:val="none"/>
              </w:rPr>
              <w:t>条款号</w:t>
            </w:r>
          </w:p>
        </w:tc>
        <w:tc>
          <w:tcPr>
            <w:tcW w:w="1948" w:type="dxa"/>
            <w:vAlign w:val="center"/>
          </w:tcPr>
          <w:p>
            <w:pPr>
              <w:pStyle w:val="28"/>
              <w:spacing w:line="360" w:lineRule="auto"/>
              <w:ind w:firstLine="0"/>
              <w:jc w:val="center"/>
              <w:rPr>
                <w:rFonts w:ascii="宋体" w:hAnsi="宋体" w:eastAsia="宋体" w:cs="宋体"/>
                <w:spacing w:val="14"/>
                <w:sz w:val="24"/>
                <w:szCs w:val="24"/>
                <w:highlight w:val="none"/>
              </w:rPr>
            </w:pPr>
            <w:r>
              <w:rPr>
                <w:rFonts w:hint="eastAsia" w:ascii="宋体" w:hAnsi="宋体" w:eastAsia="宋体" w:cs="宋体"/>
                <w:spacing w:val="14"/>
                <w:sz w:val="24"/>
                <w:szCs w:val="24"/>
                <w:highlight w:val="none"/>
              </w:rPr>
              <w:t>名 称</w:t>
            </w:r>
          </w:p>
        </w:tc>
        <w:tc>
          <w:tcPr>
            <w:tcW w:w="6064" w:type="dxa"/>
            <w:vAlign w:val="center"/>
          </w:tcPr>
          <w:p>
            <w:pPr>
              <w:pStyle w:val="28"/>
              <w:spacing w:line="360" w:lineRule="auto"/>
              <w:ind w:firstLine="0"/>
              <w:jc w:val="center"/>
              <w:rPr>
                <w:rFonts w:ascii="宋体" w:hAnsi="宋体" w:eastAsia="宋体" w:cs="宋体"/>
                <w:spacing w:val="14"/>
                <w:sz w:val="24"/>
                <w:szCs w:val="24"/>
                <w:highlight w:val="none"/>
              </w:rPr>
            </w:pPr>
            <w:r>
              <w:rPr>
                <w:rFonts w:hint="eastAsia" w:ascii="宋体" w:hAnsi="宋体" w:eastAsia="宋体" w:cs="宋体"/>
                <w:spacing w:val="14"/>
                <w:sz w:val="24"/>
                <w:szCs w:val="24"/>
                <w:highlight w:val="none"/>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02" w:type="dxa"/>
            <w:vAlign w:val="center"/>
          </w:tcPr>
          <w:p>
            <w:pPr>
              <w:pStyle w:val="28"/>
              <w:spacing w:line="360" w:lineRule="auto"/>
              <w:ind w:firstLine="0"/>
              <w:jc w:val="center"/>
              <w:rPr>
                <w:rFonts w:ascii="宋体" w:hAnsi="宋体" w:eastAsia="宋体" w:cs="宋体"/>
                <w:spacing w:val="14"/>
                <w:sz w:val="24"/>
                <w:szCs w:val="24"/>
                <w:highlight w:val="none"/>
              </w:rPr>
            </w:pPr>
            <w:r>
              <w:rPr>
                <w:rFonts w:hint="eastAsia" w:ascii="宋体" w:hAnsi="宋体" w:eastAsia="宋体" w:cs="宋体"/>
                <w:spacing w:val="14"/>
                <w:sz w:val="24"/>
                <w:szCs w:val="24"/>
                <w:highlight w:val="none"/>
              </w:rPr>
              <w:t>1.1.2</w:t>
            </w:r>
          </w:p>
        </w:tc>
        <w:tc>
          <w:tcPr>
            <w:tcW w:w="1948" w:type="dxa"/>
            <w:vAlign w:val="center"/>
          </w:tcPr>
          <w:p>
            <w:pPr>
              <w:pStyle w:val="28"/>
              <w:spacing w:line="360" w:lineRule="auto"/>
              <w:ind w:firstLine="0"/>
              <w:jc w:val="left"/>
              <w:rPr>
                <w:rFonts w:ascii="宋体" w:hAnsi="宋体" w:eastAsia="宋体" w:cs="宋体"/>
                <w:spacing w:val="14"/>
                <w:sz w:val="24"/>
                <w:szCs w:val="24"/>
                <w:highlight w:val="none"/>
              </w:rPr>
            </w:pPr>
            <w:r>
              <w:rPr>
                <w:rFonts w:hint="eastAsia" w:ascii="宋体" w:hAnsi="宋体" w:eastAsia="宋体" w:cs="宋体"/>
                <w:spacing w:val="14"/>
                <w:sz w:val="24"/>
                <w:szCs w:val="24"/>
                <w:highlight w:val="none"/>
              </w:rPr>
              <w:t>采购人</w:t>
            </w:r>
          </w:p>
        </w:tc>
        <w:tc>
          <w:tcPr>
            <w:tcW w:w="6064" w:type="dxa"/>
            <w:vAlign w:val="center"/>
          </w:tcPr>
          <w:p>
            <w:pPr>
              <w:pStyle w:val="44"/>
              <w:spacing w:before="0" w:beforeAutospacing="0" w:after="0" w:afterAutospacing="0" w:line="360" w:lineRule="auto"/>
              <w:ind w:firstLine="0" w:firstLineChars="0"/>
              <w:jc w:val="both"/>
              <w:rPr>
                <w:rFonts w:cs="宋体"/>
                <w:sz w:val="24"/>
                <w:szCs w:val="24"/>
                <w:highlight w:val="none"/>
              </w:rPr>
            </w:pPr>
            <w:r>
              <w:rPr>
                <w:rFonts w:hint="eastAsia" w:cs="宋体"/>
                <w:sz w:val="24"/>
                <w:szCs w:val="24"/>
                <w:highlight w:val="none"/>
              </w:rPr>
              <w:t>名称：河南科技大学第二附属医院</w:t>
            </w:r>
          </w:p>
          <w:p>
            <w:pPr>
              <w:pStyle w:val="44"/>
              <w:spacing w:before="0" w:beforeAutospacing="0" w:after="0" w:afterAutospacing="0" w:line="360" w:lineRule="auto"/>
              <w:ind w:firstLine="0" w:firstLineChars="0"/>
              <w:jc w:val="both"/>
              <w:rPr>
                <w:rFonts w:cs="宋体"/>
                <w:sz w:val="24"/>
                <w:szCs w:val="24"/>
                <w:highlight w:val="none"/>
              </w:rPr>
            </w:pPr>
            <w:r>
              <w:rPr>
                <w:rFonts w:hint="eastAsia" w:cs="宋体"/>
                <w:sz w:val="24"/>
                <w:szCs w:val="24"/>
                <w:highlight w:val="none"/>
              </w:rPr>
              <w:t>地址：河南省洛阳市西工区金谷园路80 号</w:t>
            </w:r>
          </w:p>
          <w:p>
            <w:pPr>
              <w:pStyle w:val="44"/>
              <w:spacing w:before="0" w:beforeAutospacing="0" w:after="0" w:afterAutospacing="0" w:line="360" w:lineRule="auto"/>
              <w:ind w:firstLine="0" w:firstLineChars="0"/>
              <w:jc w:val="both"/>
              <w:rPr>
                <w:rFonts w:cs="宋体"/>
                <w:sz w:val="24"/>
                <w:szCs w:val="24"/>
                <w:highlight w:val="none"/>
              </w:rPr>
            </w:pPr>
            <w:r>
              <w:rPr>
                <w:rFonts w:hint="eastAsia" w:cs="宋体"/>
                <w:sz w:val="24"/>
                <w:szCs w:val="24"/>
                <w:highlight w:val="none"/>
              </w:rPr>
              <w:t>联系人：李先生</w:t>
            </w:r>
          </w:p>
          <w:p>
            <w:pPr>
              <w:pStyle w:val="44"/>
              <w:spacing w:before="0" w:beforeAutospacing="0" w:after="0" w:afterAutospacing="0" w:line="360" w:lineRule="auto"/>
              <w:ind w:firstLine="0" w:firstLineChars="0"/>
              <w:jc w:val="both"/>
              <w:rPr>
                <w:rFonts w:cs="宋体"/>
                <w:spacing w:val="14"/>
                <w:sz w:val="24"/>
                <w:szCs w:val="24"/>
                <w:highlight w:val="none"/>
              </w:rPr>
            </w:pPr>
            <w:r>
              <w:rPr>
                <w:rFonts w:hint="eastAsia" w:cs="宋体"/>
                <w:sz w:val="24"/>
                <w:szCs w:val="24"/>
                <w:highlight w:val="none"/>
              </w:rPr>
              <w:t>联系方式：0379-63626191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202" w:type="dxa"/>
            <w:vAlign w:val="center"/>
          </w:tcPr>
          <w:p>
            <w:pPr>
              <w:pStyle w:val="28"/>
              <w:spacing w:line="360" w:lineRule="auto"/>
              <w:ind w:firstLine="0"/>
              <w:jc w:val="center"/>
              <w:rPr>
                <w:rFonts w:ascii="宋体" w:hAnsi="宋体" w:eastAsia="宋体" w:cs="宋体"/>
                <w:spacing w:val="14"/>
                <w:sz w:val="24"/>
                <w:szCs w:val="24"/>
                <w:highlight w:val="none"/>
              </w:rPr>
            </w:pPr>
            <w:r>
              <w:rPr>
                <w:rFonts w:hint="eastAsia" w:ascii="宋体" w:hAnsi="宋体" w:eastAsia="宋体" w:cs="宋体"/>
                <w:spacing w:val="14"/>
                <w:sz w:val="24"/>
                <w:szCs w:val="24"/>
                <w:highlight w:val="none"/>
              </w:rPr>
              <w:t>1.1.3</w:t>
            </w:r>
          </w:p>
        </w:tc>
        <w:tc>
          <w:tcPr>
            <w:tcW w:w="1948" w:type="dxa"/>
            <w:vAlign w:val="center"/>
          </w:tcPr>
          <w:p>
            <w:pPr>
              <w:pStyle w:val="28"/>
              <w:spacing w:line="360" w:lineRule="auto"/>
              <w:ind w:firstLine="0"/>
              <w:jc w:val="left"/>
              <w:rPr>
                <w:rFonts w:ascii="宋体" w:hAnsi="宋体" w:eastAsia="宋体" w:cs="宋体"/>
                <w:spacing w:val="14"/>
                <w:sz w:val="24"/>
                <w:szCs w:val="24"/>
                <w:highlight w:val="none"/>
              </w:rPr>
            </w:pPr>
            <w:r>
              <w:rPr>
                <w:rFonts w:hint="eastAsia" w:ascii="宋体" w:hAnsi="宋体" w:eastAsia="宋体" w:cs="宋体"/>
                <w:spacing w:val="14"/>
                <w:sz w:val="24"/>
                <w:szCs w:val="24"/>
                <w:highlight w:val="none"/>
              </w:rPr>
              <w:t>采购代理机构</w:t>
            </w:r>
          </w:p>
        </w:tc>
        <w:tc>
          <w:tcPr>
            <w:tcW w:w="6064" w:type="dxa"/>
            <w:vAlign w:val="center"/>
          </w:tcPr>
          <w:p>
            <w:pPr>
              <w:pStyle w:val="28"/>
              <w:spacing w:line="360" w:lineRule="auto"/>
              <w:ind w:firstLine="0"/>
              <w:jc w:val="left"/>
              <w:rPr>
                <w:rFonts w:ascii="宋体" w:hAnsi="宋体" w:eastAsia="宋体" w:cs="宋体"/>
                <w:spacing w:val="14"/>
                <w:sz w:val="24"/>
                <w:szCs w:val="24"/>
                <w:highlight w:val="none"/>
              </w:rPr>
            </w:pPr>
            <w:r>
              <w:rPr>
                <w:rFonts w:hint="eastAsia" w:ascii="宋体" w:hAnsi="宋体" w:eastAsia="宋体" w:cs="宋体"/>
                <w:spacing w:val="14"/>
                <w:sz w:val="24"/>
                <w:szCs w:val="24"/>
                <w:highlight w:val="none"/>
              </w:rPr>
              <w:t>名称：河南平业建设工程技术咨询有限公司</w:t>
            </w:r>
          </w:p>
          <w:p>
            <w:pPr>
              <w:pStyle w:val="28"/>
              <w:spacing w:line="360" w:lineRule="auto"/>
              <w:ind w:firstLine="0"/>
              <w:jc w:val="left"/>
              <w:rPr>
                <w:rFonts w:ascii="宋体" w:hAnsi="宋体" w:eastAsia="宋体" w:cs="宋体"/>
                <w:spacing w:val="14"/>
                <w:sz w:val="24"/>
                <w:szCs w:val="24"/>
                <w:highlight w:val="none"/>
              </w:rPr>
            </w:pPr>
            <w:r>
              <w:rPr>
                <w:rFonts w:hint="eastAsia" w:ascii="宋体" w:hAnsi="宋体" w:eastAsia="宋体" w:cs="宋体"/>
                <w:spacing w:val="14"/>
                <w:sz w:val="24"/>
                <w:szCs w:val="24"/>
                <w:highlight w:val="none"/>
              </w:rPr>
              <w:t>地址：河南自贸试验区郑州片区（郑东）金水东路51号楷林商务中心北区二单元7层03、04号房</w:t>
            </w:r>
          </w:p>
          <w:p>
            <w:pPr>
              <w:pStyle w:val="28"/>
              <w:spacing w:line="360" w:lineRule="auto"/>
              <w:ind w:firstLine="0"/>
              <w:jc w:val="left"/>
              <w:rPr>
                <w:rFonts w:ascii="宋体" w:hAnsi="宋体" w:eastAsia="宋体" w:cs="宋体"/>
                <w:spacing w:val="14"/>
                <w:sz w:val="24"/>
                <w:szCs w:val="24"/>
                <w:highlight w:val="none"/>
              </w:rPr>
            </w:pPr>
            <w:r>
              <w:rPr>
                <w:rFonts w:hint="eastAsia" w:ascii="宋体" w:hAnsi="宋体" w:eastAsia="宋体" w:cs="宋体"/>
                <w:spacing w:val="14"/>
                <w:sz w:val="24"/>
                <w:szCs w:val="24"/>
                <w:highlight w:val="none"/>
              </w:rPr>
              <w:t>联系人：王女士</w:t>
            </w:r>
          </w:p>
          <w:p>
            <w:pPr>
              <w:pStyle w:val="28"/>
              <w:spacing w:line="360" w:lineRule="auto"/>
              <w:ind w:firstLine="0"/>
              <w:jc w:val="left"/>
              <w:rPr>
                <w:rFonts w:ascii="宋体" w:hAnsi="宋体" w:eastAsia="宋体" w:cs="宋体"/>
                <w:spacing w:val="14"/>
                <w:sz w:val="24"/>
                <w:szCs w:val="24"/>
                <w:highlight w:val="none"/>
              </w:rPr>
            </w:pPr>
            <w:r>
              <w:rPr>
                <w:rFonts w:hint="eastAsia" w:ascii="宋体" w:hAnsi="宋体" w:eastAsia="宋体" w:cs="宋体"/>
                <w:spacing w:val="14"/>
                <w:sz w:val="24"/>
                <w:szCs w:val="24"/>
                <w:highlight w:val="none"/>
              </w:rPr>
              <w:t>电话：0379-60675077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202" w:type="dxa"/>
            <w:vAlign w:val="center"/>
          </w:tcPr>
          <w:p>
            <w:pPr>
              <w:pStyle w:val="28"/>
              <w:spacing w:line="360" w:lineRule="auto"/>
              <w:ind w:firstLine="0"/>
              <w:jc w:val="center"/>
              <w:rPr>
                <w:rFonts w:ascii="宋体" w:hAnsi="宋体" w:eastAsia="宋体" w:cs="宋体"/>
                <w:spacing w:val="14"/>
                <w:sz w:val="24"/>
                <w:szCs w:val="24"/>
                <w:highlight w:val="none"/>
              </w:rPr>
            </w:pPr>
            <w:r>
              <w:rPr>
                <w:rFonts w:hint="eastAsia" w:ascii="宋体" w:hAnsi="宋体" w:eastAsia="宋体" w:cs="宋体"/>
                <w:spacing w:val="14"/>
                <w:sz w:val="24"/>
                <w:szCs w:val="24"/>
                <w:highlight w:val="none"/>
              </w:rPr>
              <w:t>1.1.4</w:t>
            </w:r>
          </w:p>
        </w:tc>
        <w:tc>
          <w:tcPr>
            <w:tcW w:w="1948" w:type="dxa"/>
            <w:vAlign w:val="center"/>
          </w:tcPr>
          <w:p>
            <w:pPr>
              <w:pStyle w:val="28"/>
              <w:spacing w:line="360" w:lineRule="auto"/>
              <w:ind w:firstLine="0"/>
              <w:jc w:val="left"/>
              <w:rPr>
                <w:rFonts w:ascii="宋体" w:hAnsi="宋体" w:eastAsia="宋体" w:cs="宋体"/>
                <w:spacing w:val="14"/>
                <w:sz w:val="24"/>
                <w:szCs w:val="24"/>
                <w:highlight w:val="none"/>
              </w:rPr>
            </w:pPr>
            <w:r>
              <w:rPr>
                <w:rFonts w:hint="eastAsia" w:ascii="宋体" w:hAnsi="宋体" w:eastAsia="宋体" w:cs="宋体"/>
                <w:spacing w:val="14"/>
                <w:sz w:val="24"/>
                <w:szCs w:val="24"/>
                <w:highlight w:val="none"/>
              </w:rPr>
              <w:t>招标项目名称</w:t>
            </w:r>
          </w:p>
        </w:tc>
        <w:tc>
          <w:tcPr>
            <w:tcW w:w="6064" w:type="dxa"/>
            <w:vAlign w:val="center"/>
          </w:tcPr>
          <w:p>
            <w:pPr>
              <w:pStyle w:val="28"/>
              <w:spacing w:line="360" w:lineRule="auto"/>
              <w:ind w:firstLine="0"/>
              <w:jc w:val="left"/>
              <w:rPr>
                <w:rFonts w:ascii="宋体" w:hAnsi="宋体" w:eastAsia="宋体" w:cs="宋体"/>
                <w:spacing w:val="14"/>
                <w:sz w:val="24"/>
                <w:szCs w:val="24"/>
                <w:highlight w:val="none"/>
                <w:u w:val="single" w:color="000000"/>
              </w:rPr>
            </w:pPr>
            <w:r>
              <w:rPr>
                <w:rFonts w:hint="eastAsia" w:ascii="宋体" w:hAnsi="宋体" w:eastAsia="宋体" w:cs="宋体"/>
                <w:spacing w:val="14"/>
                <w:sz w:val="24"/>
                <w:szCs w:val="24"/>
                <w:highlight w:val="none"/>
              </w:rPr>
              <w:t>河南科技大学第二附属医院介入手术医疗设备采购项目（第一批）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202" w:type="dxa"/>
            <w:vAlign w:val="center"/>
          </w:tcPr>
          <w:p>
            <w:pPr>
              <w:pStyle w:val="28"/>
              <w:spacing w:line="360" w:lineRule="auto"/>
              <w:ind w:firstLine="0"/>
              <w:jc w:val="center"/>
              <w:rPr>
                <w:rFonts w:ascii="宋体" w:hAnsi="宋体" w:eastAsia="宋体" w:cs="宋体"/>
                <w:spacing w:val="14"/>
                <w:sz w:val="24"/>
                <w:szCs w:val="24"/>
                <w:highlight w:val="none"/>
              </w:rPr>
            </w:pPr>
            <w:r>
              <w:rPr>
                <w:rFonts w:hint="eastAsia" w:ascii="宋体" w:hAnsi="宋体" w:eastAsia="宋体" w:cs="宋体"/>
                <w:spacing w:val="14"/>
                <w:sz w:val="24"/>
                <w:szCs w:val="24"/>
                <w:highlight w:val="none"/>
              </w:rPr>
              <w:t>1.1.5</w:t>
            </w:r>
          </w:p>
        </w:tc>
        <w:tc>
          <w:tcPr>
            <w:tcW w:w="1948" w:type="dxa"/>
            <w:vAlign w:val="center"/>
          </w:tcPr>
          <w:p>
            <w:pPr>
              <w:pStyle w:val="28"/>
              <w:spacing w:line="360" w:lineRule="auto"/>
              <w:ind w:firstLine="0"/>
              <w:jc w:val="left"/>
              <w:rPr>
                <w:rFonts w:ascii="宋体" w:hAnsi="宋体" w:eastAsia="宋体" w:cs="宋体"/>
                <w:spacing w:val="14"/>
                <w:sz w:val="24"/>
                <w:szCs w:val="24"/>
                <w:highlight w:val="none"/>
              </w:rPr>
            </w:pPr>
            <w:r>
              <w:rPr>
                <w:rFonts w:hint="eastAsia" w:ascii="宋体" w:hAnsi="宋体" w:eastAsia="宋体" w:cs="宋体"/>
                <w:spacing w:val="14"/>
                <w:sz w:val="24"/>
                <w:szCs w:val="24"/>
                <w:highlight w:val="none"/>
              </w:rPr>
              <w:t>落实政府采购政策要求</w:t>
            </w:r>
          </w:p>
        </w:tc>
        <w:tc>
          <w:tcPr>
            <w:tcW w:w="6064" w:type="dxa"/>
            <w:vAlign w:val="center"/>
          </w:tcPr>
          <w:p>
            <w:pPr>
              <w:pStyle w:val="28"/>
              <w:spacing w:line="360" w:lineRule="auto"/>
              <w:ind w:firstLine="0"/>
              <w:jc w:val="left"/>
              <w:rPr>
                <w:rFonts w:ascii="宋体" w:hAnsi="宋体" w:eastAsia="宋体" w:cs="宋体"/>
                <w:sz w:val="24"/>
                <w:szCs w:val="24"/>
                <w:highlight w:val="none"/>
              </w:rPr>
            </w:pPr>
            <w:r>
              <w:rPr>
                <w:rFonts w:hint="eastAsia" w:ascii="宋体" w:hAnsi="宋体" w:eastAsia="宋体" w:cs="宋体"/>
                <w:sz w:val="24"/>
                <w:szCs w:val="24"/>
                <w:highlight w:val="none"/>
              </w:rPr>
              <w:t>（1）本项目执行节约能源、保护环境、扶持不发达地区和少数民族地区、节能环保产品优先采购等政府采购政策，支持中小微（监狱、残疾人福利性单位）企业。</w:t>
            </w:r>
          </w:p>
          <w:p>
            <w:pPr>
              <w:pStyle w:val="28"/>
              <w:spacing w:line="360" w:lineRule="auto"/>
              <w:ind w:firstLine="0"/>
              <w:jc w:val="left"/>
              <w:rPr>
                <w:rFonts w:ascii="宋体" w:hAnsi="宋体" w:eastAsia="宋体" w:cs="宋体"/>
                <w:sz w:val="24"/>
                <w:szCs w:val="24"/>
                <w:highlight w:val="none"/>
              </w:rPr>
            </w:pPr>
            <w:r>
              <w:rPr>
                <w:rFonts w:hint="eastAsia" w:ascii="宋体" w:hAnsi="宋体" w:eastAsia="宋体" w:cs="宋体"/>
                <w:sz w:val="24"/>
                <w:szCs w:val="24"/>
                <w:highlight w:val="none"/>
              </w:rPr>
              <w:t>（2）依据洛阳市洛财购【2021】1号文件精神，根据财政部工业和信息化部《政府采购促进中小企业发展管理办法》（财库【2020】46号）的规定，本项目支持中小（监狱、残疾人福利性单位）企业；</w:t>
            </w:r>
          </w:p>
          <w:p>
            <w:pPr>
              <w:pStyle w:val="28"/>
              <w:spacing w:line="360" w:lineRule="auto"/>
              <w:ind w:firstLine="0"/>
              <w:jc w:val="left"/>
              <w:rPr>
                <w:rFonts w:ascii="宋体" w:hAnsi="宋体" w:eastAsia="宋体" w:cs="宋体"/>
                <w:sz w:val="24"/>
                <w:szCs w:val="24"/>
                <w:highlight w:val="none"/>
              </w:rPr>
            </w:pPr>
            <w:r>
              <w:rPr>
                <w:rFonts w:hint="eastAsia" w:ascii="宋体" w:hAnsi="宋体" w:eastAsia="宋体" w:cs="宋体"/>
                <w:sz w:val="24"/>
                <w:szCs w:val="24"/>
                <w:highlight w:val="none"/>
              </w:rPr>
              <w:t>（3）根据豫财办[2020]33号文件要求，参加政府采购项目的中小微企业供应商，持中标(成交)通知书可向金融机构申请合同融资。详情请登录河南省政府采购网(http://www.hngp.gov.cn/)，进入网站飘窗或业务指南窗口了解金融机构提供的融资服务内容。</w:t>
            </w:r>
          </w:p>
          <w:p>
            <w:pPr>
              <w:pStyle w:val="28"/>
              <w:spacing w:line="360" w:lineRule="auto"/>
              <w:ind w:firstLine="0"/>
              <w:jc w:val="left"/>
              <w:rPr>
                <w:rFonts w:ascii="宋体" w:hAnsi="宋体" w:eastAsia="宋体" w:cs="宋体"/>
                <w:sz w:val="24"/>
                <w:szCs w:val="24"/>
                <w:highlight w:val="none"/>
              </w:rPr>
            </w:pPr>
            <w:r>
              <w:rPr>
                <w:rFonts w:hint="eastAsia" w:ascii="宋体" w:hAnsi="宋体" w:eastAsia="宋体" w:cs="宋体"/>
                <w:sz w:val="24"/>
                <w:szCs w:val="24"/>
                <w:highlight w:val="none"/>
              </w:rPr>
              <w:t>①涉及价格评审优惠的相关单位应出具《中小企业声明函》（或《残疾人福利性单位声明函》或监狱企业证明文件）。</w:t>
            </w:r>
          </w:p>
          <w:p>
            <w:pPr>
              <w:pStyle w:val="28"/>
              <w:spacing w:line="360" w:lineRule="auto"/>
              <w:ind w:firstLine="0"/>
              <w:jc w:val="left"/>
              <w:rPr>
                <w:rFonts w:ascii="宋体" w:hAnsi="宋体" w:eastAsia="宋体" w:cs="宋体"/>
                <w:sz w:val="24"/>
                <w:szCs w:val="24"/>
                <w:highlight w:val="none"/>
              </w:rPr>
            </w:pPr>
            <w:r>
              <w:rPr>
                <w:rFonts w:hint="eastAsia" w:ascii="宋体" w:hAnsi="宋体" w:eastAsia="宋体" w:cs="宋体"/>
                <w:sz w:val="24"/>
                <w:szCs w:val="24"/>
                <w:highlight w:val="none"/>
              </w:rPr>
              <w:t>②货物全部由小微企业制造的，对符合《政府采购促进中小企业发展管理办法》规定的供应商报价给予10%的价格扣除，用扣除后的价格参加评审。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2" w:hRule="atLeast"/>
          <w:jc w:val="center"/>
        </w:trPr>
        <w:tc>
          <w:tcPr>
            <w:tcW w:w="1202" w:type="dxa"/>
            <w:vAlign w:val="center"/>
          </w:tcPr>
          <w:p>
            <w:pPr>
              <w:pStyle w:val="28"/>
              <w:spacing w:line="360" w:lineRule="auto"/>
              <w:ind w:firstLine="0"/>
              <w:jc w:val="center"/>
              <w:rPr>
                <w:rFonts w:ascii="宋体" w:hAnsi="宋体" w:eastAsia="宋体" w:cs="宋体"/>
                <w:spacing w:val="14"/>
                <w:sz w:val="24"/>
                <w:szCs w:val="24"/>
                <w:highlight w:val="none"/>
              </w:rPr>
            </w:pPr>
            <w:r>
              <w:rPr>
                <w:rFonts w:hint="eastAsia" w:ascii="宋体" w:hAnsi="宋体" w:eastAsia="宋体" w:cs="宋体"/>
                <w:spacing w:val="14"/>
                <w:sz w:val="24"/>
                <w:szCs w:val="24"/>
                <w:highlight w:val="none"/>
              </w:rPr>
              <w:t>1.1.6</w:t>
            </w:r>
          </w:p>
        </w:tc>
        <w:tc>
          <w:tcPr>
            <w:tcW w:w="1948" w:type="dxa"/>
            <w:vAlign w:val="center"/>
          </w:tcPr>
          <w:p>
            <w:pPr>
              <w:pStyle w:val="28"/>
              <w:spacing w:line="360" w:lineRule="auto"/>
              <w:ind w:firstLine="0"/>
              <w:jc w:val="left"/>
              <w:rPr>
                <w:rFonts w:ascii="宋体" w:hAnsi="宋体" w:eastAsia="宋体" w:cs="宋体"/>
                <w:spacing w:val="14"/>
                <w:sz w:val="24"/>
                <w:szCs w:val="24"/>
                <w:highlight w:val="none"/>
              </w:rPr>
            </w:pPr>
            <w:r>
              <w:rPr>
                <w:rFonts w:hint="eastAsia" w:ascii="宋体" w:hAnsi="宋体" w:eastAsia="宋体" w:cs="宋体"/>
                <w:spacing w:val="14"/>
                <w:sz w:val="24"/>
                <w:szCs w:val="24"/>
                <w:highlight w:val="none"/>
              </w:rPr>
              <w:t>是否接受进口产品</w:t>
            </w:r>
          </w:p>
        </w:tc>
        <w:tc>
          <w:tcPr>
            <w:tcW w:w="6064" w:type="dxa"/>
            <w:vAlign w:val="center"/>
          </w:tcPr>
          <w:p>
            <w:pPr>
              <w:pStyle w:val="28"/>
              <w:spacing w:line="360" w:lineRule="auto"/>
              <w:ind w:firstLine="0"/>
              <w:jc w:val="left"/>
              <w:rPr>
                <w:rFonts w:ascii="宋体" w:hAnsi="宋体" w:eastAsia="宋体" w:cs="宋体"/>
                <w:spacing w:val="14"/>
                <w:sz w:val="24"/>
                <w:szCs w:val="24"/>
                <w:highlight w:val="none"/>
              </w:rPr>
            </w:pPr>
            <w:r>
              <w:rPr>
                <w:rFonts w:hint="eastAsia" w:ascii="宋体" w:hAnsi="宋体" w:eastAsia="宋体" w:cs="宋体"/>
                <w:spacing w:val="14"/>
                <w:sz w:val="24"/>
                <w:szCs w:val="24"/>
                <w:highlight w:val="none"/>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202" w:type="dxa"/>
            <w:vAlign w:val="center"/>
          </w:tcPr>
          <w:p>
            <w:pPr>
              <w:pStyle w:val="28"/>
              <w:spacing w:line="360" w:lineRule="auto"/>
              <w:ind w:firstLine="0"/>
              <w:jc w:val="center"/>
              <w:rPr>
                <w:rFonts w:ascii="宋体" w:hAnsi="宋体" w:eastAsia="宋体" w:cs="宋体"/>
                <w:spacing w:val="14"/>
                <w:sz w:val="24"/>
                <w:szCs w:val="24"/>
                <w:highlight w:val="none"/>
              </w:rPr>
            </w:pPr>
            <w:r>
              <w:rPr>
                <w:rFonts w:hint="eastAsia" w:ascii="宋体" w:hAnsi="宋体" w:eastAsia="宋体" w:cs="宋体"/>
                <w:spacing w:val="14"/>
                <w:sz w:val="24"/>
                <w:szCs w:val="24"/>
                <w:highlight w:val="none"/>
              </w:rPr>
              <w:t>1.1.7</w:t>
            </w:r>
          </w:p>
        </w:tc>
        <w:tc>
          <w:tcPr>
            <w:tcW w:w="1948" w:type="dxa"/>
            <w:vAlign w:val="center"/>
          </w:tcPr>
          <w:p>
            <w:pPr>
              <w:pStyle w:val="28"/>
              <w:spacing w:line="360" w:lineRule="auto"/>
              <w:ind w:firstLine="0"/>
              <w:jc w:val="left"/>
              <w:rPr>
                <w:rFonts w:ascii="宋体" w:hAnsi="宋体" w:eastAsia="宋体" w:cs="宋体"/>
                <w:spacing w:val="14"/>
                <w:sz w:val="24"/>
                <w:szCs w:val="24"/>
                <w:highlight w:val="none"/>
              </w:rPr>
            </w:pPr>
            <w:r>
              <w:rPr>
                <w:rFonts w:hint="eastAsia" w:ascii="宋体" w:hAnsi="宋体" w:eastAsia="宋体" w:cs="宋体"/>
                <w:spacing w:val="14"/>
                <w:sz w:val="24"/>
                <w:szCs w:val="24"/>
                <w:highlight w:val="none"/>
              </w:rPr>
              <w:t>政府采购管理部门备案编号</w:t>
            </w:r>
          </w:p>
        </w:tc>
        <w:tc>
          <w:tcPr>
            <w:tcW w:w="6064" w:type="dxa"/>
            <w:vAlign w:val="center"/>
          </w:tcPr>
          <w:p>
            <w:pPr>
              <w:pStyle w:val="28"/>
              <w:spacing w:line="360" w:lineRule="auto"/>
              <w:ind w:firstLine="0"/>
              <w:rPr>
                <w:rFonts w:ascii="宋体" w:hAnsi="宋体" w:eastAsia="宋体" w:cs="宋体"/>
                <w:spacing w:val="14"/>
                <w:sz w:val="24"/>
                <w:szCs w:val="24"/>
                <w:highlight w:val="none"/>
              </w:rPr>
            </w:pPr>
            <w:r>
              <w:rPr>
                <w:rFonts w:ascii="宋体" w:hAnsi="宋体" w:eastAsia="宋体" w:cs="宋体"/>
                <w:spacing w:val="14"/>
                <w:sz w:val="24"/>
                <w:szCs w:val="24"/>
                <w:highlight w:val="none"/>
              </w:rPr>
              <w:t>洛采公开-2023-253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202" w:type="dxa"/>
            <w:vAlign w:val="center"/>
          </w:tcPr>
          <w:p>
            <w:pPr>
              <w:pStyle w:val="28"/>
              <w:spacing w:line="360" w:lineRule="auto"/>
              <w:ind w:firstLine="0"/>
              <w:jc w:val="center"/>
              <w:rPr>
                <w:rFonts w:ascii="宋体" w:hAnsi="宋体" w:eastAsia="宋体" w:cs="宋体"/>
                <w:spacing w:val="14"/>
                <w:sz w:val="24"/>
                <w:szCs w:val="24"/>
                <w:highlight w:val="none"/>
              </w:rPr>
            </w:pPr>
            <w:r>
              <w:rPr>
                <w:rFonts w:hint="eastAsia" w:ascii="宋体" w:hAnsi="宋体" w:eastAsia="宋体" w:cs="宋体"/>
                <w:spacing w:val="14"/>
                <w:sz w:val="24"/>
                <w:szCs w:val="24"/>
                <w:highlight w:val="none"/>
              </w:rPr>
              <w:t>1.1.8</w:t>
            </w:r>
          </w:p>
        </w:tc>
        <w:tc>
          <w:tcPr>
            <w:tcW w:w="1948" w:type="dxa"/>
            <w:vAlign w:val="center"/>
          </w:tcPr>
          <w:p>
            <w:pPr>
              <w:pStyle w:val="28"/>
              <w:spacing w:line="360" w:lineRule="auto"/>
              <w:ind w:firstLine="0"/>
              <w:jc w:val="left"/>
              <w:rPr>
                <w:rFonts w:ascii="宋体" w:hAnsi="宋体" w:eastAsia="宋体" w:cs="宋体"/>
                <w:spacing w:val="14"/>
                <w:sz w:val="24"/>
                <w:szCs w:val="24"/>
                <w:highlight w:val="none"/>
              </w:rPr>
            </w:pPr>
            <w:r>
              <w:rPr>
                <w:rFonts w:hint="eastAsia" w:ascii="宋体" w:hAnsi="宋体" w:eastAsia="宋体" w:cs="宋体"/>
                <w:spacing w:val="14"/>
                <w:sz w:val="24"/>
                <w:szCs w:val="24"/>
                <w:highlight w:val="none"/>
              </w:rPr>
              <w:t>项目编号</w:t>
            </w:r>
          </w:p>
        </w:tc>
        <w:tc>
          <w:tcPr>
            <w:tcW w:w="6064" w:type="dxa"/>
            <w:vAlign w:val="center"/>
          </w:tcPr>
          <w:p>
            <w:pPr>
              <w:pStyle w:val="28"/>
              <w:spacing w:line="360" w:lineRule="auto"/>
              <w:ind w:firstLine="0"/>
              <w:jc w:val="left"/>
              <w:rPr>
                <w:rFonts w:ascii="宋体" w:hAnsi="宋体" w:eastAsia="宋体" w:cs="宋体"/>
                <w:spacing w:val="14"/>
                <w:sz w:val="24"/>
                <w:szCs w:val="24"/>
                <w:highlight w:val="none"/>
              </w:rPr>
            </w:pPr>
            <w:r>
              <w:rPr>
                <w:rFonts w:ascii="宋体" w:hAnsi="宋体" w:eastAsia="宋体" w:cs="宋体"/>
                <w:spacing w:val="14"/>
                <w:sz w:val="24"/>
                <w:szCs w:val="24"/>
                <w:highlight w:val="none"/>
              </w:rPr>
              <w:t>洛直政采招标(2023)0758号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202" w:type="dxa"/>
            <w:vAlign w:val="center"/>
          </w:tcPr>
          <w:p>
            <w:pPr>
              <w:pStyle w:val="28"/>
              <w:spacing w:line="360" w:lineRule="auto"/>
              <w:ind w:firstLine="0"/>
              <w:jc w:val="center"/>
              <w:rPr>
                <w:rFonts w:ascii="宋体" w:hAnsi="宋体" w:eastAsia="宋体" w:cs="宋体"/>
                <w:spacing w:val="14"/>
                <w:sz w:val="24"/>
                <w:szCs w:val="24"/>
                <w:highlight w:val="none"/>
              </w:rPr>
            </w:pPr>
            <w:r>
              <w:rPr>
                <w:rFonts w:hint="eastAsia" w:ascii="宋体" w:hAnsi="宋体" w:eastAsia="宋体" w:cs="宋体"/>
                <w:spacing w:val="14"/>
                <w:sz w:val="24"/>
                <w:szCs w:val="24"/>
                <w:highlight w:val="none"/>
              </w:rPr>
              <w:t>1.1.9</w:t>
            </w:r>
          </w:p>
        </w:tc>
        <w:tc>
          <w:tcPr>
            <w:tcW w:w="1948" w:type="dxa"/>
            <w:vAlign w:val="center"/>
          </w:tcPr>
          <w:p>
            <w:pPr>
              <w:pStyle w:val="28"/>
              <w:spacing w:line="360" w:lineRule="auto"/>
              <w:ind w:firstLine="0"/>
              <w:jc w:val="left"/>
              <w:rPr>
                <w:rFonts w:ascii="宋体" w:hAnsi="宋体" w:eastAsia="宋体" w:cs="宋体"/>
                <w:spacing w:val="14"/>
                <w:sz w:val="24"/>
                <w:szCs w:val="24"/>
                <w:highlight w:val="none"/>
              </w:rPr>
            </w:pPr>
            <w:r>
              <w:rPr>
                <w:rFonts w:hint="eastAsia" w:ascii="宋体" w:hAnsi="宋体" w:eastAsia="宋体" w:cs="宋体"/>
                <w:spacing w:val="14"/>
                <w:sz w:val="24"/>
                <w:szCs w:val="24"/>
                <w:highlight w:val="none"/>
              </w:rPr>
              <w:t>标段划分</w:t>
            </w:r>
          </w:p>
        </w:tc>
        <w:tc>
          <w:tcPr>
            <w:tcW w:w="6064" w:type="dxa"/>
            <w:vAlign w:val="center"/>
          </w:tcPr>
          <w:p>
            <w:pPr>
              <w:pStyle w:val="28"/>
              <w:spacing w:line="360" w:lineRule="auto"/>
              <w:ind w:firstLine="0"/>
              <w:rPr>
                <w:rFonts w:ascii="宋体" w:hAnsi="宋体" w:eastAsia="宋体" w:cs="宋体"/>
                <w:spacing w:val="14"/>
                <w:sz w:val="24"/>
                <w:szCs w:val="24"/>
                <w:highlight w:val="none"/>
              </w:rPr>
            </w:pPr>
            <w:r>
              <w:rPr>
                <w:rFonts w:hint="eastAsia" w:ascii="宋体" w:hAnsi="宋体" w:eastAsia="宋体" w:cs="宋体"/>
                <w:spacing w:val="14"/>
                <w:sz w:val="24"/>
                <w:szCs w:val="24"/>
                <w:highlight w:val="none"/>
              </w:rPr>
              <w:t>本项目共划分为 1 个包，投标人应就本项目进行完整响应，否则将不被接受。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202" w:type="dxa"/>
            <w:vAlign w:val="center"/>
          </w:tcPr>
          <w:p>
            <w:pPr>
              <w:pStyle w:val="28"/>
              <w:spacing w:line="360" w:lineRule="auto"/>
              <w:ind w:firstLine="0"/>
              <w:jc w:val="left"/>
              <w:rPr>
                <w:rFonts w:ascii="宋体" w:hAnsi="宋体" w:eastAsia="宋体" w:cs="宋体"/>
                <w:spacing w:val="14"/>
                <w:sz w:val="24"/>
                <w:szCs w:val="24"/>
                <w:highlight w:val="none"/>
              </w:rPr>
            </w:pPr>
            <w:r>
              <w:rPr>
                <w:rFonts w:hint="eastAsia" w:ascii="宋体" w:hAnsi="宋体" w:eastAsia="宋体" w:cs="宋体"/>
                <w:spacing w:val="14"/>
                <w:sz w:val="24"/>
                <w:szCs w:val="24"/>
                <w:highlight w:val="none"/>
              </w:rPr>
              <w:t>1.1.10</w:t>
            </w:r>
          </w:p>
        </w:tc>
        <w:tc>
          <w:tcPr>
            <w:tcW w:w="1948" w:type="dxa"/>
            <w:vAlign w:val="center"/>
          </w:tcPr>
          <w:p>
            <w:pPr>
              <w:pStyle w:val="28"/>
              <w:spacing w:line="360" w:lineRule="auto"/>
              <w:ind w:firstLine="0"/>
              <w:jc w:val="left"/>
              <w:rPr>
                <w:rFonts w:ascii="宋体" w:hAnsi="宋体" w:eastAsia="宋体" w:cs="宋体"/>
                <w:spacing w:val="14"/>
                <w:sz w:val="24"/>
                <w:szCs w:val="24"/>
                <w:highlight w:val="none"/>
              </w:rPr>
            </w:pPr>
            <w:r>
              <w:rPr>
                <w:rFonts w:hint="eastAsia" w:ascii="宋体" w:hAnsi="宋体" w:eastAsia="宋体" w:cs="宋体"/>
                <w:spacing w:val="14"/>
                <w:sz w:val="24"/>
                <w:szCs w:val="24"/>
                <w:highlight w:val="none"/>
              </w:rPr>
              <w:t>招标范围</w:t>
            </w:r>
          </w:p>
        </w:tc>
        <w:tc>
          <w:tcPr>
            <w:tcW w:w="6064" w:type="dxa"/>
            <w:vAlign w:val="center"/>
          </w:tcPr>
          <w:p>
            <w:pPr>
              <w:pStyle w:val="28"/>
              <w:spacing w:line="360" w:lineRule="auto"/>
              <w:ind w:firstLine="0"/>
              <w:jc w:val="left"/>
              <w:rPr>
                <w:rFonts w:ascii="宋体" w:hAnsi="宋体" w:eastAsia="宋体" w:cs="宋体"/>
                <w:spacing w:val="14"/>
                <w:sz w:val="24"/>
                <w:szCs w:val="24"/>
                <w:highlight w:val="none"/>
              </w:rPr>
            </w:pPr>
            <w:r>
              <w:rPr>
                <w:rFonts w:hint="eastAsia" w:ascii="宋体" w:hAnsi="宋体" w:eastAsia="宋体" w:cs="宋体"/>
                <w:spacing w:val="14"/>
                <w:sz w:val="24"/>
                <w:szCs w:val="24"/>
                <w:highlight w:val="none"/>
              </w:rPr>
              <w:t>本次拟采购血管内超声(IVUS)设备1台，最终采购数量、预算金额以招标文件为准（详见招标文件采购需求的采购清单部分）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202" w:type="dxa"/>
            <w:vAlign w:val="center"/>
          </w:tcPr>
          <w:p>
            <w:pPr>
              <w:pStyle w:val="28"/>
              <w:spacing w:line="360" w:lineRule="auto"/>
              <w:ind w:firstLine="0"/>
              <w:jc w:val="center"/>
              <w:rPr>
                <w:rFonts w:ascii="宋体" w:hAnsi="宋体" w:eastAsia="宋体" w:cs="宋体"/>
                <w:spacing w:val="14"/>
                <w:sz w:val="24"/>
                <w:szCs w:val="24"/>
                <w:highlight w:val="none"/>
              </w:rPr>
            </w:pPr>
            <w:r>
              <w:rPr>
                <w:rFonts w:hint="eastAsia" w:ascii="宋体" w:hAnsi="宋体" w:eastAsia="宋体" w:cs="宋体"/>
                <w:spacing w:val="14"/>
                <w:sz w:val="24"/>
                <w:szCs w:val="24"/>
                <w:highlight w:val="none"/>
              </w:rPr>
              <w:t>1.2.1</w:t>
            </w:r>
          </w:p>
        </w:tc>
        <w:tc>
          <w:tcPr>
            <w:tcW w:w="1948" w:type="dxa"/>
            <w:vAlign w:val="center"/>
          </w:tcPr>
          <w:p>
            <w:pPr>
              <w:pStyle w:val="28"/>
              <w:spacing w:line="360" w:lineRule="auto"/>
              <w:ind w:firstLine="0"/>
              <w:jc w:val="left"/>
              <w:rPr>
                <w:rFonts w:ascii="宋体" w:hAnsi="宋体" w:eastAsia="宋体" w:cs="宋体"/>
                <w:spacing w:val="14"/>
                <w:sz w:val="24"/>
                <w:szCs w:val="24"/>
                <w:highlight w:val="none"/>
              </w:rPr>
            </w:pPr>
            <w:r>
              <w:rPr>
                <w:rFonts w:hint="eastAsia" w:ascii="宋体" w:hAnsi="宋体" w:eastAsia="宋体" w:cs="宋体"/>
                <w:spacing w:val="14"/>
                <w:sz w:val="24"/>
                <w:szCs w:val="24"/>
                <w:highlight w:val="none"/>
              </w:rPr>
              <w:t>资金来源</w:t>
            </w:r>
          </w:p>
        </w:tc>
        <w:tc>
          <w:tcPr>
            <w:tcW w:w="6064" w:type="dxa"/>
            <w:vAlign w:val="center"/>
          </w:tcPr>
          <w:p>
            <w:pPr>
              <w:pStyle w:val="28"/>
              <w:spacing w:line="360" w:lineRule="auto"/>
              <w:ind w:firstLine="0"/>
              <w:jc w:val="left"/>
              <w:rPr>
                <w:rFonts w:ascii="宋体" w:hAnsi="宋体" w:eastAsia="宋体" w:cs="宋体"/>
                <w:spacing w:val="14"/>
                <w:sz w:val="24"/>
                <w:szCs w:val="24"/>
                <w:highlight w:val="none"/>
                <w:u w:val="single" w:color="000000"/>
              </w:rPr>
            </w:pPr>
            <w:r>
              <w:rPr>
                <w:rFonts w:hint="eastAsia" w:ascii="宋体" w:hAnsi="宋体" w:eastAsia="宋体" w:cs="宋体"/>
                <w:color w:val="000000"/>
                <w:spacing w:val="14"/>
                <w:sz w:val="24"/>
                <w:szCs w:val="24"/>
                <w:highlight w:val="none"/>
              </w:rPr>
              <w:t>政府专项债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02" w:type="dxa"/>
            <w:vAlign w:val="center"/>
          </w:tcPr>
          <w:p>
            <w:pPr>
              <w:pStyle w:val="28"/>
              <w:spacing w:line="360" w:lineRule="auto"/>
              <w:ind w:firstLine="0"/>
              <w:jc w:val="center"/>
              <w:rPr>
                <w:rFonts w:ascii="宋体" w:hAnsi="宋体" w:eastAsia="宋体" w:cs="宋体"/>
                <w:spacing w:val="14"/>
                <w:sz w:val="24"/>
                <w:szCs w:val="24"/>
                <w:highlight w:val="none"/>
              </w:rPr>
            </w:pPr>
            <w:r>
              <w:rPr>
                <w:rFonts w:hint="eastAsia" w:ascii="宋体" w:hAnsi="宋体" w:eastAsia="宋体" w:cs="宋体"/>
                <w:spacing w:val="14"/>
                <w:sz w:val="24"/>
                <w:szCs w:val="24"/>
                <w:highlight w:val="none"/>
              </w:rPr>
              <w:t>1.2.2</w:t>
            </w:r>
          </w:p>
        </w:tc>
        <w:tc>
          <w:tcPr>
            <w:tcW w:w="1948" w:type="dxa"/>
            <w:vAlign w:val="center"/>
          </w:tcPr>
          <w:p>
            <w:pPr>
              <w:pStyle w:val="28"/>
              <w:spacing w:line="360" w:lineRule="auto"/>
              <w:ind w:firstLine="0"/>
              <w:jc w:val="left"/>
              <w:rPr>
                <w:rFonts w:ascii="宋体" w:hAnsi="宋体" w:eastAsia="宋体" w:cs="宋体"/>
                <w:spacing w:val="14"/>
                <w:sz w:val="24"/>
                <w:szCs w:val="24"/>
                <w:highlight w:val="none"/>
              </w:rPr>
            </w:pPr>
            <w:r>
              <w:rPr>
                <w:rFonts w:hint="eastAsia" w:ascii="宋体" w:hAnsi="宋体" w:eastAsia="宋体" w:cs="宋体"/>
                <w:spacing w:val="14"/>
                <w:sz w:val="24"/>
                <w:szCs w:val="24"/>
                <w:highlight w:val="none"/>
              </w:rPr>
              <w:t>付款方式</w:t>
            </w:r>
          </w:p>
        </w:tc>
        <w:tc>
          <w:tcPr>
            <w:tcW w:w="6064" w:type="dxa"/>
            <w:vAlign w:val="center"/>
          </w:tcPr>
          <w:p>
            <w:pPr>
              <w:pStyle w:val="28"/>
              <w:spacing w:line="360" w:lineRule="auto"/>
              <w:ind w:firstLine="0"/>
              <w:jc w:val="left"/>
              <w:rPr>
                <w:rFonts w:ascii="宋体" w:hAnsi="宋体" w:eastAsia="宋体" w:cs="宋体"/>
                <w:spacing w:val="14"/>
                <w:sz w:val="24"/>
                <w:szCs w:val="24"/>
                <w:highlight w:val="none"/>
              </w:rPr>
            </w:pPr>
            <w:r>
              <w:rPr>
                <w:rFonts w:hint="eastAsia" w:ascii="宋体" w:hAnsi="宋体" w:eastAsia="宋体" w:cs="宋体"/>
                <w:spacing w:val="14"/>
                <w:sz w:val="24"/>
                <w:szCs w:val="24"/>
                <w:highlight w:val="none"/>
              </w:rPr>
              <w:t>由招标人付款。合同签订后，货到安装调试、验收合格，投入使用正常运行一个月后一次性支付合同全款。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202" w:type="dxa"/>
            <w:vAlign w:val="center"/>
          </w:tcPr>
          <w:p>
            <w:pPr>
              <w:pStyle w:val="28"/>
              <w:spacing w:line="360" w:lineRule="auto"/>
              <w:ind w:firstLine="0"/>
              <w:jc w:val="center"/>
              <w:rPr>
                <w:rFonts w:ascii="宋体" w:hAnsi="宋体" w:eastAsia="宋体" w:cs="宋体"/>
                <w:spacing w:val="14"/>
                <w:sz w:val="24"/>
                <w:szCs w:val="24"/>
                <w:highlight w:val="none"/>
              </w:rPr>
            </w:pPr>
            <w:r>
              <w:rPr>
                <w:rFonts w:hint="eastAsia" w:ascii="宋体" w:hAnsi="宋体" w:eastAsia="宋体" w:cs="宋体"/>
                <w:spacing w:val="14"/>
                <w:sz w:val="24"/>
                <w:szCs w:val="24"/>
                <w:highlight w:val="none"/>
              </w:rPr>
              <w:t>1.2.3</w:t>
            </w:r>
          </w:p>
        </w:tc>
        <w:tc>
          <w:tcPr>
            <w:tcW w:w="1948" w:type="dxa"/>
            <w:vAlign w:val="center"/>
          </w:tcPr>
          <w:p>
            <w:pPr>
              <w:pStyle w:val="28"/>
              <w:spacing w:line="360" w:lineRule="auto"/>
              <w:ind w:firstLine="0"/>
              <w:jc w:val="left"/>
              <w:rPr>
                <w:rFonts w:ascii="宋体" w:hAnsi="宋体" w:eastAsia="宋体" w:cs="宋体"/>
                <w:spacing w:val="14"/>
                <w:sz w:val="24"/>
                <w:szCs w:val="24"/>
                <w:highlight w:val="none"/>
              </w:rPr>
            </w:pPr>
            <w:r>
              <w:rPr>
                <w:rFonts w:hint="eastAsia" w:ascii="宋体" w:hAnsi="宋体" w:eastAsia="宋体" w:cs="宋体"/>
                <w:spacing w:val="14"/>
                <w:sz w:val="24"/>
                <w:szCs w:val="24"/>
                <w:highlight w:val="none"/>
              </w:rPr>
              <w:t>交货地点</w:t>
            </w:r>
          </w:p>
        </w:tc>
        <w:tc>
          <w:tcPr>
            <w:tcW w:w="6064" w:type="dxa"/>
            <w:vAlign w:val="center"/>
          </w:tcPr>
          <w:p>
            <w:pPr>
              <w:pStyle w:val="28"/>
              <w:spacing w:line="360" w:lineRule="auto"/>
              <w:ind w:firstLine="0"/>
              <w:jc w:val="left"/>
              <w:rPr>
                <w:rFonts w:ascii="宋体" w:hAnsi="宋体" w:eastAsia="宋体" w:cs="宋体"/>
                <w:spacing w:val="14"/>
                <w:sz w:val="24"/>
                <w:szCs w:val="24"/>
                <w:highlight w:val="none"/>
              </w:rPr>
            </w:pPr>
            <w:r>
              <w:rPr>
                <w:rFonts w:hint="eastAsia" w:ascii="宋体" w:hAnsi="宋体" w:eastAsia="宋体" w:cs="宋体"/>
                <w:spacing w:val="14"/>
                <w:sz w:val="24"/>
                <w:szCs w:val="24"/>
                <w:highlight w:val="none"/>
              </w:rPr>
              <w:t>采购人所在地，具体地点为采购人指定地点。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202" w:type="dxa"/>
            <w:vAlign w:val="center"/>
          </w:tcPr>
          <w:p>
            <w:pPr>
              <w:pStyle w:val="28"/>
              <w:spacing w:line="360" w:lineRule="auto"/>
              <w:ind w:firstLine="0"/>
              <w:jc w:val="center"/>
              <w:rPr>
                <w:rFonts w:ascii="宋体" w:hAnsi="宋体" w:eastAsia="宋体" w:cs="宋体"/>
                <w:spacing w:val="14"/>
                <w:sz w:val="24"/>
                <w:szCs w:val="24"/>
                <w:highlight w:val="none"/>
              </w:rPr>
            </w:pPr>
            <w:r>
              <w:rPr>
                <w:rFonts w:hint="eastAsia" w:ascii="宋体" w:hAnsi="宋体" w:eastAsia="宋体" w:cs="宋体"/>
                <w:spacing w:val="14"/>
                <w:sz w:val="24"/>
                <w:szCs w:val="24"/>
                <w:highlight w:val="none"/>
              </w:rPr>
              <w:t>1.3.1</w:t>
            </w:r>
          </w:p>
        </w:tc>
        <w:tc>
          <w:tcPr>
            <w:tcW w:w="1948" w:type="dxa"/>
            <w:vAlign w:val="center"/>
          </w:tcPr>
          <w:p>
            <w:pPr>
              <w:pStyle w:val="28"/>
              <w:spacing w:line="360" w:lineRule="auto"/>
              <w:ind w:firstLine="0"/>
              <w:jc w:val="left"/>
              <w:rPr>
                <w:rFonts w:ascii="宋体" w:hAnsi="宋体" w:eastAsia="宋体" w:cs="宋体"/>
                <w:spacing w:val="14"/>
                <w:sz w:val="24"/>
                <w:szCs w:val="24"/>
                <w:highlight w:val="none"/>
              </w:rPr>
            </w:pPr>
            <w:r>
              <w:rPr>
                <w:rFonts w:hint="eastAsia" w:ascii="宋体" w:hAnsi="宋体" w:eastAsia="宋体" w:cs="宋体"/>
                <w:spacing w:val="14"/>
                <w:sz w:val="24"/>
                <w:szCs w:val="24"/>
                <w:highlight w:val="none"/>
              </w:rPr>
              <w:t>交货期、合同履行期限</w:t>
            </w:r>
          </w:p>
        </w:tc>
        <w:tc>
          <w:tcPr>
            <w:tcW w:w="6064" w:type="dxa"/>
            <w:vAlign w:val="center"/>
          </w:tcPr>
          <w:p>
            <w:pPr>
              <w:pStyle w:val="28"/>
              <w:spacing w:line="360" w:lineRule="auto"/>
              <w:ind w:firstLine="0"/>
              <w:jc w:val="left"/>
              <w:rPr>
                <w:rFonts w:ascii="宋体" w:hAnsi="宋体" w:eastAsia="宋体" w:cs="宋体"/>
                <w:spacing w:val="14"/>
                <w:sz w:val="24"/>
                <w:szCs w:val="24"/>
                <w:highlight w:val="none"/>
              </w:rPr>
            </w:pPr>
            <w:r>
              <w:rPr>
                <w:rFonts w:hint="eastAsia" w:ascii="宋体" w:hAnsi="宋体" w:eastAsia="宋体" w:cs="宋体"/>
                <w:spacing w:val="14"/>
                <w:sz w:val="24"/>
                <w:szCs w:val="24"/>
                <w:highlight w:val="none"/>
              </w:rPr>
              <w:t>交货期：自合同签订之日起45日内完成供货、安装、调试完毕至正常使用；</w:t>
            </w:r>
          </w:p>
          <w:p>
            <w:pPr>
              <w:pStyle w:val="28"/>
              <w:spacing w:line="360" w:lineRule="auto"/>
              <w:ind w:firstLine="0"/>
              <w:jc w:val="left"/>
              <w:rPr>
                <w:rFonts w:ascii="宋体" w:hAnsi="宋体" w:eastAsia="宋体" w:cs="宋体"/>
                <w:spacing w:val="14"/>
                <w:sz w:val="24"/>
                <w:szCs w:val="24"/>
                <w:highlight w:val="none"/>
              </w:rPr>
            </w:pPr>
            <w:r>
              <w:rPr>
                <w:rFonts w:hint="eastAsia" w:ascii="宋体" w:hAnsi="宋体" w:eastAsia="宋体" w:cs="宋体"/>
                <w:spacing w:val="14"/>
                <w:sz w:val="24"/>
                <w:szCs w:val="24"/>
                <w:highlight w:val="none"/>
              </w:rPr>
              <w:t>合同履行期限：合同签订之日至质保期结束。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202" w:type="dxa"/>
            <w:vAlign w:val="center"/>
          </w:tcPr>
          <w:p>
            <w:pPr>
              <w:pStyle w:val="28"/>
              <w:spacing w:line="360" w:lineRule="auto"/>
              <w:ind w:firstLine="0"/>
              <w:jc w:val="center"/>
              <w:rPr>
                <w:rFonts w:ascii="宋体" w:hAnsi="宋体" w:eastAsia="宋体" w:cs="宋体"/>
                <w:spacing w:val="14"/>
                <w:sz w:val="24"/>
                <w:szCs w:val="24"/>
                <w:highlight w:val="none"/>
              </w:rPr>
            </w:pPr>
            <w:r>
              <w:rPr>
                <w:rFonts w:hint="eastAsia" w:ascii="宋体" w:hAnsi="宋体" w:eastAsia="宋体" w:cs="宋体"/>
                <w:spacing w:val="14"/>
                <w:sz w:val="24"/>
                <w:szCs w:val="24"/>
                <w:highlight w:val="none"/>
              </w:rPr>
              <w:t>1.3.2</w:t>
            </w:r>
          </w:p>
        </w:tc>
        <w:tc>
          <w:tcPr>
            <w:tcW w:w="1948" w:type="dxa"/>
            <w:vAlign w:val="center"/>
          </w:tcPr>
          <w:p>
            <w:pPr>
              <w:pStyle w:val="28"/>
              <w:spacing w:line="360" w:lineRule="auto"/>
              <w:ind w:firstLine="0"/>
              <w:jc w:val="left"/>
              <w:rPr>
                <w:rFonts w:ascii="宋体" w:hAnsi="宋体" w:eastAsia="宋体" w:cs="宋体"/>
                <w:spacing w:val="14"/>
                <w:sz w:val="24"/>
                <w:szCs w:val="24"/>
                <w:highlight w:val="none"/>
              </w:rPr>
            </w:pPr>
            <w:r>
              <w:rPr>
                <w:rFonts w:hint="eastAsia" w:ascii="宋体" w:hAnsi="宋体" w:eastAsia="宋体" w:cs="宋体"/>
                <w:spacing w:val="14"/>
                <w:sz w:val="24"/>
                <w:szCs w:val="24"/>
                <w:highlight w:val="none"/>
              </w:rPr>
              <w:t>质量要求</w:t>
            </w:r>
          </w:p>
        </w:tc>
        <w:tc>
          <w:tcPr>
            <w:tcW w:w="6064" w:type="dxa"/>
            <w:vAlign w:val="center"/>
          </w:tcPr>
          <w:p>
            <w:pPr>
              <w:pStyle w:val="28"/>
              <w:spacing w:line="360" w:lineRule="auto"/>
              <w:ind w:firstLine="0"/>
              <w:jc w:val="left"/>
              <w:rPr>
                <w:rFonts w:ascii="宋体" w:hAnsi="宋体" w:eastAsia="宋体" w:cs="宋体"/>
                <w:spacing w:val="14"/>
                <w:sz w:val="24"/>
                <w:szCs w:val="24"/>
                <w:highlight w:val="none"/>
              </w:rPr>
            </w:pPr>
            <w:r>
              <w:rPr>
                <w:rFonts w:hint="eastAsia" w:ascii="宋体" w:hAnsi="宋体" w:eastAsia="宋体" w:cs="宋体"/>
                <w:spacing w:val="14"/>
                <w:sz w:val="24"/>
                <w:szCs w:val="24"/>
                <w:highlight w:val="none"/>
              </w:rPr>
              <w:t>符合国家相关合格标准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202" w:type="dxa"/>
            <w:vAlign w:val="center"/>
          </w:tcPr>
          <w:p>
            <w:pPr>
              <w:pStyle w:val="28"/>
              <w:spacing w:line="360" w:lineRule="auto"/>
              <w:ind w:firstLine="0"/>
              <w:jc w:val="center"/>
              <w:rPr>
                <w:rFonts w:ascii="宋体" w:hAnsi="宋体" w:eastAsia="宋体" w:cs="宋体"/>
                <w:spacing w:val="14"/>
                <w:sz w:val="24"/>
                <w:szCs w:val="24"/>
                <w:highlight w:val="none"/>
              </w:rPr>
            </w:pPr>
            <w:r>
              <w:rPr>
                <w:rFonts w:hint="eastAsia" w:ascii="宋体" w:hAnsi="宋体" w:eastAsia="宋体" w:cs="宋体"/>
                <w:spacing w:val="14"/>
                <w:sz w:val="24"/>
                <w:szCs w:val="24"/>
                <w:highlight w:val="none"/>
              </w:rPr>
              <w:t>1.3.3</w:t>
            </w:r>
          </w:p>
        </w:tc>
        <w:tc>
          <w:tcPr>
            <w:tcW w:w="1948" w:type="dxa"/>
            <w:vAlign w:val="center"/>
          </w:tcPr>
          <w:p>
            <w:pPr>
              <w:pStyle w:val="28"/>
              <w:spacing w:line="360" w:lineRule="auto"/>
              <w:ind w:firstLine="0"/>
              <w:jc w:val="left"/>
              <w:rPr>
                <w:rFonts w:ascii="宋体" w:hAnsi="宋体" w:eastAsia="宋体" w:cs="宋体"/>
                <w:spacing w:val="14"/>
                <w:sz w:val="24"/>
                <w:szCs w:val="24"/>
                <w:highlight w:val="none"/>
              </w:rPr>
            </w:pPr>
            <w:r>
              <w:rPr>
                <w:rFonts w:hint="eastAsia" w:ascii="宋体" w:hAnsi="宋体" w:eastAsia="宋体" w:cs="宋体"/>
                <w:spacing w:val="14"/>
                <w:sz w:val="24"/>
                <w:szCs w:val="24"/>
                <w:highlight w:val="none"/>
              </w:rPr>
              <w:t>履约验收</w:t>
            </w:r>
          </w:p>
        </w:tc>
        <w:tc>
          <w:tcPr>
            <w:tcW w:w="6064" w:type="dxa"/>
            <w:vAlign w:val="center"/>
          </w:tcPr>
          <w:p>
            <w:pPr>
              <w:pStyle w:val="28"/>
              <w:spacing w:line="360" w:lineRule="auto"/>
              <w:ind w:firstLine="0"/>
              <w:jc w:val="left"/>
              <w:rPr>
                <w:rFonts w:ascii="宋体" w:hAnsi="宋体" w:eastAsia="宋体" w:cs="宋体"/>
                <w:spacing w:val="14"/>
                <w:sz w:val="24"/>
                <w:szCs w:val="24"/>
                <w:highlight w:val="none"/>
              </w:rPr>
            </w:pPr>
            <w:r>
              <w:rPr>
                <w:rFonts w:hint="eastAsia" w:ascii="宋体" w:hAnsi="宋体" w:eastAsia="宋体" w:cs="宋体"/>
                <w:spacing w:val="14"/>
                <w:sz w:val="24"/>
                <w:szCs w:val="24"/>
                <w:highlight w:val="none"/>
              </w:rPr>
              <w:t>履约验收主体：采购人自行组织项目验收。</w:t>
            </w:r>
          </w:p>
          <w:p>
            <w:pPr>
              <w:pStyle w:val="28"/>
              <w:spacing w:line="360" w:lineRule="auto"/>
              <w:ind w:firstLine="0"/>
              <w:jc w:val="left"/>
              <w:rPr>
                <w:rFonts w:ascii="宋体" w:hAnsi="宋体" w:eastAsia="宋体" w:cs="宋体"/>
                <w:spacing w:val="14"/>
                <w:sz w:val="24"/>
                <w:szCs w:val="24"/>
                <w:highlight w:val="none"/>
              </w:rPr>
            </w:pPr>
            <w:r>
              <w:rPr>
                <w:rFonts w:hint="eastAsia" w:ascii="宋体" w:hAnsi="宋体" w:eastAsia="宋体" w:cs="宋体"/>
                <w:spacing w:val="14"/>
                <w:sz w:val="24"/>
                <w:szCs w:val="24"/>
                <w:highlight w:val="none"/>
              </w:rPr>
              <w:t>履约验收时间：按采购合同约定执行。</w:t>
            </w:r>
          </w:p>
          <w:p>
            <w:pPr>
              <w:pStyle w:val="28"/>
              <w:spacing w:line="360" w:lineRule="auto"/>
              <w:ind w:firstLine="0"/>
              <w:jc w:val="left"/>
              <w:rPr>
                <w:rFonts w:ascii="宋体" w:hAnsi="宋体" w:eastAsia="宋体" w:cs="宋体"/>
                <w:spacing w:val="14"/>
                <w:sz w:val="24"/>
                <w:szCs w:val="24"/>
                <w:highlight w:val="none"/>
              </w:rPr>
            </w:pPr>
            <w:r>
              <w:rPr>
                <w:rFonts w:hint="eastAsia" w:ascii="宋体" w:hAnsi="宋体" w:eastAsia="宋体" w:cs="宋体"/>
                <w:spacing w:val="14"/>
                <w:sz w:val="24"/>
                <w:szCs w:val="24"/>
                <w:highlight w:val="none"/>
              </w:rPr>
              <w:t>履约验收方式：联合验收，验收工作由各主管职能科室牵头，联合验收小组共同验收，签字确认。</w:t>
            </w:r>
          </w:p>
          <w:p>
            <w:pPr>
              <w:pStyle w:val="28"/>
              <w:spacing w:line="360" w:lineRule="auto"/>
              <w:ind w:firstLine="0"/>
              <w:jc w:val="left"/>
              <w:rPr>
                <w:rFonts w:ascii="宋体" w:hAnsi="宋体" w:eastAsia="宋体" w:cs="宋体"/>
                <w:spacing w:val="14"/>
                <w:sz w:val="24"/>
                <w:szCs w:val="24"/>
                <w:highlight w:val="none"/>
              </w:rPr>
            </w:pPr>
            <w:r>
              <w:rPr>
                <w:rFonts w:hint="eastAsia" w:ascii="宋体" w:hAnsi="宋体" w:eastAsia="宋体" w:cs="宋体"/>
                <w:spacing w:val="14"/>
                <w:sz w:val="24"/>
                <w:szCs w:val="24"/>
                <w:highlight w:val="none"/>
              </w:rPr>
              <w:t>履约验收程序：由供应商提出申请，采购人组织相关部门进行验收。</w:t>
            </w:r>
          </w:p>
          <w:p>
            <w:pPr>
              <w:pStyle w:val="28"/>
              <w:spacing w:line="360" w:lineRule="auto"/>
              <w:ind w:firstLine="0"/>
              <w:jc w:val="left"/>
              <w:rPr>
                <w:rFonts w:ascii="宋体" w:hAnsi="宋体" w:eastAsia="宋体" w:cs="宋体"/>
                <w:spacing w:val="14"/>
                <w:sz w:val="24"/>
                <w:szCs w:val="24"/>
                <w:highlight w:val="none"/>
              </w:rPr>
            </w:pPr>
            <w:r>
              <w:rPr>
                <w:rFonts w:hint="eastAsia" w:ascii="宋体" w:hAnsi="宋体" w:eastAsia="宋体" w:cs="宋体"/>
                <w:spacing w:val="14"/>
                <w:sz w:val="24"/>
                <w:szCs w:val="24"/>
                <w:highlight w:val="none"/>
              </w:rPr>
              <w:t>履约验收内容：依据本项目招标文件和中标供应商投标文件对技术和商务条款履约情况逐条验收。</w:t>
            </w:r>
          </w:p>
          <w:p>
            <w:pPr>
              <w:pStyle w:val="28"/>
              <w:spacing w:line="360" w:lineRule="auto"/>
              <w:ind w:firstLine="0"/>
              <w:jc w:val="left"/>
              <w:rPr>
                <w:rFonts w:ascii="宋体" w:hAnsi="宋体" w:eastAsia="宋体" w:cs="宋体"/>
                <w:spacing w:val="14"/>
                <w:sz w:val="24"/>
                <w:szCs w:val="24"/>
                <w:highlight w:val="none"/>
              </w:rPr>
            </w:pPr>
            <w:r>
              <w:rPr>
                <w:rFonts w:hint="eastAsia" w:ascii="宋体" w:hAnsi="宋体" w:eastAsia="宋体" w:cs="宋体"/>
                <w:spacing w:val="14"/>
                <w:sz w:val="24"/>
                <w:szCs w:val="24"/>
                <w:highlight w:val="none"/>
              </w:rPr>
              <w:t>履约验收标准：采购人根据国家有关规定、招标文件、中标人的投标文件进行验收。</w:t>
            </w:r>
          </w:p>
          <w:p>
            <w:pPr>
              <w:pStyle w:val="28"/>
              <w:spacing w:line="360" w:lineRule="auto"/>
              <w:ind w:firstLine="0"/>
              <w:jc w:val="left"/>
              <w:rPr>
                <w:rFonts w:ascii="宋体" w:hAnsi="宋体" w:eastAsia="宋体" w:cs="宋体"/>
                <w:spacing w:val="14"/>
                <w:sz w:val="24"/>
                <w:szCs w:val="24"/>
                <w:highlight w:val="none"/>
              </w:rPr>
            </w:pPr>
            <w:r>
              <w:rPr>
                <w:rFonts w:hint="eastAsia" w:ascii="宋体" w:hAnsi="宋体" w:eastAsia="宋体" w:cs="宋体"/>
                <w:spacing w:val="14"/>
                <w:sz w:val="24"/>
                <w:szCs w:val="24"/>
                <w:highlight w:val="none"/>
              </w:rPr>
              <w:t>验收情况作为支付货款的依据。如有异议，以相关质量技术检验检测机构的检验结果为准，如产生检验检测费用，则该费用由过失方承担。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202" w:type="dxa"/>
            <w:vAlign w:val="center"/>
          </w:tcPr>
          <w:p>
            <w:pPr>
              <w:pStyle w:val="28"/>
              <w:spacing w:line="360" w:lineRule="auto"/>
              <w:ind w:firstLine="0"/>
              <w:jc w:val="center"/>
              <w:rPr>
                <w:rFonts w:ascii="宋体" w:hAnsi="宋体" w:eastAsia="宋体" w:cs="宋体"/>
                <w:spacing w:val="14"/>
                <w:sz w:val="24"/>
                <w:szCs w:val="24"/>
                <w:highlight w:val="none"/>
              </w:rPr>
            </w:pPr>
            <w:r>
              <w:rPr>
                <w:rFonts w:hint="eastAsia" w:ascii="宋体" w:hAnsi="宋体" w:eastAsia="宋体" w:cs="宋体"/>
                <w:spacing w:val="14"/>
                <w:sz w:val="24"/>
                <w:szCs w:val="24"/>
                <w:highlight w:val="none"/>
              </w:rPr>
              <w:t>1.3.4</w:t>
            </w:r>
          </w:p>
        </w:tc>
        <w:tc>
          <w:tcPr>
            <w:tcW w:w="1948" w:type="dxa"/>
            <w:vAlign w:val="center"/>
          </w:tcPr>
          <w:p>
            <w:pPr>
              <w:pStyle w:val="28"/>
              <w:spacing w:line="360" w:lineRule="auto"/>
              <w:ind w:firstLine="0"/>
              <w:jc w:val="left"/>
              <w:rPr>
                <w:rFonts w:ascii="宋体" w:hAnsi="宋体" w:eastAsia="宋体" w:cs="宋体"/>
                <w:spacing w:val="14"/>
                <w:sz w:val="24"/>
                <w:szCs w:val="24"/>
                <w:highlight w:val="none"/>
              </w:rPr>
            </w:pPr>
            <w:r>
              <w:rPr>
                <w:rFonts w:hint="eastAsia" w:ascii="宋体" w:hAnsi="宋体" w:eastAsia="宋体" w:cs="宋体"/>
                <w:spacing w:val="14"/>
                <w:sz w:val="24"/>
                <w:szCs w:val="24"/>
                <w:highlight w:val="none"/>
              </w:rPr>
              <w:t>质保期及售后服务</w:t>
            </w:r>
          </w:p>
        </w:tc>
        <w:tc>
          <w:tcPr>
            <w:tcW w:w="6064" w:type="dxa"/>
            <w:vAlign w:val="center"/>
          </w:tcPr>
          <w:p>
            <w:pPr>
              <w:pStyle w:val="45"/>
              <w:spacing w:line="360" w:lineRule="auto"/>
              <w:rPr>
                <w:spacing w:val="14"/>
                <w:sz w:val="24"/>
                <w:szCs w:val="24"/>
                <w:highlight w:val="none"/>
                <w:lang w:eastAsia="zh-CN"/>
              </w:rPr>
            </w:pPr>
            <w:r>
              <w:rPr>
                <w:rFonts w:hint="eastAsia"/>
                <w:spacing w:val="14"/>
                <w:sz w:val="24"/>
                <w:szCs w:val="24"/>
                <w:highlight w:val="none"/>
                <w:lang w:eastAsia="zh-CN"/>
              </w:rPr>
              <w:t>质保期：2年，质保期内对有瑕疵或不能修复的货物负责免费更换，</w:t>
            </w:r>
            <w:r>
              <w:rPr>
                <w:rFonts w:hint="eastAsia"/>
                <w:b/>
                <w:bCs/>
                <w:spacing w:val="14"/>
                <w:sz w:val="24"/>
                <w:szCs w:val="24"/>
                <w:highlight w:val="none"/>
                <w:lang w:eastAsia="zh-CN"/>
              </w:rPr>
              <w:t>提供原厂盖章保修承诺。</w:t>
            </w:r>
          </w:p>
          <w:p>
            <w:pPr>
              <w:pStyle w:val="28"/>
              <w:spacing w:line="360" w:lineRule="auto"/>
              <w:ind w:firstLine="0"/>
              <w:jc w:val="left"/>
              <w:rPr>
                <w:rFonts w:ascii="宋体" w:hAnsi="宋体" w:eastAsia="宋体" w:cs="宋体"/>
                <w:spacing w:val="14"/>
                <w:sz w:val="24"/>
                <w:szCs w:val="24"/>
                <w:highlight w:val="none"/>
              </w:rPr>
            </w:pPr>
            <w:r>
              <w:rPr>
                <w:rFonts w:hint="eastAsia" w:ascii="宋体" w:hAnsi="宋体" w:eastAsia="宋体" w:cs="宋体"/>
                <w:spacing w:val="14"/>
                <w:sz w:val="24"/>
                <w:szCs w:val="24"/>
                <w:highlight w:val="none"/>
              </w:rPr>
              <w:t>售后服务：</w:t>
            </w:r>
          </w:p>
          <w:p>
            <w:pPr>
              <w:pStyle w:val="28"/>
              <w:spacing w:line="360" w:lineRule="auto"/>
              <w:ind w:firstLine="0"/>
              <w:jc w:val="left"/>
              <w:rPr>
                <w:rFonts w:ascii="宋体" w:hAnsi="宋体" w:eastAsia="宋体" w:cs="宋体"/>
                <w:spacing w:val="14"/>
                <w:sz w:val="24"/>
                <w:szCs w:val="24"/>
                <w:highlight w:val="none"/>
              </w:rPr>
            </w:pPr>
            <w:r>
              <w:rPr>
                <w:rFonts w:hint="eastAsia" w:ascii="宋体" w:hAnsi="宋体" w:eastAsia="宋体" w:cs="宋体"/>
                <w:spacing w:val="14"/>
                <w:sz w:val="24"/>
                <w:szCs w:val="24"/>
                <w:highlight w:val="none"/>
              </w:rPr>
              <w:t>（1）售后服务机构：</w:t>
            </w:r>
          </w:p>
          <w:p>
            <w:pPr>
              <w:pStyle w:val="28"/>
              <w:spacing w:line="360" w:lineRule="auto"/>
              <w:ind w:firstLine="0"/>
              <w:jc w:val="left"/>
              <w:rPr>
                <w:rFonts w:ascii="宋体" w:hAnsi="宋体" w:eastAsia="宋体" w:cs="宋体"/>
                <w:spacing w:val="14"/>
                <w:sz w:val="24"/>
                <w:szCs w:val="24"/>
                <w:highlight w:val="none"/>
              </w:rPr>
            </w:pPr>
            <w:r>
              <w:rPr>
                <w:rFonts w:hint="eastAsia" w:ascii="宋体" w:hAnsi="宋体" w:eastAsia="宋体" w:cs="宋体"/>
                <w:spacing w:val="14"/>
                <w:sz w:val="24"/>
                <w:szCs w:val="24"/>
                <w:highlight w:val="none"/>
              </w:rPr>
              <w:t>①提供所投产品供应商或制造商售后服务机构情况，包括地址、技术人员及联系方式，售后技术人员力量、设备实力等。</w:t>
            </w:r>
          </w:p>
          <w:p>
            <w:pPr>
              <w:pStyle w:val="28"/>
              <w:spacing w:line="360" w:lineRule="auto"/>
              <w:ind w:firstLine="0"/>
              <w:jc w:val="left"/>
              <w:rPr>
                <w:rFonts w:ascii="宋体" w:hAnsi="宋体" w:eastAsia="宋体" w:cs="宋体"/>
                <w:spacing w:val="14"/>
                <w:sz w:val="24"/>
                <w:szCs w:val="24"/>
                <w:highlight w:val="none"/>
              </w:rPr>
            </w:pPr>
            <w:r>
              <w:rPr>
                <w:rFonts w:hint="eastAsia" w:ascii="宋体" w:hAnsi="宋体" w:eastAsia="宋体" w:cs="宋体"/>
                <w:spacing w:val="14"/>
                <w:sz w:val="24"/>
                <w:szCs w:val="24"/>
                <w:highlight w:val="none"/>
              </w:rPr>
              <w:t>②投标人应在投标文件中声明中国境内有技术服务机构及有经验的技术人员、有备件库，能够提供技术和培训等。</w:t>
            </w:r>
          </w:p>
          <w:p>
            <w:pPr>
              <w:pStyle w:val="28"/>
              <w:spacing w:line="360" w:lineRule="auto"/>
              <w:ind w:firstLine="0"/>
              <w:jc w:val="left"/>
              <w:rPr>
                <w:rFonts w:ascii="宋体" w:hAnsi="宋体" w:eastAsia="宋体" w:cs="宋体"/>
                <w:spacing w:val="14"/>
                <w:sz w:val="24"/>
                <w:szCs w:val="24"/>
                <w:highlight w:val="none"/>
              </w:rPr>
            </w:pPr>
            <w:r>
              <w:rPr>
                <w:rFonts w:hint="eastAsia" w:ascii="宋体" w:hAnsi="宋体" w:eastAsia="宋体" w:cs="宋体"/>
                <w:spacing w:val="14"/>
                <w:sz w:val="24"/>
                <w:szCs w:val="24"/>
                <w:highlight w:val="none"/>
              </w:rPr>
              <w:t>③供应商应在投标文件中声明售后服务承诺、售后服务方式和能力</w:t>
            </w:r>
            <w:r>
              <w:rPr>
                <w:rFonts w:hint="eastAsia" w:ascii="宋体" w:hAnsi="宋体" w:eastAsia="宋体" w:cs="宋体"/>
                <w:b/>
                <w:bCs/>
                <w:spacing w:val="14"/>
                <w:sz w:val="24"/>
                <w:szCs w:val="24"/>
                <w:highlight w:val="none"/>
              </w:rPr>
              <w:t>（须提供售后服务承诺书）</w:t>
            </w:r>
            <w:r>
              <w:rPr>
                <w:rFonts w:hint="eastAsia" w:ascii="宋体" w:hAnsi="宋体" w:eastAsia="宋体" w:cs="宋体"/>
                <w:spacing w:val="14"/>
                <w:sz w:val="24"/>
                <w:szCs w:val="24"/>
                <w:highlight w:val="none"/>
              </w:rPr>
              <w:t>。</w:t>
            </w:r>
          </w:p>
          <w:p>
            <w:pPr>
              <w:pStyle w:val="28"/>
              <w:spacing w:line="360" w:lineRule="auto"/>
              <w:ind w:firstLine="0"/>
              <w:jc w:val="left"/>
              <w:rPr>
                <w:rFonts w:ascii="宋体" w:hAnsi="宋体" w:eastAsia="宋体" w:cs="宋体"/>
                <w:spacing w:val="14"/>
                <w:sz w:val="24"/>
                <w:szCs w:val="24"/>
                <w:highlight w:val="none"/>
              </w:rPr>
            </w:pPr>
            <w:r>
              <w:rPr>
                <w:rFonts w:hint="eastAsia" w:ascii="宋体" w:hAnsi="宋体" w:eastAsia="宋体" w:cs="宋体"/>
                <w:spacing w:val="14"/>
                <w:sz w:val="24"/>
                <w:szCs w:val="24"/>
                <w:highlight w:val="none"/>
              </w:rPr>
              <w:t>（2）质保期内（以本项目验收合格之日算起）应当为采购人提供以下技术支持和服务：</w:t>
            </w:r>
          </w:p>
          <w:p>
            <w:pPr>
              <w:pStyle w:val="28"/>
              <w:spacing w:line="360" w:lineRule="auto"/>
              <w:ind w:firstLine="0"/>
              <w:jc w:val="left"/>
              <w:rPr>
                <w:rFonts w:ascii="宋体" w:hAnsi="宋体" w:eastAsia="宋体" w:cs="宋体"/>
                <w:spacing w:val="14"/>
                <w:sz w:val="24"/>
                <w:szCs w:val="24"/>
                <w:highlight w:val="none"/>
              </w:rPr>
            </w:pPr>
            <w:r>
              <w:rPr>
                <w:rFonts w:hint="eastAsia" w:ascii="宋体" w:hAnsi="宋体" w:eastAsia="宋体" w:cs="宋体"/>
                <w:spacing w:val="14"/>
                <w:sz w:val="24"/>
                <w:szCs w:val="24"/>
                <w:highlight w:val="none"/>
              </w:rPr>
              <w:t>①电话咨询：中标人或制造商应当为采购人提供技术援助电话，解答采购人在使用中遇到的问题，及时为采购人提出解决问题的建议和办法。</w:t>
            </w:r>
          </w:p>
          <w:p>
            <w:pPr>
              <w:pStyle w:val="28"/>
              <w:spacing w:line="360" w:lineRule="auto"/>
              <w:ind w:firstLine="0"/>
              <w:jc w:val="left"/>
              <w:rPr>
                <w:rFonts w:ascii="宋体" w:hAnsi="宋体" w:eastAsia="宋体" w:cs="宋体"/>
                <w:spacing w:val="14"/>
                <w:sz w:val="24"/>
                <w:szCs w:val="24"/>
                <w:highlight w:val="none"/>
              </w:rPr>
            </w:pPr>
            <w:r>
              <w:rPr>
                <w:rFonts w:hint="eastAsia" w:ascii="宋体" w:hAnsi="宋体" w:eastAsia="宋体" w:cs="宋体"/>
                <w:spacing w:val="14"/>
                <w:sz w:val="24"/>
                <w:szCs w:val="24"/>
                <w:highlight w:val="none"/>
              </w:rPr>
              <w:t>②现场响应：设备整个使用期内，供应商应确保设备的正常使用。故障响应时间≤1小时，应急上门服务响应时间≤4小时，并可提供核心部件应急使用。</w:t>
            </w:r>
          </w:p>
          <w:p>
            <w:pPr>
              <w:pStyle w:val="28"/>
              <w:spacing w:line="360" w:lineRule="auto"/>
              <w:ind w:firstLine="0"/>
              <w:jc w:val="left"/>
              <w:rPr>
                <w:rFonts w:ascii="宋体" w:hAnsi="宋体" w:eastAsia="宋体" w:cs="宋体"/>
                <w:spacing w:val="14"/>
                <w:sz w:val="24"/>
                <w:szCs w:val="24"/>
                <w:highlight w:val="none"/>
              </w:rPr>
            </w:pPr>
            <w:r>
              <w:rPr>
                <w:rFonts w:hint="eastAsia" w:ascii="宋体" w:hAnsi="宋体" w:eastAsia="宋体" w:cs="宋体"/>
                <w:spacing w:val="14"/>
                <w:sz w:val="24"/>
                <w:szCs w:val="24"/>
                <w:highlight w:val="none"/>
              </w:rPr>
              <w:t>③中标人应当定期对所供设备系统运行情况进行检测、维护，具有设备故障自检系统，消除故障隐患，以保证设备的正常运行。</w:t>
            </w:r>
          </w:p>
          <w:p>
            <w:pPr>
              <w:pStyle w:val="28"/>
              <w:spacing w:line="360" w:lineRule="auto"/>
              <w:ind w:firstLine="0"/>
              <w:jc w:val="left"/>
              <w:rPr>
                <w:rFonts w:ascii="宋体" w:hAnsi="宋体" w:eastAsia="宋体" w:cs="宋体"/>
                <w:spacing w:val="14"/>
                <w:sz w:val="24"/>
                <w:szCs w:val="24"/>
                <w:highlight w:val="none"/>
              </w:rPr>
            </w:pPr>
            <w:r>
              <w:rPr>
                <w:rFonts w:hint="eastAsia" w:ascii="宋体" w:hAnsi="宋体" w:eastAsia="宋体" w:cs="宋体"/>
                <w:spacing w:val="14"/>
                <w:sz w:val="24"/>
                <w:szCs w:val="24"/>
                <w:highlight w:val="none"/>
              </w:rPr>
              <w:t>④设备交付使用后，中标人应每季度对该设备进行保养一次,并出具保养报告。</w:t>
            </w:r>
          </w:p>
          <w:p>
            <w:pPr>
              <w:pStyle w:val="28"/>
              <w:spacing w:line="360" w:lineRule="auto"/>
              <w:ind w:firstLine="0"/>
              <w:jc w:val="left"/>
              <w:rPr>
                <w:rFonts w:ascii="宋体" w:hAnsi="宋体" w:eastAsia="宋体" w:cs="宋体"/>
                <w:spacing w:val="14"/>
                <w:sz w:val="24"/>
                <w:szCs w:val="24"/>
                <w:highlight w:val="none"/>
              </w:rPr>
            </w:pPr>
            <w:r>
              <w:rPr>
                <w:rFonts w:hint="eastAsia" w:ascii="宋体" w:hAnsi="宋体" w:eastAsia="宋体" w:cs="宋体"/>
                <w:spacing w:val="14"/>
                <w:sz w:val="24"/>
                <w:szCs w:val="24"/>
                <w:highlight w:val="none"/>
              </w:rPr>
              <w:t>⑤质保期内该设备应保证大于95%的开机率，如达不到要求，每少于一天质保期顺延5天，如造成严重损失需赔偿用户经济损失或换货或退货。</w:t>
            </w:r>
          </w:p>
          <w:p>
            <w:pPr>
              <w:pStyle w:val="28"/>
              <w:spacing w:line="360" w:lineRule="auto"/>
              <w:ind w:firstLine="0"/>
              <w:jc w:val="left"/>
              <w:rPr>
                <w:rFonts w:ascii="宋体" w:hAnsi="宋体" w:eastAsia="宋体" w:cs="宋体"/>
                <w:spacing w:val="14"/>
                <w:sz w:val="24"/>
                <w:szCs w:val="24"/>
                <w:highlight w:val="none"/>
              </w:rPr>
            </w:pPr>
            <w:r>
              <w:rPr>
                <w:rFonts w:hint="eastAsia" w:ascii="宋体" w:hAnsi="宋体" w:eastAsia="宋体" w:cs="宋体"/>
                <w:spacing w:val="14"/>
                <w:sz w:val="24"/>
                <w:szCs w:val="24"/>
                <w:highlight w:val="none"/>
              </w:rPr>
              <w:t>⑥技术升级，如果制造商的产品技术升级，中标人应及时通知采购人，如采购人有相应要求，中标人和制造商应对采购人购买的产品进行免费升级服务。</w:t>
            </w:r>
          </w:p>
          <w:p>
            <w:pPr>
              <w:pStyle w:val="28"/>
              <w:spacing w:line="360" w:lineRule="auto"/>
              <w:ind w:firstLine="0"/>
              <w:jc w:val="left"/>
              <w:rPr>
                <w:rFonts w:ascii="宋体" w:hAnsi="宋体" w:eastAsia="宋体" w:cs="宋体"/>
                <w:spacing w:val="14"/>
                <w:sz w:val="24"/>
                <w:szCs w:val="24"/>
                <w:highlight w:val="none"/>
              </w:rPr>
            </w:pPr>
            <w:r>
              <w:rPr>
                <w:rFonts w:hint="eastAsia" w:ascii="宋体" w:hAnsi="宋体" w:eastAsia="宋体" w:cs="宋体"/>
                <w:spacing w:val="14"/>
                <w:sz w:val="24"/>
                <w:szCs w:val="24"/>
                <w:highlight w:val="none"/>
              </w:rPr>
              <w:t>⑦维修保障：中标方应提供中文说明书、操作手册、详细维修手册、整机线路图、系统安装软件及维修密码（终身免费提供），软件终身免费升级。</w:t>
            </w:r>
          </w:p>
          <w:p>
            <w:pPr>
              <w:pStyle w:val="28"/>
              <w:spacing w:line="360" w:lineRule="auto"/>
              <w:ind w:firstLine="0"/>
              <w:jc w:val="left"/>
              <w:rPr>
                <w:rFonts w:ascii="宋体" w:hAnsi="宋体" w:eastAsia="宋体" w:cs="宋体"/>
                <w:b/>
                <w:bCs/>
                <w:spacing w:val="14"/>
                <w:sz w:val="24"/>
                <w:szCs w:val="24"/>
                <w:highlight w:val="none"/>
              </w:rPr>
            </w:pPr>
            <w:r>
              <w:rPr>
                <w:rFonts w:hint="eastAsia" w:ascii="宋体" w:hAnsi="宋体" w:eastAsia="宋体" w:cs="宋体"/>
                <w:spacing w:val="14"/>
                <w:sz w:val="24"/>
                <w:szCs w:val="24"/>
                <w:highlight w:val="none"/>
              </w:rPr>
              <w:t>（3）质保期后应当为采购人提供以下技术支持和服务：应同样提供免费电话咨询服务，</w:t>
            </w:r>
            <w:r>
              <w:rPr>
                <w:rFonts w:hint="eastAsia" w:ascii="宋体" w:hAnsi="宋体" w:eastAsia="宋体" w:cs="宋体"/>
                <w:b/>
                <w:bCs/>
                <w:spacing w:val="14"/>
                <w:sz w:val="24"/>
                <w:szCs w:val="24"/>
                <w:highlight w:val="none"/>
              </w:rPr>
              <w:t>并应承诺提供产品上门维护服务。</w:t>
            </w:r>
          </w:p>
          <w:p>
            <w:pPr>
              <w:pStyle w:val="28"/>
              <w:spacing w:line="360" w:lineRule="auto"/>
              <w:ind w:firstLine="0"/>
              <w:jc w:val="left"/>
              <w:rPr>
                <w:rFonts w:ascii="宋体" w:hAnsi="宋体" w:eastAsia="宋体" w:cs="宋体"/>
                <w:spacing w:val="14"/>
                <w:sz w:val="24"/>
                <w:szCs w:val="24"/>
                <w:highlight w:val="none"/>
              </w:rPr>
            </w:pPr>
            <w:r>
              <w:rPr>
                <w:rFonts w:hint="eastAsia" w:ascii="宋体" w:hAnsi="宋体" w:eastAsia="宋体" w:cs="宋体"/>
                <w:spacing w:val="14"/>
                <w:sz w:val="24"/>
                <w:szCs w:val="24"/>
                <w:highlight w:val="none"/>
              </w:rPr>
              <w:t>（4）技术培训：</w:t>
            </w:r>
          </w:p>
          <w:p>
            <w:pPr>
              <w:pStyle w:val="28"/>
              <w:spacing w:line="360" w:lineRule="auto"/>
              <w:ind w:firstLine="0"/>
              <w:jc w:val="left"/>
              <w:rPr>
                <w:rFonts w:ascii="宋体" w:hAnsi="宋体" w:eastAsia="宋体" w:cs="宋体"/>
                <w:spacing w:val="14"/>
                <w:sz w:val="24"/>
                <w:szCs w:val="24"/>
                <w:highlight w:val="none"/>
              </w:rPr>
            </w:pPr>
            <w:r>
              <w:rPr>
                <w:rFonts w:hint="eastAsia" w:ascii="宋体" w:hAnsi="宋体" w:eastAsia="宋体" w:cs="宋体"/>
                <w:spacing w:val="14"/>
                <w:sz w:val="24"/>
                <w:szCs w:val="24"/>
                <w:highlight w:val="none"/>
              </w:rPr>
              <w:t>①中标方应对设备操作及维修人员进行操作及维修培训，直至临床人员熟练掌握操作及维修技能为止。</w:t>
            </w:r>
          </w:p>
          <w:p>
            <w:pPr>
              <w:pStyle w:val="28"/>
              <w:spacing w:line="360" w:lineRule="auto"/>
              <w:ind w:firstLine="0"/>
              <w:jc w:val="left"/>
              <w:rPr>
                <w:rFonts w:ascii="宋体" w:hAnsi="宋体" w:eastAsia="宋体" w:cs="宋体"/>
                <w:spacing w:val="14"/>
                <w:sz w:val="24"/>
                <w:szCs w:val="24"/>
                <w:highlight w:val="none"/>
              </w:rPr>
            </w:pPr>
            <w:r>
              <w:rPr>
                <w:rFonts w:hint="eastAsia" w:ascii="宋体" w:hAnsi="宋体" w:eastAsia="宋体" w:cs="宋体"/>
                <w:spacing w:val="14"/>
                <w:sz w:val="24"/>
                <w:szCs w:val="24"/>
                <w:highlight w:val="none"/>
              </w:rPr>
              <w:t>②对院方使用科室及维修人员关于机器常见故障及解决方案进行培训，培训必须达到院方能熟练掌握机器操作流程，能解决常见故障。</w:t>
            </w:r>
          </w:p>
          <w:p>
            <w:pPr>
              <w:pStyle w:val="28"/>
              <w:spacing w:line="360" w:lineRule="auto"/>
              <w:ind w:firstLine="0"/>
              <w:jc w:val="left"/>
              <w:rPr>
                <w:rFonts w:ascii="宋体" w:hAnsi="宋体" w:eastAsia="宋体" w:cs="宋体"/>
                <w:spacing w:val="14"/>
                <w:sz w:val="24"/>
                <w:szCs w:val="24"/>
                <w:highlight w:val="none"/>
              </w:rPr>
            </w:pPr>
            <w:r>
              <w:rPr>
                <w:rFonts w:hint="eastAsia" w:ascii="宋体" w:hAnsi="宋体" w:eastAsia="宋体" w:cs="宋体"/>
                <w:spacing w:val="14"/>
                <w:sz w:val="24"/>
                <w:szCs w:val="24"/>
                <w:highlight w:val="none"/>
              </w:rPr>
              <w:t>（5）备品备件及易损件：</w:t>
            </w:r>
          </w:p>
          <w:p>
            <w:pPr>
              <w:pStyle w:val="28"/>
              <w:spacing w:line="360" w:lineRule="auto"/>
              <w:ind w:firstLine="0"/>
              <w:jc w:val="left"/>
              <w:rPr>
                <w:rFonts w:ascii="宋体" w:hAnsi="宋体" w:eastAsia="宋体" w:cs="宋体"/>
                <w:spacing w:val="14"/>
                <w:sz w:val="24"/>
                <w:szCs w:val="24"/>
                <w:highlight w:val="none"/>
              </w:rPr>
            </w:pPr>
            <w:r>
              <w:rPr>
                <w:rFonts w:hint="eastAsia" w:ascii="宋体" w:hAnsi="宋体" w:eastAsia="宋体" w:cs="宋体"/>
                <w:spacing w:val="14"/>
                <w:sz w:val="24"/>
                <w:szCs w:val="24"/>
                <w:highlight w:val="none"/>
              </w:rPr>
              <w:t>①质保期内免费提供设备运行和维护所必需的原厂备品备件及易损件，未经院方同意不得使用非原厂备品备件及易损件或翻新件，质保期外保证备品备件及易损件长期稳定供货(≥10年），且价格不应高于质保期内报价，如有特殊情况请在投标文件中注明。投标人应提供原厂标准的备品备件、易损件、消耗资料价格清单及折扣率。</w:t>
            </w:r>
          </w:p>
          <w:p>
            <w:pPr>
              <w:pStyle w:val="28"/>
              <w:spacing w:line="360" w:lineRule="auto"/>
              <w:ind w:firstLine="0"/>
              <w:jc w:val="left"/>
              <w:rPr>
                <w:rFonts w:ascii="宋体" w:hAnsi="宋体" w:eastAsia="宋体" w:cs="宋体"/>
                <w:spacing w:val="14"/>
                <w:sz w:val="24"/>
                <w:szCs w:val="24"/>
                <w:highlight w:val="none"/>
              </w:rPr>
            </w:pPr>
            <w:r>
              <w:rPr>
                <w:rFonts w:hint="eastAsia" w:ascii="宋体" w:hAnsi="宋体" w:eastAsia="宋体" w:cs="宋体"/>
                <w:spacing w:val="14"/>
                <w:sz w:val="24"/>
                <w:szCs w:val="24"/>
                <w:highlight w:val="none"/>
              </w:rPr>
              <w:t>②所有备品备件在发运前都应进行测试，以保证正常运行。</w:t>
            </w:r>
          </w:p>
          <w:p>
            <w:pPr>
              <w:pStyle w:val="28"/>
              <w:spacing w:line="360" w:lineRule="auto"/>
              <w:ind w:firstLine="0"/>
              <w:jc w:val="left"/>
              <w:rPr>
                <w:rFonts w:ascii="宋体" w:hAnsi="宋体" w:eastAsia="宋体" w:cs="宋体"/>
                <w:spacing w:val="14"/>
                <w:sz w:val="24"/>
                <w:szCs w:val="24"/>
                <w:highlight w:val="none"/>
              </w:rPr>
            </w:pPr>
            <w:r>
              <w:rPr>
                <w:rFonts w:hint="eastAsia" w:ascii="宋体" w:hAnsi="宋体" w:eastAsia="宋体" w:cs="宋体"/>
                <w:spacing w:val="14"/>
                <w:sz w:val="24"/>
                <w:szCs w:val="24"/>
                <w:highlight w:val="none"/>
              </w:rPr>
              <w:t>③备件送达期限≤24小时(包括所有节假日)。</w:t>
            </w:r>
          </w:p>
          <w:p>
            <w:pPr>
              <w:pStyle w:val="28"/>
              <w:spacing w:line="360" w:lineRule="auto"/>
              <w:ind w:firstLine="0"/>
              <w:jc w:val="left"/>
              <w:rPr>
                <w:rFonts w:ascii="宋体" w:hAnsi="宋体" w:eastAsia="宋体" w:cs="宋体"/>
                <w:spacing w:val="14"/>
                <w:sz w:val="24"/>
                <w:szCs w:val="24"/>
                <w:highlight w:val="none"/>
              </w:rPr>
            </w:pPr>
            <w:r>
              <w:rPr>
                <w:rFonts w:hint="eastAsia" w:ascii="宋体" w:hAnsi="宋体" w:eastAsia="宋体" w:cs="宋体"/>
                <w:spacing w:val="14"/>
                <w:sz w:val="24"/>
                <w:szCs w:val="24"/>
                <w:highlight w:val="none"/>
              </w:rPr>
              <w:t>（6）安装、调试、试运行</w:t>
            </w:r>
          </w:p>
          <w:p>
            <w:pPr>
              <w:pStyle w:val="28"/>
              <w:spacing w:line="360" w:lineRule="auto"/>
              <w:ind w:firstLine="0"/>
              <w:jc w:val="left"/>
              <w:rPr>
                <w:rFonts w:ascii="宋体" w:hAnsi="宋体" w:eastAsia="宋体" w:cs="宋体"/>
                <w:spacing w:val="14"/>
                <w:sz w:val="24"/>
                <w:szCs w:val="24"/>
                <w:highlight w:val="none"/>
              </w:rPr>
            </w:pPr>
            <w:r>
              <w:rPr>
                <w:rFonts w:hint="eastAsia" w:ascii="宋体" w:hAnsi="宋体" w:eastAsia="宋体" w:cs="宋体"/>
                <w:spacing w:val="14"/>
                <w:sz w:val="24"/>
                <w:szCs w:val="24"/>
                <w:highlight w:val="none"/>
              </w:rPr>
              <w:t>①在医疗设备安装前，须做好环境的设计和准备工作。医疗设备的安装使用环境要求，包括供电、温度、湿度、空气净度和磁场、电场和电磁波的干扰、缆线辅设等。</w:t>
            </w:r>
          </w:p>
          <w:p>
            <w:pPr>
              <w:pStyle w:val="28"/>
              <w:spacing w:line="360" w:lineRule="auto"/>
              <w:ind w:firstLine="0"/>
              <w:jc w:val="left"/>
              <w:rPr>
                <w:rFonts w:ascii="宋体" w:hAnsi="宋体" w:eastAsia="宋体" w:cs="宋体"/>
                <w:spacing w:val="14"/>
                <w:sz w:val="24"/>
                <w:szCs w:val="24"/>
                <w:highlight w:val="none"/>
              </w:rPr>
            </w:pPr>
            <w:r>
              <w:rPr>
                <w:rFonts w:hint="eastAsia" w:ascii="宋体" w:hAnsi="宋体" w:eastAsia="宋体" w:cs="宋体"/>
                <w:spacing w:val="14"/>
                <w:sz w:val="24"/>
                <w:szCs w:val="24"/>
                <w:highlight w:val="none"/>
              </w:rPr>
              <w:t>②中标供应商至少派1名商务人员和1名原厂工程师负责安装调试。</w:t>
            </w:r>
          </w:p>
          <w:p>
            <w:pPr>
              <w:pStyle w:val="28"/>
              <w:spacing w:line="360" w:lineRule="auto"/>
              <w:ind w:firstLine="0"/>
              <w:jc w:val="left"/>
              <w:rPr>
                <w:rFonts w:ascii="宋体" w:hAnsi="宋体" w:eastAsia="宋体" w:cs="宋体"/>
                <w:spacing w:val="14"/>
                <w:sz w:val="24"/>
                <w:szCs w:val="24"/>
                <w:highlight w:val="none"/>
              </w:rPr>
            </w:pPr>
            <w:r>
              <w:rPr>
                <w:rFonts w:hint="eastAsia" w:ascii="宋体" w:hAnsi="宋体" w:eastAsia="宋体" w:cs="宋体"/>
                <w:spacing w:val="14"/>
                <w:sz w:val="24"/>
                <w:szCs w:val="24"/>
                <w:highlight w:val="none"/>
              </w:rPr>
              <w:t>③测试工作所需的仪器仪表、工具、材料均由中标供应商负责。</w:t>
            </w:r>
          </w:p>
          <w:p>
            <w:pPr>
              <w:pStyle w:val="28"/>
              <w:spacing w:line="360" w:lineRule="auto"/>
              <w:ind w:firstLine="0"/>
              <w:jc w:val="left"/>
              <w:rPr>
                <w:rFonts w:ascii="宋体" w:hAnsi="宋体" w:eastAsia="宋体" w:cs="宋体"/>
                <w:spacing w:val="14"/>
                <w:sz w:val="24"/>
                <w:szCs w:val="24"/>
                <w:highlight w:val="none"/>
              </w:rPr>
            </w:pPr>
            <w:r>
              <w:rPr>
                <w:rFonts w:hint="eastAsia" w:ascii="宋体" w:hAnsi="宋体" w:eastAsia="宋体" w:cs="宋体"/>
                <w:spacing w:val="14"/>
                <w:sz w:val="24"/>
                <w:szCs w:val="24"/>
                <w:highlight w:val="none"/>
              </w:rPr>
              <w:t>④调试须按照说明书的要求进行，应对医疗设备的各项技术功能逐一调试。</w:t>
            </w:r>
          </w:p>
          <w:p>
            <w:pPr>
              <w:pStyle w:val="28"/>
              <w:spacing w:line="360" w:lineRule="auto"/>
              <w:ind w:firstLine="0"/>
              <w:jc w:val="left"/>
              <w:rPr>
                <w:rFonts w:ascii="宋体" w:hAnsi="宋体" w:eastAsia="宋体" w:cs="宋体"/>
                <w:spacing w:val="14"/>
                <w:sz w:val="24"/>
                <w:szCs w:val="24"/>
                <w:highlight w:val="none"/>
              </w:rPr>
            </w:pPr>
            <w:r>
              <w:rPr>
                <w:rFonts w:hint="eastAsia" w:ascii="宋体" w:hAnsi="宋体" w:eastAsia="宋体" w:cs="宋体"/>
                <w:spacing w:val="14"/>
                <w:sz w:val="24"/>
                <w:szCs w:val="24"/>
                <w:highlight w:val="none"/>
              </w:rPr>
              <w:t>⑤当医疗设备主要指标（软硬件齐全、技术功能实现、产品稳定性）达到招标文件要求，试运行通过；如果上述条件不满足，需重新进行试运行，提供系统软件和应用软件安装光盘及安装密码（主机+工作站）。</w:t>
            </w:r>
          </w:p>
          <w:p>
            <w:pPr>
              <w:pStyle w:val="28"/>
              <w:spacing w:line="360" w:lineRule="auto"/>
              <w:ind w:firstLine="0"/>
              <w:jc w:val="left"/>
              <w:rPr>
                <w:rFonts w:ascii="宋体" w:hAnsi="宋体" w:eastAsia="宋体" w:cs="宋体"/>
                <w:spacing w:val="14"/>
                <w:sz w:val="24"/>
                <w:szCs w:val="24"/>
                <w:highlight w:val="none"/>
              </w:rPr>
            </w:pPr>
            <w:r>
              <w:rPr>
                <w:rFonts w:hint="eastAsia" w:ascii="宋体" w:hAnsi="宋体" w:eastAsia="宋体" w:cs="宋体"/>
                <w:spacing w:val="14"/>
                <w:sz w:val="24"/>
                <w:szCs w:val="24"/>
                <w:highlight w:val="none"/>
              </w:rPr>
              <w:t>⑥安装、调试并通过试运行所需时间。</w:t>
            </w:r>
          </w:p>
          <w:p>
            <w:pPr>
              <w:pStyle w:val="28"/>
              <w:spacing w:line="360" w:lineRule="auto"/>
              <w:ind w:firstLine="0"/>
              <w:jc w:val="left"/>
              <w:rPr>
                <w:rFonts w:ascii="宋体" w:hAnsi="宋体" w:eastAsia="宋体" w:cs="宋体"/>
                <w:spacing w:val="14"/>
                <w:sz w:val="24"/>
                <w:szCs w:val="24"/>
                <w:highlight w:val="none"/>
              </w:rPr>
            </w:pPr>
            <w:r>
              <w:rPr>
                <w:rFonts w:hint="eastAsia" w:ascii="宋体" w:hAnsi="宋体" w:eastAsia="宋体" w:cs="宋体"/>
                <w:spacing w:val="14"/>
                <w:sz w:val="24"/>
                <w:szCs w:val="24"/>
                <w:highlight w:val="none"/>
              </w:rPr>
              <w:t>（7）交货验收</w:t>
            </w:r>
          </w:p>
          <w:p>
            <w:pPr>
              <w:pStyle w:val="28"/>
              <w:spacing w:line="360" w:lineRule="auto"/>
              <w:ind w:firstLine="0"/>
              <w:jc w:val="left"/>
              <w:rPr>
                <w:rFonts w:ascii="宋体" w:hAnsi="宋体" w:eastAsia="宋体" w:cs="宋体"/>
                <w:spacing w:val="14"/>
                <w:sz w:val="24"/>
                <w:szCs w:val="24"/>
                <w:highlight w:val="none"/>
              </w:rPr>
            </w:pPr>
            <w:r>
              <w:rPr>
                <w:rFonts w:hint="eastAsia" w:ascii="宋体" w:hAnsi="宋体" w:eastAsia="宋体" w:cs="宋体"/>
                <w:spacing w:val="14"/>
                <w:sz w:val="24"/>
                <w:szCs w:val="24"/>
                <w:highlight w:val="none"/>
              </w:rPr>
              <w:t>①验收形式：联合验收。验收工作由各主管职能科室牵头，联合验收小组共同验收，签字确认。</w:t>
            </w:r>
          </w:p>
          <w:p>
            <w:pPr>
              <w:pStyle w:val="28"/>
              <w:spacing w:line="360" w:lineRule="auto"/>
              <w:ind w:firstLine="0"/>
              <w:jc w:val="left"/>
              <w:rPr>
                <w:rFonts w:ascii="宋体" w:hAnsi="宋体" w:eastAsia="宋体" w:cs="宋体"/>
                <w:spacing w:val="14"/>
                <w:sz w:val="24"/>
                <w:szCs w:val="24"/>
                <w:highlight w:val="none"/>
              </w:rPr>
            </w:pPr>
            <w:r>
              <w:rPr>
                <w:rFonts w:hint="eastAsia" w:ascii="宋体" w:hAnsi="宋体" w:eastAsia="宋体" w:cs="宋体"/>
                <w:spacing w:val="14"/>
                <w:sz w:val="24"/>
                <w:szCs w:val="24"/>
                <w:highlight w:val="none"/>
              </w:rPr>
              <w:t>②资料验收：验收资料包含：验收报告、采购合同、进口报关单和商检单（进口产品须附）、产品合格证（或质量保证书）、装箱单或随货同行单、使用说明书、中文版操作等资料。</w:t>
            </w:r>
          </w:p>
          <w:p>
            <w:pPr>
              <w:pStyle w:val="28"/>
              <w:spacing w:line="360" w:lineRule="auto"/>
              <w:ind w:firstLine="0"/>
              <w:jc w:val="left"/>
              <w:rPr>
                <w:rFonts w:ascii="宋体" w:hAnsi="宋体" w:eastAsia="宋体" w:cs="宋体"/>
                <w:spacing w:val="14"/>
                <w:sz w:val="24"/>
                <w:szCs w:val="24"/>
                <w:highlight w:val="none"/>
              </w:rPr>
            </w:pPr>
            <w:r>
              <w:rPr>
                <w:rFonts w:hint="eastAsia" w:ascii="宋体" w:hAnsi="宋体" w:eastAsia="宋体" w:cs="宋体"/>
                <w:spacing w:val="14"/>
                <w:sz w:val="24"/>
                <w:szCs w:val="24"/>
                <w:highlight w:val="none"/>
              </w:rPr>
              <w:t>③设备验收：对设备的到货期是否在合同规定的期限内、生产日期是否在规定的期限、硬件配置是否齐全、软件功能是否能实现、相关信息系统连接是否到位、电气安全等进行验收，确保设备能够安全有效地为临床服务。</w:t>
            </w:r>
          </w:p>
          <w:p>
            <w:pPr>
              <w:pStyle w:val="28"/>
              <w:spacing w:line="360" w:lineRule="auto"/>
              <w:ind w:firstLine="0"/>
              <w:jc w:val="left"/>
              <w:rPr>
                <w:rFonts w:ascii="宋体" w:hAnsi="宋体" w:eastAsia="宋体" w:cs="宋体"/>
                <w:spacing w:val="14"/>
                <w:sz w:val="24"/>
                <w:szCs w:val="24"/>
                <w:highlight w:val="none"/>
              </w:rPr>
            </w:pPr>
            <w:r>
              <w:rPr>
                <w:rFonts w:hint="eastAsia" w:ascii="宋体" w:hAnsi="宋体" w:eastAsia="宋体" w:cs="宋体"/>
                <w:spacing w:val="14"/>
                <w:sz w:val="24"/>
                <w:szCs w:val="24"/>
                <w:highlight w:val="none"/>
              </w:rPr>
              <w:t>④培训验收：中标厂家必须派专业的工程师对相关技术人员进行系统培训。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202" w:type="dxa"/>
            <w:vAlign w:val="center"/>
          </w:tcPr>
          <w:p>
            <w:pPr>
              <w:pStyle w:val="28"/>
              <w:spacing w:line="360" w:lineRule="auto"/>
              <w:ind w:firstLine="0"/>
              <w:jc w:val="center"/>
              <w:rPr>
                <w:rFonts w:ascii="宋体" w:hAnsi="宋体" w:eastAsia="宋体" w:cs="宋体"/>
                <w:spacing w:val="14"/>
                <w:sz w:val="24"/>
                <w:szCs w:val="24"/>
                <w:highlight w:val="none"/>
              </w:rPr>
            </w:pPr>
            <w:r>
              <w:rPr>
                <w:rFonts w:hint="eastAsia" w:ascii="宋体" w:hAnsi="宋体" w:eastAsia="宋体" w:cs="宋体"/>
                <w:spacing w:val="14"/>
                <w:sz w:val="24"/>
                <w:szCs w:val="24"/>
                <w:highlight w:val="none"/>
              </w:rPr>
              <w:t>1.4.1</w:t>
            </w:r>
          </w:p>
        </w:tc>
        <w:tc>
          <w:tcPr>
            <w:tcW w:w="1948" w:type="dxa"/>
            <w:vAlign w:val="center"/>
          </w:tcPr>
          <w:p>
            <w:pPr>
              <w:pStyle w:val="28"/>
              <w:spacing w:line="360" w:lineRule="auto"/>
              <w:ind w:firstLine="0"/>
              <w:jc w:val="left"/>
              <w:rPr>
                <w:rFonts w:ascii="宋体" w:hAnsi="宋体" w:eastAsia="宋体" w:cs="宋体"/>
                <w:spacing w:val="14"/>
                <w:sz w:val="24"/>
                <w:szCs w:val="24"/>
                <w:highlight w:val="none"/>
              </w:rPr>
            </w:pPr>
            <w:r>
              <w:rPr>
                <w:rFonts w:hint="eastAsia" w:ascii="宋体" w:hAnsi="宋体" w:eastAsia="宋体" w:cs="宋体"/>
                <w:spacing w:val="14"/>
                <w:sz w:val="24"/>
                <w:szCs w:val="24"/>
                <w:highlight w:val="none"/>
              </w:rPr>
              <w:t>投标人资格要求</w:t>
            </w:r>
          </w:p>
        </w:tc>
        <w:tc>
          <w:tcPr>
            <w:tcW w:w="6064" w:type="dxa"/>
            <w:vAlign w:val="center"/>
          </w:tcPr>
          <w:p>
            <w:pPr>
              <w:pStyle w:val="44"/>
              <w:spacing w:before="0" w:beforeAutospacing="0" w:after="0" w:afterAutospacing="0" w:line="360" w:lineRule="auto"/>
              <w:ind w:firstLine="0" w:firstLineChars="0"/>
              <w:rPr>
                <w:rFonts w:cs="宋体"/>
                <w:spacing w:val="14"/>
                <w:kern w:val="0"/>
                <w:sz w:val="24"/>
                <w:szCs w:val="24"/>
                <w:highlight w:val="none"/>
              </w:rPr>
            </w:pPr>
            <w:r>
              <w:rPr>
                <w:rFonts w:hint="eastAsia" w:cs="宋体"/>
                <w:spacing w:val="14"/>
                <w:kern w:val="0"/>
                <w:sz w:val="24"/>
                <w:szCs w:val="24"/>
                <w:highlight w:val="none"/>
              </w:rPr>
              <w:t>详见招标公告“二、申请人资格要求”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202" w:type="dxa"/>
            <w:vAlign w:val="center"/>
          </w:tcPr>
          <w:p>
            <w:pPr>
              <w:pStyle w:val="28"/>
              <w:spacing w:line="360" w:lineRule="auto"/>
              <w:ind w:firstLine="0"/>
              <w:jc w:val="center"/>
              <w:rPr>
                <w:rFonts w:ascii="宋体" w:hAnsi="宋体" w:eastAsia="宋体" w:cs="宋体"/>
                <w:spacing w:val="14"/>
                <w:sz w:val="24"/>
                <w:szCs w:val="24"/>
                <w:highlight w:val="none"/>
              </w:rPr>
            </w:pPr>
            <w:r>
              <w:rPr>
                <w:rFonts w:hint="eastAsia" w:ascii="宋体" w:hAnsi="宋体" w:eastAsia="宋体" w:cs="宋体"/>
                <w:spacing w:val="14"/>
                <w:sz w:val="24"/>
                <w:szCs w:val="24"/>
                <w:highlight w:val="none"/>
              </w:rPr>
              <w:t>1.4.2</w:t>
            </w:r>
          </w:p>
        </w:tc>
        <w:tc>
          <w:tcPr>
            <w:tcW w:w="1948" w:type="dxa"/>
            <w:vAlign w:val="center"/>
          </w:tcPr>
          <w:p>
            <w:pPr>
              <w:pStyle w:val="28"/>
              <w:spacing w:line="360" w:lineRule="auto"/>
              <w:ind w:firstLine="0"/>
              <w:jc w:val="left"/>
              <w:rPr>
                <w:rFonts w:ascii="宋体" w:hAnsi="宋体" w:eastAsia="宋体" w:cs="宋体"/>
                <w:spacing w:val="14"/>
                <w:sz w:val="24"/>
                <w:szCs w:val="24"/>
                <w:highlight w:val="none"/>
              </w:rPr>
            </w:pPr>
            <w:r>
              <w:rPr>
                <w:rFonts w:hint="eastAsia" w:ascii="宋体" w:hAnsi="宋体" w:eastAsia="宋体" w:cs="宋体"/>
                <w:spacing w:val="14"/>
                <w:sz w:val="24"/>
                <w:szCs w:val="24"/>
                <w:highlight w:val="none"/>
              </w:rPr>
              <w:t>是否接受联合体投标</w:t>
            </w:r>
          </w:p>
        </w:tc>
        <w:tc>
          <w:tcPr>
            <w:tcW w:w="6064" w:type="dxa"/>
            <w:vAlign w:val="center"/>
          </w:tcPr>
          <w:p>
            <w:pPr>
              <w:pStyle w:val="28"/>
              <w:spacing w:line="360" w:lineRule="auto"/>
              <w:ind w:firstLine="0"/>
              <w:jc w:val="left"/>
              <w:rPr>
                <w:rFonts w:ascii="宋体" w:hAnsi="宋体" w:eastAsia="宋体" w:cs="宋体"/>
                <w:spacing w:val="14"/>
                <w:sz w:val="24"/>
                <w:szCs w:val="24"/>
                <w:highlight w:val="none"/>
              </w:rPr>
            </w:pPr>
            <w:r>
              <w:rPr>
                <w:rFonts w:hint="eastAsia" w:ascii="宋体" w:hAnsi="宋体" w:eastAsia="宋体" w:cs="宋体"/>
                <w:spacing w:val="14"/>
                <w:sz w:val="24"/>
                <w:szCs w:val="24"/>
                <w:highlight w:val="none"/>
              </w:rPr>
              <w:t>☑不接受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202" w:type="dxa"/>
            <w:vAlign w:val="center"/>
          </w:tcPr>
          <w:p>
            <w:pPr>
              <w:pStyle w:val="28"/>
              <w:spacing w:line="360" w:lineRule="auto"/>
              <w:ind w:firstLine="0"/>
              <w:jc w:val="center"/>
              <w:rPr>
                <w:rFonts w:ascii="宋体" w:hAnsi="宋体" w:eastAsia="宋体" w:cs="宋体"/>
                <w:spacing w:val="14"/>
                <w:sz w:val="24"/>
                <w:szCs w:val="24"/>
                <w:highlight w:val="none"/>
              </w:rPr>
            </w:pPr>
            <w:r>
              <w:rPr>
                <w:rFonts w:hint="eastAsia" w:ascii="宋体" w:hAnsi="宋体" w:eastAsia="宋体" w:cs="宋体"/>
                <w:spacing w:val="14"/>
                <w:sz w:val="24"/>
                <w:szCs w:val="24"/>
                <w:highlight w:val="none"/>
              </w:rPr>
              <w:t>1.4.3</w:t>
            </w:r>
          </w:p>
        </w:tc>
        <w:tc>
          <w:tcPr>
            <w:tcW w:w="1948" w:type="dxa"/>
            <w:vAlign w:val="center"/>
          </w:tcPr>
          <w:p>
            <w:pPr>
              <w:pStyle w:val="28"/>
              <w:spacing w:line="360" w:lineRule="auto"/>
              <w:ind w:firstLine="0"/>
              <w:jc w:val="left"/>
              <w:rPr>
                <w:rFonts w:ascii="宋体" w:hAnsi="宋体" w:eastAsia="宋体" w:cs="宋体"/>
                <w:spacing w:val="14"/>
                <w:sz w:val="24"/>
                <w:szCs w:val="24"/>
                <w:highlight w:val="none"/>
              </w:rPr>
            </w:pPr>
            <w:r>
              <w:rPr>
                <w:rFonts w:hint="eastAsia" w:ascii="宋体" w:hAnsi="宋体" w:eastAsia="宋体" w:cs="宋体"/>
                <w:spacing w:val="14"/>
                <w:sz w:val="24"/>
                <w:szCs w:val="24"/>
                <w:highlight w:val="none"/>
              </w:rPr>
              <w:t>投标人不得存在的其他情形</w:t>
            </w:r>
          </w:p>
        </w:tc>
        <w:tc>
          <w:tcPr>
            <w:tcW w:w="6064" w:type="dxa"/>
            <w:vAlign w:val="center"/>
          </w:tcPr>
          <w:p>
            <w:pPr>
              <w:pStyle w:val="28"/>
              <w:spacing w:line="360" w:lineRule="auto"/>
              <w:ind w:firstLine="0"/>
              <w:jc w:val="left"/>
              <w:rPr>
                <w:rFonts w:ascii="宋体" w:hAnsi="宋体" w:eastAsia="宋体" w:cs="宋体"/>
                <w:spacing w:val="14"/>
                <w:sz w:val="24"/>
                <w:szCs w:val="24"/>
                <w:highlight w:val="none"/>
              </w:rPr>
            </w:pPr>
            <w:r>
              <w:rPr>
                <w:rFonts w:hint="eastAsia" w:ascii="宋体" w:hAnsi="宋体" w:eastAsia="宋体" w:cs="宋体"/>
                <w:spacing w:val="14"/>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202" w:type="dxa"/>
            <w:vAlign w:val="center"/>
          </w:tcPr>
          <w:p>
            <w:pPr>
              <w:pStyle w:val="28"/>
              <w:spacing w:line="360" w:lineRule="auto"/>
              <w:ind w:firstLine="0"/>
              <w:jc w:val="center"/>
              <w:rPr>
                <w:rFonts w:ascii="宋体" w:hAnsi="宋体" w:eastAsia="宋体" w:cs="宋体"/>
                <w:spacing w:val="14"/>
                <w:sz w:val="24"/>
                <w:szCs w:val="24"/>
                <w:highlight w:val="none"/>
              </w:rPr>
            </w:pPr>
            <w:r>
              <w:rPr>
                <w:rFonts w:hint="eastAsia" w:ascii="宋体" w:hAnsi="宋体" w:eastAsia="宋体" w:cs="宋体"/>
                <w:spacing w:val="14"/>
                <w:sz w:val="24"/>
                <w:szCs w:val="24"/>
                <w:highlight w:val="none"/>
              </w:rPr>
              <w:t>1.9.1</w:t>
            </w:r>
          </w:p>
        </w:tc>
        <w:tc>
          <w:tcPr>
            <w:tcW w:w="1948" w:type="dxa"/>
            <w:vAlign w:val="center"/>
          </w:tcPr>
          <w:p>
            <w:pPr>
              <w:pStyle w:val="28"/>
              <w:spacing w:line="360" w:lineRule="auto"/>
              <w:ind w:firstLine="0"/>
              <w:jc w:val="left"/>
              <w:rPr>
                <w:rFonts w:ascii="宋体" w:hAnsi="宋体" w:eastAsia="宋体" w:cs="宋体"/>
                <w:spacing w:val="14"/>
                <w:sz w:val="24"/>
                <w:szCs w:val="24"/>
                <w:highlight w:val="none"/>
              </w:rPr>
            </w:pPr>
            <w:r>
              <w:rPr>
                <w:rFonts w:hint="eastAsia" w:ascii="宋体" w:hAnsi="宋体" w:eastAsia="宋体" w:cs="宋体"/>
                <w:spacing w:val="14"/>
                <w:sz w:val="24"/>
                <w:szCs w:val="24"/>
                <w:highlight w:val="none"/>
              </w:rPr>
              <w:t>投标预备会</w:t>
            </w:r>
          </w:p>
        </w:tc>
        <w:tc>
          <w:tcPr>
            <w:tcW w:w="6064" w:type="dxa"/>
            <w:vAlign w:val="center"/>
          </w:tcPr>
          <w:p>
            <w:pPr>
              <w:pStyle w:val="28"/>
              <w:spacing w:line="360" w:lineRule="auto"/>
              <w:ind w:firstLine="0"/>
              <w:jc w:val="left"/>
              <w:rPr>
                <w:rFonts w:ascii="宋体" w:hAnsi="宋体" w:eastAsia="宋体" w:cs="宋体"/>
                <w:spacing w:val="14"/>
                <w:sz w:val="24"/>
                <w:szCs w:val="24"/>
                <w:highlight w:val="none"/>
              </w:rPr>
            </w:pPr>
            <w:r>
              <w:rPr>
                <w:rFonts w:hint="eastAsia" w:ascii="宋体" w:hAnsi="宋体" w:eastAsia="宋体" w:cs="宋体"/>
                <w:spacing w:val="14"/>
                <w:sz w:val="24"/>
                <w:szCs w:val="24"/>
                <w:highlight w:val="none"/>
              </w:rPr>
              <w:t>☑不召开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202" w:type="dxa"/>
            <w:vAlign w:val="center"/>
          </w:tcPr>
          <w:p>
            <w:pPr>
              <w:pStyle w:val="28"/>
              <w:spacing w:line="360" w:lineRule="auto"/>
              <w:ind w:firstLine="0"/>
              <w:jc w:val="center"/>
              <w:rPr>
                <w:rFonts w:ascii="宋体" w:hAnsi="宋体" w:eastAsia="宋体" w:cs="宋体"/>
                <w:spacing w:val="14"/>
                <w:sz w:val="24"/>
                <w:szCs w:val="24"/>
                <w:highlight w:val="none"/>
              </w:rPr>
            </w:pPr>
            <w:r>
              <w:rPr>
                <w:rFonts w:hint="eastAsia" w:ascii="宋体" w:hAnsi="宋体" w:eastAsia="宋体" w:cs="宋体"/>
                <w:spacing w:val="14"/>
                <w:sz w:val="24"/>
                <w:szCs w:val="24"/>
                <w:highlight w:val="none"/>
              </w:rPr>
              <w:t>1.9.2</w:t>
            </w:r>
          </w:p>
        </w:tc>
        <w:tc>
          <w:tcPr>
            <w:tcW w:w="1948" w:type="dxa"/>
            <w:vAlign w:val="center"/>
          </w:tcPr>
          <w:p>
            <w:pPr>
              <w:pStyle w:val="28"/>
              <w:spacing w:line="360" w:lineRule="auto"/>
              <w:ind w:firstLine="0"/>
              <w:jc w:val="left"/>
              <w:rPr>
                <w:rFonts w:ascii="宋体" w:hAnsi="宋体" w:eastAsia="宋体" w:cs="宋体"/>
                <w:spacing w:val="14"/>
                <w:sz w:val="24"/>
                <w:szCs w:val="24"/>
                <w:highlight w:val="none"/>
              </w:rPr>
            </w:pPr>
            <w:r>
              <w:rPr>
                <w:rFonts w:hint="eastAsia" w:ascii="宋体" w:hAnsi="宋体" w:eastAsia="宋体" w:cs="宋体"/>
                <w:spacing w:val="14"/>
                <w:sz w:val="24"/>
                <w:szCs w:val="24"/>
                <w:highlight w:val="none"/>
              </w:rPr>
              <w:t>投标人在投标预备会前提出问题</w:t>
            </w:r>
          </w:p>
        </w:tc>
        <w:tc>
          <w:tcPr>
            <w:tcW w:w="6064" w:type="dxa"/>
            <w:vAlign w:val="center"/>
          </w:tcPr>
          <w:p>
            <w:pPr>
              <w:pStyle w:val="28"/>
              <w:spacing w:line="360" w:lineRule="auto"/>
              <w:ind w:firstLine="0"/>
              <w:jc w:val="left"/>
              <w:rPr>
                <w:rFonts w:ascii="宋体" w:hAnsi="宋体" w:eastAsia="宋体" w:cs="宋体"/>
                <w:spacing w:val="14"/>
                <w:sz w:val="24"/>
                <w:szCs w:val="24"/>
                <w:highlight w:val="none"/>
              </w:rPr>
            </w:pPr>
            <w:r>
              <w:rPr>
                <w:rFonts w:hint="eastAsia" w:ascii="宋体" w:hAnsi="宋体" w:eastAsia="宋体" w:cs="宋体"/>
                <w:spacing w:val="14"/>
                <w:sz w:val="24"/>
                <w:szCs w:val="24"/>
                <w:highlight w:val="none"/>
              </w:rPr>
              <w:t>时间：/</w:t>
            </w:r>
          </w:p>
          <w:p>
            <w:pPr>
              <w:pStyle w:val="28"/>
              <w:spacing w:line="360" w:lineRule="auto"/>
              <w:ind w:firstLine="0"/>
              <w:jc w:val="left"/>
              <w:rPr>
                <w:rFonts w:ascii="宋体" w:hAnsi="宋体" w:eastAsia="宋体" w:cs="宋体"/>
                <w:spacing w:val="14"/>
                <w:sz w:val="24"/>
                <w:szCs w:val="24"/>
                <w:highlight w:val="none"/>
              </w:rPr>
            </w:pPr>
            <w:r>
              <w:rPr>
                <w:rFonts w:hint="eastAsia" w:ascii="宋体" w:hAnsi="宋体" w:eastAsia="宋体" w:cs="宋体"/>
                <w:spacing w:val="14"/>
                <w:sz w:val="24"/>
                <w:szCs w:val="24"/>
                <w:highlight w:val="none"/>
              </w:rPr>
              <w:t>形式：/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202" w:type="dxa"/>
            <w:vAlign w:val="center"/>
          </w:tcPr>
          <w:p>
            <w:pPr>
              <w:pStyle w:val="28"/>
              <w:spacing w:line="360" w:lineRule="auto"/>
              <w:ind w:firstLine="0"/>
              <w:jc w:val="center"/>
              <w:rPr>
                <w:rFonts w:ascii="宋体" w:hAnsi="宋体" w:eastAsia="宋体" w:cs="宋体"/>
                <w:spacing w:val="14"/>
                <w:sz w:val="24"/>
                <w:szCs w:val="24"/>
                <w:highlight w:val="none"/>
              </w:rPr>
            </w:pPr>
            <w:r>
              <w:rPr>
                <w:rFonts w:hint="eastAsia" w:ascii="宋体" w:hAnsi="宋体" w:eastAsia="宋体" w:cs="宋体"/>
                <w:spacing w:val="14"/>
                <w:sz w:val="24"/>
                <w:szCs w:val="24"/>
                <w:highlight w:val="none"/>
              </w:rPr>
              <w:t>1.10.1</w:t>
            </w:r>
          </w:p>
        </w:tc>
        <w:tc>
          <w:tcPr>
            <w:tcW w:w="1948" w:type="dxa"/>
            <w:vAlign w:val="center"/>
          </w:tcPr>
          <w:p>
            <w:pPr>
              <w:pStyle w:val="28"/>
              <w:spacing w:line="360" w:lineRule="auto"/>
              <w:ind w:firstLine="0"/>
              <w:jc w:val="left"/>
              <w:rPr>
                <w:rFonts w:ascii="宋体" w:hAnsi="宋体" w:eastAsia="宋体" w:cs="宋体"/>
                <w:spacing w:val="14"/>
                <w:sz w:val="24"/>
                <w:szCs w:val="24"/>
                <w:highlight w:val="none"/>
              </w:rPr>
            </w:pPr>
            <w:r>
              <w:rPr>
                <w:rFonts w:hint="eastAsia" w:ascii="宋体" w:hAnsi="宋体" w:eastAsia="宋体" w:cs="宋体"/>
                <w:spacing w:val="14"/>
                <w:sz w:val="24"/>
                <w:szCs w:val="24"/>
                <w:highlight w:val="none"/>
              </w:rPr>
              <w:t>分包</w:t>
            </w:r>
          </w:p>
        </w:tc>
        <w:tc>
          <w:tcPr>
            <w:tcW w:w="6064" w:type="dxa"/>
            <w:vAlign w:val="center"/>
          </w:tcPr>
          <w:p>
            <w:pPr>
              <w:pStyle w:val="28"/>
              <w:spacing w:line="360" w:lineRule="auto"/>
              <w:ind w:firstLine="0"/>
              <w:jc w:val="left"/>
              <w:rPr>
                <w:rFonts w:ascii="宋体" w:hAnsi="宋体" w:eastAsia="宋体" w:cs="宋体"/>
                <w:spacing w:val="14"/>
                <w:sz w:val="24"/>
                <w:szCs w:val="24"/>
                <w:highlight w:val="none"/>
              </w:rPr>
            </w:pPr>
            <w:r>
              <w:rPr>
                <w:rFonts w:hint="eastAsia" w:ascii="宋体" w:hAnsi="宋体" w:eastAsia="宋体" w:cs="宋体"/>
                <w:spacing w:val="14"/>
                <w:sz w:val="24"/>
                <w:szCs w:val="24"/>
                <w:highlight w:val="none"/>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202" w:type="dxa"/>
            <w:vAlign w:val="center"/>
          </w:tcPr>
          <w:p>
            <w:pPr>
              <w:pStyle w:val="28"/>
              <w:spacing w:line="360" w:lineRule="auto"/>
              <w:ind w:firstLine="0"/>
              <w:jc w:val="center"/>
              <w:rPr>
                <w:rFonts w:ascii="宋体" w:hAnsi="宋体" w:eastAsia="宋体" w:cs="宋体"/>
                <w:spacing w:val="14"/>
                <w:sz w:val="24"/>
                <w:szCs w:val="24"/>
                <w:highlight w:val="none"/>
              </w:rPr>
            </w:pPr>
            <w:r>
              <w:rPr>
                <w:rFonts w:hint="eastAsia" w:ascii="宋体" w:hAnsi="宋体" w:eastAsia="宋体" w:cs="宋体"/>
                <w:spacing w:val="14"/>
                <w:sz w:val="24"/>
                <w:szCs w:val="24"/>
                <w:highlight w:val="none"/>
              </w:rPr>
              <w:t>1.11.1</w:t>
            </w:r>
          </w:p>
        </w:tc>
        <w:tc>
          <w:tcPr>
            <w:tcW w:w="1948" w:type="dxa"/>
            <w:vAlign w:val="center"/>
          </w:tcPr>
          <w:p>
            <w:pPr>
              <w:pStyle w:val="28"/>
              <w:spacing w:line="360" w:lineRule="auto"/>
              <w:ind w:firstLine="0"/>
              <w:jc w:val="left"/>
              <w:rPr>
                <w:rFonts w:ascii="宋体" w:hAnsi="宋体" w:eastAsia="宋体" w:cs="宋体"/>
                <w:spacing w:val="14"/>
                <w:sz w:val="24"/>
                <w:szCs w:val="24"/>
                <w:highlight w:val="none"/>
              </w:rPr>
            </w:pPr>
            <w:r>
              <w:rPr>
                <w:rFonts w:hint="eastAsia" w:ascii="宋体" w:hAnsi="宋体" w:eastAsia="宋体" w:cs="宋体"/>
                <w:spacing w:val="14"/>
                <w:sz w:val="24"/>
                <w:szCs w:val="24"/>
                <w:highlight w:val="none"/>
              </w:rPr>
              <w:t>实质性要求和条件</w:t>
            </w:r>
          </w:p>
        </w:tc>
        <w:tc>
          <w:tcPr>
            <w:tcW w:w="6064" w:type="dxa"/>
            <w:vAlign w:val="center"/>
          </w:tcPr>
          <w:p>
            <w:pPr>
              <w:pStyle w:val="28"/>
              <w:spacing w:line="360" w:lineRule="auto"/>
              <w:ind w:firstLine="0"/>
              <w:jc w:val="left"/>
              <w:rPr>
                <w:rFonts w:ascii="宋体" w:hAnsi="宋体" w:eastAsia="宋体" w:cs="宋体"/>
                <w:spacing w:val="14"/>
                <w:sz w:val="24"/>
                <w:szCs w:val="24"/>
                <w:highlight w:val="none"/>
              </w:rPr>
            </w:pPr>
            <w:r>
              <w:rPr>
                <w:rFonts w:hint="eastAsia" w:ascii="宋体" w:hAnsi="宋体" w:eastAsia="宋体" w:cs="宋体"/>
                <w:spacing w:val="14"/>
                <w:sz w:val="24"/>
                <w:szCs w:val="24"/>
                <w:highlight w:val="none"/>
              </w:rPr>
              <w:t>交货期；</w:t>
            </w:r>
          </w:p>
          <w:p>
            <w:pPr>
              <w:pStyle w:val="28"/>
              <w:spacing w:line="360" w:lineRule="auto"/>
              <w:ind w:firstLine="0"/>
              <w:jc w:val="left"/>
              <w:rPr>
                <w:rFonts w:ascii="宋体" w:hAnsi="宋体" w:eastAsia="宋体" w:cs="宋体"/>
                <w:spacing w:val="14"/>
                <w:sz w:val="24"/>
                <w:szCs w:val="24"/>
                <w:highlight w:val="none"/>
              </w:rPr>
            </w:pPr>
            <w:r>
              <w:rPr>
                <w:rFonts w:hint="eastAsia" w:ascii="宋体" w:hAnsi="宋体" w:eastAsia="宋体" w:cs="宋体"/>
                <w:spacing w:val="14"/>
                <w:sz w:val="24"/>
                <w:szCs w:val="24"/>
                <w:highlight w:val="none"/>
              </w:rPr>
              <w:t>合同履行期限；</w:t>
            </w:r>
          </w:p>
          <w:p>
            <w:pPr>
              <w:pStyle w:val="28"/>
              <w:spacing w:line="360" w:lineRule="auto"/>
              <w:ind w:firstLine="0"/>
              <w:jc w:val="left"/>
              <w:rPr>
                <w:rFonts w:ascii="宋体" w:hAnsi="宋体" w:eastAsia="宋体" w:cs="宋体"/>
                <w:spacing w:val="14"/>
                <w:sz w:val="24"/>
                <w:szCs w:val="24"/>
                <w:highlight w:val="none"/>
              </w:rPr>
            </w:pPr>
            <w:r>
              <w:rPr>
                <w:rFonts w:hint="eastAsia" w:ascii="宋体" w:hAnsi="宋体" w:eastAsia="宋体" w:cs="宋体"/>
                <w:spacing w:val="14"/>
                <w:sz w:val="24"/>
                <w:szCs w:val="24"/>
                <w:highlight w:val="none"/>
              </w:rPr>
              <w:t>质量要求；</w:t>
            </w:r>
          </w:p>
          <w:p>
            <w:pPr>
              <w:pStyle w:val="28"/>
              <w:spacing w:line="360" w:lineRule="auto"/>
              <w:ind w:firstLine="0"/>
              <w:jc w:val="left"/>
              <w:rPr>
                <w:rFonts w:ascii="宋体" w:hAnsi="宋体" w:eastAsia="宋体" w:cs="宋体"/>
                <w:spacing w:val="14"/>
                <w:sz w:val="24"/>
                <w:szCs w:val="24"/>
                <w:highlight w:val="none"/>
              </w:rPr>
            </w:pPr>
            <w:r>
              <w:rPr>
                <w:rFonts w:hint="eastAsia" w:ascii="宋体" w:hAnsi="宋体" w:eastAsia="宋体" w:cs="宋体"/>
                <w:spacing w:val="14"/>
                <w:sz w:val="24"/>
                <w:szCs w:val="24"/>
                <w:highlight w:val="none"/>
              </w:rPr>
              <w:t>质保期及售后服务；</w:t>
            </w:r>
          </w:p>
          <w:p>
            <w:pPr>
              <w:pStyle w:val="28"/>
              <w:spacing w:line="360" w:lineRule="auto"/>
              <w:ind w:firstLine="0"/>
              <w:jc w:val="left"/>
              <w:rPr>
                <w:rFonts w:ascii="宋体" w:hAnsi="宋体" w:eastAsia="宋体" w:cs="宋体"/>
                <w:spacing w:val="14"/>
                <w:sz w:val="24"/>
                <w:szCs w:val="24"/>
                <w:highlight w:val="none"/>
              </w:rPr>
            </w:pPr>
            <w:r>
              <w:rPr>
                <w:rFonts w:hint="eastAsia" w:ascii="宋体" w:hAnsi="宋体" w:eastAsia="宋体" w:cs="宋体"/>
                <w:spacing w:val="14"/>
                <w:sz w:val="24"/>
                <w:szCs w:val="24"/>
                <w:highlight w:val="none"/>
              </w:rPr>
              <w:t>付款方式；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202" w:type="dxa"/>
            <w:vAlign w:val="center"/>
          </w:tcPr>
          <w:p>
            <w:pPr>
              <w:pStyle w:val="28"/>
              <w:spacing w:line="360" w:lineRule="auto"/>
              <w:ind w:firstLine="0"/>
              <w:jc w:val="center"/>
              <w:rPr>
                <w:rFonts w:ascii="宋体" w:hAnsi="宋体" w:eastAsia="宋体" w:cs="宋体"/>
                <w:spacing w:val="14"/>
                <w:sz w:val="24"/>
                <w:szCs w:val="24"/>
                <w:highlight w:val="none"/>
              </w:rPr>
            </w:pPr>
            <w:r>
              <w:rPr>
                <w:rFonts w:hint="eastAsia" w:ascii="宋体" w:hAnsi="宋体" w:eastAsia="宋体" w:cs="宋体"/>
                <w:spacing w:val="14"/>
                <w:sz w:val="24"/>
                <w:szCs w:val="24"/>
                <w:highlight w:val="none"/>
              </w:rPr>
              <w:t>1.11.3</w:t>
            </w:r>
          </w:p>
        </w:tc>
        <w:tc>
          <w:tcPr>
            <w:tcW w:w="1948" w:type="dxa"/>
            <w:vAlign w:val="center"/>
          </w:tcPr>
          <w:p>
            <w:pPr>
              <w:pStyle w:val="28"/>
              <w:spacing w:line="360" w:lineRule="auto"/>
              <w:ind w:firstLine="0"/>
              <w:jc w:val="left"/>
              <w:rPr>
                <w:rFonts w:ascii="宋体" w:hAnsi="宋体" w:eastAsia="宋体" w:cs="宋体"/>
                <w:spacing w:val="14"/>
                <w:sz w:val="24"/>
                <w:szCs w:val="24"/>
                <w:highlight w:val="none"/>
              </w:rPr>
            </w:pPr>
            <w:r>
              <w:rPr>
                <w:rFonts w:hint="eastAsia" w:ascii="宋体" w:hAnsi="宋体" w:eastAsia="宋体" w:cs="宋体"/>
                <w:spacing w:val="14"/>
                <w:sz w:val="24"/>
                <w:szCs w:val="24"/>
                <w:highlight w:val="none"/>
              </w:rPr>
              <w:t>其他可以被接受的技术支持资料</w:t>
            </w:r>
          </w:p>
        </w:tc>
        <w:tc>
          <w:tcPr>
            <w:tcW w:w="6064" w:type="dxa"/>
            <w:vAlign w:val="center"/>
          </w:tcPr>
          <w:p>
            <w:pPr>
              <w:pStyle w:val="28"/>
              <w:spacing w:line="360" w:lineRule="auto"/>
              <w:ind w:firstLine="0"/>
              <w:jc w:val="left"/>
              <w:rPr>
                <w:rFonts w:ascii="宋体" w:hAnsi="宋体" w:eastAsia="宋体" w:cs="宋体"/>
                <w:spacing w:val="14"/>
                <w:sz w:val="24"/>
                <w:szCs w:val="24"/>
                <w:highlight w:val="none"/>
              </w:rPr>
            </w:pPr>
            <w:r>
              <w:rPr>
                <w:rFonts w:hint="eastAsia" w:ascii="宋体" w:hAnsi="宋体" w:eastAsia="宋体" w:cs="宋体"/>
                <w:spacing w:val="14"/>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202" w:type="dxa"/>
            <w:vAlign w:val="center"/>
          </w:tcPr>
          <w:p>
            <w:pPr>
              <w:pStyle w:val="28"/>
              <w:spacing w:line="360" w:lineRule="auto"/>
              <w:ind w:firstLine="0"/>
              <w:jc w:val="center"/>
              <w:rPr>
                <w:rFonts w:ascii="宋体" w:hAnsi="宋体" w:eastAsia="宋体" w:cs="宋体"/>
                <w:spacing w:val="14"/>
                <w:sz w:val="24"/>
                <w:szCs w:val="24"/>
                <w:highlight w:val="none"/>
              </w:rPr>
            </w:pPr>
            <w:r>
              <w:rPr>
                <w:rFonts w:hint="eastAsia" w:ascii="宋体" w:hAnsi="宋体" w:eastAsia="宋体" w:cs="宋体"/>
                <w:spacing w:val="14"/>
                <w:sz w:val="24"/>
                <w:szCs w:val="24"/>
                <w:highlight w:val="none"/>
              </w:rPr>
              <w:t>1.11.4</w:t>
            </w:r>
          </w:p>
        </w:tc>
        <w:tc>
          <w:tcPr>
            <w:tcW w:w="1948" w:type="dxa"/>
            <w:vAlign w:val="center"/>
          </w:tcPr>
          <w:p>
            <w:pPr>
              <w:pStyle w:val="28"/>
              <w:spacing w:line="360" w:lineRule="auto"/>
              <w:ind w:firstLine="0"/>
              <w:jc w:val="left"/>
              <w:rPr>
                <w:rFonts w:ascii="宋体" w:hAnsi="宋体" w:eastAsia="宋体" w:cs="宋体"/>
                <w:spacing w:val="14"/>
                <w:sz w:val="24"/>
                <w:szCs w:val="24"/>
                <w:highlight w:val="none"/>
              </w:rPr>
            </w:pPr>
            <w:r>
              <w:rPr>
                <w:rFonts w:hint="eastAsia" w:ascii="宋体" w:hAnsi="宋体" w:eastAsia="宋体" w:cs="宋体"/>
                <w:spacing w:val="14"/>
                <w:sz w:val="24"/>
                <w:szCs w:val="24"/>
                <w:highlight w:val="none"/>
              </w:rPr>
              <w:t>偏差</w:t>
            </w:r>
          </w:p>
        </w:tc>
        <w:tc>
          <w:tcPr>
            <w:tcW w:w="6064" w:type="dxa"/>
            <w:vAlign w:val="center"/>
          </w:tcPr>
          <w:p>
            <w:pPr>
              <w:pStyle w:val="8"/>
              <w:spacing w:line="360" w:lineRule="auto"/>
              <w:rPr>
                <w:rFonts w:ascii="宋体" w:hAnsi="宋体" w:eastAsia="宋体" w:cs="宋体"/>
                <w:spacing w:val="14"/>
                <w:highlight w:val="none"/>
              </w:rPr>
            </w:pPr>
            <w:r>
              <w:rPr>
                <w:rFonts w:hint="eastAsia" w:ascii="宋体" w:hAnsi="宋体" w:eastAsia="宋体" w:cs="宋体"/>
                <w:spacing w:val="14"/>
                <w:highlight w:val="none"/>
              </w:rPr>
              <w:t>☑</w:t>
            </w:r>
            <w:r>
              <w:rPr>
                <w:rFonts w:hint="eastAsia" w:ascii="宋体" w:hAnsi="宋体" w:eastAsia="宋体" w:cs="宋体"/>
                <w:highlight w:val="none"/>
              </w:rPr>
              <w:t>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202" w:type="dxa"/>
            <w:vAlign w:val="center"/>
          </w:tcPr>
          <w:p>
            <w:pPr>
              <w:pStyle w:val="28"/>
              <w:spacing w:line="360" w:lineRule="auto"/>
              <w:ind w:firstLine="0"/>
              <w:jc w:val="center"/>
              <w:rPr>
                <w:rFonts w:ascii="宋体" w:hAnsi="宋体" w:eastAsia="宋体" w:cs="宋体"/>
                <w:spacing w:val="14"/>
                <w:sz w:val="24"/>
                <w:szCs w:val="24"/>
                <w:highlight w:val="none"/>
              </w:rPr>
            </w:pPr>
            <w:r>
              <w:rPr>
                <w:rFonts w:hint="eastAsia" w:ascii="宋体" w:hAnsi="宋体" w:eastAsia="宋体" w:cs="宋体"/>
                <w:spacing w:val="14"/>
                <w:sz w:val="24"/>
                <w:szCs w:val="24"/>
                <w:highlight w:val="none"/>
              </w:rPr>
              <w:t>2.1</w:t>
            </w:r>
          </w:p>
        </w:tc>
        <w:tc>
          <w:tcPr>
            <w:tcW w:w="1948" w:type="dxa"/>
            <w:vAlign w:val="center"/>
          </w:tcPr>
          <w:p>
            <w:pPr>
              <w:pStyle w:val="28"/>
              <w:spacing w:line="360" w:lineRule="auto"/>
              <w:ind w:firstLine="0"/>
              <w:jc w:val="left"/>
              <w:rPr>
                <w:rFonts w:ascii="宋体" w:hAnsi="宋体" w:eastAsia="宋体" w:cs="宋体"/>
                <w:spacing w:val="14"/>
                <w:sz w:val="24"/>
                <w:szCs w:val="24"/>
                <w:highlight w:val="none"/>
              </w:rPr>
            </w:pPr>
            <w:r>
              <w:rPr>
                <w:rFonts w:hint="eastAsia" w:ascii="宋体" w:hAnsi="宋体" w:eastAsia="宋体" w:cs="宋体"/>
                <w:spacing w:val="14"/>
                <w:sz w:val="24"/>
                <w:szCs w:val="24"/>
                <w:highlight w:val="none"/>
              </w:rPr>
              <w:t>构成招标文件的其他资料</w:t>
            </w:r>
          </w:p>
        </w:tc>
        <w:tc>
          <w:tcPr>
            <w:tcW w:w="6064" w:type="dxa"/>
            <w:vAlign w:val="center"/>
          </w:tcPr>
          <w:p>
            <w:pPr>
              <w:pStyle w:val="28"/>
              <w:spacing w:line="360" w:lineRule="auto"/>
              <w:ind w:firstLine="0"/>
              <w:jc w:val="left"/>
              <w:rPr>
                <w:rFonts w:ascii="宋体" w:hAnsi="宋体" w:eastAsia="宋体" w:cs="宋体"/>
                <w:spacing w:val="14"/>
                <w:sz w:val="24"/>
                <w:szCs w:val="24"/>
                <w:highlight w:val="none"/>
              </w:rPr>
            </w:pPr>
            <w:r>
              <w:rPr>
                <w:rFonts w:hint="eastAsia" w:ascii="宋体" w:hAnsi="宋体" w:eastAsia="宋体" w:cs="宋体"/>
                <w:spacing w:val="14"/>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202" w:type="dxa"/>
            <w:vAlign w:val="center"/>
          </w:tcPr>
          <w:p>
            <w:pPr>
              <w:pStyle w:val="28"/>
              <w:spacing w:line="360" w:lineRule="auto"/>
              <w:ind w:firstLine="0"/>
              <w:jc w:val="center"/>
              <w:rPr>
                <w:rFonts w:ascii="宋体" w:hAnsi="宋体" w:eastAsia="宋体" w:cs="宋体"/>
                <w:spacing w:val="14"/>
                <w:sz w:val="24"/>
                <w:szCs w:val="24"/>
                <w:highlight w:val="none"/>
              </w:rPr>
            </w:pPr>
            <w:r>
              <w:rPr>
                <w:rFonts w:hint="eastAsia" w:ascii="宋体" w:hAnsi="宋体" w:eastAsia="宋体" w:cs="宋体"/>
                <w:spacing w:val="14"/>
                <w:sz w:val="24"/>
                <w:szCs w:val="24"/>
                <w:highlight w:val="none"/>
              </w:rPr>
              <w:t>2.2.1</w:t>
            </w:r>
          </w:p>
        </w:tc>
        <w:tc>
          <w:tcPr>
            <w:tcW w:w="1948" w:type="dxa"/>
            <w:vAlign w:val="center"/>
          </w:tcPr>
          <w:p>
            <w:pPr>
              <w:pStyle w:val="28"/>
              <w:spacing w:line="360" w:lineRule="auto"/>
              <w:ind w:firstLine="0"/>
              <w:jc w:val="left"/>
              <w:rPr>
                <w:rFonts w:ascii="宋体" w:hAnsi="宋体" w:eastAsia="宋体" w:cs="宋体"/>
                <w:spacing w:val="14"/>
                <w:sz w:val="24"/>
                <w:szCs w:val="24"/>
                <w:highlight w:val="none"/>
              </w:rPr>
            </w:pPr>
            <w:r>
              <w:rPr>
                <w:rFonts w:hint="eastAsia" w:ascii="宋体" w:hAnsi="宋体" w:eastAsia="宋体" w:cs="宋体"/>
                <w:spacing w:val="14"/>
                <w:sz w:val="24"/>
                <w:szCs w:val="24"/>
                <w:highlight w:val="none"/>
              </w:rPr>
              <w:t>投标人提出问题或要求澄清招标文件的截止时间</w:t>
            </w:r>
          </w:p>
        </w:tc>
        <w:tc>
          <w:tcPr>
            <w:tcW w:w="6064" w:type="dxa"/>
            <w:vAlign w:val="center"/>
          </w:tcPr>
          <w:p>
            <w:pPr>
              <w:pStyle w:val="28"/>
              <w:spacing w:line="360" w:lineRule="auto"/>
              <w:ind w:firstLine="0"/>
              <w:jc w:val="left"/>
              <w:rPr>
                <w:rFonts w:ascii="宋体" w:hAnsi="宋体" w:eastAsia="宋体" w:cs="宋体"/>
                <w:spacing w:val="14"/>
                <w:sz w:val="24"/>
                <w:szCs w:val="24"/>
                <w:highlight w:val="none"/>
              </w:rPr>
            </w:pPr>
            <w:r>
              <w:rPr>
                <w:rFonts w:hint="eastAsia" w:ascii="宋体" w:hAnsi="宋体" w:eastAsia="宋体" w:cs="宋体"/>
                <w:spacing w:val="14"/>
                <w:sz w:val="24"/>
                <w:szCs w:val="24"/>
                <w:highlight w:val="none"/>
              </w:rPr>
              <w:t>提交投标文件截止时间10日前，由投标人的被授权人提交书面材料（盖投标人公章）。</w:t>
            </w:r>
          </w:p>
          <w:p>
            <w:pPr>
              <w:pStyle w:val="28"/>
              <w:spacing w:line="360" w:lineRule="auto"/>
              <w:ind w:firstLine="0"/>
              <w:jc w:val="left"/>
              <w:rPr>
                <w:rFonts w:ascii="宋体" w:hAnsi="宋体" w:eastAsia="宋体" w:cs="宋体"/>
                <w:spacing w:val="14"/>
                <w:sz w:val="24"/>
                <w:szCs w:val="24"/>
                <w:highlight w:val="none"/>
              </w:rPr>
            </w:pPr>
            <w:r>
              <w:rPr>
                <w:rFonts w:hint="eastAsia" w:ascii="宋体" w:hAnsi="宋体" w:eastAsia="宋体" w:cs="宋体"/>
                <w:spacing w:val="14"/>
                <w:sz w:val="24"/>
                <w:szCs w:val="24"/>
                <w:highlight w:val="none"/>
              </w:rPr>
              <w:t>在投标截止时间前10日内，采购人、采购代理机构不再受理投标人提出的问题。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202" w:type="dxa"/>
            <w:vAlign w:val="center"/>
          </w:tcPr>
          <w:p>
            <w:pPr>
              <w:pStyle w:val="28"/>
              <w:spacing w:line="360" w:lineRule="auto"/>
              <w:ind w:firstLine="0"/>
              <w:jc w:val="center"/>
              <w:rPr>
                <w:rFonts w:ascii="宋体" w:hAnsi="宋体" w:eastAsia="宋体" w:cs="宋体"/>
                <w:spacing w:val="14"/>
                <w:sz w:val="24"/>
                <w:szCs w:val="24"/>
                <w:highlight w:val="none"/>
              </w:rPr>
            </w:pPr>
            <w:r>
              <w:rPr>
                <w:rFonts w:hint="eastAsia" w:ascii="宋体" w:hAnsi="宋体" w:eastAsia="宋体" w:cs="宋体"/>
                <w:spacing w:val="14"/>
                <w:sz w:val="24"/>
                <w:szCs w:val="24"/>
                <w:highlight w:val="none"/>
              </w:rPr>
              <w:t>2.2.2</w:t>
            </w:r>
          </w:p>
        </w:tc>
        <w:tc>
          <w:tcPr>
            <w:tcW w:w="1948" w:type="dxa"/>
            <w:vAlign w:val="center"/>
          </w:tcPr>
          <w:p>
            <w:pPr>
              <w:pStyle w:val="28"/>
              <w:spacing w:line="360" w:lineRule="auto"/>
              <w:ind w:firstLine="0"/>
              <w:jc w:val="left"/>
              <w:rPr>
                <w:rFonts w:ascii="宋体" w:hAnsi="宋体" w:eastAsia="宋体" w:cs="宋体"/>
                <w:spacing w:val="14"/>
                <w:sz w:val="24"/>
                <w:szCs w:val="24"/>
                <w:highlight w:val="none"/>
              </w:rPr>
            </w:pPr>
            <w:r>
              <w:rPr>
                <w:rFonts w:hint="eastAsia" w:ascii="宋体" w:hAnsi="宋体" w:eastAsia="宋体" w:cs="宋体"/>
                <w:spacing w:val="14"/>
                <w:sz w:val="24"/>
                <w:szCs w:val="24"/>
                <w:highlight w:val="none"/>
              </w:rPr>
              <w:t>招标文件澄清、修改发出的形式</w:t>
            </w:r>
          </w:p>
        </w:tc>
        <w:tc>
          <w:tcPr>
            <w:tcW w:w="6064" w:type="dxa"/>
            <w:vAlign w:val="center"/>
          </w:tcPr>
          <w:p>
            <w:pPr>
              <w:pStyle w:val="28"/>
              <w:spacing w:line="360" w:lineRule="auto"/>
              <w:ind w:firstLine="0"/>
              <w:jc w:val="left"/>
              <w:rPr>
                <w:rFonts w:ascii="宋体" w:hAnsi="宋体" w:eastAsia="宋体" w:cs="宋体"/>
                <w:spacing w:val="14"/>
                <w:sz w:val="24"/>
                <w:szCs w:val="24"/>
                <w:highlight w:val="none"/>
              </w:rPr>
            </w:pPr>
            <w:r>
              <w:rPr>
                <w:rFonts w:hint="eastAsia" w:ascii="宋体" w:hAnsi="宋体" w:eastAsia="宋体" w:cs="宋体"/>
                <w:spacing w:val="14"/>
                <w:sz w:val="24"/>
                <w:szCs w:val="24"/>
                <w:highlight w:val="none"/>
              </w:rPr>
              <w:t>招标文件的澄清、修改将在《河南省政府采购网》、《中国招标投标公共服务平台》、《全国公共资源交易平台（河南省·洛阳市）》及《河南科技大学第二附属医院官网》。上发布“变更公告”，如需修改招标文件，则同时在洛阳市电子招投标交易平台发布“答疑文件”（答疑文件指修改后最新的招标文件）。对于项目中已经成功报名并下载招标文件的投标人，将通过第三方短信群发方式提醒投标人进行查询。各投标人须重新下载最新的“答疑文件”，并以此编制投标文件。如不以最新发布的“答疑文件”编制投标文件，造成投标无效的后果由投标人自己承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1202" w:type="dxa"/>
            <w:vAlign w:val="center"/>
          </w:tcPr>
          <w:p>
            <w:pPr>
              <w:pStyle w:val="28"/>
              <w:spacing w:line="360" w:lineRule="auto"/>
              <w:ind w:firstLine="0"/>
              <w:jc w:val="center"/>
              <w:rPr>
                <w:rFonts w:ascii="宋体" w:hAnsi="宋体" w:eastAsia="宋体" w:cs="宋体"/>
                <w:spacing w:val="14"/>
                <w:sz w:val="24"/>
                <w:szCs w:val="24"/>
                <w:highlight w:val="none"/>
              </w:rPr>
            </w:pPr>
            <w:r>
              <w:rPr>
                <w:rFonts w:hint="eastAsia" w:ascii="宋体" w:hAnsi="宋体" w:eastAsia="宋体" w:cs="宋体"/>
                <w:spacing w:val="14"/>
                <w:sz w:val="24"/>
                <w:szCs w:val="24"/>
                <w:highlight w:val="none"/>
              </w:rPr>
              <w:t>3.1.1</w:t>
            </w:r>
          </w:p>
        </w:tc>
        <w:tc>
          <w:tcPr>
            <w:tcW w:w="1948" w:type="dxa"/>
            <w:vAlign w:val="center"/>
          </w:tcPr>
          <w:p>
            <w:pPr>
              <w:pStyle w:val="28"/>
              <w:spacing w:line="360" w:lineRule="auto"/>
              <w:ind w:firstLine="0"/>
              <w:jc w:val="left"/>
              <w:rPr>
                <w:rFonts w:ascii="宋体" w:hAnsi="宋体" w:eastAsia="宋体" w:cs="宋体"/>
                <w:spacing w:val="14"/>
                <w:sz w:val="24"/>
                <w:szCs w:val="24"/>
                <w:highlight w:val="none"/>
              </w:rPr>
            </w:pPr>
            <w:r>
              <w:rPr>
                <w:rFonts w:hint="eastAsia" w:ascii="宋体" w:hAnsi="宋体" w:eastAsia="宋体" w:cs="宋体"/>
                <w:spacing w:val="14"/>
                <w:sz w:val="24"/>
                <w:szCs w:val="24"/>
                <w:highlight w:val="none"/>
              </w:rPr>
              <w:t>构成投标文件的其他资料</w:t>
            </w:r>
          </w:p>
        </w:tc>
        <w:tc>
          <w:tcPr>
            <w:tcW w:w="6064" w:type="dxa"/>
            <w:vAlign w:val="center"/>
          </w:tcPr>
          <w:p>
            <w:pPr>
              <w:pStyle w:val="28"/>
              <w:spacing w:line="360" w:lineRule="auto"/>
              <w:ind w:firstLine="0"/>
              <w:jc w:val="left"/>
              <w:rPr>
                <w:rFonts w:ascii="宋体" w:hAnsi="宋体" w:eastAsia="宋体" w:cs="宋体"/>
                <w:spacing w:val="14"/>
                <w:sz w:val="24"/>
                <w:szCs w:val="24"/>
                <w:highlight w:val="none"/>
              </w:rPr>
            </w:pPr>
            <w:r>
              <w:rPr>
                <w:rFonts w:hint="eastAsia" w:ascii="宋体" w:hAnsi="宋体" w:eastAsia="宋体" w:cs="宋体"/>
                <w:spacing w:val="14"/>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202" w:type="dxa"/>
            <w:vAlign w:val="center"/>
          </w:tcPr>
          <w:p>
            <w:pPr>
              <w:pStyle w:val="28"/>
              <w:spacing w:line="360" w:lineRule="auto"/>
              <w:ind w:firstLine="0"/>
              <w:jc w:val="center"/>
              <w:rPr>
                <w:rFonts w:ascii="宋体" w:hAnsi="宋体" w:eastAsia="宋体" w:cs="宋体"/>
                <w:spacing w:val="14"/>
                <w:sz w:val="24"/>
                <w:szCs w:val="24"/>
                <w:highlight w:val="none"/>
              </w:rPr>
            </w:pPr>
            <w:r>
              <w:rPr>
                <w:rFonts w:hint="eastAsia" w:ascii="宋体" w:hAnsi="宋体" w:eastAsia="宋体" w:cs="宋体"/>
                <w:spacing w:val="14"/>
                <w:sz w:val="24"/>
                <w:szCs w:val="24"/>
                <w:highlight w:val="none"/>
              </w:rPr>
              <w:t>3.2.4</w:t>
            </w:r>
          </w:p>
        </w:tc>
        <w:tc>
          <w:tcPr>
            <w:tcW w:w="1948" w:type="dxa"/>
            <w:vAlign w:val="center"/>
          </w:tcPr>
          <w:p>
            <w:pPr>
              <w:pStyle w:val="28"/>
              <w:spacing w:line="360" w:lineRule="auto"/>
              <w:ind w:firstLine="0"/>
              <w:jc w:val="left"/>
              <w:rPr>
                <w:rFonts w:ascii="宋体" w:hAnsi="宋体" w:eastAsia="宋体" w:cs="宋体"/>
                <w:spacing w:val="14"/>
                <w:sz w:val="24"/>
                <w:szCs w:val="24"/>
                <w:highlight w:val="none"/>
              </w:rPr>
            </w:pPr>
            <w:r>
              <w:rPr>
                <w:rFonts w:hint="eastAsia" w:ascii="宋体" w:hAnsi="宋体" w:eastAsia="宋体" w:cs="宋体"/>
                <w:spacing w:val="14"/>
                <w:sz w:val="24"/>
                <w:szCs w:val="24"/>
                <w:highlight w:val="none"/>
              </w:rPr>
              <w:t>预算控制金额</w:t>
            </w:r>
          </w:p>
        </w:tc>
        <w:tc>
          <w:tcPr>
            <w:tcW w:w="6064" w:type="dxa"/>
            <w:vAlign w:val="center"/>
          </w:tcPr>
          <w:p>
            <w:pPr>
              <w:pStyle w:val="28"/>
              <w:spacing w:line="360" w:lineRule="auto"/>
              <w:ind w:firstLine="0"/>
              <w:jc w:val="left"/>
              <w:rPr>
                <w:rFonts w:ascii="宋体" w:hAnsi="宋体" w:eastAsia="宋体" w:cs="宋体"/>
                <w:spacing w:val="14"/>
                <w:sz w:val="24"/>
                <w:szCs w:val="24"/>
                <w:highlight w:val="none"/>
              </w:rPr>
            </w:pPr>
            <w:r>
              <w:rPr>
                <w:rFonts w:hint="eastAsia" w:ascii="宋体" w:hAnsi="宋体" w:eastAsia="宋体" w:cs="宋体"/>
                <w:spacing w:val="14"/>
                <w:sz w:val="24"/>
                <w:szCs w:val="24"/>
                <w:highlight w:val="none"/>
              </w:rPr>
              <w:t>1000000.00元；</w:t>
            </w:r>
          </w:p>
          <w:p>
            <w:pPr>
              <w:pStyle w:val="28"/>
              <w:spacing w:line="360" w:lineRule="auto"/>
              <w:ind w:firstLine="0"/>
              <w:jc w:val="left"/>
              <w:rPr>
                <w:rFonts w:ascii="宋体" w:hAnsi="宋体" w:eastAsia="宋体" w:cs="宋体"/>
                <w:spacing w:val="14"/>
                <w:sz w:val="24"/>
                <w:szCs w:val="24"/>
                <w:highlight w:val="none"/>
              </w:rPr>
            </w:pPr>
            <w:r>
              <w:rPr>
                <w:rFonts w:hint="eastAsia" w:ascii="宋体" w:hAnsi="宋体" w:eastAsia="宋体" w:cs="宋体"/>
                <w:spacing w:val="14"/>
                <w:sz w:val="24"/>
                <w:szCs w:val="24"/>
                <w:highlight w:val="none"/>
              </w:rPr>
              <w:t>投标人投标报价超过预算控制金额的，其投标将被否决。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02" w:type="dxa"/>
            <w:vAlign w:val="center"/>
          </w:tcPr>
          <w:p>
            <w:pPr>
              <w:pStyle w:val="28"/>
              <w:spacing w:line="360" w:lineRule="auto"/>
              <w:ind w:firstLine="0"/>
              <w:jc w:val="center"/>
              <w:rPr>
                <w:rFonts w:ascii="宋体" w:hAnsi="宋体" w:eastAsia="宋体" w:cs="宋体"/>
                <w:spacing w:val="14"/>
                <w:sz w:val="24"/>
                <w:szCs w:val="24"/>
                <w:highlight w:val="none"/>
              </w:rPr>
            </w:pPr>
            <w:r>
              <w:rPr>
                <w:rFonts w:hint="eastAsia" w:ascii="宋体" w:hAnsi="宋体" w:eastAsia="宋体" w:cs="宋体"/>
                <w:spacing w:val="14"/>
                <w:sz w:val="24"/>
                <w:szCs w:val="24"/>
                <w:highlight w:val="none"/>
              </w:rPr>
              <w:t>3.2.5</w:t>
            </w:r>
          </w:p>
        </w:tc>
        <w:tc>
          <w:tcPr>
            <w:tcW w:w="1948" w:type="dxa"/>
            <w:vAlign w:val="center"/>
          </w:tcPr>
          <w:p>
            <w:pPr>
              <w:pStyle w:val="28"/>
              <w:spacing w:line="360" w:lineRule="auto"/>
              <w:ind w:firstLine="0"/>
              <w:jc w:val="left"/>
              <w:rPr>
                <w:rFonts w:ascii="宋体" w:hAnsi="宋体" w:eastAsia="宋体" w:cs="宋体"/>
                <w:spacing w:val="14"/>
                <w:sz w:val="24"/>
                <w:szCs w:val="24"/>
                <w:highlight w:val="none"/>
              </w:rPr>
            </w:pPr>
            <w:r>
              <w:rPr>
                <w:rFonts w:hint="eastAsia" w:ascii="宋体" w:hAnsi="宋体" w:eastAsia="宋体" w:cs="宋体"/>
                <w:spacing w:val="14"/>
                <w:sz w:val="24"/>
                <w:szCs w:val="24"/>
                <w:highlight w:val="none"/>
              </w:rPr>
              <w:t>投标报价的其他要求</w:t>
            </w:r>
          </w:p>
        </w:tc>
        <w:tc>
          <w:tcPr>
            <w:tcW w:w="6064" w:type="dxa"/>
            <w:vAlign w:val="center"/>
          </w:tcPr>
          <w:p>
            <w:pPr>
              <w:pStyle w:val="33"/>
              <w:spacing w:line="360" w:lineRule="auto"/>
              <w:jc w:val="left"/>
              <w:rPr>
                <w:rFonts w:ascii="宋体" w:hAnsi="宋体" w:cs="宋体"/>
                <w:spacing w:val="14"/>
                <w:sz w:val="24"/>
                <w:szCs w:val="24"/>
                <w:highlight w:val="none"/>
              </w:rPr>
            </w:pPr>
            <w:r>
              <w:rPr>
                <w:rFonts w:hint="eastAsia" w:ascii="宋体" w:hAnsi="宋体" w:cs="宋体"/>
                <w:spacing w:val="14"/>
                <w:sz w:val="24"/>
                <w:szCs w:val="24"/>
                <w:highlight w:val="none"/>
              </w:rPr>
              <w:t>投标报价是履行合同的最终报价，无特别注明，均为人民币报价。应包括本招标项目所包含的货物、软件、标准附件、备品备件、专用工具、图纸资料、技术服务，包装、仓储、运输、装卸、保险、税金、维护，货到就位以及安装、调试、培训、保修等一切税金和费用。</w:t>
            </w:r>
          </w:p>
          <w:p>
            <w:pPr>
              <w:pStyle w:val="33"/>
              <w:spacing w:line="360" w:lineRule="auto"/>
              <w:jc w:val="left"/>
              <w:rPr>
                <w:rFonts w:ascii="宋体" w:hAnsi="宋体" w:cs="宋体"/>
                <w:spacing w:val="14"/>
                <w:sz w:val="24"/>
                <w:szCs w:val="24"/>
                <w:highlight w:val="none"/>
              </w:rPr>
            </w:pPr>
            <w:r>
              <w:rPr>
                <w:rFonts w:hint="eastAsia" w:ascii="宋体" w:hAnsi="宋体" w:cs="宋体"/>
                <w:spacing w:val="14"/>
                <w:sz w:val="24"/>
                <w:szCs w:val="24"/>
                <w:highlight w:val="none"/>
              </w:rPr>
              <w:t>如果本项目报经政府采购管理部门批准允许采购进口产品，除上述一切税金和费用外，投标报价还应包含国际运输、保险、进口产品报关清关、商检等一切税金和费用。</w:t>
            </w:r>
          </w:p>
          <w:p>
            <w:pPr>
              <w:pStyle w:val="28"/>
              <w:spacing w:line="360" w:lineRule="auto"/>
              <w:ind w:firstLine="0"/>
              <w:jc w:val="left"/>
              <w:rPr>
                <w:rFonts w:ascii="宋体" w:hAnsi="宋体" w:eastAsia="宋体" w:cs="宋体"/>
                <w:spacing w:val="14"/>
                <w:sz w:val="24"/>
                <w:szCs w:val="24"/>
                <w:highlight w:val="none"/>
                <w:u w:val="single"/>
              </w:rPr>
            </w:pPr>
            <w:r>
              <w:rPr>
                <w:rFonts w:hint="eastAsia" w:ascii="宋体" w:hAnsi="宋体" w:eastAsia="宋体" w:cs="宋体"/>
                <w:sz w:val="24"/>
                <w:szCs w:val="24"/>
                <w:highlight w:val="none"/>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202" w:type="dxa"/>
            <w:vAlign w:val="center"/>
          </w:tcPr>
          <w:p>
            <w:pPr>
              <w:pStyle w:val="28"/>
              <w:spacing w:line="360" w:lineRule="auto"/>
              <w:ind w:firstLine="0"/>
              <w:jc w:val="center"/>
              <w:rPr>
                <w:rFonts w:ascii="宋体" w:hAnsi="宋体" w:eastAsia="宋体" w:cs="宋体"/>
                <w:spacing w:val="14"/>
                <w:sz w:val="24"/>
                <w:szCs w:val="24"/>
                <w:highlight w:val="none"/>
              </w:rPr>
            </w:pPr>
            <w:r>
              <w:rPr>
                <w:rFonts w:hint="eastAsia" w:ascii="宋体" w:hAnsi="宋体" w:eastAsia="宋体" w:cs="宋体"/>
                <w:spacing w:val="14"/>
                <w:sz w:val="24"/>
                <w:szCs w:val="24"/>
                <w:highlight w:val="none"/>
              </w:rPr>
              <w:t>3.3.1</w:t>
            </w:r>
          </w:p>
        </w:tc>
        <w:tc>
          <w:tcPr>
            <w:tcW w:w="1948" w:type="dxa"/>
            <w:vAlign w:val="center"/>
          </w:tcPr>
          <w:p>
            <w:pPr>
              <w:pStyle w:val="28"/>
              <w:spacing w:line="360" w:lineRule="auto"/>
              <w:ind w:firstLine="0"/>
              <w:jc w:val="left"/>
              <w:rPr>
                <w:rFonts w:ascii="宋体" w:hAnsi="宋体" w:eastAsia="宋体" w:cs="宋体"/>
                <w:spacing w:val="14"/>
                <w:sz w:val="24"/>
                <w:szCs w:val="24"/>
                <w:highlight w:val="none"/>
              </w:rPr>
            </w:pPr>
            <w:r>
              <w:rPr>
                <w:rFonts w:hint="eastAsia" w:ascii="宋体" w:hAnsi="宋体" w:eastAsia="宋体" w:cs="宋体"/>
                <w:spacing w:val="14"/>
                <w:sz w:val="24"/>
                <w:szCs w:val="24"/>
                <w:highlight w:val="none"/>
              </w:rPr>
              <w:t>投标有效期</w:t>
            </w:r>
          </w:p>
        </w:tc>
        <w:tc>
          <w:tcPr>
            <w:tcW w:w="6064" w:type="dxa"/>
            <w:vAlign w:val="center"/>
          </w:tcPr>
          <w:p>
            <w:pPr>
              <w:pStyle w:val="28"/>
              <w:spacing w:line="360" w:lineRule="auto"/>
              <w:ind w:firstLine="0"/>
              <w:jc w:val="left"/>
              <w:rPr>
                <w:rFonts w:ascii="宋体" w:hAnsi="宋体" w:eastAsia="宋体" w:cs="宋体"/>
                <w:spacing w:val="14"/>
                <w:sz w:val="24"/>
                <w:szCs w:val="24"/>
                <w:highlight w:val="none"/>
              </w:rPr>
            </w:pPr>
            <w:r>
              <w:rPr>
                <w:rFonts w:hint="eastAsia" w:ascii="宋体" w:hAnsi="宋体" w:eastAsia="宋体" w:cs="宋体"/>
                <w:spacing w:val="14"/>
                <w:sz w:val="24"/>
                <w:szCs w:val="24"/>
                <w:highlight w:val="none"/>
              </w:rPr>
              <w:t>提交投标文件截止时间后90天，有效期短于该期限的投标将被拒绝。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202" w:type="dxa"/>
            <w:vAlign w:val="center"/>
          </w:tcPr>
          <w:p>
            <w:pPr>
              <w:pStyle w:val="28"/>
              <w:spacing w:line="360" w:lineRule="auto"/>
              <w:ind w:firstLine="0"/>
              <w:jc w:val="center"/>
              <w:rPr>
                <w:rFonts w:ascii="宋体" w:hAnsi="宋体" w:eastAsia="宋体" w:cs="宋体"/>
                <w:spacing w:val="14"/>
                <w:sz w:val="24"/>
                <w:szCs w:val="24"/>
                <w:highlight w:val="none"/>
              </w:rPr>
            </w:pPr>
            <w:r>
              <w:rPr>
                <w:rFonts w:hint="eastAsia" w:ascii="宋体" w:hAnsi="宋体" w:eastAsia="宋体" w:cs="宋体"/>
                <w:spacing w:val="14"/>
                <w:sz w:val="24"/>
                <w:szCs w:val="24"/>
                <w:highlight w:val="none"/>
              </w:rPr>
              <w:t>3.4.1</w:t>
            </w:r>
          </w:p>
        </w:tc>
        <w:tc>
          <w:tcPr>
            <w:tcW w:w="1948" w:type="dxa"/>
            <w:vAlign w:val="center"/>
          </w:tcPr>
          <w:p>
            <w:pPr>
              <w:pStyle w:val="28"/>
              <w:spacing w:line="360" w:lineRule="auto"/>
              <w:ind w:firstLine="0"/>
              <w:jc w:val="left"/>
              <w:rPr>
                <w:rFonts w:ascii="宋体" w:hAnsi="宋体" w:eastAsia="宋体" w:cs="宋体"/>
                <w:spacing w:val="14"/>
                <w:sz w:val="24"/>
                <w:szCs w:val="24"/>
                <w:highlight w:val="none"/>
              </w:rPr>
            </w:pPr>
            <w:r>
              <w:rPr>
                <w:rFonts w:hint="eastAsia" w:ascii="宋体" w:hAnsi="宋体" w:eastAsia="宋体" w:cs="宋体"/>
                <w:spacing w:val="14"/>
                <w:sz w:val="24"/>
                <w:szCs w:val="24"/>
                <w:highlight w:val="none"/>
              </w:rPr>
              <w:t>投标保证金</w:t>
            </w:r>
          </w:p>
        </w:tc>
        <w:tc>
          <w:tcPr>
            <w:tcW w:w="6064" w:type="dxa"/>
            <w:vAlign w:val="center"/>
          </w:tcPr>
          <w:p>
            <w:pPr>
              <w:pStyle w:val="28"/>
              <w:spacing w:line="360" w:lineRule="auto"/>
              <w:ind w:firstLine="0"/>
              <w:jc w:val="left"/>
              <w:rPr>
                <w:rFonts w:ascii="宋体" w:hAnsi="宋体" w:eastAsia="宋体" w:cs="宋体"/>
                <w:spacing w:val="14"/>
                <w:sz w:val="24"/>
                <w:szCs w:val="24"/>
                <w:highlight w:val="none"/>
              </w:rPr>
            </w:pPr>
            <w:r>
              <w:rPr>
                <w:rFonts w:hint="eastAsia" w:ascii="宋体" w:hAnsi="宋体" w:eastAsia="宋体" w:cs="宋体"/>
                <w:spacing w:val="14"/>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202" w:type="dxa"/>
            <w:vAlign w:val="center"/>
          </w:tcPr>
          <w:p>
            <w:pPr>
              <w:pStyle w:val="28"/>
              <w:spacing w:line="360" w:lineRule="auto"/>
              <w:ind w:firstLine="0"/>
              <w:jc w:val="center"/>
              <w:rPr>
                <w:rFonts w:ascii="宋体" w:hAnsi="宋体" w:eastAsia="宋体" w:cs="宋体"/>
                <w:spacing w:val="14"/>
                <w:sz w:val="24"/>
                <w:szCs w:val="24"/>
                <w:highlight w:val="none"/>
              </w:rPr>
            </w:pPr>
            <w:r>
              <w:rPr>
                <w:rFonts w:hint="eastAsia" w:ascii="宋体" w:hAnsi="宋体" w:eastAsia="宋体" w:cs="宋体"/>
                <w:spacing w:val="14"/>
                <w:sz w:val="24"/>
                <w:szCs w:val="24"/>
                <w:highlight w:val="none"/>
              </w:rPr>
              <w:t>3.4.4</w:t>
            </w:r>
          </w:p>
        </w:tc>
        <w:tc>
          <w:tcPr>
            <w:tcW w:w="1948" w:type="dxa"/>
            <w:vAlign w:val="center"/>
          </w:tcPr>
          <w:p>
            <w:pPr>
              <w:pStyle w:val="28"/>
              <w:spacing w:line="360" w:lineRule="auto"/>
              <w:ind w:firstLine="0"/>
              <w:jc w:val="left"/>
              <w:rPr>
                <w:rFonts w:ascii="宋体" w:hAnsi="宋体" w:eastAsia="宋体" w:cs="宋体"/>
                <w:spacing w:val="14"/>
                <w:sz w:val="24"/>
                <w:szCs w:val="24"/>
                <w:highlight w:val="none"/>
              </w:rPr>
            </w:pPr>
            <w:r>
              <w:rPr>
                <w:rFonts w:hint="eastAsia" w:ascii="宋体" w:hAnsi="宋体" w:eastAsia="宋体" w:cs="宋体"/>
                <w:spacing w:val="14"/>
                <w:sz w:val="24"/>
                <w:szCs w:val="24"/>
                <w:highlight w:val="none"/>
              </w:rPr>
              <w:t>其他可以不予退还投标保证金的情形</w:t>
            </w:r>
          </w:p>
        </w:tc>
        <w:tc>
          <w:tcPr>
            <w:tcW w:w="6064" w:type="dxa"/>
            <w:vAlign w:val="center"/>
          </w:tcPr>
          <w:p>
            <w:pPr>
              <w:pStyle w:val="28"/>
              <w:spacing w:line="360" w:lineRule="auto"/>
              <w:ind w:firstLine="0"/>
              <w:jc w:val="left"/>
              <w:rPr>
                <w:rFonts w:ascii="宋体" w:hAnsi="宋体" w:eastAsia="宋体" w:cs="宋体"/>
                <w:spacing w:val="14"/>
                <w:sz w:val="24"/>
                <w:szCs w:val="24"/>
                <w:highlight w:val="none"/>
              </w:rPr>
            </w:pPr>
            <w:r>
              <w:rPr>
                <w:rFonts w:hint="eastAsia" w:ascii="宋体" w:hAnsi="宋体" w:eastAsia="宋体" w:cs="宋体"/>
                <w:spacing w:val="14"/>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202" w:type="dxa"/>
            <w:vAlign w:val="center"/>
          </w:tcPr>
          <w:p>
            <w:pPr>
              <w:pStyle w:val="28"/>
              <w:spacing w:line="360" w:lineRule="auto"/>
              <w:ind w:firstLine="0"/>
              <w:jc w:val="center"/>
              <w:rPr>
                <w:rFonts w:ascii="宋体" w:hAnsi="宋体" w:eastAsia="宋体" w:cs="宋体"/>
                <w:spacing w:val="14"/>
                <w:sz w:val="24"/>
                <w:szCs w:val="24"/>
                <w:highlight w:val="none"/>
              </w:rPr>
            </w:pPr>
            <w:r>
              <w:rPr>
                <w:rFonts w:hint="eastAsia" w:ascii="宋体" w:hAnsi="宋体" w:eastAsia="宋体" w:cs="宋体"/>
                <w:spacing w:val="14"/>
                <w:sz w:val="24"/>
                <w:szCs w:val="24"/>
                <w:highlight w:val="none"/>
              </w:rPr>
              <w:t>3.5.3</w:t>
            </w:r>
          </w:p>
        </w:tc>
        <w:tc>
          <w:tcPr>
            <w:tcW w:w="1948" w:type="dxa"/>
            <w:vAlign w:val="center"/>
          </w:tcPr>
          <w:p>
            <w:pPr>
              <w:pStyle w:val="28"/>
              <w:spacing w:line="360" w:lineRule="auto"/>
              <w:ind w:firstLine="0"/>
              <w:jc w:val="left"/>
              <w:rPr>
                <w:rFonts w:ascii="宋体" w:hAnsi="宋体" w:eastAsia="宋体" w:cs="宋体"/>
                <w:spacing w:val="14"/>
                <w:sz w:val="24"/>
                <w:szCs w:val="24"/>
                <w:highlight w:val="none"/>
              </w:rPr>
            </w:pPr>
            <w:r>
              <w:rPr>
                <w:rFonts w:hint="eastAsia" w:ascii="宋体" w:hAnsi="宋体" w:eastAsia="宋体" w:cs="宋体"/>
                <w:spacing w:val="14"/>
                <w:sz w:val="24"/>
                <w:szCs w:val="24"/>
                <w:highlight w:val="none"/>
              </w:rPr>
              <w:t>资格审查资料的特殊要求</w:t>
            </w:r>
          </w:p>
        </w:tc>
        <w:tc>
          <w:tcPr>
            <w:tcW w:w="6064" w:type="dxa"/>
            <w:vAlign w:val="center"/>
          </w:tcPr>
          <w:p>
            <w:pPr>
              <w:pStyle w:val="28"/>
              <w:spacing w:line="360" w:lineRule="auto"/>
              <w:ind w:firstLine="0"/>
              <w:jc w:val="left"/>
              <w:rPr>
                <w:rFonts w:ascii="宋体" w:hAnsi="宋体" w:eastAsia="宋体" w:cs="宋体"/>
                <w:spacing w:val="14"/>
                <w:sz w:val="24"/>
                <w:szCs w:val="24"/>
                <w:highlight w:val="none"/>
              </w:rPr>
            </w:pPr>
            <w:r>
              <w:rPr>
                <w:rFonts w:hint="eastAsia" w:ascii="宋体" w:hAnsi="宋体" w:eastAsia="宋体" w:cs="宋体"/>
                <w:spacing w:val="14"/>
                <w:sz w:val="24"/>
                <w:szCs w:val="24"/>
                <w:highlight w:val="none"/>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202" w:type="dxa"/>
            <w:vAlign w:val="center"/>
          </w:tcPr>
          <w:p>
            <w:pPr>
              <w:pStyle w:val="28"/>
              <w:spacing w:line="360" w:lineRule="auto"/>
              <w:ind w:firstLine="0"/>
              <w:jc w:val="center"/>
              <w:rPr>
                <w:rFonts w:ascii="宋体" w:hAnsi="宋体" w:eastAsia="宋体" w:cs="宋体"/>
                <w:spacing w:val="14"/>
                <w:sz w:val="24"/>
                <w:szCs w:val="24"/>
                <w:highlight w:val="none"/>
              </w:rPr>
            </w:pPr>
            <w:r>
              <w:rPr>
                <w:rFonts w:hint="eastAsia" w:ascii="宋体" w:hAnsi="宋体" w:eastAsia="宋体" w:cs="宋体"/>
                <w:spacing w:val="14"/>
                <w:sz w:val="24"/>
                <w:szCs w:val="24"/>
                <w:highlight w:val="none"/>
              </w:rPr>
              <w:t>3.6.1</w:t>
            </w:r>
          </w:p>
        </w:tc>
        <w:tc>
          <w:tcPr>
            <w:tcW w:w="1948" w:type="dxa"/>
            <w:vAlign w:val="center"/>
          </w:tcPr>
          <w:p>
            <w:pPr>
              <w:pStyle w:val="28"/>
              <w:spacing w:line="360" w:lineRule="auto"/>
              <w:ind w:firstLine="0"/>
              <w:jc w:val="left"/>
              <w:rPr>
                <w:rFonts w:ascii="宋体" w:hAnsi="宋体" w:eastAsia="宋体" w:cs="宋体"/>
                <w:spacing w:val="14"/>
                <w:sz w:val="24"/>
                <w:szCs w:val="24"/>
                <w:highlight w:val="none"/>
              </w:rPr>
            </w:pPr>
            <w:r>
              <w:rPr>
                <w:rFonts w:hint="eastAsia" w:ascii="宋体" w:hAnsi="宋体" w:eastAsia="宋体" w:cs="宋体"/>
                <w:spacing w:val="14"/>
                <w:sz w:val="24"/>
                <w:szCs w:val="24"/>
                <w:highlight w:val="none"/>
              </w:rPr>
              <w:t>是否允许提交备选投标方案</w:t>
            </w:r>
          </w:p>
        </w:tc>
        <w:tc>
          <w:tcPr>
            <w:tcW w:w="6064" w:type="dxa"/>
            <w:vAlign w:val="center"/>
          </w:tcPr>
          <w:p>
            <w:pPr>
              <w:pStyle w:val="28"/>
              <w:spacing w:line="360" w:lineRule="auto"/>
              <w:ind w:firstLine="0"/>
              <w:jc w:val="left"/>
              <w:rPr>
                <w:rFonts w:ascii="宋体" w:hAnsi="宋体" w:eastAsia="宋体" w:cs="宋体"/>
                <w:spacing w:val="14"/>
                <w:sz w:val="24"/>
                <w:szCs w:val="24"/>
                <w:highlight w:val="none"/>
              </w:rPr>
            </w:pPr>
            <w:r>
              <w:rPr>
                <w:rFonts w:hint="eastAsia" w:ascii="宋体" w:hAnsi="宋体" w:eastAsia="宋体" w:cs="宋体"/>
                <w:spacing w:val="14"/>
                <w:sz w:val="24"/>
                <w:szCs w:val="24"/>
                <w:highlight w:val="none"/>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202" w:type="dxa"/>
            <w:vAlign w:val="center"/>
          </w:tcPr>
          <w:p>
            <w:pPr>
              <w:pStyle w:val="28"/>
              <w:spacing w:line="360" w:lineRule="auto"/>
              <w:ind w:firstLine="0"/>
              <w:jc w:val="center"/>
              <w:rPr>
                <w:rFonts w:ascii="宋体" w:hAnsi="宋体" w:eastAsia="宋体" w:cs="宋体"/>
                <w:spacing w:val="14"/>
                <w:sz w:val="24"/>
                <w:szCs w:val="24"/>
                <w:highlight w:val="none"/>
              </w:rPr>
            </w:pPr>
            <w:r>
              <w:rPr>
                <w:rFonts w:hint="eastAsia" w:ascii="宋体" w:hAnsi="宋体" w:eastAsia="宋体" w:cs="宋体"/>
                <w:sz w:val="24"/>
                <w:szCs w:val="24"/>
                <w:highlight w:val="none"/>
              </w:rPr>
              <w:t>3.7.2</w:t>
            </w:r>
          </w:p>
        </w:tc>
        <w:tc>
          <w:tcPr>
            <w:tcW w:w="1948" w:type="dxa"/>
            <w:vAlign w:val="center"/>
          </w:tcPr>
          <w:p>
            <w:pPr>
              <w:pStyle w:val="28"/>
              <w:spacing w:line="360" w:lineRule="auto"/>
              <w:ind w:firstLine="0"/>
              <w:jc w:val="left"/>
              <w:rPr>
                <w:rFonts w:ascii="宋体" w:hAnsi="宋体" w:eastAsia="宋体" w:cs="宋体"/>
                <w:spacing w:val="14"/>
                <w:sz w:val="24"/>
                <w:szCs w:val="24"/>
                <w:highlight w:val="none"/>
              </w:rPr>
            </w:pPr>
            <w:r>
              <w:rPr>
                <w:rFonts w:hint="eastAsia" w:ascii="宋体" w:hAnsi="宋体" w:eastAsia="宋体" w:cs="宋体"/>
                <w:spacing w:val="14"/>
                <w:sz w:val="24"/>
                <w:szCs w:val="24"/>
                <w:highlight w:val="none"/>
              </w:rPr>
              <w:t xml:space="preserve">投标文件的签章要求 </w:t>
            </w:r>
          </w:p>
        </w:tc>
        <w:tc>
          <w:tcPr>
            <w:tcW w:w="6064" w:type="dxa"/>
            <w:vAlign w:val="center"/>
          </w:tcPr>
          <w:p>
            <w:pPr>
              <w:pStyle w:val="28"/>
              <w:spacing w:line="360" w:lineRule="auto"/>
              <w:ind w:firstLine="0"/>
              <w:jc w:val="left"/>
              <w:rPr>
                <w:rFonts w:ascii="宋体" w:hAnsi="宋体" w:eastAsia="宋体" w:cs="宋体"/>
                <w:spacing w:val="14"/>
                <w:sz w:val="24"/>
                <w:szCs w:val="24"/>
                <w:highlight w:val="none"/>
              </w:rPr>
            </w:pPr>
            <w:r>
              <w:rPr>
                <w:rFonts w:hint="eastAsia" w:ascii="宋体" w:hAnsi="宋体" w:eastAsia="宋体" w:cs="宋体"/>
                <w:b/>
                <w:bCs/>
                <w:spacing w:val="14"/>
                <w:sz w:val="24"/>
                <w:szCs w:val="24"/>
                <w:highlight w:val="none"/>
              </w:rPr>
              <w:t>投标人使用“新点投标文件制作软件”制作电子投标文件时，应按规定进行签字或盖章。投标文件格式中要求盖企业电子章的地方，投标人均应使用CA数字证书加盖投标人的单位电子签章。投标文件格式中要求法定代表人（个人电子章）的地方，可以是电子手写签名或法定代表人的个人电子签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202" w:type="dxa"/>
            <w:vAlign w:val="center"/>
          </w:tcPr>
          <w:p>
            <w:pPr>
              <w:pStyle w:val="28"/>
              <w:spacing w:line="360" w:lineRule="auto"/>
              <w:ind w:firstLine="0"/>
              <w:jc w:val="center"/>
              <w:rPr>
                <w:rFonts w:ascii="宋体" w:hAnsi="宋体" w:eastAsia="宋体" w:cs="宋体"/>
                <w:spacing w:val="14"/>
                <w:sz w:val="24"/>
                <w:szCs w:val="24"/>
                <w:highlight w:val="none"/>
              </w:rPr>
            </w:pPr>
            <w:r>
              <w:rPr>
                <w:rFonts w:hint="eastAsia" w:ascii="宋体" w:hAnsi="宋体" w:eastAsia="宋体" w:cs="宋体"/>
                <w:spacing w:val="14"/>
                <w:sz w:val="24"/>
                <w:szCs w:val="24"/>
                <w:highlight w:val="none"/>
              </w:rPr>
              <w:t>3.7.5</w:t>
            </w:r>
          </w:p>
        </w:tc>
        <w:tc>
          <w:tcPr>
            <w:tcW w:w="1948" w:type="dxa"/>
            <w:vAlign w:val="center"/>
          </w:tcPr>
          <w:p>
            <w:pPr>
              <w:pStyle w:val="28"/>
              <w:spacing w:line="360" w:lineRule="auto"/>
              <w:ind w:firstLine="0"/>
              <w:jc w:val="left"/>
              <w:rPr>
                <w:rFonts w:ascii="宋体" w:hAnsi="宋体" w:eastAsia="宋体" w:cs="宋体"/>
                <w:spacing w:val="14"/>
                <w:sz w:val="24"/>
                <w:szCs w:val="24"/>
                <w:highlight w:val="none"/>
              </w:rPr>
            </w:pPr>
            <w:r>
              <w:rPr>
                <w:rFonts w:hint="eastAsia" w:ascii="宋体" w:hAnsi="宋体" w:eastAsia="宋体" w:cs="宋体"/>
                <w:spacing w:val="14"/>
                <w:sz w:val="24"/>
                <w:szCs w:val="24"/>
                <w:highlight w:val="none"/>
              </w:rPr>
              <w:t>投标文件的制作要求</w:t>
            </w:r>
          </w:p>
        </w:tc>
        <w:tc>
          <w:tcPr>
            <w:tcW w:w="6064" w:type="dxa"/>
            <w:vAlign w:val="center"/>
          </w:tcPr>
          <w:p>
            <w:pPr>
              <w:pStyle w:val="28"/>
              <w:spacing w:line="360" w:lineRule="auto"/>
              <w:ind w:firstLine="0"/>
              <w:jc w:val="left"/>
              <w:rPr>
                <w:rFonts w:ascii="宋体" w:hAnsi="宋体" w:eastAsia="宋体" w:cs="宋体"/>
                <w:spacing w:val="14"/>
                <w:sz w:val="24"/>
                <w:szCs w:val="24"/>
                <w:highlight w:val="none"/>
              </w:rPr>
            </w:pPr>
            <w:r>
              <w:rPr>
                <w:rFonts w:hint="eastAsia" w:ascii="宋体" w:hAnsi="宋体" w:eastAsia="宋体" w:cs="宋体"/>
                <w:b/>
                <w:bCs/>
                <w:spacing w:val="14"/>
                <w:sz w:val="24"/>
                <w:szCs w:val="24"/>
                <w:highlight w:val="none"/>
              </w:rPr>
              <w:t>投标文件所附证明材料均为扫描件（或照片），尺寸和清晰度应该能够在电脑上被阅读、识别和判断；若投标人未按要求提供证明材料或提供不清晰的扫描件（或照片）的，评标委员会有权认定其投标文件未对招标文件有关要求进行响应，涉及资格审查性或符合性审查的将不予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202" w:type="dxa"/>
            <w:vAlign w:val="center"/>
          </w:tcPr>
          <w:p>
            <w:pPr>
              <w:pStyle w:val="28"/>
              <w:spacing w:line="360" w:lineRule="auto"/>
              <w:ind w:firstLine="0"/>
              <w:jc w:val="center"/>
              <w:rPr>
                <w:rFonts w:ascii="宋体" w:hAnsi="宋体" w:eastAsia="宋体" w:cs="宋体"/>
                <w:spacing w:val="14"/>
                <w:sz w:val="24"/>
                <w:szCs w:val="24"/>
                <w:highlight w:val="none"/>
              </w:rPr>
            </w:pPr>
            <w:r>
              <w:rPr>
                <w:rFonts w:hint="eastAsia" w:ascii="宋体" w:hAnsi="宋体" w:eastAsia="宋体" w:cs="宋体"/>
                <w:spacing w:val="14"/>
                <w:sz w:val="24"/>
                <w:szCs w:val="24"/>
                <w:highlight w:val="none"/>
              </w:rPr>
              <w:t>4.2.1</w:t>
            </w:r>
          </w:p>
        </w:tc>
        <w:tc>
          <w:tcPr>
            <w:tcW w:w="1948" w:type="dxa"/>
            <w:vAlign w:val="center"/>
          </w:tcPr>
          <w:p>
            <w:pPr>
              <w:pStyle w:val="28"/>
              <w:spacing w:line="360" w:lineRule="auto"/>
              <w:ind w:firstLine="0"/>
              <w:jc w:val="left"/>
              <w:rPr>
                <w:rFonts w:ascii="宋体" w:hAnsi="宋体" w:eastAsia="宋体" w:cs="宋体"/>
                <w:spacing w:val="14"/>
                <w:sz w:val="24"/>
                <w:szCs w:val="24"/>
                <w:highlight w:val="none"/>
              </w:rPr>
            </w:pPr>
            <w:r>
              <w:rPr>
                <w:rFonts w:hint="eastAsia" w:ascii="宋体" w:hAnsi="宋体" w:eastAsia="宋体" w:cs="宋体"/>
                <w:spacing w:val="14"/>
                <w:sz w:val="24"/>
                <w:szCs w:val="24"/>
                <w:highlight w:val="none"/>
              </w:rPr>
              <w:t>投标截止时间</w:t>
            </w:r>
          </w:p>
        </w:tc>
        <w:tc>
          <w:tcPr>
            <w:tcW w:w="6064" w:type="dxa"/>
            <w:vAlign w:val="center"/>
          </w:tcPr>
          <w:p>
            <w:pPr>
              <w:pStyle w:val="28"/>
              <w:spacing w:line="360" w:lineRule="auto"/>
              <w:ind w:firstLine="0"/>
              <w:jc w:val="left"/>
              <w:rPr>
                <w:rFonts w:ascii="宋体" w:hAnsi="宋体" w:eastAsia="宋体" w:cs="宋体"/>
                <w:spacing w:val="14"/>
                <w:sz w:val="24"/>
                <w:szCs w:val="24"/>
                <w:highlight w:val="none"/>
              </w:rPr>
            </w:pPr>
            <w:r>
              <w:rPr>
                <w:rFonts w:hint="eastAsia" w:ascii="宋体" w:hAnsi="宋体" w:eastAsia="宋体" w:cs="宋体"/>
                <w:spacing w:val="14"/>
                <w:sz w:val="24"/>
                <w:szCs w:val="24"/>
                <w:highlight w:val="none"/>
              </w:rPr>
              <w:t>见第一章招标公告。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202" w:type="dxa"/>
            <w:vAlign w:val="center"/>
          </w:tcPr>
          <w:p>
            <w:pPr>
              <w:pStyle w:val="28"/>
              <w:spacing w:line="360" w:lineRule="auto"/>
              <w:ind w:firstLine="0"/>
              <w:jc w:val="center"/>
              <w:rPr>
                <w:rFonts w:ascii="宋体" w:hAnsi="宋体" w:eastAsia="宋体" w:cs="宋体"/>
                <w:spacing w:val="14"/>
                <w:sz w:val="24"/>
                <w:szCs w:val="24"/>
                <w:highlight w:val="none"/>
              </w:rPr>
            </w:pPr>
            <w:r>
              <w:rPr>
                <w:rFonts w:hint="eastAsia" w:ascii="宋体" w:hAnsi="宋体" w:eastAsia="宋体" w:cs="宋体"/>
                <w:spacing w:val="14"/>
                <w:sz w:val="24"/>
                <w:szCs w:val="24"/>
                <w:highlight w:val="none"/>
              </w:rPr>
              <w:t>4.2.2</w:t>
            </w:r>
          </w:p>
        </w:tc>
        <w:tc>
          <w:tcPr>
            <w:tcW w:w="1948" w:type="dxa"/>
            <w:vAlign w:val="center"/>
          </w:tcPr>
          <w:p>
            <w:pPr>
              <w:pStyle w:val="28"/>
              <w:spacing w:line="360" w:lineRule="auto"/>
              <w:ind w:firstLine="0"/>
              <w:jc w:val="left"/>
              <w:rPr>
                <w:rFonts w:ascii="宋体" w:hAnsi="宋体" w:eastAsia="宋体" w:cs="宋体"/>
                <w:spacing w:val="14"/>
                <w:sz w:val="24"/>
                <w:szCs w:val="24"/>
                <w:highlight w:val="none"/>
              </w:rPr>
            </w:pPr>
            <w:r>
              <w:rPr>
                <w:rFonts w:hint="eastAsia" w:ascii="宋体" w:hAnsi="宋体" w:eastAsia="宋体" w:cs="宋体"/>
                <w:spacing w:val="14"/>
                <w:sz w:val="24"/>
                <w:szCs w:val="24"/>
                <w:highlight w:val="none"/>
              </w:rPr>
              <w:t>提交投标文件地点</w:t>
            </w:r>
          </w:p>
        </w:tc>
        <w:tc>
          <w:tcPr>
            <w:tcW w:w="6064" w:type="dxa"/>
            <w:vAlign w:val="center"/>
          </w:tcPr>
          <w:p>
            <w:pPr>
              <w:pStyle w:val="28"/>
              <w:spacing w:line="360" w:lineRule="auto"/>
              <w:ind w:firstLine="0"/>
              <w:jc w:val="left"/>
              <w:rPr>
                <w:rFonts w:ascii="宋体" w:hAnsi="宋体" w:eastAsia="宋体" w:cs="宋体"/>
                <w:spacing w:val="14"/>
                <w:sz w:val="24"/>
                <w:szCs w:val="24"/>
                <w:highlight w:val="none"/>
              </w:rPr>
            </w:pPr>
            <w:r>
              <w:rPr>
                <w:rFonts w:hint="eastAsia" w:ascii="宋体" w:hAnsi="宋体" w:eastAsia="宋体" w:cs="宋体"/>
                <w:spacing w:val="14"/>
                <w:sz w:val="24"/>
                <w:szCs w:val="24"/>
                <w:highlight w:val="none"/>
              </w:rPr>
              <w:t>见第一章招标公告。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202" w:type="dxa"/>
            <w:vAlign w:val="center"/>
          </w:tcPr>
          <w:p>
            <w:pPr>
              <w:pStyle w:val="28"/>
              <w:spacing w:line="360" w:lineRule="auto"/>
              <w:ind w:firstLine="0"/>
              <w:jc w:val="center"/>
              <w:rPr>
                <w:rFonts w:ascii="宋体" w:hAnsi="宋体" w:eastAsia="宋体" w:cs="宋体"/>
                <w:spacing w:val="14"/>
                <w:sz w:val="24"/>
                <w:szCs w:val="24"/>
                <w:highlight w:val="none"/>
              </w:rPr>
            </w:pPr>
            <w:r>
              <w:rPr>
                <w:rFonts w:hint="eastAsia" w:ascii="宋体" w:hAnsi="宋体" w:eastAsia="宋体" w:cs="宋体"/>
                <w:spacing w:val="14"/>
                <w:sz w:val="24"/>
                <w:szCs w:val="24"/>
                <w:highlight w:val="none"/>
              </w:rPr>
              <w:t>4.2.3</w:t>
            </w:r>
          </w:p>
        </w:tc>
        <w:tc>
          <w:tcPr>
            <w:tcW w:w="1948" w:type="dxa"/>
            <w:vAlign w:val="center"/>
          </w:tcPr>
          <w:p>
            <w:pPr>
              <w:pStyle w:val="28"/>
              <w:spacing w:line="360" w:lineRule="auto"/>
              <w:ind w:firstLine="0"/>
              <w:jc w:val="left"/>
              <w:rPr>
                <w:rFonts w:ascii="宋体" w:hAnsi="宋体" w:eastAsia="宋体" w:cs="宋体"/>
                <w:spacing w:val="14"/>
                <w:sz w:val="24"/>
                <w:szCs w:val="24"/>
                <w:highlight w:val="none"/>
              </w:rPr>
            </w:pPr>
            <w:r>
              <w:rPr>
                <w:rFonts w:hint="eastAsia" w:ascii="宋体" w:hAnsi="宋体" w:eastAsia="宋体" w:cs="宋体"/>
                <w:spacing w:val="14"/>
                <w:sz w:val="24"/>
                <w:szCs w:val="24"/>
                <w:highlight w:val="none"/>
              </w:rPr>
              <w:t>投标文件份数及其他要求</w:t>
            </w:r>
          </w:p>
        </w:tc>
        <w:tc>
          <w:tcPr>
            <w:tcW w:w="6064" w:type="dxa"/>
            <w:vAlign w:val="center"/>
          </w:tcPr>
          <w:p>
            <w:pPr>
              <w:pStyle w:val="28"/>
              <w:spacing w:line="360" w:lineRule="auto"/>
              <w:ind w:firstLine="0"/>
              <w:jc w:val="left"/>
              <w:rPr>
                <w:rFonts w:ascii="宋体" w:hAnsi="宋体" w:eastAsia="宋体" w:cs="宋体"/>
                <w:spacing w:val="14"/>
                <w:sz w:val="24"/>
                <w:szCs w:val="24"/>
                <w:highlight w:val="none"/>
              </w:rPr>
            </w:pPr>
            <w:r>
              <w:rPr>
                <w:rFonts w:hint="eastAsia" w:ascii="宋体" w:hAnsi="宋体" w:eastAsia="宋体" w:cs="宋体"/>
                <w:spacing w:val="14"/>
                <w:sz w:val="24"/>
                <w:szCs w:val="24"/>
                <w:highlight w:val="none"/>
              </w:rPr>
              <w:t>加密的电子投标文件一份（*.lytf 格式）；在投标截止时间前通过全国公共资源交易平台（河南省·洛阳市）系统中在线完成上传加密的电子投标文件。（本项目实行全流程电子化交易，不接受纸质投标文件。）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202" w:type="dxa"/>
            <w:vAlign w:val="center"/>
          </w:tcPr>
          <w:p>
            <w:pPr>
              <w:pStyle w:val="28"/>
              <w:spacing w:line="360" w:lineRule="auto"/>
              <w:ind w:firstLine="0"/>
              <w:jc w:val="center"/>
              <w:rPr>
                <w:rFonts w:ascii="宋体" w:hAnsi="宋体" w:eastAsia="宋体" w:cs="宋体"/>
                <w:spacing w:val="14"/>
                <w:sz w:val="24"/>
                <w:szCs w:val="24"/>
                <w:highlight w:val="none"/>
              </w:rPr>
            </w:pPr>
            <w:r>
              <w:rPr>
                <w:rFonts w:hint="eastAsia" w:ascii="宋体" w:hAnsi="宋体" w:eastAsia="宋体" w:cs="宋体"/>
                <w:spacing w:val="14"/>
                <w:sz w:val="24"/>
                <w:szCs w:val="24"/>
                <w:highlight w:val="none"/>
              </w:rPr>
              <w:t>4.2.5</w:t>
            </w:r>
          </w:p>
        </w:tc>
        <w:tc>
          <w:tcPr>
            <w:tcW w:w="1948" w:type="dxa"/>
            <w:vAlign w:val="center"/>
          </w:tcPr>
          <w:p>
            <w:pPr>
              <w:pStyle w:val="28"/>
              <w:spacing w:line="360" w:lineRule="auto"/>
              <w:ind w:firstLine="0"/>
              <w:jc w:val="left"/>
              <w:rPr>
                <w:rFonts w:ascii="宋体" w:hAnsi="宋体" w:eastAsia="宋体" w:cs="宋体"/>
                <w:spacing w:val="14"/>
                <w:sz w:val="24"/>
                <w:szCs w:val="24"/>
                <w:highlight w:val="none"/>
              </w:rPr>
            </w:pPr>
            <w:r>
              <w:rPr>
                <w:rFonts w:hint="eastAsia" w:ascii="宋体" w:hAnsi="宋体" w:eastAsia="宋体" w:cs="宋体"/>
                <w:spacing w:val="14"/>
                <w:sz w:val="24"/>
                <w:szCs w:val="24"/>
                <w:highlight w:val="none"/>
              </w:rPr>
              <w:t>投标文件上传问题联系方式</w:t>
            </w:r>
          </w:p>
        </w:tc>
        <w:tc>
          <w:tcPr>
            <w:tcW w:w="6064" w:type="dxa"/>
            <w:vAlign w:val="center"/>
          </w:tcPr>
          <w:p>
            <w:pPr>
              <w:pStyle w:val="28"/>
              <w:spacing w:line="360" w:lineRule="auto"/>
              <w:ind w:firstLine="0"/>
              <w:jc w:val="left"/>
              <w:rPr>
                <w:rFonts w:ascii="宋体" w:hAnsi="宋体" w:eastAsia="宋体" w:cs="宋体"/>
                <w:sz w:val="24"/>
                <w:szCs w:val="24"/>
                <w:highlight w:val="none"/>
              </w:rPr>
            </w:pPr>
            <w:r>
              <w:rPr>
                <w:rFonts w:hint="eastAsia" w:ascii="宋体" w:hAnsi="宋体" w:eastAsia="宋体" w:cs="宋体"/>
                <w:spacing w:val="14"/>
                <w:sz w:val="24"/>
                <w:szCs w:val="24"/>
                <w:highlight w:val="none"/>
              </w:rPr>
              <w:t>投标人因洛阳市电子招投标交易平台问题无法上传电子投标文件时，请在工作时间与软件公司联系。联系方式：400-998-0000；0379-69921055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202" w:type="dxa"/>
            <w:vAlign w:val="center"/>
          </w:tcPr>
          <w:p>
            <w:pPr>
              <w:pStyle w:val="28"/>
              <w:spacing w:line="360" w:lineRule="auto"/>
              <w:ind w:firstLine="0"/>
              <w:jc w:val="center"/>
              <w:rPr>
                <w:rFonts w:ascii="宋体" w:hAnsi="宋体" w:eastAsia="宋体" w:cs="宋体"/>
                <w:spacing w:val="14"/>
                <w:sz w:val="24"/>
                <w:szCs w:val="24"/>
                <w:highlight w:val="none"/>
              </w:rPr>
            </w:pPr>
            <w:r>
              <w:rPr>
                <w:rFonts w:hint="eastAsia" w:ascii="宋体" w:hAnsi="宋体" w:eastAsia="宋体" w:cs="宋体"/>
                <w:spacing w:val="14"/>
                <w:sz w:val="24"/>
                <w:szCs w:val="24"/>
                <w:highlight w:val="none"/>
              </w:rPr>
              <w:t>4.2.6</w:t>
            </w:r>
          </w:p>
        </w:tc>
        <w:tc>
          <w:tcPr>
            <w:tcW w:w="1948" w:type="dxa"/>
            <w:vAlign w:val="center"/>
          </w:tcPr>
          <w:p>
            <w:pPr>
              <w:pStyle w:val="28"/>
              <w:spacing w:line="360" w:lineRule="auto"/>
              <w:ind w:firstLine="0"/>
              <w:jc w:val="left"/>
              <w:rPr>
                <w:rFonts w:ascii="宋体" w:hAnsi="宋体" w:eastAsia="宋体" w:cs="宋体"/>
                <w:spacing w:val="14"/>
                <w:sz w:val="24"/>
                <w:szCs w:val="24"/>
                <w:highlight w:val="none"/>
              </w:rPr>
            </w:pPr>
            <w:r>
              <w:rPr>
                <w:rFonts w:hint="eastAsia" w:ascii="宋体" w:hAnsi="宋体" w:eastAsia="宋体" w:cs="宋体"/>
                <w:spacing w:val="14"/>
                <w:sz w:val="24"/>
                <w:szCs w:val="24"/>
                <w:highlight w:val="none"/>
              </w:rPr>
              <w:t>投标文件是否退还</w:t>
            </w:r>
          </w:p>
        </w:tc>
        <w:tc>
          <w:tcPr>
            <w:tcW w:w="6064" w:type="dxa"/>
            <w:vAlign w:val="center"/>
          </w:tcPr>
          <w:p>
            <w:pPr>
              <w:pStyle w:val="28"/>
              <w:spacing w:line="360" w:lineRule="auto"/>
              <w:ind w:firstLine="0"/>
              <w:jc w:val="left"/>
              <w:rPr>
                <w:rFonts w:ascii="宋体" w:hAnsi="宋体" w:eastAsia="宋体" w:cs="宋体"/>
                <w:spacing w:val="14"/>
                <w:sz w:val="24"/>
                <w:szCs w:val="24"/>
                <w:highlight w:val="none"/>
              </w:rPr>
            </w:pPr>
            <w:r>
              <w:rPr>
                <w:rFonts w:hint="eastAsia" w:ascii="宋体" w:hAnsi="宋体" w:eastAsia="宋体" w:cs="宋体"/>
                <w:spacing w:val="14"/>
                <w:sz w:val="24"/>
                <w:szCs w:val="24"/>
                <w:highlight w:val="none"/>
              </w:rPr>
              <w:t>不退还。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202" w:type="dxa"/>
            <w:vAlign w:val="center"/>
          </w:tcPr>
          <w:p>
            <w:pPr>
              <w:pStyle w:val="28"/>
              <w:spacing w:line="360" w:lineRule="auto"/>
              <w:ind w:firstLine="0"/>
              <w:jc w:val="center"/>
              <w:rPr>
                <w:rFonts w:ascii="宋体" w:hAnsi="宋体" w:eastAsia="宋体" w:cs="宋体"/>
                <w:spacing w:val="14"/>
                <w:sz w:val="24"/>
                <w:szCs w:val="24"/>
                <w:highlight w:val="none"/>
              </w:rPr>
            </w:pPr>
            <w:r>
              <w:rPr>
                <w:rFonts w:hint="eastAsia" w:ascii="宋体" w:hAnsi="宋体" w:eastAsia="宋体" w:cs="宋体"/>
                <w:spacing w:val="14"/>
                <w:sz w:val="24"/>
                <w:szCs w:val="24"/>
                <w:highlight w:val="none"/>
              </w:rPr>
              <w:t>5.1</w:t>
            </w:r>
          </w:p>
        </w:tc>
        <w:tc>
          <w:tcPr>
            <w:tcW w:w="1948" w:type="dxa"/>
            <w:vAlign w:val="center"/>
          </w:tcPr>
          <w:p>
            <w:pPr>
              <w:pStyle w:val="28"/>
              <w:spacing w:line="360" w:lineRule="auto"/>
              <w:ind w:firstLine="0"/>
              <w:jc w:val="left"/>
              <w:rPr>
                <w:rFonts w:ascii="宋体" w:hAnsi="宋体" w:eastAsia="宋体" w:cs="宋体"/>
                <w:spacing w:val="14"/>
                <w:sz w:val="24"/>
                <w:szCs w:val="24"/>
                <w:highlight w:val="none"/>
              </w:rPr>
            </w:pPr>
            <w:r>
              <w:rPr>
                <w:rFonts w:hint="eastAsia" w:ascii="宋体" w:hAnsi="宋体" w:eastAsia="宋体" w:cs="宋体"/>
                <w:spacing w:val="14"/>
                <w:sz w:val="24"/>
                <w:szCs w:val="24"/>
                <w:highlight w:val="none"/>
              </w:rPr>
              <w:t>开标时间和地点</w:t>
            </w:r>
          </w:p>
        </w:tc>
        <w:tc>
          <w:tcPr>
            <w:tcW w:w="6064" w:type="dxa"/>
            <w:vAlign w:val="center"/>
          </w:tcPr>
          <w:p>
            <w:pPr>
              <w:pStyle w:val="28"/>
              <w:spacing w:line="360" w:lineRule="auto"/>
              <w:ind w:firstLine="0"/>
              <w:jc w:val="left"/>
              <w:rPr>
                <w:rFonts w:ascii="宋体" w:hAnsi="宋体" w:eastAsia="宋体" w:cs="宋体"/>
                <w:spacing w:val="14"/>
                <w:sz w:val="24"/>
                <w:szCs w:val="24"/>
                <w:highlight w:val="none"/>
              </w:rPr>
            </w:pPr>
            <w:r>
              <w:rPr>
                <w:rFonts w:hint="eastAsia" w:ascii="宋体" w:hAnsi="宋体" w:eastAsia="宋体" w:cs="宋体"/>
                <w:spacing w:val="14"/>
                <w:sz w:val="24"/>
                <w:szCs w:val="24"/>
                <w:highlight w:val="none"/>
              </w:rPr>
              <w:t>开标时间：同投标截止时间</w:t>
            </w:r>
          </w:p>
          <w:p>
            <w:pPr>
              <w:pStyle w:val="28"/>
              <w:spacing w:line="360" w:lineRule="auto"/>
              <w:ind w:firstLine="0"/>
              <w:jc w:val="left"/>
              <w:rPr>
                <w:rFonts w:ascii="宋体" w:hAnsi="宋体" w:eastAsia="宋体" w:cs="宋体"/>
                <w:spacing w:val="14"/>
                <w:sz w:val="24"/>
                <w:szCs w:val="24"/>
                <w:highlight w:val="none"/>
              </w:rPr>
            </w:pPr>
            <w:r>
              <w:rPr>
                <w:rFonts w:hint="eastAsia" w:ascii="宋体" w:hAnsi="宋体" w:eastAsia="宋体" w:cs="宋体"/>
                <w:spacing w:val="14"/>
                <w:sz w:val="24"/>
                <w:szCs w:val="24"/>
                <w:highlight w:val="none"/>
              </w:rPr>
              <w:t>开标地点：同提交投标文件地点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202" w:type="dxa"/>
            <w:vAlign w:val="center"/>
          </w:tcPr>
          <w:p>
            <w:pPr>
              <w:pStyle w:val="28"/>
              <w:spacing w:line="360" w:lineRule="auto"/>
              <w:ind w:firstLine="0"/>
              <w:rPr>
                <w:rFonts w:ascii="宋体" w:hAnsi="宋体" w:eastAsia="宋体" w:cs="宋体"/>
                <w:spacing w:val="14"/>
                <w:sz w:val="24"/>
                <w:szCs w:val="24"/>
                <w:highlight w:val="none"/>
              </w:rPr>
            </w:pPr>
            <w:r>
              <w:rPr>
                <w:rFonts w:hint="eastAsia" w:ascii="宋体" w:hAnsi="宋体" w:eastAsia="宋体" w:cs="宋体"/>
                <w:spacing w:val="14"/>
                <w:sz w:val="24"/>
                <w:szCs w:val="24"/>
                <w:highlight w:val="none"/>
              </w:rPr>
              <w:t>5.2.1</w:t>
            </w:r>
          </w:p>
        </w:tc>
        <w:tc>
          <w:tcPr>
            <w:tcW w:w="1948" w:type="dxa"/>
            <w:vAlign w:val="center"/>
          </w:tcPr>
          <w:p>
            <w:pPr>
              <w:pStyle w:val="28"/>
              <w:spacing w:line="360" w:lineRule="auto"/>
              <w:ind w:firstLine="0"/>
              <w:jc w:val="left"/>
              <w:rPr>
                <w:rFonts w:ascii="宋体" w:hAnsi="宋体" w:eastAsia="宋体" w:cs="宋体"/>
                <w:spacing w:val="14"/>
                <w:sz w:val="24"/>
                <w:szCs w:val="24"/>
                <w:highlight w:val="none"/>
              </w:rPr>
            </w:pPr>
            <w:r>
              <w:rPr>
                <w:rFonts w:hint="eastAsia" w:ascii="宋体" w:hAnsi="宋体" w:eastAsia="宋体" w:cs="宋体"/>
                <w:spacing w:val="14"/>
                <w:sz w:val="24"/>
                <w:szCs w:val="24"/>
                <w:highlight w:val="none"/>
              </w:rPr>
              <w:t>开标规定</w:t>
            </w:r>
          </w:p>
        </w:tc>
        <w:tc>
          <w:tcPr>
            <w:tcW w:w="6064" w:type="dxa"/>
            <w:vAlign w:val="center"/>
          </w:tcPr>
          <w:p>
            <w:pPr>
              <w:pStyle w:val="28"/>
              <w:spacing w:line="360" w:lineRule="auto"/>
              <w:ind w:firstLine="0"/>
              <w:jc w:val="left"/>
              <w:rPr>
                <w:rFonts w:ascii="宋体" w:hAnsi="宋体" w:eastAsia="宋体" w:cs="宋体"/>
                <w:spacing w:val="14"/>
                <w:sz w:val="24"/>
                <w:szCs w:val="24"/>
                <w:highlight w:val="none"/>
              </w:rPr>
            </w:pPr>
            <w:r>
              <w:rPr>
                <w:rFonts w:hint="eastAsia" w:ascii="宋体" w:hAnsi="宋体" w:eastAsia="宋体" w:cs="宋体"/>
                <w:spacing w:val="14"/>
                <w:sz w:val="24"/>
                <w:szCs w:val="24"/>
                <w:highlight w:val="none"/>
              </w:rPr>
              <w:t>本项目采用远程不见面交易的模式，开标当日，投标人无需到开标现场参加开标会议，投标人应当在投标截止时间前，登录到洛阳市电子招投标交易平台（</w:t>
            </w:r>
            <w:r>
              <w:rPr>
                <w:rFonts w:hint="eastAsia" w:ascii="宋体" w:hAnsi="宋体" w:eastAsia="宋体" w:cs="宋体"/>
                <w:spacing w:val="14"/>
                <w:sz w:val="24"/>
                <w:szCs w:val="24"/>
                <w:highlight w:val="none"/>
                <w:lang w:eastAsia="zh-CN"/>
              </w:rPr>
              <w:t>http://61.168.99.35/TPBidder/login2.aspx</w:t>
            </w:r>
            <w:r>
              <w:rPr>
                <w:rFonts w:hint="eastAsia" w:ascii="宋体" w:hAnsi="宋体" w:eastAsia="宋体" w:cs="宋体"/>
                <w:spacing w:val="14"/>
                <w:sz w:val="24"/>
                <w:szCs w:val="24"/>
                <w:highlight w:val="none"/>
              </w:rPr>
              <w:t>），点击右上方【不见面开标大厅】按钮进入，在线准时参加开标活动并进行投标文件解密等。因投标人原因未能解密、解密失败或解密超时的将被拒绝。请参照洛阳市公共资源交易中心首页-办事指南-下载中心-操作手册-《洛阳市公共资源交易中心不见面开标大厅操作手册（投标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202" w:type="dxa"/>
            <w:vAlign w:val="center"/>
          </w:tcPr>
          <w:p>
            <w:pPr>
              <w:pStyle w:val="28"/>
              <w:spacing w:line="360" w:lineRule="auto"/>
              <w:ind w:firstLine="0"/>
              <w:jc w:val="center"/>
              <w:rPr>
                <w:rFonts w:ascii="宋体" w:hAnsi="宋体" w:eastAsia="宋体" w:cs="宋体"/>
                <w:spacing w:val="14"/>
                <w:sz w:val="24"/>
                <w:szCs w:val="24"/>
                <w:highlight w:val="none"/>
              </w:rPr>
            </w:pPr>
            <w:r>
              <w:rPr>
                <w:rFonts w:hint="eastAsia" w:ascii="宋体" w:hAnsi="宋体" w:eastAsia="宋体" w:cs="宋体"/>
                <w:spacing w:val="14"/>
                <w:sz w:val="24"/>
                <w:szCs w:val="24"/>
                <w:highlight w:val="none"/>
              </w:rPr>
              <w:t>5.3</w:t>
            </w:r>
          </w:p>
        </w:tc>
        <w:tc>
          <w:tcPr>
            <w:tcW w:w="1948" w:type="dxa"/>
            <w:vAlign w:val="center"/>
          </w:tcPr>
          <w:p>
            <w:pPr>
              <w:pStyle w:val="28"/>
              <w:spacing w:line="360" w:lineRule="auto"/>
              <w:ind w:firstLine="0"/>
              <w:jc w:val="left"/>
              <w:rPr>
                <w:rFonts w:ascii="宋体" w:hAnsi="宋体" w:eastAsia="宋体" w:cs="宋体"/>
                <w:spacing w:val="14"/>
                <w:sz w:val="24"/>
                <w:szCs w:val="24"/>
                <w:highlight w:val="none"/>
              </w:rPr>
            </w:pPr>
            <w:r>
              <w:rPr>
                <w:rFonts w:hint="eastAsia" w:ascii="宋体" w:hAnsi="宋体" w:eastAsia="宋体" w:cs="宋体"/>
                <w:spacing w:val="14"/>
                <w:sz w:val="24"/>
                <w:szCs w:val="24"/>
                <w:highlight w:val="none"/>
              </w:rPr>
              <w:t>开标疑义</w:t>
            </w:r>
          </w:p>
        </w:tc>
        <w:tc>
          <w:tcPr>
            <w:tcW w:w="6064" w:type="dxa"/>
            <w:vAlign w:val="center"/>
          </w:tcPr>
          <w:p>
            <w:pPr>
              <w:pStyle w:val="28"/>
              <w:spacing w:line="360" w:lineRule="auto"/>
              <w:ind w:firstLine="0"/>
              <w:jc w:val="left"/>
              <w:rPr>
                <w:rFonts w:ascii="宋体" w:hAnsi="宋体" w:eastAsia="宋体" w:cs="宋体"/>
                <w:spacing w:val="14"/>
                <w:sz w:val="24"/>
                <w:szCs w:val="24"/>
                <w:highlight w:val="none"/>
              </w:rPr>
            </w:pPr>
            <w:r>
              <w:rPr>
                <w:rFonts w:ascii="宋体" w:hAnsi="宋体" w:eastAsia="宋体" w:cs="宋体"/>
                <w:spacing w:val="14"/>
                <w:sz w:val="24"/>
                <w:szCs w:val="24"/>
                <w:highlight w:val="none"/>
              </w:rPr>
              <w:t>在洛阳市公共资源电子招投标系统通过文字提出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202" w:type="dxa"/>
            <w:vAlign w:val="center"/>
          </w:tcPr>
          <w:p>
            <w:pPr>
              <w:pStyle w:val="28"/>
              <w:spacing w:line="360" w:lineRule="auto"/>
              <w:ind w:firstLine="0"/>
              <w:jc w:val="center"/>
              <w:rPr>
                <w:rFonts w:ascii="宋体" w:hAnsi="宋体" w:eastAsia="宋体" w:cs="宋体"/>
                <w:spacing w:val="14"/>
                <w:sz w:val="24"/>
                <w:szCs w:val="24"/>
                <w:highlight w:val="none"/>
              </w:rPr>
            </w:pPr>
            <w:r>
              <w:rPr>
                <w:rFonts w:hint="eastAsia" w:ascii="宋体" w:hAnsi="宋体" w:eastAsia="宋体" w:cs="宋体"/>
                <w:spacing w:val="14"/>
                <w:sz w:val="24"/>
                <w:szCs w:val="24"/>
                <w:highlight w:val="none"/>
              </w:rPr>
              <w:t>6.1.1</w:t>
            </w:r>
          </w:p>
        </w:tc>
        <w:tc>
          <w:tcPr>
            <w:tcW w:w="1948" w:type="dxa"/>
            <w:vAlign w:val="center"/>
          </w:tcPr>
          <w:p>
            <w:pPr>
              <w:pStyle w:val="28"/>
              <w:spacing w:line="360" w:lineRule="auto"/>
              <w:ind w:firstLine="0"/>
              <w:jc w:val="left"/>
              <w:rPr>
                <w:rFonts w:ascii="宋体" w:hAnsi="宋体" w:eastAsia="宋体" w:cs="宋体"/>
                <w:spacing w:val="14"/>
                <w:sz w:val="24"/>
                <w:szCs w:val="24"/>
                <w:highlight w:val="none"/>
              </w:rPr>
            </w:pPr>
            <w:r>
              <w:rPr>
                <w:rFonts w:hint="eastAsia" w:ascii="宋体" w:hAnsi="宋体" w:eastAsia="宋体" w:cs="宋体"/>
                <w:spacing w:val="14"/>
                <w:sz w:val="24"/>
                <w:szCs w:val="24"/>
                <w:highlight w:val="none"/>
              </w:rPr>
              <w:t>评标委员会的组建</w:t>
            </w:r>
          </w:p>
        </w:tc>
        <w:tc>
          <w:tcPr>
            <w:tcW w:w="6064" w:type="dxa"/>
            <w:vAlign w:val="center"/>
          </w:tcPr>
          <w:p>
            <w:pPr>
              <w:pStyle w:val="28"/>
              <w:spacing w:line="360" w:lineRule="auto"/>
              <w:ind w:firstLine="0"/>
              <w:jc w:val="left"/>
              <w:rPr>
                <w:rFonts w:ascii="宋体" w:hAnsi="宋体" w:eastAsia="宋体" w:cs="宋体"/>
                <w:spacing w:val="14"/>
                <w:sz w:val="24"/>
                <w:szCs w:val="24"/>
                <w:highlight w:val="none"/>
              </w:rPr>
            </w:pPr>
            <w:r>
              <w:rPr>
                <w:rFonts w:hint="eastAsia" w:ascii="宋体" w:hAnsi="宋体" w:eastAsia="宋体" w:cs="宋体"/>
                <w:spacing w:val="14"/>
                <w:sz w:val="24"/>
                <w:szCs w:val="24"/>
                <w:highlight w:val="none"/>
              </w:rPr>
              <w:t>评标委员会构成：</w:t>
            </w:r>
            <w:r>
              <w:rPr>
                <w:rFonts w:hint="eastAsia" w:ascii="宋体" w:hAnsi="宋体" w:eastAsia="宋体" w:cs="宋体"/>
                <w:spacing w:val="14"/>
                <w:sz w:val="24"/>
                <w:szCs w:val="24"/>
                <w:highlight w:val="none"/>
                <w:u w:val="single" w:color="000000"/>
              </w:rPr>
              <w:t>5</w:t>
            </w:r>
            <w:r>
              <w:rPr>
                <w:rFonts w:hint="eastAsia" w:ascii="宋体" w:hAnsi="宋体" w:eastAsia="宋体" w:cs="宋体"/>
                <w:spacing w:val="14"/>
                <w:sz w:val="24"/>
                <w:szCs w:val="24"/>
                <w:highlight w:val="none"/>
              </w:rPr>
              <w:t>人</w:t>
            </w:r>
          </w:p>
          <w:p>
            <w:pPr>
              <w:pStyle w:val="28"/>
              <w:spacing w:line="360" w:lineRule="auto"/>
              <w:ind w:firstLine="0"/>
              <w:jc w:val="left"/>
              <w:rPr>
                <w:rFonts w:ascii="宋体" w:hAnsi="宋体" w:eastAsia="宋体" w:cs="宋体"/>
                <w:spacing w:val="14"/>
                <w:sz w:val="24"/>
                <w:szCs w:val="24"/>
                <w:highlight w:val="none"/>
              </w:rPr>
            </w:pPr>
            <w:r>
              <w:rPr>
                <w:rFonts w:hint="eastAsia" w:ascii="宋体" w:hAnsi="宋体" w:eastAsia="宋体" w:cs="宋体"/>
                <w:spacing w:val="14"/>
                <w:sz w:val="24"/>
                <w:szCs w:val="24"/>
                <w:highlight w:val="none"/>
              </w:rPr>
              <w:t>其中由采购人代表1名及相关专家库中随机抽取经济、技术专家4人组成。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202" w:type="dxa"/>
            <w:vAlign w:val="center"/>
          </w:tcPr>
          <w:p>
            <w:pPr>
              <w:pStyle w:val="28"/>
              <w:spacing w:line="360" w:lineRule="auto"/>
              <w:ind w:firstLine="0"/>
              <w:jc w:val="center"/>
              <w:rPr>
                <w:rFonts w:ascii="宋体" w:hAnsi="宋体" w:eastAsia="宋体" w:cs="宋体"/>
                <w:spacing w:val="14"/>
                <w:sz w:val="24"/>
                <w:szCs w:val="24"/>
                <w:highlight w:val="none"/>
              </w:rPr>
            </w:pPr>
            <w:r>
              <w:rPr>
                <w:rFonts w:hint="eastAsia" w:ascii="宋体" w:hAnsi="宋体" w:eastAsia="宋体" w:cs="宋体"/>
                <w:spacing w:val="14"/>
                <w:sz w:val="24"/>
                <w:szCs w:val="24"/>
                <w:highlight w:val="none"/>
              </w:rPr>
              <w:t>6.3.2</w:t>
            </w:r>
          </w:p>
        </w:tc>
        <w:tc>
          <w:tcPr>
            <w:tcW w:w="1948" w:type="dxa"/>
            <w:vAlign w:val="center"/>
          </w:tcPr>
          <w:p>
            <w:pPr>
              <w:pStyle w:val="28"/>
              <w:spacing w:line="360" w:lineRule="auto"/>
              <w:ind w:firstLine="0"/>
              <w:jc w:val="left"/>
              <w:rPr>
                <w:rFonts w:ascii="宋体" w:hAnsi="宋体" w:eastAsia="宋体" w:cs="宋体"/>
                <w:spacing w:val="14"/>
                <w:sz w:val="24"/>
                <w:szCs w:val="24"/>
                <w:highlight w:val="none"/>
              </w:rPr>
            </w:pPr>
            <w:r>
              <w:rPr>
                <w:rFonts w:hint="eastAsia" w:ascii="宋体" w:hAnsi="宋体" w:eastAsia="宋体" w:cs="宋体"/>
                <w:spacing w:val="14"/>
                <w:sz w:val="24"/>
                <w:szCs w:val="24"/>
                <w:highlight w:val="none"/>
              </w:rPr>
              <w:t>评标委员会推荐中标候选人的人数</w:t>
            </w:r>
          </w:p>
        </w:tc>
        <w:tc>
          <w:tcPr>
            <w:tcW w:w="6064" w:type="dxa"/>
            <w:vAlign w:val="center"/>
          </w:tcPr>
          <w:p>
            <w:pPr>
              <w:pStyle w:val="28"/>
              <w:spacing w:line="360" w:lineRule="auto"/>
              <w:ind w:firstLine="0"/>
              <w:jc w:val="left"/>
              <w:rPr>
                <w:rFonts w:ascii="宋体" w:hAnsi="宋体" w:eastAsia="宋体" w:cs="宋体"/>
                <w:spacing w:val="14"/>
                <w:sz w:val="24"/>
                <w:szCs w:val="24"/>
                <w:highlight w:val="none"/>
              </w:rPr>
            </w:pPr>
            <w:r>
              <w:rPr>
                <w:rFonts w:hint="eastAsia" w:ascii="宋体" w:hAnsi="宋体" w:eastAsia="宋体" w:cs="宋体"/>
                <w:spacing w:val="14"/>
                <w:sz w:val="24"/>
                <w:szCs w:val="24"/>
                <w:highlight w:val="none"/>
                <w:u w:val="single" w:color="000000"/>
              </w:rPr>
              <w:t>3</w:t>
            </w:r>
            <w:r>
              <w:rPr>
                <w:rFonts w:hint="eastAsia" w:ascii="宋体" w:hAnsi="宋体" w:eastAsia="宋体" w:cs="宋体"/>
                <w:spacing w:val="14"/>
                <w:sz w:val="24"/>
                <w:szCs w:val="24"/>
                <w:highlight w:val="none"/>
              </w:rPr>
              <w:t>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202" w:type="dxa"/>
            <w:vAlign w:val="center"/>
          </w:tcPr>
          <w:p>
            <w:pPr>
              <w:pStyle w:val="28"/>
              <w:spacing w:line="360" w:lineRule="auto"/>
              <w:ind w:firstLine="0"/>
              <w:jc w:val="center"/>
              <w:rPr>
                <w:rFonts w:ascii="宋体" w:hAnsi="宋体" w:eastAsia="宋体" w:cs="宋体"/>
                <w:spacing w:val="14"/>
                <w:sz w:val="24"/>
                <w:szCs w:val="24"/>
                <w:highlight w:val="none"/>
              </w:rPr>
            </w:pPr>
            <w:r>
              <w:rPr>
                <w:rFonts w:hint="eastAsia" w:ascii="宋体" w:hAnsi="宋体" w:eastAsia="宋体" w:cs="宋体"/>
                <w:spacing w:val="14"/>
                <w:sz w:val="24"/>
                <w:szCs w:val="24"/>
                <w:highlight w:val="none"/>
              </w:rPr>
              <w:t>7.1.1</w:t>
            </w:r>
          </w:p>
        </w:tc>
        <w:tc>
          <w:tcPr>
            <w:tcW w:w="1948" w:type="dxa"/>
            <w:vAlign w:val="center"/>
          </w:tcPr>
          <w:p>
            <w:pPr>
              <w:pStyle w:val="28"/>
              <w:spacing w:line="360" w:lineRule="auto"/>
              <w:ind w:firstLine="0"/>
              <w:jc w:val="left"/>
              <w:rPr>
                <w:rFonts w:ascii="宋体" w:hAnsi="宋体" w:eastAsia="宋体" w:cs="宋体"/>
                <w:spacing w:val="14"/>
                <w:sz w:val="24"/>
                <w:szCs w:val="24"/>
                <w:highlight w:val="none"/>
              </w:rPr>
            </w:pPr>
            <w:r>
              <w:rPr>
                <w:rFonts w:hint="eastAsia" w:ascii="宋体" w:hAnsi="宋体" w:eastAsia="宋体" w:cs="宋体"/>
                <w:spacing w:val="14"/>
                <w:sz w:val="24"/>
                <w:szCs w:val="24"/>
                <w:highlight w:val="none"/>
              </w:rPr>
              <w:t>是否授权评标委员会确定中标人</w:t>
            </w:r>
          </w:p>
        </w:tc>
        <w:tc>
          <w:tcPr>
            <w:tcW w:w="6064" w:type="dxa"/>
            <w:vAlign w:val="center"/>
          </w:tcPr>
          <w:p>
            <w:pPr>
              <w:pStyle w:val="28"/>
              <w:spacing w:line="360" w:lineRule="auto"/>
              <w:ind w:firstLine="0"/>
              <w:jc w:val="left"/>
              <w:rPr>
                <w:rFonts w:ascii="宋体" w:hAnsi="宋体" w:eastAsia="宋体" w:cs="宋体"/>
                <w:spacing w:val="14"/>
                <w:sz w:val="24"/>
                <w:szCs w:val="24"/>
                <w:highlight w:val="none"/>
              </w:rPr>
            </w:pPr>
            <w:r>
              <w:rPr>
                <w:rFonts w:hint="eastAsia" w:ascii="宋体" w:hAnsi="宋体" w:eastAsia="宋体" w:cs="宋体"/>
                <w:spacing w:val="14"/>
                <w:sz w:val="24"/>
                <w:szCs w:val="24"/>
                <w:highlight w:val="none"/>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202" w:type="dxa"/>
            <w:vAlign w:val="center"/>
          </w:tcPr>
          <w:p>
            <w:pPr>
              <w:pStyle w:val="28"/>
              <w:spacing w:line="360" w:lineRule="auto"/>
              <w:ind w:firstLine="0"/>
              <w:jc w:val="center"/>
              <w:rPr>
                <w:rFonts w:ascii="宋体" w:hAnsi="宋体" w:eastAsia="宋体" w:cs="宋体"/>
                <w:spacing w:val="14"/>
                <w:sz w:val="24"/>
                <w:szCs w:val="24"/>
                <w:highlight w:val="none"/>
              </w:rPr>
            </w:pPr>
            <w:r>
              <w:rPr>
                <w:rFonts w:hint="eastAsia" w:ascii="宋体" w:hAnsi="宋体" w:eastAsia="宋体" w:cs="宋体"/>
                <w:spacing w:val="14"/>
                <w:sz w:val="24"/>
                <w:szCs w:val="24"/>
                <w:highlight w:val="none"/>
              </w:rPr>
              <w:t>7.1.2</w:t>
            </w:r>
          </w:p>
        </w:tc>
        <w:tc>
          <w:tcPr>
            <w:tcW w:w="1948" w:type="dxa"/>
            <w:vAlign w:val="center"/>
          </w:tcPr>
          <w:p>
            <w:pPr>
              <w:pStyle w:val="28"/>
              <w:spacing w:line="360" w:lineRule="auto"/>
              <w:ind w:firstLine="0"/>
              <w:jc w:val="left"/>
              <w:rPr>
                <w:rFonts w:ascii="宋体" w:hAnsi="宋体" w:eastAsia="宋体" w:cs="宋体"/>
                <w:spacing w:val="14"/>
                <w:sz w:val="24"/>
                <w:szCs w:val="24"/>
                <w:highlight w:val="none"/>
              </w:rPr>
            </w:pPr>
            <w:r>
              <w:rPr>
                <w:rFonts w:hint="eastAsia" w:ascii="宋体" w:hAnsi="宋体" w:eastAsia="宋体" w:cs="宋体"/>
                <w:spacing w:val="14"/>
                <w:sz w:val="24"/>
                <w:szCs w:val="24"/>
                <w:highlight w:val="none"/>
              </w:rPr>
              <w:t>定标原则</w:t>
            </w:r>
          </w:p>
        </w:tc>
        <w:tc>
          <w:tcPr>
            <w:tcW w:w="6064" w:type="dxa"/>
            <w:vAlign w:val="center"/>
          </w:tcPr>
          <w:p>
            <w:pPr>
              <w:pStyle w:val="28"/>
              <w:spacing w:line="360" w:lineRule="auto"/>
              <w:ind w:firstLine="0"/>
              <w:jc w:val="left"/>
              <w:rPr>
                <w:rFonts w:ascii="宋体" w:hAnsi="宋体" w:eastAsia="宋体" w:cs="宋体"/>
                <w:spacing w:val="14"/>
                <w:sz w:val="24"/>
                <w:szCs w:val="24"/>
                <w:highlight w:val="none"/>
              </w:rPr>
            </w:pPr>
            <w:r>
              <w:rPr>
                <w:rFonts w:hint="eastAsia" w:ascii="宋体" w:hAnsi="宋体" w:eastAsia="宋体" w:cs="宋体"/>
                <w:spacing w:val="14"/>
                <w:sz w:val="24"/>
                <w:szCs w:val="24"/>
                <w:highlight w:val="none"/>
              </w:rPr>
              <w:t>评标委员会按得分由高到低的顺序推荐前三名为中标候选人，并确定第一名为中标人。</w:t>
            </w:r>
          </w:p>
          <w:p>
            <w:pPr>
              <w:pStyle w:val="28"/>
              <w:spacing w:line="360" w:lineRule="auto"/>
              <w:ind w:firstLine="0"/>
              <w:jc w:val="left"/>
              <w:rPr>
                <w:rFonts w:ascii="宋体" w:hAnsi="宋体" w:eastAsia="宋体" w:cs="宋体"/>
                <w:spacing w:val="14"/>
                <w:sz w:val="24"/>
                <w:szCs w:val="24"/>
                <w:highlight w:val="none"/>
              </w:rPr>
            </w:pPr>
            <w:r>
              <w:rPr>
                <w:rFonts w:hint="eastAsia" w:ascii="宋体" w:hAnsi="宋体" w:eastAsia="宋体" w:cs="宋体"/>
                <w:spacing w:val="14"/>
                <w:sz w:val="24"/>
                <w:szCs w:val="24"/>
                <w:highlight w:val="none"/>
              </w:rPr>
              <w:t>如评审得分相同的，按照投标报价由低到高的顺序推荐；如评审得分且投标报价均相同的，按照技术标得分由高到低顺序推荐；若评审得分、投标报价、技术标得分均相同，则优先考虑不发达地区和少数民族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202" w:type="dxa"/>
            <w:vAlign w:val="center"/>
          </w:tcPr>
          <w:p>
            <w:pPr>
              <w:pStyle w:val="28"/>
              <w:spacing w:line="360" w:lineRule="auto"/>
              <w:ind w:firstLine="0"/>
              <w:jc w:val="center"/>
              <w:rPr>
                <w:rFonts w:ascii="宋体" w:hAnsi="宋体" w:eastAsia="宋体" w:cs="宋体"/>
                <w:spacing w:val="14"/>
                <w:sz w:val="24"/>
                <w:szCs w:val="24"/>
                <w:highlight w:val="none"/>
              </w:rPr>
            </w:pPr>
            <w:r>
              <w:rPr>
                <w:rFonts w:hint="eastAsia" w:ascii="宋体" w:hAnsi="宋体" w:eastAsia="宋体" w:cs="宋体"/>
                <w:spacing w:val="14"/>
                <w:sz w:val="24"/>
                <w:szCs w:val="24"/>
                <w:highlight w:val="none"/>
              </w:rPr>
              <w:t>7.2</w:t>
            </w:r>
          </w:p>
        </w:tc>
        <w:tc>
          <w:tcPr>
            <w:tcW w:w="1948" w:type="dxa"/>
            <w:vAlign w:val="center"/>
          </w:tcPr>
          <w:p>
            <w:pPr>
              <w:pStyle w:val="28"/>
              <w:spacing w:line="360" w:lineRule="auto"/>
              <w:ind w:firstLine="0"/>
              <w:jc w:val="left"/>
              <w:rPr>
                <w:rFonts w:ascii="宋体" w:hAnsi="宋体" w:eastAsia="宋体" w:cs="宋体"/>
                <w:spacing w:val="14"/>
                <w:sz w:val="24"/>
                <w:szCs w:val="24"/>
                <w:highlight w:val="none"/>
              </w:rPr>
            </w:pPr>
            <w:r>
              <w:rPr>
                <w:rFonts w:hint="eastAsia" w:ascii="宋体" w:hAnsi="宋体" w:eastAsia="宋体" w:cs="宋体"/>
                <w:spacing w:val="14"/>
                <w:sz w:val="24"/>
                <w:szCs w:val="24"/>
                <w:highlight w:val="none"/>
              </w:rPr>
              <w:t>中标结果公布媒介及期限</w:t>
            </w:r>
          </w:p>
        </w:tc>
        <w:tc>
          <w:tcPr>
            <w:tcW w:w="6064" w:type="dxa"/>
            <w:vAlign w:val="center"/>
          </w:tcPr>
          <w:p>
            <w:pPr>
              <w:pStyle w:val="28"/>
              <w:spacing w:line="360" w:lineRule="auto"/>
              <w:ind w:firstLine="0"/>
              <w:jc w:val="left"/>
              <w:rPr>
                <w:rFonts w:ascii="宋体" w:hAnsi="宋体" w:eastAsia="宋体" w:cs="宋体"/>
                <w:spacing w:val="14"/>
                <w:sz w:val="24"/>
                <w:szCs w:val="24"/>
                <w:highlight w:val="none"/>
              </w:rPr>
            </w:pPr>
            <w:r>
              <w:rPr>
                <w:rFonts w:hint="eastAsia" w:ascii="宋体" w:hAnsi="宋体" w:eastAsia="宋体" w:cs="宋体"/>
                <w:spacing w:val="14"/>
                <w:sz w:val="24"/>
                <w:szCs w:val="24"/>
                <w:highlight w:val="none"/>
              </w:rPr>
              <w:t>公布媒介：《河南省政府采购网》、《中国招标投标公共服务平台》、《全国公共资源交易平台（河南省·洛阳市）》及《河南科技大学第二附属医院官网》。</w:t>
            </w:r>
          </w:p>
          <w:p>
            <w:pPr>
              <w:pStyle w:val="28"/>
              <w:spacing w:line="360" w:lineRule="auto"/>
              <w:ind w:firstLine="0"/>
              <w:jc w:val="left"/>
              <w:rPr>
                <w:rFonts w:ascii="宋体" w:hAnsi="宋体" w:eastAsia="宋体" w:cs="宋体"/>
                <w:spacing w:val="14"/>
                <w:sz w:val="24"/>
                <w:szCs w:val="24"/>
                <w:highlight w:val="none"/>
              </w:rPr>
            </w:pPr>
            <w:r>
              <w:rPr>
                <w:rFonts w:hint="eastAsia" w:ascii="宋体" w:hAnsi="宋体" w:eastAsia="宋体" w:cs="宋体"/>
                <w:spacing w:val="14"/>
                <w:sz w:val="24"/>
                <w:szCs w:val="24"/>
                <w:highlight w:val="none"/>
              </w:rPr>
              <w:t>公告期限：1个工作日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202" w:type="dxa"/>
            <w:vAlign w:val="center"/>
          </w:tcPr>
          <w:p>
            <w:pPr>
              <w:pStyle w:val="28"/>
              <w:spacing w:line="360" w:lineRule="auto"/>
              <w:ind w:firstLine="0"/>
              <w:jc w:val="center"/>
              <w:rPr>
                <w:rFonts w:ascii="宋体" w:hAnsi="宋体" w:eastAsia="宋体" w:cs="宋体"/>
                <w:spacing w:val="14"/>
                <w:sz w:val="24"/>
                <w:szCs w:val="24"/>
                <w:highlight w:val="none"/>
              </w:rPr>
            </w:pPr>
            <w:r>
              <w:rPr>
                <w:rFonts w:hint="eastAsia" w:ascii="宋体" w:hAnsi="宋体" w:eastAsia="宋体" w:cs="宋体"/>
                <w:spacing w:val="14"/>
                <w:sz w:val="24"/>
                <w:szCs w:val="24"/>
                <w:highlight w:val="none"/>
              </w:rPr>
              <w:t>7.4.1</w:t>
            </w:r>
          </w:p>
        </w:tc>
        <w:tc>
          <w:tcPr>
            <w:tcW w:w="1948" w:type="dxa"/>
            <w:vAlign w:val="center"/>
          </w:tcPr>
          <w:p>
            <w:pPr>
              <w:pStyle w:val="28"/>
              <w:spacing w:line="360" w:lineRule="auto"/>
              <w:ind w:firstLine="0"/>
              <w:jc w:val="left"/>
              <w:rPr>
                <w:rFonts w:ascii="宋体" w:hAnsi="宋体" w:eastAsia="宋体" w:cs="宋体"/>
                <w:spacing w:val="14"/>
                <w:sz w:val="24"/>
                <w:szCs w:val="24"/>
                <w:highlight w:val="none"/>
              </w:rPr>
            </w:pPr>
            <w:r>
              <w:rPr>
                <w:rFonts w:hint="eastAsia" w:ascii="宋体" w:hAnsi="宋体" w:eastAsia="宋体" w:cs="宋体"/>
                <w:spacing w:val="14"/>
                <w:sz w:val="24"/>
                <w:szCs w:val="24"/>
                <w:highlight w:val="none"/>
              </w:rPr>
              <w:t>履约保证金</w:t>
            </w:r>
          </w:p>
        </w:tc>
        <w:tc>
          <w:tcPr>
            <w:tcW w:w="6064" w:type="dxa"/>
            <w:vAlign w:val="center"/>
          </w:tcPr>
          <w:p>
            <w:pPr>
              <w:pStyle w:val="28"/>
              <w:spacing w:line="360" w:lineRule="auto"/>
              <w:ind w:firstLine="0"/>
              <w:jc w:val="left"/>
              <w:rPr>
                <w:rFonts w:ascii="宋体" w:hAnsi="宋体" w:eastAsia="宋体" w:cs="宋体"/>
                <w:spacing w:val="14"/>
                <w:sz w:val="24"/>
                <w:szCs w:val="24"/>
                <w:highlight w:val="none"/>
              </w:rPr>
            </w:pPr>
            <w:r>
              <w:rPr>
                <w:rFonts w:hint="eastAsia" w:ascii="宋体" w:hAnsi="宋体" w:eastAsia="宋体" w:cs="宋体"/>
                <w:spacing w:val="14"/>
                <w:sz w:val="24"/>
                <w:szCs w:val="24"/>
                <w:highlight w:val="none"/>
              </w:rPr>
              <w:t>本项目免收履约保证金。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202" w:type="dxa"/>
            <w:vAlign w:val="center"/>
          </w:tcPr>
          <w:p>
            <w:pPr>
              <w:pStyle w:val="28"/>
              <w:spacing w:line="360" w:lineRule="auto"/>
              <w:ind w:firstLine="0"/>
              <w:jc w:val="center"/>
              <w:rPr>
                <w:rFonts w:ascii="宋体" w:hAnsi="宋体" w:eastAsia="宋体" w:cs="宋体"/>
                <w:spacing w:val="14"/>
                <w:sz w:val="24"/>
                <w:szCs w:val="24"/>
                <w:highlight w:val="none"/>
              </w:rPr>
            </w:pPr>
            <w:r>
              <w:rPr>
                <w:rFonts w:hint="eastAsia" w:ascii="宋体" w:hAnsi="宋体" w:eastAsia="宋体" w:cs="宋体"/>
                <w:spacing w:val="14"/>
                <w:sz w:val="24"/>
                <w:szCs w:val="24"/>
                <w:highlight w:val="none"/>
              </w:rPr>
              <w:t>8.5.2</w:t>
            </w:r>
          </w:p>
        </w:tc>
        <w:tc>
          <w:tcPr>
            <w:tcW w:w="1948" w:type="dxa"/>
            <w:vAlign w:val="center"/>
          </w:tcPr>
          <w:p>
            <w:pPr>
              <w:pStyle w:val="28"/>
              <w:spacing w:line="360" w:lineRule="auto"/>
              <w:ind w:firstLine="0"/>
              <w:jc w:val="left"/>
              <w:rPr>
                <w:rFonts w:ascii="宋体" w:hAnsi="宋体" w:eastAsia="宋体" w:cs="宋体"/>
                <w:spacing w:val="14"/>
                <w:sz w:val="24"/>
                <w:szCs w:val="24"/>
                <w:highlight w:val="none"/>
              </w:rPr>
            </w:pPr>
            <w:r>
              <w:rPr>
                <w:rFonts w:hint="eastAsia" w:ascii="宋体" w:hAnsi="宋体" w:eastAsia="宋体" w:cs="宋体"/>
                <w:spacing w:val="14"/>
                <w:sz w:val="24"/>
                <w:szCs w:val="24"/>
                <w:highlight w:val="none"/>
              </w:rPr>
              <w:t>质疑函的递交方式</w:t>
            </w:r>
          </w:p>
        </w:tc>
        <w:tc>
          <w:tcPr>
            <w:tcW w:w="6064" w:type="dxa"/>
            <w:vAlign w:val="center"/>
          </w:tcPr>
          <w:p>
            <w:pPr>
              <w:pStyle w:val="33"/>
              <w:spacing w:line="360" w:lineRule="auto"/>
              <w:jc w:val="left"/>
              <w:rPr>
                <w:rFonts w:ascii="宋体" w:hAnsi="宋体" w:cs="宋体"/>
                <w:spacing w:val="14"/>
                <w:sz w:val="24"/>
                <w:szCs w:val="24"/>
                <w:highlight w:val="none"/>
              </w:rPr>
            </w:pPr>
            <w:r>
              <w:rPr>
                <w:rFonts w:hint="eastAsia" w:ascii="宋体" w:hAnsi="宋体" w:cs="宋体"/>
                <w:spacing w:val="14"/>
                <w:sz w:val="24"/>
                <w:szCs w:val="24"/>
                <w:highlight w:val="none"/>
              </w:rPr>
              <w:t>质疑函应当面递交；因情况特殊而邮寄的，交邮前应通知采购人、采购代理机构。接受质疑函的采购人、采购代理机构的联系部门、联系电话和通讯地址详见本项目招标公告和投标人须知前附表。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1202" w:type="dxa"/>
            <w:tcBorders>
              <w:top w:val="single" w:color="auto" w:sz="4" w:space="0"/>
              <w:left w:val="single" w:color="auto" w:sz="4" w:space="0"/>
              <w:bottom w:val="single" w:color="auto" w:sz="4" w:space="0"/>
              <w:right w:val="single" w:color="auto" w:sz="4" w:space="0"/>
            </w:tcBorders>
            <w:vAlign w:val="center"/>
          </w:tcPr>
          <w:p>
            <w:pPr>
              <w:pStyle w:val="28"/>
              <w:spacing w:line="360" w:lineRule="auto"/>
              <w:ind w:firstLine="0"/>
              <w:jc w:val="center"/>
              <w:rPr>
                <w:rFonts w:ascii="宋体" w:hAnsi="宋体" w:eastAsia="宋体" w:cs="宋体"/>
                <w:spacing w:val="14"/>
                <w:sz w:val="24"/>
                <w:szCs w:val="24"/>
                <w:highlight w:val="none"/>
              </w:rPr>
            </w:pPr>
            <w:r>
              <w:rPr>
                <w:rFonts w:hint="eastAsia" w:ascii="宋体" w:hAnsi="宋体" w:eastAsia="宋体" w:cs="宋体"/>
                <w:spacing w:val="14"/>
                <w:sz w:val="24"/>
                <w:szCs w:val="24"/>
                <w:highlight w:val="none"/>
              </w:rPr>
              <w:t>9</w:t>
            </w:r>
          </w:p>
        </w:tc>
        <w:tc>
          <w:tcPr>
            <w:tcW w:w="1948" w:type="dxa"/>
            <w:tcBorders>
              <w:top w:val="single" w:color="auto" w:sz="4" w:space="0"/>
              <w:left w:val="single" w:color="auto" w:sz="4" w:space="0"/>
              <w:bottom w:val="single" w:color="auto" w:sz="4" w:space="0"/>
              <w:right w:val="single" w:color="auto" w:sz="4" w:space="0"/>
            </w:tcBorders>
            <w:vAlign w:val="center"/>
          </w:tcPr>
          <w:p>
            <w:pPr>
              <w:pStyle w:val="28"/>
              <w:spacing w:line="360" w:lineRule="auto"/>
              <w:ind w:firstLine="0"/>
              <w:jc w:val="left"/>
              <w:rPr>
                <w:rFonts w:ascii="宋体" w:hAnsi="宋体" w:eastAsia="宋体" w:cs="宋体"/>
                <w:spacing w:val="14"/>
                <w:sz w:val="24"/>
                <w:szCs w:val="24"/>
                <w:highlight w:val="none"/>
              </w:rPr>
            </w:pPr>
            <w:r>
              <w:rPr>
                <w:rFonts w:hint="eastAsia" w:ascii="宋体" w:hAnsi="宋体" w:eastAsia="宋体" w:cs="宋体"/>
                <w:spacing w:val="14"/>
                <w:sz w:val="24"/>
                <w:szCs w:val="24"/>
                <w:highlight w:val="none"/>
              </w:rPr>
              <w:t>样品</w:t>
            </w:r>
          </w:p>
        </w:tc>
        <w:tc>
          <w:tcPr>
            <w:tcW w:w="6064" w:type="dxa"/>
            <w:tcBorders>
              <w:top w:val="single" w:color="auto" w:sz="4" w:space="0"/>
              <w:left w:val="single" w:color="auto" w:sz="4" w:space="0"/>
              <w:bottom w:val="single" w:color="auto" w:sz="4" w:space="0"/>
              <w:right w:val="single" w:color="auto" w:sz="4" w:space="0"/>
            </w:tcBorders>
            <w:vAlign w:val="center"/>
          </w:tcPr>
          <w:p>
            <w:pPr>
              <w:pStyle w:val="28"/>
              <w:spacing w:line="360" w:lineRule="auto"/>
              <w:ind w:firstLine="0"/>
              <w:jc w:val="left"/>
              <w:rPr>
                <w:rFonts w:ascii="宋体" w:hAnsi="宋体" w:eastAsia="宋体" w:cs="宋体"/>
                <w:spacing w:val="14"/>
                <w:sz w:val="24"/>
                <w:szCs w:val="24"/>
                <w:highlight w:val="none"/>
              </w:rPr>
            </w:pPr>
            <w:r>
              <w:rPr>
                <w:rFonts w:hint="eastAsia" w:ascii="宋体" w:hAnsi="宋体" w:eastAsia="宋体" w:cs="宋体"/>
                <w:spacing w:val="14"/>
                <w:sz w:val="24"/>
                <w:szCs w:val="24"/>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1202" w:type="dxa"/>
            <w:tcBorders>
              <w:top w:val="single" w:color="auto" w:sz="4" w:space="0"/>
              <w:left w:val="single" w:color="auto" w:sz="4" w:space="0"/>
              <w:bottom w:val="single" w:color="auto" w:sz="4" w:space="0"/>
              <w:right w:val="single" w:color="auto" w:sz="4" w:space="0"/>
            </w:tcBorders>
            <w:vAlign w:val="center"/>
          </w:tcPr>
          <w:p>
            <w:pPr>
              <w:pStyle w:val="28"/>
              <w:spacing w:line="360" w:lineRule="auto"/>
              <w:ind w:firstLine="0"/>
              <w:jc w:val="center"/>
              <w:rPr>
                <w:rFonts w:ascii="宋体" w:hAnsi="宋体" w:eastAsia="宋体" w:cs="宋体"/>
                <w:spacing w:val="14"/>
                <w:sz w:val="24"/>
                <w:szCs w:val="24"/>
                <w:highlight w:val="none"/>
              </w:rPr>
            </w:pPr>
            <w:r>
              <w:rPr>
                <w:rFonts w:hint="eastAsia" w:ascii="宋体" w:hAnsi="宋体" w:eastAsia="宋体" w:cs="宋体"/>
                <w:spacing w:val="14"/>
                <w:sz w:val="24"/>
                <w:szCs w:val="24"/>
                <w:highlight w:val="none"/>
              </w:rPr>
              <w:t>10</w:t>
            </w:r>
          </w:p>
        </w:tc>
        <w:tc>
          <w:tcPr>
            <w:tcW w:w="1948" w:type="dxa"/>
            <w:tcBorders>
              <w:top w:val="single" w:color="auto" w:sz="4" w:space="0"/>
              <w:left w:val="single" w:color="auto" w:sz="4" w:space="0"/>
              <w:bottom w:val="single" w:color="auto" w:sz="4" w:space="0"/>
              <w:right w:val="single" w:color="auto" w:sz="4" w:space="0"/>
            </w:tcBorders>
            <w:vAlign w:val="center"/>
          </w:tcPr>
          <w:p>
            <w:pPr>
              <w:pStyle w:val="28"/>
              <w:spacing w:line="360" w:lineRule="auto"/>
              <w:ind w:firstLine="0"/>
              <w:jc w:val="left"/>
              <w:rPr>
                <w:rFonts w:ascii="宋体" w:hAnsi="宋体" w:eastAsia="宋体" w:cs="宋体"/>
                <w:spacing w:val="14"/>
                <w:sz w:val="24"/>
                <w:szCs w:val="24"/>
                <w:highlight w:val="none"/>
              </w:rPr>
            </w:pPr>
            <w:r>
              <w:rPr>
                <w:rFonts w:hint="eastAsia" w:ascii="宋体" w:hAnsi="宋体" w:eastAsia="宋体" w:cs="宋体"/>
                <w:spacing w:val="14"/>
                <w:sz w:val="24"/>
                <w:szCs w:val="24"/>
                <w:highlight w:val="none"/>
              </w:rPr>
              <w:t>相同品牌产品投标的处理</w:t>
            </w:r>
          </w:p>
        </w:tc>
        <w:tc>
          <w:tcPr>
            <w:tcW w:w="6064" w:type="dxa"/>
            <w:tcBorders>
              <w:top w:val="single" w:color="auto" w:sz="4" w:space="0"/>
              <w:left w:val="single" w:color="auto" w:sz="4" w:space="0"/>
              <w:bottom w:val="single" w:color="auto" w:sz="4" w:space="0"/>
              <w:right w:val="single" w:color="auto" w:sz="4" w:space="0"/>
            </w:tcBorders>
            <w:vAlign w:val="center"/>
          </w:tcPr>
          <w:p>
            <w:pPr>
              <w:pStyle w:val="28"/>
              <w:spacing w:line="360" w:lineRule="auto"/>
              <w:ind w:firstLine="0"/>
              <w:jc w:val="left"/>
              <w:rPr>
                <w:rFonts w:ascii="宋体" w:hAnsi="宋体" w:eastAsia="宋体" w:cs="宋体"/>
                <w:spacing w:val="14"/>
                <w:sz w:val="24"/>
                <w:szCs w:val="24"/>
                <w:highlight w:val="none"/>
              </w:rPr>
            </w:pPr>
            <w:r>
              <w:rPr>
                <w:rFonts w:hint="eastAsia" w:ascii="宋体" w:hAnsi="宋体" w:eastAsia="宋体" w:cs="宋体"/>
                <w:spacing w:val="14"/>
                <w:sz w:val="24"/>
                <w:szCs w:val="24"/>
                <w:highlight w:val="none"/>
              </w:rPr>
              <w:t>同一项目中，提供相同品牌产品且通过资格审查、符合性审查的不同投标人参加同一标段投标的，按一家投标人计算，评审后得分最高的同品牌投标人获得中标人推荐资格；评审得分相同的，投标报价最低的投标人获得中标人推荐资格，投标报价也相同的，由评标委员会投票决定。非单一产品采购项目中，多家投标人提供的核心产品品牌相同的，视为提供相同品牌产品。</w:t>
            </w:r>
          </w:p>
          <w:p>
            <w:pPr>
              <w:pStyle w:val="28"/>
              <w:spacing w:line="360" w:lineRule="auto"/>
              <w:ind w:firstLine="0"/>
              <w:jc w:val="left"/>
              <w:rPr>
                <w:rFonts w:ascii="宋体" w:hAnsi="宋体" w:eastAsia="宋体" w:cs="宋体"/>
                <w:sz w:val="24"/>
                <w:szCs w:val="24"/>
                <w:highlight w:val="none"/>
              </w:rPr>
            </w:pPr>
            <w:r>
              <w:rPr>
                <w:rFonts w:hint="eastAsia" w:ascii="宋体" w:hAnsi="宋体" w:eastAsia="宋体" w:cs="宋体"/>
                <w:b/>
                <w:bCs/>
                <w:spacing w:val="14"/>
                <w:sz w:val="24"/>
                <w:szCs w:val="24"/>
                <w:highlight w:val="none"/>
              </w:rPr>
              <w:t>本次招标项目的核心产品为：血管内超声(IVUS)设备。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02" w:type="dxa"/>
            <w:tcBorders>
              <w:top w:val="single" w:color="auto" w:sz="4" w:space="0"/>
              <w:left w:val="single" w:color="auto" w:sz="4" w:space="0"/>
              <w:bottom w:val="single" w:color="auto" w:sz="4" w:space="0"/>
              <w:right w:val="single" w:color="auto" w:sz="4" w:space="0"/>
            </w:tcBorders>
            <w:vAlign w:val="center"/>
          </w:tcPr>
          <w:p>
            <w:pPr>
              <w:pStyle w:val="28"/>
              <w:spacing w:line="360" w:lineRule="auto"/>
              <w:ind w:firstLine="0"/>
              <w:jc w:val="center"/>
              <w:rPr>
                <w:rFonts w:ascii="宋体" w:hAnsi="宋体" w:eastAsia="宋体" w:cs="宋体"/>
                <w:spacing w:val="14"/>
                <w:sz w:val="24"/>
                <w:szCs w:val="24"/>
                <w:highlight w:val="none"/>
              </w:rPr>
            </w:pPr>
            <w:r>
              <w:rPr>
                <w:rFonts w:hint="eastAsia" w:ascii="宋体" w:hAnsi="宋体" w:eastAsia="宋体" w:cs="宋体"/>
                <w:spacing w:val="14"/>
                <w:sz w:val="24"/>
                <w:szCs w:val="24"/>
                <w:highlight w:val="none"/>
              </w:rPr>
              <w:t>11</w:t>
            </w:r>
          </w:p>
        </w:tc>
        <w:tc>
          <w:tcPr>
            <w:tcW w:w="1948" w:type="dxa"/>
            <w:tcBorders>
              <w:top w:val="single" w:color="auto" w:sz="4" w:space="0"/>
              <w:left w:val="single" w:color="auto" w:sz="4" w:space="0"/>
              <w:bottom w:val="single" w:color="auto" w:sz="4" w:space="0"/>
              <w:right w:val="single" w:color="auto" w:sz="4" w:space="0"/>
            </w:tcBorders>
            <w:vAlign w:val="center"/>
          </w:tcPr>
          <w:p>
            <w:pPr>
              <w:pStyle w:val="28"/>
              <w:spacing w:line="360" w:lineRule="auto"/>
              <w:ind w:firstLine="0"/>
              <w:jc w:val="left"/>
              <w:rPr>
                <w:rFonts w:ascii="宋体" w:hAnsi="宋体" w:eastAsia="宋体" w:cs="宋体"/>
                <w:spacing w:val="14"/>
                <w:sz w:val="24"/>
                <w:szCs w:val="24"/>
                <w:highlight w:val="none"/>
              </w:rPr>
            </w:pPr>
            <w:r>
              <w:rPr>
                <w:rFonts w:hint="eastAsia" w:ascii="宋体" w:hAnsi="宋体" w:eastAsia="宋体" w:cs="宋体"/>
                <w:spacing w:val="14"/>
                <w:sz w:val="24"/>
                <w:szCs w:val="24"/>
                <w:highlight w:val="none"/>
              </w:rPr>
              <w:t>需要补充的其他内容</w:t>
            </w:r>
          </w:p>
        </w:tc>
        <w:tc>
          <w:tcPr>
            <w:tcW w:w="6064" w:type="dxa"/>
            <w:tcBorders>
              <w:top w:val="single" w:color="auto" w:sz="4" w:space="0"/>
              <w:left w:val="single" w:color="auto" w:sz="4" w:space="0"/>
              <w:bottom w:val="single" w:color="auto" w:sz="4" w:space="0"/>
              <w:right w:val="single" w:color="auto" w:sz="4" w:space="0"/>
            </w:tcBorders>
            <w:vAlign w:val="center"/>
          </w:tcPr>
          <w:p>
            <w:pPr>
              <w:pStyle w:val="44"/>
              <w:spacing w:before="0" w:beforeAutospacing="0" w:after="0" w:afterAutospacing="0" w:line="360" w:lineRule="auto"/>
              <w:ind w:firstLine="0" w:firstLineChars="0"/>
              <w:jc w:val="both"/>
              <w:rPr>
                <w:rFonts w:cs="宋体"/>
                <w:sz w:val="24"/>
                <w:szCs w:val="24"/>
                <w:highlight w:val="none"/>
                <w:shd w:val="clear" w:color="auto" w:fill="FFFFFF"/>
              </w:rPr>
            </w:pPr>
            <w:r>
              <w:rPr>
                <w:rFonts w:hint="eastAsia" w:cs="宋体"/>
                <w:sz w:val="24"/>
                <w:szCs w:val="24"/>
                <w:highlight w:val="none"/>
                <w:shd w:val="clear" w:color="auto" w:fill="FFFFFF"/>
              </w:rPr>
              <w:t>1、监管部门及其联系方式：洛阳市财政局</w:t>
            </w:r>
          </w:p>
          <w:p>
            <w:pPr>
              <w:pStyle w:val="44"/>
              <w:spacing w:before="0" w:beforeAutospacing="0" w:after="0" w:afterAutospacing="0" w:line="360" w:lineRule="auto"/>
              <w:ind w:firstLine="0" w:firstLineChars="0"/>
              <w:jc w:val="both"/>
              <w:rPr>
                <w:rFonts w:cs="宋体"/>
                <w:sz w:val="24"/>
                <w:szCs w:val="24"/>
                <w:highlight w:val="none"/>
                <w:shd w:val="clear" w:color="auto" w:fill="FFFFFF"/>
              </w:rPr>
            </w:pPr>
            <w:r>
              <w:rPr>
                <w:rFonts w:hint="eastAsia" w:cs="宋体"/>
                <w:sz w:val="24"/>
                <w:szCs w:val="24"/>
                <w:highlight w:val="none"/>
                <w:shd w:val="clear" w:color="auto" w:fill="FFFFFF"/>
              </w:rPr>
              <w:t xml:space="preserve">联系人：洛阳市政府采购监督管理科 </w:t>
            </w:r>
          </w:p>
          <w:p>
            <w:pPr>
              <w:pStyle w:val="44"/>
              <w:spacing w:before="0" w:beforeAutospacing="0" w:after="0" w:afterAutospacing="0" w:line="360" w:lineRule="auto"/>
              <w:ind w:firstLine="0" w:firstLineChars="0"/>
              <w:jc w:val="both"/>
              <w:rPr>
                <w:rFonts w:cs="宋体"/>
                <w:spacing w:val="14"/>
                <w:sz w:val="24"/>
                <w:szCs w:val="24"/>
                <w:highlight w:val="none"/>
              </w:rPr>
            </w:pPr>
            <w:r>
              <w:rPr>
                <w:rFonts w:hint="eastAsia" w:cs="宋体"/>
                <w:sz w:val="24"/>
                <w:szCs w:val="24"/>
                <w:highlight w:val="none"/>
                <w:shd w:val="clear" w:color="auto" w:fill="FFFFFF"/>
              </w:rPr>
              <w:t>联系方式：0379-63221264</w:t>
            </w:r>
          </w:p>
          <w:p>
            <w:pPr>
              <w:pStyle w:val="28"/>
              <w:spacing w:line="360" w:lineRule="auto"/>
              <w:ind w:firstLine="0"/>
              <w:jc w:val="left"/>
              <w:rPr>
                <w:rFonts w:ascii="宋体" w:hAnsi="宋体" w:eastAsia="宋体" w:cs="宋体"/>
                <w:spacing w:val="14"/>
                <w:sz w:val="24"/>
                <w:szCs w:val="24"/>
                <w:highlight w:val="none"/>
              </w:rPr>
            </w:pPr>
            <w:r>
              <w:rPr>
                <w:rFonts w:hint="eastAsia" w:ascii="宋体" w:hAnsi="宋体" w:eastAsia="宋体" w:cs="宋体"/>
                <w:spacing w:val="14"/>
                <w:sz w:val="24"/>
                <w:szCs w:val="24"/>
                <w:highlight w:val="none"/>
              </w:rPr>
              <w:t>2、踏勘现场：不组织，投标人在得到招标文件后根据需要自主决定是否到本项目所在地察看现场（不集中看现场）,以获取有关编制投标文件所需的各种资料，如场地现状、周边环境等因素，按现</w:t>
            </w:r>
          </w:p>
          <w:p>
            <w:pPr>
              <w:pStyle w:val="28"/>
              <w:spacing w:line="360" w:lineRule="auto"/>
              <w:ind w:firstLine="0"/>
              <w:jc w:val="left"/>
              <w:rPr>
                <w:rFonts w:ascii="宋体" w:hAnsi="宋体" w:eastAsia="宋体" w:cs="宋体"/>
                <w:spacing w:val="14"/>
                <w:sz w:val="24"/>
                <w:szCs w:val="24"/>
                <w:highlight w:val="none"/>
              </w:rPr>
            </w:pPr>
            <w:r>
              <w:rPr>
                <w:rFonts w:hint="eastAsia" w:ascii="宋体" w:hAnsi="宋体" w:eastAsia="宋体" w:cs="宋体"/>
                <w:spacing w:val="14"/>
                <w:sz w:val="24"/>
                <w:szCs w:val="24"/>
                <w:highlight w:val="none"/>
              </w:rPr>
              <w:t>场实际情况结合投标单位自身经验，将此费用考虑到投标报价中，一经中标，不得以不完全了解现场情况为借口，而提出延长合同履行期限和提高预算等要求。投标人应承担现场踏勘的责任、失误和风险，踏勘现场的费用由投标人承担。</w:t>
            </w:r>
          </w:p>
          <w:p>
            <w:pPr>
              <w:pStyle w:val="28"/>
              <w:spacing w:line="360" w:lineRule="auto"/>
              <w:ind w:firstLine="0"/>
              <w:jc w:val="left"/>
              <w:rPr>
                <w:rFonts w:ascii="宋体" w:hAnsi="宋体" w:eastAsia="宋体" w:cs="宋体"/>
                <w:spacing w:val="14"/>
                <w:sz w:val="24"/>
                <w:szCs w:val="24"/>
                <w:highlight w:val="none"/>
              </w:rPr>
            </w:pPr>
            <w:r>
              <w:rPr>
                <w:rFonts w:hint="eastAsia" w:ascii="宋体" w:hAnsi="宋体" w:eastAsia="宋体" w:cs="宋体"/>
                <w:spacing w:val="14"/>
                <w:sz w:val="24"/>
                <w:szCs w:val="24"/>
                <w:highlight w:val="none"/>
              </w:rPr>
              <w:t>3、本次采购代理服务费招标代理费依据《招标代理服务收费管理暂行办法》（计价格【2002】1980号、发改价格【2011】534号）文件标准下浮50%收取，由中标人向代理机构足额支付代理服务费。</w:t>
            </w:r>
          </w:p>
          <w:p>
            <w:pPr>
              <w:pStyle w:val="28"/>
              <w:spacing w:line="360" w:lineRule="auto"/>
              <w:ind w:firstLine="0"/>
              <w:jc w:val="left"/>
              <w:rPr>
                <w:rFonts w:ascii="宋体" w:hAnsi="宋体" w:eastAsia="宋体" w:cs="宋体"/>
                <w:sz w:val="24"/>
                <w:szCs w:val="24"/>
                <w:highlight w:val="none"/>
              </w:rPr>
            </w:pPr>
            <w:r>
              <w:rPr>
                <w:rFonts w:hint="eastAsia" w:ascii="宋体" w:hAnsi="宋体" w:eastAsia="宋体" w:cs="宋体"/>
                <w:spacing w:val="14"/>
                <w:sz w:val="24"/>
                <w:szCs w:val="24"/>
                <w:highlight w:val="none"/>
              </w:rPr>
              <w:t>4、重新确定中标供应商：按照投标人须知第7.1.2 条规定的情形确定的中标候选人出现下述情况：排名第一的中标候选人放弃中标或者因不可抗力不能履行合同或者被查实存在影响中标结果的违法行为等情形，采购人可以按照评标委员会提出的中标候选人名单排序依次确定其他中标候选人为中标供应商，也可以重新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02" w:type="dxa"/>
            <w:tcBorders>
              <w:top w:val="single" w:color="auto" w:sz="4" w:space="0"/>
              <w:left w:val="single" w:color="auto" w:sz="4" w:space="0"/>
              <w:right w:val="single" w:color="auto" w:sz="4" w:space="0"/>
            </w:tcBorders>
            <w:vAlign w:val="center"/>
          </w:tcPr>
          <w:p>
            <w:pPr>
              <w:pStyle w:val="28"/>
              <w:spacing w:line="360" w:lineRule="auto"/>
              <w:ind w:firstLine="0"/>
              <w:jc w:val="center"/>
              <w:rPr>
                <w:rFonts w:ascii="宋体" w:hAnsi="宋体" w:eastAsia="宋体" w:cs="宋体"/>
                <w:spacing w:val="14"/>
                <w:sz w:val="24"/>
                <w:szCs w:val="24"/>
                <w:highlight w:val="none"/>
              </w:rPr>
            </w:pPr>
            <w:r>
              <w:rPr>
                <w:rFonts w:hint="eastAsia" w:ascii="宋体" w:hAnsi="宋体" w:eastAsia="宋体" w:cs="宋体"/>
                <w:spacing w:val="14"/>
                <w:sz w:val="24"/>
                <w:szCs w:val="24"/>
                <w:highlight w:val="none"/>
              </w:rPr>
              <w:t>12</w:t>
            </w:r>
          </w:p>
        </w:tc>
        <w:tc>
          <w:tcPr>
            <w:tcW w:w="1948" w:type="dxa"/>
            <w:tcBorders>
              <w:top w:val="single" w:color="auto" w:sz="4" w:space="0"/>
              <w:left w:val="single" w:color="auto" w:sz="4" w:space="0"/>
              <w:right w:val="single" w:color="auto" w:sz="4" w:space="0"/>
            </w:tcBorders>
            <w:vAlign w:val="center"/>
          </w:tcPr>
          <w:p>
            <w:pPr>
              <w:pStyle w:val="28"/>
              <w:spacing w:line="360" w:lineRule="auto"/>
              <w:ind w:firstLine="0"/>
              <w:jc w:val="center"/>
              <w:rPr>
                <w:rFonts w:ascii="宋体" w:hAnsi="宋体" w:eastAsia="宋体" w:cs="宋体"/>
                <w:spacing w:val="14"/>
                <w:sz w:val="24"/>
                <w:szCs w:val="24"/>
                <w:highlight w:val="none"/>
              </w:rPr>
            </w:pPr>
            <w:r>
              <w:rPr>
                <w:rFonts w:hint="eastAsia" w:ascii="宋体" w:hAnsi="宋体" w:eastAsia="宋体" w:cs="宋体"/>
                <w:spacing w:val="14"/>
                <w:sz w:val="24"/>
                <w:szCs w:val="24"/>
                <w:highlight w:val="none"/>
              </w:rPr>
              <w:t>解释权</w:t>
            </w:r>
          </w:p>
        </w:tc>
        <w:tc>
          <w:tcPr>
            <w:tcW w:w="6064" w:type="dxa"/>
            <w:tcBorders>
              <w:top w:val="single" w:color="auto" w:sz="4" w:space="0"/>
              <w:left w:val="single" w:color="auto" w:sz="4" w:space="0"/>
              <w:bottom w:val="single" w:color="auto" w:sz="4" w:space="0"/>
              <w:right w:val="single" w:color="auto" w:sz="4" w:space="0"/>
            </w:tcBorders>
            <w:vAlign w:val="center"/>
          </w:tcPr>
          <w:p>
            <w:pPr>
              <w:pStyle w:val="28"/>
              <w:spacing w:line="360" w:lineRule="auto"/>
              <w:ind w:firstLine="0"/>
              <w:jc w:val="left"/>
              <w:rPr>
                <w:rFonts w:ascii="宋体" w:hAnsi="宋体" w:eastAsia="宋体" w:cs="宋体"/>
                <w:spacing w:val="14"/>
                <w:sz w:val="24"/>
                <w:szCs w:val="24"/>
                <w:highlight w:val="none"/>
              </w:rPr>
            </w:pPr>
            <w:r>
              <w:rPr>
                <w:rFonts w:hint="eastAsia" w:ascii="宋体" w:hAnsi="宋体" w:eastAsia="宋体" w:cs="宋体"/>
                <w:spacing w:val="14"/>
                <w:sz w:val="24"/>
                <w:szCs w:val="24"/>
                <w:highlight w:val="none"/>
              </w:rPr>
              <w:t>构成本招标文件的各个组成文件应互为解释，互为说明；如有不明确或不一致，构成合同文件组成内容的，以合同文件约定内容为准，且以专用合同条款约定的合同文件优先顺序解释；除招标文件中有特别规定外，仅适用于招标投标阶段的规定，按招标公告（投标邀请书）、投标人须知、评标办法、投标文件格式的先后顺序解释；同一组成文件中就同一事项的规定或约定不一致的，以编排顺序在后者为准；同一组成文件不同版本之间有不一致的，以形成时间在后者为准。按本款前述规定仍不能形成结论的，由采购人负责解释。</w:t>
            </w:r>
          </w:p>
        </w:tc>
      </w:tr>
    </w:tbl>
    <w:p>
      <w:pPr>
        <w:pStyle w:val="28"/>
        <w:spacing w:line="360" w:lineRule="auto"/>
        <w:ind w:firstLine="0"/>
        <w:rPr>
          <w:rFonts w:ascii="宋体" w:hAnsi="宋体" w:eastAsia="宋体" w:cs="宋体"/>
          <w:bCs/>
          <w:spacing w:val="14"/>
          <w:sz w:val="24"/>
          <w:szCs w:val="24"/>
          <w:highlight w:val="none"/>
        </w:rPr>
      </w:pPr>
    </w:p>
    <w:p>
      <w:pPr>
        <w:pStyle w:val="46"/>
        <w:spacing w:before="0" w:after="0" w:line="360" w:lineRule="auto"/>
        <w:outlineLvl w:val="9"/>
        <w:rPr>
          <w:rFonts w:ascii="宋体" w:hAnsi="宋体" w:cs="宋体"/>
          <w:sz w:val="24"/>
          <w:szCs w:val="24"/>
          <w:highlight w:val="none"/>
        </w:rPr>
      </w:pPr>
      <w:bookmarkStart w:id="14" w:name="_Toc1660783"/>
      <w:bookmarkStart w:id="15" w:name="_Toc23083"/>
      <w:bookmarkStart w:id="16" w:name="_Toc256000006"/>
      <w:r>
        <w:rPr>
          <w:rFonts w:hint="eastAsia" w:ascii="宋体" w:hAnsi="宋体" w:cs="宋体"/>
          <w:sz w:val="24"/>
          <w:szCs w:val="24"/>
          <w:highlight w:val="none"/>
        </w:rPr>
        <w:t>1、总则</w:t>
      </w:r>
      <w:bookmarkEnd w:id="14"/>
      <w:bookmarkEnd w:id="15"/>
      <w:bookmarkEnd w:id="16"/>
    </w:p>
    <w:p>
      <w:pPr>
        <w:pStyle w:val="47"/>
        <w:spacing w:before="0" w:after="0" w:line="360" w:lineRule="auto"/>
        <w:outlineLvl w:val="9"/>
        <w:rPr>
          <w:rFonts w:ascii="宋体" w:hAnsi="宋体" w:eastAsia="宋体" w:cs="宋体"/>
          <w:spacing w:val="14"/>
          <w:sz w:val="24"/>
          <w:szCs w:val="24"/>
          <w:highlight w:val="none"/>
        </w:rPr>
      </w:pPr>
      <w:bookmarkStart w:id="17" w:name="_Toc1660784"/>
      <w:bookmarkStart w:id="18" w:name="_Toc17965"/>
      <w:r>
        <w:rPr>
          <w:rFonts w:hint="eastAsia" w:ascii="宋体" w:hAnsi="宋体" w:eastAsia="宋体" w:cs="宋体"/>
          <w:spacing w:val="14"/>
          <w:sz w:val="24"/>
          <w:szCs w:val="24"/>
          <w:highlight w:val="none"/>
        </w:rPr>
        <w:t>1.1招标项目概况</w:t>
      </w:r>
      <w:bookmarkEnd w:id="17"/>
      <w:bookmarkEnd w:id="18"/>
    </w:p>
    <w:p>
      <w:pPr>
        <w:pStyle w:val="28"/>
        <w:spacing w:line="360" w:lineRule="auto"/>
        <w:rPr>
          <w:rFonts w:ascii="宋体" w:hAnsi="宋体" w:eastAsia="宋体" w:cs="宋体"/>
          <w:spacing w:val="14"/>
          <w:sz w:val="24"/>
          <w:szCs w:val="24"/>
          <w:highlight w:val="none"/>
        </w:rPr>
      </w:pPr>
      <w:r>
        <w:rPr>
          <w:rFonts w:hint="eastAsia" w:ascii="宋体" w:hAnsi="宋体" w:eastAsia="宋体" w:cs="宋体"/>
          <w:spacing w:val="14"/>
          <w:sz w:val="24"/>
          <w:szCs w:val="24"/>
          <w:highlight w:val="none"/>
        </w:rPr>
        <w:t>1.1.1根据《中华人民共和国政府采购法》、《中华人民共和国政府采购法实施条例》等有关法律、法规和规章的规定，本招标项目已具备招标条件，现进行招标。</w:t>
      </w:r>
    </w:p>
    <w:p>
      <w:pPr>
        <w:pStyle w:val="28"/>
        <w:spacing w:line="360" w:lineRule="auto"/>
        <w:rPr>
          <w:rFonts w:ascii="宋体" w:hAnsi="宋体" w:eastAsia="宋体" w:cs="宋体"/>
          <w:spacing w:val="14"/>
          <w:sz w:val="24"/>
          <w:szCs w:val="24"/>
          <w:highlight w:val="none"/>
        </w:rPr>
      </w:pPr>
      <w:r>
        <w:rPr>
          <w:rFonts w:hint="eastAsia" w:ascii="宋体" w:hAnsi="宋体" w:eastAsia="宋体" w:cs="宋体"/>
          <w:spacing w:val="14"/>
          <w:sz w:val="24"/>
          <w:szCs w:val="24"/>
          <w:highlight w:val="none"/>
        </w:rPr>
        <w:t>1.1.2采购人：见投标人须知前附表。</w:t>
      </w:r>
    </w:p>
    <w:p>
      <w:pPr>
        <w:pStyle w:val="28"/>
        <w:spacing w:line="360" w:lineRule="auto"/>
        <w:rPr>
          <w:rFonts w:ascii="宋体" w:hAnsi="宋体" w:eastAsia="宋体" w:cs="宋体"/>
          <w:spacing w:val="14"/>
          <w:sz w:val="24"/>
          <w:szCs w:val="24"/>
          <w:highlight w:val="none"/>
        </w:rPr>
      </w:pPr>
      <w:r>
        <w:rPr>
          <w:rFonts w:hint="eastAsia" w:ascii="宋体" w:hAnsi="宋体" w:eastAsia="宋体" w:cs="宋体"/>
          <w:spacing w:val="14"/>
          <w:sz w:val="24"/>
          <w:szCs w:val="24"/>
          <w:highlight w:val="none"/>
        </w:rPr>
        <w:t>1.1.3 采购代理机构：见投标人须知前附表。</w:t>
      </w:r>
    </w:p>
    <w:p>
      <w:pPr>
        <w:pStyle w:val="28"/>
        <w:spacing w:line="360" w:lineRule="auto"/>
        <w:rPr>
          <w:rFonts w:ascii="宋体" w:hAnsi="宋体" w:eastAsia="宋体" w:cs="宋体"/>
          <w:spacing w:val="14"/>
          <w:sz w:val="24"/>
          <w:szCs w:val="24"/>
          <w:highlight w:val="none"/>
        </w:rPr>
      </w:pPr>
      <w:r>
        <w:rPr>
          <w:rFonts w:hint="eastAsia" w:ascii="宋体" w:hAnsi="宋体" w:eastAsia="宋体" w:cs="宋体"/>
          <w:spacing w:val="14"/>
          <w:sz w:val="24"/>
          <w:szCs w:val="24"/>
          <w:highlight w:val="none"/>
        </w:rPr>
        <w:t>1.1.4 招标项目名称：见投标人须知前附表。</w:t>
      </w:r>
    </w:p>
    <w:p>
      <w:pPr>
        <w:pStyle w:val="28"/>
        <w:spacing w:line="360" w:lineRule="auto"/>
        <w:rPr>
          <w:rFonts w:ascii="宋体" w:hAnsi="宋体" w:eastAsia="宋体" w:cs="宋体"/>
          <w:spacing w:val="14"/>
          <w:sz w:val="24"/>
          <w:szCs w:val="24"/>
          <w:highlight w:val="none"/>
        </w:rPr>
      </w:pPr>
      <w:r>
        <w:rPr>
          <w:rFonts w:hint="eastAsia" w:ascii="宋体" w:hAnsi="宋体" w:eastAsia="宋体" w:cs="宋体"/>
          <w:spacing w:val="14"/>
          <w:sz w:val="24"/>
          <w:szCs w:val="24"/>
          <w:highlight w:val="none"/>
        </w:rPr>
        <w:t>1.1.5落实政府采购政策要求: 见投标人须知前附表。</w:t>
      </w:r>
    </w:p>
    <w:p>
      <w:pPr>
        <w:pStyle w:val="28"/>
        <w:spacing w:line="360" w:lineRule="auto"/>
        <w:rPr>
          <w:rFonts w:ascii="宋体" w:hAnsi="宋体" w:eastAsia="宋体" w:cs="宋体"/>
          <w:spacing w:val="14"/>
          <w:sz w:val="24"/>
          <w:szCs w:val="24"/>
          <w:highlight w:val="none"/>
        </w:rPr>
      </w:pPr>
      <w:r>
        <w:rPr>
          <w:rFonts w:hint="eastAsia" w:ascii="宋体" w:hAnsi="宋体" w:eastAsia="宋体" w:cs="宋体"/>
          <w:spacing w:val="14"/>
          <w:sz w:val="24"/>
          <w:szCs w:val="24"/>
          <w:highlight w:val="none"/>
        </w:rPr>
        <w:t>（1）本项目强制或优先采购节能产品、优先采购环境标志产品，具体品目名称见投标人须知前附表。</w:t>
      </w:r>
    </w:p>
    <w:p>
      <w:pPr>
        <w:pStyle w:val="28"/>
        <w:spacing w:line="360" w:lineRule="auto"/>
        <w:rPr>
          <w:rFonts w:ascii="宋体" w:hAnsi="宋体" w:eastAsia="宋体" w:cs="宋体"/>
          <w:spacing w:val="14"/>
          <w:sz w:val="24"/>
          <w:szCs w:val="24"/>
          <w:highlight w:val="none"/>
        </w:rPr>
      </w:pPr>
      <w:r>
        <w:rPr>
          <w:rFonts w:hint="eastAsia" w:ascii="宋体" w:hAnsi="宋体" w:eastAsia="宋体" w:cs="宋体"/>
          <w:spacing w:val="14"/>
          <w:sz w:val="24"/>
          <w:szCs w:val="24"/>
          <w:highlight w:val="none"/>
        </w:rPr>
        <w:t>①强制或优先采购节能产品应具有《中国节能产品认证证书》（认证证书未载明规格型号的，须同时提供 认证证书配套附件），认证证书应在有效期内，且认证机构在《市场监管总局关于发布参与实施政府采购节能产品、环境标志产品认证机构名录的公告》目录内，否则不予确认。</w:t>
      </w:r>
    </w:p>
    <w:p>
      <w:pPr>
        <w:pStyle w:val="28"/>
        <w:spacing w:line="360" w:lineRule="auto"/>
        <w:rPr>
          <w:rFonts w:ascii="宋体" w:hAnsi="宋体" w:eastAsia="宋体" w:cs="宋体"/>
          <w:spacing w:val="14"/>
          <w:sz w:val="24"/>
          <w:szCs w:val="24"/>
          <w:highlight w:val="none"/>
        </w:rPr>
      </w:pPr>
      <w:r>
        <w:rPr>
          <w:rFonts w:hint="eastAsia" w:ascii="宋体" w:hAnsi="宋体" w:eastAsia="宋体" w:cs="宋体"/>
          <w:spacing w:val="14"/>
          <w:sz w:val="24"/>
          <w:szCs w:val="24"/>
          <w:highlight w:val="none"/>
        </w:rPr>
        <w:t>②优先采购环境标志产品应具有《中国环境标志产品认证证书》（认证证书未载明规格型号的，须同时提 供认证证书配套附件），认证证书应在有效期内，且认证机构在《市场监管总局关于发布参与实施政府采购节能产品、环境标志产品认证机构名录的公告》目录内，否则不予确认、不加分。</w:t>
      </w:r>
    </w:p>
    <w:p>
      <w:pPr>
        <w:pStyle w:val="48"/>
        <w:spacing w:line="360" w:lineRule="auto"/>
        <w:rPr>
          <w:rFonts w:ascii="宋体" w:hAnsi="宋体" w:eastAsia="宋体" w:cs="宋体"/>
          <w:b/>
          <w:bCs/>
          <w:spacing w:val="14"/>
          <w:sz w:val="24"/>
          <w:szCs w:val="24"/>
          <w:highlight w:val="none"/>
        </w:rPr>
      </w:pPr>
      <w:r>
        <w:rPr>
          <w:rFonts w:hint="eastAsia" w:ascii="宋体" w:hAnsi="宋体" w:eastAsia="宋体" w:cs="宋体"/>
          <w:b/>
          <w:bCs/>
          <w:spacing w:val="14"/>
          <w:sz w:val="24"/>
          <w:szCs w:val="24"/>
          <w:highlight w:val="none"/>
        </w:rPr>
        <w:t>（2）本项目执行财政部、工业和信息化部《政府采购促进中小企业发展管理办法》（财库〔2020〕 46号）的规定。本项目支持中小微（监狱、残疾人福利性单位）企业，监狱企业、残疾人福利性单位视同小型、微型企业，用扣除后的价格参加评审。监狱企业、残疾人福利性单位视同小型、微型企业。所属行业：工业和其他未列明行业。</w:t>
      </w:r>
    </w:p>
    <w:p>
      <w:pPr>
        <w:pStyle w:val="48"/>
        <w:spacing w:line="360" w:lineRule="auto"/>
        <w:rPr>
          <w:rFonts w:ascii="宋体" w:hAnsi="宋体" w:eastAsia="宋体" w:cs="宋体"/>
          <w:b/>
          <w:bCs/>
          <w:spacing w:val="14"/>
          <w:sz w:val="24"/>
          <w:szCs w:val="24"/>
          <w:highlight w:val="none"/>
        </w:rPr>
      </w:pPr>
      <w:r>
        <w:rPr>
          <w:rFonts w:hint="eastAsia" w:ascii="宋体" w:hAnsi="宋体" w:eastAsia="宋体" w:cs="宋体"/>
          <w:b/>
          <w:bCs/>
          <w:spacing w:val="14"/>
          <w:sz w:val="24"/>
          <w:szCs w:val="24"/>
          <w:highlight w:val="none"/>
        </w:rPr>
        <w:t>注：中小企业划型标准详见关于印发中小企业划型标准规定的通知，对符合办法规定的小微企业报价给予10%的扣除，用扣除后的价格参加评审。</w:t>
      </w:r>
    </w:p>
    <w:p>
      <w:pPr>
        <w:pStyle w:val="48"/>
        <w:spacing w:line="360" w:lineRule="auto"/>
        <w:rPr>
          <w:rFonts w:ascii="宋体" w:hAnsi="宋体" w:eastAsia="宋体" w:cs="宋体"/>
          <w:b/>
          <w:bCs/>
          <w:spacing w:val="14"/>
          <w:sz w:val="24"/>
          <w:szCs w:val="24"/>
          <w:highlight w:val="none"/>
        </w:rPr>
      </w:pPr>
      <w:r>
        <w:rPr>
          <w:rFonts w:hint="eastAsia" w:ascii="宋体" w:hAnsi="宋体" w:eastAsia="宋体" w:cs="宋体"/>
          <w:b/>
          <w:bCs/>
          <w:spacing w:val="14"/>
          <w:sz w:val="24"/>
          <w:szCs w:val="24"/>
          <w:highlight w:val="none"/>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w:t>
      </w:r>
    </w:p>
    <w:p>
      <w:pPr>
        <w:pStyle w:val="48"/>
        <w:spacing w:line="360" w:lineRule="auto"/>
        <w:rPr>
          <w:rFonts w:ascii="宋体" w:hAnsi="宋体" w:eastAsia="宋体" w:cs="宋体"/>
          <w:b/>
          <w:bCs/>
          <w:spacing w:val="14"/>
          <w:sz w:val="24"/>
          <w:szCs w:val="24"/>
          <w:highlight w:val="none"/>
        </w:rPr>
      </w:pPr>
      <w:r>
        <w:rPr>
          <w:rFonts w:hint="eastAsia" w:ascii="宋体" w:hAnsi="宋体" w:eastAsia="宋体" w:cs="宋体"/>
          <w:b/>
          <w:bCs/>
          <w:spacing w:val="14"/>
          <w:sz w:val="24"/>
          <w:szCs w:val="24"/>
          <w:highlight w:val="none"/>
        </w:rPr>
        <w:t>在货物采购项目中，货物由中小企业制造，即货物由中小企业生产且使用该中小企业商号或者注册商标；投标人提供的货物既有中小企业制造货物，也有大型企业制造货物的，不享受本办法规定的中小企业扶持政策。</w:t>
      </w:r>
    </w:p>
    <w:p>
      <w:pPr>
        <w:pStyle w:val="48"/>
        <w:spacing w:line="360" w:lineRule="auto"/>
        <w:rPr>
          <w:rFonts w:ascii="宋体" w:hAnsi="宋体" w:eastAsia="宋体" w:cs="宋体"/>
          <w:b/>
          <w:bCs/>
          <w:spacing w:val="14"/>
          <w:sz w:val="24"/>
          <w:szCs w:val="24"/>
          <w:highlight w:val="none"/>
        </w:rPr>
      </w:pPr>
      <w:r>
        <w:rPr>
          <w:rFonts w:hint="eastAsia" w:ascii="宋体" w:hAnsi="宋体" w:eastAsia="宋体" w:cs="宋体"/>
          <w:b/>
          <w:bCs/>
          <w:spacing w:val="14"/>
          <w:sz w:val="24"/>
          <w:szCs w:val="24"/>
          <w:highlight w:val="none"/>
        </w:rPr>
        <w:t xml:space="preserve">非专门面向中小企业采购的采购项目（采购包）对符合《政府采购促进中小企业发展管理办法》规定的小微企业报价给予扣除（扣除比例详见投标人须知前附表）；专门面向中小企业采购的采购项目（采购包），不执行价格扣除政策。 </w:t>
      </w:r>
    </w:p>
    <w:p>
      <w:pPr>
        <w:pStyle w:val="48"/>
        <w:spacing w:line="360" w:lineRule="auto"/>
        <w:rPr>
          <w:rFonts w:ascii="宋体" w:hAnsi="宋体" w:eastAsia="宋体" w:cs="宋体"/>
          <w:b/>
          <w:bCs/>
          <w:spacing w:val="14"/>
          <w:sz w:val="24"/>
          <w:szCs w:val="24"/>
          <w:highlight w:val="none"/>
        </w:rPr>
      </w:pPr>
      <w:r>
        <w:rPr>
          <w:rFonts w:hint="eastAsia" w:ascii="宋体" w:hAnsi="宋体" w:eastAsia="宋体" w:cs="宋体"/>
          <w:b/>
          <w:bCs/>
          <w:spacing w:val="14"/>
          <w:sz w:val="24"/>
          <w:szCs w:val="24"/>
          <w:highlight w:val="none"/>
        </w:rPr>
        <w:t xml:space="preserve">（3）根据财政部司法部《关于政府采购支持监狱企业发展有关问题的通知》（财库〔2014〕68 号）规定，监狱企业视同小型、微型企业，享受评审中价格扣除等政府采购促进中小企业发展的政府采购政策。 </w:t>
      </w:r>
    </w:p>
    <w:p>
      <w:pPr>
        <w:pStyle w:val="48"/>
        <w:spacing w:line="360" w:lineRule="auto"/>
        <w:rPr>
          <w:rFonts w:ascii="宋体" w:hAnsi="宋体" w:eastAsia="宋体" w:cs="宋体"/>
          <w:b/>
          <w:bCs/>
          <w:spacing w:val="14"/>
          <w:sz w:val="24"/>
          <w:szCs w:val="24"/>
          <w:highlight w:val="none"/>
        </w:rPr>
      </w:pPr>
      <w:r>
        <w:rPr>
          <w:rFonts w:hint="eastAsia" w:ascii="宋体" w:hAnsi="宋体" w:eastAsia="宋体" w:cs="宋体"/>
          <w:b/>
          <w:bCs/>
          <w:spacing w:val="14"/>
          <w:sz w:val="24"/>
          <w:szCs w:val="24"/>
          <w:highlight w:val="none"/>
        </w:rPr>
        <w:t xml:space="preserve">（4）根据财政部民政部中国残疾人联合会《关于促进残疾人就业政府采购政策的通知》（财库 〔2017〕141号）规定，残疾人福利性单位视同小型、微型企业，享受评审中价格扣除等政府采购促进中小企业发展的政府采购政策。 </w:t>
      </w:r>
    </w:p>
    <w:p>
      <w:pPr>
        <w:pStyle w:val="48"/>
        <w:spacing w:line="360" w:lineRule="auto"/>
        <w:rPr>
          <w:rFonts w:ascii="宋体" w:hAnsi="宋体" w:eastAsia="宋体" w:cs="宋体"/>
          <w:b/>
          <w:bCs/>
          <w:spacing w:val="14"/>
          <w:sz w:val="24"/>
          <w:szCs w:val="24"/>
          <w:highlight w:val="none"/>
        </w:rPr>
      </w:pPr>
      <w:r>
        <w:rPr>
          <w:rFonts w:hint="eastAsia" w:ascii="宋体" w:hAnsi="宋体" w:eastAsia="宋体" w:cs="宋体"/>
          <w:b/>
          <w:bCs/>
          <w:spacing w:val="14"/>
          <w:sz w:val="24"/>
          <w:szCs w:val="24"/>
          <w:highlight w:val="none"/>
        </w:rPr>
        <w:t>（5）同一投标人（包括联合体），中小微企业产品、监狱企业产品、残疾人福利性单位产品价格扣除优惠只享受一次，不得重复享受。</w:t>
      </w:r>
    </w:p>
    <w:p>
      <w:pPr>
        <w:pStyle w:val="48"/>
        <w:spacing w:line="360" w:lineRule="auto"/>
        <w:rPr>
          <w:rFonts w:ascii="宋体" w:hAnsi="宋体" w:eastAsia="宋体" w:cs="宋体"/>
          <w:spacing w:val="14"/>
          <w:sz w:val="24"/>
          <w:szCs w:val="24"/>
          <w:highlight w:val="none"/>
        </w:rPr>
      </w:pPr>
      <w:r>
        <w:rPr>
          <w:rFonts w:hint="eastAsia" w:ascii="宋体" w:hAnsi="宋体" w:eastAsia="宋体" w:cs="宋体"/>
          <w:spacing w:val="14"/>
          <w:sz w:val="24"/>
          <w:szCs w:val="24"/>
          <w:highlight w:val="none"/>
        </w:rPr>
        <w:t>1.1.6是否接受进口产品：如果本项目报经政府采购管理部门批准允许采购进口产品，投标人可投进口产品，也可投国产产品。但进口货物及其有关服务必须符合原产地和/或中华人民共和国的设计和制造生产标准或行业标准。进口的货物必须具有合法的进口手续和途径，并通过中华人民共和国商检部门检验。</w:t>
      </w:r>
    </w:p>
    <w:p>
      <w:pPr>
        <w:pStyle w:val="28"/>
        <w:spacing w:line="360" w:lineRule="auto"/>
        <w:rPr>
          <w:rFonts w:ascii="宋体" w:hAnsi="宋体" w:eastAsia="宋体" w:cs="宋体"/>
          <w:spacing w:val="14"/>
          <w:sz w:val="24"/>
          <w:szCs w:val="24"/>
          <w:highlight w:val="none"/>
        </w:rPr>
      </w:pPr>
      <w:r>
        <w:rPr>
          <w:rFonts w:hint="eastAsia" w:ascii="宋体" w:hAnsi="宋体" w:eastAsia="宋体" w:cs="宋体"/>
          <w:spacing w:val="14"/>
          <w:sz w:val="24"/>
          <w:szCs w:val="24"/>
          <w:highlight w:val="none"/>
        </w:rPr>
        <w:t>1.1.7政府采购管理部门备案编号: 见投标人须知前附表。</w:t>
      </w:r>
    </w:p>
    <w:p>
      <w:pPr>
        <w:pStyle w:val="28"/>
        <w:spacing w:line="360" w:lineRule="auto"/>
        <w:rPr>
          <w:rFonts w:ascii="宋体" w:hAnsi="宋体" w:eastAsia="宋体" w:cs="宋体"/>
          <w:spacing w:val="14"/>
          <w:sz w:val="24"/>
          <w:szCs w:val="24"/>
          <w:highlight w:val="none"/>
        </w:rPr>
      </w:pPr>
      <w:r>
        <w:rPr>
          <w:rFonts w:hint="eastAsia" w:ascii="宋体" w:hAnsi="宋体" w:eastAsia="宋体" w:cs="宋体"/>
          <w:spacing w:val="14"/>
          <w:sz w:val="24"/>
          <w:szCs w:val="24"/>
          <w:highlight w:val="none"/>
        </w:rPr>
        <w:t>1.1.8项目编号: 见投标人须知前附表。</w:t>
      </w:r>
    </w:p>
    <w:p>
      <w:pPr>
        <w:pStyle w:val="28"/>
        <w:spacing w:line="360" w:lineRule="auto"/>
        <w:rPr>
          <w:rFonts w:ascii="宋体" w:hAnsi="宋体" w:eastAsia="宋体" w:cs="宋体"/>
          <w:spacing w:val="14"/>
          <w:sz w:val="24"/>
          <w:szCs w:val="24"/>
          <w:highlight w:val="none"/>
        </w:rPr>
      </w:pPr>
      <w:r>
        <w:rPr>
          <w:rFonts w:hint="eastAsia" w:ascii="宋体" w:hAnsi="宋体" w:eastAsia="宋体" w:cs="宋体"/>
          <w:spacing w:val="14"/>
          <w:sz w:val="24"/>
          <w:szCs w:val="24"/>
          <w:highlight w:val="none"/>
        </w:rPr>
        <w:t>1.1.9标段划分: 见投标人须知前附表。</w:t>
      </w:r>
    </w:p>
    <w:p>
      <w:pPr>
        <w:pStyle w:val="47"/>
        <w:spacing w:before="0" w:after="0" w:line="360" w:lineRule="auto"/>
        <w:outlineLvl w:val="9"/>
        <w:rPr>
          <w:rFonts w:ascii="宋体" w:hAnsi="宋体" w:eastAsia="宋体" w:cs="宋体"/>
          <w:spacing w:val="14"/>
          <w:sz w:val="24"/>
          <w:szCs w:val="24"/>
          <w:highlight w:val="none"/>
        </w:rPr>
      </w:pPr>
      <w:bookmarkStart w:id="19" w:name="_Toc1660785"/>
      <w:bookmarkStart w:id="20" w:name="_Toc29638"/>
      <w:r>
        <w:rPr>
          <w:rFonts w:hint="eastAsia" w:ascii="宋体" w:hAnsi="宋体" w:eastAsia="宋体" w:cs="宋体"/>
          <w:spacing w:val="14"/>
          <w:sz w:val="24"/>
          <w:szCs w:val="24"/>
          <w:highlight w:val="none"/>
        </w:rPr>
        <w:t>1.2 招标项目的资金来源、交货地点及付款方式</w:t>
      </w:r>
      <w:bookmarkEnd w:id="19"/>
      <w:bookmarkEnd w:id="20"/>
    </w:p>
    <w:p>
      <w:pPr>
        <w:pStyle w:val="28"/>
        <w:spacing w:line="360" w:lineRule="auto"/>
        <w:rPr>
          <w:rFonts w:ascii="宋体" w:hAnsi="宋体" w:eastAsia="宋体" w:cs="宋体"/>
          <w:spacing w:val="14"/>
          <w:sz w:val="24"/>
          <w:szCs w:val="24"/>
          <w:highlight w:val="none"/>
        </w:rPr>
      </w:pPr>
      <w:r>
        <w:rPr>
          <w:rFonts w:hint="eastAsia" w:ascii="宋体" w:hAnsi="宋体" w:eastAsia="宋体" w:cs="宋体"/>
          <w:spacing w:val="14"/>
          <w:sz w:val="24"/>
          <w:szCs w:val="24"/>
          <w:highlight w:val="none"/>
        </w:rPr>
        <w:t>1.2.1资金来源: 见投标人须知前附表。</w:t>
      </w:r>
    </w:p>
    <w:p>
      <w:pPr>
        <w:pStyle w:val="28"/>
        <w:spacing w:line="360" w:lineRule="auto"/>
        <w:rPr>
          <w:rFonts w:ascii="宋体" w:hAnsi="宋体" w:eastAsia="宋体" w:cs="宋体"/>
          <w:spacing w:val="14"/>
          <w:sz w:val="24"/>
          <w:szCs w:val="24"/>
          <w:highlight w:val="none"/>
        </w:rPr>
      </w:pPr>
      <w:r>
        <w:rPr>
          <w:rFonts w:hint="eastAsia" w:ascii="宋体" w:hAnsi="宋体" w:eastAsia="宋体" w:cs="宋体"/>
          <w:spacing w:val="14"/>
          <w:sz w:val="24"/>
          <w:szCs w:val="24"/>
          <w:highlight w:val="none"/>
        </w:rPr>
        <w:t>1.2.2交货地点： 见投标人须知前附表。</w:t>
      </w:r>
    </w:p>
    <w:p>
      <w:pPr>
        <w:pStyle w:val="28"/>
        <w:spacing w:line="360" w:lineRule="auto"/>
        <w:rPr>
          <w:rFonts w:ascii="宋体" w:hAnsi="宋体" w:eastAsia="宋体" w:cs="宋体"/>
          <w:spacing w:val="14"/>
          <w:sz w:val="24"/>
          <w:szCs w:val="24"/>
          <w:highlight w:val="none"/>
        </w:rPr>
      </w:pPr>
      <w:r>
        <w:rPr>
          <w:rFonts w:hint="eastAsia" w:ascii="宋体" w:hAnsi="宋体" w:eastAsia="宋体" w:cs="宋体"/>
          <w:spacing w:val="14"/>
          <w:sz w:val="24"/>
          <w:szCs w:val="24"/>
          <w:highlight w:val="none"/>
        </w:rPr>
        <w:t>1.2.3付款方式: 见投标人须知前附表，不接受该条件的投标将被否决。</w:t>
      </w:r>
    </w:p>
    <w:p>
      <w:pPr>
        <w:pStyle w:val="47"/>
        <w:spacing w:before="0" w:after="0" w:line="360" w:lineRule="auto"/>
        <w:outlineLvl w:val="9"/>
        <w:rPr>
          <w:rFonts w:ascii="宋体" w:hAnsi="宋体" w:eastAsia="宋体" w:cs="宋体"/>
          <w:spacing w:val="14"/>
          <w:sz w:val="24"/>
          <w:szCs w:val="24"/>
          <w:highlight w:val="none"/>
        </w:rPr>
      </w:pPr>
      <w:bookmarkStart w:id="21" w:name="_Toc1660786"/>
      <w:bookmarkStart w:id="22" w:name="_Toc11018"/>
      <w:r>
        <w:rPr>
          <w:rFonts w:hint="eastAsia" w:ascii="宋体" w:hAnsi="宋体" w:eastAsia="宋体" w:cs="宋体"/>
          <w:spacing w:val="14"/>
          <w:sz w:val="24"/>
          <w:szCs w:val="24"/>
          <w:highlight w:val="none"/>
        </w:rPr>
        <w:t>1.3合同履行期限、质量要求、履约验收、质保期及售后服务</w:t>
      </w:r>
      <w:bookmarkEnd w:id="21"/>
      <w:bookmarkEnd w:id="22"/>
    </w:p>
    <w:p>
      <w:pPr>
        <w:pStyle w:val="28"/>
        <w:spacing w:line="360" w:lineRule="auto"/>
        <w:rPr>
          <w:rFonts w:ascii="宋体" w:hAnsi="宋体" w:eastAsia="宋体" w:cs="宋体"/>
          <w:spacing w:val="14"/>
          <w:sz w:val="24"/>
          <w:szCs w:val="24"/>
          <w:highlight w:val="none"/>
        </w:rPr>
      </w:pPr>
      <w:r>
        <w:rPr>
          <w:rFonts w:hint="eastAsia" w:ascii="宋体" w:hAnsi="宋体" w:eastAsia="宋体" w:cs="宋体"/>
          <w:spacing w:val="14"/>
          <w:sz w:val="24"/>
          <w:szCs w:val="24"/>
          <w:highlight w:val="none"/>
        </w:rPr>
        <w:t>1.3.1合同履行期限：见投标人须知前附表，不接受该条件的投标将被否决。</w:t>
      </w:r>
    </w:p>
    <w:p>
      <w:pPr>
        <w:pStyle w:val="28"/>
        <w:spacing w:line="360" w:lineRule="auto"/>
        <w:rPr>
          <w:rFonts w:ascii="宋体" w:hAnsi="宋体" w:eastAsia="宋体" w:cs="宋体"/>
          <w:spacing w:val="14"/>
          <w:sz w:val="24"/>
          <w:szCs w:val="24"/>
          <w:highlight w:val="none"/>
        </w:rPr>
      </w:pPr>
      <w:r>
        <w:rPr>
          <w:rFonts w:hint="eastAsia" w:ascii="宋体" w:hAnsi="宋体" w:eastAsia="宋体" w:cs="宋体"/>
          <w:spacing w:val="14"/>
          <w:sz w:val="24"/>
          <w:szCs w:val="24"/>
          <w:highlight w:val="none"/>
        </w:rPr>
        <w:t>1.3.2质量要求：见投标人须知前附表，不接受该条件的投标将被否决。</w:t>
      </w:r>
    </w:p>
    <w:p>
      <w:pPr>
        <w:pStyle w:val="28"/>
        <w:spacing w:line="360" w:lineRule="auto"/>
        <w:rPr>
          <w:rFonts w:ascii="宋体" w:hAnsi="宋体" w:eastAsia="宋体" w:cs="宋体"/>
          <w:spacing w:val="14"/>
          <w:sz w:val="24"/>
          <w:szCs w:val="24"/>
          <w:highlight w:val="none"/>
        </w:rPr>
      </w:pPr>
      <w:r>
        <w:rPr>
          <w:rFonts w:hint="eastAsia" w:ascii="宋体" w:hAnsi="宋体" w:eastAsia="宋体" w:cs="宋体"/>
          <w:spacing w:val="14"/>
          <w:sz w:val="24"/>
          <w:szCs w:val="24"/>
          <w:highlight w:val="none"/>
        </w:rPr>
        <w:t>1.3.3履约验收：见投标人须知前附表。</w:t>
      </w:r>
    </w:p>
    <w:p>
      <w:pPr>
        <w:pStyle w:val="28"/>
        <w:spacing w:line="360" w:lineRule="auto"/>
        <w:rPr>
          <w:rFonts w:ascii="宋体" w:hAnsi="宋体" w:eastAsia="宋体" w:cs="宋体"/>
          <w:spacing w:val="14"/>
          <w:sz w:val="24"/>
          <w:szCs w:val="24"/>
          <w:highlight w:val="none"/>
        </w:rPr>
      </w:pPr>
      <w:r>
        <w:rPr>
          <w:rFonts w:hint="eastAsia" w:ascii="宋体" w:hAnsi="宋体" w:eastAsia="宋体" w:cs="宋体"/>
          <w:spacing w:val="14"/>
          <w:sz w:val="24"/>
          <w:szCs w:val="24"/>
          <w:highlight w:val="none"/>
        </w:rPr>
        <w:t>1.3.4质保期及售后服务：见投标人须知前附表，不接受该条件的投标将被否决。</w:t>
      </w:r>
    </w:p>
    <w:p>
      <w:pPr>
        <w:pStyle w:val="47"/>
        <w:spacing w:before="0" w:after="0" w:line="360" w:lineRule="auto"/>
        <w:outlineLvl w:val="9"/>
        <w:rPr>
          <w:rFonts w:ascii="宋体" w:hAnsi="宋体" w:eastAsia="宋体" w:cs="宋体"/>
          <w:spacing w:val="14"/>
          <w:sz w:val="24"/>
          <w:szCs w:val="24"/>
          <w:highlight w:val="none"/>
        </w:rPr>
      </w:pPr>
      <w:bookmarkStart w:id="23" w:name="_Toc17986"/>
      <w:bookmarkStart w:id="24" w:name="_Toc1660787"/>
      <w:r>
        <w:rPr>
          <w:rFonts w:hint="eastAsia" w:ascii="宋体" w:hAnsi="宋体" w:eastAsia="宋体" w:cs="宋体"/>
          <w:spacing w:val="14"/>
          <w:sz w:val="24"/>
          <w:szCs w:val="24"/>
          <w:highlight w:val="none"/>
        </w:rPr>
        <w:t>1.4 投标人资格要求</w:t>
      </w:r>
      <w:bookmarkEnd w:id="23"/>
      <w:bookmarkEnd w:id="24"/>
    </w:p>
    <w:p>
      <w:pPr>
        <w:pStyle w:val="28"/>
        <w:spacing w:line="360" w:lineRule="auto"/>
        <w:rPr>
          <w:rFonts w:ascii="宋体" w:hAnsi="宋体" w:eastAsia="宋体" w:cs="宋体"/>
          <w:spacing w:val="14"/>
          <w:sz w:val="24"/>
          <w:szCs w:val="24"/>
          <w:highlight w:val="none"/>
        </w:rPr>
      </w:pPr>
      <w:r>
        <w:rPr>
          <w:rFonts w:hint="eastAsia" w:ascii="宋体" w:hAnsi="宋体" w:eastAsia="宋体" w:cs="宋体"/>
          <w:spacing w:val="14"/>
          <w:sz w:val="24"/>
          <w:szCs w:val="24"/>
          <w:highlight w:val="none"/>
        </w:rPr>
        <w:t>1.4.1 投标人资格要求：投标人应当符合《政府采购法》第二十二条第一款规定的条件，具体见投标人须知前附表。</w:t>
      </w:r>
    </w:p>
    <w:p>
      <w:pPr>
        <w:pStyle w:val="28"/>
        <w:spacing w:line="360" w:lineRule="auto"/>
        <w:rPr>
          <w:rFonts w:ascii="宋体" w:hAnsi="宋体" w:eastAsia="宋体" w:cs="宋体"/>
          <w:spacing w:val="14"/>
          <w:sz w:val="24"/>
          <w:szCs w:val="24"/>
          <w:highlight w:val="none"/>
        </w:rPr>
      </w:pPr>
      <w:r>
        <w:rPr>
          <w:rFonts w:hint="eastAsia" w:ascii="宋体" w:hAnsi="宋体" w:eastAsia="宋体" w:cs="宋体"/>
          <w:spacing w:val="14"/>
          <w:sz w:val="24"/>
          <w:szCs w:val="24"/>
          <w:highlight w:val="none"/>
        </w:rPr>
        <w:t>1.4.2 投标人须知前附表规定接受联合体投标的，联合体除应符合本章第 1.4.1 项和投标人须知前附表的要求外，还应遵守以下规定：</w:t>
      </w:r>
    </w:p>
    <w:p>
      <w:pPr>
        <w:pStyle w:val="28"/>
        <w:spacing w:line="360" w:lineRule="auto"/>
        <w:rPr>
          <w:rFonts w:ascii="宋体" w:hAnsi="宋体" w:eastAsia="宋体" w:cs="宋体"/>
          <w:spacing w:val="14"/>
          <w:sz w:val="24"/>
          <w:szCs w:val="24"/>
          <w:highlight w:val="none"/>
        </w:rPr>
      </w:pPr>
      <w:r>
        <w:rPr>
          <w:rFonts w:hint="eastAsia" w:ascii="宋体" w:hAnsi="宋体" w:eastAsia="宋体" w:cs="宋体"/>
          <w:spacing w:val="14"/>
          <w:sz w:val="24"/>
          <w:szCs w:val="24"/>
          <w:highlight w:val="none"/>
        </w:rPr>
        <w:t>（1）联合体各方应按招标文件提供的格式签订联合体协议书，明确联合体牵头人和各方权利义务，并承诺就中标项目向采购人承担连带责任；</w:t>
      </w:r>
    </w:p>
    <w:p>
      <w:pPr>
        <w:pStyle w:val="28"/>
        <w:spacing w:line="360" w:lineRule="auto"/>
        <w:rPr>
          <w:rFonts w:ascii="宋体" w:hAnsi="宋体" w:eastAsia="宋体" w:cs="宋体"/>
          <w:spacing w:val="14"/>
          <w:sz w:val="24"/>
          <w:szCs w:val="24"/>
          <w:highlight w:val="none"/>
        </w:rPr>
      </w:pPr>
      <w:r>
        <w:rPr>
          <w:rFonts w:hint="eastAsia" w:ascii="宋体" w:hAnsi="宋体" w:eastAsia="宋体" w:cs="宋体"/>
          <w:spacing w:val="14"/>
          <w:sz w:val="24"/>
          <w:szCs w:val="24"/>
          <w:highlight w:val="none"/>
        </w:rPr>
        <w:t>（2）两个以上的自然人、法人或者其他组织可以组成一个联合体，以一个投标人的身份共同参加政府采购。</w:t>
      </w:r>
    </w:p>
    <w:p>
      <w:pPr>
        <w:pStyle w:val="28"/>
        <w:spacing w:line="360" w:lineRule="auto"/>
        <w:rPr>
          <w:rFonts w:ascii="宋体" w:hAnsi="宋体" w:eastAsia="宋体" w:cs="宋体"/>
          <w:spacing w:val="14"/>
          <w:sz w:val="24"/>
          <w:szCs w:val="24"/>
          <w:highlight w:val="none"/>
        </w:rPr>
      </w:pPr>
      <w:r>
        <w:rPr>
          <w:rFonts w:hint="eastAsia" w:ascii="宋体" w:hAnsi="宋体" w:eastAsia="宋体" w:cs="宋体"/>
          <w:spacing w:val="14"/>
          <w:sz w:val="24"/>
          <w:szCs w:val="24"/>
          <w:highlight w:val="none"/>
        </w:rPr>
        <w:t>（3）联合体各方均应当符合《政府采购法》第二十二条第一款规定的条件，根据采购项目的特殊要求规定投标人特定条件的，联合体各方中至少应当有一方符合招标公告规定的投标人资格条件。联合体中有同类资质的投标人按照联合体分工承担相同工作的，应当按照资质等级较低的投标人确定资质等级。</w:t>
      </w:r>
    </w:p>
    <w:p>
      <w:pPr>
        <w:pStyle w:val="28"/>
        <w:spacing w:line="360" w:lineRule="auto"/>
        <w:rPr>
          <w:rFonts w:ascii="宋体" w:hAnsi="宋体" w:eastAsia="宋体" w:cs="宋体"/>
          <w:spacing w:val="14"/>
          <w:sz w:val="24"/>
          <w:szCs w:val="24"/>
          <w:highlight w:val="none"/>
        </w:rPr>
      </w:pPr>
      <w:r>
        <w:rPr>
          <w:rFonts w:hint="eastAsia" w:ascii="宋体" w:hAnsi="宋体" w:eastAsia="宋体" w:cs="宋体"/>
          <w:spacing w:val="14"/>
          <w:sz w:val="24"/>
          <w:szCs w:val="24"/>
          <w:highlight w:val="none"/>
        </w:rPr>
        <w:t>（4）联合体各方不得再以自己名义单独或参加其他联合体在本招标项目中投标，否则各相关投标均无效。</w:t>
      </w:r>
    </w:p>
    <w:p>
      <w:pPr>
        <w:pStyle w:val="28"/>
        <w:spacing w:line="360" w:lineRule="auto"/>
        <w:rPr>
          <w:rFonts w:ascii="宋体" w:hAnsi="宋体" w:eastAsia="宋体" w:cs="宋体"/>
          <w:spacing w:val="14"/>
          <w:sz w:val="24"/>
          <w:szCs w:val="24"/>
          <w:highlight w:val="none"/>
        </w:rPr>
      </w:pPr>
      <w:r>
        <w:rPr>
          <w:rFonts w:hint="eastAsia" w:ascii="宋体" w:hAnsi="宋体" w:eastAsia="宋体" w:cs="宋体"/>
          <w:spacing w:val="14"/>
          <w:sz w:val="24"/>
          <w:szCs w:val="24"/>
          <w:highlight w:val="none"/>
        </w:rPr>
        <w:t>1.4.3 投标人不得存在下列情形之一：</w:t>
      </w:r>
    </w:p>
    <w:p>
      <w:pPr>
        <w:pStyle w:val="28"/>
        <w:spacing w:line="360" w:lineRule="auto"/>
        <w:rPr>
          <w:rFonts w:ascii="宋体" w:hAnsi="宋体" w:eastAsia="宋体" w:cs="宋体"/>
          <w:spacing w:val="14"/>
          <w:sz w:val="24"/>
          <w:szCs w:val="24"/>
          <w:highlight w:val="none"/>
        </w:rPr>
      </w:pPr>
      <w:r>
        <w:rPr>
          <w:rFonts w:hint="eastAsia" w:ascii="宋体" w:hAnsi="宋体" w:eastAsia="宋体" w:cs="宋体"/>
          <w:spacing w:val="14"/>
          <w:sz w:val="24"/>
          <w:szCs w:val="24"/>
          <w:highlight w:val="none"/>
        </w:rPr>
        <w:t>（1）与采购人存在利害关系且可能影响招标公正性；</w:t>
      </w:r>
    </w:p>
    <w:p>
      <w:pPr>
        <w:pStyle w:val="28"/>
        <w:spacing w:line="360" w:lineRule="auto"/>
        <w:rPr>
          <w:rFonts w:ascii="宋体" w:hAnsi="宋体" w:eastAsia="宋体" w:cs="宋体"/>
          <w:spacing w:val="14"/>
          <w:sz w:val="24"/>
          <w:szCs w:val="24"/>
          <w:highlight w:val="none"/>
        </w:rPr>
      </w:pPr>
      <w:r>
        <w:rPr>
          <w:rFonts w:hint="eastAsia" w:ascii="宋体" w:hAnsi="宋体" w:eastAsia="宋体" w:cs="宋体"/>
          <w:spacing w:val="14"/>
          <w:sz w:val="24"/>
          <w:szCs w:val="24"/>
          <w:highlight w:val="none"/>
        </w:rPr>
        <w:t>（2）与本招标项目的其他投标人为同一个单位负责人；</w:t>
      </w:r>
    </w:p>
    <w:p>
      <w:pPr>
        <w:pStyle w:val="28"/>
        <w:spacing w:line="360" w:lineRule="auto"/>
        <w:rPr>
          <w:rFonts w:ascii="宋体" w:hAnsi="宋体" w:eastAsia="宋体" w:cs="宋体"/>
          <w:spacing w:val="14"/>
          <w:sz w:val="24"/>
          <w:szCs w:val="24"/>
          <w:highlight w:val="none"/>
        </w:rPr>
      </w:pPr>
      <w:r>
        <w:rPr>
          <w:rFonts w:hint="eastAsia" w:ascii="宋体" w:hAnsi="宋体" w:eastAsia="宋体" w:cs="宋体"/>
          <w:spacing w:val="14"/>
          <w:sz w:val="24"/>
          <w:szCs w:val="24"/>
          <w:highlight w:val="none"/>
        </w:rPr>
        <w:t>（3）与本招标项目的其他投标人存在直接控股、管理关系；</w:t>
      </w:r>
    </w:p>
    <w:p>
      <w:pPr>
        <w:pStyle w:val="28"/>
        <w:spacing w:line="360" w:lineRule="auto"/>
        <w:rPr>
          <w:rFonts w:ascii="宋体" w:hAnsi="宋体" w:eastAsia="宋体" w:cs="宋体"/>
          <w:spacing w:val="14"/>
          <w:sz w:val="24"/>
          <w:szCs w:val="24"/>
          <w:highlight w:val="none"/>
        </w:rPr>
      </w:pPr>
      <w:r>
        <w:rPr>
          <w:rFonts w:hint="eastAsia" w:ascii="宋体" w:hAnsi="宋体" w:eastAsia="宋体" w:cs="宋体"/>
          <w:spacing w:val="14"/>
          <w:sz w:val="24"/>
          <w:szCs w:val="24"/>
          <w:highlight w:val="none"/>
        </w:rPr>
        <w:t>（4）为本招标项目提供整体设计、规范编制或者项目管理、监理、检测等服务；</w:t>
      </w:r>
    </w:p>
    <w:p>
      <w:pPr>
        <w:pStyle w:val="28"/>
        <w:spacing w:line="360" w:lineRule="auto"/>
        <w:rPr>
          <w:rFonts w:ascii="宋体" w:hAnsi="宋体" w:eastAsia="宋体" w:cs="宋体"/>
          <w:spacing w:val="14"/>
          <w:sz w:val="24"/>
          <w:szCs w:val="24"/>
          <w:highlight w:val="none"/>
        </w:rPr>
      </w:pPr>
      <w:r>
        <w:rPr>
          <w:rFonts w:hint="eastAsia" w:ascii="宋体" w:hAnsi="宋体" w:eastAsia="宋体" w:cs="宋体"/>
          <w:spacing w:val="14"/>
          <w:sz w:val="24"/>
          <w:szCs w:val="24"/>
          <w:highlight w:val="none"/>
        </w:rPr>
        <w:t>（5）为本招标项目的招标代理机构或与招标代理机构同为一个法定代表人；</w:t>
      </w:r>
    </w:p>
    <w:p>
      <w:pPr>
        <w:pStyle w:val="28"/>
        <w:spacing w:line="360" w:lineRule="auto"/>
        <w:rPr>
          <w:rFonts w:ascii="宋体" w:hAnsi="宋体" w:eastAsia="宋体" w:cs="宋体"/>
          <w:spacing w:val="14"/>
          <w:sz w:val="24"/>
          <w:szCs w:val="24"/>
          <w:highlight w:val="none"/>
        </w:rPr>
      </w:pPr>
      <w:r>
        <w:rPr>
          <w:rFonts w:hint="eastAsia" w:ascii="宋体" w:hAnsi="宋体" w:eastAsia="宋体" w:cs="宋体"/>
          <w:spacing w:val="14"/>
          <w:sz w:val="24"/>
          <w:szCs w:val="24"/>
          <w:highlight w:val="none"/>
        </w:rPr>
        <w:t>（6）被列入中国政府采购网(www.ccgp.gov.cn)“政府采购严重违法失信行为记录名单”的（指政府采购行政处罚有效期内）；被列入中国执行信息公开网（http://zxgk.court.gov.cn/，也即全国法院失信被执行人名单信息公布与查询网）“失信被执行人”的、被列入国家税务总局网站（www.chinatax.gov.cn/）——重大案件查询栏目“重大税收违法案件信息公布栏查询”的。（投标人无需提供证明材料）</w:t>
      </w:r>
    </w:p>
    <w:p>
      <w:pPr>
        <w:pStyle w:val="28"/>
        <w:spacing w:line="360" w:lineRule="auto"/>
        <w:rPr>
          <w:rFonts w:ascii="宋体" w:hAnsi="宋体" w:eastAsia="宋体" w:cs="宋体"/>
          <w:spacing w:val="14"/>
          <w:sz w:val="24"/>
          <w:szCs w:val="24"/>
          <w:highlight w:val="none"/>
        </w:rPr>
      </w:pPr>
      <w:r>
        <w:rPr>
          <w:rFonts w:hint="eastAsia" w:ascii="宋体" w:hAnsi="宋体" w:eastAsia="宋体" w:cs="宋体"/>
          <w:spacing w:val="14"/>
          <w:sz w:val="24"/>
          <w:szCs w:val="24"/>
          <w:highlight w:val="none"/>
        </w:rPr>
        <w:t>（7）因违法经营受到刑事处罚或者责令停产停业、吊销许可证或者执照、较大数额罚款等行政处罚；</w:t>
      </w:r>
    </w:p>
    <w:p>
      <w:pPr>
        <w:pStyle w:val="28"/>
        <w:spacing w:line="360" w:lineRule="auto"/>
        <w:rPr>
          <w:rFonts w:ascii="宋体" w:hAnsi="宋体" w:eastAsia="宋体" w:cs="宋体"/>
          <w:spacing w:val="14"/>
          <w:sz w:val="24"/>
          <w:szCs w:val="24"/>
          <w:highlight w:val="none"/>
        </w:rPr>
      </w:pPr>
      <w:r>
        <w:rPr>
          <w:rFonts w:hint="eastAsia" w:ascii="宋体" w:hAnsi="宋体" w:eastAsia="宋体" w:cs="宋体"/>
          <w:spacing w:val="14"/>
          <w:sz w:val="24"/>
          <w:szCs w:val="24"/>
          <w:highlight w:val="none"/>
        </w:rPr>
        <w:t>（8）进入清算程序，或被宣告破产，或其他丧失履约能力的情形；</w:t>
      </w:r>
    </w:p>
    <w:p>
      <w:pPr>
        <w:pStyle w:val="28"/>
        <w:spacing w:line="360" w:lineRule="auto"/>
        <w:rPr>
          <w:rFonts w:ascii="宋体" w:hAnsi="宋体" w:eastAsia="宋体" w:cs="宋体"/>
          <w:spacing w:val="14"/>
          <w:sz w:val="24"/>
          <w:szCs w:val="24"/>
          <w:highlight w:val="none"/>
        </w:rPr>
      </w:pPr>
      <w:r>
        <w:rPr>
          <w:rFonts w:hint="eastAsia" w:ascii="宋体" w:hAnsi="宋体" w:eastAsia="宋体" w:cs="宋体"/>
          <w:spacing w:val="14"/>
          <w:sz w:val="24"/>
          <w:szCs w:val="24"/>
          <w:highlight w:val="none"/>
        </w:rPr>
        <w:t>（9）在近三年内投标人有行贿犯罪行为的；</w:t>
      </w:r>
    </w:p>
    <w:p>
      <w:pPr>
        <w:pStyle w:val="28"/>
        <w:spacing w:line="360" w:lineRule="auto"/>
        <w:rPr>
          <w:rFonts w:ascii="宋体" w:hAnsi="宋体" w:eastAsia="宋体" w:cs="宋体"/>
          <w:spacing w:val="14"/>
          <w:sz w:val="24"/>
          <w:szCs w:val="24"/>
          <w:highlight w:val="none"/>
        </w:rPr>
      </w:pPr>
      <w:r>
        <w:rPr>
          <w:rFonts w:hint="eastAsia" w:ascii="宋体" w:hAnsi="宋体" w:eastAsia="宋体" w:cs="宋体"/>
          <w:spacing w:val="14"/>
          <w:sz w:val="24"/>
          <w:szCs w:val="24"/>
          <w:highlight w:val="none"/>
        </w:rPr>
        <w:t>（10）法律法规或投标人须知前附表规定的其他情形。</w:t>
      </w:r>
    </w:p>
    <w:p>
      <w:pPr>
        <w:pStyle w:val="47"/>
        <w:spacing w:before="0" w:after="0" w:line="360" w:lineRule="auto"/>
        <w:outlineLvl w:val="9"/>
        <w:rPr>
          <w:rFonts w:ascii="宋体" w:hAnsi="宋体" w:eastAsia="宋体" w:cs="宋体"/>
          <w:spacing w:val="14"/>
          <w:sz w:val="24"/>
          <w:szCs w:val="24"/>
          <w:highlight w:val="none"/>
        </w:rPr>
      </w:pPr>
      <w:bookmarkStart w:id="25" w:name="_Toc28159"/>
      <w:bookmarkStart w:id="26" w:name="_Toc1660788"/>
      <w:r>
        <w:rPr>
          <w:rFonts w:hint="eastAsia" w:ascii="宋体" w:hAnsi="宋体" w:eastAsia="宋体" w:cs="宋体"/>
          <w:spacing w:val="14"/>
          <w:sz w:val="24"/>
          <w:szCs w:val="24"/>
          <w:highlight w:val="none"/>
        </w:rPr>
        <w:t>1.5 费用承担</w:t>
      </w:r>
      <w:bookmarkEnd w:id="25"/>
      <w:bookmarkEnd w:id="26"/>
    </w:p>
    <w:p>
      <w:pPr>
        <w:pStyle w:val="28"/>
        <w:spacing w:line="360" w:lineRule="auto"/>
        <w:rPr>
          <w:rFonts w:ascii="宋体" w:hAnsi="宋体" w:eastAsia="宋体" w:cs="宋体"/>
          <w:spacing w:val="14"/>
          <w:sz w:val="24"/>
          <w:szCs w:val="24"/>
          <w:highlight w:val="none"/>
        </w:rPr>
      </w:pPr>
      <w:r>
        <w:rPr>
          <w:rFonts w:hint="eastAsia" w:ascii="宋体" w:hAnsi="宋体" w:eastAsia="宋体" w:cs="宋体"/>
          <w:spacing w:val="14"/>
          <w:sz w:val="24"/>
          <w:szCs w:val="24"/>
          <w:highlight w:val="none"/>
        </w:rPr>
        <w:t>投标人准备和参加投标活动发生的费用自理。</w:t>
      </w:r>
    </w:p>
    <w:p>
      <w:pPr>
        <w:pStyle w:val="47"/>
        <w:spacing w:before="0" w:after="0" w:line="360" w:lineRule="auto"/>
        <w:outlineLvl w:val="9"/>
        <w:rPr>
          <w:rFonts w:ascii="宋体" w:hAnsi="宋体" w:eastAsia="宋体" w:cs="宋体"/>
          <w:spacing w:val="14"/>
          <w:sz w:val="24"/>
          <w:szCs w:val="24"/>
          <w:highlight w:val="none"/>
        </w:rPr>
      </w:pPr>
      <w:bookmarkStart w:id="27" w:name="_Toc1660789"/>
      <w:bookmarkStart w:id="28" w:name="_Toc5455"/>
      <w:r>
        <w:rPr>
          <w:rFonts w:hint="eastAsia" w:ascii="宋体" w:hAnsi="宋体" w:eastAsia="宋体" w:cs="宋体"/>
          <w:spacing w:val="14"/>
          <w:sz w:val="24"/>
          <w:szCs w:val="24"/>
          <w:highlight w:val="none"/>
        </w:rPr>
        <w:t>1.6 保密</w:t>
      </w:r>
      <w:bookmarkEnd w:id="27"/>
      <w:bookmarkEnd w:id="28"/>
    </w:p>
    <w:p>
      <w:pPr>
        <w:pStyle w:val="28"/>
        <w:spacing w:line="360" w:lineRule="auto"/>
        <w:rPr>
          <w:rFonts w:ascii="宋体" w:hAnsi="宋体" w:eastAsia="宋体" w:cs="宋体"/>
          <w:spacing w:val="14"/>
          <w:sz w:val="24"/>
          <w:szCs w:val="24"/>
          <w:highlight w:val="none"/>
        </w:rPr>
      </w:pPr>
      <w:r>
        <w:rPr>
          <w:rFonts w:hint="eastAsia" w:ascii="宋体" w:hAnsi="宋体" w:eastAsia="宋体" w:cs="宋体"/>
          <w:spacing w:val="14"/>
          <w:sz w:val="24"/>
          <w:szCs w:val="24"/>
          <w:highlight w:val="none"/>
        </w:rPr>
        <w:t>参与招标投标活动的各方应对招标文件和投标文件中的商业和技术等秘密保密，否则应承担相应的法律责任。</w:t>
      </w:r>
    </w:p>
    <w:p>
      <w:pPr>
        <w:pStyle w:val="47"/>
        <w:spacing w:before="0" w:after="0" w:line="360" w:lineRule="auto"/>
        <w:outlineLvl w:val="9"/>
        <w:rPr>
          <w:rFonts w:ascii="宋体" w:hAnsi="宋体" w:eastAsia="宋体" w:cs="宋体"/>
          <w:spacing w:val="14"/>
          <w:sz w:val="24"/>
          <w:szCs w:val="24"/>
          <w:highlight w:val="none"/>
        </w:rPr>
      </w:pPr>
      <w:bookmarkStart w:id="29" w:name="_Toc25529"/>
      <w:bookmarkStart w:id="30" w:name="_Toc1660790"/>
      <w:r>
        <w:rPr>
          <w:rFonts w:hint="eastAsia" w:ascii="宋体" w:hAnsi="宋体" w:eastAsia="宋体" w:cs="宋体"/>
          <w:spacing w:val="14"/>
          <w:sz w:val="24"/>
          <w:szCs w:val="24"/>
          <w:highlight w:val="none"/>
        </w:rPr>
        <w:t>1.7 语言文字</w:t>
      </w:r>
      <w:bookmarkEnd w:id="29"/>
      <w:bookmarkEnd w:id="30"/>
    </w:p>
    <w:p>
      <w:pPr>
        <w:pStyle w:val="28"/>
        <w:spacing w:line="360" w:lineRule="auto"/>
        <w:rPr>
          <w:rFonts w:ascii="宋体" w:hAnsi="宋体" w:eastAsia="宋体" w:cs="宋体"/>
          <w:spacing w:val="14"/>
          <w:sz w:val="24"/>
          <w:szCs w:val="24"/>
          <w:highlight w:val="none"/>
        </w:rPr>
      </w:pPr>
      <w:r>
        <w:rPr>
          <w:rFonts w:hint="eastAsia" w:ascii="宋体" w:hAnsi="宋体" w:eastAsia="宋体" w:cs="宋体"/>
          <w:spacing w:val="14"/>
          <w:sz w:val="24"/>
          <w:szCs w:val="24"/>
          <w:highlight w:val="none"/>
        </w:rPr>
        <w:t>招标投标文件使用的语言文字为中文。专用术语使用外文的，应附有中文注释。</w:t>
      </w:r>
    </w:p>
    <w:p>
      <w:pPr>
        <w:pStyle w:val="47"/>
        <w:spacing w:before="0" w:after="0" w:line="360" w:lineRule="auto"/>
        <w:outlineLvl w:val="9"/>
        <w:rPr>
          <w:rFonts w:ascii="宋体" w:hAnsi="宋体" w:eastAsia="宋体" w:cs="宋体"/>
          <w:spacing w:val="14"/>
          <w:sz w:val="24"/>
          <w:szCs w:val="24"/>
          <w:highlight w:val="none"/>
        </w:rPr>
      </w:pPr>
      <w:bookmarkStart w:id="31" w:name="_Toc2970"/>
      <w:bookmarkStart w:id="32" w:name="_Toc1660791"/>
      <w:r>
        <w:rPr>
          <w:rFonts w:hint="eastAsia" w:ascii="宋体" w:hAnsi="宋体" w:eastAsia="宋体" w:cs="宋体"/>
          <w:spacing w:val="14"/>
          <w:sz w:val="24"/>
          <w:szCs w:val="24"/>
          <w:highlight w:val="none"/>
        </w:rPr>
        <w:t>1.8 计量单位</w:t>
      </w:r>
      <w:bookmarkEnd w:id="31"/>
      <w:bookmarkEnd w:id="32"/>
    </w:p>
    <w:p>
      <w:pPr>
        <w:pStyle w:val="28"/>
        <w:spacing w:line="360" w:lineRule="auto"/>
        <w:rPr>
          <w:rFonts w:ascii="宋体" w:hAnsi="宋体" w:eastAsia="宋体" w:cs="宋体"/>
          <w:spacing w:val="14"/>
          <w:sz w:val="24"/>
          <w:szCs w:val="24"/>
          <w:highlight w:val="none"/>
        </w:rPr>
      </w:pPr>
      <w:r>
        <w:rPr>
          <w:rFonts w:hint="eastAsia" w:ascii="宋体" w:hAnsi="宋体" w:eastAsia="宋体" w:cs="宋体"/>
          <w:spacing w:val="14"/>
          <w:sz w:val="24"/>
          <w:szCs w:val="24"/>
          <w:highlight w:val="none"/>
        </w:rPr>
        <w:t>所有计量均采用中华人民共和国法定计量单位。</w:t>
      </w:r>
    </w:p>
    <w:p>
      <w:pPr>
        <w:pStyle w:val="47"/>
        <w:spacing w:before="0" w:after="0" w:line="360" w:lineRule="auto"/>
        <w:outlineLvl w:val="9"/>
        <w:rPr>
          <w:rFonts w:ascii="宋体" w:hAnsi="宋体" w:eastAsia="宋体" w:cs="宋体"/>
          <w:spacing w:val="14"/>
          <w:sz w:val="24"/>
          <w:szCs w:val="24"/>
          <w:highlight w:val="none"/>
        </w:rPr>
      </w:pPr>
      <w:bookmarkStart w:id="33" w:name="_Toc1660792"/>
      <w:bookmarkStart w:id="34" w:name="_Toc31236"/>
      <w:r>
        <w:rPr>
          <w:rFonts w:hint="eastAsia" w:ascii="宋体" w:hAnsi="宋体" w:eastAsia="宋体" w:cs="宋体"/>
          <w:spacing w:val="14"/>
          <w:sz w:val="24"/>
          <w:szCs w:val="24"/>
          <w:highlight w:val="none"/>
        </w:rPr>
        <w:t>1.9 投标预备会</w:t>
      </w:r>
      <w:bookmarkEnd w:id="33"/>
      <w:bookmarkEnd w:id="34"/>
    </w:p>
    <w:p>
      <w:pPr>
        <w:pStyle w:val="28"/>
        <w:spacing w:line="360" w:lineRule="auto"/>
        <w:rPr>
          <w:rFonts w:ascii="宋体" w:hAnsi="宋体" w:eastAsia="宋体" w:cs="宋体"/>
          <w:spacing w:val="14"/>
          <w:sz w:val="24"/>
          <w:szCs w:val="24"/>
          <w:highlight w:val="none"/>
        </w:rPr>
      </w:pPr>
      <w:r>
        <w:rPr>
          <w:rFonts w:hint="eastAsia" w:ascii="宋体" w:hAnsi="宋体" w:eastAsia="宋体" w:cs="宋体"/>
          <w:spacing w:val="14"/>
          <w:sz w:val="24"/>
          <w:szCs w:val="24"/>
          <w:highlight w:val="none"/>
        </w:rPr>
        <w:t>1.9.1 投标人须知前附表规定召开投标预备会的，采购人按投标人须知前附表规定的时间和地点召开投标预备会，澄清投标人提出的问题。</w:t>
      </w:r>
    </w:p>
    <w:p>
      <w:pPr>
        <w:pStyle w:val="28"/>
        <w:spacing w:line="360" w:lineRule="auto"/>
        <w:rPr>
          <w:rFonts w:ascii="宋体" w:hAnsi="宋体" w:eastAsia="宋体" w:cs="宋体"/>
          <w:spacing w:val="14"/>
          <w:sz w:val="24"/>
          <w:szCs w:val="24"/>
          <w:highlight w:val="none"/>
        </w:rPr>
      </w:pPr>
      <w:r>
        <w:rPr>
          <w:rFonts w:hint="eastAsia" w:ascii="宋体" w:hAnsi="宋体" w:eastAsia="宋体" w:cs="宋体"/>
          <w:spacing w:val="14"/>
          <w:sz w:val="24"/>
          <w:szCs w:val="24"/>
          <w:highlight w:val="none"/>
        </w:rPr>
        <w:t>1.9.2 投标人应按投标人须知前附表规定的时间和形式将提出的问题送达采购人，以便采购人在会议期间澄清。</w:t>
      </w:r>
    </w:p>
    <w:p>
      <w:pPr>
        <w:pStyle w:val="28"/>
        <w:spacing w:line="360" w:lineRule="auto"/>
        <w:rPr>
          <w:rFonts w:ascii="宋体" w:hAnsi="宋体" w:eastAsia="宋体" w:cs="宋体"/>
          <w:spacing w:val="14"/>
          <w:sz w:val="24"/>
          <w:szCs w:val="24"/>
          <w:highlight w:val="none"/>
        </w:rPr>
      </w:pPr>
      <w:r>
        <w:rPr>
          <w:rFonts w:hint="eastAsia" w:ascii="宋体" w:hAnsi="宋体" w:eastAsia="宋体" w:cs="宋体"/>
          <w:spacing w:val="14"/>
          <w:sz w:val="24"/>
          <w:szCs w:val="24"/>
          <w:highlight w:val="none"/>
        </w:rPr>
        <w:t>1.9.3投标预备会后，采购人对投标人所提问题的澄清为招标文件的组成部分。</w:t>
      </w:r>
    </w:p>
    <w:p>
      <w:pPr>
        <w:pStyle w:val="47"/>
        <w:spacing w:before="0" w:after="0" w:line="360" w:lineRule="auto"/>
        <w:outlineLvl w:val="9"/>
        <w:rPr>
          <w:rFonts w:ascii="宋体" w:hAnsi="宋体" w:eastAsia="宋体" w:cs="宋体"/>
          <w:spacing w:val="14"/>
          <w:sz w:val="24"/>
          <w:szCs w:val="24"/>
          <w:highlight w:val="none"/>
        </w:rPr>
      </w:pPr>
      <w:bookmarkStart w:id="35" w:name="_Toc1660793"/>
      <w:bookmarkStart w:id="36" w:name="_Toc24144"/>
      <w:r>
        <w:rPr>
          <w:rFonts w:hint="eastAsia" w:ascii="宋体" w:hAnsi="宋体" w:eastAsia="宋体" w:cs="宋体"/>
          <w:spacing w:val="14"/>
          <w:sz w:val="24"/>
          <w:szCs w:val="24"/>
          <w:highlight w:val="none"/>
        </w:rPr>
        <w:t>1.10 分包</w:t>
      </w:r>
      <w:bookmarkEnd w:id="35"/>
      <w:bookmarkEnd w:id="36"/>
    </w:p>
    <w:p>
      <w:pPr>
        <w:pStyle w:val="28"/>
        <w:spacing w:line="360" w:lineRule="auto"/>
        <w:rPr>
          <w:rFonts w:ascii="宋体" w:hAnsi="宋体" w:eastAsia="宋体" w:cs="宋体"/>
          <w:spacing w:val="14"/>
          <w:sz w:val="24"/>
          <w:szCs w:val="24"/>
          <w:highlight w:val="none"/>
        </w:rPr>
      </w:pPr>
      <w:r>
        <w:rPr>
          <w:rFonts w:hint="eastAsia" w:ascii="宋体" w:hAnsi="宋体" w:eastAsia="宋体" w:cs="宋体"/>
          <w:spacing w:val="14"/>
          <w:sz w:val="24"/>
          <w:szCs w:val="24"/>
          <w:highlight w:val="none"/>
        </w:rPr>
        <w:t>1.10.1 投标人拟在中标后将中标项目的非主体货物进行分包的，应符合投标人须知前附表规定的分包内容、分包金额和资质要求等限制性条件，除投标人须知前附表规定的非主体货物外，其他工作不得分包。</w:t>
      </w:r>
    </w:p>
    <w:p>
      <w:pPr>
        <w:pStyle w:val="28"/>
        <w:spacing w:line="360" w:lineRule="auto"/>
        <w:rPr>
          <w:rFonts w:ascii="宋体" w:hAnsi="宋体" w:eastAsia="宋体" w:cs="宋体"/>
          <w:spacing w:val="14"/>
          <w:sz w:val="24"/>
          <w:szCs w:val="24"/>
          <w:highlight w:val="none"/>
        </w:rPr>
      </w:pPr>
      <w:r>
        <w:rPr>
          <w:rFonts w:hint="eastAsia" w:ascii="宋体" w:hAnsi="宋体" w:eastAsia="宋体" w:cs="宋体"/>
          <w:spacing w:val="14"/>
          <w:sz w:val="24"/>
          <w:szCs w:val="24"/>
          <w:highlight w:val="none"/>
        </w:rPr>
        <w:t>1.10.2 中标人不得向他人转让中标项目，接受分包的人不得再次分包。中标人应当就分包项目向采购人负责，接受分包的人就分包项目承担连带责任。</w:t>
      </w:r>
    </w:p>
    <w:p>
      <w:pPr>
        <w:pStyle w:val="47"/>
        <w:spacing w:before="0" w:after="0" w:line="360" w:lineRule="auto"/>
        <w:outlineLvl w:val="9"/>
        <w:rPr>
          <w:rFonts w:ascii="宋体" w:hAnsi="宋体" w:eastAsia="宋体" w:cs="宋体"/>
          <w:spacing w:val="14"/>
          <w:sz w:val="24"/>
          <w:szCs w:val="24"/>
          <w:highlight w:val="none"/>
        </w:rPr>
      </w:pPr>
      <w:bookmarkStart w:id="37" w:name="_Toc1660794"/>
      <w:bookmarkStart w:id="38" w:name="_Toc15806"/>
      <w:r>
        <w:rPr>
          <w:rFonts w:hint="eastAsia" w:ascii="宋体" w:hAnsi="宋体" w:eastAsia="宋体" w:cs="宋体"/>
          <w:spacing w:val="14"/>
          <w:sz w:val="24"/>
          <w:szCs w:val="24"/>
          <w:highlight w:val="none"/>
        </w:rPr>
        <w:t>1.11 响应和偏差</w:t>
      </w:r>
      <w:bookmarkEnd w:id="37"/>
      <w:bookmarkEnd w:id="38"/>
    </w:p>
    <w:p>
      <w:pPr>
        <w:pStyle w:val="28"/>
        <w:spacing w:line="360" w:lineRule="auto"/>
        <w:rPr>
          <w:rFonts w:ascii="宋体" w:hAnsi="宋体" w:eastAsia="宋体" w:cs="宋体"/>
          <w:spacing w:val="14"/>
          <w:sz w:val="24"/>
          <w:szCs w:val="24"/>
          <w:highlight w:val="none"/>
        </w:rPr>
      </w:pPr>
      <w:r>
        <w:rPr>
          <w:rFonts w:hint="eastAsia" w:ascii="宋体" w:hAnsi="宋体" w:eastAsia="宋体" w:cs="宋体"/>
          <w:spacing w:val="14"/>
          <w:sz w:val="24"/>
          <w:szCs w:val="24"/>
          <w:highlight w:val="none"/>
        </w:rPr>
        <w:t>1.11.1 投标文件应当对招标文件的实质性要求和条件作出满足性或更有利于采购人的响应，否则，投标人的投标将被否决。实质性要求和条件见投标人须知前附表。</w:t>
      </w:r>
    </w:p>
    <w:p>
      <w:pPr>
        <w:pStyle w:val="28"/>
        <w:spacing w:line="360" w:lineRule="auto"/>
        <w:rPr>
          <w:rFonts w:ascii="宋体" w:hAnsi="宋体" w:eastAsia="宋体" w:cs="宋体"/>
          <w:spacing w:val="14"/>
          <w:sz w:val="24"/>
          <w:szCs w:val="24"/>
          <w:highlight w:val="none"/>
        </w:rPr>
      </w:pPr>
      <w:r>
        <w:rPr>
          <w:rFonts w:hint="eastAsia" w:ascii="宋体" w:hAnsi="宋体" w:eastAsia="宋体" w:cs="宋体"/>
          <w:spacing w:val="14"/>
          <w:sz w:val="24"/>
          <w:szCs w:val="24"/>
          <w:highlight w:val="none"/>
        </w:rPr>
        <w:t>1.11.2 投标人应根据招标文件的要求提供技术要求响应与偏差表、商务要求响应与偏差表、重要技术条款的客观证明材料、售后服务计划等内容以对招标文件作出响应。</w:t>
      </w:r>
    </w:p>
    <w:p>
      <w:pPr>
        <w:pStyle w:val="28"/>
        <w:spacing w:line="360" w:lineRule="auto"/>
        <w:rPr>
          <w:rFonts w:ascii="宋体" w:hAnsi="宋体" w:eastAsia="宋体" w:cs="宋体"/>
          <w:spacing w:val="14"/>
          <w:sz w:val="24"/>
          <w:szCs w:val="24"/>
          <w:highlight w:val="none"/>
        </w:rPr>
      </w:pPr>
      <w:r>
        <w:rPr>
          <w:rFonts w:hint="eastAsia" w:ascii="宋体" w:hAnsi="宋体" w:eastAsia="宋体" w:cs="宋体"/>
          <w:spacing w:val="14"/>
          <w:sz w:val="24"/>
          <w:szCs w:val="24"/>
          <w:highlight w:val="none"/>
        </w:rPr>
        <w:t>1.11.3 投标人须知前附表规定了可以偏差的范围和最高偏差项数的，偏差应当符合投标人须知前附表规定的偏差范围和最高项数，超出偏差范围和最高偏差项数的投标将被否决。</w:t>
      </w:r>
    </w:p>
    <w:p>
      <w:pPr>
        <w:pStyle w:val="28"/>
        <w:spacing w:line="360" w:lineRule="auto"/>
        <w:rPr>
          <w:rFonts w:ascii="宋体" w:hAnsi="宋体" w:eastAsia="宋体" w:cs="宋体"/>
          <w:spacing w:val="14"/>
          <w:sz w:val="24"/>
          <w:szCs w:val="24"/>
          <w:highlight w:val="none"/>
        </w:rPr>
      </w:pPr>
      <w:r>
        <w:rPr>
          <w:rFonts w:hint="eastAsia" w:ascii="宋体" w:hAnsi="宋体" w:eastAsia="宋体" w:cs="宋体"/>
          <w:spacing w:val="14"/>
          <w:sz w:val="24"/>
          <w:szCs w:val="24"/>
          <w:highlight w:val="none"/>
        </w:rPr>
        <w:t>1.11.4 投标文件对招标文件的全部偏差，均应在投标文件的技术要求响应与偏差表、商务要求响应与偏差表中列明。</w:t>
      </w:r>
    </w:p>
    <w:p>
      <w:pPr>
        <w:pStyle w:val="28"/>
        <w:spacing w:line="360" w:lineRule="auto"/>
        <w:rPr>
          <w:rFonts w:ascii="宋体" w:hAnsi="宋体" w:eastAsia="宋体" w:cs="宋体"/>
          <w:spacing w:val="14"/>
          <w:sz w:val="24"/>
          <w:szCs w:val="24"/>
          <w:highlight w:val="none"/>
        </w:rPr>
      </w:pPr>
      <w:r>
        <w:rPr>
          <w:rFonts w:hint="eastAsia" w:ascii="宋体" w:hAnsi="宋体" w:eastAsia="宋体" w:cs="宋体"/>
          <w:spacing w:val="14"/>
          <w:sz w:val="24"/>
          <w:szCs w:val="24"/>
          <w:highlight w:val="none"/>
        </w:rPr>
        <w:t>1.11.5如投标文件技术要求响应与偏差表、商务要求响应与偏差表中列明的内容与投标文件的其他地方存在不一致，以技术要求响应与偏差表、商务要求响应与偏差表中列明的内容为准。</w:t>
      </w:r>
    </w:p>
    <w:p>
      <w:pPr>
        <w:pStyle w:val="46"/>
        <w:spacing w:before="0" w:after="0" w:line="360" w:lineRule="auto"/>
        <w:outlineLvl w:val="9"/>
        <w:rPr>
          <w:rFonts w:ascii="宋体" w:hAnsi="宋体" w:cs="宋体"/>
          <w:sz w:val="24"/>
          <w:szCs w:val="24"/>
          <w:highlight w:val="none"/>
        </w:rPr>
      </w:pPr>
      <w:bookmarkStart w:id="39" w:name="_Toc256000007"/>
      <w:bookmarkStart w:id="40" w:name="_Toc27054"/>
      <w:bookmarkStart w:id="41" w:name="_Toc1660795"/>
      <w:r>
        <w:rPr>
          <w:rFonts w:hint="eastAsia" w:ascii="宋体" w:hAnsi="宋体" w:cs="宋体"/>
          <w:sz w:val="24"/>
          <w:szCs w:val="24"/>
          <w:highlight w:val="none"/>
        </w:rPr>
        <w:t>2、招标文件</w:t>
      </w:r>
      <w:bookmarkEnd w:id="39"/>
      <w:bookmarkEnd w:id="40"/>
      <w:bookmarkEnd w:id="41"/>
    </w:p>
    <w:p>
      <w:pPr>
        <w:pStyle w:val="47"/>
        <w:spacing w:before="0" w:after="0" w:line="360" w:lineRule="auto"/>
        <w:outlineLvl w:val="9"/>
        <w:rPr>
          <w:rFonts w:ascii="宋体" w:hAnsi="宋体" w:eastAsia="宋体" w:cs="宋体"/>
          <w:spacing w:val="14"/>
          <w:sz w:val="24"/>
          <w:szCs w:val="24"/>
          <w:highlight w:val="none"/>
        </w:rPr>
      </w:pPr>
      <w:bookmarkStart w:id="42" w:name="_Toc1660796"/>
      <w:bookmarkStart w:id="43" w:name="_Toc31138"/>
      <w:r>
        <w:rPr>
          <w:rFonts w:hint="eastAsia" w:ascii="宋体" w:hAnsi="宋体" w:eastAsia="宋体" w:cs="宋体"/>
          <w:spacing w:val="14"/>
          <w:sz w:val="24"/>
          <w:szCs w:val="24"/>
          <w:highlight w:val="none"/>
        </w:rPr>
        <w:t>2.1 招标文件的组成</w:t>
      </w:r>
      <w:bookmarkEnd w:id="42"/>
      <w:bookmarkEnd w:id="43"/>
    </w:p>
    <w:p>
      <w:pPr>
        <w:pStyle w:val="28"/>
        <w:spacing w:line="360" w:lineRule="auto"/>
        <w:rPr>
          <w:rFonts w:ascii="宋体" w:hAnsi="宋体" w:eastAsia="宋体" w:cs="宋体"/>
          <w:spacing w:val="14"/>
          <w:sz w:val="24"/>
          <w:szCs w:val="24"/>
          <w:highlight w:val="none"/>
        </w:rPr>
      </w:pPr>
      <w:r>
        <w:rPr>
          <w:rFonts w:hint="eastAsia" w:ascii="宋体" w:hAnsi="宋体" w:eastAsia="宋体" w:cs="宋体"/>
          <w:spacing w:val="14"/>
          <w:sz w:val="24"/>
          <w:szCs w:val="24"/>
          <w:highlight w:val="none"/>
        </w:rPr>
        <w:t>本招标文件包括：</w:t>
      </w:r>
    </w:p>
    <w:p>
      <w:pPr>
        <w:pStyle w:val="28"/>
        <w:spacing w:line="360" w:lineRule="auto"/>
        <w:rPr>
          <w:rFonts w:ascii="宋体" w:hAnsi="宋体" w:eastAsia="宋体" w:cs="宋体"/>
          <w:spacing w:val="14"/>
          <w:sz w:val="24"/>
          <w:szCs w:val="24"/>
          <w:highlight w:val="none"/>
        </w:rPr>
      </w:pPr>
      <w:r>
        <w:rPr>
          <w:rFonts w:hint="eastAsia" w:ascii="宋体" w:hAnsi="宋体" w:eastAsia="宋体" w:cs="宋体"/>
          <w:spacing w:val="14"/>
          <w:sz w:val="24"/>
          <w:szCs w:val="24"/>
          <w:highlight w:val="none"/>
        </w:rPr>
        <w:t>（1）招标公告；</w:t>
      </w:r>
    </w:p>
    <w:p>
      <w:pPr>
        <w:pStyle w:val="28"/>
        <w:spacing w:line="360" w:lineRule="auto"/>
        <w:rPr>
          <w:rFonts w:ascii="宋体" w:hAnsi="宋体" w:eastAsia="宋体" w:cs="宋体"/>
          <w:spacing w:val="14"/>
          <w:sz w:val="24"/>
          <w:szCs w:val="24"/>
          <w:highlight w:val="none"/>
        </w:rPr>
      </w:pPr>
      <w:r>
        <w:rPr>
          <w:rFonts w:hint="eastAsia" w:ascii="宋体" w:hAnsi="宋体" w:eastAsia="宋体" w:cs="宋体"/>
          <w:spacing w:val="14"/>
          <w:sz w:val="24"/>
          <w:szCs w:val="24"/>
          <w:highlight w:val="none"/>
        </w:rPr>
        <w:t xml:space="preserve">（2）投标人须知； </w:t>
      </w:r>
    </w:p>
    <w:p>
      <w:pPr>
        <w:pStyle w:val="28"/>
        <w:spacing w:line="360" w:lineRule="auto"/>
        <w:rPr>
          <w:rFonts w:ascii="宋体" w:hAnsi="宋体" w:eastAsia="宋体" w:cs="宋体"/>
          <w:spacing w:val="14"/>
          <w:sz w:val="24"/>
          <w:szCs w:val="24"/>
          <w:highlight w:val="none"/>
        </w:rPr>
      </w:pPr>
      <w:r>
        <w:rPr>
          <w:rFonts w:hint="eastAsia" w:ascii="宋体" w:hAnsi="宋体" w:eastAsia="宋体" w:cs="宋体"/>
          <w:spacing w:val="14"/>
          <w:sz w:val="24"/>
          <w:szCs w:val="24"/>
          <w:highlight w:val="none"/>
        </w:rPr>
        <w:t>（3）采购需求</w:t>
      </w:r>
    </w:p>
    <w:p>
      <w:pPr>
        <w:pStyle w:val="28"/>
        <w:spacing w:line="360" w:lineRule="auto"/>
        <w:rPr>
          <w:rFonts w:ascii="宋体" w:hAnsi="宋体" w:eastAsia="宋体" w:cs="宋体"/>
          <w:spacing w:val="14"/>
          <w:sz w:val="24"/>
          <w:szCs w:val="24"/>
          <w:highlight w:val="none"/>
        </w:rPr>
      </w:pPr>
      <w:r>
        <w:rPr>
          <w:rFonts w:hint="eastAsia" w:ascii="宋体" w:hAnsi="宋体" w:eastAsia="宋体" w:cs="宋体"/>
          <w:spacing w:val="14"/>
          <w:sz w:val="24"/>
          <w:szCs w:val="24"/>
          <w:highlight w:val="none"/>
        </w:rPr>
        <w:t>（4）合同（样本）</w:t>
      </w:r>
    </w:p>
    <w:p>
      <w:pPr>
        <w:pStyle w:val="28"/>
        <w:spacing w:line="360" w:lineRule="auto"/>
        <w:rPr>
          <w:rFonts w:ascii="宋体" w:hAnsi="宋体" w:eastAsia="宋体" w:cs="宋体"/>
          <w:spacing w:val="14"/>
          <w:sz w:val="24"/>
          <w:szCs w:val="24"/>
          <w:highlight w:val="none"/>
        </w:rPr>
      </w:pPr>
      <w:r>
        <w:rPr>
          <w:rFonts w:hint="eastAsia" w:ascii="宋体" w:hAnsi="宋体" w:eastAsia="宋体" w:cs="宋体"/>
          <w:spacing w:val="14"/>
          <w:sz w:val="24"/>
          <w:szCs w:val="24"/>
          <w:highlight w:val="none"/>
        </w:rPr>
        <w:t>（5）资格审查与评标办法；</w:t>
      </w:r>
    </w:p>
    <w:p>
      <w:pPr>
        <w:pStyle w:val="28"/>
        <w:spacing w:line="360" w:lineRule="auto"/>
        <w:rPr>
          <w:rFonts w:ascii="宋体" w:hAnsi="宋体" w:eastAsia="宋体" w:cs="宋体"/>
          <w:spacing w:val="14"/>
          <w:sz w:val="24"/>
          <w:szCs w:val="24"/>
          <w:highlight w:val="none"/>
        </w:rPr>
      </w:pPr>
      <w:r>
        <w:rPr>
          <w:rFonts w:hint="eastAsia" w:ascii="宋体" w:hAnsi="宋体" w:eastAsia="宋体" w:cs="宋体"/>
          <w:spacing w:val="14"/>
          <w:sz w:val="24"/>
          <w:szCs w:val="24"/>
          <w:highlight w:val="none"/>
        </w:rPr>
        <w:t>（6）资格审查与评审标准；</w:t>
      </w:r>
    </w:p>
    <w:p>
      <w:pPr>
        <w:pStyle w:val="28"/>
        <w:spacing w:line="360" w:lineRule="auto"/>
        <w:rPr>
          <w:rFonts w:ascii="宋体" w:hAnsi="宋体" w:eastAsia="宋体" w:cs="宋体"/>
          <w:spacing w:val="14"/>
          <w:sz w:val="24"/>
          <w:szCs w:val="24"/>
          <w:highlight w:val="none"/>
        </w:rPr>
      </w:pPr>
      <w:r>
        <w:rPr>
          <w:rFonts w:hint="eastAsia" w:ascii="宋体" w:hAnsi="宋体" w:eastAsia="宋体" w:cs="宋体"/>
          <w:spacing w:val="14"/>
          <w:sz w:val="24"/>
          <w:szCs w:val="24"/>
          <w:highlight w:val="none"/>
        </w:rPr>
        <w:t>（7）投标文件格式；</w:t>
      </w:r>
    </w:p>
    <w:p>
      <w:pPr>
        <w:pStyle w:val="28"/>
        <w:spacing w:line="360" w:lineRule="auto"/>
        <w:rPr>
          <w:rFonts w:ascii="宋体" w:hAnsi="宋体" w:eastAsia="宋体" w:cs="宋体"/>
          <w:spacing w:val="14"/>
          <w:sz w:val="24"/>
          <w:szCs w:val="24"/>
          <w:highlight w:val="none"/>
        </w:rPr>
      </w:pPr>
      <w:r>
        <w:rPr>
          <w:rFonts w:hint="eastAsia" w:ascii="宋体" w:hAnsi="宋体" w:eastAsia="宋体" w:cs="宋体"/>
          <w:spacing w:val="14"/>
          <w:sz w:val="24"/>
          <w:szCs w:val="24"/>
          <w:highlight w:val="none"/>
        </w:rPr>
        <w:t>根据本章第 1.9 款、第 2.2 款对招标文件所作的澄清、修改，构成招标文件的组成部分。</w:t>
      </w:r>
    </w:p>
    <w:p>
      <w:pPr>
        <w:pStyle w:val="47"/>
        <w:spacing w:before="0" w:after="0" w:line="360" w:lineRule="auto"/>
        <w:outlineLvl w:val="9"/>
        <w:rPr>
          <w:rFonts w:ascii="宋体" w:hAnsi="宋体" w:eastAsia="宋体" w:cs="宋体"/>
          <w:spacing w:val="14"/>
          <w:sz w:val="24"/>
          <w:szCs w:val="24"/>
          <w:highlight w:val="none"/>
        </w:rPr>
      </w:pPr>
      <w:bookmarkStart w:id="44" w:name="_Toc30510"/>
      <w:bookmarkStart w:id="45" w:name="_Toc1660797"/>
      <w:r>
        <w:rPr>
          <w:rFonts w:hint="eastAsia" w:ascii="宋体" w:hAnsi="宋体" w:eastAsia="宋体" w:cs="宋体"/>
          <w:spacing w:val="14"/>
          <w:sz w:val="24"/>
          <w:szCs w:val="24"/>
          <w:highlight w:val="none"/>
        </w:rPr>
        <w:t>2.2 招标文件的澄清</w:t>
      </w:r>
      <w:bookmarkEnd w:id="44"/>
      <w:bookmarkEnd w:id="45"/>
    </w:p>
    <w:p>
      <w:pPr>
        <w:pStyle w:val="28"/>
        <w:spacing w:line="360" w:lineRule="auto"/>
        <w:rPr>
          <w:rFonts w:ascii="宋体" w:hAnsi="宋体" w:eastAsia="宋体" w:cs="宋体"/>
          <w:spacing w:val="14"/>
          <w:sz w:val="24"/>
          <w:szCs w:val="24"/>
          <w:highlight w:val="none"/>
        </w:rPr>
      </w:pPr>
      <w:r>
        <w:rPr>
          <w:rFonts w:hint="eastAsia" w:ascii="宋体" w:hAnsi="宋体" w:eastAsia="宋体" w:cs="宋体"/>
          <w:spacing w:val="14"/>
          <w:sz w:val="24"/>
          <w:szCs w:val="24"/>
          <w:highlight w:val="none"/>
        </w:rPr>
        <w:t>2.2.1投标人应仔细阅读和检查招标文件的全部内容。如发现缺页或附件不全，应及时向采购代理机构提出，以便补齐。如有疑问，应按投标人须知前附表规定的时间和形式将提出的问题送达采购代理机构，要求对招标文件予以澄清。</w:t>
      </w:r>
    </w:p>
    <w:p>
      <w:pPr>
        <w:pStyle w:val="28"/>
        <w:spacing w:line="360" w:lineRule="auto"/>
        <w:rPr>
          <w:rFonts w:ascii="宋体" w:hAnsi="宋体" w:eastAsia="宋体" w:cs="宋体"/>
          <w:spacing w:val="14"/>
          <w:sz w:val="24"/>
          <w:szCs w:val="24"/>
          <w:highlight w:val="none"/>
        </w:rPr>
      </w:pPr>
      <w:r>
        <w:rPr>
          <w:rFonts w:hint="eastAsia" w:ascii="宋体" w:hAnsi="宋体" w:eastAsia="宋体" w:cs="宋体"/>
          <w:spacing w:val="14"/>
          <w:sz w:val="24"/>
          <w:szCs w:val="24"/>
          <w:highlight w:val="none"/>
        </w:rPr>
        <w:t>2.2.2 招标文件的澄清、修改按投标人须知前附表规定的形式发出。澄清、修改发出的时间距投标截止时间不足15日的，并且修改内容可能影响投标文件编制的，将相应延长投标截止时间。</w:t>
      </w:r>
    </w:p>
    <w:p>
      <w:pPr>
        <w:pStyle w:val="28"/>
        <w:spacing w:line="360" w:lineRule="auto"/>
        <w:rPr>
          <w:rFonts w:ascii="宋体" w:hAnsi="宋体" w:eastAsia="宋体" w:cs="宋体"/>
          <w:spacing w:val="14"/>
          <w:sz w:val="24"/>
          <w:szCs w:val="24"/>
          <w:highlight w:val="none"/>
        </w:rPr>
      </w:pPr>
      <w:r>
        <w:rPr>
          <w:rFonts w:hint="eastAsia" w:ascii="宋体" w:hAnsi="宋体" w:eastAsia="宋体" w:cs="宋体"/>
          <w:spacing w:val="14"/>
          <w:sz w:val="24"/>
          <w:szCs w:val="24"/>
          <w:highlight w:val="none"/>
        </w:rPr>
        <w:t>2.2.3 除非采购人认为确有必要答复，否则，采购人有权拒绝回复投标人在本章第 2.2.1 项规定的时间后的任何澄清要求。</w:t>
      </w:r>
    </w:p>
    <w:p>
      <w:pPr>
        <w:pStyle w:val="47"/>
        <w:spacing w:before="0" w:after="0" w:line="360" w:lineRule="auto"/>
        <w:outlineLvl w:val="9"/>
        <w:rPr>
          <w:rFonts w:ascii="宋体" w:hAnsi="宋体" w:eastAsia="宋体" w:cs="宋体"/>
          <w:spacing w:val="14"/>
          <w:sz w:val="24"/>
          <w:szCs w:val="24"/>
          <w:highlight w:val="none"/>
        </w:rPr>
      </w:pPr>
      <w:bookmarkStart w:id="46" w:name="_Toc31809"/>
      <w:bookmarkStart w:id="47" w:name="_Toc1660798"/>
      <w:r>
        <w:rPr>
          <w:rFonts w:hint="eastAsia" w:ascii="宋体" w:hAnsi="宋体" w:eastAsia="宋体" w:cs="宋体"/>
          <w:spacing w:val="14"/>
          <w:sz w:val="24"/>
          <w:szCs w:val="24"/>
          <w:highlight w:val="none"/>
        </w:rPr>
        <w:t>2.3 招标文件的异议</w:t>
      </w:r>
      <w:bookmarkEnd w:id="46"/>
      <w:bookmarkEnd w:id="47"/>
    </w:p>
    <w:p>
      <w:pPr>
        <w:pStyle w:val="28"/>
        <w:spacing w:line="360" w:lineRule="auto"/>
        <w:rPr>
          <w:rFonts w:ascii="宋体" w:hAnsi="宋体" w:eastAsia="宋体" w:cs="宋体"/>
          <w:spacing w:val="14"/>
          <w:sz w:val="24"/>
          <w:szCs w:val="24"/>
          <w:highlight w:val="none"/>
        </w:rPr>
      </w:pPr>
      <w:r>
        <w:rPr>
          <w:rFonts w:hint="eastAsia" w:ascii="宋体" w:hAnsi="宋体" w:eastAsia="宋体" w:cs="宋体"/>
          <w:spacing w:val="14"/>
          <w:sz w:val="24"/>
          <w:szCs w:val="24"/>
          <w:highlight w:val="none"/>
        </w:rPr>
        <w:t>投标人或者其他利害关系人对招标文件有质疑的，应当在投标截止时间 10 日前以书面形式提出。</w:t>
      </w:r>
    </w:p>
    <w:p>
      <w:pPr>
        <w:pStyle w:val="46"/>
        <w:spacing w:before="0" w:after="0" w:line="360" w:lineRule="auto"/>
        <w:outlineLvl w:val="9"/>
        <w:rPr>
          <w:rFonts w:ascii="宋体" w:hAnsi="宋体" w:cs="宋体"/>
          <w:sz w:val="24"/>
          <w:szCs w:val="24"/>
          <w:highlight w:val="none"/>
        </w:rPr>
      </w:pPr>
      <w:bookmarkStart w:id="48" w:name="_Toc8726"/>
      <w:bookmarkStart w:id="49" w:name="_Toc1660799"/>
      <w:bookmarkStart w:id="50" w:name="_Toc256000008"/>
      <w:r>
        <w:rPr>
          <w:rFonts w:hint="eastAsia" w:ascii="宋体" w:hAnsi="宋体" w:cs="宋体"/>
          <w:sz w:val="24"/>
          <w:szCs w:val="24"/>
          <w:highlight w:val="none"/>
        </w:rPr>
        <w:t>3、投标文件</w:t>
      </w:r>
      <w:bookmarkEnd w:id="48"/>
      <w:bookmarkEnd w:id="49"/>
      <w:bookmarkEnd w:id="50"/>
    </w:p>
    <w:p>
      <w:pPr>
        <w:pStyle w:val="47"/>
        <w:spacing w:before="0" w:after="0" w:line="360" w:lineRule="auto"/>
        <w:outlineLvl w:val="9"/>
        <w:rPr>
          <w:rFonts w:ascii="宋体" w:hAnsi="宋体" w:eastAsia="宋体" w:cs="宋体"/>
          <w:spacing w:val="14"/>
          <w:sz w:val="24"/>
          <w:szCs w:val="24"/>
          <w:highlight w:val="none"/>
        </w:rPr>
      </w:pPr>
      <w:bookmarkStart w:id="51" w:name="_Toc1660800"/>
      <w:bookmarkStart w:id="52" w:name="_Toc18140"/>
      <w:r>
        <w:rPr>
          <w:rFonts w:hint="eastAsia" w:ascii="宋体" w:hAnsi="宋体" w:eastAsia="宋体" w:cs="宋体"/>
          <w:spacing w:val="14"/>
          <w:sz w:val="24"/>
          <w:szCs w:val="24"/>
          <w:highlight w:val="none"/>
        </w:rPr>
        <w:t>3.1 投标文件的组成</w:t>
      </w:r>
      <w:bookmarkEnd w:id="51"/>
      <w:bookmarkEnd w:id="52"/>
    </w:p>
    <w:p>
      <w:pPr>
        <w:pStyle w:val="28"/>
        <w:spacing w:line="360" w:lineRule="auto"/>
        <w:rPr>
          <w:rFonts w:ascii="宋体" w:hAnsi="宋体" w:eastAsia="宋体" w:cs="宋体"/>
          <w:spacing w:val="14"/>
          <w:sz w:val="24"/>
          <w:szCs w:val="24"/>
          <w:highlight w:val="none"/>
        </w:rPr>
      </w:pPr>
      <w:r>
        <w:rPr>
          <w:rFonts w:hint="eastAsia" w:ascii="宋体" w:hAnsi="宋体" w:eastAsia="宋体" w:cs="宋体"/>
          <w:spacing w:val="14"/>
          <w:sz w:val="24"/>
          <w:szCs w:val="24"/>
          <w:highlight w:val="none"/>
        </w:rPr>
        <w:t>3.1.1 投标文件应包括下列内容（详见招标文件第七章“投标文件格式”）：</w:t>
      </w:r>
    </w:p>
    <w:p>
      <w:pPr>
        <w:pStyle w:val="28"/>
        <w:spacing w:line="360" w:lineRule="auto"/>
        <w:rPr>
          <w:rFonts w:ascii="宋体" w:hAnsi="宋体" w:eastAsia="宋体" w:cs="宋体"/>
          <w:spacing w:val="14"/>
          <w:sz w:val="24"/>
          <w:szCs w:val="24"/>
          <w:highlight w:val="none"/>
        </w:rPr>
      </w:pPr>
      <w:r>
        <w:rPr>
          <w:rFonts w:hint="eastAsia" w:ascii="宋体" w:hAnsi="宋体" w:eastAsia="宋体" w:cs="宋体"/>
          <w:spacing w:val="14"/>
          <w:sz w:val="24"/>
          <w:szCs w:val="24"/>
          <w:highlight w:val="none"/>
        </w:rPr>
        <w:t>（1）投标函；</w:t>
      </w:r>
    </w:p>
    <w:p>
      <w:pPr>
        <w:pStyle w:val="28"/>
        <w:spacing w:line="360" w:lineRule="auto"/>
        <w:rPr>
          <w:rFonts w:ascii="宋体" w:hAnsi="宋体" w:eastAsia="宋体" w:cs="宋体"/>
          <w:spacing w:val="14"/>
          <w:sz w:val="24"/>
          <w:szCs w:val="24"/>
          <w:highlight w:val="none"/>
        </w:rPr>
      </w:pPr>
      <w:r>
        <w:rPr>
          <w:rFonts w:hint="eastAsia" w:ascii="宋体" w:hAnsi="宋体" w:eastAsia="宋体" w:cs="宋体"/>
          <w:spacing w:val="14"/>
          <w:sz w:val="24"/>
          <w:szCs w:val="24"/>
          <w:highlight w:val="none"/>
        </w:rPr>
        <w:t>（2）法定代表人授权书；</w:t>
      </w:r>
    </w:p>
    <w:p>
      <w:pPr>
        <w:pStyle w:val="28"/>
        <w:spacing w:line="360" w:lineRule="auto"/>
        <w:rPr>
          <w:rFonts w:ascii="宋体" w:hAnsi="宋体" w:eastAsia="宋体" w:cs="宋体"/>
          <w:spacing w:val="14"/>
          <w:sz w:val="24"/>
          <w:szCs w:val="24"/>
          <w:highlight w:val="none"/>
        </w:rPr>
      </w:pPr>
      <w:r>
        <w:rPr>
          <w:rFonts w:hint="eastAsia" w:ascii="宋体" w:hAnsi="宋体" w:eastAsia="宋体" w:cs="宋体"/>
          <w:spacing w:val="14"/>
          <w:sz w:val="24"/>
          <w:szCs w:val="24"/>
          <w:highlight w:val="none"/>
        </w:rPr>
        <w:t>（3）资格证明材料</w:t>
      </w:r>
    </w:p>
    <w:p>
      <w:pPr>
        <w:pStyle w:val="28"/>
        <w:spacing w:line="360" w:lineRule="auto"/>
        <w:rPr>
          <w:rFonts w:ascii="宋体" w:hAnsi="宋体" w:eastAsia="宋体" w:cs="宋体"/>
          <w:spacing w:val="14"/>
          <w:sz w:val="24"/>
          <w:szCs w:val="24"/>
          <w:highlight w:val="none"/>
        </w:rPr>
      </w:pPr>
      <w:r>
        <w:rPr>
          <w:rFonts w:hint="eastAsia" w:ascii="宋体" w:hAnsi="宋体" w:eastAsia="宋体" w:cs="宋体"/>
          <w:spacing w:val="14"/>
          <w:sz w:val="24"/>
          <w:szCs w:val="24"/>
          <w:highlight w:val="none"/>
        </w:rPr>
        <w:t>（4）开标一览表；</w:t>
      </w:r>
    </w:p>
    <w:p>
      <w:pPr>
        <w:pStyle w:val="28"/>
        <w:spacing w:line="360" w:lineRule="auto"/>
        <w:rPr>
          <w:rFonts w:ascii="宋体" w:hAnsi="宋体" w:eastAsia="宋体" w:cs="宋体"/>
          <w:spacing w:val="14"/>
          <w:sz w:val="24"/>
          <w:szCs w:val="24"/>
          <w:highlight w:val="none"/>
        </w:rPr>
      </w:pPr>
      <w:r>
        <w:rPr>
          <w:rFonts w:hint="eastAsia" w:ascii="宋体" w:hAnsi="宋体" w:eastAsia="宋体" w:cs="宋体"/>
          <w:spacing w:val="14"/>
          <w:sz w:val="24"/>
          <w:szCs w:val="24"/>
          <w:highlight w:val="none"/>
        </w:rPr>
        <w:t>（5）报价明细表；</w:t>
      </w:r>
    </w:p>
    <w:p>
      <w:pPr>
        <w:pStyle w:val="28"/>
        <w:spacing w:line="360" w:lineRule="auto"/>
        <w:rPr>
          <w:rFonts w:ascii="宋体" w:hAnsi="宋体" w:eastAsia="宋体" w:cs="宋体"/>
          <w:spacing w:val="14"/>
          <w:sz w:val="24"/>
          <w:szCs w:val="24"/>
          <w:highlight w:val="none"/>
        </w:rPr>
      </w:pPr>
      <w:r>
        <w:rPr>
          <w:rFonts w:hint="eastAsia" w:ascii="宋体" w:hAnsi="宋体" w:eastAsia="宋体" w:cs="宋体"/>
          <w:spacing w:val="14"/>
          <w:sz w:val="24"/>
          <w:szCs w:val="24"/>
          <w:highlight w:val="none"/>
        </w:rPr>
        <w:t>（6）技术要求响应与偏差表；</w:t>
      </w:r>
    </w:p>
    <w:p>
      <w:pPr>
        <w:pStyle w:val="28"/>
        <w:spacing w:line="360" w:lineRule="auto"/>
        <w:rPr>
          <w:rFonts w:ascii="宋体" w:hAnsi="宋体" w:eastAsia="宋体" w:cs="宋体"/>
          <w:spacing w:val="14"/>
          <w:sz w:val="24"/>
          <w:szCs w:val="24"/>
          <w:highlight w:val="none"/>
        </w:rPr>
      </w:pPr>
      <w:r>
        <w:rPr>
          <w:rFonts w:hint="eastAsia" w:ascii="宋体" w:hAnsi="宋体" w:eastAsia="宋体" w:cs="宋体"/>
          <w:spacing w:val="14"/>
          <w:sz w:val="24"/>
          <w:szCs w:val="24"/>
          <w:highlight w:val="none"/>
        </w:rPr>
        <w:t>（7）商务要求响应与偏差表；</w:t>
      </w:r>
    </w:p>
    <w:p>
      <w:pPr>
        <w:pStyle w:val="28"/>
        <w:spacing w:line="360" w:lineRule="auto"/>
        <w:rPr>
          <w:rFonts w:ascii="宋体" w:hAnsi="宋体" w:eastAsia="宋体" w:cs="宋体"/>
          <w:spacing w:val="14"/>
          <w:sz w:val="24"/>
          <w:szCs w:val="24"/>
          <w:highlight w:val="none"/>
        </w:rPr>
      </w:pPr>
      <w:r>
        <w:rPr>
          <w:rFonts w:hint="eastAsia" w:ascii="宋体" w:hAnsi="宋体" w:eastAsia="宋体" w:cs="宋体"/>
          <w:spacing w:val="14"/>
          <w:sz w:val="24"/>
          <w:szCs w:val="24"/>
          <w:highlight w:val="none"/>
        </w:rPr>
        <w:t>（8）项目实施方案；</w:t>
      </w:r>
    </w:p>
    <w:p>
      <w:pPr>
        <w:pStyle w:val="28"/>
        <w:spacing w:line="360" w:lineRule="auto"/>
        <w:rPr>
          <w:rFonts w:ascii="宋体" w:hAnsi="宋体" w:eastAsia="宋体" w:cs="宋体"/>
          <w:spacing w:val="14"/>
          <w:sz w:val="24"/>
          <w:szCs w:val="24"/>
          <w:highlight w:val="none"/>
        </w:rPr>
      </w:pPr>
      <w:r>
        <w:rPr>
          <w:rFonts w:hint="eastAsia" w:ascii="宋体" w:hAnsi="宋体" w:eastAsia="宋体" w:cs="宋体"/>
          <w:spacing w:val="14"/>
          <w:sz w:val="24"/>
          <w:szCs w:val="24"/>
          <w:highlight w:val="none"/>
        </w:rPr>
        <w:t>（9）售后服务计划；</w:t>
      </w:r>
    </w:p>
    <w:p>
      <w:pPr>
        <w:pStyle w:val="28"/>
        <w:spacing w:line="360" w:lineRule="auto"/>
        <w:rPr>
          <w:rFonts w:ascii="宋体" w:hAnsi="宋体" w:eastAsia="宋体" w:cs="宋体"/>
          <w:spacing w:val="14"/>
          <w:sz w:val="24"/>
          <w:szCs w:val="24"/>
          <w:highlight w:val="none"/>
        </w:rPr>
      </w:pPr>
      <w:r>
        <w:rPr>
          <w:rFonts w:hint="eastAsia" w:ascii="宋体" w:hAnsi="宋体" w:eastAsia="宋体" w:cs="宋体"/>
          <w:spacing w:val="14"/>
          <w:sz w:val="24"/>
          <w:szCs w:val="24"/>
          <w:highlight w:val="none"/>
        </w:rPr>
        <w:t>（10）投标人须知前附表规定的其他资料。</w:t>
      </w:r>
    </w:p>
    <w:p>
      <w:pPr>
        <w:pStyle w:val="28"/>
        <w:spacing w:line="360" w:lineRule="auto"/>
        <w:rPr>
          <w:rFonts w:ascii="宋体" w:hAnsi="宋体" w:eastAsia="宋体" w:cs="宋体"/>
          <w:spacing w:val="14"/>
          <w:sz w:val="24"/>
          <w:szCs w:val="24"/>
          <w:highlight w:val="none"/>
        </w:rPr>
      </w:pPr>
      <w:r>
        <w:rPr>
          <w:rFonts w:hint="eastAsia" w:ascii="宋体" w:hAnsi="宋体" w:eastAsia="宋体" w:cs="宋体"/>
          <w:spacing w:val="14"/>
          <w:sz w:val="24"/>
          <w:szCs w:val="24"/>
          <w:highlight w:val="none"/>
        </w:rPr>
        <w:t>投标人在评标过程中作出的符合法律法规和招标文件规定的澄清确认，构成投标文件的组成部分。</w:t>
      </w:r>
    </w:p>
    <w:p>
      <w:pPr>
        <w:pStyle w:val="47"/>
        <w:spacing w:before="0" w:after="0" w:line="360" w:lineRule="auto"/>
        <w:outlineLvl w:val="9"/>
        <w:rPr>
          <w:rFonts w:ascii="宋体" w:hAnsi="宋体" w:eastAsia="宋体" w:cs="宋体"/>
          <w:spacing w:val="14"/>
          <w:sz w:val="24"/>
          <w:szCs w:val="24"/>
          <w:highlight w:val="none"/>
        </w:rPr>
      </w:pPr>
      <w:bookmarkStart w:id="53" w:name="_Toc13676"/>
      <w:bookmarkStart w:id="54" w:name="_Toc1660801"/>
      <w:r>
        <w:rPr>
          <w:rFonts w:hint="eastAsia" w:ascii="宋体" w:hAnsi="宋体" w:eastAsia="宋体" w:cs="宋体"/>
          <w:spacing w:val="14"/>
          <w:sz w:val="24"/>
          <w:szCs w:val="24"/>
          <w:highlight w:val="none"/>
        </w:rPr>
        <w:t>3.2 投标报价</w:t>
      </w:r>
      <w:bookmarkEnd w:id="53"/>
      <w:bookmarkEnd w:id="54"/>
    </w:p>
    <w:p>
      <w:pPr>
        <w:pStyle w:val="28"/>
        <w:spacing w:line="360" w:lineRule="auto"/>
        <w:rPr>
          <w:rFonts w:ascii="宋体" w:hAnsi="宋体" w:eastAsia="宋体" w:cs="宋体"/>
          <w:spacing w:val="14"/>
          <w:sz w:val="24"/>
          <w:szCs w:val="24"/>
          <w:highlight w:val="none"/>
        </w:rPr>
      </w:pPr>
      <w:r>
        <w:rPr>
          <w:rFonts w:hint="eastAsia" w:ascii="宋体" w:hAnsi="宋体" w:eastAsia="宋体" w:cs="宋体"/>
          <w:spacing w:val="14"/>
          <w:sz w:val="24"/>
          <w:szCs w:val="24"/>
          <w:highlight w:val="none"/>
        </w:rPr>
        <w:t>3.2.1 投标报价涉及货币的应为人民币，包括国家规定的增值税税金。投标人应按第七章“投标文件格式”的要求进行报价并填写报价明细表。</w:t>
      </w:r>
    </w:p>
    <w:p>
      <w:pPr>
        <w:pStyle w:val="28"/>
        <w:spacing w:line="360" w:lineRule="auto"/>
        <w:rPr>
          <w:rFonts w:ascii="宋体" w:hAnsi="宋体" w:eastAsia="宋体" w:cs="宋体"/>
          <w:spacing w:val="14"/>
          <w:sz w:val="24"/>
          <w:szCs w:val="24"/>
          <w:highlight w:val="none"/>
        </w:rPr>
      </w:pPr>
      <w:r>
        <w:rPr>
          <w:rFonts w:hint="eastAsia" w:ascii="宋体" w:hAnsi="宋体" w:eastAsia="宋体" w:cs="宋体"/>
          <w:spacing w:val="14"/>
          <w:sz w:val="24"/>
          <w:szCs w:val="24"/>
          <w:highlight w:val="none"/>
        </w:rPr>
        <w:t>3.2.2 投标人应充分了解该项目的总体情况以及影响投标报价的其他要素。</w:t>
      </w:r>
    </w:p>
    <w:p>
      <w:pPr>
        <w:pStyle w:val="28"/>
        <w:spacing w:line="360" w:lineRule="auto"/>
        <w:rPr>
          <w:rFonts w:ascii="宋体" w:hAnsi="宋体" w:eastAsia="宋体" w:cs="宋体"/>
          <w:spacing w:val="14"/>
          <w:sz w:val="24"/>
          <w:szCs w:val="24"/>
          <w:highlight w:val="none"/>
        </w:rPr>
      </w:pPr>
      <w:r>
        <w:rPr>
          <w:rFonts w:hint="eastAsia" w:ascii="宋体" w:hAnsi="宋体" w:eastAsia="宋体" w:cs="宋体"/>
          <w:spacing w:val="14"/>
          <w:sz w:val="24"/>
          <w:szCs w:val="24"/>
          <w:highlight w:val="none"/>
        </w:rPr>
        <w:t>3.2.3 投标报价为各分项报价金额之和，投标报价与分项报价的合价不一致的，应以各分项合价累计数为准，修正投标报价；如分项报价中存在缺漏项，则视为缺漏项价格已包含在其他分项报价之中。</w:t>
      </w:r>
    </w:p>
    <w:p>
      <w:pPr>
        <w:pStyle w:val="28"/>
        <w:spacing w:line="360" w:lineRule="auto"/>
        <w:rPr>
          <w:rFonts w:ascii="宋体" w:hAnsi="宋体" w:eastAsia="宋体" w:cs="宋体"/>
          <w:spacing w:val="14"/>
          <w:sz w:val="24"/>
          <w:szCs w:val="24"/>
          <w:highlight w:val="none"/>
        </w:rPr>
      </w:pPr>
      <w:r>
        <w:rPr>
          <w:rFonts w:hint="eastAsia" w:ascii="宋体" w:hAnsi="宋体" w:eastAsia="宋体" w:cs="宋体"/>
          <w:spacing w:val="14"/>
          <w:sz w:val="24"/>
          <w:szCs w:val="24"/>
          <w:highlight w:val="none"/>
        </w:rPr>
        <w:t>3.2.4 采购人设有预算控制金额的，投标人的投标报价不得超过预算控制金额，预算控制金额在投标人须知前附表中载明。</w:t>
      </w:r>
    </w:p>
    <w:p>
      <w:pPr>
        <w:pStyle w:val="28"/>
        <w:spacing w:line="360" w:lineRule="auto"/>
        <w:rPr>
          <w:rFonts w:ascii="宋体" w:hAnsi="宋体" w:eastAsia="宋体" w:cs="宋体"/>
          <w:spacing w:val="14"/>
          <w:sz w:val="24"/>
          <w:szCs w:val="24"/>
          <w:highlight w:val="none"/>
        </w:rPr>
      </w:pPr>
      <w:r>
        <w:rPr>
          <w:rFonts w:hint="eastAsia" w:ascii="宋体" w:hAnsi="宋体" w:eastAsia="宋体" w:cs="宋体"/>
          <w:spacing w:val="14"/>
          <w:sz w:val="24"/>
          <w:szCs w:val="24"/>
          <w:highlight w:val="none"/>
        </w:rPr>
        <w:t>3.2.5 投标报价的其他要求见投标人须知前附表。</w:t>
      </w:r>
    </w:p>
    <w:p>
      <w:pPr>
        <w:pStyle w:val="47"/>
        <w:spacing w:before="0" w:after="0" w:line="360" w:lineRule="auto"/>
        <w:outlineLvl w:val="9"/>
        <w:rPr>
          <w:rFonts w:ascii="宋体" w:hAnsi="宋体" w:eastAsia="宋体" w:cs="宋体"/>
          <w:spacing w:val="14"/>
          <w:sz w:val="24"/>
          <w:szCs w:val="24"/>
          <w:highlight w:val="none"/>
        </w:rPr>
      </w:pPr>
      <w:bookmarkStart w:id="55" w:name="_Toc1660802"/>
      <w:bookmarkStart w:id="56" w:name="_Toc13314"/>
      <w:r>
        <w:rPr>
          <w:rFonts w:hint="eastAsia" w:ascii="宋体" w:hAnsi="宋体" w:eastAsia="宋体" w:cs="宋体"/>
          <w:spacing w:val="14"/>
          <w:sz w:val="24"/>
          <w:szCs w:val="24"/>
          <w:highlight w:val="none"/>
        </w:rPr>
        <w:t>3.3 投标有效期</w:t>
      </w:r>
      <w:bookmarkEnd w:id="55"/>
      <w:bookmarkEnd w:id="56"/>
    </w:p>
    <w:p>
      <w:pPr>
        <w:pStyle w:val="28"/>
        <w:spacing w:line="360" w:lineRule="auto"/>
        <w:rPr>
          <w:rFonts w:ascii="宋体" w:hAnsi="宋体" w:eastAsia="宋体" w:cs="宋体"/>
          <w:spacing w:val="14"/>
          <w:sz w:val="24"/>
          <w:szCs w:val="24"/>
          <w:highlight w:val="none"/>
        </w:rPr>
      </w:pPr>
      <w:r>
        <w:rPr>
          <w:rFonts w:hint="eastAsia" w:ascii="宋体" w:hAnsi="宋体" w:eastAsia="宋体" w:cs="宋体"/>
          <w:spacing w:val="14"/>
          <w:sz w:val="24"/>
          <w:szCs w:val="24"/>
          <w:highlight w:val="none"/>
        </w:rPr>
        <w:t>3.3.1 除投标人须知前附表另有规定外，投标有效期为90天。</w:t>
      </w:r>
    </w:p>
    <w:p>
      <w:pPr>
        <w:pStyle w:val="28"/>
        <w:spacing w:line="360" w:lineRule="auto"/>
        <w:rPr>
          <w:rFonts w:ascii="宋体" w:hAnsi="宋体" w:eastAsia="宋体" w:cs="宋体"/>
          <w:spacing w:val="14"/>
          <w:sz w:val="24"/>
          <w:szCs w:val="24"/>
          <w:highlight w:val="none"/>
        </w:rPr>
      </w:pPr>
      <w:r>
        <w:rPr>
          <w:rFonts w:hint="eastAsia" w:ascii="宋体" w:hAnsi="宋体" w:eastAsia="宋体" w:cs="宋体"/>
          <w:spacing w:val="14"/>
          <w:sz w:val="24"/>
          <w:szCs w:val="24"/>
          <w:highlight w:val="none"/>
        </w:rPr>
        <w:t>3.3.2 在投标有效期内，投标人撤销投标文件的，应承担招标文件和法律规定的责任。</w:t>
      </w:r>
    </w:p>
    <w:p>
      <w:pPr>
        <w:pStyle w:val="28"/>
        <w:spacing w:line="360" w:lineRule="auto"/>
        <w:rPr>
          <w:rFonts w:ascii="宋体" w:hAnsi="宋体" w:eastAsia="宋体" w:cs="宋体"/>
          <w:spacing w:val="14"/>
          <w:sz w:val="24"/>
          <w:szCs w:val="24"/>
          <w:highlight w:val="none"/>
        </w:rPr>
      </w:pPr>
      <w:r>
        <w:rPr>
          <w:rFonts w:hint="eastAsia" w:ascii="宋体" w:hAnsi="宋体" w:eastAsia="宋体" w:cs="宋体"/>
          <w:spacing w:val="14"/>
          <w:sz w:val="24"/>
          <w:szCs w:val="24"/>
          <w:highlight w:val="none"/>
        </w:rPr>
        <w:t>3.3.3 出现特殊情况需要延长投标有效期的，采购人以书面形式通知所有投标人延长投标有效期。投标人应予以书面答复，同意延长的，应相应延长其投标保证金的有效期，但不得要求或被允许修改其投标文件；投标人拒绝延长的，其投标失效，但投标人有权收回其投标保证金。</w:t>
      </w:r>
    </w:p>
    <w:p>
      <w:pPr>
        <w:pStyle w:val="47"/>
        <w:spacing w:before="0" w:after="0" w:line="360" w:lineRule="auto"/>
        <w:outlineLvl w:val="9"/>
        <w:rPr>
          <w:rFonts w:ascii="宋体" w:hAnsi="宋体" w:eastAsia="宋体" w:cs="宋体"/>
          <w:spacing w:val="14"/>
          <w:sz w:val="24"/>
          <w:szCs w:val="24"/>
          <w:highlight w:val="none"/>
        </w:rPr>
      </w:pPr>
      <w:bookmarkStart w:id="57" w:name="_Toc30367"/>
      <w:bookmarkStart w:id="58" w:name="_Toc1660803"/>
      <w:r>
        <w:rPr>
          <w:rFonts w:hint="eastAsia" w:ascii="宋体" w:hAnsi="宋体" w:eastAsia="宋体" w:cs="宋体"/>
          <w:spacing w:val="14"/>
          <w:sz w:val="24"/>
          <w:szCs w:val="24"/>
          <w:highlight w:val="none"/>
        </w:rPr>
        <w:t>3.4 投标保证金</w:t>
      </w:r>
      <w:bookmarkEnd w:id="57"/>
      <w:bookmarkEnd w:id="58"/>
      <w:r>
        <w:rPr>
          <w:rFonts w:hint="eastAsia" w:ascii="宋体" w:hAnsi="宋体" w:eastAsia="宋体" w:cs="宋体"/>
          <w:spacing w:val="14"/>
          <w:sz w:val="24"/>
          <w:szCs w:val="24"/>
          <w:highlight w:val="none"/>
        </w:rPr>
        <w:t>（本项目不适用）</w:t>
      </w:r>
    </w:p>
    <w:p>
      <w:pPr>
        <w:pStyle w:val="28"/>
        <w:spacing w:line="360" w:lineRule="auto"/>
        <w:rPr>
          <w:rFonts w:ascii="宋体" w:hAnsi="宋体" w:eastAsia="宋体" w:cs="宋体"/>
          <w:spacing w:val="14"/>
          <w:sz w:val="24"/>
          <w:szCs w:val="24"/>
          <w:highlight w:val="none"/>
        </w:rPr>
      </w:pPr>
      <w:bookmarkStart w:id="59" w:name="_Toc1660804"/>
      <w:bookmarkStart w:id="60" w:name="_Toc23577"/>
      <w:r>
        <w:rPr>
          <w:rFonts w:hint="eastAsia" w:ascii="宋体" w:hAnsi="宋体" w:eastAsia="宋体" w:cs="宋体"/>
          <w:spacing w:val="14"/>
          <w:sz w:val="24"/>
          <w:szCs w:val="24"/>
          <w:highlight w:val="none"/>
        </w:rPr>
        <w:t>3.4.1 投标人在提交投标文件的同时，应按投标人须知前附表规定缴纳投标保证金，并作为其投标文件的组成部分。联合体投标的，其投标保证金由牵头人提交，并应符合投标人须知前附表的规定。</w:t>
      </w:r>
    </w:p>
    <w:p>
      <w:pPr>
        <w:pStyle w:val="28"/>
        <w:spacing w:line="360" w:lineRule="auto"/>
        <w:rPr>
          <w:rFonts w:ascii="宋体" w:hAnsi="宋体" w:eastAsia="宋体" w:cs="宋体"/>
          <w:spacing w:val="14"/>
          <w:sz w:val="24"/>
          <w:szCs w:val="24"/>
          <w:highlight w:val="none"/>
        </w:rPr>
      </w:pPr>
      <w:r>
        <w:rPr>
          <w:rFonts w:hint="eastAsia" w:ascii="宋体" w:hAnsi="宋体" w:eastAsia="宋体" w:cs="宋体"/>
          <w:spacing w:val="14"/>
          <w:sz w:val="24"/>
          <w:szCs w:val="24"/>
          <w:highlight w:val="none"/>
        </w:rPr>
        <w:t>3.4.2 投标人不按本章第 3.4.1 项要求提交投标保证金的，评标委员会将否决其投标。</w:t>
      </w:r>
    </w:p>
    <w:p>
      <w:pPr>
        <w:pStyle w:val="28"/>
        <w:spacing w:line="360" w:lineRule="auto"/>
        <w:rPr>
          <w:rFonts w:ascii="宋体" w:hAnsi="宋体" w:eastAsia="宋体" w:cs="宋体"/>
          <w:spacing w:val="14"/>
          <w:sz w:val="24"/>
          <w:szCs w:val="24"/>
          <w:highlight w:val="none"/>
        </w:rPr>
      </w:pPr>
      <w:r>
        <w:rPr>
          <w:rFonts w:hint="eastAsia" w:ascii="宋体" w:hAnsi="宋体" w:eastAsia="宋体" w:cs="宋体"/>
          <w:spacing w:val="14"/>
          <w:sz w:val="24"/>
          <w:szCs w:val="24"/>
          <w:highlight w:val="none"/>
        </w:rPr>
        <w:t>3.4.3自《中标通知书》发出之日起5个工作日内退还未中标人的投标保证金，自采购合同签订之日起5个工作日内（中标人通过洛阳市电子招投标交易平台上传合同扫描件，提交退还保证金申请）退还中标人的投标保证金。</w:t>
      </w:r>
    </w:p>
    <w:p>
      <w:pPr>
        <w:pStyle w:val="28"/>
        <w:spacing w:line="360" w:lineRule="auto"/>
        <w:rPr>
          <w:rFonts w:ascii="宋体" w:hAnsi="宋体" w:eastAsia="宋体" w:cs="宋体"/>
          <w:spacing w:val="14"/>
          <w:sz w:val="24"/>
          <w:szCs w:val="24"/>
          <w:highlight w:val="none"/>
        </w:rPr>
      </w:pPr>
      <w:r>
        <w:rPr>
          <w:rFonts w:hint="eastAsia" w:ascii="宋体" w:hAnsi="宋体" w:eastAsia="宋体" w:cs="宋体"/>
          <w:spacing w:val="14"/>
          <w:sz w:val="24"/>
          <w:szCs w:val="24"/>
          <w:highlight w:val="none"/>
        </w:rPr>
        <w:t>3.4.4 有下列情形之一的，投标保证金将不予退还：</w:t>
      </w:r>
    </w:p>
    <w:p>
      <w:pPr>
        <w:pStyle w:val="28"/>
        <w:spacing w:line="360" w:lineRule="auto"/>
        <w:rPr>
          <w:rFonts w:ascii="宋体" w:hAnsi="宋体" w:eastAsia="宋体" w:cs="宋体"/>
          <w:spacing w:val="14"/>
          <w:sz w:val="24"/>
          <w:szCs w:val="24"/>
          <w:highlight w:val="none"/>
        </w:rPr>
      </w:pPr>
      <w:r>
        <w:rPr>
          <w:rFonts w:hint="eastAsia" w:ascii="宋体" w:hAnsi="宋体" w:eastAsia="宋体" w:cs="宋体"/>
          <w:spacing w:val="14"/>
          <w:sz w:val="24"/>
          <w:szCs w:val="24"/>
          <w:highlight w:val="none"/>
        </w:rPr>
        <w:t>（1）投标人在投标有效期内撤销投标文件；</w:t>
      </w:r>
    </w:p>
    <w:p>
      <w:pPr>
        <w:pStyle w:val="28"/>
        <w:spacing w:line="360" w:lineRule="auto"/>
        <w:rPr>
          <w:rFonts w:ascii="宋体" w:hAnsi="宋体" w:eastAsia="宋体" w:cs="宋体"/>
          <w:spacing w:val="14"/>
          <w:sz w:val="24"/>
          <w:szCs w:val="24"/>
          <w:highlight w:val="none"/>
        </w:rPr>
      </w:pPr>
      <w:r>
        <w:rPr>
          <w:rFonts w:hint="eastAsia" w:ascii="宋体" w:hAnsi="宋体" w:eastAsia="宋体" w:cs="宋体"/>
          <w:spacing w:val="14"/>
          <w:sz w:val="24"/>
          <w:szCs w:val="24"/>
          <w:highlight w:val="none"/>
        </w:rPr>
        <w:t>（2）在禁止参加政府采购活动的处罚有效期内，投标人仍参加政府采购活动；</w:t>
      </w:r>
    </w:p>
    <w:p>
      <w:pPr>
        <w:pStyle w:val="28"/>
        <w:spacing w:line="360" w:lineRule="auto"/>
        <w:rPr>
          <w:rFonts w:ascii="宋体" w:hAnsi="宋体" w:eastAsia="宋体" w:cs="宋体"/>
          <w:spacing w:val="14"/>
          <w:sz w:val="24"/>
          <w:szCs w:val="24"/>
          <w:highlight w:val="none"/>
        </w:rPr>
      </w:pPr>
      <w:r>
        <w:rPr>
          <w:rFonts w:hint="eastAsia" w:ascii="宋体" w:hAnsi="宋体" w:eastAsia="宋体" w:cs="宋体"/>
          <w:spacing w:val="14"/>
          <w:sz w:val="24"/>
          <w:szCs w:val="24"/>
          <w:highlight w:val="none"/>
        </w:rPr>
        <w:t>（3）中标人无正当理由不与采购人订立合同，在签订合同时向采购人提出附加条件，或者不按照招标文件要求提交履约保证金；</w:t>
      </w:r>
    </w:p>
    <w:p>
      <w:pPr>
        <w:pStyle w:val="28"/>
        <w:spacing w:line="360" w:lineRule="auto"/>
        <w:rPr>
          <w:rFonts w:ascii="宋体" w:hAnsi="宋体" w:eastAsia="宋体" w:cs="宋体"/>
          <w:spacing w:val="14"/>
          <w:sz w:val="24"/>
          <w:szCs w:val="24"/>
          <w:highlight w:val="none"/>
        </w:rPr>
      </w:pPr>
      <w:r>
        <w:rPr>
          <w:rFonts w:hint="eastAsia" w:ascii="宋体" w:hAnsi="宋体" w:eastAsia="宋体" w:cs="宋体"/>
          <w:spacing w:val="14"/>
          <w:sz w:val="24"/>
          <w:szCs w:val="24"/>
          <w:highlight w:val="none"/>
        </w:rPr>
        <w:t>（4）发生投标人须知前附表规定的其他可以不予退还投标保证金的情形。</w:t>
      </w:r>
    </w:p>
    <w:p>
      <w:pPr>
        <w:pStyle w:val="47"/>
        <w:spacing w:before="0" w:after="0" w:line="360" w:lineRule="auto"/>
        <w:outlineLvl w:val="9"/>
        <w:rPr>
          <w:rFonts w:ascii="宋体" w:hAnsi="宋体" w:eastAsia="宋体" w:cs="宋体"/>
          <w:spacing w:val="14"/>
          <w:sz w:val="24"/>
          <w:szCs w:val="24"/>
          <w:highlight w:val="none"/>
        </w:rPr>
      </w:pPr>
      <w:r>
        <w:rPr>
          <w:rFonts w:hint="eastAsia" w:ascii="宋体" w:hAnsi="宋体" w:eastAsia="宋体" w:cs="宋体"/>
          <w:spacing w:val="14"/>
          <w:sz w:val="24"/>
          <w:szCs w:val="24"/>
          <w:highlight w:val="none"/>
        </w:rPr>
        <w:t>3.5 资格审查资料</w:t>
      </w:r>
      <w:bookmarkEnd w:id="59"/>
      <w:bookmarkEnd w:id="60"/>
    </w:p>
    <w:p>
      <w:pPr>
        <w:pStyle w:val="28"/>
        <w:spacing w:line="360" w:lineRule="auto"/>
        <w:rPr>
          <w:rFonts w:ascii="宋体" w:hAnsi="宋体" w:eastAsia="宋体" w:cs="宋体"/>
          <w:spacing w:val="14"/>
          <w:sz w:val="24"/>
          <w:szCs w:val="24"/>
          <w:highlight w:val="none"/>
        </w:rPr>
      </w:pPr>
      <w:r>
        <w:rPr>
          <w:rFonts w:hint="eastAsia" w:ascii="宋体" w:hAnsi="宋体" w:eastAsia="宋体" w:cs="宋体"/>
          <w:spacing w:val="14"/>
          <w:sz w:val="24"/>
          <w:szCs w:val="24"/>
          <w:highlight w:val="none"/>
        </w:rPr>
        <w:t>3.5.1根据第六章内容提供证明材料。</w:t>
      </w:r>
    </w:p>
    <w:p>
      <w:pPr>
        <w:pStyle w:val="28"/>
        <w:spacing w:line="360" w:lineRule="auto"/>
        <w:rPr>
          <w:rFonts w:ascii="宋体" w:hAnsi="宋体" w:eastAsia="宋体" w:cs="宋体"/>
          <w:spacing w:val="14"/>
          <w:sz w:val="24"/>
          <w:szCs w:val="24"/>
          <w:highlight w:val="none"/>
        </w:rPr>
      </w:pPr>
      <w:r>
        <w:rPr>
          <w:rFonts w:hint="eastAsia" w:ascii="宋体" w:hAnsi="宋体" w:eastAsia="宋体" w:cs="宋体"/>
          <w:spacing w:val="14"/>
          <w:sz w:val="24"/>
          <w:szCs w:val="24"/>
          <w:highlight w:val="none"/>
        </w:rPr>
        <w:t>3.5.2投标人须知前附表规定接受联合体投标的，联合体各方均应提供资格审查资料。</w:t>
      </w:r>
    </w:p>
    <w:p>
      <w:pPr>
        <w:pStyle w:val="28"/>
        <w:spacing w:line="360" w:lineRule="auto"/>
        <w:rPr>
          <w:rFonts w:ascii="宋体" w:hAnsi="宋体" w:eastAsia="宋体" w:cs="宋体"/>
          <w:spacing w:val="14"/>
          <w:sz w:val="24"/>
          <w:szCs w:val="24"/>
          <w:highlight w:val="none"/>
        </w:rPr>
      </w:pPr>
      <w:r>
        <w:rPr>
          <w:rFonts w:hint="eastAsia" w:ascii="宋体" w:hAnsi="宋体" w:eastAsia="宋体" w:cs="宋体"/>
          <w:spacing w:val="14"/>
          <w:sz w:val="24"/>
          <w:szCs w:val="24"/>
          <w:highlight w:val="none"/>
        </w:rPr>
        <w:t>3.5.3资格审查资料的特殊要求见投标人须知前附表。</w:t>
      </w:r>
    </w:p>
    <w:p>
      <w:pPr>
        <w:pStyle w:val="47"/>
        <w:spacing w:before="0" w:after="0" w:line="360" w:lineRule="auto"/>
        <w:outlineLvl w:val="9"/>
        <w:rPr>
          <w:rFonts w:ascii="宋体" w:hAnsi="宋体" w:eastAsia="宋体" w:cs="宋体"/>
          <w:spacing w:val="14"/>
          <w:sz w:val="24"/>
          <w:szCs w:val="24"/>
          <w:highlight w:val="none"/>
        </w:rPr>
      </w:pPr>
      <w:bookmarkStart w:id="61" w:name="_Toc10855"/>
      <w:bookmarkStart w:id="62" w:name="_Toc1660805"/>
      <w:r>
        <w:rPr>
          <w:rFonts w:hint="eastAsia" w:ascii="宋体" w:hAnsi="宋体" w:eastAsia="宋体" w:cs="宋体"/>
          <w:spacing w:val="14"/>
          <w:sz w:val="24"/>
          <w:szCs w:val="24"/>
          <w:highlight w:val="none"/>
        </w:rPr>
        <w:t>3.6 备选投标方案</w:t>
      </w:r>
      <w:bookmarkEnd w:id="61"/>
      <w:bookmarkEnd w:id="62"/>
    </w:p>
    <w:p>
      <w:pPr>
        <w:pStyle w:val="28"/>
        <w:spacing w:line="360" w:lineRule="auto"/>
        <w:rPr>
          <w:rFonts w:ascii="宋体" w:hAnsi="宋体" w:eastAsia="宋体" w:cs="宋体"/>
          <w:spacing w:val="14"/>
          <w:sz w:val="24"/>
          <w:szCs w:val="24"/>
          <w:highlight w:val="none"/>
        </w:rPr>
      </w:pPr>
      <w:r>
        <w:rPr>
          <w:rFonts w:hint="eastAsia" w:ascii="宋体" w:hAnsi="宋体" w:eastAsia="宋体" w:cs="宋体"/>
          <w:spacing w:val="14"/>
          <w:sz w:val="24"/>
          <w:szCs w:val="24"/>
          <w:highlight w:val="none"/>
        </w:rPr>
        <w:t>3.6.1 除投标人须知前附表规定允许外，投标人不得提交备选投标方案，否则其投标将被否决。</w:t>
      </w:r>
    </w:p>
    <w:p>
      <w:pPr>
        <w:pStyle w:val="28"/>
        <w:spacing w:line="360" w:lineRule="auto"/>
        <w:rPr>
          <w:rFonts w:ascii="宋体" w:hAnsi="宋体" w:eastAsia="宋体" w:cs="宋体"/>
          <w:spacing w:val="14"/>
          <w:sz w:val="24"/>
          <w:szCs w:val="24"/>
          <w:highlight w:val="none"/>
        </w:rPr>
      </w:pPr>
      <w:r>
        <w:rPr>
          <w:rFonts w:hint="eastAsia" w:ascii="宋体" w:hAnsi="宋体" w:eastAsia="宋体" w:cs="宋体"/>
          <w:spacing w:val="14"/>
          <w:sz w:val="24"/>
          <w:szCs w:val="24"/>
          <w:highlight w:val="none"/>
        </w:rPr>
        <w:t>3.6.2 允许投标人提交备选投标方案的，只有中标人所提交的备选投标方案方可予以考虑。评标委员会认为中标人的备选投标方案优于其按照招标文件要求编制的投标方案的，采购人可以接受该备选投标方案。</w:t>
      </w:r>
    </w:p>
    <w:p>
      <w:pPr>
        <w:pStyle w:val="28"/>
        <w:spacing w:line="360" w:lineRule="auto"/>
        <w:rPr>
          <w:rFonts w:ascii="宋体" w:hAnsi="宋体" w:eastAsia="宋体" w:cs="宋体"/>
          <w:spacing w:val="14"/>
          <w:sz w:val="24"/>
          <w:szCs w:val="24"/>
          <w:highlight w:val="none"/>
        </w:rPr>
      </w:pPr>
      <w:r>
        <w:rPr>
          <w:rFonts w:hint="eastAsia" w:ascii="宋体" w:hAnsi="宋体" w:eastAsia="宋体" w:cs="宋体"/>
          <w:spacing w:val="14"/>
          <w:sz w:val="24"/>
          <w:szCs w:val="24"/>
          <w:highlight w:val="none"/>
        </w:rPr>
        <w:t>3.6.3 投标人提供两个或两个以上投标报价，或者在投标文件中提供一个报价，但同时提供两个或两个以上供货方案的，视为提供备选方案。</w:t>
      </w:r>
    </w:p>
    <w:p>
      <w:pPr>
        <w:pStyle w:val="47"/>
        <w:spacing w:before="0" w:after="0" w:line="360" w:lineRule="auto"/>
        <w:outlineLvl w:val="9"/>
        <w:rPr>
          <w:rFonts w:ascii="宋体" w:hAnsi="宋体" w:eastAsia="宋体" w:cs="宋体"/>
          <w:spacing w:val="14"/>
          <w:sz w:val="24"/>
          <w:szCs w:val="24"/>
          <w:highlight w:val="none"/>
        </w:rPr>
      </w:pPr>
      <w:bookmarkStart w:id="63" w:name="_Toc1660806"/>
      <w:bookmarkStart w:id="64" w:name="_Toc28479"/>
      <w:r>
        <w:rPr>
          <w:rFonts w:hint="eastAsia" w:ascii="宋体" w:hAnsi="宋体" w:eastAsia="宋体" w:cs="宋体"/>
          <w:spacing w:val="14"/>
          <w:sz w:val="24"/>
          <w:szCs w:val="24"/>
          <w:highlight w:val="none"/>
        </w:rPr>
        <w:t>3.7 投标文件的制作</w:t>
      </w:r>
      <w:bookmarkEnd w:id="63"/>
      <w:bookmarkEnd w:id="64"/>
    </w:p>
    <w:p>
      <w:pPr>
        <w:pStyle w:val="28"/>
        <w:spacing w:line="360" w:lineRule="auto"/>
        <w:rPr>
          <w:rFonts w:ascii="宋体" w:hAnsi="宋体" w:eastAsia="宋体" w:cs="宋体"/>
          <w:spacing w:val="14"/>
          <w:sz w:val="24"/>
          <w:szCs w:val="24"/>
          <w:highlight w:val="none"/>
        </w:rPr>
      </w:pPr>
      <w:r>
        <w:rPr>
          <w:rFonts w:hint="eastAsia" w:ascii="宋体" w:hAnsi="宋体" w:eastAsia="宋体" w:cs="宋体"/>
          <w:spacing w:val="14"/>
          <w:sz w:val="24"/>
          <w:szCs w:val="24"/>
          <w:highlight w:val="none"/>
        </w:rPr>
        <w:t>3.7.1投标人登录“洛阳市公共资源交易中心”网站，按要求下载“新点投标文件制作软件”。</w:t>
      </w:r>
    </w:p>
    <w:p>
      <w:pPr>
        <w:pStyle w:val="28"/>
        <w:spacing w:line="360" w:lineRule="auto"/>
        <w:rPr>
          <w:rFonts w:ascii="宋体" w:hAnsi="宋体" w:eastAsia="宋体" w:cs="宋体"/>
          <w:spacing w:val="14"/>
          <w:sz w:val="24"/>
          <w:szCs w:val="24"/>
          <w:highlight w:val="none"/>
        </w:rPr>
      </w:pPr>
      <w:r>
        <w:rPr>
          <w:rFonts w:hint="eastAsia" w:ascii="宋体" w:hAnsi="宋体" w:eastAsia="宋体" w:cs="宋体"/>
          <w:spacing w:val="14"/>
          <w:sz w:val="24"/>
          <w:szCs w:val="24"/>
          <w:highlight w:val="none"/>
        </w:rPr>
        <w:t>3.7.2投标人凭CA锁登录，并按网上提示自行下载招标文件。使用“新点投标文件制作软件”按要求制作电子投标文件。投标人在制作电子投标文件时，应按要求进行电子签章。投标人编辑电子投标文件时，根据招标文件要求用法定代表人CA锁和企业CA锁进行签章制作；最后一步生成电子投标文件（*.lytf格式和*.nlytf格式）时，只能用本单位的企业CA锁。联合体投标的，投标文件由联合体牵头人按上述规定进行签章。</w:t>
      </w:r>
    </w:p>
    <w:p>
      <w:pPr>
        <w:pStyle w:val="28"/>
        <w:spacing w:line="360" w:lineRule="auto"/>
        <w:rPr>
          <w:rFonts w:ascii="宋体" w:hAnsi="宋体" w:eastAsia="宋体" w:cs="宋体"/>
          <w:spacing w:val="14"/>
          <w:sz w:val="24"/>
          <w:szCs w:val="24"/>
          <w:highlight w:val="none"/>
        </w:rPr>
      </w:pPr>
      <w:r>
        <w:rPr>
          <w:rFonts w:hint="eastAsia" w:ascii="宋体" w:hAnsi="宋体" w:eastAsia="宋体" w:cs="宋体"/>
          <w:spacing w:val="14"/>
          <w:sz w:val="24"/>
          <w:szCs w:val="24"/>
          <w:highlight w:val="none"/>
        </w:rPr>
        <w:t>3.7.3加密的电子投标文件为“洛阳市公共资源交易中心”网站提供的“新点投标文件制作软件”制作生成的加密版投标文件。未加密的电子投标文件应与加密的电子投标文件为同时生成的版本。</w:t>
      </w:r>
    </w:p>
    <w:p>
      <w:pPr>
        <w:pStyle w:val="28"/>
        <w:spacing w:line="360" w:lineRule="auto"/>
        <w:rPr>
          <w:rFonts w:ascii="宋体" w:hAnsi="宋体" w:eastAsia="宋体" w:cs="宋体"/>
          <w:spacing w:val="14"/>
          <w:sz w:val="24"/>
          <w:szCs w:val="24"/>
          <w:highlight w:val="none"/>
        </w:rPr>
      </w:pPr>
      <w:r>
        <w:rPr>
          <w:rFonts w:hint="eastAsia" w:ascii="宋体" w:hAnsi="宋体" w:eastAsia="宋体" w:cs="宋体"/>
          <w:spacing w:val="14"/>
          <w:sz w:val="24"/>
          <w:szCs w:val="24"/>
          <w:highlight w:val="none"/>
        </w:rPr>
        <w:t>3.7.4招标文件格式所要求包含的全部资料应全部制作在投标文件内，严格按照本项目招标文件所有格式如实填写（不涉及的内容除外），不应存在漏项或缺项，否则将存在投标文件被否决的风险。</w:t>
      </w:r>
    </w:p>
    <w:p>
      <w:pPr>
        <w:pStyle w:val="28"/>
        <w:spacing w:line="360" w:lineRule="auto"/>
        <w:rPr>
          <w:rFonts w:ascii="宋体" w:hAnsi="宋体" w:eastAsia="宋体" w:cs="宋体"/>
          <w:spacing w:val="14"/>
          <w:sz w:val="24"/>
          <w:szCs w:val="24"/>
          <w:highlight w:val="none"/>
        </w:rPr>
      </w:pPr>
      <w:r>
        <w:rPr>
          <w:rFonts w:hint="eastAsia" w:ascii="宋体" w:hAnsi="宋体" w:eastAsia="宋体" w:cs="宋体"/>
          <w:spacing w:val="14"/>
          <w:sz w:val="24"/>
          <w:szCs w:val="24"/>
          <w:highlight w:val="none"/>
        </w:rPr>
        <w:t>3.7.5投标文件所附证明材料均为扫描件（或照片），尺寸和清晰度应该能够在电脑上被阅读、识别和判断；若投标人未按要求提供证明材料或提供不清晰的扫描件（或照片）的，评标委员会有权认定其投标文件未对招标文件有关要求进行响应，涉及资格审查或符合性审查的将不予通过。</w:t>
      </w:r>
    </w:p>
    <w:p>
      <w:pPr>
        <w:pStyle w:val="46"/>
        <w:spacing w:before="0" w:after="0" w:line="360" w:lineRule="auto"/>
        <w:outlineLvl w:val="9"/>
        <w:rPr>
          <w:rFonts w:ascii="宋体" w:hAnsi="宋体" w:cs="宋体"/>
          <w:sz w:val="24"/>
          <w:szCs w:val="24"/>
          <w:highlight w:val="none"/>
        </w:rPr>
      </w:pPr>
      <w:bookmarkStart w:id="65" w:name="_Toc19873"/>
      <w:bookmarkStart w:id="66" w:name="_Toc1660807"/>
      <w:bookmarkStart w:id="67" w:name="_Toc256000009"/>
      <w:r>
        <w:rPr>
          <w:rFonts w:hint="eastAsia" w:ascii="宋体" w:hAnsi="宋体" w:cs="宋体"/>
          <w:sz w:val="24"/>
          <w:szCs w:val="24"/>
          <w:highlight w:val="none"/>
        </w:rPr>
        <w:t>4、投标</w:t>
      </w:r>
      <w:bookmarkEnd w:id="65"/>
      <w:bookmarkEnd w:id="66"/>
      <w:bookmarkEnd w:id="67"/>
    </w:p>
    <w:p>
      <w:pPr>
        <w:pStyle w:val="47"/>
        <w:spacing w:before="0" w:after="0" w:line="360" w:lineRule="auto"/>
        <w:outlineLvl w:val="9"/>
        <w:rPr>
          <w:rFonts w:ascii="宋体" w:hAnsi="宋体" w:eastAsia="宋体" w:cs="宋体"/>
          <w:spacing w:val="14"/>
          <w:sz w:val="24"/>
          <w:szCs w:val="24"/>
          <w:highlight w:val="none"/>
        </w:rPr>
      </w:pPr>
      <w:bookmarkStart w:id="68" w:name="_Toc14119"/>
      <w:bookmarkStart w:id="69" w:name="_Toc1660808"/>
      <w:r>
        <w:rPr>
          <w:rFonts w:hint="eastAsia" w:ascii="宋体" w:hAnsi="宋体" w:eastAsia="宋体" w:cs="宋体"/>
          <w:spacing w:val="14"/>
          <w:sz w:val="24"/>
          <w:szCs w:val="24"/>
          <w:highlight w:val="none"/>
        </w:rPr>
        <w:t>4.1 投标文件的密封和标记</w:t>
      </w:r>
      <w:bookmarkEnd w:id="68"/>
      <w:bookmarkEnd w:id="69"/>
    </w:p>
    <w:p>
      <w:pPr>
        <w:pStyle w:val="28"/>
        <w:spacing w:line="360" w:lineRule="auto"/>
        <w:rPr>
          <w:rFonts w:ascii="宋体" w:hAnsi="宋体" w:eastAsia="宋体" w:cs="宋体"/>
          <w:spacing w:val="14"/>
          <w:sz w:val="24"/>
          <w:szCs w:val="24"/>
          <w:highlight w:val="none"/>
        </w:rPr>
      </w:pPr>
      <w:r>
        <w:rPr>
          <w:rFonts w:hint="eastAsia" w:ascii="宋体" w:hAnsi="宋体" w:eastAsia="宋体" w:cs="宋体"/>
          <w:spacing w:val="14"/>
          <w:sz w:val="24"/>
          <w:szCs w:val="24"/>
          <w:highlight w:val="none"/>
        </w:rPr>
        <w:t>4.1.1投标文件的密封和标记的要求：见投标人须知前附表。</w:t>
      </w:r>
    </w:p>
    <w:p>
      <w:pPr>
        <w:pStyle w:val="28"/>
        <w:spacing w:line="360" w:lineRule="auto"/>
        <w:rPr>
          <w:rFonts w:ascii="宋体" w:hAnsi="宋体" w:eastAsia="宋体" w:cs="宋体"/>
          <w:spacing w:val="14"/>
          <w:sz w:val="24"/>
          <w:szCs w:val="24"/>
          <w:highlight w:val="none"/>
        </w:rPr>
      </w:pPr>
      <w:r>
        <w:rPr>
          <w:rFonts w:hint="eastAsia" w:ascii="宋体" w:hAnsi="宋体" w:eastAsia="宋体" w:cs="宋体"/>
          <w:spacing w:val="14"/>
          <w:sz w:val="24"/>
          <w:szCs w:val="24"/>
          <w:highlight w:val="none"/>
        </w:rPr>
        <w:t>4.1.2未按要求密封和标记的投标文件，采购人将予以拒收。</w:t>
      </w:r>
    </w:p>
    <w:p>
      <w:pPr>
        <w:pStyle w:val="47"/>
        <w:spacing w:before="0" w:after="0" w:line="360" w:lineRule="auto"/>
        <w:outlineLvl w:val="9"/>
        <w:rPr>
          <w:rFonts w:ascii="宋体" w:hAnsi="宋体" w:eastAsia="宋体" w:cs="宋体"/>
          <w:spacing w:val="14"/>
          <w:sz w:val="24"/>
          <w:szCs w:val="24"/>
          <w:highlight w:val="none"/>
        </w:rPr>
      </w:pPr>
      <w:bookmarkStart w:id="70" w:name="_Toc2627"/>
      <w:bookmarkStart w:id="71" w:name="_Toc1660809"/>
      <w:r>
        <w:rPr>
          <w:rFonts w:hint="eastAsia" w:ascii="宋体" w:hAnsi="宋体" w:eastAsia="宋体" w:cs="宋体"/>
          <w:spacing w:val="14"/>
          <w:sz w:val="24"/>
          <w:szCs w:val="24"/>
          <w:highlight w:val="none"/>
        </w:rPr>
        <w:t>4.2 投标文件的提交</w:t>
      </w:r>
      <w:bookmarkEnd w:id="70"/>
      <w:bookmarkEnd w:id="71"/>
    </w:p>
    <w:p>
      <w:pPr>
        <w:pStyle w:val="28"/>
        <w:spacing w:line="360" w:lineRule="auto"/>
        <w:rPr>
          <w:rFonts w:ascii="宋体" w:hAnsi="宋体" w:eastAsia="宋体" w:cs="宋体"/>
          <w:spacing w:val="14"/>
          <w:sz w:val="24"/>
          <w:szCs w:val="24"/>
          <w:highlight w:val="none"/>
        </w:rPr>
      </w:pPr>
      <w:r>
        <w:rPr>
          <w:rFonts w:hint="eastAsia" w:ascii="宋体" w:hAnsi="宋体" w:eastAsia="宋体" w:cs="宋体"/>
          <w:spacing w:val="14"/>
          <w:sz w:val="24"/>
          <w:szCs w:val="24"/>
          <w:highlight w:val="none"/>
        </w:rPr>
        <w:t>4.2.1 投标人应在投标人须知前附表规定的投标截止时间前提交投标文件。不接受邮寄、电报、电话、传真等方式投标。除电子投标文件外，投标时不再接受任何纸质文件、资料等。</w:t>
      </w:r>
    </w:p>
    <w:p>
      <w:pPr>
        <w:pStyle w:val="28"/>
        <w:spacing w:line="360" w:lineRule="auto"/>
        <w:rPr>
          <w:rFonts w:ascii="宋体" w:hAnsi="宋体" w:eastAsia="宋体" w:cs="宋体"/>
          <w:spacing w:val="14"/>
          <w:sz w:val="24"/>
          <w:szCs w:val="24"/>
          <w:highlight w:val="none"/>
        </w:rPr>
      </w:pPr>
      <w:r>
        <w:rPr>
          <w:rFonts w:hint="eastAsia" w:ascii="宋体" w:hAnsi="宋体" w:eastAsia="宋体" w:cs="宋体"/>
          <w:spacing w:val="14"/>
          <w:sz w:val="24"/>
          <w:szCs w:val="24"/>
          <w:highlight w:val="none"/>
        </w:rPr>
        <w:t>4.2.2投标人提交投标文件的地点：见投标人须知前附表。</w:t>
      </w:r>
    </w:p>
    <w:p>
      <w:pPr>
        <w:pStyle w:val="28"/>
        <w:spacing w:line="360" w:lineRule="auto"/>
        <w:rPr>
          <w:rFonts w:ascii="宋体" w:hAnsi="宋体" w:eastAsia="宋体" w:cs="宋体"/>
          <w:spacing w:val="14"/>
          <w:sz w:val="24"/>
          <w:szCs w:val="24"/>
          <w:highlight w:val="none"/>
        </w:rPr>
      </w:pPr>
      <w:r>
        <w:rPr>
          <w:rFonts w:hint="eastAsia" w:ascii="宋体" w:hAnsi="宋体" w:eastAsia="宋体" w:cs="宋体"/>
          <w:spacing w:val="14"/>
          <w:sz w:val="24"/>
          <w:szCs w:val="24"/>
          <w:highlight w:val="none"/>
        </w:rPr>
        <w:t>4.2.3投标文件份数及其他要求：见投标人须知前附表。</w:t>
      </w:r>
    </w:p>
    <w:p>
      <w:pPr>
        <w:pStyle w:val="28"/>
        <w:spacing w:line="360" w:lineRule="auto"/>
        <w:rPr>
          <w:rFonts w:ascii="宋体" w:hAnsi="宋体" w:eastAsia="宋体" w:cs="宋体"/>
          <w:spacing w:val="14"/>
          <w:sz w:val="24"/>
          <w:szCs w:val="24"/>
          <w:highlight w:val="none"/>
        </w:rPr>
      </w:pPr>
      <w:r>
        <w:rPr>
          <w:rFonts w:hint="eastAsia" w:ascii="宋体" w:hAnsi="宋体" w:eastAsia="宋体" w:cs="宋体"/>
          <w:spacing w:val="14"/>
          <w:sz w:val="24"/>
          <w:szCs w:val="24"/>
          <w:highlight w:val="none"/>
        </w:rPr>
        <w:t>4.2.4投标人应在投标截止时间前上传加密的电子投标文件（*.lytf）到洛阳市电子招投标交易平台指定位置。上传时投标人须使用制作该投标文件的同一CA锁进行上传操作。请投标人在上传时认真检查上传投标文件是否完整、正确。投标人应充分考虑上传文件时的不可预见因素，未在投标截止时间前完成上传的，视为逾期送达，洛阳市电子招投标交易平台将拒绝接收。上传成功后将得到上传成功的确认。</w:t>
      </w:r>
    </w:p>
    <w:p>
      <w:pPr>
        <w:pStyle w:val="28"/>
        <w:spacing w:line="360" w:lineRule="auto"/>
        <w:rPr>
          <w:rFonts w:ascii="宋体" w:hAnsi="宋体" w:eastAsia="宋体" w:cs="宋体"/>
          <w:spacing w:val="14"/>
          <w:sz w:val="24"/>
          <w:szCs w:val="24"/>
          <w:highlight w:val="none"/>
        </w:rPr>
      </w:pPr>
      <w:r>
        <w:rPr>
          <w:rFonts w:hint="eastAsia" w:ascii="宋体" w:hAnsi="宋体" w:eastAsia="宋体" w:cs="宋体"/>
          <w:spacing w:val="14"/>
          <w:sz w:val="24"/>
          <w:szCs w:val="24"/>
          <w:highlight w:val="none"/>
        </w:rPr>
        <w:t>4.2.5投标人因洛阳市电子招投标交易平台问题无法上传电子投标文件时，请在工作时间与代理机构联系。联系方式见投标人须知前附表。</w:t>
      </w:r>
    </w:p>
    <w:p>
      <w:pPr>
        <w:pStyle w:val="28"/>
        <w:spacing w:line="360" w:lineRule="auto"/>
        <w:rPr>
          <w:rFonts w:ascii="宋体" w:hAnsi="宋体" w:eastAsia="宋体" w:cs="宋体"/>
          <w:spacing w:val="14"/>
          <w:sz w:val="24"/>
          <w:szCs w:val="24"/>
          <w:highlight w:val="none"/>
        </w:rPr>
      </w:pPr>
      <w:r>
        <w:rPr>
          <w:rFonts w:hint="eastAsia" w:ascii="宋体" w:hAnsi="宋体" w:eastAsia="宋体" w:cs="宋体"/>
          <w:spacing w:val="14"/>
          <w:sz w:val="24"/>
          <w:szCs w:val="24"/>
          <w:highlight w:val="none"/>
        </w:rPr>
        <w:t>4.2.6除投标人须知前附表另有规定外，投标人所提交的投标文件不予退还。</w:t>
      </w:r>
    </w:p>
    <w:p>
      <w:pPr>
        <w:pStyle w:val="47"/>
        <w:spacing w:before="0" w:after="0" w:line="360" w:lineRule="auto"/>
        <w:outlineLvl w:val="9"/>
        <w:rPr>
          <w:rFonts w:ascii="宋体" w:hAnsi="宋体" w:eastAsia="宋体" w:cs="宋体"/>
          <w:spacing w:val="14"/>
          <w:sz w:val="24"/>
          <w:szCs w:val="24"/>
          <w:highlight w:val="none"/>
        </w:rPr>
      </w:pPr>
      <w:bookmarkStart w:id="72" w:name="_Toc18648"/>
      <w:bookmarkStart w:id="73" w:name="_Toc1660810"/>
      <w:r>
        <w:rPr>
          <w:rFonts w:hint="eastAsia" w:ascii="宋体" w:hAnsi="宋体" w:eastAsia="宋体" w:cs="宋体"/>
          <w:spacing w:val="14"/>
          <w:sz w:val="24"/>
          <w:szCs w:val="24"/>
          <w:highlight w:val="none"/>
        </w:rPr>
        <w:t>4.3 投标文件的修改与撤回</w:t>
      </w:r>
      <w:bookmarkEnd w:id="72"/>
      <w:bookmarkEnd w:id="73"/>
    </w:p>
    <w:p>
      <w:pPr>
        <w:pStyle w:val="28"/>
        <w:spacing w:line="360" w:lineRule="auto"/>
        <w:rPr>
          <w:rFonts w:ascii="宋体" w:hAnsi="宋体" w:eastAsia="宋体" w:cs="宋体"/>
          <w:spacing w:val="14"/>
          <w:sz w:val="24"/>
          <w:szCs w:val="24"/>
          <w:highlight w:val="none"/>
        </w:rPr>
      </w:pPr>
      <w:r>
        <w:rPr>
          <w:rFonts w:hint="eastAsia" w:ascii="宋体" w:hAnsi="宋体" w:eastAsia="宋体" w:cs="宋体"/>
          <w:spacing w:val="14"/>
          <w:sz w:val="24"/>
          <w:szCs w:val="24"/>
          <w:highlight w:val="none"/>
        </w:rPr>
        <w:t>4.3.1投标人在提交投标文件后可对其投标文件进行修改并重新上传投标文件或在洛阳市电子招投标交易平台上进行撤回投标的操作。</w:t>
      </w:r>
    </w:p>
    <w:p>
      <w:pPr>
        <w:pStyle w:val="28"/>
        <w:spacing w:line="360" w:lineRule="auto"/>
        <w:rPr>
          <w:rFonts w:ascii="宋体" w:hAnsi="宋体" w:eastAsia="宋体" w:cs="宋体"/>
          <w:spacing w:val="14"/>
          <w:sz w:val="24"/>
          <w:szCs w:val="24"/>
          <w:highlight w:val="none"/>
        </w:rPr>
      </w:pPr>
      <w:r>
        <w:rPr>
          <w:rFonts w:hint="eastAsia" w:ascii="宋体" w:hAnsi="宋体" w:eastAsia="宋体" w:cs="宋体"/>
          <w:spacing w:val="14"/>
          <w:sz w:val="24"/>
          <w:szCs w:val="24"/>
          <w:highlight w:val="none"/>
        </w:rPr>
        <w:t>4.3.2 投标截止时间以后不得修改投标文件。</w:t>
      </w:r>
    </w:p>
    <w:p>
      <w:pPr>
        <w:pStyle w:val="46"/>
        <w:spacing w:before="0" w:after="0" w:line="360" w:lineRule="auto"/>
        <w:outlineLvl w:val="9"/>
        <w:rPr>
          <w:rFonts w:ascii="宋体" w:hAnsi="宋体" w:cs="宋体"/>
          <w:sz w:val="24"/>
          <w:szCs w:val="24"/>
          <w:highlight w:val="none"/>
        </w:rPr>
      </w:pPr>
      <w:bookmarkStart w:id="74" w:name="_Toc256000010"/>
      <w:bookmarkStart w:id="75" w:name="_Toc28813"/>
      <w:bookmarkStart w:id="76" w:name="_Toc1660811"/>
      <w:r>
        <w:rPr>
          <w:rFonts w:hint="eastAsia" w:ascii="宋体" w:hAnsi="宋体" w:cs="宋体"/>
          <w:sz w:val="24"/>
          <w:szCs w:val="24"/>
          <w:highlight w:val="none"/>
        </w:rPr>
        <w:t>5、开标</w:t>
      </w:r>
      <w:bookmarkEnd w:id="74"/>
      <w:bookmarkEnd w:id="75"/>
      <w:bookmarkEnd w:id="76"/>
    </w:p>
    <w:p>
      <w:pPr>
        <w:pStyle w:val="47"/>
        <w:spacing w:before="0" w:after="0" w:line="360" w:lineRule="auto"/>
        <w:outlineLvl w:val="9"/>
        <w:rPr>
          <w:rFonts w:ascii="宋体" w:hAnsi="宋体" w:eastAsia="宋体" w:cs="宋体"/>
          <w:spacing w:val="14"/>
          <w:sz w:val="24"/>
          <w:szCs w:val="24"/>
          <w:highlight w:val="none"/>
        </w:rPr>
      </w:pPr>
      <w:bookmarkStart w:id="77" w:name="_Toc1660812"/>
      <w:bookmarkStart w:id="78" w:name="_Toc28031"/>
      <w:r>
        <w:rPr>
          <w:rFonts w:hint="eastAsia" w:ascii="宋体" w:hAnsi="宋体" w:eastAsia="宋体" w:cs="宋体"/>
          <w:spacing w:val="14"/>
          <w:sz w:val="24"/>
          <w:szCs w:val="24"/>
          <w:highlight w:val="none"/>
        </w:rPr>
        <w:t>5.1 开标时间和地点</w:t>
      </w:r>
      <w:bookmarkEnd w:id="77"/>
      <w:bookmarkEnd w:id="78"/>
    </w:p>
    <w:p>
      <w:pPr>
        <w:pStyle w:val="28"/>
        <w:spacing w:line="360" w:lineRule="auto"/>
        <w:rPr>
          <w:rFonts w:ascii="宋体" w:hAnsi="宋体" w:eastAsia="宋体" w:cs="宋体"/>
          <w:spacing w:val="14"/>
          <w:sz w:val="24"/>
          <w:szCs w:val="24"/>
          <w:highlight w:val="none"/>
        </w:rPr>
      </w:pPr>
      <w:r>
        <w:rPr>
          <w:rFonts w:hint="eastAsia" w:ascii="宋体" w:hAnsi="宋体" w:eastAsia="宋体" w:cs="宋体"/>
          <w:spacing w:val="14"/>
          <w:sz w:val="24"/>
          <w:szCs w:val="24"/>
          <w:highlight w:val="none"/>
        </w:rPr>
        <w:t>采购人在本章第 4.2.1 项规定的投标截止时间（开标时间）和投标人须知前附表规定的地点开标。</w:t>
      </w:r>
    </w:p>
    <w:p>
      <w:pPr>
        <w:pStyle w:val="47"/>
        <w:spacing w:before="0" w:after="0" w:line="360" w:lineRule="auto"/>
        <w:outlineLvl w:val="9"/>
        <w:rPr>
          <w:rFonts w:ascii="宋体" w:hAnsi="宋体" w:eastAsia="宋体" w:cs="宋体"/>
          <w:spacing w:val="14"/>
          <w:sz w:val="24"/>
          <w:szCs w:val="24"/>
          <w:highlight w:val="none"/>
        </w:rPr>
      </w:pPr>
      <w:bookmarkStart w:id="79" w:name="_Toc1660813"/>
      <w:bookmarkStart w:id="80" w:name="_Toc32549"/>
      <w:r>
        <w:rPr>
          <w:rFonts w:hint="eastAsia" w:ascii="宋体" w:hAnsi="宋体" w:eastAsia="宋体" w:cs="宋体"/>
          <w:spacing w:val="14"/>
          <w:sz w:val="24"/>
          <w:szCs w:val="24"/>
          <w:highlight w:val="none"/>
        </w:rPr>
        <w:t>5.2 开标规定</w:t>
      </w:r>
      <w:bookmarkEnd w:id="79"/>
      <w:bookmarkEnd w:id="80"/>
    </w:p>
    <w:p>
      <w:pPr>
        <w:pStyle w:val="28"/>
        <w:spacing w:line="360" w:lineRule="auto"/>
        <w:rPr>
          <w:rFonts w:ascii="宋体" w:hAnsi="宋体" w:eastAsia="宋体" w:cs="宋体"/>
          <w:spacing w:val="14"/>
          <w:sz w:val="24"/>
          <w:szCs w:val="24"/>
          <w:highlight w:val="none"/>
        </w:rPr>
      </w:pPr>
      <w:r>
        <w:rPr>
          <w:rFonts w:hint="eastAsia" w:ascii="宋体" w:hAnsi="宋体" w:eastAsia="宋体" w:cs="宋体"/>
          <w:spacing w:val="14"/>
          <w:sz w:val="24"/>
          <w:szCs w:val="24"/>
          <w:highlight w:val="none"/>
        </w:rPr>
        <w:t>5.2.1 采购人在招标文件规定的时间和地点开标。</w:t>
      </w:r>
    </w:p>
    <w:p>
      <w:pPr>
        <w:pStyle w:val="28"/>
        <w:spacing w:line="360" w:lineRule="auto"/>
        <w:rPr>
          <w:rFonts w:ascii="宋体" w:hAnsi="宋体" w:eastAsia="宋体" w:cs="宋体"/>
          <w:spacing w:val="14"/>
          <w:sz w:val="24"/>
          <w:szCs w:val="24"/>
          <w:highlight w:val="none"/>
        </w:rPr>
      </w:pPr>
      <w:r>
        <w:rPr>
          <w:rFonts w:hint="eastAsia" w:ascii="宋体" w:hAnsi="宋体" w:eastAsia="宋体" w:cs="宋体"/>
          <w:spacing w:val="14"/>
          <w:sz w:val="24"/>
          <w:szCs w:val="24"/>
          <w:highlight w:val="none"/>
        </w:rPr>
        <w:t>5.2.2（此条款仅适用于现场开标的项目）开标前，采购代理机构将会同投标人代表检查自己的未加密的电子投标文件的密封情况，确认无误后开标。</w:t>
      </w:r>
    </w:p>
    <w:p>
      <w:pPr>
        <w:pStyle w:val="28"/>
        <w:spacing w:line="360" w:lineRule="auto"/>
        <w:rPr>
          <w:rFonts w:ascii="宋体" w:hAnsi="宋体" w:eastAsia="宋体" w:cs="宋体"/>
          <w:spacing w:val="14"/>
          <w:sz w:val="24"/>
          <w:szCs w:val="24"/>
          <w:highlight w:val="none"/>
        </w:rPr>
      </w:pPr>
      <w:r>
        <w:rPr>
          <w:rFonts w:hint="eastAsia" w:ascii="宋体" w:hAnsi="宋体" w:eastAsia="宋体" w:cs="宋体"/>
          <w:spacing w:val="14"/>
          <w:sz w:val="24"/>
          <w:szCs w:val="24"/>
          <w:highlight w:val="none"/>
        </w:rPr>
        <w:t>5.2.3开标时，各投标人应在规定时间内对本单位的投标文件解密。开标时，采购代理机构将通过洛阳市电子招投标交易平台进行唱标。</w:t>
      </w:r>
    </w:p>
    <w:p>
      <w:pPr>
        <w:pStyle w:val="28"/>
        <w:spacing w:line="360" w:lineRule="auto"/>
        <w:rPr>
          <w:rFonts w:ascii="宋体" w:hAnsi="宋体" w:eastAsia="宋体" w:cs="宋体"/>
          <w:spacing w:val="14"/>
          <w:sz w:val="24"/>
          <w:szCs w:val="24"/>
          <w:highlight w:val="none"/>
        </w:rPr>
      </w:pPr>
      <w:r>
        <w:rPr>
          <w:rFonts w:hint="eastAsia" w:ascii="宋体" w:hAnsi="宋体" w:eastAsia="宋体" w:cs="宋体"/>
          <w:spacing w:val="14"/>
          <w:sz w:val="24"/>
          <w:szCs w:val="24"/>
          <w:highlight w:val="none"/>
        </w:rPr>
        <w:t>5.2.4（此条款仅适用于现场开标的项目）如投标人现场解密失败，投标人应使用未加密的电子投标文件。</w:t>
      </w:r>
    </w:p>
    <w:p>
      <w:pPr>
        <w:pStyle w:val="28"/>
        <w:spacing w:line="360" w:lineRule="auto"/>
        <w:rPr>
          <w:rFonts w:ascii="宋体" w:hAnsi="宋体" w:eastAsia="宋体" w:cs="宋体"/>
          <w:spacing w:val="14"/>
          <w:sz w:val="24"/>
          <w:szCs w:val="24"/>
          <w:highlight w:val="none"/>
        </w:rPr>
      </w:pPr>
      <w:r>
        <w:rPr>
          <w:rFonts w:hint="eastAsia" w:ascii="宋体" w:hAnsi="宋体" w:eastAsia="宋体" w:cs="宋体"/>
          <w:spacing w:val="14"/>
          <w:sz w:val="24"/>
          <w:szCs w:val="24"/>
          <w:highlight w:val="none"/>
        </w:rPr>
        <w:t>5.2.5（此条款仅适用于现场开标的项目）开标前没有提交未加密的电子投标文件，视同放弃使用未加密的电子投标文件投标。未加密的投标文件现场无法成功上传的，投标无效。</w:t>
      </w:r>
    </w:p>
    <w:p>
      <w:pPr>
        <w:pStyle w:val="28"/>
        <w:spacing w:line="360" w:lineRule="auto"/>
        <w:rPr>
          <w:rFonts w:ascii="宋体" w:hAnsi="宋体" w:eastAsia="宋体" w:cs="宋体"/>
          <w:spacing w:val="14"/>
          <w:sz w:val="24"/>
          <w:szCs w:val="24"/>
          <w:highlight w:val="none"/>
        </w:rPr>
      </w:pPr>
      <w:r>
        <w:rPr>
          <w:rFonts w:hint="eastAsia" w:ascii="宋体" w:hAnsi="宋体" w:eastAsia="宋体" w:cs="宋体"/>
          <w:spacing w:val="14"/>
          <w:sz w:val="24"/>
          <w:szCs w:val="24"/>
          <w:highlight w:val="none"/>
        </w:rPr>
        <w:t>5.2.6（此条款仅适用于现场开标的项目）未加密的电子投标文件仅仅作为网上提交的加密的电子投标文件在特殊情况下才启用的备份资料。没有提交网上加密电子投标文件，仅提交未加密电子投标文件的，投标无效。</w:t>
      </w:r>
    </w:p>
    <w:p>
      <w:pPr>
        <w:pStyle w:val="47"/>
        <w:spacing w:before="0" w:after="0" w:line="360" w:lineRule="auto"/>
        <w:outlineLvl w:val="9"/>
        <w:rPr>
          <w:rFonts w:ascii="宋体" w:hAnsi="宋体" w:eastAsia="宋体" w:cs="宋体"/>
          <w:spacing w:val="14"/>
          <w:sz w:val="24"/>
          <w:szCs w:val="24"/>
          <w:highlight w:val="none"/>
        </w:rPr>
      </w:pPr>
      <w:bookmarkStart w:id="81" w:name="_Toc1660814"/>
      <w:bookmarkStart w:id="82" w:name="_Toc17073"/>
      <w:r>
        <w:rPr>
          <w:rFonts w:hint="eastAsia" w:ascii="宋体" w:hAnsi="宋体" w:eastAsia="宋体" w:cs="宋体"/>
          <w:spacing w:val="14"/>
          <w:sz w:val="24"/>
          <w:szCs w:val="24"/>
          <w:highlight w:val="none"/>
        </w:rPr>
        <w:t>5.3 开标疑义</w:t>
      </w:r>
      <w:bookmarkEnd w:id="81"/>
      <w:bookmarkEnd w:id="82"/>
    </w:p>
    <w:p>
      <w:pPr>
        <w:pStyle w:val="28"/>
        <w:spacing w:line="360" w:lineRule="auto"/>
        <w:rPr>
          <w:rFonts w:ascii="宋体" w:hAnsi="宋体" w:eastAsia="宋体" w:cs="宋体"/>
          <w:spacing w:val="14"/>
          <w:sz w:val="24"/>
          <w:szCs w:val="24"/>
          <w:highlight w:val="none"/>
        </w:rPr>
      </w:pPr>
      <w:r>
        <w:rPr>
          <w:rFonts w:hint="eastAsia" w:ascii="宋体" w:hAnsi="宋体" w:eastAsia="宋体" w:cs="宋体"/>
          <w:spacing w:val="14"/>
          <w:sz w:val="24"/>
          <w:szCs w:val="24"/>
          <w:highlight w:val="none"/>
        </w:rPr>
        <w:t>投标人对开标有疑义的，应按投标人须知前附表规定的方式提出。</w:t>
      </w:r>
    </w:p>
    <w:p>
      <w:pPr>
        <w:pStyle w:val="46"/>
        <w:spacing w:before="0" w:after="0" w:line="360" w:lineRule="auto"/>
        <w:outlineLvl w:val="9"/>
        <w:rPr>
          <w:rFonts w:ascii="宋体" w:hAnsi="宋体" w:cs="宋体"/>
          <w:sz w:val="24"/>
          <w:szCs w:val="24"/>
          <w:highlight w:val="none"/>
        </w:rPr>
      </w:pPr>
      <w:bookmarkStart w:id="83" w:name="_Toc6342"/>
      <w:bookmarkStart w:id="84" w:name="_Toc256000011"/>
      <w:bookmarkStart w:id="85" w:name="_Toc1660815"/>
      <w:r>
        <w:rPr>
          <w:rFonts w:hint="eastAsia" w:ascii="宋体" w:hAnsi="宋体" w:cs="宋体"/>
          <w:sz w:val="24"/>
          <w:szCs w:val="24"/>
          <w:highlight w:val="none"/>
        </w:rPr>
        <w:t>6、资格审查与评标</w:t>
      </w:r>
      <w:bookmarkEnd w:id="83"/>
      <w:bookmarkEnd w:id="84"/>
      <w:bookmarkEnd w:id="85"/>
    </w:p>
    <w:p>
      <w:pPr>
        <w:pStyle w:val="47"/>
        <w:spacing w:before="0" w:after="0" w:line="360" w:lineRule="auto"/>
        <w:outlineLvl w:val="9"/>
        <w:rPr>
          <w:rFonts w:ascii="宋体" w:hAnsi="宋体" w:eastAsia="宋体" w:cs="宋体"/>
          <w:spacing w:val="14"/>
          <w:sz w:val="24"/>
          <w:szCs w:val="24"/>
          <w:highlight w:val="none"/>
        </w:rPr>
      </w:pPr>
      <w:bookmarkStart w:id="86" w:name="_Toc21963"/>
      <w:bookmarkStart w:id="87" w:name="_Toc1660816"/>
      <w:r>
        <w:rPr>
          <w:rFonts w:hint="eastAsia" w:ascii="宋体" w:hAnsi="宋体" w:eastAsia="宋体" w:cs="宋体"/>
          <w:spacing w:val="14"/>
          <w:sz w:val="24"/>
          <w:szCs w:val="24"/>
          <w:highlight w:val="none"/>
        </w:rPr>
        <w:t>6.1 资格审查小组与评标委员会</w:t>
      </w:r>
      <w:bookmarkEnd w:id="86"/>
      <w:bookmarkEnd w:id="87"/>
    </w:p>
    <w:p>
      <w:pPr>
        <w:pStyle w:val="28"/>
        <w:spacing w:line="360" w:lineRule="auto"/>
        <w:rPr>
          <w:rFonts w:ascii="宋体" w:hAnsi="宋体" w:eastAsia="宋体" w:cs="宋体"/>
          <w:spacing w:val="14"/>
          <w:sz w:val="24"/>
          <w:szCs w:val="24"/>
          <w:highlight w:val="none"/>
        </w:rPr>
      </w:pPr>
      <w:r>
        <w:rPr>
          <w:rFonts w:hint="eastAsia" w:ascii="宋体" w:hAnsi="宋体" w:eastAsia="宋体" w:cs="宋体"/>
          <w:spacing w:val="14"/>
          <w:sz w:val="24"/>
          <w:szCs w:val="24"/>
          <w:highlight w:val="none"/>
        </w:rPr>
        <w:t>6.1.1采购人负责资格审查。采购人组建资格审查小组，授权采购人代表以及评审专家组成资格审查小组，在资格审查中为采购人提供支持和帮助。评标由采购人依法组建的评标委员会负责。评标委员会由采购人代表以及评审专家组成。评标委员会成员人数以及评审专家的确定方式见投标人须知前附表。</w:t>
      </w:r>
    </w:p>
    <w:p>
      <w:pPr>
        <w:pStyle w:val="28"/>
        <w:spacing w:line="360" w:lineRule="auto"/>
        <w:rPr>
          <w:rFonts w:ascii="宋体" w:hAnsi="宋体" w:eastAsia="宋体" w:cs="宋体"/>
          <w:spacing w:val="14"/>
          <w:sz w:val="24"/>
          <w:szCs w:val="24"/>
          <w:highlight w:val="none"/>
        </w:rPr>
      </w:pPr>
      <w:r>
        <w:rPr>
          <w:rFonts w:hint="eastAsia" w:ascii="宋体" w:hAnsi="宋体" w:eastAsia="宋体" w:cs="宋体"/>
          <w:spacing w:val="14"/>
          <w:sz w:val="24"/>
          <w:szCs w:val="24"/>
          <w:highlight w:val="none"/>
        </w:rPr>
        <w:t>6.1.2 评标委员会成员有下列情形之一的，应当回避：</w:t>
      </w:r>
    </w:p>
    <w:p>
      <w:pPr>
        <w:pStyle w:val="28"/>
        <w:spacing w:line="360" w:lineRule="auto"/>
        <w:rPr>
          <w:rFonts w:ascii="宋体" w:hAnsi="宋体" w:eastAsia="宋体" w:cs="宋体"/>
          <w:spacing w:val="14"/>
          <w:sz w:val="24"/>
          <w:szCs w:val="24"/>
          <w:highlight w:val="none"/>
        </w:rPr>
      </w:pPr>
      <w:r>
        <w:rPr>
          <w:rFonts w:hint="eastAsia" w:ascii="宋体" w:hAnsi="宋体" w:eastAsia="宋体" w:cs="宋体"/>
          <w:spacing w:val="14"/>
          <w:sz w:val="24"/>
          <w:szCs w:val="24"/>
          <w:highlight w:val="none"/>
        </w:rPr>
        <w:t>（1）参加采购活动前3年内与投标人存在劳动关系；</w:t>
      </w:r>
    </w:p>
    <w:p>
      <w:pPr>
        <w:pStyle w:val="28"/>
        <w:spacing w:line="360" w:lineRule="auto"/>
        <w:rPr>
          <w:rFonts w:ascii="宋体" w:hAnsi="宋体" w:eastAsia="宋体" w:cs="宋体"/>
          <w:spacing w:val="14"/>
          <w:sz w:val="24"/>
          <w:szCs w:val="24"/>
          <w:highlight w:val="none"/>
        </w:rPr>
      </w:pPr>
      <w:r>
        <w:rPr>
          <w:rFonts w:hint="eastAsia" w:ascii="宋体" w:hAnsi="宋体" w:eastAsia="宋体" w:cs="宋体"/>
          <w:spacing w:val="14"/>
          <w:sz w:val="24"/>
          <w:szCs w:val="24"/>
          <w:highlight w:val="none"/>
        </w:rPr>
        <w:t>（2）参加采购活动前3年内担任投标人的董事、监事；</w:t>
      </w:r>
    </w:p>
    <w:p>
      <w:pPr>
        <w:pStyle w:val="28"/>
        <w:spacing w:line="360" w:lineRule="auto"/>
        <w:rPr>
          <w:rFonts w:ascii="宋体" w:hAnsi="宋体" w:eastAsia="宋体" w:cs="宋体"/>
          <w:spacing w:val="14"/>
          <w:sz w:val="24"/>
          <w:szCs w:val="24"/>
          <w:highlight w:val="none"/>
        </w:rPr>
      </w:pPr>
      <w:r>
        <w:rPr>
          <w:rFonts w:hint="eastAsia" w:ascii="宋体" w:hAnsi="宋体" w:eastAsia="宋体" w:cs="宋体"/>
          <w:spacing w:val="14"/>
          <w:sz w:val="24"/>
          <w:szCs w:val="24"/>
          <w:highlight w:val="none"/>
        </w:rPr>
        <w:t>（3）参加采购活动前3年内是投标人的控股股东或者实际控制人；</w:t>
      </w:r>
    </w:p>
    <w:p>
      <w:pPr>
        <w:pStyle w:val="28"/>
        <w:spacing w:line="360" w:lineRule="auto"/>
        <w:rPr>
          <w:rFonts w:ascii="宋体" w:hAnsi="宋体" w:eastAsia="宋体" w:cs="宋体"/>
          <w:spacing w:val="14"/>
          <w:sz w:val="24"/>
          <w:szCs w:val="24"/>
          <w:highlight w:val="none"/>
        </w:rPr>
      </w:pPr>
      <w:r>
        <w:rPr>
          <w:rFonts w:hint="eastAsia" w:ascii="宋体" w:hAnsi="宋体" w:eastAsia="宋体" w:cs="宋体"/>
          <w:spacing w:val="14"/>
          <w:sz w:val="24"/>
          <w:szCs w:val="24"/>
          <w:highlight w:val="none"/>
        </w:rPr>
        <w:t>（4）与投标人的法定代表人或者负责人有夫妻、直系血亲、三代以内旁系血亲或者近姻亲关系；</w:t>
      </w:r>
    </w:p>
    <w:p>
      <w:pPr>
        <w:pStyle w:val="28"/>
        <w:spacing w:line="360" w:lineRule="auto"/>
        <w:rPr>
          <w:rFonts w:ascii="宋体" w:hAnsi="宋体" w:eastAsia="宋体" w:cs="宋体"/>
          <w:spacing w:val="14"/>
          <w:sz w:val="24"/>
          <w:szCs w:val="24"/>
          <w:highlight w:val="none"/>
        </w:rPr>
      </w:pPr>
      <w:r>
        <w:rPr>
          <w:rFonts w:hint="eastAsia" w:ascii="宋体" w:hAnsi="宋体" w:eastAsia="宋体" w:cs="宋体"/>
          <w:spacing w:val="14"/>
          <w:sz w:val="24"/>
          <w:szCs w:val="24"/>
          <w:highlight w:val="none"/>
        </w:rPr>
        <w:t>（5）与投标人有其他可能影响政府采购活动公平、公正进行的关系。</w:t>
      </w:r>
    </w:p>
    <w:p>
      <w:pPr>
        <w:pStyle w:val="28"/>
        <w:spacing w:line="360" w:lineRule="auto"/>
        <w:rPr>
          <w:rFonts w:ascii="宋体" w:hAnsi="宋体" w:eastAsia="宋体" w:cs="宋体"/>
          <w:spacing w:val="14"/>
          <w:sz w:val="24"/>
          <w:szCs w:val="24"/>
          <w:highlight w:val="none"/>
        </w:rPr>
      </w:pPr>
      <w:r>
        <w:rPr>
          <w:rFonts w:hint="eastAsia" w:ascii="宋体" w:hAnsi="宋体" w:eastAsia="宋体" w:cs="宋体"/>
          <w:spacing w:val="14"/>
          <w:sz w:val="24"/>
          <w:szCs w:val="24"/>
          <w:highlight w:val="none"/>
        </w:rPr>
        <w:t>6.1.3 评标过程中，评标委员会成员有回避事由、擅离职守或者因健康等原因不能继续评标的，采购人有权更换。被更换的评标委员会成员作出的评审结论无效，由更换后的评标委员会成员重新进行评审。</w:t>
      </w:r>
    </w:p>
    <w:p>
      <w:pPr>
        <w:pStyle w:val="47"/>
        <w:spacing w:before="0" w:after="0" w:line="360" w:lineRule="auto"/>
        <w:outlineLvl w:val="9"/>
        <w:rPr>
          <w:rFonts w:ascii="宋体" w:hAnsi="宋体" w:eastAsia="宋体" w:cs="宋体"/>
          <w:spacing w:val="14"/>
          <w:sz w:val="24"/>
          <w:szCs w:val="24"/>
          <w:highlight w:val="none"/>
        </w:rPr>
      </w:pPr>
      <w:bookmarkStart w:id="88" w:name="_Toc1660817"/>
      <w:bookmarkStart w:id="89" w:name="_Toc15522"/>
      <w:r>
        <w:rPr>
          <w:rFonts w:hint="eastAsia" w:ascii="宋体" w:hAnsi="宋体" w:eastAsia="宋体" w:cs="宋体"/>
          <w:spacing w:val="14"/>
          <w:sz w:val="24"/>
          <w:szCs w:val="24"/>
          <w:highlight w:val="none"/>
        </w:rPr>
        <w:t>6.2 资格审查与评标原则</w:t>
      </w:r>
      <w:bookmarkEnd w:id="88"/>
      <w:bookmarkEnd w:id="89"/>
    </w:p>
    <w:p>
      <w:pPr>
        <w:pStyle w:val="28"/>
        <w:spacing w:line="360" w:lineRule="auto"/>
        <w:rPr>
          <w:rFonts w:ascii="宋体" w:hAnsi="宋体" w:eastAsia="宋体" w:cs="宋体"/>
          <w:spacing w:val="14"/>
          <w:sz w:val="24"/>
          <w:szCs w:val="24"/>
          <w:highlight w:val="none"/>
        </w:rPr>
      </w:pPr>
      <w:r>
        <w:rPr>
          <w:rFonts w:hint="eastAsia" w:ascii="宋体" w:hAnsi="宋体" w:eastAsia="宋体" w:cs="宋体"/>
          <w:spacing w:val="14"/>
          <w:sz w:val="24"/>
          <w:szCs w:val="24"/>
          <w:highlight w:val="none"/>
        </w:rPr>
        <w:t>资格审查遵循公平、公正的原则，评标活动遵循公平、公正、科学和择优的原则。</w:t>
      </w:r>
    </w:p>
    <w:p>
      <w:pPr>
        <w:pStyle w:val="47"/>
        <w:spacing w:before="0" w:after="0" w:line="360" w:lineRule="auto"/>
        <w:outlineLvl w:val="9"/>
        <w:rPr>
          <w:rFonts w:ascii="宋体" w:hAnsi="宋体" w:eastAsia="宋体" w:cs="宋体"/>
          <w:spacing w:val="14"/>
          <w:sz w:val="24"/>
          <w:szCs w:val="24"/>
          <w:highlight w:val="none"/>
        </w:rPr>
      </w:pPr>
      <w:bookmarkStart w:id="90" w:name="_Toc1660818"/>
      <w:bookmarkStart w:id="91" w:name="_Toc23384"/>
      <w:r>
        <w:rPr>
          <w:rFonts w:hint="eastAsia" w:ascii="宋体" w:hAnsi="宋体" w:eastAsia="宋体" w:cs="宋体"/>
          <w:spacing w:val="14"/>
          <w:sz w:val="24"/>
          <w:szCs w:val="24"/>
          <w:highlight w:val="none"/>
        </w:rPr>
        <w:t>6.3资格审查与评标</w:t>
      </w:r>
      <w:bookmarkEnd w:id="90"/>
      <w:bookmarkEnd w:id="91"/>
    </w:p>
    <w:p>
      <w:pPr>
        <w:pStyle w:val="28"/>
        <w:spacing w:line="360" w:lineRule="auto"/>
        <w:rPr>
          <w:rFonts w:ascii="宋体" w:hAnsi="宋体" w:eastAsia="宋体" w:cs="宋体"/>
          <w:spacing w:val="14"/>
          <w:sz w:val="24"/>
          <w:szCs w:val="24"/>
          <w:highlight w:val="none"/>
        </w:rPr>
      </w:pPr>
      <w:r>
        <w:rPr>
          <w:rFonts w:hint="eastAsia" w:ascii="宋体" w:hAnsi="宋体" w:eastAsia="宋体" w:cs="宋体"/>
          <w:spacing w:val="14"/>
          <w:sz w:val="24"/>
          <w:szCs w:val="24"/>
          <w:highlight w:val="none"/>
        </w:rPr>
        <w:t>6.3.1 资格审查小组与评标委员会按照第五章“资格审查与评标办法”规定的方法、评审因素、标准和程序对投标人进行资格审查，并对投标文件进行评审。第五章“资格审查与评标办法”没有规定的方法、评审因素和标准，不作为资格审查与评标依据。</w:t>
      </w:r>
    </w:p>
    <w:p>
      <w:pPr>
        <w:pStyle w:val="28"/>
        <w:spacing w:line="360" w:lineRule="auto"/>
        <w:rPr>
          <w:rFonts w:ascii="宋体" w:hAnsi="宋体" w:eastAsia="宋体" w:cs="宋体"/>
          <w:spacing w:val="14"/>
          <w:sz w:val="24"/>
          <w:szCs w:val="24"/>
          <w:highlight w:val="none"/>
        </w:rPr>
      </w:pPr>
      <w:r>
        <w:rPr>
          <w:rFonts w:hint="eastAsia" w:ascii="宋体" w:hAnsi="宋体" w:eastAsia="宋体" w:cs="宋体"/>
          <w:spacing w:val="14"/>
          <w:sz w:val="24"/>
          <w:szCs w:val="24"/>
          <w:highlight w:val="none"/>
        </w:rPr>
        <w:t>6.3.2 通过资格审查的投标人的投标文件由评标委员会进行评审。评标完成后，评标委员会应当提交书面评标报告和中标候选人名单。评标委员会推荐中标候选人的人数见投标人须知前附表。</w:t>
      </w:r>
    </w:p>
    <w:p>
      <w:pPr>
        <w:pStyle w:val="28"/>
        <w:spacing w:line="360" w:lineRule="auto"/>
        <w:rPr>
          <w:rFonts w:ascii="宋体" w:hAnsi="宋体" w:eastAsia="宋体" w:cs="宋体"/>
          <w:spacing w:val="14"/>
          <w:sz w:val="24"/>
          <w:szCs w:val="24"/>
          <w:highlight w:val="none"/>
        </w:rPr>
      </w:pPr>
      <w:r>
        <w:rPr>
          <w:rFonts w:hint="eastAsia" w:ascii="宋体" w:hAnsi="宋体" w:eastAsia="宋体" w:cs="宋体"/>
          <w:spacing w:val="14"/>
          <w:sz w:val="24"/>
          <w:szCs w:val="24"/>
          <w:highlight w:val="none"/>
        </w:rPr>
        <w:t>6.3.3本次招标采用电子化评标，如“洛阳市电子招投标交易平台”系统出现故障，导致无法继续评审工作的，可暂停评标，对原有资料及信息作出妥善保密处理，待电子评标系统恢复正常之后组织评审。</w:t>
      </w:r>
    </w:p>
    <w:p>
      <w:pPr>
        <w:pStyle w:val="46"/>
        <w:spacing w:before="0" w:after="0" w:line="360" w:lineRule="auto"/>
        <w:outlineLvl w:val="9"/>
        <w:rPr>
          <w:rFonts w:ascii="宋体" w:hAnsi="宋体" w:cs="宋体"/>
          <w:sz w:val="24"/>
          <w:szCs w:val="24"/>
          <w:highlight w:val="none"/>
        </w:rPr>
      </w:pPr>
      <w:bookmarkStart w:id="92" w:name="_Toc16050"/>
      <w:bookmarkStart w:id="93" w:name="_Toc1660819"/>
      <w:bookmarkStart w:id="94" w:name="_Toc256000012"/>
      <w:r>
        <w:rPr>
          <w:rFonts w:hint="eastAsia" w:ascii="宋体" w:hAnsi="宋体" w:cs="宋体"/>
          <w:sz w:val="24"/>
          <w:szCs w:val="24"/>
          <w:highlight w:val="none"/>
        </w:rPr>
        <w:t>7、定标及合同授予</w:t>
      </w:r>
      <w:bookmarkEnd w:id="92"/>
      <w:bookmarkEnd w:id="93"/>
      <w:bookmarkEnd w:id="94"/>
    </w:p>
    <w:p>
      <w:pPr>
        <w:pStyle w:val="47"/>
        <w:spacing w:before="0" w:after="0" w:line="360" w:lineRule="auto"/>
        <w:outlineLvl w:val="9"/>
        <w:rPr>
          <w:rFonts w:ascii="宋体" w:hAnsi="宋体" w:eastAsia="宋体" w:cs="宋体"/>
          <w:spacing w:val="14"/>
          <w:sz w:val="24"/>
          <w:szCs w:val="24"/>
          <w:highlight w:val="none"/>
        </w:rPr>
      </w:pPr>
      <w:bookmarkStart w:id="95" w:name="_Toc1660820"/>
      <w:bookmarkStart w:id="96" w:name="_Toc27301"/>
      <w:r>
        <w:rPr>
          <w:rFonts w:hint="eastAsia" w:ascii="宋体" w:hAnsi="宋体" w:eastAsia="宋体" w:cs="宋体"/>
          <w:spacing w:val="14"/>
          <w:sz w:val="24"/>
          <w:szCs w:val="24"/>
          <w:highlight w:val="none"/>
        </w:rPr>
        <w:t>7.1 定标</w:t>
      </w:r>
      <w:bookmarkEnd w:id="95"/>
      <w:bookmarkEnd w:id="96"/>
    </w:p>
    <w:p>
      <w:pPr>
        <w:pStyle w:val="28"/>
        <w:spacing w:line="360" w:lineRule="auto"/>
        <w:rPr>
          <w:rFonts w:ascii="宋体" w:hAnsi="宋体" w:eastAsia="宋体" w:cs="宋体"/>
          <w:spacing w:val="14"/>
          <w:sz w:val="24"/>
          <w:szCs w:val="24"/>
          <w:highlight w:val="none"/>
        </w:rPr>
      </w:pPr>
      <w:r>
        <w:rPr>
          <w:rFonts w:hint="eastAsia" w:ascii="宋体" w:hAnsi="宋体" w:eastAsia="宋体" w:cs="宋体"/>
          <w:spacing w:val="14"/>
          <w:sz w:val="24"/>
          <w:szCs w:val="24"/>
          <w:highlight w:val="none"/>
        </w:rPr>
        <w:t>7.1.1按照投标人须知前附表的规定，采购人或采购人授权的评标委员会依法确定中标人。</w:t>
      </w:r>
    </w:p>
    <w:p>
      <w:pPr>
        <w:pStyle w:val="28"/>
        <w:spacing w:line="360" w:lineRule="auto"/>
        <w:rPr>
          <w:rFonts w:ascii="宋体" w:hAnsi="宋体" w:eastAsia="宋体" w:cs="宋体"/>
          <w:spacing w:val="14"/>
          <w:sz w:val="24"/>
          <w:szCs w:val="24"/>
          <w:highlight w:val="none"/>
        </w:rPr>
      </w:pPr>
      <w:r>
        <w:rPr>
          <w:rFonts w:hint="eastAsia" w:ascii="宋体" w:hAnsi="宋体" w:eastAsia="宋体" w:cs="宋体"/>
          <w:spacing w:val="14"/>
          <w:sz w:val="24"/>
          <w:szCs w:val="24"/>
          <w:highlight w:val="none"/>
        </w:rPr>
        <w:t>7.1.2按投标人须知前附表的规定的定标原则确定中标人。</w:t>
      </w:r>
    </w:p>
    <w:p>
      <w:pPr>
        <w:pStyle w:val="47"/>
        <w:spacing w:before="0" w:after="0" w:line="360" w:lineRule="auto"/>
        <w:outlineLvl w:val="9"/>
        <w:rPr>
          <w:rFonts w:ascii="宋体" w:hAnsi="宋体" w:eastAsia="宋体" w:cs="宋体"/>
          <w:spacing w:val="14"/>
          <w:sz w:val="24"/>
          <w:szCs w:val="24"/>
          <w:highlight w:val="none"/>
        </w:rPr>
      </w:pPr>
      <w:bookmarkStart w:id="97" w:name="_Toc26488"/>
      <w:bookmarkStart w:id="98" w:name="_Toc1660821"/>
      <w:r>
        <w:rPr>
          <w:rFonts w:hint="eastAsia" w:ascii="宋体" w:hAnsi="宋体" w:eastAsia="宋体" w:cs="宋体"/>
          <w:spacing w:val="14"/>
          <w:sz w:val="24"/>
          <w:szCs w:val="24"/>
          <w:highlight w:val="none"/>
        </w:rPr>
        <w:t>7.2 中标结果</w:t>
      </w:r>
      <w:bookmarkEnd w:id="97"/>
      <w:bookmarkEnd w:id="98"/>
    </w:p>
    <w:p>
      <w:pPr>
        <w:pStyle w:val="28"/>
        <w:spacing w:line="360" w:lineRule="auto"/>
        <w:rPr>
          <w:rFonts w:ascii="宋体" w:hAnsi="宋体" w:eastAsia="宋体" w:cs="宋体"/>
          <w:spacing w:val="14"/>
          <w:sz w:val="24"/>
          <w:szCs w:val="24"/>
          <w:highlight w:val="none"/>
        </w:rPr>
      </w:pPr>
      <w:r>
        <w:rPr>
          <w:rFonts w:hint="eastAsia" w:ascii="宋体" w:hAnsi="宋体" w:eastAsia="宋体" w:cs="宋体"/>
          <w:spacing w:val="14"/>
          <w:sz w:val="24"/>
          <w:szCs w:val="24"/>
          <w:highlight w:val="none"/>
        </w:rPr>
        <w:t>自中标人确定之日起1个工作日内，在投标人须知前附表规定的媒体上公告中标结果，招标文件随中标结果同时公告。</w:t>
      </w:r>
    </w:p>
    <w:p>
      <w:pPr>
        <w:pStyle w:val="47"/>
        <w:spacing w:before="0" w:after="0" w:line="360" w:lineRule="auto"/>
        <w:outlineLvl w:val="9"/>
        <w:rPr>
          <w:rFonts w:ascii="宋体" w:hAnsi="宋体" w:eastAsia="宋体" w:cs="宋体"/>
          <w:spacing w:val="14"/>
          <w:sz w:val="24"/>
          <w:szCs w:val="24"/>
          <w:highlight w:val="none"/>
        </w:rPr>
      </w:pPr>
      <w:bookmarkStart w:id="99" w:name="_Toc9960"/>
      <w:bookmarkStart w:id="100" w:name="_Toc1660822"/>
      <w:r>
        <w:rPr>
          <w:rFonts w:hint="eastAsia" w:ascii="宋体" w:hAnsi="宋体" w:eastAsia="宋体" w:cs="宋体"/>
          <w:spacing w:val="14"/>
          <w:sz w:val="24"/>
          <w:szCs w:val="24"/>
          <w:highlight w:val="none"/>
        </w:rPr>
        <w:t>7.3 中标通知</w:t>
      </w:r>
      <w:bookmarkEnd w:id="99"/>
      <w:bookmarkEnd w:id="100"/>
    </w:p>
    <w:p>
      <w:pPr>
        <w:pStyle w:val="47"/>
        <w:spacing w:before="0" w:after="0" w:line="360" w:lineRule="auto"/>
        <w:ind w:firstLine="536" w:firstLineChars="200"/>
        <w:outlineLvl w:val="9"/>
        <w:rPr>
          <w:rFonts w:ascii="宋体" w:hAnsi="宋体" w:eastAsia="宋体" w:cs="宋体"/>
          <w:b w:val="0"/>
          <w:bCs w:val="0"/>
          <w:spacing w:val="14"/>
          <w:sz w:val="24"/>
          <w:szCs w:val="24"/>
          <w:highlight w:val="none"/>
        </w:rPr>
      </w:pPr>
      <w:bookmarkStart w:id="101" w:name="_Toc24336"/>
      <w:bookmarkStart w:id="102" w:name="_Toc1660823"/>
      <w:r>
        <w:rPr>
          <w:rFonts w:hint="eastAsia" w:ascii="宋体" w:hAnsi="宋体" w:eastAsia="宋体" w:cs="宋体"/>
          <w:b w:val="0"/>
          <w:bCs w:val="0"/>
          <w:spacing w:val="14"/>
          <w:sz w:val="24"/>
          <w:szCs w:val="24"/>
          <w:highlight w:val="none"/>
        </w:rPr>
        <w:t>《中标通知书》电子版由采购代理机构通过洛阳市电子招投标交易平台向中标人发出，纸质版《中标通知书》如有需要可至代理机构现场领取。《中标通知书》由中标人和采购人自行下载、打印，并对中标人和采购人均具有法律效力。</w:t>
      </w:r>
      <w:bookmarkEnd w:id="101"/>
    </w:p>
    <w:p>
      <w:pPr>
        <w:pStyle w:val="47"/>
        <w:spacing w:before="0" w:after="0" w:line="360" w:lineRule="auto"/>
        <w:outlineLvl w:val="9"/>
        <w:rPr>
          <w:rFonts w:ascii="宋体" w:hAnsi="宋体" w:eastAsia="宋体" w:cs="宋体"/>
          <w:spacing w:val="14"/>
          <w:sz w:val="24"/>
          <w:szCs w:val="24"/>
          <w:highlight w:val="none"/>
        </w:rPr>
      </w:pPr>
      <w:bookmarkStart w:id="103" w:name="_Toc19106"/>
      <w:r>
        <w:rPr>
          <w:rFonts w:hint="eastAsia" w:ascii="宋体" w:hAnsi="宋体" w:eastAsia="宋体" w:cs="宋体"/>
          <w:spacing w:val="14"/>
          <w:sz w:val="24"/>
          <w:szCs w:val="24"/>
          <w:highlight w:val="none"/>
        </w:rPr>
        <w:t>7.4 履约保证金</w:t>
      </w:r>
      <w:bookmarkEnd w:id="102"/>
      <w:bookmarkEnd w:id="103"/>
      <w:r>
        <w:rPr>
          <w:rFonts w:hint="eastAsia" w:ascii="宋体" w:hAnsi="宋体" w:eastAsia="宋体" w:cs="宋体"/>
          <w:spacing w:val="14"/>
          <w:sz w:val="24"/>
          <w:szCs w:val="24"/>
          <w:highlight w:val="none"/>
        </w:rPr>
        <w:t>（本项目不适用）</w:t>
      </w:r>
    </w:p>
    <w:p>
      <w:pPr>
        <w:pStyle w:val="28"/>
        <w:spacing w:line="360" w:lineRule="auto"/>
        <w:rPr>
          <w:rFonts w:ascii="宋体" w:hAnsi="宋体" w:eastAsia="宋体" w:cs="宋体"/>
          <w:spacing w:val="14"/>
          <w:sz w:val="24"/>
          <w:szCs w:val="24"/>
          <w:highlight w:val="none"/>
        </w:rPr>
      </w:pPr>
      <w:r>
        <w:rPr>
          <w:rFonts w:hint="eastAsia" w:ascii="宋体" w:hAnsi="宋体" w:eastAsia="宋体" w:cs="宋体"/>
          <w:spacing w:val="14"/>
          <w:sz w:val="24"/>
          <w:szCs w:val="24"/>
          <w:highlight w:val="none"/>
        </w:rPr>
        <w:t>7.4.1 在签订合同前，中标人应按投标人须知前附表规定的形式、金额和事先经过采购人书面认可的履约保证金格式向采购人提交履约保证金。联合体中标的，其履约保证金以联合体各方或者联合体中牵头人的名义提交。</w:t>
      </w:r>
    </w:p>
    <w:p>
      <w:pPr>
        <w:pStyle w:val="28"/>
        <w:spacing w:line="360" w:lineRule="auto"/>
        <w:rPr>
          <w:rFonts w:ascii="宋体" w:hAnsi="宋体" w:eastAsia="宋体" w:cs="宋体"/>
          <w:spacing w:val="14"/>
          <w:sz w:val="24"/>
          <w:szCs w:val="24"/>
          <w:highlight w:val="none"/>
        </w:rPr>
      </w:pPr>
      <w:r>
        <w:rPr>
          <w:rFonts w:hint="eastAsia" w:ascii="宋体" w:hAnsi="宋体" w:eastAsia="宋体" w:cs="宋体"/>
          <w:spacing w:val="14"/>
          <w:sz w:val="24"/>
          <w:szCs w:val="24"/>
          <w:highlight w:val="none"/>
        </w:rPr>
        <w:t>7.4.2 中标人不能按本章第 7.4.1 项要求提交履约保证金的，视为放弃中标资格，其投标保证金不予退还，给采购人造成的损失超过投标保证金数额的，中标人还应当对超过部分予以赔偿。</w:t>
      </w:r>
    </w:p>
    <w:p>
      <w:pPr>
        <w:pStyle w:val="47"/>
        <w:spacing w:before="0" w:after="0" w:line="360" w:lineRule="auto"/>
        <w:outlineLvl w:val="9"/>
        <w:rPr>
          <w:rFonts w:ascii="宋体" w:hAnsi="宋体" w:eastAsia="宋体" w:cs="宋体"/>
          <w:spacing w:val="14"/>
          <w:sz w:val="24"/>
          <w:szCs w:val="24"/>
          <w:highlight w:val="none"/>
        </w:rPr>
      </w:pPr>
      <w:bookmarkStart w:id="104" w:name="_Toc1660824"/>
      <w:bookmarkStart w:id="105" w:name="_Toc9596"/>
      <w:r>
        <w:rPr>
          <w:rFonts w:hint="eastAsia" w:ascii="宋体" w:hAnsi="宋体" w:eastAsia="宋体" w:cs="宋体"/>
          <w:spacing w:val="14"/>
          <w:sz w:val="24"/>
          <w:szCs w:val="24"/>
          <w:highlight w:val="none"/>
        </w:rPr>
        <w:t>7.5 签订合同</w:t>
      </w:r>
      <w:bookmarkEnd w:id="104"/>
      <w:bookmarkEnd w:id="105"/>
    </w:p>
    <w:p>
      <w:pPr>
        <w:pStyle w:val="28"/>
        <w:spacing w:line="360" w:lineRule="auto"/>
        <w:rPr>
          <w:rFonts w:ascii="宋体" w:hAnsi="宋体" w:eastAsia="宋体" w:cs="宋体"/>
          <w:spacing w:val="14"/>
          <w:sz w:val="24"/>
          <w:szCs w:val="24"/>
          <w:highlight w:val="none"/>
        </w:rPr>
      </w:pPr>
      <w:r>
        <w:rPr>
          <w:rFonts w:hint="eastAsia" w:ascii="宋体" w:hAnsi="宋体" w:eastAsia="宋体" w:cs="宋体"/>
          <w:spacing w:val="14"/>
          <w:sz w:val="24"/>
          <w:szCs w:val="24"/>
          <w:highlight w:val="none"/>
        </w:rPr>
        <w:t>7.5.1 采购人和中标人应当在中标通知书发出之日起1个工作日内，根据招标文件和中标人的投标文件订立书面合同。中标人无正当理由拒签合同，在签订合同时向采购人提出附加条件，或者不按照招标文件要求提交履约保证金的，采购人有权取消其中标资格，其投标保证金不予退还；给采购人造成的损失超过投标保证金数额的，中标人还应当对超过部分予以赔偿。</w:t>
      </w:r>
    </w:p>
    <w:p>
      <w:pPr>
        <w:pStyle w:val="28"/>
        <w:spacing w:line="360" w:lineRule="auto"/>
        <w:rPr>
          <w:rFonts w:ascii="宋体" w:hAnsi="宋体" w:eastAsia="宋体" w:cs="宋体"/>
          <w:spacing w:val="14"/>
          <w:sz w:val="24"/>
          <w:szCs w:val="24"/>
          <w:highlight w:val="none"/>
        </w:rPr>
      </w:pPr>
      <w:r>
        <w:rPr>
          <w:rFonts w:hint="eastAsia" w:ascii="宋体" w:hAnsi="宋体" w:eastAsia="宋体" w:cs="宋体"/>
          <w:spacing w:val="14"/>
          <w:sz w:val="24"/>
          <w:szCs w:val="24"/>
          <w:highlight w:val="none"/>
        </w:rPr>
        <w:t>7.5.2 发出中标通知书后，采购人无正当理由拒签合同，或者在签订合同时向中标人提出附加条件的，采购人向中标人退还投标保证金；给中标人造成损失的，还应当赔偿损失。</w:t>
      </w:r>
    </w:p>
    <w:p>
      <w:pPr>
        <w:pStyle w:val="28"/>
        <w:spacing w:line="360" w:lineRule="auto"/>
        <w:rPr>
          <w:rFonts w:ascii="宋体" w:hAnsi="宋体" w:eastAsia="宋体" w:cs="宋体"/>
          <w:spacing w:val="14"/>
          <w:sz w:val="24"/>
          <w:szCs w:val="24"/>
          <w:highlight w:val="none"/>
        </w:rPr>
      </w:pPr>
      <w:r>
        <w:rPr>
          <w:rFonts w:hint="eastAsia" w:ascii="宋体" w:hAnsi="宋体" w:eastAsia="宋体" w:cs="宋体"/>
          <w:spacing w:val="14"/>
          <w:sz w:val="24"/>
          <w:szCs w:val="24"/>
          <w:highlight w:val="none"/>
        </w:rPr>
        <w:t>7.5.3 联合体中标的，联合体各方应当共同与采购人签订合同，就中标项目向采购人承担连带责任。</w:t>
      </w:r>
    </w:p>
    <w:p>
      <w:pPr>
        <w:pStyle w:val="46"/>
        <w:spacing w:before="0" w:after="0" w:line="360" w:lineRule="auto"/>
        <w:outlineLvl w:val="9"/>
        <w:rPr>
          <w:rFonts w:ascii="宋体" w:hAnsi="宋体" w:cs="宋体"/>
          <w:sz w:val="24"/>
          <w:szCs w:val="24"/>
          <w:highlight w:val="none"/>
        </w:rPr>
      </w:pPr>
      <w:bookmarkStart w:id="106" w:name="_Toc28461"/>
      <w:bookmarkStart w:id="107" w:name="_Toc1660825"/>
      <w:bookmarkStart w:id="108" w:name="_Toc256000013"/>
      <w:r>
        <w:rPr>
          <w:rFonts w:hint="eastAsia" w:ascii="宋体" w:hAnsi="宋体" w:cs="宋体"/>
          <w:sz w:val="24"/>
          <w:szCs w:val="24"/>
          <w:highlight w:val="none"/>
        </w:rPr>
        <w:t>8、纪律和监督</w:t>
      </w:r>
      <w:bookmarkEnd w:id="106"/>
      <w:bookmarkEnd w:id="107"/>
      <w:bookmarkEnd w:id="108"/>
    </w:p>
    <w:p>
      <w:pPr>
        <w:pStyle w:val="47"/>
        <w:spacing w:before="0" w:after="0" w:line="360" w:lineRule="auto"/>
        <w:outlineLvl w:val="9"/>
        <w:rPr>
          <w:rFonts w:ascii="宋体" w:hAnsi="宋体" w:eastAsia="宋体" w:cs="宋体"/>
          <w:spacing w:val="14"/>
          <w:sz w:val="24"/>
          <w:szCs w:val="24"/>
          <w:highlight w:val="none"/>
        </w:rPr>
      </w:pPr>
      <w:bookmarkStart w:id="109" w:name="_Toc1660826"/>
      <w:bookmarkStart w:id="110" w:name="_Toc10892"/>
      <w:r>
        <w:rPr>
          <w:rFonts w:hint="eastAsia" w:ascii="宋体" w:hAnsi="宋体" w:eastAsia="宋体" w:cs="宋体"/>
          <w:spacing w:val="14"/>
          <w:sz w:val="24"/>
          <w:szCs w:val="24"/>
          <w:highlight w:val="none"/>
        </w:rPr>
        <w:t>8.1 对采购人的纪律要求</w:t>
      </w:r>
      <w:bookmarkEnd w:id="109"/>
      <w:bookmarkEnd w:id="110"/>
    </w:p>
    <w:p>
      <w:pPr>
        <w:pStyle w:val="28"/>
        <w:spacing w:line="360" w:lineRule="auto"/>
        <w:rPr>
          <w:rFonts w:ascii="宋体" w:hAnsi="宋体" w:eastAsia="宋体" w:cs="宋体"/>
          <w:spacing w:val="14"/>
          <w:sz w:val="24"/>
          <w:szCs w:val="24"/>
          <w:highlight w:val="none"/>
        </w:rPr>
      </w:pPr>
      <w:r>
        <w:rPr>
          <w:rFonts w:hint="eastAsia" w:ascii="宋体" w:hAnsi="宋体" w:eastAsia="宋体" w:cs="宋体"/>
          <w:spacing w:val="14"/>
          <w:sz w:val="24"/>
          <w:szCs w:val="24"/>
          <w:highlight w:val="none"/>
        </w:rPr>
        <w:t>8.1.1不得以不合理的条件对投标人实行差别待遇或者歧视待遇，排斥其他投标人公平参与竞争；</w:t>
      </w:r>
    </w:p>
    <w:p>
      <w:pPr>
        <w:pStyle w:val="28"/>
        <w:spacing w:line="360" w:lineRule="auto"/>
        <w:rPr>
          <w:rFonts w:ascii="宋体" w:hAnsi="宋体" w:eastAsia="宋体" w:cs="宋体"/>
          <w:spacing w:val="14"/>
          <w:sz w:val="24"/>
          <w:szCs w:val="24"/>
          <w:highlight w:val="none"/>
        </w:rPr>
      </w:pPr>
      <w:r>
        <w:rPr>
          <w:rFonts w:hint="eastAsia" w:ascii="宋体" w:hAnsi="宋体" w:eastAsia="宋体" w:cs="宋体"/>
          <w:spacing w:val="14"/>
          <w:sz w:val="24"/>
          <w:szCs w:val="24"/>
          <w:highlight w:val="none"/>
        </w:rPr>
        <w:t>8.1.2不得与投标人或采购代理机构串通损害国家利益、社会公共利益或者他人合法权益；</w:t>
      </w:r>
    </w:p>
    <w:p>
      <w:pPr>
        <w:pStyle w:val="28"/>
        <w:spacing w:line="360" w:lineRule="auto"/>
        <w:rPr>
          <w:rFonts w:ascii="宋体" w:hAnsi="宋体" w:eastAsia="宋体" w:cs="宋体"/>
          <w:spacing w:val="14"/>
          <w:sz w:val="24"/>
          <w:szCs w:val="24"/>
          <w:highlight w:val="none"/>
        </w:rPr>
      </w:pPr>
      <w:r>
        <w:rPr>
          <w:rFonts w:hint="eastAsia" w:ascii="宋体" w:hAnsi="宋体" w:eastAsia="宋体" w:cs="宋体"/>
          <w:spacing w:val="14"/>
          <w:sz w:val="24"/>
          <w:szCs w:val="24"/>
          <w:highlight w:val="none"/>
        </w:rPr>
        <w:t>8.1.3不得诱导、干预或影响评标委员会依法依规评标，不得诱导、干预或影响评标专家依法依规独立评标；</w:t>
      </w:r>
    </w:p>
    <w:p>
      <w:pPr>
        <w:pStyle w:val="28"/>
        <w:spacing w:line="360" w:lineRule="auto"/>
        <w:rPr>
          <w:rFonts w:ascii="宋体" w:hAnsi="宋体" w:eastAsia="宋体" w:cs="宋体"/>
          <w:spacing w:val="14"/>
          <w:sz w:val="24"/>
          <w:szCs w:val="24"/>
          <w:highlight w:val="none"/>
        </w:rPr>
      </w:pPr>
      <w:r>
        <w:rPr>
          <w:rFonts w:hint="eastAsia" w:ascii="宋体" w:hAnsi="宋体" w:eastAsia="宋体" w:cs="宋体"/>
          <w:spacing w:val="14"/>
          <w:sz w:val="24"/>
          <w:szCs w:val="24"/>
          <w:highlight w:val="none"/>
        </w:rPr>
        <w:t>8.1.4不得泄漏采购活动中应当保密的情况和资料；</w:t>
      </w:r>
    </w:p>
    <w:p>
      <w:pPr>
        <w:pStyle w:val="28"/>
        <w:spacing w:line="360" w:lineRule="auto"/>
        <w:rPr>
          <w:rFonts w:ascii="宋体" w:hAnsi="宋体" w:eastAsia="宋体" w:cs="宋体"/>
          <w:spacing w:val="14"/>
          <w:sz w:val="24"/>
          <w:szCs w:val="24"/>
          <w:highlight w:val="none"/>
        </w:rPr>
      </w:pPr>
      <w:r>
        <w:rPr>
          <w:rFonts w:hint="eastAsia" w:ascii="宋体" w:hAnsi="宋体" w:eastAsia="宋体" w:cs="宋体"/>
          <w:spacing w:val="14"/>
          <w:sz w:val="24"/>
          <w:szCs w:val="24"/>
          <w:highlight w:val="none"/>
        </w:rPr>
        <w:t>8.1.5不得接受投标人或采购代理机构的贿赂，或获取其他不正当利益；</w:t>
      </w:r>
    </w:p>
    <w:p>
      <w:pPr>
        <w:pStyle w:val="28"/>
        <w:spacing w:line="360" w:lineRule="auto"/>
        <w:rPr>
          <w:rFonts w:ascii="宋体" w:hAnsi="宋体" w:eastAsia="宋体" w:cs="宋体"/>
          <w:spacing w:val="14"/>
          <w:sz w:val="24"/>
          <w:szCs w:val="24"/>
          <w:highlight w:val="none"/>
        </w:rPr>
      </w:pPr>
      <w:r>
        <w:rPr>
          <w:rFonts w:hint="eastAsia" w:ascii="宋体" w:hAnsi="宋体" w:eastAsia="宋体" w:cs="宋体"/>
          <w:spacing w:val="14"/>
          <w:sz w:val="24"/>
          <w:szCs w:val="24"/>
          <w:highlight w:val="none"/>
        </w:rPr>
        <w:t>8.1.6不得无正当理拒绝与中标人签订合同；</w:t>
      </w:r>
    </w:p>
    <w:p>
      <w:pPr>
        <w:pStyle w:val="28"/>
        <w:spacing w:line="360" w:lineRule="auto"/>
        <w:rPr>
          <w:rFonts w:ascii="宋体" w:hAnsi="宋体" w:eastAsia="宋体" w:cs="宋体"/>
          <w:spacing w:val="14"/>
          <w:sz w:val="24"/>
          <w:szCs w:val="24"/>
          <w:highlight w:val="none"/>
        </w:rPr>
      </w:pPr>
      <w:r>
        <w:rPr>
          <w:rFonts w:hint="eastAsia" w:ascii="宋体" w:hAnsi="宋体" w:eastAsia="宋体" w:cs="宋体"/>
          <w:spacing w:val="14"/>
          <w:sz w:val="24"/>
          <w:szCs w:val="24"/>
          <w:highlight w:val="none"/>
        </w:rPr>
        <w:t>8.1.7参与采购活动的相关人员与投标人有利害关系的应当回避；</w:t>
      </w:r>
    </w:p>
    <w:p>
      <w:pPr>
        <w:pStyle w:val="28"/>
        <w:spacing w:line="360" w:lineRule="auto"/>
        <w:rPr>
          <w:rFonts w:ascii="宋体" w:hAnsi="宋体" w:eastAsia="宋体" w:cs="宋体"/>
          <w:spacing w:val="14"/>
          <w:sz w:val="24"/>
          <w:szCs w:val="24"/>
          <w:highlight w:val="none"/>
        </w:rPr>
      </w:pPr>
      <w:r>
        <w:rPr>
          <w:rFonts w:hint="eastAsia" w:ascii="宋体" w:hAnsi="宋体" w:eastAsia="宋体" w:cs="宋体"/>
          <w:spacing w:val="14"/>
          <w:sz w:val="24"/>
          <w:szCs w:val="24"/>
          <w:highlight w:val="none"/>
        </w:rPr>
        <w:t>8.1.8采购过程中，不得有其他违法违规行为。</w:t>
      </w:r>
    </w:p>
    <w:p>
      <w:pPr>
        <w:pStyle w:val="47"/>
        <w:spacing w:before="0" w:after="0" w:line="360" w:lineRule="auto"/>
        <w:outlineLvl w:val="9"/>
        <w:rPr>
          <w:rFonts w:ascii="宋体" w:hAnsi="宋体" w:eastAsia="宋体" w:cs="宋体"/>
          <w:spacing w:val="14"/>
          <w:sz w:val="24"/>
          <w:szCs w:val="24"/>
          <w:highlight w:val="none"/>
        </w:rPr>
      </w:pPr>
      <w:bookmarkStart w:id="111" w:name="_Toc1660827"/>
      <w:bookmarkStart w:id="112" w:name="_Toc31119"/>
      <w:r>
        <w:rPr>
          <w:rFonts w:hint="eastAsia" w:ascii="宋体" w:hAnsi="宋体" w:eastAsia="宋体" w:cs="宋体"/>
          <w:spacing w:val="14"/>
          <w:sz w:val="24"/>
          <w:szCs w:val="24"/>
          <w:highlight w:val="none"/>
        </w:rPr>
        <w:t>8.2 对投标人的纪律要求</w:t>
      </w:r>
      <w:bookmarkEnd w:id="111"/>
      <w:bookmarkEnd w:id="112"/>
    </w:p>
    <w:p>
      <w:pPr>
        <w:pStyle w:val="28"/>
        <w:spacing w:line="360" w:lineRule="auto"/>
        <w:rPr>
          <w:rFonts w:ascii="宋体" w:hAnsi="宋体" w:eastAsia="宋体" w:cs="宋体"/>
          <w:spacing w:val="14"/>
          <w:sz w:val="24"/>
          <w:szCs w:val="24"/>
          <w:highlight w:val="none"/>
        </w:rPr>
      </w:pPr>
      <w:r>
        <w:rPr>
          <w:rFonts w:hint="eastAsia" w:ascii="宋体" w:hAnsi="宋体" w:eastAsia="宋体" w:cs="宋体"/>
          <w:spacing w:val="14"/>
          <w:sz w:val="24"/>
          <w:szCs w:val="24"/>
          <w:highlight w:val="none"/>
        </w:rPr>
        <w:t>8.2.1不得以他人名义投标；</w:t>
      </w:r>
    </w:p>
    <w:p>
      <w:pPr>
        <w:pStyle w:val="28"/>
        <w:spacing w:line="360" w:lineRule="auto"/>
        <w:rPr>
          <w:rFonts w:ascii="宋体" w:hAnsi="宋体" w:eastAsia="宋体" w:cs="宋体"/>
          <w:spacing w:val="14"/>
          <w:sz w:val="24"/>
          <w:szCs w:val="24"/>
          <w:highlight w:val="none"/>
        </w:rPr>
      </w:pPr>
      <w:r>
        <w:rPr>
          <w:rFonts w:hint="eastAsia" w:ascii="宋体" w:hAnsi="宋体" w:eastAsia="宋体" w:cs="宋体"/>
          <w:spacing w:val="14"/>
          <w:sz w:val="24"/>
          <w:szCs w:val="24"/>
          <w:highlight w:val="none"/>
        </w:rPr>
        <w:t>8.2.2投标人不得相互串通投标，不得与采购人、与采购代理机构串通投标；</w:t>
      </w:r>
    </w:p>
    <w:p>
      <w:pPr>
        <w:pStyle w:val="28"/>
        <w:spacing w:line="360" w:lineRule="auto"/>
        <w:rPr>
          <w:rFonts w:ascii="宋体" w:hAnsi="宋体" w:eastAsia="宋体" w:cs="宋体"/>
          <w:spacing w:val="14"/>
          <w:sz w:val="24"/>
          <w:szCs w:val="24"/>
          <w:highlight w:val="none"/>
        </w:rPr>
      </w:pPr>
      <w:r>
        <w:rPr>
          <w:rFonts w:hint="eastAsia" w:ascii="宋体" w:hAnsi="宋体" w:eastAsia="宋体" w:cs="宋体"/>
          <w:spacing w:val="14"/>
          <w:sz w:val="24"/>
          <w:szCs w:val="24"/>
          <w:highlight w:val="none"/>
        </w:rPr>
        <w:t>8.2.3不得向采购人或者评标委员会成员行贿，或提供其他不正当利益谋取中标；</w:t>
      </w:r>
    </w:p>
    <w:p>
      <w:pPr>
        <w:pStyle w:val="28"/>
        <w:spacing w:line="360" w:lineRule="auto"/>
        <w:rPr>
          <w:rFonts w:ascii="宋体" w:hAnsi="宋体" w:eastAsia="宋体" w:cs="宋体"/>
          <w:spacing w:val="14"/>
          <w:sz w:val="24"/>
          <w:szCs w:val="24"/>
          <w:highlight w:val="none"/>
        </w:rPr>
      </w:pPr>
      <w:r>
        <w:rPr>
          <w:rFonts w:hint="eastAsia" w:ascii="宋体" w:hAnsi="宋体" w:eastAsia="宋体" w:cs="宋体"/>
          <w:spacing w:val="14"/>
          <w:sz w:val="24"/>
          <w:szCs w:val="24"/>
          <w:highlight w:val="none"/>
        </w:rPr>
        <w:t>8.2.4不得弄虚作假骗取中标，不得虚假应标，不得恶意低价抢标；</w:t>
      </w:r>
    </w:p>
    <w:p>
      <w:pPr>
        <w:pStyle w:val="28"/>
        <w:spacing w:line="360" w:lineRule="auto"/>
        <w:rPr>
          <w:rFonts w:ascii="宋体" w:hAnsi="宋体" w:eastAsia="宋体" w:cs="宋体"/>
          <w:spacing w:val="14"/>
          <w:sz w:val="24"/>
          <w:szCs w:val="24"/>
          <w:highlight w:val="none"/>
        </w:rPr>
      </w:pPr>
      <w:r>
        <w:rPr>
          <w:rFonts w:hint="eastAsia" w:ascii="宋体" w:hAnsi="宋体" w:eastAsia="宋体" w:cs="宋体"/>
          <w:spacing w:val="14"/>
          <w:sz w:val="24"/>
          <w:szCs w:val="24"/>
          <w:highlight w:val="none"/>
        </w:rPr>
        <w:t>8.2.5投标人不得以任何方式干扰、影响评标工作；</w:t>
      </w:r>
    </w:p>
    <w:p>
      <w:pPr>
        <w:pStyle w:val="28"/>
        <w:spacing w:line="360" w:lineRule="auto"/>
        <w:rPr>
          <w:rFonts w:ascii="宋体" w:hAnsi="宋体" w:eastAsia="宋体" w:cs="宋体"/>
          <w:spacing w:val="14"/>
          <w:sz w:val="24"/>
          <w:szCs w:val="24"/>
          <w:highlight w:val="none"/>
        </w:rPr>
      </w:pPr>
      <w:r>
        <w:rPr>
          <w:rFonts w:hint="eastAsia" w:ascii="宋体" w:hAnsi="宋体" w:eastAsia="宋体" w:cs="宋体"/>
          <w:spacing w:val="14"/>
          <w:sz w:val="24"/>
          <w:szCs w:val="24"/>
          <w:highlight w:val="none"/>
        </w:rPr>
        <w:t>8.2.6不得无正当理由弃标或中标后拒绝与采购人签订合同；</w:t>
      </w:r>
    </w:p>
    <w:p>
      <w:pPr>
        <w:pStyle w:val="28"/>
        <w:spacing w:line="360" w:lineRule="auto"/>
        <w:rPr>
          <w:rFonts w:ascii="宋体" w:hAnsi="宋体" w:eastAsia="宋体" w:cs="宋体"/>
          <w:spacing w:val="14"/>
          <w:sz w:val="24"/>
          <w:szCs w:val="24"/>
          <w:highlight w:val="none"/>
        </w:rPr>
      </w:pPr>
      <w:r>
        <w:rPr>
          <w:rFonts w:hint="eastAsia" w:ascii="宋体" w:hAnsi="宋体" w:eastAsia="宋体" w:cs="宋体"/>
          <w:spacing w:val="14"/>
          <w:sz w:val="24"/>
          <w:szCs w:val="24"/>
          <w:highlight w:val="none"/>
        </w:rPr>
        <w:t>8.2.7不得恶意诋毁其他投标人、采购人或采购代理机构；</w:t>
      </w:r>
    </w:p>
    <w:p>
      <w:pPr>
        <w:pStyle w:val="28"/>
        <w:spacing w:line="360" w:lineRule="auto"/>
        <w:rPr>
          <w:rFonts w:ascii="宋体" w:hAnsi="宋体" w:eastAsia="宋体" w:cs="宋体"/>
          <w:spacing w:val="14"/>
          <w:sz w:val="24"/>
          <w:szCs w:val="24"/>
          <w:highlight w:val="none"/>
        </w:rPr>
      </w:pPr>
      <w:r>
        <w:rPr>
          <w:rFonts w:hint="eastAsia" w:ascii="宋体" w:hAnsi="宋体" w:eastAsia="宋体" w:cs="宋体"/>
          <w:spacing w:val="14"/>
          <w:sz w:val="24"/>
          <w:szCs w:val="24"/>
          <w:highlight w:val="none"/>
        </w:rPr>
        <w:t>8.2.8在参与政府采购活动中，不得有其他违法违规行为。</w:t>
      </w:r>
    </w:p>
    <w:p>
      <w:pPr>
        <w:pStyle w:val="47"/>
        <w:spacing w:before="0" w:after="0" w:line="360" w:lineRule="auto"/>
        <w:outlineLvl w:val="9"/>
        <w:rPr>
          <w:rFonts w:ascii="宋体" w:hAnsi="宋体" w:eastAsia="宋体" w:cs="宋体"/>
          <w:spacing w:val="14"/>
          <w:sz w:val="24"/>
          <w:szCs w:val="24"/>
          <w:highlight w:val="none"/>
        </w:rPr>
      </w:pPr>
      <w:bookmarkStart w:id="113" w:name="_Toc1660828"/>
      <w:bookmarkStart w:id="114" w:name="_Toc27092"/>
      <w:r>
        <w:rPr>
          <w:rFonts w:hint="eastAsia" w:ascii="宋体" w:hAnsi="宋体" w:eastAsia="宋体" w:cs="宋体"/>
          <w:spacing w:val="14"/>
          <w:sz w:val="24"/>
          <w:szCs w:val="24"/>
          <w:highlight w:val="none"/>
        </w:rPr>
        <w:t>8.3 对评标委员会成员的纪律要求</w:t>
      </w:r>
      <w:bookmarkEnd w:id="113"/>
      <w:bookmarkEnd w:id="114"/>
    </w:p>
    <w:p>
      <w:pPr>
        <w:pStyle w:val="28"/>
        <w:spacing w:line="360" w:lineRule="auto"/>
        <w:rPr>
          <w:rFonts w:ascii="宋体" w:hAnsi="宋体" w:eastAsia="宋体" w:cs="宋体"/>
          <w:spacing w:val="14"/>
          <w:sz w:val="24"/>
          <w:szCs w:val="24"/>
          <w:highlight w:val="none"/>
        </w:rPr>
      </w:pPr>
      <w:r>
        <w:rPr>
          <w:rFonts w:hint="eastAsia" w:ascii="宋体" w:hAnsi="宋体" w:eastAsia="宋体" w:cs="宋体"/>
          <w:spacing w:val="14"/>
          <w:sz w:val="24"/>
          <w:szCs w:val="24"/>
          <w:highlight w:val="none"/>
        </w:rPr>
        <w:t>8.3.1确定参与评标至评标结束前，不得私自接触投标人；</w:t>
      </w:r>
    </w:p>
    <w:p>
      <w:pPr>
        <w:pStyle w:val="28"/>
        <w:spacing w:line="360" w:lineRule="auto"/>
        <w:rPr>
          <w:rFonts w:ascii="宋体" w:hAnsi="宋体" w:eastAsia="宋体" w:cs="宋体"/>
          <w:spacing w:val="14"/>
          <w:sz w:val="24"/>
          <w:szCs w:val="24"/>
          <w:highlight w:val="none"/>
        </w:rPr>
      </w:pPr>
      <w:r>
        <w:rPr>
          <w:rFonts w:hint="eastAsia" w:ascii="宋体" w:hAnsi="宋体" w:eastAsia="宋体" w:cs="宋体"/>
          <w:spacing w:val="14"/>
          <w:sz w:val="24"/>
          <w:szCs w:val="24"/>
          <w:highlight w:val="none"/>
        </w:rPr>
        <w:t>8.3.2不得与投标人或采购代理机构串通损害国家利益、社会公共利益或者他人合法权益；</w:t>
      </w:r>
    </w:p>
    <w:p>
      <w:pPr>
        <w:pStyle w:val="28"/>
        <w:spacing w:line="360" w:lineRule="auto"/>
        <w:rPr>
          <w:rFonts w:ascii="宋体" w:hAnsi="宋体" w:eastAsia="宋体" w:cs="宋体"/>
          <w:spacing w:val="14"/>
          <w:sz w:val="24"/>
          <w:szCs w:val="24"/>
          <w:highlight w:val="none"/>
        </w:rPr>
      </w:pPr>
      <w:r>
        <w:rPr>
          <w:rFonts w:hint="eastAsia" w:ascii="宋体" w:hAnsi="宋体" w:eastAsia="宋体" w:cs="宋体"/>
          <w:spacing w:val="14"/>
          <w:sz w:val="24"/>
          <w:szCs w:val="24"/>
          <w:highlight w:val="none"/>
        </w:rPr>
        <w:t>8.3.3不得接受投标人主动提出的与投标文件不一致的澄清和说明；</w:t>
      </w:r>
    </w:p>
    <w:p>
      <w:pPr>
        <w:pStyle w:val="28"/>
        <w:spacing w:line="360" w:lineRule="auto"/>
        <w:rPr>
          <w:rFonts w:ascii="宋体" w:hAnsi="宋体" w:eastAsia="宋体" w:cs="宋体"/>
          <w:spacing w:val="14"/>
          <w:sz w:val="24"/>
          <w:szCs w:val="24"/>
          <w:highlight w:val="none"/>
        </w:rPr>
      </w:pPr>
      <w:r>
        <w:rPr>
          <w:rFonts w:hint="eastAsia" w:ascii="宋体" w:hAnsi="宋体" w:eastAsia="宋体" w:cs="宋体"/>
          <w:spacing w:val="14"/>
          <w:sz w:val="24"/>
          <w:szCs w:val="24"/>
          <w:highlight w:val="none"/>
        </w:rPr>
        <w:t>8.3.4不得征询采购人的倾向性意见；</w:t>
      </w:r>
    </w:p>
    <w:p>
      <w:pPr>
        <w:pStyle w:val="28"/>
        <w:spacing w:line="360" w:lineRule="auto"/>
        <w:rPr>
          <w:rFonts w:ascii="宋体" w:hAnsi="宋体" w:eastAsia="宋体" w:cs="宋体"/>
          <w:spacing w:val="14"/>
          <w:sz w:val="24"/>
          <w:szCs w:val="24"/>
          <w:highlight w:val="none"/>
        </w:rPr>
      </w:pPr>
      <w:r>
        <w:rPr>
          <w:rFonts w:hint="eastAsia" w:ascii="宋体" w:hAnsi="宋体" w:eastAsia="宋体" w:cs="宋体"/>
          <w:spacing w:val="14"/>
          <w:sz w:val="24"/>
          <w:szCs w:val="24"/>
          <w:highlight w:val="none"/>
        </w:rPr>
        <w:t>8.3.5不得对主观评审因素协商评分；</w:t>
      </w:r>
    </w:p>
    <w:p>
      <w:pPr>
        <w:pStyle w:val="28"/>
        <w:spacing w:line="360" w:lineRule="auto"/>
        <w:rPr>
          <w:rFonts w:ascii="宋体" w:hAnsi="宋体" w:eastAsia="宋体" w:cs="宋体"/>
          <w:spacing w:val="14"/>
          <w:sz w:val="24"/>
          <w:szCs w:val="24"/>
          <w:highlight w:val="none"/>
        </w:rPr>
      </w:pPr>
      <w:r>
        <w:rPr>
          <w:rFonts w:hint="eastAsia" w:ascii="宋体" w:hAnsi="宋体" w:eastAsia="宋体" w:cs="宋体"/>
          <w:spacing w:val="14"/>
          <w:sz w:val="24"/>
          <w:szCs w:val="24"/>
          <w:highlight w:val="none"/>
        </w:rPr>
        <w:t>8.3.6不得对客观评审因素评分不一致；</w:t>
      </w:r>
    </w:p>
    <w:p>
      <w:pPr>
        <w:pStyle w:val="28"/>
        <w:spacing w:line="360" w:lineRule="auto"/>
        <w:rPr>
          <w:rFonts w:ascii="宋体" w:hAnsi="宋体" w:eastAsia="宋体" w:cs="宋体"/>
          <w:spacing w:val="14"/>
          <w:sz w:val="24"/>
          <w:szCs w:val="24"/>
          <w:highlight w:val="none"/>
        </w:rPr>
      </w:pPr>
      <w:r>
        <w:rPr>
          <w:rFonts w:hint="eastAsia" w:ascii="宋体" w:hAnsi="宋体" w:eastAsia="宋体" w:cs="宋体"/>
          <w:spacing w:val="14"/>
          <w:sz w:val="24"/>
          <w:szCs w:val="24"/>
          <w:highlight w:val="none"/>
        </w:rPr>
        <w:t>8.3.7评标委员会成员不得接受投标人、采购人和采购代理机构等他人的贿赂或者其他不正当利益；</w:t>
      </w:r>
    </w:p>
    <w:p>
      <w:pPr>
        <w:pStyle w:val="28"/>
        <w:spacing w:line="360" w:lineRule="auto"/>
        <w:rPr>
          <w:rFonts w:ascii="宋体" w:hAnsi="宋体" w:eastAsia="宋体" w:cs="宋体"/>
          <w:spacing w:val="14"/>
          <w:sz w:val="24"/>
          <w:szCs w:val="24"/>
          <w:highlight w:val="none"/>
        </w:rPr>
      </w:pPr>
      <w:r>
        <w:rPr>
          <w:rFonts w:hint="eastAsia" w:ascii="宋体" w:hAnsi="宋体" w:eastAsia="宋体" w:cs="宋体"/>
          <w:spacing w:val="14"/>
          <w:sz w:val="24"/>
          <w:szCs w:val="24"/>
          <w:highlight w:val="none"/>
        </w:rPr>
        <w:t>8.3.8不得以不合理的条件对投标人实行差别待遇或者歧视待遇，排斥其他投标人公平参与竞争；</w:t>
      </w:r>
    </w:p>
    <w:p>
      <w:pPr>
        <w:pStyle w:val="28"/>
        <w:spacing w:line="360" w:lineRule="auto"/>
        <w:rPr>
          <w:rFonts w:ascii="宋体" w:hAnsi="宋体" w:eastAsia="宋体" w:cs="宋体"/>
          <w:spacing w:val="14"/>
          <w:sz w:val="24"/>
          <w:szCs w:val="24"/>
          <w:highlight w:val="none"/>
        </w:rPr>
      </w:pPr>
      <w:r>
        <w:rPr>
          <w:rFonts w:hint="eastAsia" w:ascii="宋体" w:hAnsi="宋体" w:eastAsia="宋体" w:cs="宋体"/>
          <w:spacing w:val="14"/>
          <w:sz w:val="24"/>
          <w:szCs w:val="24"/>
          <w:highlight w:val="none"/>
        </w:rPr>
        <w:t>8.3.9不得使用招标文件没有规定的评标方法和评标标准进行评标；</w:t>
      </w:r>
    </w:p>
    <w:p>
      <w:pPr>
        <w:pStyle w:val="28"/>
        <w:spacing w:line="360" w:lineRule="auto"/>
        <w:rPr>
          <w:rFonts w:ascii="宋体" w:hAnsi="宋体" w:eastAsia="宋体" w:cs="宋体"/>
          <w:spacing w:val="14"/>
          <w:sz w:val="24"/>
          <w:szCs w:val="24"/>
          <w:highlight w:val="none"/>
        </w:rPr>
      </w:pPr>
      <w:r>
        <w:rPr>
          <w:rFonts w:hint="eastAsia" w:ascii="宋体" w:hAnsi="宋体" w:eastAsia="宋体" w:cs="宋体"/>
          <w:spacing w:val="14"/>
          <w:sz w:val="24"/>
          <w:szCs w:val="24"/>
          <w:highlight w:val="none"/>
        </w:rPr>
        <w:t>8.3.10不得诱导、干预或影响其他评标专家依法依规独立评标；</w:t>
      </w:r>
    </w:p>
    <w:p>
      <w:pPr>
        <w:pStyle w:val="28"/>
        <w:spacing w:line="360" w:lineRule="auto"/>
        <w:rPr>
          <w:rFonts w:ascii="宋体" w:hAnsi="宋体" w:eastAsia="宋体" w:cs="宋体"/>
          <w:spacing w:val="14"/>
          <w:sz w:val="24"/>
          <w:szCs w:val="24"/>
          <w:highlight w:val="none"/>
        </w:rPr>
      </w:pPr>
      <w:r>
        <w:rPr>
          <w:rFonts w:hint="eastAsia" w:ascii="宋体" w:hAnsi="宋体" w:eastAsia="宋体" w:cs="宋体"/>
          <w:spacing w:val="14"/>
          <w:sz w:val="24"/>
          <w:szCs w:val="24"/>
          <w:highlight w:val="none"/>
        </w:rPr>
        <w:t>8.3.11在评标活动中，评标委员会成员不得擅离职守，影响评标工作正常进行；</w:t>
      </w:r>
    </w:p>
    <w:p>
      <w:pPr>
        <w:pStyle w:val="28"/>
        <w:spacing w:line="360" w:lineRule="auto"/>
        <w:rPr>
          <w:rFonts w:ascii="宋体" w:hAnsi="宋体" w:eastAsia="宋体" w:cs="宋体"/>
          <w:spacing w:val="14"/>
          <w:sz w:val="24"/>
          <w:szCs w:val="24"/>
          <w:highlight w:val="none"/>
        </w:rPr>
      </w:pPr>
      <w:r>
        <w:rPr>
          <w:rFonts w:hint="eastAsia" w:ascii="宋体" w:hAnsi="宋体" w:eastAsia="宋体" w:cs="宋体"/>
          <w:spacing w:val="14"/>
          <w:sz w:val="24"/>
          <w:szCs w:val="24"/>
          <w:highlight w:val="none"/>
        </w:rPr>
        <w:t>8.3.12不得记录、复制或带走任何评标资料；</w:t>
      </w:r>
    </w:p>
    <w:p>
      <w:pPr>
        <w:pStyle w:val="28"/>
        <w:spacing w:line="360" w:lineRule="auto"/>
        <w:rPr>
          <w:rFonts w:ascii="宋体" w:hAnsi="宋体" w:eastAsia="宋体" w:cs="宋体"/>
          <w:spacing w:val="14"/>
          <w:sz w:val="24"/>
          <w:szCs w:val="24"/>
          <w:highlight w:val="none"/>
        </w:rPr>
      </w:pPr>
      <w:r>
        <w:rPr>
          <w:rFonts w:hint="eastAsia" w:ascii="宋体" w:hAnsi="宋体" w:eastAsia="宋体" w:cs="宋体"/>
          <w:spacing w:val="14"/>
          <w:sz w:val="24"/>
          <w:szCs w:val="24"/>
          <w:highlight w:val="none"/>
        </w:rPr>
        <w:t>8.3.11不得泄露评标过程中获悉的对投标文件的评审和比较、中标候选人的推荐情况以及与评标有关的应当保密的情况和资料；</w:t>
      </w:r>
    </w:p>
    <w:p>
      <w:pPr>
        <w:pStyle w:val="28"/>
        <w:spacing w:line="360" w:lineRule="auto"/>
        <w:rPr>
          <w:rFonts w:ascii="宋体" w:hAnsi="宋体" w:eastAsia="宋体" w:cs="宋体"/>
          <w:spacing w:val="14"/>
          <w:sz w:val="24"/>
          <w:szCs w:val="24"/>
          <w:highlight w:val="none"/>
        </w:rPr>
      </w:pPr>
      <w:r>
        <w:rPr>
          <w:rFonts w:hint="eastAsia" w:ascii="宋体" w:hAnsi="宋体" w:eastAsia="宋体" w:cs="宋体"/>
          <w:spacing w:val="14"/>
          <w:sz w:val="24"/>
          <w:szCs w:val="24"/>
          <w:highlight w:val="none"/>
        </w:rPr>
        <w:t>8.3.13评标委员会成员与投标人存在利害关系应当回避；</w:t>
      </w:r>
    </w:p>
    <w:p>
      <w:pPr>
        <w:pStyle w:val="28"/>
        <w:spacing w:line="360" w:lineRule="auto"/>
        <w:rPr>
          <w:rFonts w:ascii="宋体" w:hAnsi="宋体" w:eastAsia="宋体" w:cs="宋体"/>
          <w:spacing w:val="14"/>
          <w:sz w:val="24"/>
          <w:szCs w:val="24"/>
          <w:highlight w:val="none"/>
        </w:rPr>
      </w:pPr>
      <w:r>
        <w:rPr>
          <w:rFonts w:hint="eastAsia" w:ascii="宋体" w:hAnsi="宋体" w:eastAsia="宋体" w:cs="宋体"/>
          <w:spacing w:val="14"/>
          <w:sz w:val="24"/>
          <w:szCs w:val="24"/>
          <w:highlight w:val="none"/>
        </w:rPr>
        <w:t>8.3.14在参与政府采购评标活动中，不得有其他违法违规行为。</w:t>
      </w:r>
    </w:p>
    <w:p>
      <w:pPr>
        <w:pStyle w:val="47"/>
        <w:spacing w:before="0" w:after="0" w:line="360" w:lineRule="auto"/>
        <w:outlineLvl w:val="9"/>
        <w:rPr>
          <w:rFonts w:ascii="宋体" w:hAnsi="宋体" w:eastAsia="宋体" w:cs="宋体"/>
          <w:spacing w:val="14"/>
          <w:sz w:val="24"/>
          <w:szCs w:val="24"/>
          <w:highlight w:val="none"/>
        </w:rPr>
      </w:pPr>
      <w:bookmarkStart w:id="115" w:name="_Toc7944"/>
      <w:bookmarkStart w:id="116" w:name="_Toc1660829"/>
      <w:r>
        <w:rPr>
          <w:rFonts w:hint="eastAsia" w:ascii="宋体" w:hAnsi="宋体" w:eastAsia="宋体" w:cs="宋体"/>
          <w:spacing w:val="14"/>
          <w:sz w:val="24"/>
          <w:szCs w:val="24"/>
          <w:highlight w:val="none"/>
        </w:rPr>
        <w:t>8.4 对与评标活动有关的工作人员的纪律要求</w:t>
      </w:r>
      <w:bookmarkEnd w:id="115"/>
      <w:bookmarkEnd w:id="116"/>
    </w:p>
    <w:p>
      <w:pPr>
        <w:pStyle w:val="28"/>
        <w:spacing w:line="360" w:lineRule="auto"/>
        <w:rPr>
          <w:rFonts w:ascii="宋体" w:hAnsi="宋体" w:eastAsia="宋体" w:cs="宋体"/>
          <w:spacing w:val="14"/>
          <w:sz w:val="24"/>
          <w:szCs w:val="24"/>
          <w:highlight w:val="none"/>
        </w:rPr>
      </w:pPr>
      <w:r>
        <w:rPr>
          <w:rFonts w:hint="eastAsia" w:ascii="宋体" w:hAnsi="宋体" w:eastAsia="宋体" w:cs="宋体"/>
          <w:spacing w:val="14"/>
          <w:sz w:val="24"/>
          <w:szCs w:val="24"/>
          <w:highlight w:val="none"/>
        </w:rPr>
        <w:t>8.4.1不得接受投标人、采购人和采购代理机构等他人的贿赂或者其他不正当利益；</w:t>
      </w:r>
    </w:p>
    <w:p>
      <w:pPr>
        <w:pStyle w:val="28"/>
        <w:spacing w:line="360" w:lineRule="auto"/>
        <w:rPr>
          <w:rFonts w:ascii="宋体" w:hAnsi="宋体" w:eastAsia="宋体" w:cs="宋体"/>
          <w:spacing w:val="14"/>
          <w:sz w:val="24"/>
          <w:szCs w:val="24"/>
          <w:highlight w:val="none"/>
        </w:rPr>
      </w:pPr>
      <w:r>
        <w:rPr>
          <w:rFonts w:hint="eastAsia" w:ascii="宋体" w:hAnsi="宋体" w:eastAsia="宋体" w:cs="宋体"/>
          <w:spacing w:val="14"/>
          <w:sz w:val="24"/>
          <w:szCs w:val="24"/>
          <w:highlight w:val="none"/>
        </w:rPr>
        <w:t>8.4.2不得与投标人、采购代理机构或评标专家串通损害国家利益、社会公共利益或者他人合法权益；</w:t>
      </w:r>
    </w:p>
    <w:p>
      <w:pPr>
        <w:pStyle w:val="28"/>
        <w:spacing w:line="360" w:lineRule="auto"/>
        <w:rPr>
          <w:rFonts w:ascii="宋体" w:hAnsi="宋体" w:eastAsia="宋体" w:cs="宋体"/>
          <w:spacing w:val="14"/>
          <w:sz w:val="24"/>
          <w:szCs w:val="24"/>
          <w:highlight w:val="none"/>
        </w:rPr>
      </w:pPr>
      <w:r>
        <w:rPr>
          <w:rFonts w:hint="eastAsia" w:ascii="宋体" w:hAnsi="宋体" w:eastAsia="宋体" w:cs="宋体"/>
          <w:spacing w:val="14"/>
          <w:sz w:val="24"/>
          <w:szCs w:val="24"/>
          <w:highlight w:val="none"/>
        </w:rPr>
        <w:t>8.4.3不得以不合理的条件对投标人实行差别待遇或者歧视待遇，排斥其他投标人公平参与竞争；</w:t>
      </w:r>
    </w:p>
    <w:p>
      <w:pPr>
        <w:pStyle w:val="28"/>
        <w:spacing w:line="360" w:lineRule="auto"/>
        <w:rPr>
          <w:rFonts w:ascii="宋体" w:hAnsi="宋体" w:eastAsia="宋体" w:cs="宋体"/>
          <w:spacing w:val="14"/>
          <w:sz w:val="24"/>
          <w:szCs w:val="24"/>
          <w:highlight w:val="none"/>
        </w:rPr>
      </w:pPr>
      <w:r>
        <w:rPr>
          <w:rFonts w:hint="eastAsia" w:ascii="宋体" w:hAnsi="宋体" w:eastAsia="宋体" w:cs="宋体"/>
          <w:spacing w:val="14"/>
          <w:sz w:val="24"/>
          <w:szCs w:val="24"/>
          <w:highlight w:val="none"/>
        </w:rPr>
        <w:t>8.4.4不得诱导、干预或影响评标委员会及其成员依法依规独立评标；</w:t>
      </w:r>
    </w:p>
    <w:p>
      <w:pPr>
        <w:pStyle w:val="28"/>
        <w:spacing w:line="360" w:lineRule="auto"/>
        <w:rPr>
          <w:rFonts w:ascii="宋体" w:hAnsi="宋体" w:eastAsia="宋体" w:cs="宋体"/>
          <w:spacing w:val="14"/>
          <w:sz w:val="24"/>
          <w:szCs w:val="24"/>
          <w:highlight w:val="none"/>
        </w:rPr>
      </w:pPr>
      <w:r>
        <w:rPr>
          <w:rFonts w:hint="eastAsia" w:ascii="宋体" w:hAnsi="宋体" w:eastAsia="宋体" w:cs="宋体"/>
          <w:spacing w:val="14"/>
          <w:sz w:val="24"/>
          <w:szCs w:val="24"/>
          <w:highlight w:val="none"/>
        </w:rPr>
        <w:t>8.4.5不得擅离职守，影响评标工作正常进行；</w:t>
      </w:r>
    </w:p>
    <w:p>
      <w:pPr>
        <w:pStyle w:val="28"/>
        <w:spacing w:line="360" w:lineRule="auto"/>
        <w:rPr>
          <w:rFonts w:ascii="宋体" w:hAnsi="宋体" w:eastAsia="宋体" w:cs="宋体"/>
          <w:spacing w:val="14"/>
          <w:sz w:val="24"/>
          <w:szCs w:val="24"/>
          <w:highlight w:val="none"/>
        </w:rPr>
      </w:pPr>
      <w:r>
        <w:rPr>
          <w:rFonts w:hint="eastAsia" w:ascii="宋体" w:hAnsi="宋体" w:eastAsia="宋体" w:cs="宋体"/>
          <w:spacing w:val="14"/>
          <w:sz w:val="24"/>
          <w:szCs w:val="24"/>
          <w:highlight w:val="none"/>
        </w:rPr>
        <w:t>8.4.6不得泄漏采购活动中应当保密的情况和资料；</w:t>
      </w:r>
    </w:p>
    <w:p>
      <w:pPr>
        <w:pStyle w:val="28"/>
        <w:spacing w:line="360" w:lineRule="auto"/>
        <w:rPr>
          <w:rFonts w:ascii="宋体" w:hAnsi="宋体" w:eastAsia="宋体" w:cs="宋体"/>
          <w:spacing w:val="14"/>
          <w:sz w:val="24"/>
          <w:szCs w:val="24"/>
          <w:highlight w:val="none"/>
        </w:rPr>
      </w:pPr>
      <w:r>
        <w:rPr>
          <w:rFonts w:hint="eastAsia" w:ascii="宋体" w:hAnsi="宋体" w:eastAsia="宋体" w:cs="宋体"/>
          <w:spacing w:val="14"/>
          <w:sz w:val="24"/>
          <w:szCs w:val="24"/>
          <w:highlight w:val="none"/>
        </w:rPr>
        <w:t>8.4.7与投标人有利害关系的应当回避；</w:t>
      </w:r>
    </w:p>
    <w:p>
      <w:pPr>
        <w:pStyle w:val="28"/>
        <w:spacing w:line="360" w:lineRule="auto"/>
        <w:rPr>
          <w:rFonts w:ascii="宋体" w:hAnsi="宋体" w:eastAsia="宋体" w:cs="宋体"/>
          <w:spacing w:val="14"/>
          <w:sz w:val="24"/>
          <w:szCs w:val="24"/>
          <w:highlight w:val="none"/>
        </w:rPr>
      </w:pPr>
      <w:r>
        <w:rPr>
          <w:rFonts w:hint="eastAsia" w:ascii="宋体" w:hAnsi="宋体" w:eastAsia="宋体" w:cs="宋体"/>
          <w:spacing w:val="14"/>
          <w:sz w:val="24"/>
          <w:szCs w:val="24"/>
          <w:highlight w:val="none"/>
        </w:rPr>
        <w:t>8.4.8在参与或服务政府采购活动中，不得有其他违法违规行为。</w:t>
      </w:r>
    </w:p>
    <w:p>
      <w:pPr>
        <w:pStyle w:val="47"/>
        <w:spacing w:before="0" w:after="0" w:line="360" w:lineRule="auto"/>
        <w:outlineLvl w:val="9"/>
        <w:rPr>
          <w:rFonts w:ascii="宋体" w:hAnsi="宋体" w:eastAsia="宋体" w:cs="宋体"/>
          <w:spacing w:val="14"/>
          <w:sz w:val="24"/>
          <w:szCs w:val="24"/>
          <w:highlight w:val="none"/>
        </w:rPr>
      </w:pPr>
      <w:bookmarkStart w:id="117" w:name="_Toc1660830"/>
      <w:bookmarkStart w:id="118" w:name="_Toc21392"/>
      <w:r>
        <w:rPr>
          <w:rFonts w:hint="eastAsia" w:ascii="宋体" w:hAnsi="宋体" w:eastAsia="宋体" w:cs="宋体"/>
          <w:spacing w:val="14"/>
          <w:sz w:val="24"/>
          <w:szCs w:val="24"/>
          <w:highlight w:val="none"/>
        </w:rPr>
        <w:t>8.5质疑和投诉</w:t>
      </w:r>
      <w:bookmarkEnd w:id="117"/>
      <w:bookmarkEnd w:id="118"/>
    </w:p>
    <w:p>
      <w:pPr>
        <w:pStyle w:val="28"/>
        <w:spacing w:line="360" w:lineRule="auto"/>
        <w:rPr>
          <w:rFonts w:ascii="宋体" w:hAnsi="宋体" w:eastAsia="宋体" w:cs="宋体"/>
          <w:spacing w:val="14"/>
          <w:sz w:val="24"/>
          <w:szCs w:val="24"/>
          <w:highlight w:val="none"/>
        </w:rPr>
      </w:pPr>
      <w:r>
        <w:rPr>
          <w:rFonts w:hint="eastAsia" w:ascii="宋体" w:hAnsi="宋体" w:eastAsia="宋体" w:cs="宋体"/>
          <w:spacing w:val="14"/>
          <w:sz w:val="24"/>
          <w:szCs w:val="24"/>
          <w:highlight w:val="none"/>
        </w:rPr>
        <w:t>8.5.1投标人认为本次招标活动的招标文件、采购过程和中标结果使自己的权益受到损害的，在知道或应知其权益受到损害之日起7个工作日内有权在法定质疑期内，按规定的程序针对同一采购程序环节一次性实名向采购人、采购代理机构提出书面质疑。质疑函应采用中华人民共和国财政部制定的范本（见附件：质疑函范本）。质疑函及授权委托书应按规定签字并加盖公章。</w:t>
      </w:r>
    </w:p>
    <w:p>
      <w:pPr>
        <w:pStyle w:val="28"/>
        <w:spacing w:line="360" w:lineRule="auto"/>
        <w:rPr>
          <w:rFonts w:ascii="宋体" w:hAnsi="宋体" w:eastAsia="宋体" w:cs="宋体"/>
          <w:spacing w:val="14"/>
          <w:sz w:val="24"/>
          <w:szCs w:val="24"/>
          <w:highlight w:val="none"/>
        </w:rPr>
      </w:pPr>
      <w:r>
        <w:rPr>
          <w:rFonts w:hint="eastAsia" w:ascii="宋体" w:hAnsi="宋体" w:eastAsia="宋体" w:cs="宋体"/>
          <w:spacing w:val="14"/>
          <w:sz w:val="24"/>
          <w:szCs w:val="24"/>
          <w:highlight w:val="none"/>
        </w:rPr>
        <w:t xml:space="preserve">8.5.2质疑函的递交方式：见投标人须知前附表。 </w:t>
      </w:r>
    </w:p>
    <w:p>
      <w:pPr>
        <w:pStyle w:val="28"/>
        <w:spacing w:line="360" w:lineRule="auto"/>
        <w:rPr>
          <w:rFonts w:ascii="宋体" w:hAnsi="宋体" w:eastAsia="宋体" w:cs="宋体"/>
          <w:spacing w:val="14"/>
          <w:sz w:val="24"/>
          <w:szCs w:val="24"/>
          <w:highlight w:val="none"/>
        </w:rPr>
      </w:pPr>
      <w:r>
        <w:rPr>
          <w:rFonts w:hint="eastAsia" w:ascii="宋体" w:hAnsi="宋体" w:eastAsia="宋体" w:cs="宋体"/>
          <w:spacing w:val="14"/>
          <w:sz w:val="24"/>
          <w:szCs w:val="24"/>
          <w:highlight w:val="none"/>
        </w:rPr>
        <w:t>8.5.3对采购人、采购代理机构的答复不满意或者采购人、采购代理机构未在规定的时间内作出答复的，投标人可以在质疑答复期满后15个工作日内实名向（项目所属）同级政府采购监督管理部门投诉。</w:t>
      </w:r>
    </w:p>
    <w:p>
      <w:pPr>
        <w:pStyle w:val="28"/>
        <w:spacing w:line="360" w:lineRule="auto"/>
        <w:rPr>
          <w:rFonts w:ascii="宋体" w:hAnsi="宋体" w:eastAsia="宋体" w:cs="宋体"/>
          <w:spacing w:val="14"/>
          <w:sz w:val="24"/>
          <w:szCs w:val="24"/>
          <w:highlight w:val="none"/>
        </w:rPr>
      </w:pPr>
      <w:r>
        <w:rPr>
          <w:rFonts w:hint="eastAsia" w:ascii="宋体" w:hAnsi="宋体" w:eastAsia="宋体" w:cs="宋体"/>
          <w:spacing w:val="14"/>
          <w:sz w:val="24"/>
          <w:szCs w:val="24"/>
          <w:highlight w:val="none"/>
        </w:rPr>
        <w:t>8.5.4质疑和投诉应有具体的质疑（投诉）事项和必要的证明材料或事实根据，投标人对其质疑和投诉内容的真实性及其来源的合法性承担法律责任。</w:t>
      </w:r>
    </w:p>
    <w:p>
      <w:pPr>
        <w:pStyle w:val="46"/>
        <w:spacing w:before="0" w:after="0" w:line="360" w:lineRule="auto"/>
        <w:outlineLvl w:val="9"/>
        <w:rPr>
          <w:rFonts w:ascii="宋体" w:hAnsi="宋体" w:cs="宋体"/>
          <w:sz w:val="24"/>
          <w:szCs w:val="24"/>
          <w:highlight w:val="none"/>
        </w:rPr>
      </w:pPr>
      <w:bookmarkStart w:id="119" w:name="_Toc256000014"/>
      <w:bookmarkStart w:id="120" w:name="_Toc1660831"/>
      <w:bookmarkStart w:id="121" w:name="_Toc18170"/>
      <w:r>
        <w:rPr>
          <w:rFonts w:hint="eastAsia" w:ascii="宋体" w:hAnsi="宋体" w:cs="宋体"/>
          <w:sz w:val="24"/>
          <w:szCs w:val="24"/>
          <w:highlight w:val="none"/>
        </w:rPr>
        <w:t>9、样品</w:t>
      </w:r>
      <w:bookmarkEnd w:id="119"/>
      <w:bookmarkEnd w:id="120"/>
      <w:bookmarkEnd w:id="121"/>
      <w:r>
        <w:rPr>
          <w:rFonts w:hint="eastAsia" w:ascii="宋体" w:hAnsi="宋体" w:cs="宋体"/>
          <w:sz w:val="24"/>
          <w:szCs w:val="24"/>
          <w:highlight w:val="none"/>
        </w:rPr>
        <w:t>（本项目不适用）</w:t>
      </w:r>
    </w:p>
    <w:p>
      <w:pPr>
        <w:pStyle w:val="28"/>
        <w:spacing w:line="360" w:lineRule="auto"/>
        <w:rPr>
          <w:rFonts w:ascii="宋体" w:hAnsi="宋体" w:eastAsia="宋体" w:cs="宋体"/>
          <w:spacing w:val="14"/>
          <w:sz w:val="24"/>
          <w:szCs w:val="24"/>
          <w:highlight w:val="none"/>
        </w:rPr>
      </w:pPr>
      <w:r>
        <w:rPr>
          <w:rFonts w:hint="eastAsia" w:ascii="宋体" w:hAnsi="宋体" w:eastAsia="宋体" w:cs="宋体"/>
          <w:spacing w:val="14"/>
          <w:sz w:val="24"/>
          <w:szCs w:val="24"/>
          <w:highlight w:val="none"/>
        </w:rPr>
        <w:t>如本招标项目需要提供样品，样品的具体要求见投标人须知前附表。</w:t>
      </w:r>
    </w:p>
    <w:p>
      <w:pPr>
        <w:pStyle w:val="46"/>
        <w:spacing w:before="0" w:after="0" w:line="360" w:lineRule="auto"/>
        <w:outlineLvl w:val="9"/>
        <w:rPr>
          <w:rFonts w:ascii="宋体" w:hAnsi="宋体" w:cs="宋体"/>
          <w:sz w:val="24"/>
          <w:szCs w:val="24"/>
          <w:highlight w:val="none"/>
        </w:rPr>
      </w:pPr>
      <w:bookmarkStart w:id="122" w:name="_Toc256000015"/>
      <w:bookmarkStart w:id="123" w:name="_Toc1660832"/>
      <w:bookmarkStart w:id="124" w:name="_Toc20838"/>
      <w:r>
        <w:rPr>
          <w:rFonts w:hint="eastAsia" w:ascii="宋体" w:hAnsi="宋体" w:cs="宋体"/>
          <w:sz w:val="24"/>
          <w:szCs w:val="24"/>
          <w:highlight w:val="none"/>
        </w:rPr>
        <w:t>10、相同品牌产品投标的处理</w:t>
      </w:r>
      <w:bookmarkEnd w:id="122"/>
      <w:bookmarkEnd w:id="123"/>
      <w:bookmarkEnd w:id="124"/>
    </w:p>
    <w:p>
      <w:pPr>
        <w:pStyle w:val="28"/>
        <w:spacing w:line="360" w:lineRule="auto"/>
        <w:rPr>
          <w:rFonts w:ascii="宋体" w:hAnsi="宋体" w:eastAsia="宋体" w:cs="宋体"/>
          <w:spacing w:val="14"/>
          <w:sz w:val="24"/>
          <w:szCs w:val="24"/>
          <w:highlight w:val="none"/>
        </w:rPr>
      </w:pPr>
      <w:r>
        <w:rPr>
          <w:rFonts w:hint="eastAsia" w:ascii="宋体" w:hAnsi="宋体" w:eastAsia="宋体" w:cs="宋体"/>
          <w:spacing w:val="14"/>
          <w:sz w:val="24"/>
          <w:szCs w:val="24"/>
          <w:highlight w:val="none"/>
        </w:rPr>
        <w:t>相同品牌产品投标的处理办法见投标人须知前附表。</w:t>
      </w:r>
    </w:p>
    <w:p>
      <w:pPr>
        <w:pStyle w:val="46"/>
        <w:spacing w:before="0" w:after="0" w:line="360" w:lineRule="auto"/>
        <w:outlineLvl w:val="9"/>
        <w:rPr>
          <w:rFonts w:ascii="宋体" w:hAnsi="宋体" w:cs="宋体"/>
          <w:sz w:val="24"/>
          <w:szCs w:val="24"/>
          <w:highlight w:val="none"/>
        </w:rPr>
      </w:pPr>
      <w:bookmarkStart w:id="125" w:name="_Toc256000016"/>
      <w:bookmarkStart w:id="126" w:name="_Toc1660833"/>
      <w:bookmarkStart w:id="127" w:name="_Toc32021"/>
      <w:r>
        <w:rPr>
          <w:rFonts w:hint="eastAsia" w:ascii="宋体" w:hAnsi="宋体" w:cs="宋体"/>
          <w:sz w:val="24"/>
          <w:szCs w:val="24"/>
          <w:highlight w:val="none"/>
        </w:rPr>
        <w:t>11、需要补充的其他内容</w:t>
      </w:r>
      <w:bookmarkEnd w:id="125"/>
      <w:bookmarkEnd w:id="126"/>
      <w:bookmarkEnd w:id="127"/>
    </w:p>
    <w:p>
      <w:pPr>
        <w:pStyle w:val="28"/>
        <w:spacing w:line="360" w:lineRule="auto"/>
        <w:rPr>
          <w:rFonts w:ascii="宋体" w:hAnsi="宋体" w:eastAsia="宋体" w:cs="宋体"/>
          <w:spacing w:val="14"/>
          <w:sz w:val="24"/>
          <w:szCs w:val="24"/>
          <w:highlight w:val="none"/>
        </w:rPr>
      </w:pPr>
      <w:r>
        <w:rPr>
          <w:rFonts w:hint="eastAsia" w:ascii="宋体" w:hAnsi="宋体" w:eastAsia="宋体" w:cs="宋体"/>
          <w:spacing w:val="14"/>
          <w:sz w:val="24"/>
          <w:szCs w:val="24"/>
          <w:highlight w:val="none"/>
        </w:rPr>
        <w:t>需要补充的其他内容：见投标人须知前附表。</w:t>
      </w:r>
    </w:p>
    <w:p>
      <w:pPr>
        <w:pStyle w:val="46"/>
        <w:spacing w:before="0" w:after="0" w:line="360" w:lineRule="auto"/>
        <w:outlineLvl w:val="9"/>
        <w:rPr>
          <w:rFonts w:ascii="宋体" w:hAnsi="宋体" w:cs="宋体"/>
          <w:sz w:val="24"/>
          <w:szCs w:val="24"/>
          <w:highlight w:val="none"/>
        </w:rPr>
      </w:pPr>
      <w:bookmarkStart w:id="128" w:name="_Toc256000017"/>
      <w:bookmarkStart w:id="129" w:name="_Toc28254"/>
      <w:bookmarkStart w:id="130" w:name="_Toc1660834"/>
      <w:r>
        <w:rPr>
          <w:rFonts w:hint="eastAsia" w:ascii="宋体" w:hAnsi="宋体" w:cs="宋体"/>
          <w:sz w:val="24"/>
          <w:szCs w:val="24"/>
          <w:highlight w:val="none"/>
        </w:rPr>
        <w:t>12、公开招标失败转为竞争性谈判方式采购</w:t>
      </w:r>
      <w:bookmarkEnd w:id="128"/>
      <w:bookmarkEnd w:id="129"/>
      <w:bookmarkEnd w:id="130"/>
    </w:p>
    <w:p>
      <w:pPr>
        <w:pStyle w:val="28"/>
        <w:spacing w:line="360" w:lineRule="auto"/>
        <w:rPr>
          <w:rFonts w:ascii="宋体" w:hAnsi="宋体" w:eastAsia="宋体" w:cs="宋体"/>
          <w:spacing w:val="14"/>
          <w:sz w:val="24"/>
          <w:szCs w:val="24"/>
          <w:highlight w:val="none"/>
        </w:rPr>
      </w:pPr>
      <w:r>
        <w:rPr>
          <w:rFonts w:hint="eastAsia" w:ascii="宋体" w:hAnsi="宋体" w:eastAsia="宋体" w:cs="宋体"/>
          <w:spacing w:val="14"/>
          <w:sz w:val="24"/>
          <w:szCs w:val="24"/>
          <w:highlight w:val="none"/>
        </w:rPr>
        <w:t>12.1本项目（标段）招标过程中提交投标文件并经评标委员会评审实质性响应招标文件要求的投标人只有两家时，采购人、采购代理机构按照规定程序报经本级财政部门批准后可以与该两家投标人进行竞争性谈判采购，采购人、采购代理机构应当根据招标文件中的采购需求编制谈判文件，成立谈判小组，由谈判小组对谈判文件进行确认。</w:t>
      </w:r>
    </w:p>
    <w:p>
      <w:pPr>
        <w:pStyle w:val="28"/>
        <w:spacing w:line="360" w:lineRule="auto"/>
        <w:rPr>
          <w:rFonts w:ascii="宋体" w:hAnsi="宋体" w:eastAsia="宋体" w:cs="宋体"/>
          <w:spacing w:val="14"/>
          <w:sz w:val="24"/>
          <w:szCs w:val="24"/>
          <w:highlight w:val="none"/>
        </w:rPr>
      </w:pPr>
      <w:r>
        <w:rPr>
          <w:rFonts w:hint="eastAsia" w:ascii="宋体" w:hAnsi="宋体" w:eastAsia="宋体" w:cs="宋体"/>
          <w:spacing w:val="14"/>
          <w:sz w:val="24"/>
          <w:szCs w:val="24"/>
          <w:highlight w:val="none"/>
        </w:rPr>
        <w:t>12.2公开招标失败项目转为竞争性谈判方式采购的，原招标文件的采购需求转为谈判文件的相应内容。投标人的原投标文件转为谈判投标文件。评标委员会转为谈判小组，不再按原评标办法对原投标人（以下称为投标人）进行评审打分，并按下述程序确定成交投标人。</w:t>
      </w:r>
    </w:p>
    <w:p>
      <w:pPr>
        <w:pStyle w:val="28"/>
        <w:spacing w:line="360" w:lineRule="auto"/>
        <w:rPr>
          <w:rFonts w:ascii="宋体" w:hAnsi="宋体" w:eastAsia="宋体" w:cs="宋体"/>
          <w:spacing w:val="14"/>
          <w:sz w:val="24"/>
          <w:szCs w:val="24"/>
          <w:highlight w:val="none"/>
        </w:rPr>
      </w:pPr>
      <w:r>
        <w:rPr>
          <w:rFonts w:hint="eastAsia" w:ascii="宋体" w:hAnsi="宋体" w:eastAsia="宋体" w:cs="宋体"/>
          <w:spacing w:val="14"/>
          <w:sz w:val="24"/>
          <w:szCs w:val="24"/>
          <w:highlight w:val="none"/>
        </w:rPr>
        <w:t>12.3谈判的主要程序</w:t>
      </w:r>
    </w:p>
    <w:p>
      <w:pPr>
        <w:pStyle w:val="28"/>
        <w:spacing w:line="360" w:lineRule="auto"/>
        <w:rPr>
          <w:rFonts w:ascii="宋体" w:hAnsi="宋体" w:eastAsia="宋体" w:cs="宋体"/>
          <w:spacing w:val="14"/>
          <w:sz w:val="24"/>
          <w:szCs w:val="24"/>
          <w:highlight w:val="none"/>
        </w:rPr>
      </w:pPr>
      <w:r>
        <w:rPr>
          <w:rFonts w:hint="eastAsia" w:ascii="宋体" w:hAnsi="宋体" w:eastAsia="宋体" w:cs="宋体"/>
          <w:spacing w:val="14"/>
          <w:sz w:val="24"/>
          <w:szCs w:val="24"/>
          <w:highlight w:val="none"/>
        </w:rPr>
        <w:t>12.3.1谈判小组对投标人的投标文件进行评审。未实质性响应谈判文件的投标文件按无效处理。</w:t>
      </w:r>
    </w:p>
    <w:p>
      <w:pPr>
        <w:pStyle w:val="28"/>
        <w:spacing w:line="360" w:lineRule="auto"/>
        <w:rPr>
          <w:rFonts w:ascii="宋体" w:hAnsi="宋体" w:eastAsia="宋体" w:cs="宋体"/>
          <w:spacing w:val="14"/>
          <w:sz w:val="24"/>
          <w:szCs w:val="24"/>
          <w:highlight w:val="none"/>
        </w:rPr>
      </w:pPr>
      <w:r>
        <w:rPr>
          <w:rFonts w:hint="eastAsia" w:ascii="宋体" w:hAnsi="宋体" w:eastAsia="宋体" w:cs="宋体"/>
          <w:spacing w:val="14"/>
          <w:sz w:val="24"/>
          <w:szCs w:val="24"/>
          <w:highlight w:val="none"/>
        </w:rPr>
        <w:t>12.3.2谈判小组所有成员集中与实质性响应谈判文件要求的单一投标人分别进行谈判，并给予所有参加谈判的投标人平等的谈判机会。</w:t>
      </w:r>
    </w:p>
    <w:p>
      <w:pPr>
        <w:pStyle w:val="28"/>
        <w:spacing w:line="360" w:lineRule="auto"/>
        <w:rPr>
          <w:rFonts w:ascii="宋体" w:hAnsi="宋体" w:eastAsia="宋体" w:cs="宋体"/>
          <w:spacing w:val="14"/>
          <w:sz w:val="24"/>
          <w:szCs w:val="24"/>
          <w:highlight w:val="none"/>
        </w:rPr>
      </w:pPr>
      <w:r>
        <w:rPr>
          <w:rFonts w:hint="eastAsia" w:ascii="宋体" w:hAnsi="宋体" w:eastAsia="宋体" w:cs="宋体"/>
          <w:spacing w:val="14"/>
          <w:sz w:val="24"/>
          <w:szCs w:val="24"/>
          <w:highlight w:val="none"/>
        </w:rPr>
        <w:t xml:space="preserve">12.3.3在谈判过程中，谈判小组可以根据谈判文件和谈判情况实质性变动采购需求中的技术、服务要求以及合同草案条款。对谈判文件做出的实质性变动是谈判文件的有效组成部分，须经采购人代表签字确认。谈判小组以书面形式同时通知所有参加谈判的投标人。 </w:t>
      </w:r>
    </w:p>
    <w:p>
      <w:pPr>
        <w:pStyle w:val="28"/>
        <w:spacing w:line="360" w:lineRule="auto"/>
        <w:rPr>
          <w:rFonts w:ascii="宋体" w:hAnsi="宋体" w:eastAsia="宋体" w:cs="宋体"/>
          <w:spacing w:val="14"/>
          <w:sz w:val="24"/>
          <w:szCs w:val="24"/>
          <w:highlight w:val="none"/>
        </w:rPr>
      </w:pPr>
      <w:r>
        <w:rPr>
          <w:rFonts w:hint="eastAsia" w:ascii="宋体" w:hAnsi="宋体" w:eastAsia="宋体" w:cs="宋体"/>
          <w:spacing w:val="14"/>
          <w:sz w:val="24"/>
          <w:szCs w:val="24"/>
          <w:highlight w:val="none"/>
        </w:rPr>
        <w:t>12.3.4投标人按照谈判文件的变动情况和谈判小组的要求重新提交投标文件的，由其法定代表人或其委托代理人签字或者加盖公章。</w:t>
      </w:r>
    </w:p>
    <w:p>
      <w:pPr>
        <w:pStyle w:val="28"/>
        <w:spacing w:line="360" w:lineRule="auto"/>
        <w:rPr>
          <w:rFonts w:ascii="宋体" w:hAnsi="宋体" w:eastAsia="宋体" w:cs="宋体"/>
          <w:spacing w:val="14"/>
          <w:sz w:val="24"/>
          <w:szCs w:val="24"/>
          <w:highlight w:val="none"/>
        </w:rPr>
      </w:pPr>
      <w:r>
        <w:rPr>
          <w:rFonts w:hint="eastAsia" w:ascii="宋体" w:hAnsi="宋体" w:eastAsia="宋体" w:cs="宋体"/>
          <w:spacing w:val="14"/>
          <w:sz w:val="24"/>
          <w:szCs w:val="24"/>
          <w:highlight w:val="none"/>
        </w:rPr>
        <w:t>12.3.5谈判文件详细列明采购项目的技术、服务要求后，谈判小组要求所有继续参加谈判的投标人在规定时间内提交最后报价。</w:t>
      </w:r>
    </w:p>
    <w:p>
      <w:pPr>
        <w:pStyle w:val="28"/>
        <w:spacing w:line="360" w:lineRule="auto"/>
        <w:rPr>
          <w:rFonts w:ascii="宋体" w:hAnsi="宋体" w:eastAsia="宋体" w:cs="宋体"/>
          <w:spacing w:val="14"/>
          <w:sz w:val="24"/>
          <w:szCs w:val="24"/>
          <w:highlight w:val="none"/>
        </w:rPr>
      </w:pPr>
      <w:r>
        <w:rPr>
          <w:rFonts w:hint="eastAsia" w:ascii="宋体" w:hAnsi="宋体" w:eastAsia="宋体" w:cs="宋体"/>
          <w:spacing w:val="14"/>
          <w:sz w:val="24"/>
          <w:szCs w:val="24"/>
          <w:highlight w:val="none"/>
        </w:rPr>
        <w:t>12.3.6最后报价是投标人投标文件的有效组成部分。</w:t>
      </w:r>
    </w:p>
    <w:p>
      <w:pPr>
        <w:pStyle w:val="28"/>
        <w:spacing w:line="360" w:lineRule="auto"/>
        <w:rPr>
          <w:rFonts w:ascii="宋体" w:hAnsi="宋体" w:eastAsia="宋体" w:cs="宋体"/>
          <w:spacing w:val="14"/>
          <w:sz w:val="24"/>
          <w:szCs w:val="24"/>
          <w:highlight w:val="none"/>
        </w:rPr>
      </w:pPr>
      <w:r>
        <w:rPr>
          <w:rFonts w:hint="eastAsia" w:ascii="宋体" w:hAnsi="宋体" w:eastAsia="宋体" w:cs="宋体"/>
          <w:spacing w:val="14"/>
          <w:sz w:val="24"/>
          <w:szCs w:val="24"/>
          <w:highlight w:val="none"/>
        </w:rPr>
        <w:t>12.3.7谈判小组从质量和服务均能满足谈判文件实质性响应要求的投标人中，按照最后报价由低到高的顺序推荐成交候选人。</w:t>
      </w:r>
    </w:p>
    <w:p>
      <w:pPr>
        <w:pStyle w:val="33"/>
        <w:spacing w:line="360" w:lineRule="auto"/>
        <w:rPr>
          <w:rFonts w:ascii="宋体" w:hAnsi="宋体" w:cs="宋体"/>
          <w:sz w:val="24"/>
          <w:szCs w:val="24"/>
          <w:highlight w:val="none"/>
        </w:rPr>
      </w:pPr>
      <w:r>
        <w:rPr>
          <w:rFonts w:hint="eastAsia" w:ascii="宋体" w:hAnsi="宋体" w:cs="宋体"/>
          <w:sz w:val="24"/>
          <w:szCs w:val="24"/>
          <w:highlight w:val="none"/>
        </w:rPr>
        <w:br w:type="page"/>
      </w:r>
    </w:p>
    <w:p>
      <w:pPr>
        <w:pStyle w:val="46"/>
        <w:spacing w:before="0" w:after="0" w:line="360" w:lineRule="auto"/>
        <w:outlineLvl w:val="9"/>
        <w:rPr>
          <w:rFonts w:ascii="宋体" w:hAnsi="宋体" w:cs="宋体"/>
          <w:sz w:val="24"/>
          <w:szCs w:val="24"/>
          <w:highlight w:val="none"/>
        </w:rPr>
      </w:pPr>
      <w:bookmarkStart w:id="131" w:name="_Toc32245"/>
      <w:bookmarkStart w:id="132" w:name="_Toc256000018"/>
      <w:bookmarkStart w:id="133" w:name="_Toc1660835"/>
      <w:r>
        <w:rPr>
          <w:rFonts w:hint="eastAsia" w:ascii="宋体" w:hAnsi="宋体" w:cs="宋体"/>
          <w:sz w:val="24"/>
          <w:szCs w:val="24"/>
          <w:highlight w:val="none"/>
        </w:rPr>
        <w:t>附件：质疑函范本</w:t>
      </w:r>
      <w:bookmarkEnd w:id="131"/>
      <w:bookmarkEnd w:id="132"/>
      <w:bookmarkEnd w:id="133"/>
    </w:p>
    <w:p>
      <w:pPr>
        <w:pStyle w:val="33"/>
        <w:spacing w:line="360" w:lineRule="auto"/>
        <w:rPr>
          <w:rFonts w:ascii="宋体" w:hAnsi="宋体" w:cs="宋体"/>
          <w:sz w:val="24"/>
          <w:szCs w:val="24"/>
          <w:highlight w:val="none"/>
        </w:rPr>
      </w:pPr>
    </w:p>
    <w:p>
      <w:pPr>
        <w:pStyle w:val="33"/>
        <w:spacing w:line="360" w:lineRule="auto"/>
        <w:jc w:val="center"/>
        <w:rPr>
          <w:rFonts w:ascii="宋体" w:hAnsi="宋体" w:cs="宋体"/>
          <w:b/>
          <w:spacing w:val="14"/>
          <w:sz w:val="24"/>
          <w:szCs w:val="24"/>
          <w:highlight w:val="none"/>
        </w:rPr>
      </w:pPr>
      <w:r>
        <w:rPr>
          <w:rFonts w:hint="eastAsia" w:ascii="宋体" w:hAnsi="宋体" w:cs="宋体"/>
          <w:b/>
          <w:spacing w:val="14"/>
          <w:sz w:val="24"/>
          <w:szCs w:val="24"/>
          <w:highlight w:val="none"/>
        </w:rPr>
        <w:t>质疑函</w:t>
      </w:r>
    </w:p>
    <w:p>
      <w:pPr>
        <w:pStyle w:val="33"/>
        <w:spacing w:line="360" w:lineRule="auto"/>
        <w:jc w:val="center"/>
        <w:rPr>
          <w:rFonts w:ascii="宋体" w:hAnsi="宋体" w:cs="宋体"/>
          <w:b/>
          <w:sz w:val="24"/>
          <w:szCs w:val="24"/>
          <w:highlight w:val="none"/>
        </w:rPr>
      </w:pPr>
    </w:p>
    <w:p>
      <w:pPr>
        <w:pStyle w:val="28"/>
        <w:spacing w:line="360" w:lineRule="auto"/>
        <w:ind w:firstLine="0"/>
        <w:rPr>
          <w:rFonts w:ascii="宋体" w:hAnsi="宋体" w:eastAsia="宋体" w:cs="宋体"/>
          <w:sz w:val="24"/>
          <w:szCs w:val="24"/>
          <w:highlight w:val="none"/>
        </w:rPr>
      </w:pPr>
      <w:r>
        <w:rPr>
          <w:rFonts w:hint="eastAsia" w:ascii="宋体" w:hAnsi="宋体" w:eastAsia="宋体" w:cs="宋体"/>
          <w:sz w:val="24"/>
          <w:szCs w:val="24"/>
          <w:highlight w:val="none"/>
        </w:rPr>
        <w:t>一、质疑投标人基本信息</w:t>
      </w:r>
    </w:p>
    <w:p>
      <w:pPr>
        <w:pStyle w:val="28"/>
        <w:spacing w:line="360" w:lineRule="auto"/>
        <w:rPr>
          <w:rFonts w:ascii="宋体" w:hAnsi="宋体" w:eastAsia="宋体" w:cs="宋体"/>
          <w:sz w:val="24"/>
          <w:szCs w:val="24"/>
          <w:highlight w:val="none"/>
          <w:u w:val="dotted"/>
        </w:rPr>
      </w:pPr>
      <w:r>
        <w:rPr>
          <w:rFonts w:hint="eastAsia" w:ascii="宋体" w:hAnsi="宋体" w:eastAsia="宋体" w:cs="宋体"/>
          <w:sz w:val="24"/>
          <w:szCs w:val="24"/>
          <w:highlight w:val="none"/>
        </w:rPr>
        <w:t>质疑投标人：</w:t>
      </w:r>
    </w:p>
    <w:p>
      <w:pPr>
        <w:pStyle w:val="28"/>
        <w:spacing w:line="360" w:lineRule="auto"/>
        <w:rPr>
          <w:rFonts w:ascii="宋体" w:hAnsi="宋体" w:eastAsia="宋体" w:cs="宋体"/>
          <w:sz w:val="24"/>
          <w:szCs w:val="24"/>
          <w:highlight w:val="none"/>
        </w:rPr>
      </w:pPr>
      <w:r>
        <w:rPr>
          <w:rFonts w:hint="eastAsia" w:ascii="宋体" w:hAnsi="宋体" w:eastAsia="宋体" w:cs="宋体"/>
          <w:sz w:val="24"/>
          <w:szCs w:val="24"/>
          <w:highlight w:val="none"/>
        </w:rPr>
        <w:t>地址：邮编：</w:t>
      </w:r>
    </w:p>
    <w:p>
      <w:pPr>
        <w:pStyle w:val="28"/>
        <w:spacing w:line="360" w:lineRule="auto"/>
        <w:rPr>
          <w:rFonts w:ascii="宋体" w:hAnsi="宋体" w:eastAsia="宋体" w:cs="宋体"/>
          <w:sz w:val="24"/>
          <w:szCs w:val="24"/>
          <w:highlight w:val="none"/>
        </w:rPr>
      </w:pPr>
      <w:r>
        <w:rPr>
          <w:rFonts w:hint="eastAsia" w:ascii="宋体" w:hAnsi="宋体" w:eastAsia="宋体" w:cs="宋体"/>
          <w:sz w:val="24"/>
          <w:szCs w:val="24"/>
          <w:highlight w:val="none"/>
        </w:rPr>
        <w:t>联系人：联系电话：</w:t>
      </w:r>
    </w:p>
    <w:p>
      <w:pPr>
        <w:pStyle w:val="28"/>
        <w:spacing w:line="360" w:lineRule="auto"/>
        <w:rPr>
          <w:rFonts w:ascii="宋体" w:hAnsi="宋体" w:eastAsia="宋体" w:cs="宋体"/>
          <w:sz w:val="24"/>
          <w:szCs w:val="24"/>
          <w:highlight w:val="none"/>
          <w:u w:val="dotted"/>
        </w:rPr>
      </w:pPr>
      <w:r>
        <w:rPr>
          <w:rFonts w:hint="eastAsia" w:ascii="宋体" w:hAnsi="宋体" w:eastAsia="宋体" w:cs="宋体"/>
          <w:sz w:val="24"/>
          <w:szCs w:val="24"/>
          <w:highlight w:val="none"/>
        </w:rPr>
        <w:t>授权代表：</w:t>
      </w:r>
    </w:p>
    <w:p>
      <w:pPr>
        <w:pStyle w:val="28"/>
        <w:spacing w:line="360" w:lineRule="auto"/>
        <w:rPr>
          <w:rFonts w:ascii="宋体" w:hAnsi="宋体" w:eastAsia="宋体" w:cs="宋体"/>
          <w:sz w:val="24"/>
          <w:szCs w:val="24"/>
          <w:highlight w:val="none"/>
        </w:rPr>
      </w:pPr>
      <w:r>
        <w:rPr>
          <w:rFonts w:hint="eastAsia" w:ascii="宋体" w:hAnsi="宋体" w:eastAsia="宋体" w:cs="宋体"/>
          <w:sz w:val="24"/>
          <w:szCs w:val="24"/>
          <w:highlight w:val="none"/>
        </w:rPr>
        <w:t>联系电话：</w:t>
      </w:r>
    </w:p>
    <w:p>
      <w:pPr>
        <w:pStyle w:val="28"/>
        <w:spacing w:line="360" w:lineRule="auto"/>
        <w:rPr>
          <w:rFonts w:ascii="宋体" w:hAnsi="宋体" w:eastAsia="宋体" w:cs="宋体"/>
          <w:sz w:val="24"/>
          <w:szCs w:val="24"/>
          <w:highlight w:val="none"/>
        </w:rPr>
      </w:pPr>
      <w:r>
        <w:rPr>
          <w:rFonts w:hint="eastAsia" w:ascii="宋体" w:hAnsi="宋体" w:eastAsia="宋体" w:cs="宋体"/>
          <w:sz w:val="24"/>
          <w:szCs w:val="24"/>
          <w:highlight w:val="none"/>
        </w:rPr>
        <w:t>地址： 邮编：</w:t>
      </w:r>
    </w:p>
    <w:p>
      <w:pPr>
        <w:pStyle w:val="28"/>
        <w:spacing w:line="360" w:lineRule="auto"/>
        <w:ind w:firstLine="0"/>
        <w:rPr>
          <w:rFonts w:ascii="宋体" w:hAnsi="宋体" w:eastAsia="宋体" w:cs="宋体"/>
          <w:sz w:val="24"/>
          <w:szCs w:val="24"/>
          <w:highlight w:val="none"/>
        </w:rPr>
      </w:pPr>
      <w:r>
        <w:rPr>
          <w:rFonts w:hint="eastAsia" w:ascii="宋体" w:hAnsi="宋体" w:eastAsia="宋体" w:cs="宋体"/>
          <w:sz w:val="24"/>
          <w:szCs w:val="24"/>
          <w:highlight w:val="none"/>
        </w:rPr>
        <w:t>二、质疑项目基本情况</w:t>
      </w:r>
    </w:p>
    <w:p>
      <w:pPr>
        <w:pStyle w:val="28"/>
        <w:spacing w:line="360" w:lineRule="auto"/>
        <w:rPr>
          <w:rFonts w:ascii="宋体" w:hAnsi="宋体" w:eastAsia="宋体" w:cs="宋体"/>
          <w:sz w:val="24"/>
          <w:szCs w:val="24"/>
          <w:highlight w:val="none"/>
        </w:rPr>
      </w:pPr>
      <w:r>
        <w:rPr>
          <w:rFonts w:hint="eastAsia" w:ascii="宋体" w:hAnsi="宋体" w:eastAsia="宋体" w:cs="宋体"/>
          <w:sz w:val="24"/>
          <w:szCs w:val="24"/>
          <w:highlight w:val="none"/>
        </w:rPr>
        <w:t>质疑项目的名称：</w:t>
      </w:r>
    </w:p>
    <w:p>
      <w:pPr>
        <w:pStyle w:val="28"/>
        <w:spacing w:line="360" w:lineRule="auto"/>
        <w:rPr>
          <w:rFonts w:ascii="宋体" w:hAnsi="宋体" w:eastAsia="宋体" w:cs="宋体"/>
          <w:sz w:val="24"/>
          <w:szCs w:val="24"/>
          <w:highlight w:val="none"/>
        </w:rPr>
      </w:pPr>
      <w:r>
        <w:rPr>
          <w:rFonts w:hint="eastAsia" w:ascii="宋体" w:hAnsi="宋体" w:eastAsia="宋体" w:cs="宋体"/>
          <w:sz w:val="24"/>
          <w:szCs w:val="24"/>
          <w:highlight w:val="none"/>
        </w:rPr>
        <w:t>质疑项目的编号：包号：</w:t>
      </w:r>
    </w:p>
    <w:p>
      <w:pPr>
        <w:pStyle w:val="28"/>
        <w:spacing w:line="360" w:lineRule="auto"/>
        <w:rPr>
          <w:rFonts w:ascii="宋体" w:hAnsi="宋体" w:eastAsia="宋体" w:cs="宋体"/>
          <w:sz w:val="24"/>
          <w:szCs w:val="24"/>
          <w:highlight w:val="none"/>
          <w:u w:val="dotted"/>
        </w:rPr>
      </w:pPr>
      <w:r>
        <w:rPr>
          <w:rFonts w:hint="eastAsia" w:ascii="宋体" w:hAnsi="宋体" w:eastAsia="宋体" w:cs="宋体"/>
          <w:sz w:val="24"/>
          <w:szCs w:val="24"/>
          <w:highlight w:val="none"/>
        </w:rPr>
        <w:t>采购人名称：</w:t>
      </w:r>
    </w:p>
    <w:p>
      <w:pPr>
        <w:pStyle w:val="28"/>
        <w:spacing w:line="360" w:lineRule="auto"/>
        <w:rPr>
          <w:rFonts w:ascii="宋体" w:hAnsi="宋体" w:eastAsia="宋体" w:cs="宋体"/>
          <w:sz w:val="24"/>
          <w:szCs w:val="24"/>
          <w:highlight w:val="none"/>
        </w:rPr>
      </w:pPr>
      <w:r>
        <w:rPr>
          <w:rFonts w:hint="eastAsia" w:ascii="宋体" w:hAnsi="宋体" w:eastAsia="宋体" w:cs="宋体"/>
          <w:sz w:val="24"/>
          <w:szCs w:val="24"/>
          <w:highlight w:val="none"/>
        </w:rPr>
        <w:t>采购文件获取日期：</w:t>
      </w:r>
    </w:p>
    <w:p>
      <w:pPr>
        <w:pStyle w:val="28"/>
        <w:spacing w:line="360" w:lineRule="auto"/>
        <w:ind w:firstLine="0"/>
        <w:rPr>
          <w:rFonts w:ascii="宋体" w:hAnsi="宋体" w:eastAsia="宋体" w:cs="宋体"/>
          <w:sz w:val="24"/>
          <w:szCs w:val="24"/>
          <w:highlight w:val="none"/>
        </w:rPr>
      </w:pPr>
      <w:r>
        <w:rPr>
          <w:rFonts w:hint="eastAsia" w:ascii="宋体" w:hAnsi="宋体" w:eastAsia="宋体" w:cs="宋体"/>
          <w:sz w:val="24"/>
          <w:szCs w:val="24"/>
          <w:highlight w:val="none"/>
        </w:rPr>
        <w:t>三、质疑事项具体内容</w:t>
      </w:r>
    </w:p>
    <w:p>
      <w:pPr>
        <w:pStyle w:val="28"/>
        <w:spacing w:line="360" w:lineRule="auto"/>
        <w:rPr>
          <w:rFonts w:ascii="宋体" w:hAnsi="宋体" w:eastAsia="宋体" w:cs="宋体"/>
          <w:sz w:val="24"/>
          <w:szCs w:val="24"/>
          <w:highlight w:val="none"/>
          <w:u w:val="dotted"/>
        </w:rPr>
      </w:pPr>
      <w:r>
        <w:rPr>
          <w:rFonts w:hint="eastAsia" w:ascii="宋体" w:hAnsi="宋体" w:eastAsia="宋体" w:cs="宋体"/>
          <w:sz w:val="24"/>
          <w:szCs w:val="24"/>
          <w:highlight w:val="none"/>
        </w:rPr>
        <w:t>质疑事项1：</w:t>
      </w:r>
    </w:p>
    <w:p>
      <w:pPr>
        <w:pStyle w:val="28"/>
        <w:spacing w:line="360" w:lineRule="auto"/>
        <w:rPr>
          <w:rFonts w:ascii="宋体" w:hAnsi="宋体" w:eastAsia="宋体" w:cs="宋体"/>
          <w:sz w:val="24"/>
          <w:szCs w:val="24"/>
          <w:highlight w:val="none"/>
          <w:u w:val="dotted"/>
        </w:rPr>
      </w:pPr>
      <w:r>
        <w:rPr>
          <w:rFonts w:hint="eastAsia" w:ascii="宋体" w:hAnsi="宋体" w:eastAsia="宋体" w:cs="宋体"/>
          <w:sz w:val="24"/>
          <w:szCs w:val="24"/>
          <w:highlight w:val="none"/>
        </w:rPr>
        <w:t>事实依据：</w:t>
      </w:r>
    </w:p>
    <w:p>
      <w:pPr>
        <w:pStyle w:val="28"/>
        <w:spacing w:line="360" w:lineRule="auto"/>
        <w:rPr>
          <w:rFonts w:ascii="宋体" w:hAnsi="宋体" w:eastAsia="宋体" w:cs="宋体"/>
          <w:sz w:val="24"/>
          <w:szCs w:val="24"/>
          <w:highlight w:val="none"/>
        </w:rPr>
      </w:pPr>
    </w:p>
    <w:p>
      <w:pPr>
        <w:pStyle w:val="28"/>
        <w:spacing w:line="360" w:lineRule="auto"/>
        <w:rPr>
          <w:rFonts w:ascii="宋体" w:hAnsi="宋体" w:eastAsia="宋体" w:cs="宋体"/>
          <w:sz w:val="24"/>
          <w:szCs w:val="24"/>
          <w:highlight w:val="none"/>
          <w:u w:val="dotted"/>
        </w:rPr>
      </w:pPr>
      <w:r>
        <w:rPr>
          <w:rFonts w:hint="eastAsia" w:ascii="宋体" w:hAnsi="宋体" w:eastAsia="宋体" w:cs="宋体"/>
          <w:sz w:val="24"/>
          <w:szCs w:val="24"/>
          <w:highlight w:val="none"/>
        </w:rPr>
        <w:t>法律依据：</w:t>
      </w:r>
    </w:p>
    <w:p>
      <w:pPr>
        <w:pStyle w:val="28"/>
        <w:spacing w:line="360" w:lineRule="auto"/>
        <w:rPr>
          <w:rFonts w:ascii="宋体" w:hAnsi="宋体" w:eastAsia="宋体" w:cs="宋体"/>
          <w:sz w:val="24"/>
          <w:szCs w:val="24"/>
          <w:highlight w:val="none"/>
          <w:u w:val="dotted"/>
        </w:rPr>
      </w:pPr>
    </w:p>
    <w:p>
      <w:pPr>
        <w:pStyle w:val="28"/>
        <w:spacing w:line="360" w:lineRule="auto"/>
        <w:rPr>
          <w:rFonts w:ascii="宋体" w:hAnsi="宋体" w:eastAsia="宋体" w:cs="宋体"/>
          <w:sz w:val="24"/>
          <w:szCs w:val="24"/>
          <w:highlight w:val="none"/>
          <w:u w:val="dotted"/>
        </w:rPr>
      </w:pPr>
      <w:r>
        <w:rPr>
          <w:rFonts w:hint="eastAsia" w:ascii="宋体" w:hAnsi="宋体" w:eastAsia="宋体" w:cs="宋体"/>
          <w:sz w:val="24"/>
          <w:szCs w:val="24"/>
          <w:highlight w:val="none"/>
        </w:rPr>
        <w:t>质疑事项2</w:t>
      </w:r>
    </w:p>
    <w:p>
      <w:pPr>
        <w:pStyle w:val="28"/>
        <w:spacing w:line="360" w:lineRule="auto"/>
        <w:rPr>
          <w:rFonts w:ascii="宋体" w:hAnsi="宋体" w:eastAsia="宋体" w:cs="宋体"/>
          <w:sz w:val="24"/>
          <w:szCs w:val="24"/>
          <w:highlight w:val="none"/>
        </w:rPr>
      </w:pPr>
      <w:r>
        <w:rPr>
          <w:rFonts w:hint="eastAsia" w:ascii="宋体" w:hAnsi="宋体" w:eastAsia="宋体" w:cs="宋体"/>
          <w:sz w:val="24"/>
          <w:szCs w:val="24"/>
          <w:highlight w:val="none"/>
        </w:rPr>
        <w:t>……</w:t>
      </w:r>
    </w:p>
    <w:p>
      <w:pPr>
        <w:pStyle w:val="28"/>
        <w:spacing w:line="360" w:lineRule="auto"/>
        <w:ind w:firstLine="0"/>
        <w:rPr>
          <w:rFonts w:ascii="宋体" w:hAnsi="宋体" w:eastAsia="宋体" w:cs="宋体"/>
          <w:sz w:val="24"/>
          <w:szCs w:val="24"/>
          <w:highlight w:val="none"/>
        </w:rPr>
      </w:pPr>
      <w:r>
        <w:rPr>
          <w:rFonts w:hint="eastAsia" w:ascii="宋体" w:hAnsi="宋体" w:eastAsia="宋体" w:cs="宋体"/>
          <w:sz w:val="24"/>
          <w:szCs w:val="24"/>
          <w:highlight w:val="none"/>
        </w:rPr>
        <w:t>四、与质疑事项相关的质疑请求</w:t>
      </w:r>
    </w:p>
    <w:p>
      <w:pPr>
        <w:pStyle w:val="28"/>
        <w:spacing w:line="360" w:lineRule="auto"/>
        <w:rPr>
          <w:rFonts w:ascii="宋体" w:hAnsi="宋体" w:eastAsia="宋体" w:cs="宋体"/>
          <w:sz w:val="24"/>
          <w:szCs w:val="24"/>
          <w:highlight w:val="none"/>
          <w:u w:val="dotted"/>
        </w:rPr>
      </w:pPr>
      <w:r>
        <w:rPr>
          <w:rFonts w:hint="eastAsia" w:ascii="宋体" w:hAnsi="宋体" w:eastAsia="宋体" w:cs="宋体"/>
          <w:sz w:val="24"/>
          <w:szCs w:val="24"/>
          <w:highlight w:val="none"/>
        </w:rPr>
        <w:t>请求：</w:t>
      </w:r>
    </w:p>
    <w:p>
      <w:pPr>
        <w:pStyle w:val="28"/>
        <w:spacing w:line="360" w:lineRule="auto"/>
        <w:rPr>
          <w:rFonts w:ascii="宋体" w:hAnsi="宋体" w:eastAsia="宋体" w:cs="宋体"/>
          <w:sz w:val="24"/>
          <w:szCs w:val="24"/>
          <w:highlight w:val="none"/>
        </w:rPr>
      </w:pPr>
    </w:p>
    <w:p>
      <w:pPr>
        <w:pStyle w:val="28"/>
        <w:spacing w:line="360" w:lineRule="auto"/>
        <w:rPr>
          <w:rFonts w:ascii="宋体" w:hAnsi="宋体" w:eastAsia="宋体" w:cs="宋体"/>
          <w:sz w:val="24"/>
          <w:szCs w:val="24"/>
          <w:highlight w:val="none"/>
        </w:rPr>
      </w:pPr>
      <w:r>
        <w:rPr>
          <w:rFonts w:hint="eastAsia" w:ascii="宋体" w:hAnsi="宋体" w:eastAsia="宋体" w:cs="宋体"/>
          <w:sz w:val="24"/>
          <w:szCs w:val="24"/>
          <w:highlight w:val="none"/>
        </w:rPr>
        <w:t xml:space="preserve">签字(签章)：                   公章： </w:t>
      </w:r>
    </w:p>
    <w:p>
      <w:pPr>
        <w:pStyle w:val="28"/>
        <w:spacing w:line="360" w:lineRule="auto"/>
        <w:rPr>
          <w:rFonts w:ascii="宋体" w:hAnsi="宋体" w:eastAsia="宋体" w:cs="宋体"/>
          <w:sz w:val="24"/>
          <w:szCs w:val="24"/>
          <w:highlight w:val="none"/>
        </w:rPr>
      </w:pPr>
      <w:r>
        <w:rPr>
          <w:rFonts w:hint="eastAsia" w:ascii="宋体" w:hAnsi="宋体" w:eastAsia="宋体" w:cs="宋体"/>
          <w:sz w:val="24"/>
          <w:szCs w:val="24"/>
          <w:highlight w:val="none"/>
        </w:rPr>
        <w:t xml:space="preserve">日期：    </w:t>
      </w:r>
    </w:p>
    <w:p>
      <w:pPr>
        <w:pStyle w:val="28"/>
        <w:spacing w:line="360" w:lineRule="auto"/>
        <w:rPr>
          <w:rFonts w:ascii="宋体" w:hAnsi="宋体" w:eastAsia="宋体" w:cs="宋体"/>
          <w:sz w:val="24"/>
          <w:szCs w:val="24"/>
          <w:highlight w:val="none"/>
        </w:rPr>
      </w:pPr>
    </w:p>
    <w:p>
      <w:pPr>
        <w:pStyle w:val="33"/>
        <w:spacing w:line="360" w:lineRule="auto"/>
        <w:rPr>
          <w:rFonts w:ascii="宋体" w:hAnsi="宋体" w:cs="宋体"/>
          <w:sz w:val="24"/>
          <w:szCs w:val="24"/>
          <w:highlight w:val="none"/>
        </w:rPr>
      </w:pPr>
    </w:p>
    <w:p>
      <w:pPr>
        <w:pStyle w:val="28"/>
        <w:spacing w:line="360" w:lineRule="auto"/>
        <w:rPr>
          <w:rFonts w:ascii="宋体" w:hAnsi="宋体" w:eastAsia="宋体" w:cs="宋体"/>
          <w:sz w:val="24"/>
          <w:szCs w:val="24"/>
          <w:highlight w:val="none"/>
        </w:rPr>
      </w:pPr>
      <w:r>
        <w:rPr>
          <w:rFonts w:hint="eastAsia" w:ascii="宋体" w:hAnsi="宋体" w:eastAsia="宋体" w:cs="宋体"/>
          <w:sz w:val="24"/>
          <w:szCs w:val="24"/>
          <w:highlight w:val="none"/>
        </w:rPr>
        <w:t>质疑函制作说明：</w:t>
      </w:r>
    </w:p>
    <w:p>
      <w:pPr>
        <w:pStyle w:val="28"/>
        <w:spacing w:line="360" w:lineRule="auto"/>
        <w:rPr>
          <w:rFonts w:ascii="宋体" w:hAnsi="宋体" w:eastAsia="宋体" w:cs="宋体"/>
          <w:sz w:val="24"/>
          <w:szCs w:val="24"/>
          <w:highlight w:val="none"/>
        </w:rPr>
      </w:pPr>
      <w:r>
        <w:rPr>
          <w:rFonts w:hint="eastAsia" w:ascii="宋体" w:hAnsi="宋体" w:eastAsia="宋体" w:cs="宋体"/>
          <w:sz w:val="24"/>
          <w:szCs w:val="24"/>
          <w:highlight w:val="none"/>
        </w:rPr>
        <w:t>1.投标人提出质疑时，应提交质疑函和必要的证明材料。</w:t>
      </w:r>
    </w:p>
    <w:p>
      <w:pPr>
        <w:pStyle w:val="28"/>
        <w:spacing w:line="360" w:lineRule="auto"/>
        <w:rPr>
          <w:rFonts w:ascii="宋体" w:hAnsi="宋体" w:eastAsia="宋体" w:cs="宋体"/>
          <w:sz w:val="24"/>
          <w:szCs w:val="24"/>
          <w:highlight w:val="none"/>
        </w:rPr>
      </w:pPr>
      <w:r>
        <w:rPr>
          <w:rFonts w:hint="eastAsia" w:ascii="宋体" w:hAnsi="宋体" w:eastAsia="宋体" w:cs="宋体"/>
          <w:sz w:val="24"/>
          <w:szCs w:val="24"/>
          <w:highlight w:val="none"/>
        </w:rPr>
        <w:t>2.质疑投标人若委托代理人进行质疑的，质疑函应按要求列明“授权代表”的有关内容，并在附件中提交由质疑投标人签署的授权委托书。授权委托书应载明代理人的姓名或者名称、代理事项、具体权限、期限和相关事项。</w:t>
      </w:r>
    </w:p>
    <w:p>
      <w:pPr>
        <w:pStyle w:val="28"/>
        <w:spacing w:line="360" w:lineRule="auto"/>
        <w:rPr>
          <w:rFonts w:ascii="宋体" w:hAnsi="宋体" w:eastAsia="宋体" w:cs="宋体"/>
          <w:sz w:val="24"/>
          <w:szCs w:val="24"/>
          <w:highlight w:val="none"/>
        </w:rPr>
      </w:pPr>
      <w:r>
        <w:rPr>
          <w:rFonts w:hint="eastAsia" w:ascii="宋体" w:hAnsi="宋体" w:eastAsia="宋体" w:cs="宋体"/>
          <w:sz w:val="24"/>
          <w:szCs w:val="24"/>
          <w:highlight w:val="none"/>
        </w:rPr>
        <w:t>3.质疑投标人若对项目的某一分包进行质疑，质疑函中应列明具体分包号。</w:t>
      </w:r>
    </w:p>
    <w:p>
      <w:pPr>
        <w:pStyle w:val="28"/>
        <w:spacing w:line="360" w:lineRule="auto"/>
        <w:rPr>
          <w:rFonts w:ascii="宋体" w:hAnsi="宋体" w:eastAsia="宋体" w:cs="宋体"/>
          <w:sz w:val="24"/>
          <w:szCs w:val="24"/>
          <w:highlight w:val="none"/>
        </w:rPr>
      </w:pPr>
      <w:r>
        <w:rPr>
          <w:rFonts w:hint="eastAsia" w:ascii="宋体" w:hAnsi="宋体" w:eastAsia="宋体" w:cs="宋体"/>
          <w:sz w:val="24"/>
          <w:szCs w:val="24"/>
          <w:highlight w:val="none"/>
        </w:rPr>
        <w:t>4.质疑函的质疑事项应具体、明确，并有必要的事实依据和法律依据。</w:t>
      </w:r>
    </w:p>
    <w:p>
      <w:pPr>
        <w:pStyle w:val="28"/>
        <w:spacing w:line="360" w:lineRule="auto"/>
        <w:rPr>
          <w:rFonts w:ascii="宋体" w:hAnsi="宋体" w:eastAsia="宋体" w:cs="宋体"/>
          <w:sz w:val="24"/>
          <w:szCs w:val="24"/>
          <w:highlight w:val="none"/>
        </w:rPr>
      </w:pPr>
      <w:r>
        <w:rPr>
          <w:rFonts w:hint="eastAsia" w:ascii="宋体" w:hAnsi="宋体" w:eastAsia="宋体" w:cs="宋体"/>
          <w:sz w:val="24"/>
          <w:szCs w:val="24"/>
          <w:highlight w:val="none"/>
        </w:rPr>
        <w:t>5.质疑函的质疑请求应与质疑事项相关。</w:t>
      </w:r>
    </w:p>
    <w:p>
      <w:pPr>
        <w:pStyle w:val="28"/>
        <w:spacing w:line="360" w:lineRule="auto"/>
        <w:rPr>
          <w:rFonts w:ascii="宋体" w:hAnsi="宋体" w:eastAsia="宋体" w:cs="宋体"/>
          <w:sz w:val="24"/>
          <w:szCs w:val="24"/>
          <w:highlight w:val="none"/>
        </w:rPr>
      </w:pPr>
      <w:r>
        <w:rPr>
          <w:rFonts w:hint="eastAsia" w:ascii="宋体" w:hAnsi="宋体" w:eastAsia="宋体" w:cs="宋体"/>
          <w:sz w:val="24"/>
          <w:szCs w:val="24"/>
          <w:highlight w:val="none"/>
        </w:rPr>
        <w:t>6.质疑投标人为自然人的，质疑函应由本人签字；质疑投标人为法人或者其他组织的，质疑函应由法定代表人、主要负责人，或者其授权代表签字或者盖章，并加盖公章。</w:t>
      </w:r>
    </w:p>
    <w:p>
      <w:pPr>
        <w:pStyle w:val="50"/>
        <w:autoSpaceDE w:val="0"/>
        <w:spacing w:line="360" w:lineRule="auto"/>
        <w:rPr>
          <w:rStyle w:val="51"/>
          <w:rFonts w:ascii="宋体" w:hAnsi="宋体" w:cs="宋体"/>
          <w:b/>
          <w:bCs/>
          <w:sz w:val="24"/>
          <w:szCs w:val="24"/>
          <w:highlight w:val="none"/>
        </w:rPr>
      </w:pPr>
      <w:r>
        <w:rPr>
          <w:rFonts w:hint="eastAsia" w:ascii="宋体" w:hAnsi="宋体" w:cs="宋体"/>
          <w:sz w:val="24"/>
          <w:szCs w:val="24"/>
          <w:highlight w:val="none"/>
        </w:rPr>
        <w:br w:type="page"/>
      </w:r>
      <w:bookmarkStart w:id="134" w:name="_Toc504741949"/>
      <w:r>
        <w:rPr>
          <w:rStyle w:val="51"/>
          <w:rFonts w:hint="eastAsia" w:ascii="宋体" w:hAnsi="宋体" w:cs="宋体"/>
          <w:b/>
          <w:bCs/>
          <w:sz w:val="24"/>
          <w:szCs w:val="24"/>
          <w:highlight w:val="none"/>
        </w:rPr>
        <w:t>附件：</w:t>
      </w:r>
    </w:p>
    <w:p>
      <w:pPr>
        <w:pStyle w:val="52"/>
        <w:spacing w:line="360" w:lineRule="auto"/>
        <w:jc w:val="center"/>
        <w:rPr>
          <w:rFonts w:ascii="宋体" w:hAnsi="宋体" w:cs="宋体"/>
          <w:b/>
          <w:bCs/>
          <w:color w:val="0000FF"/>
          <w:sz w:val="24"/>
          <w:szCs w:val="24"/>
          <w:highlight w:val="none"/>
        </w:rPr>
      </w:pPr>
      <w:r>
        <w:rPr>
          <w:rFonts w:hint="eastAsia" w:ascii="宋体" w:hAnsi="宋体" w:cs="宋体"/>
          <w:b/>
          <w:bCs/>
          <w:color w:val="0000FF"/>
          <w:sz w:val="24"/>
          <w:szCs w:val="24"/>
          <w:highlight w:val="none"/>
        </w:rPr>
        <w:t>河南省政府采购合同融资政策告知函</w:t>
      </w:r>
    </w:p>
    <w:p>
      <w:pPr>
        <w:pStyle w:val="52"/>
        <w:spacing w:line="360" w:lineRule="auto"/>
        <w:jc w:val="left"/>
        <w:rPr>
          <w:rFonts w:ascii="宋体" w:hAnsi="宋体" w:cs="宋体"/>
          <w:sz w:val="24"/>
          <w:szCs w:val="24"/>
          <w:highlight w:val="none"/>
        </w:rPr>
      </w:pPr>
    </w:p>
    <w:p>
      <w:pPr>
        <w:pStyle w:val="28"/>
        <w:autoSpaceDE w:val="0"/>
        <w:spacing w:line="360" w:lineRule="auto"/>
        <w:ind w:firstLine="0"/>
        <w:rPr>
          <w:rFonts w:ascii="宋体" w:hAnsi="宋体" w:eastAsia="宋体" w:cs="宋体"/>
          <w:spacing w:val="14"/>
          <w:sz w:val="24"/>
          <w:szCs w:val="24"/>
          <w:highlight w:val="none"/>
        </w:rPr>
      </w:pPr>
      <w:r>
        <w:rPr>
          <w:rFonts w:hint="eastAsia" w:ascii="宋体" w:hAnsi="宋体" w:eastAsia="宋体" w:cs="宋体"/>
          <w:spacing w:val="14"/>
          <w:sz w:val="24"/>
          <w:szCs w:val="24"/>
          <w:highlight w:val="none"/>
        </w:rPr>
        <w:t>各供应商：</w:t>
      </w:r>
    </w:p>
    <w:p>
      <w:pPr>
        <w:pStyle w:val="28"/>
        <w:autoSpaceDE w:val="0"/>
        <w:spacing w:line="360" w:lineRule="auto"/>
        <w:ind w:firstLine="0"/>
        <w:rPr>
          <w:rFonts w:ascii="宋体" w:hAnsi="宋体" w:eastAsia="宋体" w:cs="宋体"/>
          <w:spacing w:val="14"/>
          <w:sz w:val="24"/>
          <w:szCs w:val="24"/>
          <w:highlight w:val="none"/>
        </w:rPr>
      </w:pPr>
      <w:r>
        <w:rPr>
          <w:rFonts w:hint="eastAsia" w:ascii="宋体" w:hAnsi="宋体" w:eastAsia="宋体" w:cs="宋体"/>
          <w:spacing w:val="14"/>
          <w:sz w:val="24"/>
          <w:szCs w:val="24"/>
          <w:highlight w:val="none"/>
        </w:rPr>
        <w:t>欢迎贵公司参与河南省政府采购活动！</w:t>
      </w:r>
    </w:p>
    <w:p>
      <w:pPr>
        <w:pStyle w:val="28"/>
        <w:autoSpaceDE w:val="0"/>
        <w:spacing w:line="360" w:lineRule="auto"/>
        <w:ind w:firstLine="0"/>
        <w:rPr>
          <w:rFonts w:ascii="宋体" w:hAnsi="宋体" w:eastAsia="宋体" w:cs="宋体"/>
          <w:spacing w:val="14"/>
          <w:sz w:val="24"/>
          <w:szCs w:val="24"/>
          <w:highlight w:val="none"/>
        </w:rPr>
      </w:pPr>
      <w:r>
        <w:rPr>
          <w:rFonts w:hint="eastAsia" w:ascii="宋体" w:hAnsi="宋体" w:eastAsia="宋体" w:cs="宋体"/>
          <w:spacing w:val="14"/>
          <w:sz w:val="24"/>
          <w:szCs w:val="24"/>
          <w:highlight w:val="none"/>
        </w:rPr>
        <w:t>政府采购合同融资是河南省财政厅支持中小微企业发展，针对参与政府采购活动的供应商融资难、融资贵问题推出的一项融资政策。贵公司若成为本次政府采购项目的中标成交供应商，可持政府采购合同向金融机构申请贷款，无需抵押、担保，融资机构将根据《河南省政府采购合同融资工作实施方案》（豫财购〔2017〕10号），按照双方自愿的原则提供便捷、优惠的贷款服务。</w:t>
      </w:r>
    </w:p>
    <w:p>
      <w:pPr>
        <w:pStyle w:val="28"/>
        <w:autoSpaceDE w:val="0"/>
        <w:spacing w:line="360" w:lineRule="auto"/>
        <w:ind w:firstLine="0"/>
        <w:rPr>
          <w:rFonts w:ascii="宋体" w:hAnsi="宋体" w:eastAsia="宋体" w:cs="宋体"/>
          <w:spacing w:val="14"/>
          <w:sz w:val="24"/>
          <w:szCs w:val="24"/>
          <w:highlight w:val="none"/>
        </w:rPr>
      </w:pPr>
      <w:r>
        <w:rPr>
          <w:rFonts w:hint="eastAsia" w:ascii="宋体" w:hAnsi="宋体" w:eastAsia="宋体" w:cs="宋体"/>
          <w:spacing w:val="14"/>
          <w:sz w:val="24"/>
          <w:szCs w:val="24"/>
          <w:highlight w:val="none"/>
        </w:rPr>
        <w:t>贷款渠道和提供贷款的金融机构，可在河南省政府采购网“河南省政府采购合同融资平台”查询联系。</w:t>
      </w:r>
    </w:p>
    <w:p>
      <w:pPr>
        <w:pStyle w:val="52"/>
        <w:spacing w:line="360" w:lineRule="auto"/>
        <w:jc w:val="left"/>
        <w:rPr>
          <w:rFonts w:ascii="宋体" w:hAnsi="宋体" w:cs="宋体"/>
          <w:sz w:val="24"/>
          <w:szCs w:val="24"/>
          <w:highlight w:val="none"/>
        </w:rPr>
      </w:pPr>
    </w:p>
    <w:p>
      <w:pPr>
        <w:pStyle w:val="52"/>
        <w:spacing w:line="360" w:lineRule="auto"/>
        <w:jc w:val="center"/>
        <w:rPr>
          <w:rFonts w:ascii="宋体" w:hAnsi="宋体" w:cs="宋体"/>
          <w:b/>
          <w:bCs/>
          <w:color w:val="0000FF"/>
          <w:sz w:val="24"/>
          <w:szCs w:val="24"/>
          <w:highlight w:val="none"/>
        </w:rPr>
      </w:pPr>
    </w:p>
    <w:p>
      <w:pPr>
        <w:pStyle w:val="52"/>
        <w:spacing w:line="360" w:lineRule="auto"/>
        <w:jc w:val="center"/>
        <w:rPr>
          <w:rFonts w:ascii="宋体" w:hAnsi="宋体" w:cs="宋体"/>
          <w:b/>
          <w:bCs/>
          <w:color w:val="0000FF"/>
          <w:sz w:val="24"/>
          <w:szCs w:val="24"/>
          <w:highlight w:val="none"/>
        </w:rPr>
      </w:pPr>
      <w:r>
        <w:rPr>
          <w:rFonts w:hint="eastAsia" w:ascii="宋体" w:hAnsi="宋体" w:cs="宋体"/>
          <w:b/>
          <w:bCs/>
          <w:color w:val="0000FF"/>
          <w:sz w:val="24"/>
          <w:szCs w:val="24"/>
          <w:highlight w:val="none"/>
        </w:rPr>
        <w:t>郑州银行股份有限公司洛阳分行政府采购融资贷</w:t>
      </w:r>
    </w:p>
    <w:p>
      <w:pPr>
        <w:pStyle w:val="52"/>
        <w:spacing w:line="360" w:lineRule="auto"/>
        <w:jc w:val="center"/>
        <w:rPr>
          <w:rFonts w:ascii="宋体" w:hAnsi="宋体" w:cs="宋体"/>
          <w:b/>
          <w:bCs/>
          <w:color w:val="0000FF"/>
          <w:sz w:val="24"/>
          <w:szCs w:val="24"/>
          <w:highlight w:val="none"/>
        </w:rPr>
      </w:pPr>
      <w:r>
        <w:rPr>
          <w:rFonts w:hint="eastAsia" w:ascii="宋体" w:hAnsi="宋体" w:cs="宋体"/>
          <w:b/>
          <w:bCs/>
          <w:color w:val="0000FF"/>
          <w:sz w:val="24"/>
          <w:szCs w:val="24"/>
          <w:highlight w:val="none"/>
        </w:rPr>
        <w:t>联系方式及融资产品介绍</w:t>
      </w:r>
    </w:p>
    <w:p>
      <w:pPr>
        <w:pStyle w:val="52"/>
        <w:spacing w:line="360" w:lineRule="auto"/>
        <w:jc w:val="left"/>
        <w:rPr>
          <w:rFonts w:ascii="宋体" w:hAnsi="宋体" w:cs="宋体"/>
          <w:spacing w:val="14"/>
          <w:sz w:val="24"/>
          <w:szCs w:val="24"/>
          <w:highlight w:val="none"/>
        </w:rPr>
      </w:pPr>
      <w:r>
        <w:rPr>
          <w:rFonts w:hint="eastAsia" w:ascii="宋体" w:hAnsi="宋体" w:cs="宋体"/>
          <w:spacing w:val="14"/>
          <w:sz w:val="24"/>
          <w:szCs w:val="24"/>
          <w:highlight w:val="none"/>
        </w:rPr>
        <w:t xml:space="preserve">  一、联系方式：</w:t>
      </w:r>
    </w:p>
    <w:tbl>
      <w:tblPr>
        <w:tblStyle w:val="19"/>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2130"/>
        <w:gridCol w:w="2131"/>
        <w:gridCol w:w="21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pStyle w:val="52"/>
              <w:spacing w:line="360" w:lineRule="auto"/>
              <w:jc w:val="left"/>
              <w:rPr>
                <w:rFonts w:ascii="宋体" w:hAnsi="宋体" w:cs="宋体"/>
                <w:spacing w:val="14"/>
                <w:sz w:val="24"/>
                <w:szCs w:val="24"/>
                <w:highlight w:val="none"/>
              </w:rPr>
            </w:pPr>
            <w:r>
              <w:rPr>
                <w:rFonts w:hint="eastAsia" w:ascii="宋体" w:hAnsi="宋体" w:cs="宋体"/>
                <w:spacing w:val="14"/>
                <w:sz w:val="24"/>
                <w:szCs w:val="24"/>
                <w:highlight w:val="none"/>
              </w:rPr>
              <w:t>联系人</w:t>
            </w:r>
          </w:p>
        </w:tc>
        <w:tc>
          <w:tcPr>
            <w:tcW w:w="2130" w:type="dxa"/>
          </w:tcPr>
          <w:p>
            <w:pPr>
              <w:pStyle w:val="52"/>
              <w:spacing w:line="360" w:lineRule="auto"/>
              <w:jc w:val="left"/>
              <w:rPr>
                <w:rFonts w:ascii="宋体" w:hAnsi="宋体" w:cs="宋体"/>
                <w:spacing w:val="14"/>
                <w:sz w:val="24"/>
                <w:szCs w:val="24"/>
                <w:highlight w:val="none"/>
              </w:rPr>
            </w:pPr>
            <w:r>
              <w:rPr>
                <w:rFonts w:hint="eastAsia" w:ascii="宋体" w:hAnsi="宋体" w:cs="宋体"/>
                <w:spacing w:val="14"/>
                <w:sz w:val="24"/>
                <w:szCs w:val="24"/>
                <w:highlight w:val="none"/>
              </w:rPr>
              <w:t>职务</w:t>
            </w:r>
          </w:p>
        </w:tc>
        <w:tc>
          <w:tcPr>
            <w:tcW w:w="2131" w:type="dxa"/>
          </w:tcPr>
          <w:p>
            <w:pPr>
              <w:pStyle w:val="52"/>
              <w:spacing w:line="360" w:lineRule="auto"/>
              <w:jc w:val="left"/>
              <w:rPr>
                <w:rFonts w:ascii="宋体" w:hAnsi="宋体" w:cs="宋体"/>
                <w:spacing w:val="14"/>
                <w:sz w:val="24"/>
                <w:szCs w:val="24"/>
                <w:highlight w:val="none"/>
              </w:rPr>
            </w:pPr>
            <w:r>
              <w:rPr>
                <w:rFonts w:hint="eastAsia" w:ascii="宋体" w:hAnsi="宋体" w:cs="宋体"/>
                <w:spacing w:val="14"/>
                <w:sz w:val="24"/>
                <w:szCs w:val="24"/>
                <w:highlight w:val="none"/>
              </w:rPr>
              <w:t>地址</w:t>
            </w:r>
          </w:p>
        </w:tc>
        <w:tc>
          <w:tcPr>
            <w:tcW w:w="2131" w:type="dxa"/>
          </w:tcPr>
          <w:p>
            <w:pPr>
              <w:pStyle w:val="52"/>
              <w:spacing w:line="360" w:lineRule="auto"/>
              <w:jc w:val="left"/>
              <w:rPr>
                <w:rFonts w:ascii="宋体" w:hAnsi="宋体" w:cs="宋体"/>
                <w:spacing w:val="14"/>
                <w:sz w:val="24"/>
                <w:szCs w:val="24"/>
                <w:highlight w:val="none"/>
              </w:rPr>
            </w:pPr>
            <w:r>
              <w:rPr>
                <w:rFonts w:hint="eastAsia" w:ascii="宋体" w:hAnsi="宋体" w:cs="宋体"/>
                <w:spacing w:val="14"/>
                <w:sz w:val="24"/>
                <w:szCs w:val="24"/>
                <w:highlight w:val="none"/>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4" w:hRule="atLeast"/>
        </w:trPr>
        <w:tc>
          <w:tcPr>
            <w:tcW w:w="2130" w:type="dxa"/>
          </w:tcPr>
          <w:p>
            <w:pPr>
              <w:pStyle w:val="52"/>
              <w:spacing w:line="360" w:lineRule="auto"/>
              <w:jc w:val="left"/>
              <w:rPr>
                <w:rFonts w:ascii="宋体" w:hAnsi="宋体" w:cs="宋体"/>
                <w:spacing w:val="14"/>
                <w:sz w:val="24"/>
                <w:szCs w:val="24"/>
                <w:highlight w:val="none"/>
              </w:rPr>
            </w:pPr>
            <w:r>
              <w:rPr>
                <w:rFonts w:hint="eastAsia" w:ascii="宋体" w:hAnsi="宋体" w:cs="宋体"/>
                <w:spacing w:val="14"/>
                <w:sz w:val="24"/>
                <w:szCs w:val="24"/>
                <w:highlight w:val="none"/>
              </w:rPr>
              <w:t>王剑</w:t>
            </w:r>
          </w:p>
        </w:tc>
        <w:tc>
          <w:tcPr>
            <w:tcW w:w="2130" w:type="dxa"/>
          </w:tcPr>
          <w:p>
            <w:pPr>
              <w:pStyle w:val="52"/>
              <w:spacing w:line="360" w:lineRule="auto"/>
              <w:jc w:val="left"/>
              <w:rPr>
                <w:rFonts w:ascii="宋体" w:hAnsi="宋体" w:cs="宋体"/>
                <w:spacing w:val="14"/>
                <w:sz w:val="24"/>
                <w:szCs w:val="24"/>
                <w:highlight w:val="none"/>
              </w:rPr>
            </w:pPr>
            <w:r>
              <w:rPr>
                <w:rFonts w:hint="eastAsia" w:ascii="宋体" w:hAnsi="宋体" w:cs="宋体"/>
                <w:spacing w:val="14"/>
                <w:sz w:val="24"/>
                <w:szCs w:val="24"/>
                <w:highlight w:val="none"/>
              </w:rPr>
              <w:t>主任</w:t>
            </w:r>
          </w:p>
        </w:tc>
        <w:tc>
          <w:tcPr>
            <w:tcW w:w="2131" w:type="dxa"/>
            <w:vMerge w:val="restart"/>
          </w:tcPr>
          <w:p>
            <w:pPr>
              <w:pStyle w:val="52"/>
              <w:spacing w:line="360" w:lineRule="auto"/>
              <w:jc w:val="left"/>
              <w:rPr>
                <w:rFonts w:ascii="宋体" w:hAnsi="宋体" w:cs="宋体"/>
                <w:spacing w:val="14"/>
                <w:sz w:val="24"/>
                <w:szCs w:val="24"/>
                <w:highlight w:val="none"/>
              </w:rPr>
            </w:pPr>
            <w:r>
              <w:rPr>
                <w:rFonts w:hint="eastAsia" w:ascii="宋体" w:hAnsi="宋体" w:cs="宋体"/>
                <w:spacing w:val="14"/>
                <w:sz w:val="24"/>
                <w:szCs w:val="24"/>
                <w:highlight w:val="none"/>
              </w:rPr>
              <w:t>洛阳市洛龙区关林路与厚载门街交叉口隆安大厦</w:t>
            </w:r>
          </w:p>
        </w:tc>
        <w:tc>
          <w:tcPr>
            <w:tcW w:w="2131" w:type="dxa"/>
          </w:tcPr>
          <w:p>
            <w:pPr>
              <w:pStyle w:val="52"/>
              <w:spacing w:line="360" w:lineRule="auto"/>
              <w:jc w:val="left"/>
              <w:rPr>
                <w:rFonts w:ascii="宋体" w:hAnsi="宋体" w:cs="宋体"/>
                <w:spacing w:val="14"/>
                <w:sz w:val="24"/>
                <w:szCs w:val="24"/>
                <w:highlight w:val="none"/>
              </w:rPr>
            </w:pPr>
            <w:r>
              <w:rPr>
                <w:rFonts w:hint="eastAsia" w:ascii="宋体" w:hAnsi="宋体" w:cs="宋体"/>
                <w:spacing w:val="14"/>
                <w:sz w:val="24"/>
                <w:szCs w:val="24"/>
                <w:highlight w:val="none"/>
              </w:rPr>
              <w:t>13838808890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4" w:hRule="atLeast"/>
        </w:trPr>
        <w:tc>
          <w:tcPr>
            <w:tcW w:w="2130" w:type="dxa"/>
          </w:tcPr>
          <w:p>
            <w:pPr>
              <w:pStyle w:val="52"/>
              <w:spacing w:line="360" w:lineRule="auto"/>
              <w:jc w:val="left"/>
              <w:rPr>
                <w:rFonts w:ascii="宋体" w:hAnsi="宋体" w:cs="宋体"/>
                <w:spacing w:val="14"/>
                <w:sz w:val="24"/>
                <w:szCs w:val="24"/>
                <w:highlight w:val="none"/>
              </w:rPr>
            </w:pPr>
            <w:r>
              <w:rPr>
                <w:rFonts w:hint="eastAsia" w:ascii="宋体" w:hAnsi="宋体" w:cs="宋体"/>
                <w:spacing w:val="14"/>
                <w:sz w:val="24"/>
                <w:szCs w:val="24"/>
                <w:highlight w:val="none"/>
              </w:rPr>
              <w:t>杨洋</w:t>
            </w:r>
          </w:p>
        </w:tc>
        <w:tc>
          <w:tcPr>
            <w:tcW w:w="2130" w:type="dxa"/>
          </w:tcPr>
          <w:p>
            <w:pPr>
              <w:pStyle w:val="52"/>
              <w:spacing w:line="360" w:lineRule="auto"/>
              <w:jc w:val="left"/>
              <w:rPr>
                <w:rFonts w:ascii="宋体" w:hAnsi="宋体" w:cs="宋体"/>
                <w:spacing w:val="14"/>
                <w:sz w:val="24"/>
                <w:szCs w:val="24"/>
                <w:highlight w:val="none"/>
              </w:rPr>
            </w:pPr>
            <w:r>
              <w:rPr>
                <w:rFonts w:hint="eastAsia" w:ascii="宋体" w:hAnsi="宋体" w:cs="宋体"/>
                <w:spacing w:val="14"/>
                <w:sz w:val="24"/>
                <w:szCs w:val="24"/>
                <w:highlight w:val="none"/>
              </w:rPr>
              <w:t>业务负责人</w:t>
            </w:r>
          </w:p>
        </w:tc>
        <w:tc>
          <w:tcPr>
            <w:tcW w:w="2131" w:type="dxa"/>
            <w:vMerge w:val="continue"/>
          </w:tcPr>
          <w:p>
            <w:pPr>
              <w:pStyle w:val="52"/>
              <w:spacing w:line="360" w:lineRule="auto"/>
              <w:jc w:val="left"/>
              <w:rPr>
                <w:rFonts w:ascii="宋体" w:hAnsi="宋体" w:cs="宋体"/>
                <w:spacing w:val="14"/>
                <w:sz w:val="24"/>
                <w:szCs w:val="24"/>
                <w:highlight w:val="none"/>
              </w:rPr>
            </w:pPr>
          </w:p>
        </w:tc>
        <w:tc>
          <w:tcPr>
            <w:tcW w:w="2131" w:type="dxa"/>
          </w:tcPr>
          <w:p>
            <w:pPr>
              <w:pStyle w:val="52"/>
              <w:spacing w:line="360" w:lineRule="auto"/>
              <w:jc w:val="left"/>
              <w:rPr>
                <w:rFonts w:ascii="宋体" w:hAnsi="宋体" w:cs="宋体"/>
                <w:spacing w:val="14"/>
                <w:sz w:val="24"/>
                <w:szCs w:val="24"/>
                <w:highlight w:val="none"/>
              </w:rPr>
            </w:pPr>
            <w:r>
              <w:rPr>
                <w:rFonts w:hint="eastAsia" w:ascii="宋体" w:hAnsi="宋体" w:cs="宋体"/>
                <w:spacing w:val="14"/>
                <w:sz w:val="24"/>
                <w:szCs w:val="24"/>
                <w:highlight w:val="none"/>
              </w:rPr>
              <w:t>15896531927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pStyle w:val="52"/>
              <w:spacing w:line="360" w:lineRule="auto"/>
              <w:jc w:val="left"/>
              <w:rPr>
                <w:rFonts w:ascii="宋体" w:hAnsi="宋体" w:cs="宋体"/>
                <w:spacing w:val="14"/>
                <w:sz w:val="24"/>
                <w:szCs w:val="24"/>
                <w:highlight w:val="none"/>
              </w:rPr>
            </w:pPr>
            <w:r>
              <w:rPr>
                <w:rFonts w:hint="eastAsia" w:ascii="宋体" w:hAnsi="宋体" w:cs="宋体"/>
                <w:spacing w:val="14"/>
                <w:sz w:val="24"/>
                <w:szCs w:val="24"/>
                <w:highlight w:val="none"/>
              </w:rPr>
              <w:t>周宜辉</w:t>
            </w:r>
          </w:p>
        </w:tc>
        <w:tc>
          <w:tcPr>
            <w:tcW w:w="2130" w:type="dxa"/>
          </w:tcPr>
          <w:p>
            <w:pPr>
              <w:pStyle w:val="52"/>
              <w:spacing w:line="360" w:lineRule="auto"/>
              <w:jc w:val="left"/>
              <w:rPr>
                <w:rFonts w:ascii="宋体" w:hAnsi="宋体" w:cs="宋体"/>
                <w:spacing w:val="14"/>
                <w:sz w:val="24"/>
                <w:szCs w:val="24"/>
                <w:highlight w:val="none"/>
              </w:rPr>
            </w:pPr>
            <w:r>
              <w:rPr>
                <w:rFonts w:hint="eastAsia" w:ascii="宋体" w:hAnsi="宋体" w:cs="宋体"/>
                <w:spacing w:val="14"/>
                <w:sz w:val="24"/>
                <w:szCs w:val="24"/>
                <w:highlight w:val="none"/>
              </w:rPr>
              <w:t>客户经理</w:t>
            </w:r>
          </w:p>
        </w:tc>
        <w:tc>
          <w:tcPr>
            <w:tcW w:w="2131" w:type="dxa"/>
            <w:vMerge w:val="continue"/>
          </w:tcPr>
          <w:p>
            <w:pPr>
              <w:pStyle w:val="52"/>
              <w:spacing w:line="360" w:lineRule="auto"/>
              <w:jc w:val="left"/>
              <w:rPr>
                <w:rFonts w:ascii="宋体" w:hAnsi="宋体" w:cs="宋体"/>
                <w:spacing w:val="14"/>
                <w:sz w:val="24"/>
                <w:szCs w:val="24"/>
                <w:highlight w:val="none"/>
              </w:rPr>
            </w:pPr>
          </w:p>
        </w:tc>
        <w:tc>
          <w:tcPr>
            <w:tcW w:w="2131" w:type="dxa"/>
          </w:tcPr>
          <w:p>
            <w:pPr>
              <w:pStyle w:val="52"/>
              <w:spacing w:line="360" w:lineRule="auto"/>
              <w:jc w:val="left"/>
              <w:rPr>
                <w:rFonts w:ascii="宋体" w:hAnsi="宋体" w:cs="宋体"/>
                <w:spacing w:val="14"/>
                <w:sz w:val="24"/>
                <w:szCs w:val="24"/>
                <w:highlight w:val="none"/>
              </w:rPr>
            </w:pPr>
            <w:r>
              <w:rPr>
                <w:rFonts w:hint="eastAsia" w:ascii="宋体" w:hAnsi="宋体" w:cs="宋体"/>
                <w:spacing w:val="14"/>
                <w:sz w:val="24"/>
                <w:szCs w:val="24"/>
                <w:highlight w:val="none"/>
              </w:rPr>
              <w:t>15036316707</w:t>
            </w:r>
          </w:p>
        </w:tc>
      </w:tr>
    </w:tbl>
    <w:p>
      <w:pPr>
        <w:pStyle w:val="52"/>
        <w:spacing w:line="360" w:lineRule="auto"/>
        <w:jc w:val="left"/>
        <w:rPr>
          <w:rFonts w:ascii="宋体" w:hAnsi="宋体" w:cs="宋体"/>
          <w:spacing w:val="14"/>
          <w:sz w:val="24"/>
          <w:szCs w:val="24"/>
          <w:highlight w:val="none"/>
        </w:rPr>
      </w:pPr>
      <w:r>
        <w:rPr>
          <w:rFonts w:hint="eastAsia" w:ascii="宋体" w:hAnsi="宋体" w:cs="宋体"/>
          <w:spacing w:val="14"/>
          <w:sz w:val="24"/>
          <w:szCs w:val="24"/>
          <w:highlight w:val="none"/>
        </w:rPr>
        <w:t>二、融资产品介绍：</w:t>
      </w:r>
    </w:p>
    <w:p>
      <w:pPr>
        <w:pStyle w:val="52"/>
        <w:spacing w:line="360" w:lineRule="auto"/>
        <w:jc w:val="left"/>
        <w:rPr>
          <w:rFonts w:ascii="宋体" w:hAnsi="宋体" w:cs="宋体"/>
          <w:spacing w:val="14"/>
          <w:sz w:val="24"/>
          <w:szCs w:val="24"/>
          <w:highlight w:val="none"/>
        </w:rPr>
      </w:pPr>
      <w:r>
        <w:rPr>
          <w:rFonts w:hint="eastAsia" w:ascii="宋体" w:hAnsi="宋体" w:cs="宋体"/>
          <w:spacing w:val="14"/>
          <w:sz w:val="24"/>
          <w:szCs w:val="24"/>
          <w:highlight w:val="none"/>
        </w:rPr>
        <w:t>“E采贷”是郑州银行作为参与政府采购的中小企业量身定制的用于政府采购合同履约，并以政府回款为还款来源的贷款产品。该产品主要解决政府采购商中标垫资的痛点，帮助中标企业快速、高效、便捷获取银行资金。告别采购融资难，政府中标即可贷。优先支持纳入省市级财政预算的服务贸易类行业企业。</w:t>
      </w:r>
    </w:p>
    <w:p>
      <w:pPr>
        <w:pStyle w:val="52"/>
        <w:spacing w:line="360" w:lineRule="auto"/>
        <w:jc w:val="left"/>
        <w:rPr>
          <w:rFonts w:ascii="宋体" w:hAnsi="宋体" w:cs="宋体"/>
          <w:spacing w:val="14"/>
          <w:sz w:val="24"/>
          <w:szCs w:val="24"/>
          <w:highlight w:val="none"/>
        </w:rPr>
      </w:pPr>
      <w:r>
        <w:rPr>
          <w:rFonts w:hint="eastAsia" w:ascii="宋体" w:hAnsi="宋体" w:cs="宋体"/>
          <w:spacing w:val="14"/>
          <w:sz w:val="24"/>
          <w:szCs w:val="24"/>
          <w:highlight w:val="none"/>
        </w:rPr>
        <w:t>“E采贷”五大特点：1.纯信用：无需抵押、担保；2.更灵活：随借随还，按需支用；3.额度高：最高为上年度中标额的1.3倍，单笔最高1000万元；4.适用广：在河南省政府采购网（www.hngp.gov.cn）有备案信息即可准入；5.效率高：绿色通道，保证时效。</w:t>
      </w:r>
    </w:p>
    <w:p>
      <w:pPr>
        <w:pStyle w:val="52"/>
        <w:spacing w:line="360" w:lineRule="auto"/>
        <w:jc w:val="left"/>
        <w:rPr>
          <w:rFonts w:ascii="宋体" w:hAnsi="宋体" w:cs="宋体"/>
          <w:spacing w:val="14"/>
          <w:sz w:val="24"/>
          <w:szCs w:val="24"/>
          <w:highlight w:val="none"/>
        </w:rPr>
      </w:pPr>
      <w:r>
        <w:rPr>
          <w:rFonts w:hint="eastAsia" w:ascii="宋体" w:hAnsi="宋体" w:cs="宋体"/>
          <w:spacing w:val="14"/>
          <w:sz w:val="24"/>
          <w:szCs w:val="24"/>
          <w:highlight w:val="none"/>
        </w:rPr>
        <w:t>业务流程：</w:t>
      </w:r>
    </w:p>
    <w:p>
      <w:pPr>
        <w:pStyle w:val="52"/>
        <w:spacing w:line="360" w:lineRule="auto"/>
        <w:jc w:val="left"/>
        <w:rPr>
          <w:rFonts w:ascii="宋体" w:hAnsi="宋体" w:cs="宋体"/>
          <w:spacing w:val="14"/>
          <w:sz w:val="24"/>
          <w:szCs w:val="24"/>
          <w:highlight w:val="none"/>
        </w:rPr>
      </w:pPr>
      <w:r>
        <w:rPr>
          <w:rFonts w:hint="eastAsia" w:ascii="宋体" w:hAnsi="宋体" w:cs="宋体"/>
          <w:spacing w:val="14"/>
          <w:sz w:val="24"/>
          <w:szCs w:val="24"/>
          <w:highlight w:val="none"/>
        </w:rPr>
        <w:t>1.企业申请：凭政府采购中标通知书，向郑州银行提出授信申请。</w:t>
      </w:r>
    </w:p>
    <w:p>
      <w:pPr>
        <w:pStyle w:val="52"/>
        <w:spacing w:line="360" w:lineRule="auto"/>
        <w:jc w:val="left"/>
        <w:rPr>
          <w:rFonts w:ascii="宋体" w:hAnsi="宋体" w:cs="宋体"/>
          <w:spacing w:val="14"/>
          <w:sz w:val="24"/>
          <w:szCs w:val="24"/>
          <w:highlight w:val="none"/>
        </w:rPr>
      </w:pPr>
      <w:r>
        <w:rPr>
          <w:rFonts w:hint="eastAsia" w:ascii="宋体" w:hAnsi="宋体" w:cs="宋体"/>
          <w:spacing w:val="14"/>
          <w:sz w:val="24"/>
          <w:szCs w:val="24"/>
          <w:highlight w:val="none"/>
        </w:rPr>
        <w:t>2.银行审批：客户经理现场调查，3个工作日反馈审批结果。</w:t>
      </w:r>
    </w:p>
    <w:p>
      <w:pPr>
        <w:pStyle w:val="52"/>
        <w:spacing w:line="360" w:lineRule="auto"/>
        <w:jc w:val="left"/>
        <w:rPr>
          <w:rFonts w:ascii="宋体" w:hAnsi="宋体" w:cs="宋体"/>
          <w:spacing w:val="14"/>
          <w:sz w:val="24"/>
          <w:szCs w:val="24"/>
          <w:highlight w:val="none"/>
        </w:rPr>
      </w:pPr>
      <w:r>
        <w:rPr>
          <w:rFonts w:hint="eastAsia" w:ascii="宋体" w:hAnsi="宋体" w:cs="宋体"/>
          <w:spacing w:val="14"/>
          <w:sz w:val="24"/>
          <w:szCs w:val="24"/>
          <w:highlight w:val="none"/>
        </w:rPr>
        <w:t>3.企业提款：凭政府采购合同、购销合同等即可提款使用。</w:t>
      </w:r>
    </w:p>
    <w:p>
      <w:pPr>
        <w:pStyle w:val="52"/>
        <w:spacing w:line="360" w:lineRule="auto"/>
        <w:jc w:val="left"/>
        <w:rPr>
          <w:rFonts w:ascii="宋体" w:hAnsi="宋体" w:cs="宋体"/>
          <w:spacing w:val="14"/>
          <w:sz w:val="24"/>
          <w:szCs w:val="24"/>
          <w:highlight w:val="none"/>
        </w:rPr>
      </w:pPr>
      <w:r>
        <w:rPr>
          <w:rFonts w:hint="eastAsia" w:ascii="宋体" w:hAnsi="宋体" w:cs="宋体"/>
          <w:spacing w:val="14"/>
          <w:sz w:val="24"/>
          <w:szCs w:val="24"/>
          <w:highlight w:val="none"/>
        </w:rPr>
        <w:t>利率及优惠政策：</w:t>
      </w:r>
    </w:p>
    <w:p>
      <w:pPr>
        <w:pStyle w:val="52"/>
        <w:spacing w:line="360" w:lineRule="auto"/>
        <w:jc w:val="left"/>
        <w:rPr>
          <w:rFonts w:ascii="宋体" w:hAnsi="宋体" w:cs="宋体"/>
          <w:spacing w:val="14"/>
          <w:sz w:val="24"/>
          <w:szCs w:val="24"/>
          <w:highlight w:val="none"/>
        </w:rPr>
      </w:pPr>
      <w:r>
        <w:rPr>
          <w:rFonts w:hint="eastAsia" w:ascii="宋体" w:hAnsi="宋体" w:cs="宋体"/>
          <w:spacing w:val="14"/>
          <w:sz w:val="24"/>
          <w:szCs w:val="24"/>
          <w:highlight w:val="none"/>
        </w:rPr>
        <w:t>贸易类不低于5.5%，工程类不低于6.5%，对符合条件的小微企业实行减费让利政策，减少客户融资成本（不存在与贷款捆绑强制收费；只收费不服务；超范围、超标准收费；转嫁成本收费；不执行政府指导价、政府定价等提升企业贷款成本的现象）着力解决小微企业“融资难”、“融资贵”的问题帮助客户更好成长。分行所有收费项目均严格根据监管部门和总行要求执行，我行对银行账户一律免收账户管理费。</w:t>
      </w:r>
    </w:p>
    <w:p>
      <w:pPr>
        <w:pStyle w:val="52"/>
        <w:spacing w:line="360" w:lineRule="auto"/>
        <w:jc w:val="center"/>
        <w:rPr>
          <w:rFonts w:ascii="宋体" w:hAnsi="宋体" w:cs="宋体"/>
          <w:b/>
          <w:bCs/>
          <w:color w:val="0000FF"/>
          <w:sz w:val="24"/>
          <w:szCs w:val="24"/>
          <w:highlight w:val="none"/>
        </w:rPr>
      </w:pPr>
      <w:r>
        <w:rPr>
          <w:rFonts w:hint="eastAsia" w:ascii="宋体" w:hAnsi="宋体" w:cs="宋体"/>
          <w:b/>
          <w:bCs/>
          <w:color w:val="0000FF"/>
          <w:sz w:val="24"/>
          <w:szCs w:val="24"/>
          <w:highlight w:val="none"/>
        </w:rPr>
        <w:t>中国银行股份有限公司河南省分行普惠金融</w:t>
      </w:r>
    </w:p>
    <w:p>
      <w:pPr>
        <w:pStyle w:val="52"/>
        <w:spacing w:line="360" w:lineRule="auto"/>
        <w:jc w:val="center"/>
        <w:rPr>
          <w:rFonts w:ascii="宋体" w:hAnsi="宋体" w:cs="宋体"/>
          <w:b/>
          <w:bCs/>
          <w:color w:val="0000FF"/>
          <w:sz w:val="24"/>
          <w:szCs w:val="24"/>
          <w:highlight w:val="none"/>
        </w:rPr>
      </w:pPr>
      <w:r>
        <w:rPr>
          <w:rFonts w:hint="eastAsia" w:ascii="宋体" w:hAnsi="宋体" w:cs="宋体"/>
          <w:b/>
          <w:bCs/>
          <w:color w:val="0000FF"/>
          <w:sz w:val="24"/>
          <w:szCs w:val="24"/>
          <w:highlight w:val="none"/>
        </w:rPr>
        <w:t>政采通宝业务服务方案</w:t>
      </w:r>
    </w:p>
    <w:p>
      <w:pPr>
        <w:pStyle w:val="52"/>
        <w:spacing w:line="360" w:lineRule="auto"/>
        <w:jc w:val="left"/>
        <w:rPr>
          <w:rFonts w:ascii="宋体" w:hAnsi="宋体" w:cs="宋体"/>
          <w:spacing w:val="14"/>
          <w:sz w:val="24"/>
          <w:szCs w:val="24"/>
          <w:highlight w:val="none"/>
        </w:rPr>
      </w:pPr>
      <w:r>
        <w:rPr>
          <w:rFonts w:hint="eastAsia" w:ascii="宋体" w:hAnsi="宋体" w:cs="宋体"/>
          <w:spacing w:val="14"/>
          <w:sz w:val="24"/>
          <w:szCs w:val="24"/>
          <w:highlight w:val="none"/>
        </w:rPr>
        <w:t>准入标准:</w:t>
      </w:r>
    </w:p>
    <w:p>
      <w:pPr>
        <w:pStyle w:val="52"/>
        <w:spacing w:line="360" w:lineRule="auto"/>
        <w:jc w:val="left"/>
        <w:rPr>
          <w:rFonts w:ascii="宋体" w:hAnsi="宋体" w:cs="宋体"/>
          <w:spacing w:val="14"/>
          <w:sz w:val="24"/>
          <w:szCs w:val="24"/>
          <w:highlight w:val="none"/>
        </w:rPr>
      </w:pPr>
      <w:r>
        <w:rPr>
          <w:rFonts w:hint="eastAsia" w:ascii="宋体" w:hAnsi="宋体" w:cs="宋体"/>
          <w:spacing w:val="14"/>
          <w:sz w:val="24"/>
          <w:szCs w:val="24"/>
          <w:highlight w:val="none"/>
        </w:rPr>
        <w:t>1.持续经营2年（含）以上。</w:t>
      </w:r>
    </w:p>
    <w:p>
      <w:pPr>
        <w:pStyle w:val="52"/>
        <w:spacing w:line="360" w:lineRule="auto"/>
        <w:jc w:val="left"/>
        <w:rPr>
          <w:rFonts w:ascii="宋体" w:hAnsi="宋体" w:cs="宋体"/>
          <w:spacing w:val="14"/>
          <w:sz w:val="24"/>
          <w:szCs w:val="24"/>
          <w:highlight w:val="none"/>
        </w:rPr>
      </w:pPr>
      <w:r>
        <w:rPr>
          <w:rFonts w:hint="eastAsia" w:ascii="宋体" w:hAnsi="宋体" w:cs="宋体"/>
          <w:spacing w:val="14"/>
          <w:sz w:val="24"/>
          <w:szCs w:val="24"/>
          <w:highlight w:val="none"/>
        </w:rPr>
        <w:t>2.客户持有政府采购中标通知书（或以往年度有执行政府采购的记录），且政府采购业务无行政处罚记录。</w:t>
      </w:r>
      <w:r>
        <w:rPr>
          <w:rFonts w:hint="eastAsia" w:ascii="宋体" w:hAnsi="宋体" w:cs="宋体"/>
          <w:spacing w:val="14"/>
          <w:sz w:val="24"/>
          <w:szCs w:val="24"/>
          <w:highlight w:val="none"/>
        </w:rPr>
        <w:cr/>
      </w:r>
      <w:r>
        <w:rPr>
          <w:rFonts w:hint="eastAsia" w:ascii="宋体" w:hAnsi="宋体" w:cs="宋体"/>
          <w:spacing w:val="14"/>
          <w:sz w:val="24"/>
          <w:szCs w:val="24"/>
          <w:highlight w:val="none"/>
        </w:rPr>
        <w:t xml:space="preserve">3.最近年度纳税申报收入不低于200万元。   </w:t>
      </w:r>
    </w:p>
    <w:p>
      <w:pPr>
        <w:pStyle w:val="52"/>
        <w:spacing w:line="360" w:lineRule="auto"/>
        <w:jc w:val="left"/>
        <w:rPr>
          <w:rFonts w:ascii="宋体" w:hAnsi="宋体" w:cs="宋体"/>
          <w:spacing w:val="14"/>
          <w:sz w:val="24"/>
          <w:szCs w:val="24"/>
          <w:highlight w:val="none"/>
        </w:rPr>
      </w:pPr>
      <w:r>
        <w:rPr>
          <w:rFonts w:hint="eastAsia" w:ascii="宋体" w:hAnsi="宋体" w:cs="宋体"/>
          <w:spacing w:val="14"/>
          <w:sz w:val="24"/>
          <w:szCs w:val="24"/>
          <w:highlight w:val="none"/>
        </w:rPr>
        <w:t>4.借款人及其法人代表、实际控制人信用良好。</w:t>
      </w:r>
    </w:p>
    <w:p>
      <w:pPr>
        <w:pStyle w:val="52"/>
        <w:spacing w:line="360" w:lineRule="auto"/>
        <w:jc w:val="left"/>
        <w:rPr>
          <w:rFonts w:ascii="宋体" w:hAnsi="宋体" w:cs="宋体"/>
          <w:spacing w:val="14"/>
          <w:sz w:val="24"/>
          <w:szCs w:val="24"/>
          <w:highlight w:val="none"/>
        </w:rPr>
      </w:pPr>
      <w:r>
        <w:rPr>
          <w:rFonts w:hint="eastAsia" w:ascii="宋体" w:hAnsi="宋体" w:cs="宋体"/>
          <w:spacing w:val="14"/>
          <w:sz w:val="24"/>
          <w:szCs w:val="24"/>
          <w:highlight w:val="none"/>
        </w:rPr>
        <w:t>5、单一客户“政采贷”授信总量最高金额不超过1000万元</w:t>
      </w:r>
    </w:p>
    <w:p>
      <w:pPr>
        <w:pStyle w:val="52"/>
        <w:spacing w:line="360" w:lineRule="auto"/>
        <w:jc w:val="left"/>
        <w:rPr>
          <w:rFonts w:ascii="宋体" w:hAnsi="宋体" w:cs="宋体"/>
          <w:spacing w:val="14"/>
          <w:sz w:val="24"/>
          <w:szCs w:val="24"/>
          <w:highlight w:val="none"/>
        </w:rPr>
      </w:pPr>
      <w:r>
        <w:rPr>
          <w:rFonts w:hint="eastAsia" w:ascii="宋体" w:hAnsi="宋体" w:cs="宋体"/>
          <w:spacing w:val="14"/>
          <w:sz w:val="24"/>
          <w:szCs w:val="24"/>
          <w:highlight w:val="none"/>
        </w:rPr>
        <w:t>6、单笔贷款期限不超过一年。</w:t>
      </w:r>
    </w:p>
    <w:p>
      <w:pPr>
        <w:pStyle w:val="52"/>
        <w:spacing w:line="360" w:lineRule="auto"/>
        <w:jc w:val="left"/>
        <w:rPr>
          <w:rFonts w:ascii="宋体" w:hAnsi="宋体" w:cs="宋体"/>
          <w:spacing w:val="14"/>
          <w:sz w:val="24"/>
          <w:szCs w:val="24"/>
          <w:highlight w:val="none"/>
        </w:rPr>
      </w:pPr>
      <w:r>
        <w:rPr>
          <w:rFonts w:hint="eastAsia" w:ascii="宋体" w:hAnsi="宋体" w:cs="宋体"/>
          <w:spacing w:val="14"/>
          <w:sz w:val="24"/>
          <w:szCs w:val="24"/>
          <w:highlight w:val="none"/>
        </w:rPr>
        <w:t>7、根据借款人生产经营及回款周期等特点，可采用按季付息，到期一次还本的还款方式，或分期偿还我行授信。</w:t>
      </w:r>
    </w:p>
    <w:p>
      <w:pPr>
        <w:pStyle w:val="52"/>
        <w:spacing w:line="360" w:lineRule="auto"/>
        <w:jc w:val="left"/>
        <w:rPr>
          <w:rFonts w:ascii="宋体" w:hAnsi="宋体" w:cs="宋体"/>
          <w:spacing w:val="14"/>
          <w:sz w:val="24"/>
          <w:szCs w:val="24"/>
          <w:highlight w:val="none"/>
        </w:rPr>
      </w:pPr>
      <w:r>
        <w:rPr>
          <w:rFonts w:hint="eastAsia" w:ascii="宋体" w:hAnsi="宋体" w:cs="宋体"/>
          <w:spacing w:val="14"/>
          <w:sz w:val="24"/>
          <w:szCs w:val="24"/>
          <w:highlight w:val="none"/>
        </w:rPr>
        <w:t>中国银行联系人：</w:t>
      </w:r>
    </w:p>
    <w:p>
      <w:pPr>
        <w:pStyle w:val="52"/>
        <w:spacing w:line="360" w:lineRule="auto"/>
        <w:jc w:val="left"/>
        <w:rPr>
          <w:rFonts w:ascii="宋体" w:hAnsi="宋体" w:cs="宋体"/>
          <w:spacing w:val="14"/>
          <w:sz w:val="24"/>
          <w:szCs w:val="24"/>
          <w:highlight w:val="none"/>
        </w:rPr>
      </w:pPr>
      <w:r>
        <w:rPr>
          <w:rFonts w:hint="eastAsia" w:ascii="宋体" w:hAnsi="宋体" w:cs="宋体"/>
          <w:spacing w:val="14"/>
          <w:sz w:val="24"/>
          <w:szCs w:val="24"/>
          <w:highlight w:val="none"/>
        </w:rPr>
        <w:t>负责人：朱宗沛  15978695077</w:t>
      </w:r>
    </w:p>
    <w:p>
      <w:pPr>
        <w:pStyle w:val="52"/>
        <w:spacing w:line="360" w:lineRule="auto"/>
        <w:jc w:val="left"/>
        <w:rPr>
          <w:rFonts w:ascii="宋体" w:hAnsi="宋体" w:cs="宋体"/>
          <w:spacing w:val="14"/>
          <w:sz w:val="24"/>
          <w:szCs w:val="24"/>
          <w:highlight w:val="none"/>
        </w:rPr>
      </w:pPr>
      <w:r>
        <w:rPr>
          <w:rFonts w:hint="eastAsia" w:ascii="宋体" w:hAnsi="宋体" w:cs="宋体"/>
          <w:spacing w:val="14"/>
          <w:sz w:val="24"/>
          <w:szCs w:val="24"/>
          <w:highlight w:val="none"/>
        </w:rPr>
        <w:t>信贷经理：印晨  15038659275</w:t>
      </w:r>
    </w:p>
    <w:p>
      <w:pPr>
        <w:pStyle w:val="53"/>
        <w:shd w:val="clear" w:color="FFFFFF" w:fill="FFFFFF"/>
        <w:spacing w:line="360" w:lineRule="auto"/>
        <w:ind w:firstLine="0"/>
        <w:jc w:val="center"/>
        <w:rPr>
          <w:color w:val="000000"/>
          <w:sz w:val="24"/>
          <w:szCs w:val="24"/>
          <w:highlight w:val="none"/>
        </w:rPr>
      </w:pPr>
    </w:p>
    <w:p>
      <w:pPr>
        <w:pStyle w:val="52"/>
        <w:spacing w:line="360" w:lineRule="auto"/>
        <w:jc w:val="center"/>
        <w:rPr>
          <w:rFonts w:ascii="宋体" w:hAnsi="宋体" w:cs="宋体"/>
          <w:b/>
          <w:bCs/>
          <w:color w:val="0000FF"/>
          <w:sz w:val="24"/>
          <w:szCs w:val="24"/>
          <w:highlight w:val="none"/>
        </w:rPr>
      </w:pPr>
      <w:r>
        <w:rPr>
          <w:rFonts w:hint="eastAsia" w:ascii="宋体" w:hAnsi="宋体" w:cs="宋体"/>
          <w:b/>
          <w:bCs/>
          <w:color w:val="0000FF"/>
          <w:sz w:val="24"/>
          <w:szCs w:val="24"/>
          <w:highlight w:val="none"/>
        </w:rPr>
        <w:t>平顶山银行洛阳分行</w:t>
      </w:r>
    </w:p>
    <w:p>
      <w:pPr>
        <w:pStyle w:val="52"/>
        <w:spacing w:line="360" w:lineRule="auto"/>
        <w:jc w:val="center"/>
        <w:rPr>
          <w:rFonts w:ascii="宋体" w:hAnsi="宋体" w:cs="宋体"/>
          <w:color w:val="0000FF"/>
          <w:sz w:val="24"/>
          <w:szCs w:val="24"/>
          <w:highlight w:val="none"/>
        </w:rPr>
      </w:pPr>
      <w:r>
        <w:rPr>
          <w:rFonts w:hint="eastAsia" w:ascii="宋体" w:hAnsi="宋体" w:cs="宋体"/>
          <w:b/>
          <w:bCs/>
          <w:color w:val="0000FF"/>
          <w:sz w:val="24"/>
          <w:szCs w:val="24"/>
          <w:highlight w:val="none"/>
        </w:rPr>
        <w:t>政府采购融资联系方式及产品介绍</w:t>
      </w:r>
    </w:p>
    <w:p>
      <w:pPr>
        <w:pStyle w:val="52"/>
        <w:spacing w:line="360" w:lineRule="auto"/>
        <w:jc w:val="left"/>
        <w:rPr>
          <w:rFonts w:ascii="宋体" w:hAnsi="宋体" w:cs="宋体"/>
          <w:spacing w:val="14"/>
          <w:sz w:val="24"/>
          <w:szCs w:val="24"/>
          <w:highlight w:val="none"/>
        </w:rPr>
      </w:pPr>
      <w:r>
        <w:rPr>
          <w:rFonts w:hint="eastAsia" w:ascii="宋体" w:hAnsi="宋体" w:cs="宋体"/>
          <w:spacing w:val="14"/>
          <w:sz w:val="24"/>
          <w:szCs w:val="24"/>
          <w:highlight w:val="none"/>
        </w:rPr>
        <w:t>一、联系方式</w:t>
      </w:r>
    </w:p>
    <w:p>
      <w:pPr>
        <w:pStyle w:val="52"/>
        <w:spacing w:line="360" w:lineRule="auto"/>
        <w:jc w:val="left"/>
        <w:rPr>
          <w:rFonts w:ascii="宋体" w:hAnsi="宋体" w:cs="宋体"/>
          <w:spacing w:val="14"/>
          <w:sz w:val="24"/>
          <w:szCs w:val="24"/>
          <w:highlight w:val="none"/>
        </w:rPr>
      </w:pPr>
      <w:r>
        <w:rPr>
          <w:rFonts w:hint="eastAsia" w:ascii="宋体" w:hAnsi="宋体" w:cs="宋体"/>
          <w:spacing w:val="14"/>
          <w:sz w:val="24"/>
          <w:szCs w:val="24"/>
          <w:highlight w:val="none"/>
        </w:rPr>
        <w:t>机构名称：平顶山银行洛阳分行</w:t>
      </w:r>
    </w:p>
    <w:p>
      <w:pPr>
        <w:pStyle w:val="52"/>
        <w:spacing w:line="360" w:lineRule="auto"/>
        <w:jc w:val="left"/>
        <w:rPr>
          <w:rFonts w:ascii="宋体" w:hAnsi="宋体" w:cs="宋体"/>
          <w:spacing w:val="14"/>
          <w:sz w:val="24"/>
          <w:szCs w:val="24"/>
          <w:highlight w:val="none"/>
        </w:rPr>
      </w:pPr>
      <w:r>
        <w:rPr>
          <w:rFonts w:hint="eastAsia" w:ascii="宋体" w:hAnsi="宋体" w:cs="宋体"/>
          <w:spacing w:val="14"/>
          <w:sz w:val="24"/>
          <w:szCs w:val="24"/>
          <w:highlight w:val="none"/>
        </w:rPr>
        <w:t>联系人：刘亚兴</w:t>
      </w:r>
    </w:p>
    <w:p>
      <w:pPr>
        <w:pStyle w:val="52"/>
        <w:spacing w:line="360" w:lineRule="auto"/>
        <w:jc w:val="left"/>
        <w:rPr>
          <w:rFonts w:ascii="宋体" w:hAnsi="宋体" w:cs="宋体"/>
          <w:spacing w:val="14"/>
          <w:sz w:val="24"/>
          <w:szCs w:val="24"/>
          <w:highlight w:val="none"/>
        </w:rPr>
      </w:pPr>
      <w:r>
        <w:rPr>
          <w:rFonts w:hint="eastAsia" w:ascii="宋体" w:hAnsi="宋体" w:cs="宋体"/>
          <w:spacing w:val="14"/>
          <w:sz w:val="24"/>
          <w:szCs w:val="24"/>
          <w:highlight w:val="none"/>
        </w:rPr>
        <w:t>联系电话：13837937717（微信同号）</w:t>
      </w:r>
    </w:p>
    <w:p>
      <w:pPr>
        <w:pStyle w:val="52"/>
        <w:spacing w:line="360" w:lineRule="auto"/>
        <w:jc w:val="left"/>
        <w:rPr>
          <w:rFonts w:ascii="宋体" w:hAnsi="宋体" w:cs="宋体"/>
          <w:spacing w:val="14"/>
          <w:sz w:val="24"/>
          <w:szCs w:val="24"/>
          <w:highlight w:val="none"/>
        </w:rPr>
      </w:pPr>
      <w:r>
        <w:rPr>
          <w:rFonts w:hint="eastAsia" w:ascii="宋体" w:hAnsi="宋体" w:cs="宋体"/>
          <w:spacing w:val="14"/>
          <w:sz w:val="24"/>
          <w:szCs w:val="24"/>
          <w:highlight w:val="none"/>
        </w:rPr>
        <w:t>二、产品介绍</w:t>
      </w:r>
    </w:p>
    <w:p>
      <w:pPr>
        <w:pStyle w:val="52"/>
        <w:spacing w:line="360" w:lineRule="auto"/>
        <w:jc w:val="left"/>
        <w:rPr>
          <w:rFonts w:ascii="宋体" w:hAnsi="宋体" w:cs="宋体"/>
          <w:spacing w:val="14"/>
          <w:sz w:val="24"/>
          <w:szCs w:val="24"/>
          <w:highlight w:val="none"/>
        </w:rPr>
      </w:pPr>
      <w:r>
        <w:rPr>
          <w:rFonts w:hint="eastAsia" w:ascii="宋体" w:hAnsi="宋体" w:cs="宋体"/>
          <w:spacing w:val="14"/>
          <w:sz w:val="24"/>
          <w:szCs w:val="24"/>
          <w:highlight w:val="none"/>
        </w:rPr>
        <w:t>“银政易贷”是指平顶山银行针对中标政府采购合同的企业实际控制人发放的，专项用于履行政府采购合同的个人贷款业务。</w:t>
      </w:r>
    </w:p>
    <w:p>
      <w:pPr>
        <w:pStyle w:val="52"/>
        <w:spacing w:line="360" w:lineRule="auto"/>
        <w:jc w:val="left"/>
        <w:rPr>
          <w:rFonts w:ascii="宋体" w:hAnsi="宋体" w:cs="宋体"/>
          <w:spacing w:val="14"/>
          <w:sz w:val="24"/>
          <w:szCs w:val="24"/>
          <w:highlight w:val="none"/>
        </w:rPr>
      </w:pPr>
      <w:r>
        <w:rPr>
          <w:rFonts w:hint="eastAsia" w:ascii="宋体" w:hAnsi="宋体" w:cs="宋体"/>
          <w:spacing w:val="14"/>
          <w:sz w:val="24"/>
          <w:szCs w:val="24"/>
          <w:highlight w:val="none"/>
        </w:rPr>
        <w:t>1、目标客户：中标优质县区或区级（含）以上政府采购合同的企业实际控制人</w:t>
      </w:r>
    </w:p>
    <w:p>
      <w:pPr>
        <w:pStyle w:val="52"/>
        <w:spacing w:line="360" w:lineRule="auto"/>
        <w:jc w:val="left"/>
        <w:rPr>
          <w:rFonts w:ascii="宋体" w:hAnsi="宋体" w:cs="宋体"/>
          <w:spacing w:val="14"/>
          <w:sz w:val="24"/>
          <w:szCs w:val="24"/>
          <w:highlight w:val="none"/>
        </w:rPr>
      </w:pPr>
      <w:r>
        <w:rPr>
          <w:rFonts w:hint="eastAsia" w:ascii="宋体" w:hAnsi="宋体" w:cs="宋体"/>
          <w:spacing w:val="14"/>
          <w:sz w:val="24"/>
          <w:szCs w:val="24"/>
          <w:highlight w:val="none"/>
        </w:rPr>
        <w:t>2、采购合同项目：包括货物类，服务类和工程类等</w:t>
      </w:r>
      <w:r>
        <w:rPr>
          <w:rFonts w:hint="eastAsia" w:ascii="宋体" w:hAnsi="宋体" w:cs="宋体"/>
          <w:spacing w:val="14"/>
          <w:sz w:val="24"/>
          <w:szCs w:val="24"/>
          <w:highlight w:val="none"/>
        </w:rPr>
        <w:br w:type="textWrapping"/>
      </w:r>
      <w:r>
        <w:rPr>
          <w:rFonts w:hint="eastAsia" w:ascii="宋体" w:hAnsi="宋体" w:cs="宋体"/>
          <w:spacing w:val="14"/>
          <w:sz w:val="24"/>
          <w:szCs w:val="24"/>
          <w:highlight w:val="none"/>
        </w:rPr>
        <w:t xml:space="preserve">3、贷款额度：最高500万元（含）    </w:t>
      </w:r>
    </w:p>
    <w:p>
      <w:pPr>
        <w:pStyle w:val="52"/>
        <w:spacing w:line="360" w:lineRule="auto"/>
        <w:jc w:val="left"/>
        <w:rPr>
          <w:rFonts w:ascii="宋体" w:hAnsi="宋体" w:cs="宋体"/>
          <w:spacing w:val="14"/>
          <w:sz w:val="24"/>
          <w:szCs w:val="24"/>
          <w:highlight w:val="none"/>
        </w:rPr>
      </w:pPr>
      <w:r>
        <w:rPr>
          <w:rFonts w:hint="eastAsia" w:ascii="宋体" w:hAnsi="宋体" w:cs="宋体"/>
          <w:spacing w:val="14"/>
          <w:sz w:val="24"/>
          <w:szCs w:val="24"/>
          <w:highlight w:val="none"/>
        </w:rPr>
        <w:t>4、借款期限：不超过2年（参考中标合同约定付款期限）</w:t>
      </w:r>
    </w:p>
    <w:p>
      <w:pPr>
        <w:pStyle w:val="52"/>
        <w:spacing w:line="360" w:lineRule="auto"/>
        <w:jc w:val="left"/>
        <w:rPr>
          <w:rFonts w:ascii="宋体" w:hAnsi="宋体" w:cs="宋体"/>
          <w:spacing w:val="14"/>
          <w:sz w:val="24"/>
          <w:szCs w:val="24"/>
          <w:highlight w:val="none"/>
        </w:rPr>
      </w:pPr>
      <w:r>
        <w:rPr>
          <w:rFonts w:hint="eastAsia" w:ascii="宋体" w:hAnsi="宋体" w:cs="宋体"/>
          <w:spacing w:val="14"/>
          <w:sz w:val="24"/>
          <w:szCs w:val="24"/>
          <w:highlight w:val="none"/>
        </w:rPr>
        <w:t>5、贷款利率：综合年利率不低于7%</w:t>
      </w:r>
    </w:p>
    <w:p>
      <w:pPr>
        <w:pStyle w:val="52"/>
        <w:spacing w:line="360" w:lineRule="auto"/>
        <w:jc w:val="left"/>
        <w:rPr>
          <w:rFonts w:ascii="宋体" w:hAnsi="宋体" w:cs="宋体"/>
          <w:spacing w:val="14"/>
          <w:sz w:val="24"/>
          <w:szCs w:val="24"/>
          <w:highlight w:val="none"/>
        </w:rPr>
      </w:pPr>
      <w:r>
        <w:rPr>
          <w:rFonts w:hint="eastAsia" w:ascii="宋体" w:hAnsi="宋体" w:cs="宋体"/>
          <w:spacing w:val="14"/>
          <w:sz w:val="24"/>
          <w:szCs w:val="24"/>
          <w:highlight w:val="none"/>
        </w:rPr>
        <w:t>6、还款方式：按月付息，到期一次性还本或根据客户实际经营情况不规则还款</w:t>
      </w:r>
    </w:p>
    <w:p>
      <w:pPr>
        <w:pStyle w:val="52"/>
        <w:spacing w:line="360" w:lineRule="auto"/>
        <w:jc w:val="center"/>
        <w:rPr>
          <w:rFonts w:ascii="宋体" w:hAnsi="宋体" w:cs="宋体"/>
          <w:b/>
          <w:bCs/>
          <w:color w:val="0000FF"/>
          <w:sz w:val="24"/>
          <w:szCs w:val="24"/>
          <w:highlight w:val="none"/>
        </w:rPr>
      </w:pPr>
      <w:r>
        <w:rPr>
          <w:rFonts w:hint="eastAsia" w:ascii="宋体" w:hAnsi="宋体" w:cs="宋体"/>
          <w:b/>
          <w:bCs/>
          <w:color w:val="0000FF"/>
          <w:sz w:val="24"/>
          <w:szCs w:val="24"/>
          <w:highlight w:val="none"/>
        </w:rPr>
        <w:t>恒丰银行政府采购融资贷联系方式</w:t>
      </w:r>
    </w:p>
    <w:p>
      <w:pPr>
        <w:pStyle w:val="52"/>
        <w:spacing w:line="360" w:lineRule="auto"/>
        <w:jc w:val="center"/>
        <w:rPr>
          <w:rFonts w:ascii="宋体" w:hAnsi="宋体" w:cs="宋体"/>
          <w:b/>
          <w:bCs/>
          <w:color w:val="0000FF"/>
          <w:sz w:val="24"/>
          <w:szCs w:val="24"/>
          <w:highlight w:val="none"/>
        </w:rPr>
      </w:pPr>
      <w:r>
        <w:rPr>
          <w:rFonts w:hint="eastAsia" w:ascii="宋体" w:hAnsi="宋体" w:cs="宋体"/>
          <w:b/>
          <w:bCs/>
          <w:color w:val="0000FF"/>
          <w:sz w:val="24"/>
          <w:szCs w:val="24"/>
          <w:highlight w:val="none"/>
        </w:rPr>
        <w:t>及融资产品介绍</w:t>
      </w:r>
    </w:p>
    <w:p>
      <w:pPr>
        <w:pStyle w:val="52"/>
        <w:spacing w:line="360" w:lineRule="auto"/>
        <w:jc w:val="left"/>
        <w:rPr>
          <w:rFonts w:ascii="宋体" w:hAnsi="宋体" w:cs="宋体"/>
          <w:spacing w:val="14"/>
          <w:sz w:val="24"/>
          <w:szCs w:val="24"/>
          <w:highlight w:val="none"/>
        </w:rPr>
      </w:pPr>
      <w:r>
        <w:rPr>
          <w:rFonts w:hint="eastAsia" w:ascii="宋体" w:hAnsi="宋体" w:cs="宋体"/>
          <w:spacing w:val="14"/>
          <w:sz w:val="24"/>
          <w:szCs w:val="24"/>
          <w:highlight w:val="none"/>
        </w:rPr>
        <w:t>一、联系方式</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4"/>
        <w:gridCol w:w="1704"/>
        <w:gridCol w:w="1896"/>
        <w:gridCol w:w="2114"/>
        <w:gridCol w:w="11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vAlign w:val="center"/>
          </w:tcPr>
          <w:p>
            <w:pPr>
              <w:pStyle w:val="52"/>
              <w:spacing w:line="360" w:lineRule="auto"/>
              <w:jc w:val="left"/>
              <w:rPr>
                <w:rFonts w:ascii="宋体" w:hAnsi="宋体" w:cs="宋体"/>
                <w:spacing w:val="14"/>
                <w:sz w:val="24"/>
                <w:szCs w:val="24"/>
                <w:highlight w:val="none"/>
              </w:rPr>
            </w:pPr>
            <w:r>
              <w:rPr>
                <w:rFonts w:hint="eastAsia" w:ascii="宋体" w:hAnsi="宋体" w:cs="宋体"/>
                <w:spacing w:val="14"/>
                <w:sz w:val="24"/>
                <w:szCs w:val="24"/>
                <w:highlight w:val="none"/>
              </w:rPr>
              <w:t>联系人</w:t>
            </w:r>
          </w:p>
        </w:tc>
        <w:tc>
          <w:tcPr>
            <w:tcW w:w="1704" w:type="dxa"/>
            <w:vAlign w:val="center"/>
          </w:tcPr>
          <w:p>
            <w:pPr>
              <w:pStyle w:val="52"/>
              <w:spacing w:line="360" w:lineRule="auto"/>
              <w:jc w:val="left"/>
              <w:rPr>
                <w:rFonts w:ascii="宋体" w:hAnsi="宋体" w:cs="宋体"/>
                <w:spacing w:val="14"/>
                <w:sz w:val="24"/>
                <w:szCs w:val="24"/>
                <w:highlight w:val="none"/>
              </w:rPr>
            </w:pPr>
            <w:r>
              <w:rPr>
                <w:rFonts w:hint="eastAsia" w:ascii="宋体" w:hAnsi="宋体" w:cs="宋体"/>
                <w:spacing w:val="14"/>
                <w:sz w:val="24"/>
                <w:szCs w:val="24"/>
                <w:highlight w:val="none"/>
              </w:rPr>
              <w:t>职务</w:t>
            </w:r>
          </w:p>
        </w:tc>
        <w:tc>
          <w:tcPr>
            <w:tcW w:w="1896" w:type="dxa"/>
            <w:vAlign w:val="center"/>
          </w:tcPr>
          <w:p>
            <w:pPr>
              <w:pStyle w:val="52"/>
              <w:spacing w:line="360" w:lineRule="auto"/>
              <w:jc w:val="left"/>
              <w:rPr>
                <w:rFonts w:ascii="宋体" w:hAnsi="宋体" w:cs="宋体"/>
                <w:spacing w:val="14"/>
                <w:sz w:val="24"/>
                <w:szCs w:val="24"/>
                <w:highlight w:val="none"/>
              </w:rPr>
            </w:pPr>
            <w:r>
              <w:rPr>
                <w:rFonts w:hint="eastAsia" w:ascii="宋体" w:hAnsi="宋体" w:cs="宋体"/>
                <w:spacing w:val="14"/>
                <w:sz w:val="24"/>
                <w:szCs w:val="24"/>
                <w:highlight w:val="none"/>
              </w:rPr>
              <w:t>地址</w:t>
            </w:r>
          </w:p>
        </w:tc>
        <w:tc>
          <w:tcPr>
            <w:tcW w:w="2114" w:type="dxa"/>
            <w:vAlign w:val="center"/>
          </w:tcPr>
          <w:p>
            <w:pPr>
              <w:pStyle w:val="52"/>
              <w:spacing w:line="360" w:lineRule="auto"/>
              <w:jc w:val="left"/>
              <w:rPr>
                <w:rFonts w:ascii="宋体" w:hAnsi="宋体" w:cs="宋体"/>
                <w:spacing w:val="14"/>
                <w:sz w:val="24"/>
                <w:szCs w:val="24"/>
                <w:highlight w:val="none"/>
              </w:rPr>
            </w:pPr>
            <w:r>
              <w:rPr>
                <w:rFonts w:hint="eastAsia" w:ascii="宋体" w:hAnsi="宋体" w:cs="宋体"/>
                <w:spacing w:val="14"/>
                <w:sz w:val="24"/>
                <w:szCs w:val="24"/>
                <w:highlight w:val="none"/>
              </w:rPr>
              <w:t>电话</w:t>
            </w:r>
          </w:p>
        </w:tc>
        <w:tc>
          <w:tcPr>
            <w:tcW w:w="1104" w:type="dxa"/>
            <w:vAlign w:val="center"/>
          </w:tcPr>
          <w:p>
            <w:pPr>
              <w:pStyle w:val="52"/>
              <w:spacing w:line="360" w:lineRule="auto"/>
              <w:jc w:val="left"/>
              <w:rPr>
                <w:rFonts w:ascii="宋体" w:hAnsi="宋体" w:cs="宋体"/>
                <w:spacing w:val="14"/>
                <w:sz w:val="24"/>
                <w:szCs w:val="24"/>
                <w:highlight w:val="none"/>
              </w:rPr>
            </w:pPr>
            <w:r>
              <w:rPr>
                <w:rFonts w:hint="eastAsia" w:ascii="宋体" w:hAnsi="宋体" w:cs="宋体"/>
                <w:spacing w:val="14"/>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vAlign w:val="center"/>
          </w:tcPr>
          <w:p>
            <w:pPr>
              <w:pStyle w:val="52"/>
              <w:spacing w:line="360" w:lineRule="auto"/>
              <w:jc w:val="left"/>
              <w:rPr>
                <w:rFonts w:ascii="宋体" w:hAnsi="宋体" w:cs="宋体"/>
                <w:spacing w:val="14"/>
                <w:sz w:val="24"/>
                <w:szCs w:val="24"/>
                <w:highlight w:val="none"/>
              </w:rPr>
            </w:pPr>
            <w:r>
              <w:rPr>
                <w:rFonts w:hint="eastAsia" w:ascii="宋体" w:hAnsi="宋体" w:cs="宋体"/>
                <w:spacing w:val="14"/>
                <w:sz w:val="24"/>
                <w:szCs w:val="24"/>
                <w:highlight w:val="none"/>
              </w:rPr>
              <w:t>张龙妹</w:t>
            </w:r>
          </w:p>
        </w:tc>
        <w:tc>
          <w:tcPr>
            <w:tcW w:w="1704" w:type="dxa"/>
            <w:vAlign w:val="center"/>
          </w:tcPr>
          <w:p>
            <w:pPr>
              <w:pStyle w:val="52"/>
              <w:spacing w:line="360" w:lineRule="auto"/>
              <w:jc w:val="left"/>
              <w:rPr>
                <w:rFonts w:ascii="宋体" w:hAnsi="宋体" w:cs="宋体"/>
                <w:spacing w:val="14"/>
                <w:sz w:val="24"/>
                <w:szCs w:val="24"/>
                <w:highlight w:val="none"/>
              </w:rPr>
            </w:pPr>
            <w:r>
              <w:rPr>
                <w:rFonts w:hint="eastAsia" w:ascii="宋体" w:hAnsi="宋体" w:cs="宋体"/>
                <w:spacing w:val="14"/>
                <w:sz w:val="24"/>
                <w:szCs w:val="24"/>
                <w:highlight w:val="none"/>
              </w:rPr>
              <w:t>客户经理</w:t>
            </w:r>
          </w:p>
        </w:tc>
        <w:tc>
          <w:tcPr>
            <w:tcW w:w="1896" w:type="dxa"/>
            <w:vMerge w:val="restart"/>
            <w:vAlign w:val="center"/>
          </w:tcPr>
          <w:p>
            <w:pPr>
              <w:pStyle w:val="52"/>
              <w:spacing w:line="360" w:lineRule="auto"/>
              <w:jc w:val="left"/>
              <w:rPr>
                <w:rFonts w:ascii="宋体" w:hAnsi="宋体" w:cs="宋体"/>
                <w:spacing w:val="14"/>
                <w:sz w:val="24"/>
                <w:szCs w:val="24"/>
                <w:highlight w:val="none"/>
              </w:rPr>
            </w:pPr>
            <w:r>
              <w:rPr>
                <w:rFonts w:hint="eastAsia" w:ascii="宋体" w:hAnsi="宋体" w:cs="宋体"/>
                <w:spacing w:val="14"/>
                <w:sz w:val="24"/>
                <w:szCs w:val="24"/>
                <w:highlight w:val="none"/>
              </w:rPr>
              <w:t>洛龙区展览路泉舜186西侧裙楼</w:t>
            </w:r>
          </w:p>
        </w:tc>
        <w:tc>
          <w:tcPr>
            <w:tcW w:w="2114" w:type="dxa"/>
            <w:vAlign w:val="center"/>
          </w:tcPr>
          <w:p>
            <w:pPr>
              <w:pStyle w:val="52"/>
              <w:spacing w:line="360" w:lineRule="auto"/>
              <w:jc w:val="left"/>
              <w:rPr>
                <w:rFonts w:ascii="宋体" w:hAnsi="宋体" w:cs="宋体"/>
                <w:spacing w:val="14"/>
                <w:sz w:val="24"/>
                <w:szCs w:val="24"/>
                <w:highlight w:val="none"/>
              </w:rPr>
            </w:pPr>
            <w:r>
              <w:rPr>
                <w:rFonts w:hint="eastAsia" w:ascii="宋体" w:hAnsi="宋体" w:cs="宋体"/>
                <w:spacing w:val="14"/>
                <w:sz w:val="24"/>
                <w:szCs w:val="24"/>
                <w:highlight w:val="none"/>
              </w:rPr>
              <w:t>18538882575</w:t>
            </w:r>
          </w:p>
        </w:tc>
        <w:tc>
          <w:tcPr>
            <w:tcW w:w="1104" w:type="dxa"/>
            <w:vAlign w:val="center"/>
          </w:tcPr>
          <w:p>
            <w:pPr>
              <w:pStyle w:val="52"/>
              <w:spacing w:line="360" w:lineRule="auto"/>
              <w:jc w:val="left"/>
              <w:rPr>
                <w:rFonts w:ascii="宋体" w:hAnsi="宋体" w:cs="宋体"/>
                <w:spacing w:val="14"/>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vAlign w:val="center"/>
          </w:tcPr>
          <w:p>
            <w:pPr>
              <w:pStyle w:val="52"/>
              <w:spacing w:line="360" w:lineRule="auto"/>
              <w:jc w:val="left"/>
              <w:rPr>
                <w:rFonts w:ascii="宋体" w:hAnsi="宋体" w:cs="宋体"/>
                <w:spacing w:val="14"/>
                <w:sz w:val="24"/>
                <w:szCs w:val="24"/>
                <w:highlight w:val="none"/>
              </w:rPr>
            </w:pPr>
            <w:r>
              <w:rPr>
                <w:rFonts w:hint="eastAsia" w:ascii="宋体" w:hAnsi="宋体" w:cs="宋体"/>
                <w:spacing w:val="14"/>
                <w:sz w:val="24"/>
                <w:szCs w:val="24"/>
                <w:highlight w:val="none"/>
              </w:rPr>
              <w:t>张  浩</w:t>
            </w:r>
          </w:p>
        </w:tc>
        <w:tc>
          <w:tcPr>
            <w:tcW w:w="1704" w:type="dxa"/>
            <w:vAlign w:val="center"/>
          </w:tcPr>
          <w:p>
            <w:pPr>
              <w:pStyle w:val="52"/>
              <w:spacing w:line="360" w:lineRule="auto"/>
              <w:jc w:val="left"/>
              <w:rPr>
                <w:rFonts w:ascii="宋体" w:hAnsi="宋体" w:cs="宋体"/>
                <w:spacing w:val="14"/>
                <w:sz w:val="24"/>
                <w:szCs w:val="24"/>
                <w:highlight w:val="none"/>
              </w:rPr>
            </w:pPr>
            <w:r>
              <w:rPr>
                <w:rFonts w:hint="eastAsia" w:ascii="宋体" w:hAnsi="宋体" w:cs="宋体"/>
                <w:spacing w:val="14"/>
                <w:sz w:val="24"/>
                <w:szCs w:val="24"/>
                <w:highlight w:val="none"/>
              </w:rPr>
              <w:t>公司金融部负责人</w:t>
            </w:r>
          </w:p>
        </w:tc>
        <w:tc>
          <w:tcPr>
            <w:tcW w:w="1896" w:type="dxa"/>
            <w:vMerge w:val="continue"/>
            <w:vAlign w:val="center"/>
          </w:tcPr>
          <w:p>
            <w:pPr>
              <w:pStyle w:val="52"/>
              <w:spacing w:line="360" w:lineRule="auto"/>
              <w:jc w:val="left"/>
              <w:rPr>
                <w:rFonts w:ascii="宋体" w:hAnsi="宋体" w:cs="宋体"/>
                <w:spacing w:val="14"/>
                <w:sz w:val="24"/>
                <w:szCs w:val="24"/>
                <w:highlight w:val="none"/>
              </w:rPr>
            </w:pPr>
          </w:p>
        </w:tc>
        <w:tc>
          <w:tcPr>
            <w:tcW w:w="2114" w:type="dxa"/>
            <w:vAlign w:val="center"/>
          </w:tcPr>
          <w:p>
            <w:pPr>
              <w:pStyle w:val="52"/>
              <w:spacing w:line="360" w:lineRule="auto"/>
              <w:jc w:val="left"/>
              <w:rPr>
                <w:rFonts w:ascii="宋体" w:hAnsi="宋体" w:cs="宋体"/>
                <w:spacing w:val="14"/>
                <w:sz w:val="24"/>
                <w:szCs w:val="24"/>
                <w:highlight w:val="none"/>
              </w:rPr>
            </w:pPr>
            <w:r>
              <w:rPr>
                <w:rFonts w:hint="eastAsia" w:ascii="宋体" w:hAnsi="宋体" w:cs="宋体"/>
                <w:spacing w:val="14"/>
                <w:sz w:val="24"/>
                <w:szCs w:val="24"/>
                <w:highlight w:val="none"/>
              </w:rPr>
              <w:t>18937966885</w:t>
            </w:r>
          </w:p>
        </w:tc>
        <w:tc>
          <w:tcPr>
            <w:tcW w:w="1104" w:type="dxa"/>
            <w:vAlign w:val="center"/>
          </w:tcPr>
          <w:p>
            <w:pPr>
              <w:pStyle w:val="52"/>
              <w:spacing w:line="360" w:lineRule="auto"/>
              <w:jc w:val="left"/>
              <w:rPr>
                <w:rFonts w:ascii="宋体" w:hAnsi="宋体" w:cs="宋体"/>
                <w:spacing w:val="14"/>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vAlign w:val="center"/>
          </w:tcPr>
          <w:p>
            <w:pPr>
              <w:pStyle w:val="52"/>
              <w:spacing w:line="360" w:lineRule="auto"/>
              <w:jc w:val="left"/>
              <w:rPr>
                <w:rFonts w:ascii="宋体" w:hAnsi="宋体" w:cs="宋体"/>
                <w:spacing w:val="14"/>
                <w:sz w:val="24"/>
                <w:szCs w:val="24"/>
                <w:highlight w:val="none"/>
              </w:rPr>
            </w:pPr>
            <w:r>
              <w:rPr>
                <w:rFonts w:hint="eastAsia" w:ascii="宋体" w:hAnsi="宋体" w:cs="宋体"/>
                <w:spacing w:val="14"/>
                <w:sz w:val="24"/>
                <w:szCs w:val="24"/>
                <w:highlight w:val="none"/>
              </w:rPr>
              <w:t>裴绍辉</w:t>
            </w:r>
          </w:p>
        </w:tc>
        <w:tc>
          <w:tcPr>
            <w:tcW w:w="1704" w:type="dxa"/>
            <w:vAlign w:val="center"/>
          </w:tcPr>
          <w:p>
            <w:pPr>
              <w:pStyle w:val="52"/>
              <w:spacing w:line="360" w:lineRule="auto"/>
              <w:jc w:val="left"/>
              <w:rPr>
                <w:rFonts w:ascii="宋体" w:hAnsi="宋体" w:cs="宋体"/>
                <w:spacing w:val="14"/>
                <w:sz w:val="24"/>
                <w:szCs w:val="24"/>
                <w:highlight w:val="none"/>
              </w:rPr>
            </w:pPr>
            <w:r>
              <w:rPr>
                <w:rFonts w:hint="eastAsia" w:ascii="宋体" w:hAnsi="宋体" w:cs="宋体"/>
                <w:spacing w:val="14"/>
                <w:sz w:val="24"/>
                <w:szCs w:val="24"/>
                <w:highlight w:val="none"/>
              </w:rPr>
              <w:t>分管行长</w:t>
            </w:r>
          </w:p>
        </w:tc>
        <w:tc>
          <w:tcPr>
            <w:tcW w:w="1896" w:type="dxa"/>
            <w:vMerge w:val="continue"/>
            <w:vAlign w:val="center"/>
          </w:tcPr>
          <w:p>
            <w:pPr>
              <w:pStyle w:val="52"/>
              <w:spacing w:line="360" w:lineRule="auto"/>
              <w:jc w:val="left"/>
              <w:rPr>
                <w:rFonts w:ascii="宋体" w:hAnsi="宋体" w:cs="宋体"/>
                <w:spacing w:val="14"/>
                <w:sz w:val="24"/>
                <w:szCs w:val="24"/>
                <w:highlight w:val="none"/>
              </w:rPr>
            </w:pPr>
          </w:p>
        </w:tc>
        <w:tc>
          <w:tcPr>
            <w:tcW w:w="2114" w:type="dxa"/>
            <w:vAlign w:val="center"/>
          </w:tcPr>
          <w:p>
            <w:pPr>
              <w:pStyle w:val="52"/>
              <w:spacing w:line="360" w:lineRule="auto"/>
              <w:jc w:val="left"/>
              <w:rPr>
                <w:rFonts w:ascii="宋体" w:hAnsi="宋体" w:cs="宋体"/>
                <w:spacing w:val="14"/>
                <w:sz w:val="24"/>
                <w:szCs w:val="24"/>
                <w:highlight w:val="none"/>
              </w:rPr>
            </w:pPr>
            <w:r>
              <w:rPr>
                <w:rFonts w:hint="eastAsia" w:ascii="宋体" w:hAnsi="宋体" w:cs="宋体"/>
                <w:spacing w:val="14"/>
                <w:sz w:val="24"/>
                <w:szCs w:val="24"/>
                <w:highlight w:val="none"/>
              </w:rPr>
              <w:t>18637904888</w:t>
            </w:r>
          </w:p>
        </w:tc>
        <w:tc>
          <w:tcPr>
            <w:tcW w:w="1104" w:type="dxa"/>
            <w:vAlign w:val="center"/>
          </w:tcPr>
          <w:p>
            <w:pPr>
              <w:pStyle w:val="52"/>
              <w:spacing w:line="360" w:lineRule="auto"/>
              <w:jc w:val="left"/>
              <w:rPr>
                <w:rFonts w:ascii="宋体" w:hAnsi="宋体" w:cs="宋体"/>
                <w:spacing w:val="14"/>
                <w:sz w:val="24"/>
                <w:szCs w:val="24"/>
                <w:highlight w:val="none"/>
              </w:rPr>
            </w:pPr>
          </w:p>
        </w:tc>
      </w:tr>
    </w:tbl>
    <w:p>
      <w:pPr>
        <w:pStyle w:val="52"/>
        <w:spacing w:line="360" w:lineRule="auto"/>
        <w:jc w:val="left"/>
        <w:rPr>
          <w:rFonts w:ascii="宋体" w:hAnsi="宋体" w:cs="宋体"/>
          <w:spacing w:val="14"/>
          <w:sz w:val="24"/>
          <w:szCs w:val="24"/>
          <w:highlight w:val="none"/>
        </w:rPr>
      </w:pPr>
      <w:r>
        <w:rPr>
          <w:rFonts w:hint="eastAsia" w:ascii="宋体" w:hAnsi="宋体" w:cs="宋体"/>
          <w:spacing w:val="14"/>
          <w:sz w:val="24"/>
          <w:szCs w:val="24"/>
          <w:highlight w:val="none"/>
        </w:rPr>
        <w:t>二、融资产品介绍</w:t>
      </w:r>
    </w:p>
    <w:p>
      <w:pPr>
        <w:pStyle w:val="52"/>
        <w:spacing w:line="360" w:lineRule="auto"/>
        <w:jc w:val="left"/>
        <w:rPr>
          <w:rFonts w:ascii="宋体" w:hAnsi="宋体" w:cs="宋体"/>
          <w:spacing w:val="14"/>
          <w:sz w:val="24"/>
          <w:szCs w:val="24"/>
          <w:highlight w:val="none"/>
        </w:rPr>
      </w:pPr>
      <w:r>
        <w:rPr>
          <w:rFonts w:hint="eastAsia" w:ascii="宋体" w:hAnsi="宋体" w:cs="宋体"/>
          <w:spacing w:val="14"/>
          <w:sz w:val="24"/>
          <w:szCs w:val="24"/>
          <w:highlight w:val="none"/>
        </w:rPr>
        <w:t xml:space="preserve">     1.恒丰银行“政采云贷”</w:t>
      </w:r>
    </w:p>
    <w:p>
      <w:pPr>
        <w:pStyle w:val="52"/>
        <w:spacing w:line="360" w:lineRule="auto"/>
        <w:jc w:val="left"/>
        <w:rPr>
          <w:rFonts w:ascii="宋体" w:hAnsi="宋体" w:cs="宋体"/>
          <w:spacing w:val="14"/>
          <w:sz w:val="24"/>
          <w:szCs w:val="24"/>
          <w:highlight w:val="none"/>
        </w:rPr>
      </w:pPr>
      <w:r>
        <w:rPr>
          <w:rFonts w:hint="eastAsia" w:ascii="宋体" w:hAnsi="宋体" w:cs="宋体"/>
          <w:spacing w:val="14"/>
          <w:sz w:val="24"/>
          <w:szCs w:val="24"/>
          <w:highlight w:val="none"/>
        </w:rPr>
        <w:t>针对政府采购项目中标小微客户在线发放用于采购项目（不包括工程项目）资金周转需要的流动资金贷款。</w:t>
      </w:r>
    </w:p>
    <w:p>
      <w:pPr>
        <w:pStyle w:val="52"/>
        <w:spacing w:line="360" w:lineRule="auto"/>
        <w:jc w:val="left"/>
        <w:rPr>
          <w:rFonts w:ascii="宋体" w:hAnsi="宋体" w:cs="宋体"/>
          <w:spacing w:val="14"/>
          <w:sz w:val="24"/>
          <w:szCs w:val="24"/>
          <w:highlight w:val="none"/>
        </w:rPr>
      </w:pPr>
      <w:r>
        <w:rPr>
          <w:rFonts w:hint="eastAsia" w:ascii="宋体" w:hAnsi="宋体" w:cs="宋体"/>
          <w:spacing w:val="14"/>
          <w:sz w:val="24"/>
          <w:szCs w:val="24"/>
          <w:highlight w:val="none"/>
        </w:rPr>
        <w:t>担保方式：免抵押、无担保，开立指定回款账户</w:t>
      </w:r>
    </w:p>
    <w:p>
      <w:pPr>
        <w:pStyle w:val="52"/>
        <w:spacing w:line="360" w:lineRule="auto"/>
        <w:jc w:val="left"/>
        <w:rPr>
          <w:rFonts w:ascii="宋体" w:hAnsi="宋体" w:cs="宋体"/>
          <w:spacing w:val="14"/>
          <w:sz w:val="24"/>
          <w:szCs w:val="24"/>
          <w:highlight w:val="none"/>
        </w:rPr>
      </w:pPr>
      <w:r>
        <w:rPr>
          <w:rFonts w:hint="eastAsia" w:ascii="宋体" w:hAnsi="宋体" w:cs="宋体"/>
          <w:spacing w:val="14"/>
          <w:sz w:val="24"/>
          <w:szCs w:val="24"/>
          <w:highlight w:val="none"/>
        </w:rPr>
        <w:t>授信额度：单户授信最高不超过1000万元</w:t>
      </w:r>
    </w:p>
    <w:p>
      <w:pPr>
        <w:pStyle w:val="52"/>
        <w:spacing w:line="360" w:lineRule="auto"/>
        <w:jc w:val="left"/>
        <w:rPr>
          <w:rFonts w:ascii="宋体" w:hAnsi="宋体" w:cs="宋体"/>
          <w:spacing w:val="14"/>
          <w:sz w:val="24"/>
          <w:szCs w:val="24"/>
          <w:highlight w:val="none"/>
        </w:rPr>
      </w:pPr>
      <w:r>
        <w:rPr>
          <w:rFonts w:hint="eastAsia" w:ascii="宋体" w:hAnsi="宋体" w:cs="宋体"/>
          <w:spacing w:val="14"/>
          <w:sz w:val="24"/>
          <w:szCs w:val="24"/>
          <w:highlight w:val="none"/>
        </w:rPr>
        <w:t>授信期限：不超过一年，贷款到期日不晚于政府中标合同约定款日后的十个工作日</w:t>
      </w:r>
    </w:p>
    <w:p>
      <w:pPr>
        <w:pStyle w:val="52"/>
        <w:spacing w:line="360" w:lineRule="auto"/>
        <w:jc w:val="left"/>
        <w:rPr>
          <w:rFonts w:ascii="宋体" w:hAnsi="宋体" w:cs="宋体"/>
          <w:spacing w:val="14"/>
          <w:sz w:val="24"/>
          <w:szCs w:val="24"/>
          <w:highlight w:val="none"/>
        </w:rPr>
      </w:pPr>
      <w:r>
        <w:rPr>
          <w:rFonts w:hint="eastAsia" w:ascii="宋体" w:hAnsi="宋体" w:cs="宋体"/>
          <w:spacing w:val="14"/>
          <w:sz w:val="24"/>
          <w:szCs w:val="24"/>
          <w:highlight w:val="none"/>
        </w:rPr>
        <w:t>还款方式：按月付息，到期还本或阶段性还款</w:t>
      </w:r>
    </w:p>
    <w:p>
      <w:pPr>
        <w:pStyle w:val="52"/>
        <w:spacing w:line="360" w:lineRule="auto"/>
        <w:jc w:val="left"/>
        <w:rPr>
          <w:rFonts w:ascii="宋体" w:hAnsi="宋体" w:cs="宋体"/>
          <w:spacing w:val="14"/>
          <w:sz w:val="24"/>
          <w:szCs w:val="24"/>
          <w:highlight w:val="none"/>
        </w:rPr>
      </w:pPr>
      <w:r>
        <w:rPr>
          <w:rFonts w:hint="eastAsia" w:ascii="宋体" w:hAnsi="宋体" w:cs="宋体"/>
          <w:spacing w:val="14"/>
          <w:sz w:val="24"/>
          <w:szCs w:val="24"/>
          <w:highlight w:val="none"/>
        </w:rPr>
        <w:t xml:space="preserve">    2.准入标准</w:t>
      </w:r>
    </w:p>
    <w:p>
      <w:pPr>
        <w:pStyle w:val="52"/>
        <w:spacing w:line="360" w:lineRule="auto"/>
        <w:jc w:val="left"/>
        <w:rPr>
          <w:rFonts w:ascii="宋体" w:hAnsi="宋体" w:cs="宋体"/>
          <w:spacing w:val="14"/>
          <w:sz w:val="24"/>
          <w:szCs w:val="24"/>
          <w:highlight w:val="none"/>
        </w:rPr>
      </w:pPr>
      <w:r>
        <w:rPr>
          <w:rFonts w:hint="eastAsia" w:ascii="宋体" w:hAnsi="宋体" w:cs="宋体"/>
          <w:spacing w:val="14"/>
          <w:sz w:val="24"/>
          <w:szCs w:val="24"/>
          <w:highlight w:val="none"/>
        </w:rPr>
        <w:t>（1）企业成立一年以上，有洛阳市固定经营场所；企业实际控制人有两年以上行业从业经验。</w:t>
      </w:r>
    </w:p>
    <w:p>
      <w:pPr>
        <w:pStyle w:val="52"/>
        <w:spacing w:line="360" w:lineRule="auto"/>
        <w:jc w:val="left"/>
        <w:rPr>
          <w:rFonts w:ascii="宋体" w:hAnsi="宋体" w:cs="宋体"/>
          <w:spacing w:val="14"/>
          <w:sz w:val="24"/>
          <w:szCs w:val="24"/>
          <w:highlight w:val="none"/>
        </w:rPr>
      </w:pPr>
      <w:r>
        <w:rPr>
          <w:rFonts w:hint="eastAsia" w:ascii="宋体" w:hAnsi="宋体" w:cs="宋体"/>
          <w:spacing w:val="14"/>
          <w:sz w:val="24"/>
          <w:szCs w:val="24"/>
          <w:highlight w:val="none"/>
        </w:rPr>
        <w:t>（2）企业及其实际控制人信誉良好，合法经营，无不良记录，无恶意违约记录。</w:t>
      </w:r>
    </w:p>
    <w:p>
      <w:pPr>
        <w:pStyle w:val="52"/>
        <w:spacing w:line="360" w:lineRule="auto"/>
        <w:jc w:val="left"/>
        <w:rPr>
          <w:rFonts w:ascii="宋体" w:hAnsi="宋体" w:cs="宋体"/>
          <w:spacing w:val="14"/>
          <w:sz w:val="24"/>
          <w:szCs w:val="24"/>
          <w:highlight w:val="none"/>
        </w:rPr>
      </w:pPr>
      <w:r>
        <w:rPr>
          <w:rFonts w:hint="eastAsia" w:ascii="宋体" w:hAnsi="宋体" w:cs="宋体"/>
          <w:spacing w:val="14"/>
          <w:sz w:val="24"/>
          <w:szCs w:val="24"/>
          <w:highlight w:val="none"/>
        </w:rPr>
        <w:t xml:space="preserve">    （3）我行信用评级结果在B3三级以上。</w:t>
      </w:r>
    </w:p>
    <w:p>
      <w:pPr>
        <w:pStyle w:val="52"/>
        <w:spacing w:line="360" w:lineRule="auto"/>
        <w:jc w:val="left"/>
        <w:rPr>
          <w:rFonts w:ascii="宋体" w:hAnsi="宋体" w:cs="宋体"/>
          <w:spacing w:val="14"/>
          <w:sz w:val="24"/>
          <w:szCs w:val="24"/>
          <w:highlight w:val="none"/>
        </w:rPr>
      </w:pPr>
      <w:r>
        <w:rPr>
          <w:rFonts w:hint="eastAsia" w:ascii="宋体" w:hAnsi="宋体" w:cs="宋体"/>
          <w:spacing w:val="14"/>
          <w:sz w:val="24"/>
          <w:szCs w:val="24"/>
          <w:highlight w:val="none"/>
        </w:rPr>
        <w:t xml:space="preserve">    （4）企业名下现有贷款合计不超过上年度总收入的45%。</w:t>
      </w:r>
    </w:p>
    <w:p>
      <w:pPr>
        <w:pStyle w:val="52"/>
        <w:spacing w:line="360" w:lineRule="auto"/>
        <w:jc w:val="left"/>
        <w:rPr>
          <w:rFonts w:ascii="宋体" w:hAnsi="宋体" w:cs="宋体"/>
          <w:spacing w:val="14"/>
          <w:sz w:val="24"/>
          <w:szCs w:val="24"/>
          <w:highlight w:val="none"/>
        </w:rPr>
      </w:pPr>
      <w:r>
        <w:rPr>
          <w:rFonts w:hint="eastAsia" w:ascii="宋体" w:hAnsi="宋体" w:cs="宋体"/>
          <w:spacing w:val="14"/>
          <w:sz w:val="24"/>
          <w:szCs w:val="24"/>
          <w:highlight w:val="none"/>
        </w:rPr>
        <w:t>（5）近两年有两次含以上政府中标记录，且供货履约情况良好。</w:t>
      </w:r>
    </w:p>
    <w:p>
      <w:pPr>
        <w:pStyle w:val="52"/>
        <w:spacing w:line="360" w:lineRule="auto"/>
        <w:jc w:val="center"/>
        <w:rPr>
          <w:rFonts w:ascii="宋体" w:hAnsi="宋体" w:cs="宋体"/>
          <w:b/>
          <w:bCs/>
          <w:color w:val="0000FF"/>
          <w:sz w:val="24"/>
          <w:szCs w:val="24"/>
          <w:highlight w:val="none"/>
        </w:rPr>
      </w:pPr>
      <w:r>
        <w:rPr>
          <w:rFonts w:hint="eastAsia" w:ascii="宋体" w:hAnsi="宋体" w:cs="宋体"/>
          <w:b/>
          <w:bCs/>
          <w:color w:val="0000FF"/>
          <w:sz w:val="24"/>
          <w:szCs w:val="24"/>
          <w:highlight w:val="none"/>
        </w:rPr>
        <w:t>兴业银行洛阳分行</w:t>
      </w:r>
    </w:p>
    <w:p>
      <w:pPr>
        <w:pStyle w:val="52"/>
        <w:spacing w:line="360" w:lineRule="auto"/>
        <w:jc w:val="center"/>
        <w:rPr>
          <w:rFonts w:ascii="宋体" w:hAnsi="宋体" w:cs="宋体"/>
          <w:b/>
          <w:bCs/>
          <w:color w:val="0000FF"/>
          <w:sz w:val="24"/>
          <w:szCs w:val="24"/>
          <w:highlight w:val="none"/>
        </w:rPr>
      </w:pPr>
      <w:r>
        <w:rPr>
          <w:rFonts w:hint="eastAsia" w:ascii="宋体" w:hAnsi="宋体" w:cs="宋体"/>
          <w:b/>
          <w:bCs/>
          <w:color w:val="0000FF"/>
          <w:sz w:val="24"/>
          <w:szCs w:val="24"/>
          <w:highlight w:val="none"/>
        </w:rPr>
        <w:t>政府采购融资联系方式及产品介绍</w:t>
      </w:r>
    </w:p>
    <w:p>
      <w:pPr>
        <w:pStyle w:val="52"/>
        <w:spacing w:line="360" w:lineRule="auto"/>
        <w:jc w:val="left"/>
        <w:rPr>
          <w:rFonts w:ascii="宋体" w:hAnsi="宋体" w:cs="宋体"/>
          <w:spacing w:val="14"/>
          <w:sz w:val="24"/>
          <w:szCs w:val="24"/>
          <w:highlight w:val="none"/>
        </w:rPr>
      </w:pPr>
      <w:r>
        <w:rPr>
          <w:rFonts w:hint="eastAsia" w:ascii="宋体" w:hAnsi="宋体" w:cs="宋体"/>
          <w:spacing w:val="14"/>
          <w:sz w:val="24"/>
          <w:szCs w:val="24"/>
          <w:highlight w:val="none"/>
        </w:rPr>
        <w:t>分管领导：樊博（副行长、18638805299）；信贷经理：尚梅（市场营销部负责人、15538855595）；具体联系人：张海峰（产品经理、18603794400）</w:t>
      </w:r>
    </w:p>
    <w:p>
      <w:pPr>
        <w:pStyle w:val="52"/>
        <w:spacing w:line="360" w:lineRule="auto"/>
        <w:jc w:val="left"/>
        <w:rPr>
          <w:rFonts w:ascii="宋体" w:hAnsi="宋体" w:cs="宋体"/>
          <w:spacing w:val="14"/>
          <w:sz w:val="24"/>
          <w:szCs w:val="24"/>
          <w:highlight w:val="none"/>
        </w:rPr>
      </w:pPr>
      <w:r>
        <w:rPr>
          <w:rFonts w:hint="eastAsia" w:ascii="宋体" w:hAnsi="宋体" w:cs="宋体"/>
          <w:spacing w:val="14"/>
          <w:sz w:val="24"/>
          <w:szCs w:val="24"/>
          <w:highlight w:val="none"/>
        </w:rPr>
        <w:t>产品介绍</w:t>
      </w:r>
      <w:r>
        <w:rPr>
          <w:rFonts w:hint="eastAsia" w:ascii="宋体" w:hAnsi="宋体" w:cs="宋体"/>
          <w:spacing w:val="14"/>
          <w:sz w:val="24"/>
          <w:szCs w:val="24"/>
          <w:highlight w:val="none"/>
        </w:rPr>
        <w:br w:type="textWrapping"/>
      </w:r>
      <w:r>
        <w:rPr>
          <w:rFonts w:hint="eastAsia" w:ascii="宋体" w:hAnsi="宋体" w:cs="宋体"/>
          <w:spacing w:val="14"/>
          <w:sz w:val="24"/>
          <w:szCs w:val="24"/>
          <w:highlight w:val="none"/>
        </w:rPr>
        <w:t>授信额度：最高不超过500万元（含）。</w:t>
      </w:r>
      <w:r>
        <w:rPr>
          <w:rFonts w:hint="eastAsia" w:ascii="宋体" w:hAnsi="宋体" w:cs="宋体"/>
          <w:spacing w:val="14"/>
          <w:sz w:val="24"/>
          <w:szCs w:val="24"/>
          <w:highlight w:val="none"/>
        </w:rPr>
        <w:br w:type="textWrapping"/>
      </w:r>
      <w:r>
        <w:rPr>
          <w:rFonts w:hint="eastAsia" w:ascii="宋体" w:hAnsi="宋体" w:cs="宋体"/>
          <w:spacing w:val="14"/>
          <w:sz w:val="24"/>
          <w:szCs w:val="24"/>
          <w:highlight w:val="none"/>
        </w:rPr>
        <w:t>期限：主体授信额度有效期不超过1年</w:t>
      </w:r>
      <w:r>
        <w:rPr>
          <w:rFonts w:hint="eastAsia" w:ascii="宋体" w:hAnsi="宋体" w:cs="宋体"/>
          <w:spacing w:val="14"/>
          <w:sz w:val="24"/>
          <w:szCs w:val="24"/>
          <w:highlight w:val="none"/>
        </w:rPr>
        <w:br w:type="textWrapping"/>
      </w:r>
      <w:r>
        <w:rPr>
          <w:rFonts w:hint="eastAsia" w:ascii="宋体" w:hAnsi="宋体" w:cs="宋体"/>
          <w:spacing w:val="14"/>
          <w:sz w:val="24"/>
          <w:szCs w:val="24"/>
          <w:highlight w:val="none"/>
        </w:rPr>
        <w:t>利率：自动生成贷款利率。</w:t>
      </w:r>
      <w:r>
        <w:rPr>
          <w:rFonts w:hint="eastAsia" w:ascii="宋体" w:hAnsi="宋体" w:cs="宋体"/>
          <w:spacing w:val="14"/>
          <w:sz w:val="24"/>
          <w:szCs w:val="24"/>
          <w:highlight w:val="none"/>
        </w:rPr>
        <w:br w:type="textWrapping"/>
      </w:r>
      <w:r>
        <w:rPr>
          <w:rFonts w:hint="eastAsia" w:ascii="宋体" w:hAnsi="宋体" w:cs="宋体"/>
          <w:spacing w:val="14"/>
          <w:sz w:val="24"/>
          <w:szCs w:val="24"/>
          <w:highlight w:val="none"/>
        </w:rPr>
        <w:t>用途：贷款资金专项用于借款企业履行政府交易采购平台采购合同或订单所需的各类成本、费用及劳务支出等短期流动资金需求和日常经营周转需要。</w:t>
      </w:r>
      <w:r>
        <w:rPr>
          <w:rFonts w:hint="eastAsia" w:ascii="宋体" w:hAnsi="宋体" w:cs="宋体"/>
          <w:spacing w:val="14"/>
          <w:sz w:val="24"/>
          <w:szCs w:val="24"/>
          <w:highlight w:val="none"/>
        </w:rPr>
        <w:br w:type="textWrapping"/>
      </w:r>
      <w:r>
        <w:rPr>
          <w:rFonts w:hint="eastAsia" w:ascii="宋体" w:hAnsi="宋体" w:cs="宋体"/>
          <w:spacing w:val="14"/>
          <w:sz w:val="24"/>
          <w:szCs w:val="24"/>
          <w:highlight w:val="none"/>
        </w:rPr>
        <w:t>担保方式：企业主个人提供连带责任保证，追加采购合同或订单对应的应收账款质押。</w:t>
      </w:r>
      <w:r>
        <w:rPr>
          <w:rFonts w:hint="eastAsia" w:ascii="宋体" w:hAnsi="宋体" w:cs="宋体"/>
          <w:spacing w:val="14"/>
          <w:sz w:val="24"/>
          <w:szCs w:val="24"/>
          <w:highlight w:val="none"/>
        </w:rPr>
        <w:br w:type="textWrapping"/>
      </w:r>
      <w:r>
        <w:rPr>
          <w:rFonts w:hint="eastAsia" w:ascii="宋体" w:hAnsi="宋体" w:cs="宋体"/>
          <w:spacing w:val="14"/>
          <w:sz w:val="24"/>
          <w:szCs w:val="24"/>
          <w:highlight w:val="none"/>
        </w:rPr>
        <w:t>支付方式：采用受托支付方式</w:t>
      </w:r>
      <w:r>
        <w:rPr>
          <w:rFonts w:hint="eastAsia" w:ascii="宋体" w:hAnsi="宋体" w:cs="宋体"/>
          <w:spacing w:val="14"/>
          <w:sz w:val="24"/>
          <w:szCs w:val="24"/>
          <w:highlight w:val="none"/>
        </w:rPr>
        <w:br w:type="textWrapping"/>
      </w:r>
      <w:r>
        <w:rPr>
          <w:rFonts w:hint="eastAsia" w:ascii="宋体" w:hAnsi="宋体" w:cs="宋体"/>
          <w:spacing w:val="14"/>
          <w:sz w:val="24"/>
          <w:szCs w:val="24"/>
          <w:highlight w:val="none"/>
        </w:rPr>
        <w:t>还款方式：按月付息，本金可结合采购合同或订单情况及实际资金需求循环使用，采购合同或订单项下回款由系统自动扣划归还对应的贷款本息，借款企业也可自助提前还款。</w:t>
      </w:r>
    </w:p>
    <w:p>
      <w:pPr>
        <w:pStyle w:val="52"/>
        <w:spacing w:line="360" w:lineRule="auto"/>
        <w:jc w:val="center"/>
        <w:rPr>
          <w:rFonts w:ascii="宋体" w:hAnsi="宋体" w:cs="宋体"/>
          <w:b/>
          <w:bCs/>
          <w:color w:val="0000FF"/>
          <w:sz w:val="24"/>
          <w:szCs w:val="24"/>
          <w:highlight w:val="none"/>
        </w:rPr>
      </w:pPr>
      <w:r>
        <w:rPr>
          <w:rFonts w:hint="eastAsia" w:ascii="宋体" w:hAnsi="宋体" w:cs="宋体"/>
          <w:b/>
          <w:bCs/>
          <w:color w:val="0000FF"/>
          <w:sz w:val="24"/>
          <w:szCs w:val="24"/>
          <w:highlight w:val="none"/>
        </w:rPr>
        <w:t>工商银行洛阳分行“政采贷”产品</w:t>
      </w:r>
    </w:p>
    <w:p>
      <w:pPr>
        <w:pStyle w:val="52"/>
        <w:spacing w:line="360" w:lineRule="auto"/>
        <w:jc w:val="center"/>
        <w:rPr>
          <w:rFonts w:ascii="宋体" w:hAnsi="宋体" w:cs="宋体"/>
          <w:b/>
          <w:bCs/>
          <w:color w:val="0000FF"/>
          <w:sz w:val="24"/>
          <w:szCs w:val="24"/>
          <w:highlight w:val="none"/>
        </w:rPr>
      </w:pPr>
      <w:r>
        <w:rPr>
          <w:rFonts w:hint="eastAsia" w:ascii="宋体" w:hAnsi="宋体" w:cs="宋体"/>
          <w:b/>
          <w:bCs/>
          <w:color w:val="0000FF"/>
          <w:sz w:val="24"/>
          <w:szCs w:val="24"/>
          <w:highlight w:val="none"/>
        </w:rPr>
        <w:t>工商银行“政采贷”简介：</w:t>
      </w:r>
    </w:p>
    <w:p>
      <w:pPr>
        <w:pStyle w:val="52"/>
        <w:widowControl/>
        <w:spacing w:line="360" w:lineRule="auto"/>
        <w:jc w:val="left"/>
        <w:rPr>
          <w:rFonts w:ascii="宋体" w:hAnsi="宋体" w:cs="宋体"/>
          <w:sz w:val="24"/>
          <w:szCs w:val="24"/>
          <w:highlight w:val="none"/>
        </w:rPr>
      </w:pPr>
      <w:r>
        <w:rPr>
          <w:rFonts w:hint="eastAsia" w:ascii="宋体" w:hAnsi="宋体" w:cs="宋体"/>
          <w:sz w:val="24"/>
          <w:szCs w:val="24"/>
          <w:highlight w:val="none"/>
        </w:rPr>
        <w:t>“政采贷”是工行与政府采购数据进行系统对接，根据获取包括但不限于供应商中标、采购合同、收验货、付款以及历史交易数据等信息，为政府供应商提供的融资贷款金融服务。</w:t>
      </w:r>
    </w:p>
    <w:p>
      <w:pPr>
        <w:pStyle w:val="52"/>
        <w:widowControl/>
        <w:numPr>
          <w:ilvl w:val="0"/>
          <w:numId w:val="2"/>
        </w:numPr>
        <w:spacing w:line="360" w:lineRule="auto"/>
        <w:jc w:val="left"/>
        <w:rPr>
          <w:rFonts w:ascii="宋体" w:hAnsi="宋体" w:cs="宋体"/>
          <w:sz w:val="24"/>
          <w:szCs w:val="24"/>
          <w:highlight w:val="none"/>
        </w:rPr>
      </w:pPr>
      <w:r>
        <w:rPr>
          <w:rFonts w:hint="eastAsia" w:ascii="宋体" w:hAnsi="宋体" w:cs="宋体"/>
          <w:sz w:val="24"/>
          <w:szCs w:val="24"/>
          <w:highlight w:val="none"/>
        </w:rPr>
        <w:t>适用范围：供应商目前仅限于小微企业，后续将结合市场需要，适时拓展至大中型企业。</w:t>
      </w:r>
    </w:p>
    <w:p>
      <w:pPr>
        <w:pStyle w:val="52"/>
        <w:widowControl/>
        <w:numPr>
          <w:ilvl w:val="0"/>
          <w:numId w:val="2"/>
        </w:numPr>
        <w:spacing w:line="360" w:lineRule="auto"/>
        <w:jc w:val="left"/>
        <w:rPr>
          <w:rFonts w:ascii="宋体" w:hAnsi="宋体" w:cs="宋体"/>
          <w:sz w:val="24"/>
          <w:szCs w:val="24"/>
          <w:highlight w:val="none"/>
        </w:rPr>
      </w:pPr>
      <w:r>
        <w:rPr>
          <w:rFonts w:hint="eastAsia" w:ascii="宋体" w:hAnsi="宋体" w:cs="宋体"/>
          <w:sz w:val="24"/>
          <w:szCs w:val="24"/>
          <w:highlight w:val="none"/>
        </w:rPr>
        <w:t>融资额度：供应商融资最高不超过订单金额70%。</w:t>
      </w:r>
    </w:p>
    <w:p>
      <w:pPr>
        <w:pStyle w:val="52"/>
        <w:widowControl/>
        <w:numPr>
          <w:ilvl w:val="0"/>
          <w:numId w:val="2"/>
        </w:numPr>
        <w:spacing w:line="360" w:lineRule="auto"/>
        <w:jc w:val="left"/>
        <w:rPr>
          <w:rFonts w:ascii="宋体" w:hAnsi="宋体" w:cs="宋体"/>
          <w:sz w:val="24"/>
          <w:szCs w:val="24"/>
          <w:highlight w:val="none"/>
        </w:rPr>
      </w:pPr>
      <w:r>
        <w:rPr>
          <w:rFonts w:hint="eastAsia" w:ascii="宋体" w:hAnsi="宋体" w:cs="宋体"/>
          <w:sz w:val="24"/>
          <w:szCs w:val="24"/>
          <w:highlight w:val="none"/>
        </w:rPr>
        <w:t>贷款期限：根据政府采购合同等内容确定贷款期限，最长可以5年。</w:t>
      </w:r>
    </w:p>
    <w:p>
      <w:pPr>
        <w:pStyle w:val="52"/>
        <w:widowControl/>
        <w:spacing w:line="360" w:lineRule="auto"/>
        <w:jc w:val="left"/>
        <w:rPr>
          <w:rFonts w:ascii="宋体" w:hAnsi="宋体" w:cs="宋体"/>
          <w:sz w:val="24"/>
          <w:szCs w:val="24"/>
          <w:highlight w:val="none"/>
        </w:rPr>
      </w:pPr>
      <w:r>
        <w:rPr>
          <w:rFonts w:hint="eastAsia" w:ascii="宋体" w:hAnsi="宋体" w:cs="宋体"/>
          <w:sz w:val="24"/>
          <w:szCs w:val="24"/>
          <w:highlight w:val="none"/>
        </w:rPr>
        <w:t>4、贷款利率：融资利率参考最近市场利率（LPR）合理确定。</w:t>
      </w:r>
    </w:p>
    <w:p>
      <w:pPr>
        <w:pStyle w:val="52"/>
        <w:widowControl/>
        <w:spacing w:line="360" w:lineRule="auto"/>
        <w:jc w:val="left"/>
        <w:rPr>
          <w:rFonts w:ascii="宋体" w:hAnsi="宋体" w:cs="宋体"/>
          <w:sz w:val="24"/>
          <w:szCs w:val="24"/>
          <w:highlight w:val="none"/>
        </w:rPr>
      </w:pPr>
      <w:r>
        <w:rPr>
          <w:rFonts w:hint="eastAsia" w:ascii="宋体" w:hAnsi="宋体" w:cs="宋体"/>
          <w:sz w:val="24"/>
          <w:szCs w:val="24"/>
          <w:highlight w:val="none"/>
        </w:rPr>
        <w:t>5、办理手续：供应商与工行取得联系，开立账户，开通网上银行。与工行经办人员线下沟通确定融资金额，通过工行网上银行自助申请贷款金额。工行进行贷款指令确定，贷款线上发放至供应商工行账户。</w:t>
      </w:r>
    </w:p>
    <w:p>
      <w:pPr>
        <w:pStyle w:val="52"/>
        <w:widowControl/>
        <w:spacing w:line="360" w:lineRule="auto"/>
        <w:jc w:val="left"/>
        <w:rPr>
          <w:rFonts w:ascii="宋体" w:hAnsi="宋体" w:cs="宋体"/>
          <w:sz w:val="24"/>
          <w:szCs w:val="24"/>
          <w:highlight w:val="none"/>
        </w:rPr>
      </w:pPr>
      <w:r>
        <w:rPr>
          <w:rFonts w:hint="eastAsia" w:ascii="宋体" w:hAnsi="宋体" w:cs="宋体"/>
          <w:sz w:val="24"/>
          <w:szCs w:val="24"/>
          <w:highlight w:val="none"/>
        </w:rPr>
        <w:t>分管领导：李亚琼：16603797557</w:t>
      </w:r>
    </w:p>
    <w:p>
      <w:pPr>
        <w:pStyle w:val="52"/>
        <w:widowControl/>
        <w:spacing w:line="360" w:lineRule="auto"/>
        <w:jc w:val="left"/>
        <w:rPr>
          <w:rFonts w:ascii="宋体" w:hAnsi="宋体" w:cs="宋体"/>
          <w:sz w:val="24"/>
          <w:szCs w:val="24"/>
          <w:highlight w:val="none"/>
        </w:rPr>
      </w:pPr>
      <w:r>
        <w:rPr>
          <w:rFonts w:hint="eastAsia" w:ascii="宋体" w:hAnsi="宋体" w:cs="宋体"/>
          <w:sz w:val="24"/>
          <w:szCs w:val="24"/>
          <w:highlight w:val="none"/>
        </w:rPr>
        <w:t xml:space="preserve">          李若明：13233995266</w:t>
      </w:r>
    </w:p>
    <w:p>
      <w:pPr>
        <w:pStyle w:val="52"/>
        <w:widowControl/>
        <w:spacing w:line="360" w:lineRule="auto"/>
        <w:jc w:val="left"/>
        <w:rPr>
          <w:rFonts w:ascii="宋体" w:hAnsi="宋体" w:cs="宋体"/>
          <w:sz w:val="24"/>
          <w:szCs w:val="24"/>
          <w:highlight w:val="none"/>
        </w:rPr>
      </w:pPr>
      <w:r>
        <w:rPr>
          <w:rFonts w:hint="eastAsia" w:ascii="宋体" w:hAnsi="宋体" w:cs="宋体"/>
          <w:sz w:val="24"/>
          <w:szCs w:val="24"/>
          <w:highlight w:val="none"/>
        </w:rPr>
        <w:t>信贷经理：朱建国：13653893229</w:t>
      </w:r>
    </w:p>
    <w:p>
      <w:pPr>
        <w:pStyle w:val="52"/>
        <w:widowControl/>
        <w:spacing w:line="360" w:lineRule="auto"/>
        <w:jc w:val="left"/>
        <w:rPr>
          <w:rFonts w:ascii="宋体" w:hAnsi="宋体" w:cs="宋体"/>
          <w:b/>
          <w:sz w:val="24"/>
          <w:szCs w:val="24"/>
          <w:highlight w:val="none"/>
        </w:rPr>
      </w:pPr>
      <w:r>
        <w:rPr>
          <w:rFonts w:hint="eastAsia" w:ascii="宋体" w:hAnsi="宋体" w:cs="宋体"/>
          <w:sz w:val="24"/>
          <w:szCs w:val="24"/>
          <w:highlight w:val="none"/>
        </w:rPr>
        <w:t xml:space="preserve">          张佩兰：15603799799</w:t>
      </w:r>
    </w:p>
    <w:p>
      <w:pPr>
        <w:pStyle w:val="52"/>
        <w:spacing w:line="360" w:lineRule="auto"/>
        <w:jc w:val="center"/>
        <w:rPr>
          <w:rFonts w:ascii="宋体" w:hAnsi="宋体" w:cs="宋体"/>
          <w:b/>
          <w:color w:val="0000FF"/>
          <w:sz w:val="24"/>
          <w:szCs w:val="24"/>
          <w:highlight w:val="none"/>
        </w:rPr>
      </w:pPr>
    </w:p>
    <w:p>
      <w:pPr>
        <w:pStyle w:val="52"/>
        <w:spacing w:line="360" w:lineRule="auto"/>
        <w:jc w:val="center"/>
        <w:rPr>
          <w:rFonts w:ascii="宋体" w:hAnsi="宋体" w:cs="宋体"/>
          <w:b/>
          <w:color w:val="0000FF"/>
          <w:sz w:val="24"/>
          <w:szCs w:val="24"/>
          <w:highlight w:val="none"/>
        </w:rPr>
      </w:pPr>
      <w:r>
        <w:rPr>
          <w:rFonts w:hint="eastAsia" w:ascii="宋体" w:hAnsi="宋体" w:cs="宋体"/>
          <w:b/>
          <w:color w:val="0000FF"/>
          <w:sz w:val="24"/>
          <w:szCs w:val="24"/>
          <w:highlight w:val="none"/>
        </w:rPr>
        <w:t>平安银行“政采E贷”产品介绍</w:t>
      </w:r>
    </w:p>
    <w:p>
      <w:pPr>
        <w:pStyle w:val="52"/>
        <w:spacing w:line="360" w:lineRule="auto"/>
        <w:jc w:val="left"/>
        <w:rPr>
          <w:rFonts w:ascii="宋体" w:hAnsi="宋体" w:cs="宋体"/>
          <w:spacing w:val="14"/>
          <w:sz w:val="24"/>
          <w:szCs w:val="24"/>
          <w:highlight w:val="none"/>
        </w:rPr>
      </w:pPr>
      <w:r>
        <w:rPr>
          <w:rFonts w:hint="eastAsia" w:ascii="宋体" w:hAnsi="宋体" w:cs="宋体"/>
          <w:spacing w:val="14"/>
          <w:sz w:val="24"/>
          <w:szCs w:val="24"/>
          <w:highlight w:val="none"/>
        </w:rPr>
        <w:t>平安银行“政采E贷”是平安银行与采购中心对接后，基于互联网技术、政府采购数据等信息，为中标政府采购项目的企业提供的互联网信用贷款。</w:t>
      </w:r>
    </w:p>
    <w:p>
      <w:pPr>
        <w:pStyle w:val="52"/>
        <w:spacing w:line="360" w:lineRule="auto"/>
        <w:jc w:val="left"/>
        <w:rPr>
          <w:rFonts w:ascii="宋体" w:hAnsi="宋体" w:cs="宋体"/>
          <w:spacing w:val="14"/>
          <w:sz w:val="24"/>
          <w:szCs w:val="24"/>
          <w:highlight w:val="none"/>
        </w:rPr>
      </w:pPr>
      <w:r>
        <w:rPr>
          <w:rFonts w:hint="eastAsia" w:ascii="宋体" w:hAnsi="宋体" w:cs="宋体"/>
          <w:spacing w:val="14"/>
          <w:sz w:val="24"/>
          <w:szCs w:val="24"/>
          <w:highlight w:val="none"/>
        </w:rPr>
        <w:t>产品优势：</w:t>
      </w:r>
    </w:p>
    <w:p>
      <w:pPr>
        <w:pStyle w:val="52"/>
        <w:spacing w:line="360" w:lineRule="auto"/>
        <w:jc w:val="left"/>
        <w:rPr>
          <w:rFonts w:ascii="宋体" w:hAnsi="宋体" w:cs="宋体"/>
          <w:spacing w:val="14"/>
          <w:sz w:val="24"/>
          <w:szCs w:val="24"/>
          <w:highlight w:val="none"/>
        </w:rPr>
      </w:pPr>
      <w:r>
        <w:rPr>
          <w:rFonts w:hint="eastAsia" w:ascii="宋体" w:hAnsi="宋体" w:cs="宋体"/>
          <w:spacing w:val="14"/>
          <w:sz w:val="24"/>
          <w:szCs w:val="24"/>
          <w:highlight w:val="none"/>
        </w:rPr>
        <w:t>1、额度高：线上最高500万元。</w:t>
      </w:r>
    </w:p>
    <w:p>
      <w:pPr>
        <w:pStyle w:val="52"/>
        <w:spacing w:line="360" w:lineRule="auto"/>
        <w:jc w:val="left"/>
        <w:rPr>
          <w:rFonts w:ascii="宋体" w:hAnsi="宋体" w:cs="宋体"/>
          <w:spacing w:val="14"/>
          <w:sz w:val="24"/>
          <w:szCs w:val="24"/>
          <w:highlight w:val="none"/>
        </w:rPr>
      </w:pPr>
      <w:r>
        <w:rPr>
          <w:rFonts w:hint="eastAsia" w:ascii="宋体" w:hAnsi="宋体" w:cs="宋体"/>
          <w:spacing w:val="14"/>
          <w:sz w:val="24"/>
          <w:szCs w:val="24"/>
          <w:highlight w:val="none"/>
        </w:rPr>
        <w:t>2、申请易：5分钟完成线上申请。</w:t>
      </w:r>
    </w:p>
    <w:p>
      <w:pPr>
        <w:pStyle w:val="52"/>
        <w:spacing w:line="360" w:lineRule="auto"/>
        <w:jc w:val="left"/>
        <w:rPr>
          <w:rFonts w:ascii="宋体" w:hAnsi="宋体" w:cs="宋体"/>
          <w:spacing w:val="14"/>
          <w:sz w:val="24"/>
          <w:szCs w:val="24"/>
          <w:highlight w:val="none"/>
        </w:rPr>
      </w:pPr>
      <w:r>
        <w:rPr>
          <w:rFonts w:hint="eastAsia" w:ascii="宋体" w:hAnsi="宋体" w:cs="宋体"/>
          <w:spacing w:val="14"/>
          <w:sz w:val="24"/>
          <w:szCs w:val="24"/>
          <w:highlight w:val="none"/>
        </w:rPr>
        <w:t>3、用款快：凭订单最快1天生效。</w:t>
      </w:r>
    </w:p>
    <w:p>
      <w:pPr>
        <w:pStyle w:val="52"/>
        <w:spacing w:line="360" w:lineRule="auto"/>
        <w:jc w:val="left"/>
        <w:rPr>
          <w:rFonts w:ascii="宋体" w:hAnsi="宋体" w:cs="宋体"/>
          <w:spacing w:val="14"/>
          <w:sz w:val="24"/>
          <w:szCs w:val="24"/>
          <w:highlight w:val="none"/>
        </w:rPr>
      </w:pPr>
      <w:r>
        <w:rPr>
          <w:rFonts w:hint="eastAsia" w:ascii="宋体" w:hAnsi="宋体" w:cs="宋体"/>
          <w:spacing w:val="14"/>
          <w:sz w:val="24"/>
          <w:szCs w:val="24"/>
          <w:highlight w:val="none"/>
        </w:rPr>
        <w:t>4、纯信用：凭政府中标订单即可融资。</w:t>
      </w:r>
    </w:p>
    <w:p>
      <w:pPr>
        <w:pStyle w:val="52"/>
        <w:spacing w:line="360" w:lineRule="auto"/>
        <w:jc w:val="left"/>
        <w:rPr>
          <w:rFonts w:ascii="宋体" w:hAnsi="宋体" w:cs="宋体"/>
          <w:spacing w:val="14"/>
          <w:sz w:val="24"/>
          <w:szCs w:val="24"/>
          <w:highlight w:val="none"/>
        </w:rPr>
      </w:pPr>
      <w:r>
        <w:rPr>
          <w:rFonts w:hint="eastAsia" w:ascii="宋体" w:hAnsi="宋体" w:cs="宋体"/>
          <w:spacing w:val="14"/>
          <w:sz w:val="24"/>
          <w:szCs w:val="24"/>
          <w:highlight w:val="none"/>
        </w:rPr>
        <w:t xml:space="preserve">产品申请资格： </w:t>
      </w:r>
    </w:p>
    <w:p>
      <w:pPr>
        <w:pStyle w:val="52"/>
        <w:spacing w:line="360" w:lineRule="auto"/>
        <w:jc w:val="left"/>
        <w:rPr>
          <w:rFonts w:ascii="宋体" w:hAnsi="宋体" w:cs="宋体"/>
          <w:spacing w:val="14"/>
          <w:sz w:val="24"/>
          <w:szCs w:val="24"/>
          <w:highlight w:val="none"/>
        </w:rPr>
      </w:pPr>
      <w:r>
        <w:rPr>
          <w:rFonts w:hint="eastAsia" w:ascii="宋体" w:hAnsi="宋体" w:cs="宋体"/>
          <w:spacing w:val="14"/>
          <w:sz w:val="24"/>
          <w:szCs w:val="24"/>
          <w:highlight w:val="none"/>
        </w:rPr>
        <w:t>我行白名单财政项下的政府采购项目融资。</w:t>
      </w:r>
    </w:p>
    <w:p>
      <w:pPr>
        <w:pStyle w:val="52"/>
        <w:spacing w:line="360" w:lineRule="auto"/>
        <w:jc w:val="left"/>
        <w:rPr>
          <w:rFonts w:ascii="宋体" w:hAnsi="宋体" w:cs="宋体"/>
          <w:spacing w:val="14"/>
          <w:sz w:val="24"/>
          <w:szCs w:val="24"/>
          <w:highlight w:val="none"/>
        </w:rPr>
      </w:pPr>
      <w:r>
        <w:rPr>
          <w:rFonts w:hint="eastAsia" w:ascii="宋体" w:hAnsi="宋体" w:cs="宋体"/>
          <w:spacing w:val="14"/>
          <w:sz w:val="24"/>
          <w:szCs w:val="24"/>
          <w:highlight w:val="none"/>
        </w:rPr>
        <w:t>有历史中标采购记录的政府采购供应商。</w:t>
      </w:r>
    </w:p>
    <w:p>
      <w:pPr>
        <w:pStyle w:val="52"/>
        <w:spacing w:line="360" w:lineRule="auto"/>
        <w:jc w:val="left"/>
        <w:rPr>
          <w:rFonts w:ascii="宋体" w:hAnsi="宋体" w:cs="宋体"/>
          <w:spacing w:val="14"/>
          <w:sz w:val="24"/>
          <w:szCs w:val="24"/>
          <w:highlight w:val="none"/>
        </w:rPr>
      </w:pPr>
      <w:r>
        <w:rPr>
          <w:rFonts w:hint="eastAsia" w:ascii="宋体" w:hAnsi="宋体" w:cs="宋体"/>
          <w:spacing w:val="14"/>
          <w:sz w:val="24"/>
          <w:szCs w:val="24"/>
          <w:highlight w:val="none"/>
        </w:rPr>
        <w:t>企业及申请人信用良好。</w:t>
      </w:r>
    </w:p>
    <w:p>
      <w:pPr>
        <w:pStyle w:val="52"/>
        <w:spacing w:line="360" w:lineRule="auto"/>
        <w:jc w:val="left"/>
        <w:rPr>
          <w:rFonts w:ascii="宋体" w:hAnsi="宋体" w:cs="宋体"/>
          <w:spacing w:val="14"/>
          <w:sz w:val="24"/>
          <w:szCs w:val="24"/>
          <w:highlight w:val="none"/>
        </w:rPr>
      </w:pPr>
      <w:r>
        <w:rPr>
          <w:rFonts w:hint="eastAsia" w:ascii="宋体" w:hAnsi="宋体" w:cs="宋体"/>
          <w:spacing w:val="14"/>
          <w:sz w:val="24"/>
          <w:szCs w:val="24"/>
          <w:highlight w:val="none"/>
        </w:rPr>
        <w:t xml:space="preserve">期限、利率和还款方式： </w:t>
      </w:r>
    </w:p>
    <w:p>
      <w:pPr>
        <w:pStyle w:val="52"/>
        <w:spacing w:line="360" w:lineRule="auto"/>
        <w:jc w:val="left"/>
        <w:rPr>
          <w:rFonts w:ascii="宋体" w:hAnsi="宋体" w:cs="宋体"/>
          <w:spacing w:val="14"/>
          <w:sz w:val="24"/>
          <w:szCs w:val="24"/>
          <w:highlight w:val="none"/>
        </w:rPr>
      </w:pPr>
      <w:r>
        <w:rPr>
          <w:rFonts w:hint="eastAsia" w:ascii="宋体" w:hAnsi="宋体" w:cs="宋体"/>
          <w:spacing w:val="14"/>
          <w:sz w:val="24"/>
          <w:szCs w:val="24"/>
          <w:highlight w:val="none"/>
        </w:rPr>
        <w:t>期限：1个月到1年。</w:t>
      </w:r>
    </w:p>
    <w:p>
      <w:pPr>
        <w:pStyle w:val="52"/>
        <w:spacing w:line="360" w:lineRule="auto"/>
        <w:jc w:val="left"/>
        <w:rPr>
          <w:rFonts w:ascii="宋体" w:hAnsi="宋体" w:cs="宋体"/>
          <w:spacing w:val="14"/>
          <w:sz w:val="24"/>
          <w:szCs w:val="24"/>
          <w:highlight w:val="none"/>
        </w:rPr>
      </w:pPr>
      <w:r>
        <w:rPr>
          <w:rFonts w:hint="eastAsia" w:ascii="宋体" w:hAnsi="宋体" w:cs="宋体"/>
          <w:spacing w:val="14"/>
          <w:sz w:val="24"/>
          <w:szCs w:val="24"/>
          <w:highlight w:val="none"/>
        </w:rPr>
        <w:t>还款方式 ：先息后本、等额本息、等额本金。</w:t>
      </w:r>
    </w:p>
    <w:p>
      <w:pPr>
        <w:pStyle w:val="52"/>
        <w:spacing w:line="360" w:lineRule="auto"/>
        <w:jc w:val="left"/>
        <w:rPr>
          <w:rFonts w:ascii="宋体" w:hAnsi="宋体" w:cs="宋体"/>
          <w:spacing w:val="14"/>
          <w:sz w:val="24"/>
          <w:szCs w:val="24"/>
          <w:highlight w:val="none"/>
        </w:rPr>
      </w:pPr>
      <w:r>
        <w:rPr>
          <w:rFonts w:hint="eastAsia" w:ascii="宋体" w:hAnsi="宋体" w:cs="宋体"/>
          <w:spacing w:val="14"/>
          <w:sz w:val="24"/>
          <w:szCs w:val="24"/>
          <w:highlight w:val="none"/>
        </w:rPr>
        <w:t>利率：年化利率低至6% 。</w:t>
      </w:r>
    </w:p>
    <w:p>
      <w:pPr>
        <w:pStyle w:val="52"/>
        <w:spacing w:line="360" w:lineRule="auto"/>
        <w:jc w:val="left"/>
        <w:rPr>
          <w:rFonts w:ascii="宋体" w:hAnsi="宋体" w:cs="宋体"/>
          <w:spacing w:val="14"/>
          <w:sz w:val="24"/>
          <w:szCs w:val="24"/>
          <w:highlight w:val="none"/>
        </w:rPr>
      </w:pPr>
      <w:r>
        <w:rPr>
          <w:rFonts w:hint="eastAsia" w:ascii="宋体" w:hAnsi="宋体" w:cs="宋体"/>
          <w:spacing w:val="14"/>
          <w:sz w:val="24"/>
          <w:szCs w:val="24"/>
          <w:highlight w:val="none"/>
        </w:rPr>
        <w:t>举例1：贷款100万元，3个月（先息后本，利率6%），前两个月需要支付利息5000元/月，到期还本付息。</w:t>
      </w:r>
    </w:p>
    <w:p>
      <w:pPr>
        <w:pStyle w:val="52"/>
        <w:spacing w:line="360" w:lineRule="auto"/>
        <w:jc w:val="left"/>
        <w:rPr>
          <w:rFonts w:ascii="宋体" w:hAnsi="宋体" w:cs="宋体"/>
          <w:spacing w:val="14"/>
          <w:sz w:val="24"/>
          <w:szCs w:val="24"/>
          <w:highlight w:val="none"/>
        </w:rPr>
      </w:pPr>
      <w:r>
        <w:rPr>
          <w:rFonts w:hint="eastAsia" w:ascii="宋体" w:hAnsi="宋体" w:cs="宋体"/>
          <w:spacing w:val="14"/>
          <w:sz w:val="24"/>
          <w:szCs w:val="24"/>
          <w:highlight w:val="none"/>
        </w:rPr>
        <w:t>举例2：贷款100万元，1年期限（等额本息，利率6%），每个月需要支付本息约86035元。</w:t>
      </w:r>
    </w:p>
    <w:p>
      <w:pPr>
        <w:pStyle w:val="52"/>
        <w:spacing w:line="360" w:lineRule="auto"/>
        <w:jc w:val="left"/>
        <w:rPr>
          <w:rFonts w:ascii="宋体" w:hAnsi="宋体" w:cs="宋体"/>
          <w:spacing w:val="14"/>
          <w:sz w:val="24"/>
          <w:szCs w:val="24"/>
          <w:highlight w:val="none"/>
        </w:rPr>
      </w:pPr>
      <w:r>
        <w:rPr>
          <w:rFonts w:hint="eastAsia" w:ascii="宋体" w:hAnsi="宋体" w:cs="宋体"/>
          <w:spacing w:val="14"/>
          <w:sz w:val="24"/>
          <w:szCs w:val="24"/>
          <w:highlight w:val="none"/>
        </w:rPr>
        <w:t>平安银行洛阳分行联系人：</w:t>
      </w:r>
    </w:p>
    <w:p>
      <w:pPr>
        <w:pStyle w:val="52"/>
        <w:spacing w:line="360" w:lineRule="auto"/>
        <w:jc w:val="left"/>
        <w:rPr>
          <w:rFonts w:ascii="宋体" w:hAnsi="宋体" w:cs="宋体"/>
          <w:spacing w:val="14"/>
          <w:sz w:val="24"/>
          <w:szCs w:val="24"/>
          <w:highlight w:val="none"/>
        </w:rPr>
      </w:pPr>
      <w:r>
        <w:rPr>
          <w:rFonts w:hint="eastAsia" w:ascii="宋体" w:hAnsi="宋体" w:cs="宋体"/>
          <w:spacing w:val="14"/>
          <w:sz w:val="24"/>
          <w:szCs w:val="24"/>
          <w:highlight w:val="none"/>
        </w:rPr>
        <w:t>总经理： 王煜 13523601120</w:t>
      </w:r>
    </w:p>
    <w:p>
      <w:pPr>
        <w:pStyle w:val="52"/>
        <w:spacing w:line="360" w:lineRule="auto"/>
        <w:jc w:val="left"/>
        <w:rPr>
          <w:rFonts w:ascii="宋体" w:hAnsi="宋体" w:cs="宋体"/>
          <w:spacing w:val="14"/>
          <w:sz w:val="24"/>
          <w:szCs w:val="24"/>
          <w:highlight w:val="none"/>
        </w:rPr>
      </w:pPr>
      <w:r>
        <w:rPr>
          <w:rFonts w:hint="eastAsia" w:ascii="宋体" w:hAnsi="宋体" w:cs="宋体"/>
          <w:spacing w:val="14"/>
          <w:sz w:val="24"/>
          <w:szCs w:val="24"/>
          <w:highlight w:val="none"/>
        </w:rPr>
        <w:t>业务经理：许洛周 13938876588</w:t>
      </w:r>
    </w:p>
    <w:p>
      <w:pPr>
        <w:pStyle w:val="52"/>
        <w:spacing w:line="360" w:lineRule="auto"/>
        <w:jc w:val="left"/>
        <w:rPr>
          <w:rFonts w:ascii="宋体" w:hAnsi="宋体" w:cs="宋体"/>
          <w:spacing w:val="14"/>
          <w:sz w:val="24"/>
          <w:szCs w:val="24"/>
          <w:highlight w:val="none"/>
        </w:rPr>
      </w:pPr>
      <w:r>
        <w:rPr>
          <w:rFonts w:hint="eastAsia" w:ascii="宋体" w:hAnsi="宋体" w:cs="宋体"/>
          <w:spacing w:val="14"/>
          <w:sz w:val="24"/>
          <w:szCs w:val="24"/>
          <w:highlight w:val="none"/>
        </w:rPr>
        <w:t>业务负责人：许洛周 13938876588</w:t>
      </w:r>
    </w:p>
    <w:p>
      <w:pPr>
        <w:pStyle w:val="52"/>
        <w:spacing w:line="360" w:lineRule="auto"/>
        <w:jc w:val="center"/>
        <w:rPr>
          <w:rFonts w:ascii="宋体" w:hAnsi="宋体" w:cs="宋体"/>
          <w:b/>
          <w:color w:val="0000FF"/>
          <w:sz w:val="24"/>
          <w:szCs w:val="24"/>
          <w:highlight w:val="none"/>
        </w:rPr>
      </w:pPr>
      <w:r>
        <w:rPr>
          <w:rFonts w:hint="eastAsia" w:ascii="宋体" w:hAnsi="宋体" w:cs="宋体"/>
          <w:b/>
          <w:color w:val="0000FF"/>
          <w:sz w:val="24"/>
          <w:szCs w:val="24"/>
          <w:highlight w:val="none"/>
        </w:rPr>
        <w:t>浙商银行“政采贷”</w:t>
      </w:r>
    </w:p>
    <w:p>
      <w:pPr>
        <w:pStyle w:val="52"/>
        <w:spacing w:line="360" w:lineRule="auto"/>
        <w:jc w:val="left"/>
        <w:rPr>
          <w:rFonts w:ascii="宋体" w:hAnsi="宋体" w:cs="宋体"/>
          <w:spacing w:val="14"/>
          <w:sz w:val="24"/>
          <w:szCs w:val="24"/>
          <w:highlight w:val="none"/>
        </w:rPr>
      </w:pPr>
      <w:r>
        <w:rPr>
          <w:rFonts w:hint="eastAsia" w:ascii="宋体" w:hAnsi="宋体" w:cs="宋体"/>
          <w:spacing w:val="14"/>
          <w:sz w:val="24"/>
          <w:szCs w:val="24"/>
          <w:highlight w:val="none"/>
        </w:rPr>
        <w:t>一、贷款产品介绍</w:t>
      </w:r>
    </w:p>
    <w:p>
      <w:pPr>
        <w:pStyle w:val="52"/>
        <w:spacing w:line="360" w:lineRule="auto"/>
        <w:jc w:val="left"/>
        <w:rPr>
          <w:rFonts w:ascii="宋体" w:hAnsi="宋体" w:cs="宋体"/>
          <w:spacing w:val="14"/>
          <w:sz w:val="24"/>
          <w:szCs w:val="24"/>
          <w:highlight w:val="none"/>
        </w:rPr>
      </w:pPr>
      <w:r>
        <w:rPr>
          <w:rFonts w:hint="eastAsia" w:ascii="宋体" w:hAnsi="宋体" w:cs="宋体"/>
          <w:spacing w:val="14"/>
          <w:sz w:val="24"/>
          <w:szCs w:val="24"/>
          <w:highlight w:val="none"/>
        </w:rPr>
        <w:t>“政采贷”是本行为在政府机关、事业单位、社会团体、国有企业等招标进行的采购活动中中标并签订采购合同的小微企业发放的，以采购人合同款支付作为还款来源的流动资金贷款。借款人为符合本行标准的小型、微型企业。融资模式包括采购合同融资模式与应收账款融资模式。采购项目包括货物类、服务类和部分工程类。</w:t>
      </w:r>
    </w:p>
    <w:p>
      <w:pPr>
        <w:pStyle w:val="52"/>
        <w:spacing w:line="360" w:lineRule="auto"/>
        <w:jc w:val="left"/>
        <w:rPr>
          <w:rFonts w:ascii="宋体" w:hAnsi="宋体" w:cs="宋体"/>
          <w:spacing w:val="14"/>
          <w:sz w:val="24"/>
          <w:szCs w:val="24"/>
          <w:highlight w:val="none"/>
        </w:rPr>
      </w:pPr>
      <w:r>
        <w:rPr>
          <w:rFonts w:hint="eastAsia" w:ascii="宋体" w:hAnsi="宋体" w:cs="宋体"/>
          <w:spacing w:val="14"/>
          <w:sz w:val="24"/>
          <w:szCs w:val="24"/>
          <w:highlight w:val="none"/>
        </w:rPr>
        <w:t xml:space="preserve">二、适用对象                            </w:t>
      </w:r>
    </w:p>
    <w:p>
      <w:pPr>
        <w:pStyle w:val="52"/>
        <w:spacing w:line="360" w:lineRule="auto"/>
        <w:jc w:val="left"/>
        <w:rPr>
          <w:rFonts w:ascii="宋体" w:hAnsi="宋体" w:cs="宋体"/>
          <w:spacing w:val="14"/>
          <w:sz w:val="24"/>
          <w:szCs w:val="24"/>
          <w:highlight w:val="none"/>
        </w:rPr>
      </w:pPr>
      <w:r>
        <w:rPr>
          <w:rFonts w:hint="eastAsia" w:ascii="宋体" w:hAnsi="宋体" w:cs="宋体"/>
          <w:spacing w:val="14"/>
          <w:sz w:val="24"/>
          <w:szCs w:val="24"/>
          <w:highlight w:val="none"/>
        </w:rPr>
        <w:t>连续经营 2 年及以上或实际控制人有 3 年及以上相关行业从业经验经营状况良好，信用记录良好小微企业。</w:t>
      </w:r>
    </w:p>
    <w:p>
      <w:pPr>
        <w:pStyle w:val="52"/>
        <w:spacing w:line="360" w:lineRule="auto"/>
        <w:jc w:val="left"/>
        <w:rPr>
          <w:rFonts w:ascii="宋体" w:hAnsi="宋体" w:cs="宋体"/>
          <w:spacing w:val="14"/>
          <w:sz w:val="24"/>
          <w:szCs w:val="24"/>
          <w:highlight w:val="none"/>
        </w:rPr>
      </w:pPr>
      <w:r>
        <w:rPr>
          <w:rFonts w:hint="eastAsia" w:ascii="宋体" w:hAnsi="宋体" w:cs="宋体"/>
          <w:spacing w:val="14"/>
          <w:sz w:val="24"/>
          <w:szCs w:val="24"/>
          <w:highlight w:val="none"/>
        </w:rPr>
        <w:t>三、贷款期限</w:t>
      </w:r>
    </w:p>
    <w:p>
      <w:pPr>
        <w:pStyle w:val="52"/>
        <w:spacing w:line="360" w:lineRule="auto"/>
        <w:jc w:val="left"/>
        <w:rPr>
          <w:rFonts w:ascii="宋体" w:hAnsi="宋体" w:cs="宋体"/>
          <w:spacing w:val="14"/>
          <w:sz w:val="24"/>
          <w:szCs w:val="24"/>
          <w:highlight w:val="none"/>
        </w:rPr>
      </w:pPr>
      <w:r>
        <w:rPr>
          <w:rFonts w:hint="eastAsia" w:ascii="宋体" w:hAnsi="宋体" w:cs="宋体"/>
          <w:spacing w:val="14"/>
          <w:sz w:val="24"/>
          <w:szCs w:val="24"/>
          <w:highlight w:val="none"/>
        </w:rPr>
        <w:t>贷款期限：货物类、服务类利率最长一年，工程类最长可做三年。</w:t>
      </w:r>
    </w:p>
    <w:p>
      <w:pPr>
        <w:pStyle w:val="52"/>
        <w:spacing w:line="360" w:lineRule="auto"/>
        <w:jc w:val="left"/>
        <w:rPr>
          <w:rFonts w:ascii="宋体" w:hAnsi="宋体" w:cs="宋体"/>
          <w:spacing w:val="14"/>
          <w:sz w:val="24"/>
          <w:szCs w:val="24"/>
          <w:highlight w:val="none"/>
        </w:rPr>
      </w:pPr>
      <w:r>
        <w:rPr>
          <w:rFonts w:hint="eastAsia" w:ascii="宋体" w:hAnsi="宋体" w:cs="宋体"/>
          <w:spacing w:val="14"/>
          <w:sz w:val="24"/>
          <w:szCs w:val="24"/>
          <w:highlight w:val="none"/>
        </w:rPr>
        <w:t>四、产品特点</w:t>
      </w:r>
    </w:p>
    <w:p>
      <w:pPr>
        <w:pStyle w:val="52"/>
        <w:spacing w:line="360" w:lineRule="auto"/>
        <w:jc w:val="left"/>
        <w:rPr>
          <w:rFonts w:ascii="宋体" w:hAnsi="宋体" w:cs="宋体"/>
          <w:spacing w:val="14"/>
          <w:sz w:val="24"/>
          <w:szCs w:val="24"/>
          <w:highlight w:val="none"/>
        </w:rPr>
      </w:pPr>
      <w:r>
        <w:rPr>
          <w:rFonts w:hint="eastAsia" w:ascii="宋体" w:hAnsi="宋体" w:cs="宋体"/>
          <w:spacing w:val="14"/>
          <w:sz w:val="24"/>
          <w:szCs w:val="24"/>
          <w:highlight w:val="none"/>
        </w:rPr>
        <w:t>中标即贷，最高可贷1000万，最快三天审批放款，可做工程类项目。</w:t>
      </w:r>
    </w:p>
    <w:p>
      <w:pPr>
        <w:pStyle w:val="52"/>
        <w:spacing w:line="360" w:lineRule="auto"/>
        <w:jc w:val="left"/>
        <w:rPr>
          <w:rFonts w:ascii="宋体" w:hAnsi="宋体" w:cs="宋体"/>
          <w:spacing w:val="14"/>
          <w:sz w:val="24"/>
          <w:szCs w:val="24"/>
          <w:highlight w:val="none"/>
        </w:rPr>
      </w:pPr>
      <w:r>
        <w:rPr>
          <w:rFonts w:hint="eastAsia" w:ascii="宋体" w:hAnsi="宋体" w:cs="宋体"/>
          <w:spacing w:val="14"/>
          <w:sz w:val="24"/>
          <w:szCs w:val="24"/>
          <w:highlight w:val="none"/>
        </w:rPr>
        <w:t xml:space="preserve">分管领导：张庆浩   联系电话： 18538198600  </w:t>
      </w:r>
    </w:p>
    <w:p>
      <w:pPr>
        <w:pStyle w:val="52"/>
        <w:spacing w:line="360" w:lineRule="auto"/>
        <w:jc w:val="left"/>
        <w:rPr>
          <w:rFonts w:ascii="宋体" w:hAnsi="宋体" w:cs="宋体"/>
          <w:spacing w:val="14"/>
          <w:sz w:val="24"/>
          <w:szCs w:val="24"/>
          <w:highlight w:val="none"/>
        </w:rPr>
      </w:pPr>
      <w:r>
        <w:rPr>
          <w:rFonts w:hint="eastAsia" w:ascii="宋体" w:hAnsi="宋体" w:cs="宋体"/>
          <w:spacing w:val="14"/>
          <w:sz w:val="24"/>
          <w:szCs w:val="24"/>
          <w:highlight w:val="none"/>
        </w:rPr>
        <w:t>信贷经理：郭利波   联系电话：15937918530    具体负责人：李超峰  联系电话：15538530</w:t>
      </w:r>
    </w:p>
    <w:p>
      <w:pPr>
        <w:pStyle w:val="52"/>
        <w:spacing w:line="360" w:lineRule="auto"/>
        <w:jc w:val="center"/>
        <w:rPr>
          <w:rFonts w:ascii="宋体" w:hAnsi="宋体" w:cs="宋体"/>
          <w:sz w:val="24"/>
          <w:szCs w:val="24"/>
          <w:highlight w:val="none"/>
        </w:rPr>
      </w:pPr>
      <w:r>
        <w:rPr>
          <w:rFonts w:hint="eastAsia" w:ascii="宋体" w:hAnsi="宋体" w:cs="宋体"/>
          <w:b/>
          <w:color w:val="0000FF"/>
          <w:sz w:val="24"/>
          <w:szCs w:val="24"/>
          <w:highlight w:val="none"/>
        </w:rPr>
        <w:t>广发银行“政采贷”</w:t>
      </w:r>
    </w:p>
    <w:p>
      <w:pPr>
        <w:pStyle w:val="52"/>
        <w:spacing w:line="360" w:lineRule="auto"/>
        <w:jc w:val="left"/>
        <w:rPr>
          <w:rFonts w:ascii="宋体" w:hAnsi="宋体" w:cs="宋体"/>
          <w:spacing w:val="14"/>
          <w:sz w:val="24"/>
          <w:szCs w:val="24"/>
          <w:highlight w:val="none"/>
        </w:rPr>
      </w:pPr>
      <w:r>
        <w:rPr>
          <w:rFonts w:hint="eastAsia" w:ascii="宋体" w:hAnsi="宋体" w:cs="宋体"/>
          <w:spacing w:val="14"/>
          <w:sz w:val="24"/>
          <w:szCs w:val="24"/>
          <w:highlight w:val="none"/>
        </w:rPr>
        <w:t>一、广发银行“政采贷”</w:t>
      </w:r>
    </w:p>
    <w:p>
      <w:pPr>
        <w:pStyle w:val="52"/>
        <w:spacing w:line="360" w:lineRule="auto"/>
        <w:jc w:val="left"/>
        <w:rPr>
          <w:rFonts w:ascii="宋体" w:hAnsi="宋体" w:cs="宋体"/>
          <w:spacing w:val="14"/>
          <w:sz w:val="24"/>
          <w:szCs w:val="24"/>
          <w:highlight w:val="none"/>
        </w:rPr>
      </w:pPr>
      <w:r>
        <w:rPr>
          <w:rFonts w:hint="eastAsia" w:ascii="宋体" w:hAnsi="宋体" w:cs="宋体"/>
          <w:spacing w:val="14"/>
          <w:sz w:val="24"/>
          <w:szCs w:val="24"/>
          <w:highlight w:val="none"/>
        </w:rPr>
        <w:t>对象：针对政府采购平台内资信情况良好、经营正常的中小微企业供应商提供原材料购买、组织生产、货物运输等流动资金授信服务。</w:t>
      </w:r>
    </w:p>
    <w:p>
      <w:pPr>
        <w:pStyle w:val="52"/>
        <w:spacing w:line="360" w:lineRule="auto"/>
        <w:jc w:val="left"/>
        <w:rPr>
          <w:rFonts w:ascii="宋体" w:hAnsi="宋体" w:cs="宋体"/>
          <w:spacing w:val="14"/>
          <w:sz w:val="24"/>
          <w:szCs w:val="24"/>
          <w:highlight w:val="none"/>
        </w:rPr>
      </w:pPr>
      <w:r>
        <w:rPr>
          <w:rFonts w:hint="eastAsia" w:ascii="宋体" w:hAnsi="宋体" w:cs="宋体"/>
          <w:spacing w:val="14"/>
          <w:sz w:val="24"/>
          <w:szCs w:val="24"/>
          <w:highlight w:val="none"/>
        </w:rPr>
        <w:t>担保方式：以政府采购项目下的应收账款质押；企业实际控制人及主要个人股东提供连带责任保证担保</w:t>
      </w:r>
    </w:p>
    <w:p>
      <w:pPr>
        <w:pStyle w:val="52"/>
        <w:spacing w:line="360" w:lineRule="auto"/>
        <w:jc w:val="left"/>
        <w:rPr>
          <w:rFonts w:ascii="宋体" w:hAnsi="宋体" w:cs="宋体"/>
          <w:spacing w:val="14"/>
          <w:sz w:val="24"/>
          <w:szCs w:val="24"/>
          <w:highlight w:val="none"/>
        </w:rPr>
      </w:pPr>
      <w:r>
        <w:rPr>
          <w:rFonts w:hint="eastAsia" w:ascii="宋体" w:hAnsi="宋体" w:cs="宋体"/>
          <w:spacing w:val="14"/>
          <w:sz w:val="24"/>
          <w:szCs w:val="24"/>
          <w:highlight w:val="none"/>
        </w:rPr>
        <w:t>授信额度：单户敞口授信额度不超过1000万元；单笔采购项目融资不超过有效合同净额的90%</w:t>
      </w:r>
    </w:p>
    <w:p>
      <w:pPr>
        <w:pStyle w:val="52"/>
        <w:spacing w:line="360" w:lineRule="auto"/>
        <w:jc w:val="left"/>
        <w:rPr>
          <w:rFonts w:ascii="宋体" w:hAnsi="宋体" w:cs="宋体"/>
          <w:spacing w:val="14"/>
          <w:sz w:val="24"/>
          <w:szCs w:val="24"/>
          <w:highlight w:val="none"/>
        </w:rPr>
      </w:pPr>
      <w:r>
        <w:rPr>
          <w:rFonts w:hint="eastAsia" w:ascii="宋体" w:hAnsi="宋体" w:cs="宋体"/>
          <w:spacing w:val="14"/>
          <w:sz w:val="24"/>
          <w:szCs w:val="24"/>
          <w:highlight w:val="none"/>
        </w:rPr>
        <w:t>授信期限：额度有效期一年，授信期限不超过一年且不得超过额度到期日后3个月，不超过采购项目合同约定的最迟付款日后3个月</w:t>
      </w:r>
    </w:p>
    <w:p>
      <w:pPr>
        <w:pStyle w:val="52"/>
        <w:spacing w:line="360" w:lineRule="auto"/>
        <w:jc w:val="left"/>
        <w:rPr>
          <w:rFonts w:ascii="宋体" w:hAnsi="宋体" w:cs="宋体"/>
          <w:spacing w:val="14"/>
          <w:sz w:val="24"/>
          <w:szCs w:val="24"/>
          <w:highlight w:val="none"/>
        </w:rPr>
      </w:pPr>
      <w:r>
        <w:rPr>
          <w:rFonts w:hint="eastAsia" w:ascii="宋体" w:hAnsi="宋体" w:cs="宋体"/>
          <w:spacing w:val="14"/>
          <w:sz w:val="24"/>
          <w:szCs w:val="24"/>
          <w:highlight w:val="none"/>
        </w:rPr>
        <w:t>还款方式：按月付息，可根据单笔业务实际付款频率和时间点进行还款，不得采取随借随还出账模式，还款方式应与政府采购合同约定的应收账款金额、账期等相匹配。</w:t>
      </w:r>
    </w:p>
    <w:p>
      <w:pPr>
        <w:pStyle w:val="52"/>
        <w:spacing w:line="360" w:lineRule="auto"/>
        <w:jc w:val="left"/>
        <w:rPr>
          <w:rFonts w:ascii="宋体" w:hAnsi="宋体" w:cs="宋体"/>
          <w:spacing w:val="14"/>
          <w:sz w:val="24"/>
          <w:szCs w:val="24"/>
          <w:highlight w:val="none"/>
        </w:rPr>
      </w:pPr>
      <w:r>
        <w:rPr>
          <w:rFonts w:hint="eastAsia" w:ascii="宋体" w:hAnsi="宋体" w:cs="宋体"/>
          <w:spacing w:val="14"/>
          <w:sz w:val="24"/>
          <w:szCs w:val="24"/>
          <w:highlight w:val="none"/>
        </w:rPr>
        <w:t>二、准入标准</w:t>
      </w:r>
    </w:p>
    <w:p>
      <w:pPr>
        <w:pStyle w:val="52"/>
        <w:spacing w:line="360" w:lineRule="auto"/>
        <w:jc w:val="left"/>
        <w:rPr>
          <w:rFonts w:ascii="宋体" w:hAnsi="宋体" w:cs="宋体"/>
          <w:spacing w:val="14"/>
          <w:sz w:val="24"/>
          <w:szCs w:val="24"/>
          <w:highlight w:val="none"/>
        </w:rPr>
      </w:pPr>
      <w:r>
        <w:rPr>
          <w:rFonts w:hint="eastAsia" w:ascii="宋体" w:hAnsi="宋体" w:cs="宋体"/>
          <w:spacing w:val="14"/>
          <w:sz w:val="24"/>
          <w:szCs w:val="24"/>
          <w:highlight w:val="none"/>
        </w:rPr>
        <w:t>企业成立且持续经营满3年以上，主营业务未有变化，有固定经营场所，且注册地在当地</w:t>
      </w:r>
    </w:p>
    <w:p>
      <w:pPr>
        <w:pStyle w:val="52"/>
        <w:spacing w:line="360" w:lineRule="auto"/>
        <w:jc w:val="left"/>
        <w:rPr>
          <w:rFonts w:ascii="宋体" w:hAnsi="宋体" w:cs="宋体"/>
          <w:spacing w:val="14"/>
          <w:sz w:val="24"/>
          <w:szCs w:val="24"/>
          <w:highlight w:val="none"/>
        </w:rPr>
      </w:pPr>
      <w:r>
        <w:rPr>
          <w:rFonts w:hint="eastAsia" w:ascii="宋体" w:hAnsi="宋体" w:cs="宋体"/>
          <w:spacing w:val="14"/>
          <w:sz w:val="24"/>
          <w:szCs w:val="24"/>
          <w:highlight w:val="none"/>
        </w:rPr>
        <w:t>政府采购历史超过一年或进入政府采购供应商名单时间超过一年，实际履约不低于一次</w:t>
      </w:r>
    </w:p>
    <w:p>
      <w:pPr>
        <w:pStyle w:val="52"/>
        <w:spacing w:line="360" w:lineRule="auto"/>
        <w:jc w:val="left"/>
        <w:rPr>
          <w:rFonts w:ascii="宋体" w:hAnsi="宋体" w:cs="宋体"/>
          <w:spacing w:val="14"/>
          <w:sz w:val="24"/>
          <w:szCs w:val="24"/>
          <w:highlight w:val="none"/>
        </w:rPr>
      </w:pPr>
      <w:r>
        <w:rPr>
          <w:rFonts w:hint="eastAsia" w:ascii="宋体" w:hAnsi="宋体" w:cs="宋体"/>
          <w:spacing w:val="14"/>
          <w:sz w:val="24"/>
          <w:szCs w:val="24"/>
          <w:highlight w:val="none"/>
        </w:rPr>
        <w:t>近两年销售收入保持正增长或主营业务利润为正</w:t>
      </w:r>
    </w:p>
    <w:p>
      <w:pPr>
        <w:pStyle w:val="52"/>
        <w:spacing w:line="360" w:lineRule="auto"/>
        <w:jc w:val="left"/>
        <w:rPr>
          <w:rFonts w:ascii="宋体" w:hAnsi="宋体" w:cs="宋体"/>
          <w:spacing w:val="14"/>
          <w:sz w:val="24"/>
          <w:szCs w:val="24"/>
          <w:highlight w:val="none"/>
        </w:rPr>
      </w:pPr>
      <w:r>
        <w:rPr>
          <w:rFonts w:hint="eastAsia" w:ascii="宋体" w:hAnsi="宋体" w:cs="宋体"/>
          <w:spacing w:val="14"/>
          <w:sz w:val="24"/>
          <w:szCs w:val="24"/>
          <w:highlight w:val="none"/>
        </w:rPr>
        <w:t>资产负债率不超过70%</w:t>
      </w:r>
    </w:p>
    <w:p>
      <w:pPr>
        <w:pStyle w:val="52"/>
        <w:spacing w:line="360" w:lineRule="auto"/>
        <w:jc w:val="left"/>
        <w:rPr>
          <w:rFonts w:ascii="宋体" w:hAnsi="宋体" w:cs="宋体"/>
          <w:spacing w:val="14"/>
          <w:sz w:val="24"/>
          <w:szCs w:val="24"/>
          <w:highlight w:val="none"/>
        </w:rPr>
      </w:pPr>
      <w:r>
        <w:rPr>
          <w:rFonts w:hint="eastAsia" w:ascii="宋体" w:hAnsi="宋体" w:cs="宋体"/>
          <w:spacing w:val="14"/>
          <w:sz w:val="24"/>
          <w:szCs w:val="24"/>
          <w:highlight w:val="none"/>
        </w:rPr>
        <w:t>在我行评价不低于BB+级</w:t>
      </w:r>
    </w:p>
    <w:p>
      <w:pPr>
        <w:pStyle w:val="52"/>
        <w:spacing w:line="360" w:lineRule="auto"/>
        <w:jc w:val="left"/>
        <w:rPr>
          <w:rFonts w:ascii="宋体" w:hAnsi="宋体" w:cs="宋体"/>
          <w:spacing w:val="14"/>
          <w:sz w:val="24"/>
          <w:szCs w:val="24"/>
          <w:highlight w:val="none"/>
        </w:rPr>
      </w:pPr>
      <w:r>
        <w:rPr>
          <w:rFonts w:hint="eastAsia" w:ascii="宋体" w:hAnsi="宋体" w:cs="宋体"/>
          <w:spacing w:val="14"/>
          <w:sz w:val="24"/>
          <w:szCs w:val="24"/>
          <w:highlight w:val="none"/>
        </w:rPr>
        <w:t>企业主（含实际控制人、主要股东或配偶）拥有本地户口或房产</w:t>
      </w:r>
    </w:p>
    <w:p>
      <w:pPr>
        <w:pStyle w:val="52"/>
        <w:spacing w:line="360" w:lineRule="auto"/>
        <w:jc w:val="left"/>
        <w:rPr>
          <w:rFonts w:ascii="宋体" w:hAnsi="宋体" w:cs="宋体"/>
          <w:spacing w:val="14"/>
          <w:sz w:val="24"/>
          <w:szCs w:val="24"/>
          <w:highlight w:val="none"/>
        </w:rPr>
      </w:pPr>
      <w:r>
        <w:rPr>
          <w:rFonts w:hint="eastAsia" w:ascii="宋体" w:hAnsi="宋体" w:cs="宋体"/>
          <w:spacing w:val="14"/>
          <w:sz w:val="24"/>
          <w:szCs w:val="24"/>
          <w:highlight w:val="none"/>
        </w:rPr>
        <w:t>不得介入在金融机构有未结清（互）保类授信（含实际控制人夫妇个人经营性贷款）的企业</w:t>
      </w:r>
    </w:p>
    <w:p>
      <w:pPr>
        <w:pStyle w:val="52"/>
        <w:spacing w:line="360" w:lineRule="auto"/>
        <w:jc w:val="left"/>
        <w:rPr>
          <w:rFonts w:ascii="宋体" w:hAnsi="宋体" w:cs="宋体"/>
          <w:spacing w:val="14"/>
          <w:sz w:val="24"/>
          <w:szCs w:val="24"/>
          <w:highlight w:val="none"/>
        </w:rPr>
      </w:pPr>
      <w:r>
        <w:rPr>
          <w:rFonts w:hint="eastAsia" w:ascii="宋体" w:hAnsi="宋体" w:cs="宋体"/>
          <w:spacing w:val="14"/>
          <w:sz w:val="24"/>
          <w:szCs w:val="24"/>
          <w:highlight w:val="none"/>
        </w:rPr>
        <w:t>三、授信用途</w:t>
      </w:r>
    </w:p>
    <w:p>
      <w:pPr>
        <w:pStyle w:val="52"/>
        <w:spacing w:line="360" w:lineRule="auto"/>
        <w:jc w:val="left"/>
        <w:rPr>
          <w:rFonts w:ascii="宋体" w:hAnsi="宋体" w:cs="宋体"/>
          <w:spacing w:val="14"/>
          <w:sz w:val="24"/>
          <w:szCs w:val="24"/>
          <w:highlight w:val="none"/>
        </w:rPr>
      </w:pPr>
      <w:r>
        <w:rPr>
          <w:rFonts w:hint="eastAsia" w:ascii="宋体" w:hAnsi="宋体" w:cs="宋体"/>
          <w:spacing w:val="14"/>
          <w:sz w:val="24"/>
          <w:szCs w:val="24"/>
          <w:highlight w:val="none"/>
        </w:rPr>
        <w:t>授信仅限于借款人自身在具体合同项下的原材料采购、组织生产、货物运输等劳动资金需求，不得挪用于担保企业、借款人关联企业、借款人固定资产建设和股本权益类投资</w:t>
      </w:r>
    </w:p>
    <w:p>
      <w:pPr>
        <w:pStyle w:val="52"/>
        <w:spacing w:line="360" w:lineRule="auto"/>
        <w:jc w:val="left"/>
        <w:rPr>
          <w:rFonts w:ascii="宋体" w:hAnsi="宋体" w:cs="宋体"/>
          <w:spacing w:val="14"/>
          <w:sz w:val="24"/>
          <w:szCs w:val="24"/>
          <w:highlight w:val="none"/>
        </w:rPr>
      </w:pPr>
      <w:r>
        <w:rPr>
          <w:rFonts w:hint="eastAsia" w:ascii="宋体" w:hAnsi="宋体" w:cs="宋体"/>
          <w:spacing w:val="14"/>
          <w:sz w:val="24"/>
          <w:szCs w:val="24"/>
          <w:highlight w:val="none"/>
        </w:rPr>
        <w:t>四、业务流程</w:t>
      </w:r>
    </w:p>
    <w:p>
      <w:pPr>
        <w:pStyle w:val="52"/>
        <w:spacing w:line="360" w:lineRule="auto"/>
        <w:jc w:val="left"/>
        <w:rPr>
          <w:rFonts w:ascii="宋体" w:hAnsi="宋体" w:cs="宋体"/>
          <w:spacing w:val="14"/>
          <w:sz w:val="24"/>
          <w:szCs w:val="24"/>
          <w:highlight w:val="none"/>
        </w:rPr>
      </w:pPr>
      <w:r>
        <w:rPr>
          <w:rFonts w:hint="eastAsia" w:ascii="宋体" w:hAnsi="宋体" w:cs="宋体"/>
          <w:spacing w:val="14"/>
          <w:sz w:val="24"/>
          <w:szCs w:val="24"/>
          <w:highlight w:val="none"/>
        </w:rPr>
        <w:t>业务访谈，确定贸易真实性</w:t>
      </w:r>
    </w:p>
    <w:p>
      <w:pPr>
        <w:pStyle w:val="52"/>
        <w:spacing w:line="360" w:lineRule="auto"/>
        <w:jc w:val="left"/>
        <w:rPr>
          <w:rFonts w:ascii="宋体" w:hAnsi="宋体" w:cs="宋体"/>
          <w:spacing w:val="14"/>
          <w:sz w:val="24"/>
          <w:szCs w:val="24"/>
          <w:highlight w:val="none"/>
        </w:rPr>
      </w:pPr>
      <w:r>
        <w:rPr>
          <w:rFonts w:hint="eastAsia" w:ascii="宋体" w:hAnsi="宋体" w:cs="宋体"/>
          <w:spacing w:val="14"/>
          <w:sz w:val="24"/>
          <w:szCs w:val="24"/>
          <w:highlight w:val="none"/>
        </w:rPr>
        <w:t>授信申请，企业按照我行授信调查的相关规定提供申请资料</w:t>
      </w:r>
    </w:p>
    <w:p>
      <w:pPr>
        <w:pStyle w:val="52"/>
        <w:spacing w:line="360" w:lineRule="auto"/>
        <w:jc w:val="left"/>
        <w:rPr>
          <w:rFonts w:ascii="宋体" w:hAnsi="宋体" w:cs="宋体"/>
          <w:spacing w:val="14"/>
          <w:sz w:val="24"/>
          <w:szCs w:val="24"/>
          <w:highlight w:val="none"/>
        </w:rPr>
      </w:pPr>
      <w:r>
        <w:rPr>
          <w:rFonts w:hint="eastAsia" w:ascii="宋体" w:hAnsi="宋体" w:cs="宋体"/>
          <w:spacing w:val="14"/>
          <w:sz w:val="24"/>
          <w:szCs w:val="24"/>
          <w:highlight w:val="none"/>
        </w:rPr>
        <w:t>授信调查与额度核定，客户经理双人调查，发起客户评级，并按流程提交审批</w:t>
      </w:r>
    </w:p>
    <w:p>
      <w:pPr>
        <w:pStyle w:val="52"/>
        <w:spacing w:line="360" w:lineRule="auto"/>
        <w:jc w:val="left"/>
        <w:rPr>
          <w:rFonts w:ascii="宋体" w:hAnsi="宋体" w:cs="宋体"/>
          <w:spacing w:val="14"/>
          <w:sz w:val="24"/>
          <w:szCs w:val="24"/>
          <w:highlight w:val="none"/>
        </w:rPr>
      </w:pPr>
      <w:r>
        <w:rPr>
          <w:rFonts w:hint="eastAsia" w:ascii="宋体" w:hAnsi="宋体" w:cs="宋体"/>
          <w:spacing w:val="14"/>
          <w:sz w:val="24"/>
          <w:szCs w:val="24"/>
          <w:highlight w:val="none"/>
        </w:rPr>
        <w:t>授信审查审批</w:t>
      </w:r>
    </w:p>
    <w:p>
      <w:pPr>
        <w:pStyle w:val="52"/>
        <w:spacing w:line="360" w:lineRule="auto"/>
        <w:jc w:val="left"/>
        <w:rPr>
          <w:rFonts w:ascii="宋体" w:hAnsi="宋体" w:cs="宋体"/>
          <w:spacing w:val="14"/>
          <w:sz w:val="24"/>
          <w:szCs w:val="24"/>
          <w:highlight w:val="none"/>
        </w:rPr>
      </w:pPr>
      <w:r>
        <w:rPr>
          <w:rFonts w:hint="eastAsia" w:ascii="宋体" w:hAnsi="宋体" w:cs="宋体"/>
          <w:spacing w:val="14"/>
          <w:sz w:val="24"/>
          <w:szCs w:val="24"/>
          <w:highlight w:val="none"/>
        </w:rPr>
        <w:t>按照要求出账</w:t>
      </w:r>
    </w:p>
    <w:p>
      <w:pPr>
        <w:pStyle w:val="52"/>
        <w:spacing w:line="360" w:lineRule="auto"/>
        <w:jc w:val="left"/>
        <w:rPr>
          <w:rFonts w:ascii="宋体" w:hAnsi="宋体" w:cs="宋体"/>
          <w:spacing w:val="14"/>
          <w:sz w:val="24"/>
          <w:szCs w:val="24"/>
          <w:highlight w:val="none"/>
        </w:rPr>
      </w:pPr>
      <w:r>
        <w:rPr>
          <w:rFonts w:hint="eastAsia" w:ascii="宋体" w:hAnsi="宋体" w:cs="宋体"/>
          <w:spacing w:val="14"/>
          <w:sz w:val="24"/>
          <w:szCs w:val="24"/>
          <w:highlight w:val="none"/>
        </w:rPr>
        <w:t>主管行长：      李文强  18137865269</w:t>
      </w:r>
    </w:p>
    <w:p>
      <w:pPr>
        <w:pStyle w:val="52"/>
        <w:spacing w:line="360" w:lineRule="auto"/>
        <w:jc w:val="left"/>
        <w:rPr>
          <w:rFonts w:ascii="宋体" w:hAnsi="宋体" w:cs="宋体"/>
          <w:spacing w:val="14"/>
          <w:sz w:val="24"/>
          <w:szCs w:val="24"/>
          <w:highlight w:val="none"/>
        </w:rPr>
      </w:pPr>
      <w:r>
        <w:rPr>
          <w:rFonts w:hint="eastAsia" w:ascii="宋体" w:hAnsi="宋体" w:cs="宋体"/>
          <w:spacing w:val="14"/>
          <w:sz w:val="24"/>
          <w:szCs w:val="24"/>
          <w:highlight w:val="none"/>
        </w:rPr>
        <w:t>具体负责人：    何俊杰  13838894026</w:t>
      </w:r>
    </w:p>
    <w:p>
      <w:pPr>
        <w:pStyle w:val="52"/>
        <w:spacing w:line="360" w:lineRule="auto"/>
        <w:jc w:val="left"/>
        <w:rPr>
          <w:rFonts w:ascii="宋体" w:hAnsi="宋体" w:cs="宋体"/>
          <w:spacing w:val="14"/>
          <w:sz w:val="24"/>
          <w:szCs w:val="24"/>
          <w:highlight w:val="none"/>
        </w:rPr>
      </w:pPr>
      <w:r>
        <w:rPr>
          <w:rFonts w:hint="eastAsia" w:ascii="宋体" w:hAnsi="宋体" w:cs="宋体"/>
          <w:spacing w:val="14"/>
          <w:sz w:val="24"/>
          <w:szCs w:val="24"/>
          <w:highlight w:val="none"/>
        </w:rPr>
        <w:t>信贷经理：      姜晓凤  15103799119</w:t>
      </w:r>
    </w:p>
    <w:p>
      <w:pPr>
        <w:pStyle w:val="52"/>
        <w:spacing w:line="360" w:lineRule="auto"/>
        <w:jc w:val="center"/>
        <w:rPr>
          <w:rFonts w:ascii="宋体" w:hAnsi="宋体" w:cs="宋体"/>
          <w:b/>
          <w:bCs/>
          <w:color w:val="0000FF"/>
          <w:sz w:val="24"/>
          <w:szCs w:val="24"/>
          <w:highlight w:val="none"/>
        </w:rPr>
      </w:pPr>
      <w:r>
        <w:rPr>
          <w:rFonts w:hint="eastAsia" w:ascii="宋体" w:hAnsi="宋体" w:cs="宋体"/>
          <w:b/>
          <w:bCs/>
          <w:color w:val="0000FF"/>
          <w:sz w:val="24"/>
          <w:szCs w:val="24"/>
          <w:highlight w:val="none"/>
        </w:rPr>
        <w:t>中信银行洛阳分行”政采贷”</w:t>
      </w:r>
    </w:p>
    <w:p>
      <w:pPr>
        <w:pStyle w:val="52"/>
        <w:spacing w:line="360" w:lineRule="auto"/>
        <w:jc w:val="left"/>
        <w:rPr>
          <w:rFonts w:ascii="宋体" w:hAnsi="宋体" w:cs="宋体"/>
          <w:spacing w:val="14"/>
          <w:sz w:val="24"/>
          <w:szCs w:val="24"/>
          <w:highlight w:val="none"/>
        </w:rPr>
      </w:pPr>
      <w:r>
        <w:rPr>
          <w:rFonts w:hint="eastAsia" w:ascii="宋体" w:hAnsi="宋体" w:cs="宋体"/>
          <w:spacing w:val="14"/>
          <w:sz w:val="24"/>
          <w:szCs w:val="24"/>
          <w:highlight w:val="none"/>
        </w:rPr>
        <w:t>一、产品释义</w:t>
      </w:r>
    </w:p>
    <w:p>
      <w:pPr>
        <w:pStyle w:val="52"/>
        <w:spacing w:line="360" w:lineRule="auto"/>
        <w:jc w:val="left"/>
        <w:rPr>
          <w:rFonts w:ascii="宋体" w:hAnsi="宋体" w:cs="宋体"/>
          <w:spacing w:val="14"/>
          <w:sz w:val="24"/>
          <w:szCs w:val="24"/>
          <w:highlight w:val="none"/>
        </w:rPr>
      </w:pPr>
      <w:r>
        <w:rPr>
          <w:rFonts w:hint="eastAsia" w:ascii="宋体" w:hAnsi="宋体" w:cs="宋体"/>
          <w:spacing w:val="14"/>
          <w:sz w:val="24"/>
          <w:szCs w:val="24"/>
          <w:highlight w:val="none"/>
        </w:rPr>
        <w:t>“政采贷”是中信银行为政府采购中标小微企业提供的特色融资业务，致力于解决政府采购上游供应商的融资难题。</w:t>
      </w:r>
    </w:p>
    <w:p>
      <w:pPr>
        <w:pStyle w:val="52"/>
        <w:spacing w:line="360" w:lineRule="auto"/>
        <w:jc w:val="left"/>
        <w:rPr>
          <w:rFonts w:ascii="宋体" w:hAnsi="宋体" w:cs="宋体"/>
          <w:spacing w:val="14"/>
          <w:sz w:val="24"/>
          <w:szCs w:val="24"/>
          <w:highlight w:val="none"/>
        </w:rPr>
      </w:pPr>
      <w:r>
        <w:rPr>
          <w:rFonts w:hint="eastAsia" w:ascii="宋体" w:hAnsi="宋体" w:cs="宋体"/>
          <w:spacing w:val="14"/>
          <w:sz w:val="24"/>
          <w:szCs w:val="24"/>
          <w:highlight w:val="none"/>
        </w:rPr>
        <w:t>二、产品特点</w:t>
      </w:r>
    </w:p>
    <w:p>
      <w:pPr>
        <w:pStyle w:val="52"/>
        <w:spacing w:line="360" w:lineRule="auto"/>
        <w:jc w:val="left"/>
        <w:rPr>
          <w:rFonts w:ascii="宋体" w:hAnsi="宋体" w:cs="宋体"/>
          <w:spacing w:val="14"/>
          <w:sz w:val="24"/>
          <w:szCs w:val="24"/>
          <w:highlight w:val="none"/>
        </w:rPr>
      </w:pPr>
      <w:r>
        <w:rPr>
          <w:rFonts w:hint="eastAsia" w:ascii="宋体" w:hAnsi="宋体" w:cs="宋体"/>
          <w:spacing w:val="14"/>
          <w:sz w:val="24"/>
          <w:szCs w:val="24"/>
          <w:highlight w:val="none"/>
        </w:rPr>
        <w:t>授信额度高、授信期限长、担保方式活</w:t>
      </w:r>
    </w:p>
    <w:p>
      <w:pPr>
        <w:pStyle w:val="52"/>
        <w:spacing w:line="360" w:lineRule="auto"/>
        <w:jc w:val="left"/>
        <w:rPr>
          <w:rFonts w:ascii="宋体" w:hAnsi="宋体" w:cs="宋体"/>
          <w:spacing w:val="14"/>
          <w:sz w:val="24"/>
          <w:szCs w:val="24"/>
          <w:highlight w:val="none"/>
        </w:rPr>
      </w:pPr>
      <w:r>
        <w:rPr>
          <w:rFonts w:hint="eastAsia" w:ascii="宋体" w:hAnsi="宋体" w:cs="宋体"/>
          <w:spacing w:val="14"/>
          <w:sz w:val="24"/>
          <w:szCs w:val="24"/>
          <w:highlight w:val="none"/>
        </w:rPr>
        <w:t>三、产品内容</w:t>
      </w:r>
    </w:p>
    <w:p>
      <w:pPr>
        <w:pStyle w:val="52"/>
        <w:spacing w:line="360" w:lineRule="auto"/>
        <w:jc w:val="left"/>
        <w:rPr>
          <w:rFonts w:ascii="宋体" w:hAnsi="宋体" w:cs="宋体"/>
          <w:spacing w:val="14"/>
          <w:sz w:val="24"/>
          <w:szCs w:val="24"/>
          <w:highlight w:val="none"/>
        </w:rPr>
      </w:pPr>
      <w:r>
        <w:rPr>
          <w:rFonts w:hint="eastAsia" w:ascii="宋体" w:hAnsi="宋体" w:cs="宋体"/>
          <w:spacing w:val="14"/>
          <w:sz w:val="24"/>
          <w:szCs w:val="24"/>
          <w:highlight w:val="none"/>
        </w:rPr>
        <w:t>金额最高1000万元（含）、贷款期限最长1年（含）、无需抵质押物</w:t>
      </w:r>
    </w:p>
    <w:p>
      <w:pPr>
        <w:pStyle w:val="52"/>
        <w:spacing w:line="360" w:lineRule="auto"/>
        <w:jc w:val="left"/>
        <w:rPr>
          <w:rFonts w:ascii="宋体" w:hAnsi="宋体" w:cs="宋体"/>
          <w:spacing w:val="14"/>
          <w:sz w:val="24"/>
          <w:szCs w:val="24"/>
          <w:highlight w:val="none"/>
        </w:rPr>
      </w:pPr>
      <w:r>
        <w:rPr>
          <w:rFonts w:hint="eastAsia" w:ascii="宋体" w:hAnsi="宋体" w:cs="宋体"/>
          <w:spacing w:val="14"/>
          <w:sz w:val="24"/>
          <w:szCs w:val="24"/>
          <w:highlight w:val="none"/>
        </w:rPr>
        <w:t>四、申请基本条件</w:t>
      </w:r>
    </w:p>
    <w:p>
      <w:pPr>
        <w:pStyle w:val="52"/>
        <w:spacing w:line="360" w:lineRule="auto"/>
        <w:jc w:val="left"/>
        <w:rPr>
          <w:rFonts w:ascii="宋体" w:hAnsi="宋体" w:cs="宋体"/>
          <w:spacing w:val="14"/>
          <w:sz w:val="24"/>
          <w:szCs w:val="24"/>
          <w:highlight w:val="none"/>
        </w:rPr>
      </w:pPr>
      <w:r>
        <w:rPr>
          <w:rFonts w:hint="eastAsia" w:ascii="宋体" w:hAnsi="宋体" w:cs="宋体"/>
          <w:spacing w:val="14"/>
          <w:sz w:val="24"/>
          <w:szCs w:val="24"/>
          <w:highlight w:val="none"/>
        </w:rPr>
        <w:t>有固定的经营场所</w:t>
      </w:r>
    </w:p>
    <w:p>
      <w:pPr>
        <w:pStyle w:val="52"/>
        <w:spacing w:line="360" w:lineRule="auto"/>
        <w:jc w:val="left"/>
        <w:rPr>
          <w:rFonts w:ascii="宋体" w:hAnsi="宋体" w:cs="宋体"/>
          <w:spacing w:val="14"/>
          <w:sz w:val="24"/>
          <w:szCs w:val="24"/>
          <w:highlight w:val="none"/>
        </w:rPr>
      </w:pPr>
      <w:r>
        <w:rPr>
          <w:rFonts w:hint="eastAsia" w:ascii="宋体" w:hAnsi="宋体" w:cs="宋体"/>
          <w:spacing w:val="14"/>
          <w:sz w:val="24"/>
          <w:szCs w:val="24"/>
          <w:highlight w:val="none"/>
        </w:rPr>
        <w:t>信用记录良好，无不良、违法行为；</w:t>
      </w:r>
    </w:p>
    <w:p>
      <w:pPr>
        <w:pStyle w:val="52"/>
        <w:spacing w:line="360" w:lineRule="auto"/>
        <w:jc w:val="left"/>
        <w:rPr>
          <w:rFonts w:ascii="宋体" w:hAnsi="宋体" w:cs="宋体"/>
          <w:spacing w:val="14"/>
          <w:sz w:val="24"/>
          <w:szCs w:val="24"/>
          <w:highlight w:val="none"/>
        </w:rPr>
      </w:pPr>
      <w:r>
        <w:rPr>
          <w:rFonts w:hint="eastAsia" w:ascii="宋体" w:hAnsi="宋体" w:cs="宋体"/>
          <w:spacing w:val="14"/>
          <w:sz w:val="24"/>
          <w:szCs w:val="24"/>
          <w:highlight w:val="none"/>
        </w:rPr>
        <w:t>持续经营6个月（含）以上或实际控制人从业2年以上</w:t>
      </w:r>
    </w:p>
    <w:p>
      <w:pPr>
        <w:pStyle w:val="52"/>
        <w:spacing w:line="360" w:lineRule="auto"/>
        <w:jc w:val="left"/>
        <w:rPr>
          <w:rFonts w:ascii="宋体" w:hAnsi="宋体" w:cs="宋体"/>
          <w:spacing w:val="14"/>
          <w:sz w:val="24"/>
          <w:szCs w:val="24"/>
          <w:highlight w:val="none"/>
        </w:rPr>
      </w:pPr>
      <w:r>
        <w:rPr>
          <w:rFonts w:hint="eastAsia" w:ascii="宋体" w:hAnsi="宋体" w:cs="宋体"/>
          <w:spacing w:val="14"/>
          <w:sz w:val="24"/>
          <w:szCs w:val="24"/>
          <w:highlight w:val="none"/>
        </w:rPr>
        <w:t>从事政府采购活动1年以上；</w:t>
      </w:r>
    </w:p>
    <w:p>
      <w:pPr>
        <w:pStyle w:val="52"/>
        <w:spacing w:line="360" w:lineRule="auto"/>
        <w:jc w:val="left"/>
        <w:rPr>
          <w:rFonts w:ascii="宋体" w:hAnsi="宋体" w:cs="宋体"/>
          <w:spacing w:val="14"/>
          <w:sz w:val="24"/>
          <w:szCs w:val="24"/>
          <w:highlight w:val="none"/>
        </w:rPr>
      </w:pPr>
      <w:r>
        <w:rPr>
          <w:rFonts w:hint="eastAsia" w:ascii="宋体" w:hAnsi="宋体" w:cs="宋体"/>
          <w:spacing w:val="14"/>
          <w:sz w:val="24"/>
          <w:szCs w:val="24"/>
          <w:highlight w:val="none"/>
        </w:rPr>
        <w:t>具备政府采购投标资格且交易记录良好</w:t>
      </w:r>
    </w:p>
    <w:p>
      <w:pPr>
        <w:pStyle w:val="52"/>
        <w:spacing w:line="360" w:lineRule="auto"/>
        <w:jc w:val="left"/>
        <w:rPr>
          <w:rFonts w:ascii="宋体" w:hAnsi="宋体" w:cs="宋体"/>
          <w:spacing w:val="14"/>
          <w:sz w:val="24"/>
          <w:szCs w:val="24"/>
          <w:highlight w:val="none"/>
        </w:rPr>
      </w:pPr>
      <w:r>
        <w:rPr>
          <w:rFonts w:hint="eastAsia" w:ascii="宋体" w:hAnsi="宋体" w:cs="宋体"/>
          <w:spacing w:val="14"/>
          <w:sz w:val="24"/>
          <w:szCs w:val="24"/>
          <w:highlight w:val="none"/>
        </w:rPr>
        <w:t>采购项目符合国家产业政策和资源环保政策要求</w:t>
      </w:r>
    </w:p>
    <w:p>
      <w:pPr>
        <w:pStyle w:val="52"/>
        <w:spacing w:line="360" w:lineRule="auto"/>
        <w:jc w:val="left"/>
        <w:rPr>
          <w:rFonts w:ascii="宋体" w:hAnsi="宋体" w:cs="宋体"/>
          <w:spacing w:val="14"/>
          <w:sz w:val="24"/>
          <w:szCs w:val="24"/>
          <w:highlight w:val="none"/>
        </w:rPr>
      </w:pPr>
      <w:r>
        <w:rPr>
          <w:rFonts w:hint="eastAsia" w:ascii="宋体" w:hAnsi="宋体" w:cs="宋体"/>
          <w:spacing w:val="14"/>
          <w:sz w:val="24"/>
          <w:szCs w:val="24"/>
          <w:highlight w:val="none"/>
        </w:rPr>
        <w:t>五、申请资料</w:t>
      </w:r>
    </w:p>
    <w:p>
      <w:pPr>
        <w:pStyle w:val="52"/>
        <w:spacing w:line="360" w:lineRule="auto"/>
        <w:jc w:val="left"/>
        <w:rPr>
          <w:rFonts w:ascii="宋体" w:hAnsi="宋体" w:cs="宋体"/>
          <w:spacing w:val="14"/>
          <w:sz w:val="24"/>
          <w:szCs w:val="24"/>
          <w:highlight w:val="none"/>
        </w:rPr>
      </w:pPr>
      <w:r>
        <w:rPr>
          <w:rFonts w:hint="eastAsia" w:ascii="宋体" w:hAnsi="宋体" w:cs="宋体"/>
          <w:spacing w:val="14"/>
          <w:sz w:val="24"/>
          <w:szCs w:val="24"/>
          <w:highlight w:val="none"/>
        </w:rPr>
        <w:t>营业执照；实际控制人身份证件；经营情况资料；从事政府采购活动资料；近一年政府采购回款的银行流水</w:t>
      </w:r>
    </w:p>
    <w:p>
      <w:pPr>
        <w:pStyle w:val="52"/>
        <w:spacing w:line="360" w:lineRule="auto"/>
        <w:jc w:val="left"/>
        <w:rPr>
          <w:rFonts w:ascii="宋体" w:hAnsi="宋体" w:cs="宋体"/>
          <w:spacing w:val="14"/>
          <w:sz w:val="24"/>
          <w:szCs w:val="24"/>
          <w:highlight w:val="none"/>
        </w:rPr>
      </w:pPr>
      <w:r>
        <w:rPr>
          <w:rFonts w:hint="eastAsia" w:ascii="宋体" w:hAnsi="宋体" w:cs="宋体"/>
          <w:spacing w:val="14"/>
          <w:sz w:val="24"/>
          <w:szCs w:val="24"/>
          <w:highlight w:val="none"/>
        </w:rPr>
        <w:t>中信银行洛阳分行”政采贷”联系人：</w:t>
      </w:r>
    </w:p>
    <w:p>
      <w:pPr>
        <w:pStyle w:val="52"/>
        <w:spacing w:line="360" w:lineRule="auto"/>
        <w:jc w:val="left"/>
        <w:rPr>
          <w:rFonts w:ascii="宋体" w:hAnsi="宋体" w:cs="宋体"/>
          <w:spacing w:val="14"/>
          <w:sz w:val="24"/>
          <w:szCs w:val="24"/>
          <w:highlight w:val="none"/>
        </w:rPr>
      </w:pPr>
      <w:r>
        <w:rPr>
          <w:rFonts w:hint="eastAsia" w:ascii="宋体" w:hAnsi="宋体" w:cs="宋体"/>
          <w:spacing w:val="14"/>
          <w:sz w:val="24"/>
          <w:szCs w:val="24"/>
          <w:highlight w:val="none"/>
        </w:rPr>
        <w:t>高晋卿  洛阳分行副行长 18637127868</w:t>
      </w:r>
    </w:p>
    <w:p>
      <w:pPr>
        <w:pStyle w:val="52"/>
        <w:spacing w:line="360" w:lineRule="auto"/>
        <w:jc w:val="left"/>
        <w:rPr>
          <w:rFonts w:ascii="宋体" w:hAnsi="宋体" w:cs="宋体"/>
          <w:spacing w:val="14"/>
          <w:sz w:val="24"/>
          <w:szCs w:val="24"/>
          <w:highlight w:val="none"/>
        </w:rPr>
      </w:pPr>
      <w:r>
        <w:rPr>
          <w:rFonts w:hint="eastAsia" w:ascii="宋体" w:hAnsi="宋体" w:cs="宋体"/>
          <w:spacing w:val="14"/>
          <w:sz w:val="24"/>
          <w:szCs w:val="24"/>
          <w:highlight w:val="none"/>
        </w:rPr>
        <w:t>闫恺   洛阳分行普惠金融部总经理 15837959999</w:t>
      </w:r>
    </w:p>
    <w:p>
      <w:pPr>
        <w:pStyle w:val="52"/>
        <w:spacing w:line="360" w:lineRule="auto"/>
        <w:jc w:val="left"/>
        <w:rPr>
          <w:rFonts w:ascii="宋体" w:hAnsi="宋体" w:cs="宋体"/>
          <w:spacing w:val="14"/>
          <w:sz w:val="24"/>
          <w:szCs w:val="24"/>
          <w:highlight w:val="none"/>
        </w:rPr>
      </w:pPr>
      <w:r>
        <w:rPr>
          <w:rFonts w:hint="eastAsia" w:ascii="宋体" w:hAnsi="宋体" w:cs="宋体"/>
          <w:spacing w:val="14"/>
          <w:sz w:val="24"/>
          <w:szCs w:val="24"/>
          <w:highlight w:val="none"/>
        </w:rPr>
        <w:t>陈幽静  洛阳分行普惠金融部信贷经理 15838817353</w:t>
      </w:r>
    </w:p>
    <w:p>
      <w:pPr>
        <w:pStyle w:val="52"/>
        <w:widowControl/>
        <w:spacing w:line="360" w:lineRule="auto"/>
        <w:jc w:val="left"/>
        <w:rPr>
          <w:rFonts w:ascii="宋体" w:hAnsi="宋体" w:cs="宋体"/>
          <w:sz w:val="24"/>
          <w:szCs w:val="24"/>
          <w:highlight w:val="none"/>
        </w:rPr>
      </w:pPr>
    </w:p>
    <w:p>
      <w:pPr>
        <w:pStyle w:val="52"/>
        <w:spacing w:line="360" w:lineRule="auto"/>
        <w:jc w:val="center"/>
        <w:rPr>
          <w:rFonts w:ascii="宋体" w:hAnsi="宋体" w:cs="宋体"/>
          <w:sz w:val="24"/>
          <w:szCs w:val="24"/>
          <w:highlight w:val="none"/>
        </w:rPr>
      </w:pPr>
      <w:r>
        <w:rPr>
          <w:rFonts w:hint="eastAsia" w:ascii="宋体" w:hAnsi="宋体" w:cs="宋体"/>
          <w:b/>
          <w:bCs/>
          <w:color w:val="0000FF"/>
          <w:sz w:val="24"/>
          <w:szCs w:val="24"/>
          <w:highlight w:val="none"/>
        </w:rPr>
        <w:t>洛阳银行“政采贷”</w:t>
      </w:r>
    </w:p>
    <w:p>
      <w:pPr>
        <w:pStyle w:val="52"/>
        <w:spacing w:line="360" w:lineRule="auto"/>
        <w:jc w:val="left"/>
        <w:rPr>
          <w:rFonts w:ascii="宋体" w:hAnsi="宋体" w:cs="宋体"/>
          <w:spacing w:val="14"/>
          <w:sz w:val="24"/>
          <w:szCs w:val="24"/>
          <w:highlight w:val="none"/>
        </w:rPr>
      </w:pPr>
      <w:r>
        <w:rPr>
          <w:rFonts w:hint="eastAsia" w:ascii="宋体" w:hAnsi="宋体" w:cs="宋体"/>
          <w:spacing w:val="14"/>
          <w:sz w:val="24"/>
          <w:szCs w:val="24"/>
          <w:highlight w:val="none"/>
        </w:rPr>
        <w:t>（一）资料清单</w:t>
      </w:r>
    </w:p>
    <w:p>
      <w:pPr>
        <w:pStyle w:val="52"/>
        <w:spacing w:line="360" w:lineRule="auto"/>
        <w:jc w:val="left"/>
        <w:rPr>
          <w:rFonts w:ascii="宋体" w:hAnsi="宋体" w:cs="宋体"/>
          <w:spacing w:val="14"/>
          <w:sz w:val="24"/>
          <w:szCs w:val="24"/>
          <w:highlight w:val="none"/>
        </w:rPr>
      </w:pPr>
      <w:r>
        <w:rPr>
          <w:rFonts w:hint="eastAsia" w:ascii="宋体" w:hAnsi="宋体" w:cs="宋体"/>
          <w:spacing w:val="14"/>
          <w:sz w:val="24"/>
          <w:szCs w:val="24"/>
          <w:highlight w:val="none"/>
        </w:rPr>
        <w:t>1、借款人依法成立并有效存续的相关材料；</w:t>
      </w:r>
    </w:p>
    <w:p>
      <w:pPr>
        <w:pStyle w:val="52"/>
        <w:spacing w:line="360" w:lineRule="auto"/>
        <w:jc w:val="left"/>
        <w:rPr>
          <w:rFonts w:ascii="宋体" w:hAnsi="宋体" w:cs="宋体"/>
          <w:spacing w:val="14"/>
          <w:sz w:val="24"/>
          <w:szCs w:val="24"/>
          <w:highlight w:val="none"/>
        </w:rPr>
      </w:pPr>
      <w:r>
        <w:rPr>
          <w:rFonts w:hint="eastAsia" w:ascii="宋体" w:hAnsi="宋体" w:cs="宋体"/>
          <w:spacing w:val="14"/>
          <w:sz w:val="24"/>
          <w:szCs w:val="24"/>
          <w:highlight w:val="none"/>
        </w:rPr>
        <w:t>2、经政府采购项目中标的证明材料；</w:t>
      </w:r>
    </w:p>
    <w:p>
      <w:pPr>
        <w:pStyle w:val="52"/>
        <w:spacing w:line="360" w:lineRule="auto"/>
        <w:jc w:val="left"/>
        <w:rPr>
          <w:rFonts w:ascii="宋体" w:hAnsi="宋体" w:cs="宋体"/>
          <w:spacing w:val="14"/>
          <w:sz w:val="24"/>
          <w:szCs w:val="24"/>
          <w:highlight w:val="none"/>
        </w:rPr>
      </w:pPr>
      <w:r>
        <w:rPr>
          <w:rFonts w:hint="eastAsia" w:ascii="宋体" w:hAnsi="宋体" w:cs="宋体"/>
          <w:spacing w:val="14"/>
          <w:sz w:val="24"/>
          <w:szCs w:val="24"/>
          <w:highlight w:val="none"/>
        </w:rPr>
        <w:t>3、以往参加政府采购项目的履约情况；</w:t>
      </w:r>
    </w:p>
    <w:p>
      <w:pPr>
        <w:pStyle w:val="52"/>
        <w:spacing w:line="360" w:lineRule="auto"/>
        <w:jc w:val="left"/>
        <w:rPr>
          <w:rFonts w:ascii="宋体" w:hAnsi="宋体" w:cs="宋体"/>
          <w:spacing w:val="14"/>
          <w:sz w:val="24"/>
          <w:szCs w:val="24"/>
          <w:highlight w:val="none"/>
        </w:rPr>
      </w:pPr>
      <w:r>
        <w:rPr>
          <w:rFonts w:hint="eastAsia" w:ascii="宋体" w:hAnsi="宋体" w:cs="宋体"/>
          <w:spacing w:val="14"/>
          <w:sz w:val="24"/>
          <w:szCs w:val="24"/>
          <w:highlight w:val="none"/>
        </w:rPr>
        <w:t>4、其他洛阳银行认为需要提供的资料。</w:t>
      </w:r>
    </w:p>
    <w:p>
      <w:pPr>
        <w:pStyle w:val="52"/>
        <w:spacing w:line="360" w:lineRule="auto"/>
        <w:jc w:val="left"/>
        <w:rPr>
          <w:rFonts w:ascii="宋体" w:hAnsi="宋体" w:cs="宋体"/>
          <w:spacing w:val="14"/>
          <w:sz w:val="24"/>
          <w:szCs w:val="24"/>
          <w:highlight w:val="none"/>
        </w:rPr>
      </w:pPr>
      <w:r>
        <w:rPr>
          <w:rFonts w:hint="eastAsia" w:ascii="宋体" w:hAnsi="宋体" w:cs="宋体"/>
          <w:spacing w:val="14"/>
          <w:sz w:val="24"/>
          <w:szCs w:val="24"/>
          <w:highlight w:val="none"/>
        </w:rPr>
        <w:t>（二）授信要素</w:t>
      </w:r>
    </w:p>
    <w:p>
      <w:pPr>
        <w:pStyle w:val="52"/>
        <w:spacing w:line="360" w:lineRule="auto"/>
        <w:jc w:val="left"/>
        <w:rPr>
          <w:rFonts w:ascii="宋体" w:hAnsi="宋体" w:cs="宋体"/>
          <w:spacing w:val="14"/>
          <w:sz w:val="24"/>
          <w:szCs w:val="24"/>
          <w:highlight w:val="none"/>
        </w:rPr>
      </w:pPr>
      <w:r>
        <w:rPr>
          <w:rFonts w:hint="eastAsia" w:ascii="宋体" w:hAnsi="宋体" w:cs="宋体"/>
          <w:spacing w:val="14"/>
          <w:sz w:val="24"/>
          <w:szCs w:val="24"/>
          <w:highlight w:val="none"/>
        </w:rPr>
        <w:t>1、贷款额度：</w:t>
      </w:r>
    </w:p>
    <w:p>
      <w:pPr>
        <w:pStyle w:val="52"/>
        <w:spacing w:line="360" w:lineRule="auto"/>
        <w:jc w:val="left"/>
        <w:rPr>
          <w:rFonts w:ascii="宋体" w:hAnsi="宋体" w:cs="宋体"/>
          <w:spacing w:val="14"/>
          <w:sz w:val="24"/>
          <w:szCs w:val="24"/>
          <w:highlight w:val="none"/>
        </w:rPr>
      </w:pPr>
      <w:r>
        <w:rPr>
          <w:rFonts w:hint="eastAsia" w:ascii="宋体" w:hAnsi="宋体" w:cs="宋体"/>
          <w:spacing w:val="14"/>
          <w:sz w:val="24"/>
          <w:szCs w:val="24"/>
          <w:highlight w:val="none"/>
        </w:rPr>
        <w:t>原则上不超过政府采购合同金额的70%。</w:t>
      </w:r>
    </w:p>
    <w:p>
      <w:pPr>
        <w:pStyle w:val="52"/>
        <w:spacing w:line="360" w:lineRule="auto"/>
        <w:jc w:val="left"/>
        <w:rPr>
          <w:rFonts w:ascii="宋体" w:hAnsi="宋体" w:cs="宋体"/>
          <w:spacing w:val="14"/>
          <w:sz w:val="24"/>
          <w:szCs w:val="24"/>
          <w:highlight w:val="none"/>
        </w:rPr>
      </w:pPr>
      <w:r>
        <w:rPr>
          <w:rFonts w:hint="eastAsia" w:ascii="宋体" w:hAnsi="宋体" w:cs="宋体"/>
          <w:spacing w:val="14"/>
          <w:sz w:val="24"/>
          <w:szCs w:val="24"/>
          <w:highlight w:val="none"/>
        </w:rPr>
        <w:t>2、期限与还款方式：</w:t>
      </w:r>
    </w:p>
    <w:p>
      <w:pPr>
        <w:pStyle w:val="52"/>
        <w:spacing w:line="360" w:lineRule="auto"/>
        <w:jc w:val="left"/>
        <w:rPr>
          <w:rFonts w:ascii="宋体" w:hAnsi="宋体" w:cs="宋体"/>
          <w:spacing w:val="14"/>
          <w:sz w:val="24"/>
          <w:szCs w:val="24"/>
          <w:highlight w:val="none"/>
        </w:rPr>
      </w:pPr>
      <w:r>
        <w:rPr>
          <w:rFonts w:hint="eastAsia" w:ascii="宋体" w:hAnsi="宋体" w:cs="宋体"/>
          <w:spacing w:val="14"/>
          <w:sz w:val="24"/>
          <w:szCs w:val="24"/>
          <w:highlight w:val="none"/>
        </w:rPr>
        <w:t>与政府采购合同中约定的结算周期、付款方式等相匹配。</w:t>
      </w:r>
    </w:p>
    <w:p>
      <w:pPr>
        <w:pStyle w:val="52"/>
        <w:spacing w:line="360" w:lineRule="auto"/>
        <w:jc w:val="left"/>
        <w:rPr>
          <w:rFonts w:ascii="宋体" w:hAnsi="宋体" w:cs="宋体"/>
          <w:spacing w:val="14"/>
          <w:sz w:val="24"/>
          <w:szCs w:val="24"/>
          <w:highlight w:val="none"/>
        </w:rPr>
      </w:pPr>
      <w:r>
        <w:rPr>
          <w:rFonts w:hint="eastAsia" w:ascii="宋体" w:hAnsi="宋体" w:cs="宋体"/>
          <w:spacing w:val="14"/>
          <w:sz w:val="24"/>
          <w:szCs w:val="24"/>
          <w:highlight w:val="none"/>
        </w:rPr>
        <w:t>3、担保方式：</w:t>
      </w:r>
    </w:p>
    <w:p>
      <w:pPr>
        <w:pStyle w:val="52"/>
        <w:spacing w:line="360" w:lineRule="auto"/>
        <w:jc w:val="left"/>
        <w:rPr>
          <w:rFonts w:ascii="宋体" w:hAnsi="宋体" w:cs="宋体"/>
          <w:spacing w:val="14"/>
          <w:sz w:val="24"/>
          <w:szCs w:val="24"/>
          <w:highlight w:val="none"/>
        </w:rPr>
      </w:pPr>
      <w:r>
        <w:rPr>
          <w:rFonts w:hint="eastAsia" w:ascii="宋体" w:hAnsi="宋体" w:cs="宋体"/>
          <w:spacing w:val="14"/>
          <w:sz w:val="24"/>
          <w:szCs w:val="24"/>
          <w:highlight w:val="none"/>
        </w:rPr>
        <w:t>法定代表人、实际控制人提供连带责任保证，放款前完成应收账款质押登记手续。</w:t>
      </w:r>
    </w:p>
    <w:p>
      <w:pPr>
        <w:pStyle w:val="52"/>
        <w:spacing w:line="360" w:lineRule="auto"/>
        <w:jc w:val="left"/>
        <w:rPr>
          <w:rFonts w:ascii="宋体" w:hAnsi="宋体" w:cs="宋体"/>
          <w:spacing w:val="14"/>
          <w:sz w:val="24"/>
          <w:szCs w:val="24"/>
          <w:highlight w:val="none"/>
        </w:rPr>
      </w:pPr>
      <w:r>
        <w:rPr>
          <w:rFonts w:hint="eastAsia" w:ascii="宋体" w:hAnsi="宋体" w:cs="宋体"/>
          <w:spacing w:val="14"/>
          <w:sz w:val="24"/>
          <w:szCs w:val="24"/>
          <w:highlight w:val="none"/>
        </w:rPr>
        <w:t>（三）联系方式</w:t>
      </w:r>
    </w:p>
    <w:p>
      <w:pPr>
        <w:pStyle w:val="52"/>
        <w:spacing w:line="360" w:lineRule="auto"/>
        <w:jc w:val="left"/>
        <w:rPr>
          <w:rFonts w:ascii="宋体" w:hAnsi="宋体" w:cs="宋体"/>
          <w:spacing w:val="14"/>
          <w:sz w:val="24"/>
          <w:szCs w:val="24"/>
          <w:highlight w:val="none"/>
        </w:rPr>
      </w:pPr>
      <w:r>
        <w:rPr>
          <w:rFonts w:hint="eastAsia" w:ascii="宋体" w:hAnsi="宋体" w:cs="宋体"/>
          <w:spacing w:val="14"/>
          <w:sz w:val="24"/>
          <w:szCs w:val="24"/>
          <w:highlight w:val="none"/>
        </w:rPr>
        <w:t>分管领导：陈经理 15837979663</w:t>
      </w:r>
    </w:p>
    <w:p>
      <w:pPr>
        <w:pStyle w:val="52"/>
        <w:spacing w:line="360" w:lineRule="auto"/>
        <w:jc w:val="left"/>
        <w:rPr>
          <w:rFonts w:ascii="宋体" w:hAnsi="宋体" w:cs="宋体"/>
          <w:spacing w:val="14"/>
          <w:sz w:val="24"/>
          <w:szCs w:val="24"/>
          <w:highlight w:val="none"/>
        </w:rPr>
      </w:pPr>
      <w:r>
        <w:rPr>
          <w:rFonts w:hint="eastAsia" w:ascii="宋体" w:hAnsi="宋体" w:cs="宋体"/>
          <w:spacing w:val="14"/>
          <w:sz w:val="24"/>
          <w:szCs w:val="24"/>
          <w:highlight w:val="none"/>
        </w:rPr>
        <w:t>信贷经理、具体负责人：任经理 18738439998</w:t>
      </w:r>
    </w:p>
    <w:p>
      <w:pPr>
        <w:pStyle w:val="52"/>
        <w:spacing w:line="360" w:lineRule="auto"/>
        <w:jc w:val="center"/>
        <w:rPr>
          <w:rFonts w:ascii="宋体" w:hAnsi="宋体" w:cs="宋体"/>
          <w:b/>
          <w:bCs/>
          <w:color w:val="0000FF"/>
          <w:sz w:val="24"/>
          <w:szCs w:val="24"/>
          <w:highlight w:val="none"/>
        </w:rPr>
      </w:pPr>
      <w:r>
        <w:rPr>
          <w:rFonts w:hint="eastAsia" w:ascii="宋体" w:hAnsi="宋体" w:cs="宋体"/>
          <w:b/>
          <w:bCs/>
          <w:color w:val="0000FF"/>
          <w:sz w:val="24"/>
          <w:szCs w:val="24"/>
          <w:highlight w:val="none"/>
        </w:rPr>
        <w:t>邮储银行政采贷</w:t>
      </w:r>
    </w:p>
    <w:p>
      <w:pPr>
        <w:pStyle w:val="52"/>
        <w:spacing w:line="360" w:lineRule="auto"/>
        <w:rPr>
          <w:rFonts w:ascii="宋体" w:hAnsi="宋体" w:cs="宋体"/>
          <w:sz w:val="24"/>
          <w:szCs w:val="24"/>
          <w:highlight w:val="none"/>
        </w:rPr>
      </w:pPr>
      <w:r>
        <w:rPr>
          <w:rFonts w:hint="eastAsia" w:ascii="宋体" w:hAnsi="宋体" w:cs="宋体"/>
          <w:sz w:val="24"/>
          <w:szCs w:val="24"/>
          <w:highlight w:val="none"/>
        </w:rPr>
        <w:t>贷款对象：</w:t>
      </w:r>
    </w:p>
    <w:p>
      <w:pPr>
        <w:pStyle w:val="52"/>
        <w:spacing w:line="360" w:lineRule="auto"/>
        <w:rPr>
          <w:rFonts w:ascii="宋体" w:hAnsi="宋体" w:cs="宋体"/>
          <w:sz w:val="24"/>
          <w:szCs w:val="24"/>
          <w:highlight w:val="none"/>
        </w:rPr>
      </w:pPr>
      <w:r>
        <w:rPr>
          <w:rFonts w:hint="eastAsia" w:ascii="宋体" w:hAnsi="宋体" w:cs="宋体"/>
          <w:sz w:val="24"/>
          <w:szCs w:val="24"/>
          <w:highlight w:val="none"/>
        </w:rPr>
        <w:t>1.已获得省本级政府采购中标通知，具备履约能力；</w:t>
      </w:r>
    </w:p>
    <w:p>
      <w:pPr>
        <w:pStyle w:val="52"/>
        <w:spacing w:line="360" w:lineRule="auto"/>
        <w:rPr>
          <w:rFonts w:ascii="宋体" w:hAnsi="宋体" w:cs="宋体"/>
          <w:sz w:val="24"/>
          <w:szCs w:val="24"/>
          <w:highlight w:val="none"/>
        </w:rPr>
      </w:pPr>
      <w:r>
        <w:rPr>
          <w:rFonts w:hint="eastAsia" w:ascii="宋体" w:hAnsi="宋体" w:cs="宋体"/>
          <w:sz w:val="24"/>
          <w:szCs w:val="24"/>
          <w:highlight w:val="none"/>
        </w:rPr>
        <w:t>2.企业在政府采购活动中与政府采购合作1年（含）以上；</w:t>
      </w:r>
    </w:p>
    <w:p>
      <w:pPr>
        <w:pStyle w:val="52"/>
        <w:spacing w:line="360" w:lineRule="auto"/>
        <w:rPr>
          <w:rFonts w:ascii="宋体" w:hAnsi="宋体" w:cs="宋体"/>
          <w:sz w:val="24"/>
          <w:szCs w:val="24"/>
          <w:highlight w:val="none"/>
        </w:rPr>
      </w:pPr>
      <w:r>
        <w:rPr>
          <w:rFonts w:hint="eastAsia" w:ascii="宋体" w:hAnsi="宋体" w:cs="宋体"/>
          <w:sz w:val="24"/>
          <w:szCs w:val="24"/>
          <w:highlight w:val="none"/>
        </w:rPr>
        <w:t>3.在邮储银行开立回款专用账户。</w:t>
      </w:r>
    </w:p>
    <w:p>
      <w:pPr>
        <w:pStyle w:val="52"/>
        <w:spacing w:line="360" w:lineRule="auto"/>
        <w:rPr>
          <w:rFonts w:ascii="宋体" w:hAnsi="宋体" w:cs="宋体"/>
          <w:sz w:val="24"/>
          <w:szCs w:val="24"/>
          <w:highlight w:val="none"/>
        </w:rPr>
      </w:pPr>
      <w:r>
        <w:rPr>
          <w:rFonts w:hint="eastAsia" w:ascii="宋体" w:hAnsi="宋体" w:cs="宋体"/>
          <w:sz w:val="24"/>
          <w:szCs w:val="24"/>
          <w:highlight w:val="none"/>
        </w:rPr>
        <w:t>贷款要素：</w:t>
      </w:r>
    </w:p>
    <w:p>
      <w:pPr>
        <w:pStyle w:val="52"/>
        <w:spacing w:line="360" w:lineRule="auto"/>
        <w:rPr>
          <w:rFonts w:ascii="宋体" w:hAnsi="宋体" w:cs="宋体"/>
          <w:sz w:val="24"/>
          <w:szCs w:val="24"/>
          <w:highlight w:val="none"/>
        </w:rPr>
      </w:pPr>
      <w:r>
        <w:rPr>
          <w:rFonts w:hint="eastAsia" w:ascii="宋体" w:hAnsi="宋体" w:cs="宋体"/>
          <w:sz w:val="24"/>
          <w:szCs w:val="24"/>
          <w:highlight w:val="none"/>
        </w:rPr>
        <w:t>1.纯信用；</w:t>
      </w:r>
    </w:p>
    <w:p>
      <w:pPr>
        <w:pStyle w:val="52"/>
        <w:spacing w:line="360" w:lineRule="auto"/>
        <w:rPr>
          <w:rFonts w:ascii="宋体" w:hAnsi="宋体" w:cs="宋体"/>
          <w:sz w:val="24"/>
          <w:szCs w:val="24"/>
          <w:highlight w:val="none"/>
        </w:rPr>
      </w:pPr>
      <w:r>
        <w:rPr>
          <w:rFonts w:hint="eastAsia" w:ascii="宋体" w:hAnsi="宋体" w:cs="宋体"/>
          <w:sz w:val="24"/>
          <w:szCs w:val="24"/>
          <w:highlight w:val="none"/>
        </w:rPr>
        <w:t>2.额度高：可贷合同标的额70%，最高额度300万；</w:t>
      </w:r>
    </w:p>
    <w:p>
      <w:pPr>
        <w:pStyle w:val="52"/>
        <w:spacing w:line="360" w:lineRule="auto"/>
        <w:rPr>
          <w:rFonts w:ascii="宋体" w:hAnsi="宋体" w:cs="宋体"/>
          <w:sz w:val="24"/>
          <w:szCs w:val="24"/>
          <w:highlight w:val="none"/>
        </w:rPr>
      </w:pPr>
      <w:r>
        <w:rPr>
          <w:rFonts w:hint="eastAsia" w:ascii="宋体" w:hAnsi="宋体" w:cs="宋体"/>
          <w:sz w:val="24"/>
          <w:szCs w:val="24"/>
          <w:highlight w:val="none"/>
        </w:rPr>
        <w:t>3.方便用：可一次性或分期还款</w:t>
      </w:r>
    </w:p>
    <w:p>
      <w:pPr>
        <w:pStyle w:val="52"/>
        <w:spacing w:line="360" w:lineRule="auto"/>
        <w:rPr>
          <w:rFonts w:ascii="宋体" w:hAnsi="宋体" w:cs="宋体"/>
          <w:sz w:val="24"/>
          <w:szCs w:val="24"/>
          <w:highlight w:val="none"/>
        </w:rPr>
      </w:pPr>
      <w:r>
        <w:rPr>
          <w:rFonts w:hint="eastAsia" w:ascii="宋体" w:hAnsi="宋体" w:cs="宋体"/>
          <w:sz w:val="24"/>
          <w:szCs w:val="24"/>
          <w:highlight w:val="none"/>
        </w:rPr>
        <w:t>联系方式：</w:t>
      </w:r>
    </w:p>
    <w:p>
      <w:pPr>
        <w:pStyle w:val="52"/>
        <w:spacing w:line="360" w:lineRule="auto"/>
        <w:rPr>
          <w:rFonts w:ascii="宋体" w:hAnsi="宋体" w:cs="宋体"/>
          <w:sz w:val="24"/>
          <w:szCs w:val="24"/>
          <w:highlight w:val="none"/>
        </w:rPr>
      </w:pPr>
      <w:r>
        <w:rPr>
          <w:rFonts w:hint="eastAsia" w:ascii="宋体" w:hAnsi="宋体" w:cs="宋体"/>
          <w:sz w:val="24"/>
          <w:szCs w:val="24"/>
          <w:highlight w:val="none"/>
        </w:rPr>
        <w:t>联系人：王玉辉    职  务： 总经理</w:t>
      </w:r>
    </w:p>
    <w:p>
      <w:pPr>
        <w:pStyle w:val="52"/>
        <w:spacing w:line="360" w:lineRule="auto"/>
        <w:rPr>
          <w:rFonts w:ascii="宋体" w:hAnsi="宋体" w:cs="宋体"/>
          <w:sz w:val="24"/>
          <w:szCs w:val="24"/>
          <w:highlight w:val="none"/>
        </w:rPr>
      </w:pPr>
      <w:r>
        <w:rPr>
          <w:rFonts w:hint="eastAsia" w:ascii="宋体" w:hAnsi="宋体" w:cs="宋体"/>
          <w:sz w:val="24"/>
          <w:szCs w:val="24"/>
          <w:highlight w:val="none"/>
        </w:rPr>
        <w:t>电  话：13598159333</w:t>
      </w:r>
    </w:p>
    <w:p>
      <w:pPr>
        <w:pStyle w:val="52"/>
        <w:spacing w:line="360" w:lineRule="auto"/>
        <w:jc w:val="center"/>
        <w:rPr>
          <w:rFonts w:ascii="宋体" w:hAnsi="宋体" w:cs="宋体"/>
          <w:sz w:val="24"/>
          <w:szCs w:val="24"/>
          <w:highlight w:val="none"/>
        </w:rPr>
      </w:pPr>
      <w:r>
        <w:rPr>
          <w:rFonts w:hint="eastAsia" w:ascii="宋体" w:hAnsi="宋体" w:cs="宋体"/>
          <w:b/>
          <w:bCs/>
          <w:color w:val="0000FF"/>
          <w:sz w:val="24"/>
          <w:szCs w:val="24"/>
          <w:highlight w:val="none"/>
        </w:rPr>
        <w:t>光大银行政采贷融资产品“政采易”</w:t>
      </w:r>
    </w:p>
    <w:p>
      <w:pPr>
        <w:pStyle w:val="52"/>
        <w:spacing w:line="360" w:lineRule="auto"/>
        <w:rPr>
          <w:rFonts w:ascii="宋体" w:hAnsi="宋体" w:cs="宋体"/>
          <w:sz w:val="24"/>
          <w:szCs w:val="24"/>
          <w:highlight w:val="none"/>
        </w:rPr>
      </w:pPr>
      <w:r>
        <w:rPr>
          <w:rFonts w:hint="eastAsia" w:ascii="宋体" w:hAnsi="宋体" w:cs="宋体"/>
          <w:sz w:val="24"/>
          <w:szCs w:val="24"/>
          <w:highlight w:val="none"/>
        </w:rPr>
        <w:t>该业务单户授信金额在3000万元（含）以下，授信期限不超过合同约定付款日期后两个月且最长不超过3年。</w:t>
      </w:r>
    </w:p>
    <w:p>
      <w:pPr>
        <w:pStyle w:val="52"/>
        <w:spacing w:line="360" w:lineRule="auto"/>
        <w:rPr>
          <w:rFonts w:ascii="宋体" w:hAnsi="宋体" w:cs="宋体"/>
          <w:sz w:val="24"/>
          <w:szCs w:val="24"/>
          <w:highlight w:val="none"/>
        </w:rPr>
      </w:pPr>
      <w:r>
        <w:rPr>
          <w:rFonts w:hint="eastAsia" w:ascii="宋体" w:hAnsi="宋体" w:cs="宋体"/>
          <w:sz w:val="24"/>
          <w:szCs w:val="24"/>
          <w:highlight w:val="none"/>
        </w:rPr>
        <w:t>中标供应商准入条件：</w:t>
      </w:r>
    </w:p>
    <w:p>
      <w:pPr>
        <w:pStyle w:val="52"/>
        <w:spacing w:line="360" w:lineRule="auto"/>
        <w:rPr>
          <w:rFonts w:ascii="宋体" w:hAnsi="宋体" w:cs="宋体"/>
          <w:sz w:val="24"/>
          <w:szCs w:val="24"/>
          <w:highlight w:val="none"/>
        </w:rPr>
      </w:pPr>
      <w:r>
        <w:rPr>
          <w:rFonts w:hint="eastAsia" w:ascii="宋体" w:hAnsi="宋体" w:cs="宋体"/>
          <w:sz w:val="24"/>
          <w:szCs w:val="24"/>
          <w:highlight w:val="none"/>
        </w:rPr>
        <w:t>（一）具有独立承担民事责任的能力,有固定的经营场所；（二）企业成立2（含）年以上，且实际控制人有3年以上实际行业经验，具有良好的纳税记录、工商登记记录；</w:t>
      </w:r>
    </w:p>
    <w:p>
      <w:pPr>
        <w:pStyle w:val="52"/>
        <w:spacing w:line="360" w:lineRule="auto"/>
        <w:rPr>
          <w:rFonts w:ascii="宋体" w:hAnsi="宋体" w:cs="宋体"/>
          <w:sz w:val="24"/>
          <w:szCs w:val="24"/>
          <w:highlight w:val="none"/>
        </w:rPr>
      </w:pPr>
      <w:r>
        <w:rPr>
          <w:rFonts w:hint="eastAsia" w:ascii="宋体" w:hAnsi="宋体" w:cs="宋体"/>
          <w:sz w:val="24"/>
          <w:szCs w:val="24"/>
          <w:highlight w:val="none"/>
        </w:rPr>
        <w:t>（三）企业具有履行合同所必需的设备和服务能力；</w:t>
      </w:r>
    </w:p>
    <w:p>
      <w:pPr>
        <w:pStyle w:val="52"/>
        <w:spacing w:line="360" w:lineRule="auto"/>
        <w:rPr>
          <w:rFonts w:ascii="宋体" w:hAnsi="宋体" w:cs="宋体"/>
          <w:sz w:val="24"/>
          <w:szCs w:val="24"/>
          <w:highlight w:val="none"/>
        </w:rPr>
      </w:pPr>
      <w:r>
        <w:rPr>
          <w:rFonts w:hint="eastAsia" w:ascii="宋体" w:hAnsi="宋体" w:cs="宋体"/>
          <w:sz w:val="24"/>
          <w:szCs w:val="24"/>
          <w:highlight w:val="none"/>
        </w:rPr>
        <w:t>（四）生产经营符合国家法律法规、产业政策和环境保护要求，符合我行信贷政策；</w:t>
      </w:r>
    </w:p>
    <w:p>
      <w:pPr>
        <w:pStyle w:val="52"/>
        <w:spacing w:line="360" w:lineRule="auto"/>
        <w:rPr>
          <w:rFonts w:ascii="宋体" w:hAnsi="宋体" w:cs="宋体"/>
          <w:sz w:val="24"/>
          <w:szCs w:val="24"/>
          <w:highlight w:val="none"/>
        </w:rPr>
      </w:pPr>
      <w:r>
        <w:rPr>
          <w:rFonts w:hint="eastAsia" w:ascii="宋体" w:hAnsi="宋体" w:cs="宋体"/>
          <w:sz w:val="24"/>
          <w:szCs w:val="24"/>
          <w:highlight w:val="none"/>
        </w:rPr>
        <w:t>（五）人行征信信息查询系统查询显示企业法人、法定代表人、主要经营者无重大不良记录；政府采购履约行为无不良记录；</w:t>
      </w:r>
    </w:p>
    <w:p>
      <w:pPr>
        <w:pStyle w:val="52"/>
        <w:spacing w:line="360" w:lineRule="auto"/>
        <w:rPr>
          <w:rFonts w:ascii="宋体" w:hAnsi="宋体" w:cs="宋体"/>
          <w:sz w:val="24"/>
          <w:szCs w:val="24"/>
          <w:highlight w:val="none"/>
        </w:rPr>
      </w:pPr>
      <w:r>
        <w:rPr>
          <w:rFonts w:hint="eastAsia" w:ascii="宋体" w:hAnsi="宋体" w:cs="宋体"/>
          <w:sz w:val="24"/>
          <w:szCs w:val="24"/>
          <w:highlight w:val="none"/>
        </w:rPr>
        <w:t>（六）中标供应商在我行信用评级应在B-级（含）以上，或单户授信敞口500万元以下客户适用《小额融易贷（结算类）业务打分卡》得分须不低于60分；</w:t>
      </w:r>
    </w:p>
    <w:p>
      <w:pPr>
        <w:pStyle w:val="52"/>
        <w:spacing w:line="360" w:lineRule="auto"/>
        <w:rPr>
          <w:rFonts w:ascii="宋体" w:hAnsi="宋体" w:cs="宋体"/>
          <w:sz w:val="24"/>
          <w:szCs w:val="24"/>
          <w:highlight w:val="none"/>
        </w:rPr>
      </w:pPr>
      <w:r>
        <w:rPr>
          <w:rFonts w:hint="eastAsia" w:ascii="宋体" w:hAnsi="宋体" w:cs="宋体"/>
          <w:sz w:val="24"/>
          <w:szCs w:val="24"/>
          <w:highlight w:val="none"/>
        </w:rPr>
        <w:t>（七）企业/企业法定代表人不在我行预警黑灰名单内；</w:t>
      </w:r>
    </w:p>
    <w:p>
      <w:pPr>
        <w:pStyle w:val="52"/>
        <w:spacing w:line="360" w:lineRule="auto"/>
        <w:rPr>
          <w:rFonts w:ascii="宋体" w:hAnsi="宋体" w:cs="宋体"/>
          <w:sz w:val="24"/>
          <w:szCs w:val="24"/>
          <w:highlight w:val="none"/>
        </w:rPr>
      </w:pPr>
      <w:r>
        <w:rPr>
          <w:rFonts w:hint="eastAsia" w:ascii="宋体" w:hAnsi="宋体" w:cs="宋体"/>
          <w:sz w:val="24"/>
          <w:szCs w:val="24"/>
          <w:highlight w:val="none"/>
        </w:rPr>
        <w:t>（八）我行要求的其他条件。</w:t>
      </w:r>
    </w:p>
    <w:p>
      <w:pPr>
        <w:pStyle w:val="52"/>
        <w:spacing w:line="360" w:lineRule="auto"/>
        <w:rPr>
          <w:rFonts w:ascii="宋体" w:hAnsi="宋体" w:cs="宋体"/>
          <w:sz w:val="24"/>
          <w:szCs w:val="24"/>
          <w:highlight w:val="none"/>
        </w:rPr>
      </w:pPr>
      <w:r>
        <w:rPr>
          <w:rFonts w:hint="eastAsia" w:ascii="宋体" w:hAnsi="宋体" w:cs="宋体"/>
          <w:sz w:val="24"/>
          <w:szCs w:val="24"/>
          <w:highlight w:val="none"/>
        </w:rPr>
        <w:t>联方式：分管领导 ：王慧18837902280</w:t>
      </w:r>
    </w:p>
    <w:p>
      <w:pPr>
        <w:pStyle w:val="52"/>
        <w:spacing w:line="360" w:lineRule="auto"/>
        <w:rPr>
          <w:rFonts w:ascii="宋体" w:hAnsi="宋体" w:cs="宋体"/>
          <w:sz w:val="24"/>
          <w:szCs w:val="24"/>
          <w:highlight w:val="none"/>
        </w:rPr>
      </w:pPr>
      <w:r>
        <w:rPr>
          <w:rFonts w:hint="eastAsia" w:ascii="宋体" w:hAnsi="宋体" w:cs="宋体"/>
          <w:sz w:val="24"/>
          <w:szCs w:val="24"/>
          <w:highlight w:val="none"/>
        </w:rPr>
        <w:t>信贷经理：刘勇 18837995809</w:t>
      </w:r>
    </w:p>
    <w:p>
      <w:pPr>
        <w:pStyle w:val="52"/>
        <w:spacing w:line="360" w:lineRule="auto"/>
        <w:rPr>
          <w:rFonts w:ascii="宋体" w:hAnsi="宋体" w:cs="宋体"/>
          <w:sz w:val="24"/>
          <w:szCs w:val="24"/>
          <w:highlight w:val="none"/>
        </w:rPr>
      </w:pPr>
      <w:r>
        <w:rPr>
          <w:rFonts w:hint="eastAsia" w:ascii="宋体" w:hAnsi="宋体" w:cs="宋体"/>
          <w:sz w:val="24"/>
          <w:szCs w:val="24"/>
          <w:highlight w:val="none"/>
        </w:rPr>
        <w:t>具体负责人：营业部：刘天倚18569936044；王城路支行：张喆18637129167；西苑路支行：董继华18569935827；</w:t>
      </w:r>
    </w:p>
    <w:p>
      <w:pPr>
        <w:pStyle w:val="52"/>
        <w:spacing w:line="360" w:lineRule="auto"/>
        <w:rPr>
          <w:rFonts w:ascii="宋体" w:hAnsi="宋体" w:cs="宋体"/>
          <w:sz w:val="24"/>
          <w:szCs w:val="24"/>
          <w:highlight w:val="none"/>
        </w:rPr>
      </w:pPr>
      <w:r>
        <w:rPr>
          <w:rFonts w:hint="eastAsia" w:ascii="宋体" w:hAnsi="宋体" w:cs="宋体"/>
          <w:sz w:val="24"/>
          <w:szCs w:val="24"/>
          <w:highlight w:val="none"/>
        </w:rPr>
        <w:t>英才路支行：刘莎18569935682；珠江路支行：李相峰18569936389；华阳支行：张刚18624850206</w:t>
      </w:r>
    </w:p>
    <w:p>
      <w:pPr>
        <w:pStyle w:val="52"/>
        <w:spacing w:line="360" w:lineRule="auto"/>
        <w:jc w:val="center"/>
        <w:rPr>
          <w:rFonts w:ascii="宋体" w:hAnsi="宋体" w:cs="宋体"/>
          <w:sz w:val="24"/>
          <w:szCs w:val="24"/>
          <w:highlight w:val="none"/>
        </w:rPr>
      </w:pPr>
      <w:r>
        <w:rPr>
          <w:rFonts w:hint="eastAsia" w:ascii="宋体" w:hAnsi="宋体" w:cs="宋体"/>
          <w:b/>
          <w:bCs/>
          <w:color w:val="0000FF"/>
          <w:sz w:val="24"/>
          <w:szCs w:val="24"/>
          <w:highlight w:val="none"/>
        </w:rPr>
        <w:t>中原银行洛阳分行“政采贷”产品简介</w:t>
      </w:r>
    </w:p>
    <w:p>
      <w:pPr>
        <w:pStyle w:val="52"/>
        <w:spacing w:line="360" w:lineRule="auto"/>
        <w:rPr>
          <w:rFonts w:ascii="宋体" w:hAnsi="宋体" w:cs="宋体"/>
          <w:sz w:val="24"/>
          <w:szCs w:val="24"/>
          <w:highlight w:val="none"/>
        </w:rPr>
      </w:pPr>
      <w:r>
        <w:rPr>
          <w:rFonts w:hint="eastAsia" w:ascii="宋体" w:hAnsi="宋体" w:cs="宋体"/>
          <w:sz w:val="24"/>
          <w:szCs w:val="24"/>
          <w:highlight w:val="none"/>
        </w:rPr>
        <w:t>一、融资机构基本情况及联系人联系电话</w:t>
      </w:r>
    </w:p>
    <w:p>
      <w:pPr>
        <w:pStyle w:val="52"/>
        <w:spacing w:line="360" w:lineRule="auto"/>
        <w:rPr>
          <w:rFonts w:ascii="宋体" w:hAnsi="宋体" w:cs="宋体"/>
          <w:sz w:val="24"/>
          <w:szCs w:val="24"/>
          <w:highlight w:val="none"/>
        </w:rPr>
      </w:pPr>
      <w:r>
        <w:rPr>
          <w:rFonts w:hint="eastAsia" w:ascii="宋体" w:hAnsi="宋体" w:cs="宋体"/>
          <w:sz w:val="24"/>
          <w:szCs w:val="24"/>
          <w:highlight w:val="none"/>
        </w:rPr>
        <w:t>1.融资入口：</w:t>
      </w:r>
    </w:p>
    <w:p>
      <w:pPr>
        <w:pStyle w:val="52"/>
        <w:spacing w:line="360" w:lineRule="auto"/>
        <w:rPr>
          <w:rFonts w:ascii="宋体" w:hAnsi="宋体" w:cs="宋体"/>
          <w:sz w:val="24"/>
          <w:szCs w:val="24"/>
          <w:highlight w:val="none"/>
        </w:rPr>
      </w:pPr>
      <w:r>
        <w:rPr>
          <w:highlight w:val="none"/>
        </w:rPr>
        <w:fldChar w:fldCharType="begin"/>
      </w:r>
      <w:r>
        <w:rPr>
          <w:highlight w:val="none"/>
        </w:rPr>
        <w:instrText xml:space="preserve"> HYPERLINK "http://www.zybank.com.cn/zyyh/gsyw55/xqyjr/xqyzcd/382690/index.html" </w:instrText>
      </w:r>
      <w:r>
        <w:rPr>
          <w:highlight w:val="none"/>
        </w:rPr>
        <w:fldChar w:fldCharType="separate"/>
      </w:r>
      <w:r>
        <w:rPr>
          <w:rStyle w:val="55"/>
          <w:rFonts w:hint="eastAsia" w:ascii="宋体" w:hAnsi="宋体" w:cs="宋体"/>
          <w:sz w:val="24"/>
          <w:szCs w:val="24"/>
          <w:highlight w:val="none"/>
        </w:rPr>
        <w:t>http://www.zybank.com.cn/zyyh/gsyw55/xqyjr/xqyzcd/382690/index.html</w:t>
      </w:r>
      <w:r>
        <w:rPr>
          <w:rStyle w:val="55"/>
          <w:rFonts w:hint="eastAsia" w:ascii="宋体" w:hAnsi="宋体" w:cs="宋体"/>
          <w:sz w:val="24"/>
          <w:szCs w:val="24"/>
          <w:highlight w:val="none"/>
        </w:rPr>
        <w:fldChar w:fldCharType="end"/>
      </w:r>
    </w:p>
    <w:p>
      <w:pPr>
        <w:pStyle w:val="52"/>
        <w:spacing w:line="360" w:lineRule="auto"/>
        <w:rPr>
          <w:rFonts w:ascii="宋体" w:hAnsi="宋体" w:cs="宋体"/>
          <w:sz w:val="24"/>
          <w:szCs w:val="24"/>
          <w:highlight w:val="none"/>
        </w:rPr>
      </w:pPr>
      <w:r>
        <w:rPr>
          <w:rFonts w:hint="eastAsia" w:ascii="宋体" w:hAnsi="宋体" w:cs="宋体"/>
          <w:sz w:val="24"/>
          <w:szCs w:val="24"/>
          <w:highlight w:val="none"/>
        </w:rPr>
        <w:t>2.融资机构业务人员信息列表：</w:t>
      </w:r>
    </w:p>
    <w:tbl>
      <w:tblPr>
        <w:tblStyle w:val="19"/>
        <w:tblW w:w="8064"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16"/>
        <w:gridCol w:w="1716"/>
        <w:gridCol w:w="1866"/>
        <w:gridCol w:w="366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1" w:hRule="atLeast"/>
        </w:trPr>
        <w:tc>
          <w:tcPr>
            <w:tcW w:w="816" w:type="dxa"/>
          </w:tcPr>
          <w:p>
            <w:pPr>
              <w:pStyle w:val="52"/>
              <w:spacing w:line="360" w:lineRule="auto"/>
              <w:rPr>
                <w:rFonts w:ascii="宋体" w:hAnsi="宋体" w:cs="宋体"/>
                <w:sz w:val="24"/>
                <w:szCs w:val="24"/>
                <w:highlight w:val="none"/>
              </w:rPr>
            </w:pPr>
            <w:r>
              <w:rPr>
                <w:rFonts w:hint="eastAsia" w:ascii="宋体" w:hAnsi="宋体" w:cs="宋体"/>
                <w:sz w:val="24"/>
                <w:szCs w:val="24"/>
                <w:highlight w:val="none"/>
              </w:rPr>
              <w:t>序号</w:t>
            </w:r>
          </w:p>
        </w:tc>
        <w:tc>
          <w:tcPr>
            <w:tcW w:w="1716" w:type="dxa"/>
          </w:tcPr>
          <w:p>
            <w:pPr>
              <w:pStyle w:val="52"/>
              <w:spacing w:line="360" w:lineRule="auto"/>
              <w:rPr>
                <w:rFonts w:ascii="宋体" w:hAnsi="宋体" w:cs="宋体"/>
                <w:sz w:val="24"/>
                <w:szCs w:val="24"/>
                <w:highlight w:val="none"/>
              </w:rPr>
            </w:pPr>
            <w:r>
              <w:rPr>
                <w:rFonts w:hint="eastAsia" w:ascii="宋体" w:hAnsi="宋体" w:cs="宋体"/>
                <w:sz w:val="24"/>
                <w:szCs w:val="24"/>
                <w:highlight w:val="none"/>
              </w:rPr>
              <w:t>业务联系人</w:t>
            </w:r>
          </w:p>
        </w:tc>
        <w:tc>
          <w:tcPr>
            <w:tcW w:w="1866" w:type="dxa"/>
          </w:tcPr>
          <w:p>
            <w:pPr>
              <w:pStyle w:val="52"/>
              <w:spacing w:line="360" w:lineRule="auto"/>
              <w:rPr>
                <w:rFonts w:ascii="宋体" w:hAnsi="宋体" w:cs="宋体"/>
                <w:sz w:val="24"/>
                <w:szCs w:val="24"/>
                <w:highlight w:val="none"/>
              </w:rPr>
            </w:pPr>
            <w:r>
              <w:rPr>
                <w:rFonts w:hint="eastAsia" w:ascii="宋体" w:hAnsi="宋体" w:cs="宋体"/>
                <w:sz w:val="24"/>
                <w:szCs w:val="24"/>
                <w:highlight w:val="none"/>
              </w:rPr>
              <w:t>联系方式</w:t>
            </w:r>
          </w:p>
        </w:tc>
        <w:tc>
          <w:tcPr>
            <w:tcW w:w="3666" w:type="dxa"/>
          </w:tcPr>
          <w:p>
            <w:pPr>
              <w:pStyle w:val="52"/>
              <w:spacing w:line="360" w:lineRule="auto"/>
              <w:rPr>
                <w:rFonts w:ascii="宋体" w:hAnsi="宋体" w:cs="宋体"/>
                <w:sz w:val="24"/>
                <w:szCs w:val="24"/>
                <w:highlight w:val="none"/>
              </w:rPr>
            </w:pPr>
            <w:r>
              <w:rPr>
                <w:rFonts w:hint="eastAsia" w:ascii="宋体" w:hAnsi="宋体" w:cs="宋体"/>
                <w:sz w:val="24"/>
                <w:szCs w:val="24"/>
                <w:highlight w:val="none"/>
              </w:rPr>
              <w:t>地址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 w:hRule="atLeast"/>
        </w:trPr>
        <w:tc>
          <w:tcPr>
            <w:tcW w:w="816" w:type="dxa"/>
          </w:tcPr>
          <w:p>
            <w:pPr>
              <w:pStyle w:val="52"/>
              <w:spacing w:line="360" w:lineRule="auto"/>
              <w:rPr>
                <w:rFonts w:ascii="宋体" w:hAnsi="宋体" w:cs="宋体"/>
                <w:sz w:val="24"/>
                <w:szCs w:val="24"/>
                <w:highlight w:val="none"/>
              </w:rPr>
            </w:pPr>
            <w:r>
              <w:rPr>
                <w:rFonts w:hint="eastAsia" w:ascii="宋体" w:hAnsi="宋体" w:cs="宋体"/>
                <w:sz w:val="24"/>
                <w:szCs w:val="24"/>
                <w:highlight w:val="none"/>
              </w:rPr>
              <w:t>1</w:t>
            </w:r>
          </w:p>
        </w:tc>
        <w:tc>
          <w:tcPr>
            <w:tcW w:w="1716" w:type="dxa"/>
          </w:tcPr>
          <w:p>
            <w:pPr>
              <w:pStyle w:val="52"/>
              <w:spacing w:line="360" w:lineRule="auto"/>
              <w:rPr>
                <w:rFonts w:ascii="宋体" w:hAnsi="宋体" w:cs="宋体"/>
                <w:sz w:val="24"/>
                <w:szCs w:val="24"/>
                <w:highlight w:val="none"/>
              </w:rPr>
            </w:pPr>
            <w:r>
              <w:rPr>
                <w:rFonts w:hint="eastAsia" w:ascii="宋体" w:hAnsi="宋体" w:cs="宋体"/>
                <w:sz w:val="24"/>
                <w:szCs w:val="24"/>
                <w:highlight w:val="none"/>
              </w:rPr>
              <w:t>岳恒志</w:t>
            </w:r>
          </w:p>
        </w:tc>
        <w:tc>
          <w:tcPr>
            <w:tcW w:w="1866" w:type="dxa"/>
          </w:tcPr>
          <w:p>
            <w:pPr>
              <w:pStyle w:val="52"/>
              <w:spacing w:line="360" w:lineRule="auto"/>
              <w:rPr>
                <w:rFonts w:ascii="宋体" w:hAnsi="宋体" w:cs="宋体"/>
                <w:sz w:val="24"/>
                <w:szCs w:val="24"/>
                <w:highlight w:val="none"/>
              </w:rPr>
            </w:pPr>
            <w:r>
              <w:rPr>
                <w:rFonts w:hint="eastAsia" w:ascii="宋体" w:hAnsi="宋体" w:cs="宋体"/>
                <w:sz w:val="24"/>
                <w:szCs w:val="24"/>
                <w:highlight w:val="none"/>
              </w:rPr>
              <w:t>17737799828</w:t>
            </w:r>
          </w:p>
        </w:tc>
        <w:tc>
          <w:tcPr>
            <w:tcW w:w="3666" w:type="dxa"/>
          </w:tcPr>
          <w:p>
            <w:pPr>
              <w:pStyle w:val="52"/>
              <w:spacing w:line="360" w:lineRule="auto"/>
              <w:rPr>
                <w:rFonts w:ascii="宋体" w:hAnsi="宋体" w:cs="宋体"/>
                <w:sz w:val="24"/>
                <w:szCs w:val="24"/>
                <w:highlight w:val="none"/>
              </w:rPr>
            </w:pPr>
            <w:r>
              <w:rPr>
                <w:rFonts w:hint="eastAsia" w:ascii="宋体" w:hAnsi="宋体" w:cs="宋体"/>
                <w:sz w:val="24"/>
                <w:szCs w:val="24"/>
                <w:highlight w:val="none"/>
              </w:rPr>
              <w:t>洛阳市洛龙区长兴街66号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1" w:hRule="atLeast"/>
        </w:trPr>
        <w:tc>
          <w:tcPr>
            <w:tcW w:w="816" w:type="dxa"/>
          </w:tcPr>
          <w:p>
            <w:pPr>
              <w:pStyle w:val="52"/>
              <w:spacing w:line="360" w:lineRule="auto"/>
              <w:rPr>
                <w:rFonts w:ascii="宋体" w:hAnsi="宋体" w:cs="宋体"/>
                <w:sz w:val="24"/>
                <w:szCs w:val="24"/>
                <w:highlight w:val="none"/>
              </w:rPr>
            </w:pPr>
            <w:r>
              <w:rPr>
                <w:rFonts w:hint="eastAsia" w:ascii="宋体" w:hAnsi="宋体" w:cs="宋体"/>
                <w:sz w:val="24"/>
                <w:szCs w:val="24"/>
                <w:highlight w:val="none"/>
              </w:rPr>
              <w:t>2</w:t>
            </w:r>
          </w:p>
        </w:tc>
        <w:tc>
          <w:tcPr>
            <w:tcW w:w="1716" w:type="dxa"/>
          </w:tcPr>
          <w:p>
            <w:pPr>
              <w:pStyle w:val="52"/>
              <w:spacing w:line="360" w:lineRule="auto"/>
              <w:rPr>
                <w:rFonts w:ascii="宋体" w:hAnsi="宋体" w:cs="宋体"/>
                <w:sz w:val="24"/>
                <w:szCs w:val="24"/>
                <w:highlight w:val="none"/>
              </w:rPr>
            </w:pPr>
            <w:r>
              <w:rPr>
                <w:rFonts w:hint="eastAsia" w:ascii="宋体" w:hAnsi="宋体" w:cs="宋体"/>
                <w:sz w:val="24"/>
                <w:szCs w:val="24"/>
                <w:highlight w:val="none"/>
              </w:rPr>
              <w:t>许然涛</w:t>
            </w:r>
          </w:p>
        </w:tc>
        <w:tc>
          <w:tcPr>
            <w:tcW w:w="1866" w:type="dxa"/>
          </w:tcPr>
          <w:p>
            <w:pPr>
              <w:pStyle w:val="52"/>
              <w:spacing w:line="360" w:lineRule="auto"/>
              <w:rPr>
                <w:rFonts w:ascii="宋体" w:hAnsi="宋体" w:cs="宋体"/>
                <w:sz w:val="24"/>
                <w:szCs w:val="24"/>
                <w:highlight w:val="none"/>
              </w:rPr>
            </w:pPr>
            <w:r>
              <w:rPr>
                <w:rFonts w:hint="eastAsia" w:ascii="宋体" w:hAnsi="宋体" w:cs="宋体"/>
                <w:sz w:val="24"/>
                <w:szCs w:val="24"/>
                <w:highlight w:val="none"/>
              </w:rPr>
              <w:t>19903896628</w:t>
            </w:r>
          </w:p>
        </w:tc>
        <w:tc>
          <w:tcPr>
            <w:tcW w:w="3666" w:type="dxa"/>
          </w:tcPr>
          <w:p>
            <w:pPr>
              <w:pStyle w:val="52"/>
              <w:spacing w:line="360" w:lineRule="auto"/>
              <w:rPr>
                <w:rFonts w:ascii="宋体" w:hAnsi="宋体" w:cs="宋体"/>
                <w:sz w:val="24"/>
                <w:szCs w:val="24"/>
                <w:highlight w:val="none"/>
              </w:rPr>
            </w:pPr>
            <w:r>
              <w:rPr>
                <w:rFonts w:hint="eastAsia" w:ascii="宋体" w:hAnsi="宋体" w:cs="宋体"/>
                <w:sz w:val="24"/>
                <w:szCs w:val="24"/>
                <w:highlight w:val="none"/>
              </w:rPr>
              <w:t>洛阳市洛龙区长兴街66号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1" w:hRule="atLeast"/>
        </w:trPr>
        <w:tc>
          <w:tcPr>
            <w:tcW w:w="816" w:type="dxa"/>
          </w:tcPr>
          <w:p>
            <w:pPr>
              <w:pStyle w:val="52"/>
              <w:spacing w:line="360" w:lineRule="auto"/>
              <w:rPr>
                <w:rFonts w:ascii="宋体" w:hAnsi="宋体" w:cs="宋体"/>
                <w:sz w:val="24"/>
                <w:szCs w:val="24"/>
                <w:highlight w:val="none"/>
              </w:rPr>
            </w:pPr>
            <w:r>
              <w:rPr>
                <w:rFonts w:hint="eastAsia" w:ascii="宋体" w:hAnsi="宋体" w:cs="宋体"/>
                <w:sz w:val="24"/>
                <w:szCs w:val="24"/>
                <w:highlight w:val="none"/>
              </w:rPr>
              <w:t>3</w:t>
            </w:r>
          </w:p>
        </w:tc>
        <w:tc>
          <w:tcPr>
            <w:tcW w:w="1716" w:type="dxa"/>
          </w:tcPr>
          <w:p>
            <w:pPr>
              <w:pStyle w:val="52"/>
              <w:spacing w:line="360" w:lineRule="auto"/>
              <w:rPr>
                <w:rFonts w:ascii="宋体" w:hAnsi="宋体" w:cs="宋体"/>
                <w:sz w:val="24"/>
                <w:szCs w:val="24"/>
                <w:highlight w:val="none"/>
              </w:rPr>
            </w:pPr>
            <w:r>
              <w:rPr>
                <w:rFonts w:hint="eastAsia" w:ascii="宋体" w:hAnsi="宋体" w:cs="宋体"/>
                <w:sz w:val="24"/>
                <w:szCs w:val="24"/>
                <w:highlight w:val="none"/>
              </w:rPr>
              <w:t>柴碧林</w:t>
            </w:r>
          </w:p>
        </w:tc>
        <w:tc>
          <w:tcPr>
            <w:tcW w:w="1866" w:type="dxa"/>
          </w:tcPr>
          <w:p>
            <w:pPr>
              <w:pStyle w:val="52"/>
              <w:spacing w:line="360" w:lineRule="auto"/>
              <w:rPr>
                <w:rFonts w:ascii="宋体" w:hAnsi="宋体" w:cs="宋体"/>
                <w:sz w:val="24"/>
                <w:szCs w:val="24"/>
                <w:highlight w:val="none"/>
              </w:rPr>
            </w:pPr>
            <w:r>
              <w:rPr>
                <w:rFonts w:hint="eastAsia" w:ascii="宋体" w:hAnsi="宋体" w:cs="宋体"/>
                <w:sz w:val="24"/>
                <w:szCs w:val="24"/>
                <w:highlight w:val="none"/>
              </w:rPr>
              <w:t>13271555838</w:t>
            </w:r>
          </w:p>
        </w:tc>
        <w:tc>
          <w:tcPr>
            <w:tcW w:w="3666" w:type="dxa"/>
          </w:tcPr>
          <w:p>
            <w:pPr>
              <w:pStyle w:val="52"/>
              <w:spacing w:line="360" w:lineRule="auto"/>
              <w:rPr>
                <w:rFonts w:ascii="宋体" w:hAnsi="宋体" w:cs="宋体"/>
                <w:sz w:val="24"/>
                <w:szCs w:val="24"/>
                <w:highlight w:val="none"/>
              </w:rPr>
            </w:pPr>
            <w:r>
              <w:rPr>
                <w:rFonts w:hint="eastAsia" w:ascii="宋体" w:hAnsi="宋体" w:cs="宋体"/>
                <w:sz w:val="24"/>
                <w:szCs w:val="24"/>
                <w:highlight w:val="none"/>
              </w:rPr>
              <w:t>洛阳市洛龙区长兴街66号</w:t>
            </w:r>
          </w:p>
        </w:tc>
      </w:tr>
    </w:tbl>
    <w:p>
      <w:pPr>
        <w:pStyle w:val="52"/>
        <w:spacing w:line="360" w:lineRule="auto"/>
        <w:rPr>
          <w:rFonts w:ascii="宋体" w:hAnsi="宋体" w:cs="宋体"/>
          <w:sz w:val="24"/>
          <w:szCs w:val="24"/>
          <w:highlight w:val="none"/>
        </w:rPr>
      </w:pPr>
      <w:r>
        <w:rPr>
          <w:rFonts w:hint="eastAsia" w:ascii="宋体" w:hAnsi="宋体" w:cs="宋体"/>
          <w:sz w:val="24"/>
          <w:szCs w:val="24"/>
          <w:highlight w:val="none"/>
        </w:rPr>
        <w:t>二、融资流程及各环节办结时间</w:t>
      </w:r>
    </w:p>
    <w:p>
      <w:pPr>
        <w:pStyle w:val="52"/>
        <w:spacing w:line="360" w:lineRule="auto"/>
        <w:rPr>
          <w:rFonts w:ascii="宋体" w:hAnsi="宋体" w:cs="宋体"/>
          <w:sz w:val="24"/>
          <w:szCs w:val="24"/>
          <w:highlight w:val="none"/>
        </w:rPr>
      </w:pPr>
      <w:r>
        <w:rPr>
          <w:rFonts w:hint="eastAsia" w:ascii="宋体" w:hAnsi="宋体" w:cs="宋体"/>
          <w:sz w:val="24"/>
          <w:szCs w:val="24"/>
          <w:highlight w:val="none"/>
        </w:rPr>
        <w:t>客户通过“中原银行公司金融公众号”、“中原银行小微金融公众号”或“中原银行官方网站”等渠道申请即可办理。对于申报资料齐全，符合标准的业务，5个工作日即可完成审查审批。</w:t>
      </w:r>
    </w:p>
    <w:p>
      <w:pPr>
        <w:pStyle w:val="56"/>
        <w:spacing w:line="360" w:lineRule="auto"/>
        <w:jc w:val="center"/>
        <w:rPr>
          <w:rFonts w:ascii="宋体" w:hAnsi="宋体" w:eastAsia="宋体" w:cs="宋体"/>
          <w:b/>
          <w:bCs/>
          <w:color w:val="0000FF"/>
          <w:sz w:val="24"/>
          <w:szCs w:val="24"/>
          <w:highlight w:val="none"/>
          <w:lang w:val="en-US" w:eastAsia="zh-CN" w:bidi="ar-SA"/>
        </w:rPr>
      </w:pPr>
      <w:r>
        <w:rPr>
          <w:rFonts w:hint="eastAsia" w:ascii="宋体" w:hAnsi="宋体" w:eastAsia="宋体" w:cs="宋体"/>
          <w:b/>
          <w:bCs/>
          <w:color w:val="0000FF"/>
          <w:sz w:val="24"/>
          <w:szCs w:val="24"/>
          <w:highlight w:val="none"/>
          <w:lang w:val="en-US" w:eastAsia="zh-CN" w:bidi="ar-SA"/>
        </w:rPr>
        <w:t>建设银行政府采购合同融资</w:t>
      </w:r>
    </w:p>
    <w:p>
      <w:pPr>
        <w:pStyle w:val="56"/>
        <w:spacing w:line="360" w:lineRule="auto"/>
        <w:jc w:val="center"/>
        <w:rPr>
          <w:rFonts w:ascii="宋体" w:hAnsi="宋体" w:eastAsia="宋体" w:cs="宋体"/>
          <w:b/>
          <w:color w:val="000000"/>
          <w:sz w:val="24"/>
          <w:szCs w:val="24"/>
          <w:highlight w:val="none"/>
          <w:lang w:eastAsia="zh-CN"/>
        </w:rPr>
      </w:pPr>
      <w:r>
        <w:rPr>
          <w:rFonts w:hint="eastAsia" w:ascii="宋体" w:hAnsi="宋体" w:eastAsia="宋体" w:cs="宋体"/>
          <w:b/>
          <w:bCs/>
          <w:color w:val="0000FF"/>
          <w:sz w:val="24"/>
          <w:szCs w:val="24"/>
          <w:highlight w:val="none"/>
          <w:lang w:val="en-US" w:eastAsia="zh-CN" w:bidi="ar-SA"/>
        </w:rPr>
        <w:t>产品介绍及联系方式</w:t>
      </w:r>
    </w:p>
    <w:p>
      <w:pPr>
        <w:pStyle w:val="52"/>
        <w:spacing w:line="360" w:lineRule="auto"/>
        <w:rPr>
          <w:rFonts w:ascii="宋体" w:hAnsi="宋体" w:cs="宋体"/>
          <w:sz w:val="24"/>
          <w:szCs w:val="24"/>
          <w:highlight w:val="none"/>
        </w:rPr>
      </w:pPr>
      <w:r>
        <w:rPr>
          <w:rFonts w:hint="eastAsia" w:ascii="宋体" w:hAnsi="宋体" w:cs="宋体"/>
          <w:sz w:val="24"/>
          <w:szCs w:val="24"/>
          <w:highlight w:val="none"/>
        </w:rPr>
        <w:t>1、业务流程</w:t>
      </w:r>
    </w:p>
    <w:p>
      <w:pPr>
        <w:pStyle w:val="52"/>
        <w:spacing w:line="360" w:lineRule="auto"/>
        <w:rPr>
          <w:rFonts w:ascii="宋体" w:hAnsi="宋体" w:cs="宋体"/>
          <w:sz w:val="24"/>
          <w:szCs w:val="24"/>
          <w:highlight w:val="none"/>
        </w:rPr>
      </w:pPr>
      <w:r>
        <w:rPr>
          <w:rFonts w:hint="eastAsia" w:ascii="宋体" w:hAnsi="宋体" w:cs="宋体"/>
          <w:sz w:val="24"/>
          <w:szCs w:val="24"/>
          <w:highlight w:val="none"/>
        </w:rPr>
        <w:t>（1）采购人的采购资金纳入同级或以上政府财政预算。</w:t>
      </w:r>
    </w:p>
    <w:p>
      <w:pPr>
        <w:pStyle w:val="52"/>
        <w:spacing w:line="360" w:lineRule="auto"/>
        <w:rPr>
          <w:rFonts w:ascii="宋体" w:hAnsi="宋体" w:cs="宋体"/>
          <w:sz w:val="24"/>
          <w:szCs w:val="24"/>
          <w:highlight w:val="none"/>
        </w:rPr>
      </w:pPr>
      <w:r>
        <w:rPr>
          <w:rFonts w:hint="eastAsia" w:ascii="宋体" w:hAnsi="宋体" w:cs="宋体"/>
          <w:sz w:val="24"/>
          <w:szCs w:val="24"/>
          <w:highlight w:val="none"/>
        </w:rPr>
        <w:t>（2）供应商与政府采购部门签署采购合同。</w:t>
      </w:r>
    </w:p>
    <w:p>
      <w:pPr>
        <w:pStyle w:val="52"/>
        <w:spacing w:line="360" w:lineRule="auto"/>
        <w:rPr>
          <w:rFonts w:ascii="宋体" w:hAnsi="宋体" w:cs="宋体"/>
          <w:sz w:val="24"/>
          <w:szCs w:val="24"/>
          <w:highlight w:val="none"/>
        </w:rPr>
      </w:pPr>
      <w:r>
        <w:rPr>
          <w:rFonts w:hint="eastAsia" w:ascii="宋体" w:hAnsi="宋体" w:cs="宋体"/>
          <w:sz w:val="24"/>
          <w:szCs w:val="24"/>
          <w:highlight w:val="none"/>
        </w:rPr>
        <w:t>（3）采购合同在公开平台进行公示或者备案。</w:t>
      </w:r>
    </w:p>
    <w:p>
      <w:pPr>
        <w:pStyle w:val="52"/>
        <w:spacing w:line="360" w:lineRule="auto"/>
        <w:rPr>
          <w:rFonts w:ascii="宋体" w:hAnsi="宋体" w:cs="宋体"/>
          <w:sz w:val="24"/>
          <w:szCs w:val="24"/>
          <w:highlight w:val="none"/>
        </w:rPr>
      </w:pPr>
      <w:r>
        <w:rPr>
          <w:rFonts w:hint="eastAsia" w:ascii="宋体" w:hAnsi="宋体" w:cs="宋体"/>
          <w:sz w:val="24"/>
          <w:szCs w:val="24"/>
          <w:highlight w:val="none"/>
        </w:rPr>
        <w:t>（4）采购供应商依托采购合同，通过建行集团供应链平台申请融资。</w:t>
      </w:r>
    </w:p>
    <w:p>
      <w:pPr>
        <w:pStyle w:val="52"/>
        <w:spacing w:line="360" w:lineRule="auto"/>
        <w:rPr>
          <w:rFonts w:ascii="宋体" w:hAnsi="宋体" w:cs="宋体"/>
          <w:sz w:val="24"/>
          <w:szCs w:val="24"/>
          <w:highlight w:val="none"/>
        </w:rPr>
      </w:pPr>
      <w:r>
        <w:rPr>
          <w:rFonts w:hint="eastAsia" w:ascii="宋体" w:hAnsi="宋体" w:cs="宋体"/>
          <w:sz w:val="24"/>
          <w:szCs w:val="24"/>
          <w:highlight w:val="none"/>
        </w:rPr>
        <w:t>（5）建行核实贸易背景，按照采购合同金额的一定比例（考虑质押率）发放融资款项。</w:t>
      </w:r>
    </w:p>
    <w:p>
      <w:pPr>
        <w:pStyle w:val="52"/>
        <w:spacing w:line="360" w:lineRule="auto"/>
        <w:rPr>
          <w:rFonts w:ascii="宋体" w:hAnsi="宋体" w:cs="宋体"/>
          <w:sz w:val="24"/>
          <w:szCs w:val="24"/>
          <w:highlight w:val="none"/>
        </w:rPr>
      </w:pPr>
      <w:r>
        <w:rPr>
          <w:rFonts w:hint="eastAsia" w:ascii="宋体" w:hAnsi="宋体" w:cs="宋体"/>
          <w:sz w:val="24"/>
          <w:szCs w:val="24"/>
          <w:highlight w:val="none"/>
        </w:rPr>
        <w:t>（6）业务到期前，政府部门支付采购款项到建设银行指定的回款专户中。</w:t>
      </w:r>
    </w:p>
    <w:p>
      <w:pPr>
        <w:pStyle w:val="52"/>
        <w:spacing w:line="360" w:lineRule="auto"/>
        <w:rPr>
          <w:rFonts w:ascii="宋体" w:hAnsi="宋体" w:cs="宋体"/>
          <w:sz w:val="24"/>
          <w:szCs w:val="24"/>
          <w:highlight w:val="none"/>
        </w:rPr>
      </w:pPr>
      <w:r>
        <w:rPr>
          <w:rFonts w:hint="eastAsia" w:ascii="宋体" w:hAnsi="宋体" w:cs="宋体"/>
          <w:sz w:val="24"/>
          <w:szCs w:val="24"/>
          <w:highlight w:val="none"/>
        </w:rPr>
        <w:t>2、产品优势</w:t>
      </w:r>
    </w:p>
    <w:p>
      <w:pPr>
        <w:pStyle w:val="52"/>
        <w:spacing w:line="360" w:lineRule="auto"/>
        <w:rPr>
          <w:rFonts w:ascii="宋体" w:hAnsi="宋体" w:cs="宋体"/>
          <w:sz w:val="24"/>
          <w:szCs w:val="24"/>
          <w:highlight w:val="none"/>
        </w:rPr>
      </w:pPr>
      <w:r>
        <w:rPr>
          <w:rFonts w:hint="eastAsia" w:ascii="宋体" w:hAnsi="宋体" w:cs="宋体"/>
          <w:sz w:val="24"/>
          <w:szCs w:val="24"/>
          <w:highlight w:val="none"/>
        </w:rPr>
        <w:t>（1）无抵押（依据政府采购合同及历史交易、履约信息作为授信依据）；</w:t>
      </w:r>
    </w:p>
    <w:p>
      <w:pPr>
        <w:pStyle w:val="52"/>
        <w:spacing w:line="360" w:lineRule="auto"/>
        <w:rPr>
          <w:rFonts w:ascii="宋体" w:hAnsi="宋体" w:cs="宋体"/>
          <w:sz w:val="24"/>
          <w:szCs w:val="24"/>
          <w:highlight w:val="none"/>
        </w:rPr>
      </w:pPr>
      <w:r>
        <w:rPr>
          <w:rFonts w:hint="eastAsia" w:ascii="宋体" w:hAnsi="宋体" w:cs="宋体"/>
          <w:sz w:val="24"/>
          <w:szCs w:val="24"/>
          <w:highlight w:val="none"/>
        </w:rPr>
        <w:t>（2）放款快（在线审批，快捷放款）；</w:t>
      </w:r>
    </w:p>
    <w:p>
      <w:pPr>
        <w:pStyle w:val="52"/>
        <w:spacing w:line="360" w:lineRule="auto"/>
        <w:rPr>
          <w:rFonts w:ascii="宋体" w:hAnsi="宋体" w:cs="宋体"/>
          <w:sz w:val="24"/>
          <w:szCs w:val="24"/>
          <w:highlight w:val="none"/>
        </w:rPr>
      </w:pPr>
      <w:r>
        <w:rPr>
          <w:rFonts w:hint="eastAsia" w:ascii="宋体" w:hAnsi="宋体" w:cs="宋体"/>
          <w:sz w:val="24"/>
          <w:szCs w:val="24"/>
          <w:highlight w:val="none"/>
        </w:rPr>
        <w:t>（3）额度高（单笔合同贷款金额最高3000万元）；</w:t>
      </w:r>
    </w:p>
    <w:p>
      <w:pPr>
        <w:pStyle w:val="52"/>
        <w:spacing w:line="360" w:lineRule="auto"/>
        <w:rPr>
          <w:rFonts w:ascii="宋体" w:hAnsi="宋体" w:cs="宋体"/>
          <w:sz w:val="24"/>
          <w:szCs w:val="24"/>
          <w:highlight w:val="none"/>
        </w:rPr>
      </w:pPr>
      <w:r>
        <w:rPr>
          <w:rFonts w:hint="eastAsia" w:ascii="宋体" w:hAnsi="宋体" w:cs="宋体"/>
          <w:sz w:val="24"/>
          <w:szCs w:val="24"/>
          <w:highlight w:val="none"/>
        </w:rPr>
        <w:t>（4）操作便捷（流程简捷，全线上化操作）；</w:t>
      </w:r>
    </w:p>
    <w:p>
      <w:pPr>
        <w:pStyle w:val="52"/>
        <w:spacing w:line="360" w:lineRule="auto"/>
        <w:rPr>
          <w:rFonts w:ascii="宋体" w:hAnsi="宋体" w:cs="宋体"/>
          <w:sz w:val="24"/>
          <w:szCs w:val="24"/>
          <w:highlight w:val="none"/>
        </w:rPr>
      </w:pPr>
      <w:r>
        <w:rPr>
          <w:rFonts w:hint="eastAsia" w:ascii="宋体" w:hAnsi="宋体" w:cs="宋体"/>
          <w:sz w:val="24"/>
          <w:szCs w:val="24"/>
          <w:highlight w:val="none"/>
        </w:rPr>
        <w:t>（5）还款灵活（支持多种还款付息方式，支持提前还款）；</w:t>
      </w:r>
    </w:p>
    <w:p>
      <w:pPr>
        <w:pStyle w:val="52"/>
        <w:spacing w:line="360" w:lineRule="auto"/>
        <w:rPr>
          <w:rFonts w:ascii="宋体" w:hAnsi="宋体" w:cs="宋体"/>
          <w:sz w:val="24"/>
          <w:szCs w:val="24"/>
          <w:highlight w:val="none"/>
        </w:rPr>
      </w:pPr>
      <w:r>
        <w:rPr>
          <w:rFonts w:hint="eastAsia" w:ascii="宋体" w:hAnsi="宋体" w:cs="宋体"/>
          <w:sz w:val="24"/>
          <w:szCs w:val="24"/>
          <w:highlight w:val="none"/>
        </w:rPr>
        <w:t>3、借款人基本条件</w:t>
      </w:r>
    </w:p>
    <w:p>
      <w:pPr>
        <w:pStyle w:val="52"/>
        <w:spacing w:line="360" w:lineRule="auto"/>
        <w:rPr>
          <w:rFonts w:ascii="宋体" w:hAnsi="宋体" w:cs="宋体"/>
          <w:sz w:val="24"/>
          <w:szCs w:val="24"/>
          <w:highlight w:val="none"/>
        </w:rPr>
      </w:pPr>
      <w:r>
        <w:rPr>
          <w:rFonts w:hint="eastAsia" w:ascii="宋体" w:hAnsi="宋体" w:cs="宋体"/>
          <w:sz w:val="24"/>
          <w:szCs w:val="24"/>
          <w:highlight w:val="none"/>
        </w:rPr>
        <w:t>（1）供应商经工商行政管理机关（或主管机关）核准登记的企业法人或个体工商户，有固定经营场所，合法经营。</w:t>
      </w:r>
    </w:p>
    <w:p>
      <w:pPr>
        <w:pStyle w:val="52"/>
        <w:spacing w:line="360" w:lineRule="auto"/>
        <w:rPr>
          <w:rFonts w:ascii="宋体" w:hAnsi="宋体" w:cs="宋体"/>
          <w:sz w:val="24"/>
          <w:szCs w:val="24"/>
          <w:highlight w:val="none"/>
        </w:rPr>
      </w:pPr>
      <w:r>
        <w:rPr>
          <w:rFonts w:hint="eastAsia" w:ascii="宋体" w:hAnsi="宋体" w:cs="宋体"/>
          <w:sz w:val="24"/>
          <w:szCs w:val="24"/>
          <w:highlight w:val="none"/>
        </w:rPr>
        <w:t>（2）供应商未纳入</w:t>
      </w:r>
      <w:bookmarkStart w:id="135" w:name="_Hlk11443363"/>
      <w:r>
        <w:rPr>
          <w:rFonts w:hint="eastAsia" w:ascii="宋体" w:hAnsi="宋体" w:cs="宋体"/>
          <w:sz w:val="24"/>
          <w:szCs w:val="24"/>
          <w:highlight w:val="none"/>
        </w:rPr>
        <w:t>政府采购严重违法失信行为记录名单</w:t>
      </w:r>
      <w:bookmarkEnd w:id="135"/>
      <w:r>
        <w:rPr>
          <w:rFonts w:hint="eastAsia" w:ascii="宋体" w:hAnsi="宋体" w:cs="宋体"/>
          <w:sz w:val="24"/>
          <w:szCs w:val="24"/>
          <w:highlight w:val="none"/>
        </w:rPr>
        <w:t>。（3）不存在我行反洗钱客户身份识别管理制度规定的禁止准入情形或停止业务关系的情形。（4）供应商企业具有持续经营能力，信用记录良好，近2年在中国人民银行企业征信系统无不良信用记录。（5）供应商企业主个人信用记录良好，近2年在中国人民银行个人征信系统个人逾期或欠息在30天（含）以内的次数不超过2（含）次，且不存在逾期或欠息在30天以上的信用记录。（6）供应商与采购人具有长期稳定合作关系，原则上要有2次及以上的历史政府采购中标记录。（7）供应商及采购人为本地注册企业。（8）供应商成立一年以上。（9）供应商具有明确的还款来源和风险缓释措施。</w:t>
      </w:r>
    </w:p>
    <w:p>
      <w:pPr>
        <w:pStyle w:val="52"/>
        <w:spacing w:line="360" w:lineRule="auto"/>
        <w:rPr>
          <w:rFonts w:ascii="宋体" w:hAnsi="宋体" w:cs="宋体"/>
          <w:sz w:val="24"/>
          <w:szCs w:val="24"/>
          <w:highlight w:val="none"/>
        </w:rPr>
      </w:pPr>
      <w:r>
        <w:rPr>
          <w:rFonts w:hint="eastAsia" w:ascii="宋体" w:hAnsi="宋体" w:cs="宋体"/>
          <w:sz w:val="24"/>
          <w:szCs w:val="24"/>
          <w:highlight w:val="none"/>
        </w:rPr>
        <w:t>4、申请路径：建行集团供应链平台</w:t>
      </w:r>
    </w:p>
    <w:p>
      <w:pPr>
        <w:pStyle w:val="52"/>
        <w:spacing w:line="360" w:lineRule="auto"/>
        <w:rPr>
          <w:rFonts w:ascii="宋体" w:hAnsi="宋体" w:cs="宋体"/>
          <w:sz w:val="24"/>
          <w:szCs w:val="24"/>
          <w:highlight w:val="none"/>
        </w:rPr>
      </w:pPr>
      <w:r>
        <w:rPr>
          <w:rFonts w:hint="eastAsia" w:ascii="宋体" w:hAnsi="宋体" w:cs="宋体"/>
          <w:sz w:val="24"/>
          <w:szCs w:val="24"/>
          <w:highlight w:val="none"/>
        </w:rPr>
        <w:t>5、利率：针对不同客户差别化定价，根据客户综合贡献度合理确定。</w:t>
      </w:r>
    </w:p>
    <w:p>
      <w:pPr>
        <w:pStyle w:val="52"/>
        <w:spacing w:line="360" w:lineRule="auto"/>
        <w:rPr>
          <w:rFonts w:ascii="宋体" w:hAnsi="宋体" w:cs="宋体"/>
          <w:sz w:val="24"/>
          <w:szCs w:val="24"/>
          <w:highlight w:val="none"/>
        </w:rPr>
      </w:pPr>
      <w:r>
        <w:rPr>
          <w:rFonts w:hint="eastAsia" w:ascii="宋体" w:hAnsi="宋体" w:cs="宋体"/>
          <w:sz w:val="24"/>
          <w:szCs w:val="24"/>
          <w:highlight w:val="none"/>
        </w:rPr>
        <w:t>6、联系方式：分管领导：马顺超13693835688</w:t>
      </w:r>
    </w:p>
    <w:p>
      <w:pPr>
        <w:pStyle w:val="52"/>
        <w:spacing w:line="360" w:lineRule="auto"/>
        <w:rPr>
          <w:rFonts w:ascii="宋体" w:hAnsi="宋体" w:cs="宋体"/>
          <w:sz w:val="24"/>
          <w:szCs w:val="24"/>
          <w:highlight w:val="none"/>
        </w:rPr>
      </w:pPr>
      <w:r>
        <w:rPr>
          <w:rFonts w:hint="eastAsia" w:ascii="宋体" w:hAnsi="宋体" w:cs="宋体"/>
          <w:sz w:val="24"/>
          <w:szCs w:val="24"/>
          <w:highlight w:val="none"/>
        </w:rPr>
        <w:t>信贷经理：张翠荣13937942294</w:t>
      </w:r>
    </w:p>
    <w:p>
      <w:pPr>
        <w:pStyle w:val="52"/>
        <w:spacing w:line="360" w:lineRule="auto"/>
        <w:jc w:val="center"/>
        <w:rPr>
          <w:rFonts w:ascii="宋体" w:hAnsi="宋体" w:cs="宋体"/>
          <w:b/>
          <w:bCs/>
          <w:color w:val="0000FF"/>
          <w:sz w:val="24"/>
          <w:szCs w:val="24"/>
          <w:highlight w:val="none"/>
        </w:rPr>
      </w:pPr>
      <w:r>
        <w:rPr>
          <w:rFonts w:hint="eastAsia" w:ascii="宋体" w:hAnsi="宋体" w:cs="宋体"/>
          <w:b/>
          <w:bCs/>
          <w:color w:val="0000FF"/>
          <w:sz w:val="24"/>
          <w:szCs w:val="24"/>
          <w:highlight w:val="none"/>
        </w:rPr>
        <w:t>招商银行政府采购融资贷联系方式及融资产品介绍</w:t>
      </w:r>
    </w:p>
    <w:p>
      <w:pPr>
        <w:pStyle w:val="57"/>
        <w:numPr>
          <w:ilvl w:val="0"/>
          <w:numId w:val="3"/>
        </w:numPr>
        <w:spacing w:line="360" w:lineRule="auto"/>
        <w:ind w:firstLine="0" w:firstLineChars="0"/>
        <w:rPr>
          <w:rFonts w:ascii="宋体" w:hAnsi="宋体" w:cs="宋体"/>
          <w:kern w:val="2"/>
          <w:sz w:val="24"/>
          <w:szCs w:val="24"/>
          <w:highlight w:val="none"/>
        </w:rPr>
      </w:pPr>
      <w:r>
        <w:rPr>
          <w:rFonts w:hint="eastAsia" w:ascii="宋体" w:hAnsi="宋体" w:cs="宋体"/>
          <w:kern w:val="2"/>
          <w:sz w:val="24"/>
          <w:szCs w:val="24"/>
          <w:highlight w:val="none"/>
        </w:rPr>
        <w:t>联系方式：</w:t>
      </w:r>
    </w:p>
    <w:tbl>
      <w:tblPr>
        <w:tblStyle w:val="19"/>
        <w:tblW w:w="9782" w:type="dxa"/>
        <w:tblInd w:w="-176" w:type="dxa"/>
        <w:tblLayout w:type="fixed"/>
        <w:tblCellMar>
          <w:top w:w="0" w:type="dxa"/>
          <w:left w:w="108" w:type="dxa"/>
          <w:bottom w:w="0" w:type="dxa"/>
          <w:right w:w="108" w:type="dxa"/>
        </w:tblCellMar>
      </w:tblPr>
      <w:tblGrid>
        <w:gridCol w:w="1457"/>
        <w:gridCol w:w="1980"/>
        <w:gridCol w:w="3540"/>
        <w:gridCol w:w="1954"/>
        <w:gridCol w:w="851"/>
      </w:tblGrid>
      <w:tr>
        <w:tblPrEx>
          <w:tblCellMar>
            <w:top w:w="0" w:type="dxa"/>
            <w:left w:w="108" w:type="dxa"/>
            <w:bottom w:w="0" w:type="dxa"/>
            <w:right w:w="108" w:type="dxa"/>
          </w:tblCellMar>
        </w:tblPrEx>
        <w:trPr>
          <w:trHeight w:val="270" w:hRule="atLeast"/>
        </w:trPr>
        <w:tc>
          <w:tcPr>
            <w:tcW w:w="1457" w:type="dxa"/>
            <w:tcBorders>
              <w:top w:val="single" w:color="auto" w:sz="4" w:space="0"/>
              <w:left w:val="single" w:color="auto" w:sz="4" w:space="0"/>
              <w:bottom w:val="single" w:color="auto" w:sz="4" w:space="0"/>
              <w:right w:val="single" w:color="auto" w:sz="4" w:space="0"/>
            </w:tcBorders>
            <w:vAlign w:val="center"/>
          </w:tcPr>
          <w:p>
            <w:pPr>
              <w:pStyle w:val="52"/>
              <w:widowControl/>
              <w:spacing w:line="360" w:lineRule="auto"/>
              <w:jc w:val="center"/>
              <w:rPr>
                <w:rFonts w:ascii="宋体" w:hAnsi="宋体" w:cs="宋体"/>
                <w:kern w:val="2"/>
                <w:sz w:val="24"/>
                <w:szCs w:val="24"/>
                <w:highlight w:val="none"/>
              </w:rPr>
            </w:pPr>
            <w:r>
              <w:rPr>
                <w:rFonts w:hint="eastAsia" w:ascii="宋体" w:hAnsi="宋体" w:cs="宋体"/>
                <w:kern w:val="2"/>
                <w:sz w:val="24"/>
                <w:szCs w:val="24"/>
                <w:highlight w:val="none"/>
              </w:rPr>
              <w:t>分管领导</w:t>
            </w:r>
          </w:p>
        </w:tc>
        <w:tc>
          <w:tcPr>
            <w:tcW w:w="1980" w:type="dxa"/>
            <w:tcBorders>
              <w:top w:val="single" w:color="auto" w:sz="4" w:space="0"/>
              <w:left w:val="nil"/>
              <w:bottom w:val="single" w:color="auto" w:sz="4" w:space="0"/>
              <w:right w:val="single" w:color="auto" w:sz="4" w:space="0"/>
            </w:tcBorders>
            <w:vAlign w:val="center"/>
          </w:tcPr>
          <w:p>
            <w:pPr>
              <w:pStyle w:val="52"/>
              <w:widowControl/>
              <w:spacing w:line="360" w:lineRule="auto"/>
              <w:jc w:val="center"/>
              <w:rPr>
                <w:rFonts w:ascii="宋体" w:hAnsi="宋体" w:cs="宋体"/>
                <w:kern w:val="2"/>
                <w:sz w:val="24"/>
                <w:szCs w:val="24"/>
                <w:highlight w:val="none"/>
              </w:rPr>
            </w:pPr>
            <w:r>
              <w:rPr>
                <w:rFonts w:hint="eastAsia" w:ascii="宋体" w:hAnsi="宋体" w:cs="宋体"/>
                <w:kern w:val="2"/>
                <w:sz w:val="24"/>
                <w:szCs w:val="24"/>
                <w:highlight w:val="none"/>
              </w:rPr>
              <w:t>职务</w:t>
            </w:r>
          </w:p>
        </w:tc>
        <w:tc>
          <w:tcPr>
            <w:tcW w:w="3540" w:type="dxa"/>
            <w:tcBorders>
              <w:top w:val="single" w:color="auto" w:sz="4" w:space="0"/>
              <w:left w:val="nil"/>
              <w:bottom w:val="single" w:color="auto" w:sz="4" w:space="0"/>
              <w:right w:val="single" w:color="auto" w:sz="4" w:space="0"/>
            </w:tcBorders>
            <w:vAlign w:val="center"/>
          </w:tcPr>
          <w:p>
            <w:pPr>
              <w:pStyle w:val="52"/>
              <w:widowControl/>
              <w:spacing w:line="360" w:lineRule="auto"/>
              <w:jc w:val="center"/>
              <w:rPr>
                <w:rFonts w:ascii="宋体" w:hAnsi="宋体" w:cs="宋体"/>
                <w:kern w:val="2"/>
                <w:sz w:val="24"/>
                <w:szCs w:val="24"/>
                <w:highlight w:val="none"/>
              </w:rPr>
            </w:pPr>
            <w:r>
              <w:rPr>
                <w:rFonts w:hint="eastAsia" w:ascii="宋体" w:hAnsi="宋体" w:cs="宋体"/>
                <w:kern w:val="2"/>
                <w:sz w:val="24"/>
                <w:szCs w:val="24"/>
                <w:highlight w:val="none"/>
              </w:rPr>
              <w:t>地址</w:t>
            </w:r>
          </w:p>
        </w:tc>
        <w:tc>
          <w:tcPr>
            <w:tcW w:w="1954" w:type="dxa"/>
            <w:tcBorders>
              <w:top w:val="single" w:color="auto" w:sz="4" w:space="0"/>
              <w:left w:val="nil"/>
              <w:bottom w:val="single" w:color="auto" w:sz="4" w:space="0"/>
              <w:right w:val="single" w:color="auto" w:sz="4" w:space="0"/>
            </w:tcBorders>
            <w:vAlign w:val="center"/>
          </w:tcPr>
          <w:p>
            <w:pPr>
              <w:pStyle w:val="52"/>
              <w:widowControl/>
              <w:spacing w:line="360" w:lineRule="auto"/>
              <w:jc w:val="center"/>
              <w:rPr>
                <w:rFonts w:ascii="宋体" w:hAnsi="宋体" w:cs="宋体"/>
                <w:kern w:val="2"/>
                <w:sz w:val="24"/>
                <w:szCs w:val="24"/>
                <w:highlight w:val="none"/>
              </w:rPr>
            </w:pPr>
            <w:r>
              <w:rPr>
                <w:rFonts w:hint="eastAsia" w:ascii="宋体" w:hAnsi="宋体" w:cs="宋体"/>
                <w:kern w:val="2"/>
                <w:sz w:val="24"/>
                <w:szCs w:val="24"/>
                <w:highlight w:val="none"/>
              </w:rPr>
              <w:t>电话</w:t>
            </w:r>
          </w:p>
        </w:tc>
        <w:tc>
          <w:tcPr>
            <w:tcW w:w="851" w:type="dxa"/>
            <w:tcBorders>
              <w:top w:val="single" w:color="auto" w:sz="4" w:space="0"/>
              <w:left w:val="nil"/>
              <w:bottom w:val="single" w:color="auto" w:sz="4" w:space="0"/>
              <w:right w:val="single" w:color="auto" w:sz="4" w:space="0"/>
            </w:tcBorders>
            <w:vAlign w:val="center"/>
          </w:tcPr>
          <w:p>
            <w:pPr>
              <w:pStyle w:val="52"/>
              <w:widowControl/>
              <w:spacing w:line="360" w:lineRule="auto"/>
              <w:jc w:val="center"/>
              <w:rPr>
                <w:rFonts w:ascii="宋体" w:hAnsi="宋体" w:cs="宋体"/>
                <w:kern w:val="2"/>
                <w:sz w:val="24"/>
                <w:szCs w:val="24"/>
                <w:highlight w:val="none"/>
              </w:rPr>
            </w:pPr>
            <w:r>
              <w:rPr>
                <w:rFonts w:hint="eastAsia" w:ascii="宋体" w:hAnsi="宋体" w:cs="宋体"/>
                <w:kern w:val="2"/>
                <w:sz w:val="24"/>
                <w:szCs w:val="24"/>
                <w:highlight w:val="none"/>
              </w:rPr>
              <w:t>备注</w:t>
            </w:r>
          </w:p>
        </w:tc>
      </w:tr>
      <w:tr>
        <w:tblPrEx>
          <w:tblCellMar>
            <w:top w:w="0" w:type="dxa"/>
            <w:left w:w="108" w:type="dxa"/>
            <w:bottom w:w="0" w:type="dxa"/>
            <w:right w:w="108" w:type="dxa"/>
          </w:tblCellMar>
        </w:tblPrEx>
        <w:trPr>
          <w:trHeight w:val="270" w:hRule="atLeast"/>
        </w:trPr>
        <w:tc>
          <w:tcPr>
            <w:tcW w:w="1457" w:type="dxa"/>
            <w:tcBorders>
              <w:top w:val="nil"/>
              <w:left w:val="single" w:color="auto" w:sz="4" w:space="0"/>
              <w:bottom w:val="nil"/>
              <w:right w:val="single" w:color="auto" w:sz="4" w:space="0"/>
            </w:tcBorders>
            <w:vAlign w:val="center"/>
          </w:tcPr>
          <w:p>
            <w:pPr>
              <w:pStyle w:val="52"/>
              <w:widowControl/>
              <w:spacing w:line="360" w:lineRule="auto"/>
              <w:jc w:val="center"/>
              <w:rPr>
                <w:rFonts w:ascii="宋体" w:hAnsi="宋体" w:cs="宋体"/>
                <w:kern w:val="2"/>
                <w:sz w:val="24"/>
                <w:szCs w:val="24"/>
                <w:highlight w:val="none"/>
              </w:rPr>
            </w:pPr>
            <w:r>
              <w:rPr>
                <w:rFonts w:hint="eastAsia" w:ascii="宋体" w:hAnsi="宋体" w:cs="宋体"/>
                <w:kern w:val="2"/>
                <w:sz w:val="24"/>
                <w:szCs w:val="24"/>
                <w:highlight w:val="none"/>
              </w:rPr>
              <w:t>彭国庆</w:t>
            </w:r>
          </w:p>
        </w:tc>
        <w:tc>
          <w:tcPr>
            <w:tcW w:w="1980" w:type="dxa"/>
            <w:tcBorders>
              <w:top w:val="nil"/>
              <w:left w:val="nil"/>
              <w:bottom w:val="nil"/>
              <w:right w:val="single" w:color="auto" w:sz="4" w:space="0"/>
            </w:tcBorders>
            <w:vAlign w:val="center"/>
          </w:tcPr>
          <w:p>
            <w:pPr>
              <w:pStyle w:val="52"/>
              <w:widowControl/>
              <w:spacing w:line="360" w:lineRule="auto"/>
              <w:jc w:val="center"/>
              <w:rPr>
                <w:rFonts w:ascii="宋体" w:hAnsi="宋体" w:cs="宋体"/>
                <w:kern w:val="2"/>
                <w:sz w:val="24"/>
                <w:szCs w:val="24"/>
                <w:highlight w:val="none"/>
              </w:rPr>
            </w:pPr>
            <w:r>
              <w:rPr>
                <w:rFonts w:hint="eastAsia" w:ascii="宋体" w:hAnsi="宋体" w:cs="宋体"/>
                <w:kern w:val="2"/>
                <w:sz w:val="24"/>
                <w:szCs w:val="24"/>
                <w:highlight w:val="none"/>
              </w:rPr>
              <w:t>公司业务分管行长</w:t>
            </w:r>
          </w:p>
        </w:tc>
        <w:tc>
          <w:tcPr>
            <w:tcW w:w="3540" w:type="dxa"/>
            <w:tcBorders>
              <w:top w:val="nil"/>
              <w:left w:val="nil"/>
              <w:bottom w:val="nil"/>
              <w:right w:val="single" w:color="auto" w:sz="4" w:space="0"/>
            </w:tcBorders>
            <w:vAlign w:val="center"/>
          </w:tcPr>
          <w:p>
            <w:pPr>
              <w:pStyle w:val="52"/>
              <w:widowControl/>
              <w:spacing w:line="360" w:lineRule="auto"/>
              <w:jc w:val="center"/>
              <w:rPr>
                <w:rFonts w:ascii="宋体" w:hAnsi="宋体" w:cs="宋体"/>
                <w:kern w:val="2"/>
                <w:sz w:val="24"/>
                <w:szCs w:val="24"/>
                <w:highlight w:val="none"/>
              </w:rPr>
            </w:pPr>
            <w:r>
              <w:rPr>
                <w:rFonts w:hint="eastAsia" w:ascii="宋体" w:hAnsi="宋体" w:cs="宋体"/>
                <w:kern w:val="2"/>
                <w:sz w:val="24"/>
                <w:szCs w:val="24"/>
                <w:highlight w:val="none"/>
              </w:rPr>
              <w:t>洛阳市涧西区南昌路7号西苑大厦</w:t>
            </w:r>
          </w:p>
        </w:tc>
        <w:tc>
          <w:tcPr>
            <w:tcW w:w="1954" w:type="dxa"/>
            <w:tcBorders>
              <w:top w:val="nil"/>
              <w:left w:val="nil"/>
              <w:bottom w:val="nil"/>
              <w:right w:val="single" w:color="auto" w:sz="4" w:space="0"/>
            </w:tcBorders>
            <w:vAlign w:val="center"/>
          </w:tcPr>
          <w:p>
            <w:pPr>
              <w:pStyle w:val="52"/>
              <w:widowControl/>
              <w:spacing w:line="360" w:lineRule="auto"/>
              <w:jc w:val="center"/>
              <w:rPr>
                <w:rFonts w:ascii="宋体" w:hAnsi="宋体" w:cs="宋体"/>
                <w:kern w:val="2"/>
                <w:sz w:val="24"/>
                <w:szCs w:val="24"/>
                <w:highlight w:val="none"/>
              </w:rPr>
            </w:pPr>
            <w:r>
              <w:rPr>
                <w:rFonts w:hint="eastAsia" w:ascii="宋体" w:hAnsi="宋体" w:cs="宋体"/>
                <w:kern w:val="2"/>
                <w:sz w:val="24"/>
                <w:szCs w:val="24"/>
                <w:highlight w:val="none"/>
              </w:rPr>
              <w:t>15236667303</w:t>
            </w:r>
          </w:p>
        </w:tc>
        <w:tc>
          <w:tcPr>
            <w:tcW w:w="851" w:type="dxa"/>
            <w:tcBorders>
              <w:top w:val="nil"/>
              <w:left w:val="nil"/>
              <w:bottom w:val="nil"/>
              <w:right w:val="single" w:color="auto" w:sz="4" w:space="0"/>
            </w:tcBorders>
            <w:vAlign w:val="center"/>
          </w:tcPr>
          <w:p>
            <w:pPr>
              <w:pStyle w:val="52"/>
              <w:widowControl/>
              <w:spacing w:line="360" w:lineRule="auto"/>
              <w:jc w:val="center"/>
              <w:rPr>
                <w:rFonts w:ascii="宋体" w:hAnsi="宋体" w:cs="宋体"/>
                <w:kern w:val="2"/>
                <w:sz w:val="24"/>
                <w:szCs w:val="24"/>
                <w:highlight w:val="none"/>
              </w:rPr>
            </w:pPr>
            <w:r>
              <w:rPr>
                <w:rFonts w:hint="eastAsia" w:ascii="宋体" w:hAnsi="宋体" w:cs="宋体"/>
                <w:kern w:val="2"/>
                <w:sz w:val="24"/>
                <w:szCs w:val="24"/>
                <w:highlight w:val="none"/>
              </w:rPr>
              <w:t>　</w:t>
            </w:r>
          </w:p>
        </w:tc>
      </w:tr>
      <w:tr>
        <w:tblPrEx>
          <w:tblCellMar>
            <w:top w:w="0" w:type="dxa"/>
            <w:left w:w="108" w:type="dxa"/>
            <w:bottom w:w="0" w:type="dxa"/>
            <w:right w:w="108" w:type="dxa"/>
          </w:tblCellMar>
        </w:tblPrEx>
        <w:trPr>
          <w:trHeight w:val="270" w:hRule="atLeast"/>
        </w:trPr>
        <w:tc>
          <w:tcPr>
            <w:tcW w:w="1457" w:type="dxa"/>
            <w:tcBorders>
              <w:top w:val="nil"/>
              <w:left w:val="single" w:color="auto" w:sz="4" w:space="0"/>
              <w:bottom w:val="single" w:color="auto" w:sz="4" w:space="0"/>
              <w:right w:val="single" w:color="auto" w:sz="4" w:space="0"/>
            </w:tcBorders>
            <w:vAlign w:val="center"/>
          </w:tcPr>
          <w:p>
            <w:pPr>
              <w:pStyle w:val="52"/>
              <w:widowControl/>
              <w:spacing w:line="360" w:lineRule="auto"/>
              <w:jc w:val="center"/>
              <w:rPr>
                <w:rFonts w:ascii="宋体" w:hAnsi="宋体" w:cs="宋体"/>
                <w:kern w:val="2"/>
                <w:sz w:val="24"/>
                <w:szCs w:val="24"/>
                <w:highlight w:val="none"/>
              </w:rPr>
            </w:pPr>
            <w:r>
              <w:rPr>
                <w:rFonts w:hint="eastAsia" w:ascii="宋体" w:hAnsi="宋体" w:cs="宋体"/>
                <w:kern w:val="2"/>
                <w:sz w:val="24"/>
                <w:szCs w:val="24"/>
                <w:highlight w:val="none"/>
              </w:rPr>
              <w:t>王伊宁</w:t>
            </w:r>
          </w:p>
        </w:tc>
        <w:tc>
          <w:tcPr>
            <w:tcW w:w="1980" w:type="dxa"/>
            <w:tcBorders>
              <w:top w:val="nil"/>
              <w:left w:val="nil"/>
              <w:bottom w:val="single" w:color="auto" w:sz="4" w:space="0"/>
              <w:right w:val="single" w:color="auto" w:sz="4" w:space="0"/>
            </w:tcBorders>
            <w:vAlign w:val="center"/>
          </w:tcPr>
          <w:p>
            <w:pPr>
              <w:pStyle w:val="52"/>
              <w:widowControl/>
              <w:spacing w:line="360" w:lineRule="auto"/>
              <w:jc w:val="center"/>
              <w:rPr>
                <w:rFonts w:ascii="宋体" w:hAnsi="宋体" w:cs="宋体"/>
                <w:kern w:val="2"/>
                <w:sz w:val="24"/>
                <w:szCs w:val="24"/>
                <w:highlight w:val="none"/>
              </w:rPr>
            </w:pPr>
            <w:r>
              <w:rPr>
                <w:rFonts w:hint="eastAsia" w:ascii="宋体" w:hAnsi="宋体" w:cs="宋体"/>
                <w:kern w:val="2"/>
                <w:sz w:val="24"/>
                <w:szCs w:val="24"/>
                <w:highlight w:val="none"/>
              </w:rPr>
              <w:t>客户经理</w:t>
            </w:r>
          </w:p>
        </w:tc>
        <w:tc>
          <w:tcPr>
            <w:tcW w:w="3540" w:type="dxa"/>
            <w:tcBorders>
              <w:top w:val="nil"/>
              <w:left w:val="nil"/>
              <w:bottom w:val="single" w:color="auto" w:sz="4" w:space="0"/>
              <w:right w:val="single" w:color="auto" w:sz="4" w:space="0"/>
            </w:tcBorders>
            <w:vAlign w:val="center"/>
          </w:tcPr>
          <w:p>
            <w:pPr>
              <w:pStyle w:val="52"/>
              <w:widowControl/>
              <w:spacing w:line="360" w:lineRule="auto"/>
              <w:jc w:val="center"/>
              <w:rPr>
                <w:rFonts w:ascii="宋体" w:hAnsi="宋体" w:cs="宋体"/>
                <w:kern w:val="2"/>
                <w:sz w:val="24"/>
                <w:szCs w:val="24"/>
                <w:highlight w:val="none"/>
              </w:rPr>
            </w:pPr>
            <w:r>
              <w:rPr>
                <w:rFonts w:hint="eastAsia" w:ascii="宋体" w:hAnsi="宋体" w:cs="宋体"/>
                <w:kern w:val="2"/>
                <w:sz w:val="24"/>
                <w:szCs w:val="24"/>
                <w:highlight w:val="none"/>
              </w:rPr>
              <w:t>洛阳市涧西区南昌路7号西苑大厦</w:t>
            </w:r>
          </w:p>
        </w:tc>
        <w:tc>
          <w:tcPr>
            <w:tcW w:w="1954" w:type="dxa"/>
            <w:tcBorders>
              <w:top w:val="nil"/>
              <w:left w:val="nil"/>
              <w:bottom w:val="single" w:color="auto" w:sz="4" w:space="0"/>
              <w:right w:val="single" w:color="auto" w:sz="4" w:space="0"/>
            </w:tcBorders>
            <w:vAlign w:val="center"/>
          </w:tcPr>
          <w:p>
            <w:pPr>
              <w:pStyle w:val="52"/>
              <w:widowControl/>
              <w:spacing w:line="360" w:lineRule="auto"/>
              <w:jc w:val="center"/>
              <w:rPr>
                <w:rFonts w:ascii="宋体" w:hAnsi="宋体" w:cs="宋体"/>
                <w:kern w:val="2"/>
                <w:sz w:val="24"/>
                <w:szCs w:val="24"/>
                <w:highlight w:val="none"/>
              </w:rPr>
            </w:pPr>
            <w:r>
              <w:rPr>
                <w:rFonts w:hint="eastAsia" w:ascii="宋体" w:hAnsi="宋体" w:cs="宋体"/>
                <w:kern w:val="2"/>
                <w:sz w:val="24"/>
                <w:szCs w:val="24"/>
                <w:highlight w:val="none"/>
              </w:rPr>
              <w:t xml:space="preserve"> 13683861133</w:t>
            </w:r>
          </w:p>
        </w:tc>
        <w:tc>
          <w:tcPr>
            <w:tcW w:w="851" w:type="dxa"/>
            <w:tcBorders>
              <w:top w:val="nil"/>
              <w:left w:val="nil"/>
              <w:bottom w:val="single" w:color="auto" w:sz="4" w:space="0"/>
              <w:right w:val="single" w:color="auto" w:sz="4" w:space="0"/>
            </w:tcBorders>
            <w:vAlign w:val="center"/>
          </w:tcPr>
          <w:p>
            <w:pPr>
              <w:pStyle w:val="52"/>
              <w:widowControl/>
              <w:spacing w:line="360" w:lineRule="auto"/>
              <w:jc w:val="center"/>
              <w:rPr>
                <w:rFonts w:ascii="宋体" w:hAnsi="宋体" w:cs="宋体"/>
                <w:kern w:val="2"/>
                <w:sz w:val="24"/>
                <w:szCs w:val="24"/>
                <w:highlight w:val="none"/>
              </w:rPr>
            </w:pPr>
            <w:r>
              <w:rPr>
                <w:rFonts w:hint="eastAsia" w:ascii="宋体" w:hAnsi="宋体" w:cs="宋体"/>
                <w:kern w:val="2"/>
                <w:sz w:val="24"/>
                <w:szCs w:val="24"/>
                <w:highlight w:val="none"/>
              </w:rPr>
              <w:t>　</w:t>
            </w:r>
          </w:p>
        </w:tc>
      </w:tr>
    </w:tbl>
    <w:p>
      <w:pPr>
        <w:pStyle w:val="52"/>
        <w:spacing w:line="360" w:lineRule="auto"/>
        <w:rPr>
          <w:rFonts w:ascii="宋体" w:hAnsi="宋体" w:cs="宋体"/>
          <w:kern w:val="2"/>
          <w:sz w:val="24"/>
          <w:szCs w:val="24"/>
          <w:highlight w:val="none"/>
        </w:rPr>
      </w:pPr>
      <w:r>
        <w:rPr>
          <w:rFonts w:hint="eastAsia" w:ascii="宋体" w:hAnsi="宋体" w:cs="宋体"/>
          <w:kern w:val="2"/>
          <w:sz w:val="24"/>
          <w:szCs w:val="24"/>
          <w:highlight w:val="none"/>
        </w:rPr>
        <w:t>二、审批流程</w:t>
      </w:r>
    </w:p>
    <w:p>
      <w:pPr>
        <w:pStyle w:val="52"/>
        <w:spacing w:line="360" w:lineRule="auto"/>
        <w:rPr>
          <w:rFonts w:ascii="宋体" w:hAnsi="宋体" w:cs="宋体"/>
          <w:kern w:val="2"/>
          <w:sz w:val="24"/>
          <w:szCs w:val="24"/>
          <w:highlight w:val="none"/>
        </w:rPr>
      </w:pPr>
      <w:r>
        <w:rPr>
          <w:rFonts w:hint="eastAsia" w:ascii="宋体" w:hAnsi="宋体" w:cs="宋体"/>
          <w:kern w:val="2"/>
          <w:sz w:val="24"/>
          <w:szCs w:val="24"/>
          <w:highlight w:val="none"/>
        </w:rPr>
        <w:t>1、申请路径：（1）手机扫描二维码申请</w:t>
      </w:r>
    </w:p>
    <w:p>
      <w:pPr>
        <w:pStyle w:val="52"/>
        <w:spacing w:line="360" w:lineRule="auto"/>
        <w:jc w:val="center"/>
        <w:rPr>
          <w:rFonts w:ascii="宋体" w:hAnsi="宋体" w:cs="宋体"/>
          <w:sz w:val="24"/>
          <w:szCs w:val="24"/>
          <w:highlight w:val="none"/>
        </w:rPr>
      </w:pPr>
      <w:r>
        <w:rPr>
          <w:rFonts w:hint="eastAsia" w:ascii="宋体" w:hAnsi="宋体" w:cs="宋体"/>
          <w:sz w:val="24"/>
          <w:szCs w:val="24"/>
          <w:highlight w:val="none"/>
        </w:rPr>
        <w:drawing>
          <wp:inline distT="0" distB="0" distL="114300" distR="114300">
            <wp:extent cx="1937385" cy="1571625"/>
            <wp:effectExtent l="0" t="0" r="5715" b="9525"/>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12"/>
                    <a:stretch>
                      <a:fillRect/>
                    </a:stretch>
                  </pic:blipFill>
                  <pic:spPr>
                    <a:xfrm>
                      <a:off x="0" y="0"/>
                      <a:ext cx="1937385" cy="1571625"/>
                    </a:xfrm>
                    <a:prstGeom prst="rect">
                      <a:avLst/>
                    </a:prstGeom>
                    <a:noFill/>
                    <a:ln>
                      <a:noFill/>
                    </a:ln>
                  </pic:spPr>
                </pic:pic>
              </a:graphicData>
            </a:graphic>
          </wp:inline>
        </w:drawing>
      </w:r>
    </w:p>
    <w:p>
      <w:pPr>
        <w:pStyle w:val="52"/>
        <w:spacing w:line="360" w:lineRule="auto"/>
        <w:rPr>
          <w:rFonts w:ascii="宋体" w:hAnsi="宋体" w:cs="宋体"/>
          <w:sz w:val="24"/>
          <w:szCs w:val="24"/>
          <w:highlight w:val="none"/>
        </w:rPr>
      </w:pPr>
      <w:r>
        <w:rPr>
          <w:rFonts w:hint="eastAsia" w:ascii="宋体" w:hAnsi="宋体" w:cs="宋体"/>
          <w:sz w:val="24"/>
          <w:szCs w:val="24"/>
          <w:highlight w:val="none"/>
        </w:rPr>
        <w:t>（2）网页版申请</w:t>
      </w:r>
      <w:r>
        <w:rPr>
          <w:rFonts w:hint="eastAsia"/>
          <w:highlight w:val="none"/>
        </w:rPr>
        <w:fldChar w:fldCharType="begin"/>
      </w:r>
      <w:r>
        <w:rPr>
          <w:highlight w:val="none"/>
        </w:rPr>
        <w:instrText xml:space="preserve"> HYPERLINK "https://sme.cmbchina.com/" </w:instrText>
      </w:r>
      <w:r>
        <w:rPr>
          <w:rFonts w:hint="eastAsia"/>
          <w:highlight w:val="none"/>
        </w:rPr>
        <w:fldChar w:fldCharType="separate"/>
      </w:r>
      <w:r>
        <w:rPr>
          <w:rStyle w:val="55"/>
          <w:rFonts w:hint="eastAsia" w:ascii="宋体" w:hAnsi="宋体" w:cs="宋体"/>
          <w:sz w:val="24"/>
          <w:szCs w:val="24"/>
          <w:highlight w:val="none"/>
        </w:rPr>
        <w:t>https://sme.cmbchina.com/</w:t>
      </w:r>
      <w:r>
        <w:rPr>
          <w:rStyle w:val="55"/>
          <w:rFonts w:hint="eastAsia" w:ascii="宋体" w:hAnsi="宋体" w:cs="宋体"/>
          <w:sz w:val="24"/>
          <w:szCs w:val="24"/>
          <w:highlight w:val="none"/>
        </w:rPr>
        <w:fldChar w:fldCharType="end"/>
      </w:r>
      <w:r>
        <w:rPr>
          <w:rFonts w:hint="eastAsia" w:ascii="宋体" w:hAnsi="宋体" w:cs="宋体"/>
          <w:sz w:val="24"/>
          <w:szCs w:val="24"/>
          <w:highlight w:val="none"/>
        </w:rPr>
        <w:t>；</w:t>
      </w:r>
    </w:p>
    <w:p>
      <w:pPr>
        <w:pStyle w:val="52"/>
        <w:spacing w:line="360" w:lineRule="auto"/>
        <w:jc w:val="left"/>
        <w:rPr>
          <w:rFonts w:ascii="宋体" w:hAnsi="宋体" w:cs="宋体"/>
          <w:sz w:val="24"/>
          <w:szCs w:val="24"/>
          <w:highlight w:val="none"/>
        </w:rPr>
      </w:pPr>
      <w:r>
        <w:rPr>
          <w:rFonts w:hint="eastAsia" w:ascii="宋体" w:hAnsi="宋体" w:cs="宋体"/>
          <w:sz w:val="24"/>
          <w:szCs w:val="24"/>
          <w:highlight w:val="none"/>
        </w:rPr>
        <w:t>2、授信额度：基于政府采购中标总额和实际采购合同办理融资,额度最高可达到3000万，线上自助模式最高1000万；</w:t>
      </w:r>
    </w:p>
    <w:p>
      <w:pPr>
        <w:pStyle w:val="52"/>
        <w:spacing w:line="360" w:lineRule="auto"/>
        <w:jc w:val="left"/>
        <w:rPr>
          <w:rFonts w:ascii="宋体" w:hAnsi="宋体" w:cs="宋体"/>
          <w:sz w:val="24"/>
          <w:szCs w:val="24"/>
          <w:highlight w:val="none"/>
        </w:rPr>
      </w:pPr>
      <w:r>
        <w:rPr>
          <w:rFonts w:hint="eastAsia" w:ascii="宋体" w:hAnsi="宋体" w:cs="宋体"/>
          <w:sz w:val="24"/>
          <w:szCs w:val="24"/>
          <w:highlight w:val="none"/>
        </w:rPr>
        <w:t>3、利率：为切实降低中小微企业融资成本，我行严格执行普惠金融利率政策，对符合标准的普惠小微贷款业务一定补贴优惠；</w:t>
      </w:r>
    </w:p>
    <w:p>
      <w:pPr>
        <w:pStyle w:val="52"/>
        <w:spacing w:line="360" w:lineRule="auto"/>
        <w:jc w:val="left"/>
        <w:rPr>
          <w:rFonts w:ascii="宋体" w:hAnsi="宋体" w:cs="宋体"/>
          <w:sz w:val="24"/>
          <w:szCs w:val="24"/>
          <w:highlight w:val="none"/>
        </w:rPr>
      </w:pPr>
      <w:r>
        <w:rPr>
          <w:rFonts w:hint="eastAsia" w:ascii="宋体" w:hAnsi="宋体" w:cs="宋体"/>
          <w:sz w:val="24"/>
          <w:szCs w:val="24"/>
          <w:highlight w:val="none"/>
        </w:rPr>
        <w:t>4、风控措施：</w:t>
      </w:r>
    </w:p>
    <w:p>
      <w:pPr>
        <w:pStyle w:val="52"/>
        <w:spacing w:line="360" w:lineRule="auto"/>
        <w:jc w:val="left"/>
        <w:rPr>
          <w:rFonts w:ascii="宋体" w:hAnsi="宋体" w:cs="宋体"/>
          <w:sz w:val="24"/>
          <w:szCs w:val="24"/>
          <w:highlight w:val="none"/>
        </w:rPr>
      </w:pPr>
      <w:r>
        <w:rPr>
          <w:rFonts w:hint="eastAsia" w:ascii="宋体" w:hAnsi="宋体" w:cs="宋体"/>
          <w:sz w:val="24"/>
          <w:szCs w:val="24"/>
          <w:highlight w:val="none"/>
        </w:rPr>
        <w:t>（1）回款锁定——保证融资申请人在我行进行融资的政府采购商务合同所对应的回款账户为我行且唯一；（2）在我行据以融资的商务合同项下的应收账款质押；（3）实际控制人夫妇提供连带担保；</w:t>
      </w:r>
    </w:p>
    <w:p>
      <w:pPr>
        <w:pStyle w:val="52"/>
        <w:spacing w:line="360" w:lineRule="auto"/>
        <w:jc w:val="left"/>
        <w:rPr>
          <w:rFonts w:ascii="宋体" w:hAnsi="宋体" w:cs="宋体"/>
          <w:sz w:val="24"/>
          <w:szCs w:val="24"/>
          <w:highlight w:val="none"/>
        </w:rPr>
      </w:pPr>
      <w:r>
        <w:rPr>
          <w:rFonts w:hint="eastAsia" w:ascii="宋体" w:hAnsi="宋体" w:cs="宋体"/>
          <w:sz w:val="24"/>
          <w:szCs w:val="24"/>
          <w:highlight w:val="none"/>
        </w:rPr>
        <w:t>5、客户准入</w:t>
      </w:r>
    </w:p>
    <w:p>
      <w:pPr>
        <w:pStyle w:val="52"/>
        <w:spacing w:line="360" w:lineRule="auto"/>
        <w:jc w:val="left"/>
        <w:rPr>
          <w:rFonts w:ascii="宋体" w:hAnsi="宋体" w:cs="宋体"/>
          <w:sz w:val="24"/>
          <w:szCs w:val="24"/>
          <w:highlight w:val="none"/>
        </w:rPr>
      </w:pPr>
      <w:r>
        <w:rPr>
          <w:rFonts w:hint="eastAsia" w:ascii="宋体" w:hAnsi="宋体" w:cs="宋体"/>
          <w:sz w:val="24"/>
          <w:szCs w:val="24"/>
          <w:highlight w:val="none"/>
        </w:rPr>
        <w:t>（1）采购单位 ：区县及以上政府机构；由上述政府统筹付款的二甲以上公立医院、学校、科研机构等事业单位； 付款记录良好，无拖欠大额工程款、采购款、逃废银行债务等不良记录；</w:t>
      </w:r>
    </w:p>
    <w:p>
      <w:pPr>
        <w:pStyle w:val="52"/>
        <w:spacing w:line="360" w:lineRule="auto"/>
        <w:jc w:val="left"/>
        <w:rPr>
          <w:rFonts w:ascii="宋体" w:hAnsi="宋体" w:cs="宋体"/>
          <w:sz w:val="24"/>
          <w:szCs w:val="24"/>
          <w:highlight w:val="none"/>
        </w:rPr>
      </w:pPr>
      <w:r>
        <w:rPr>
          <w:rFonts w:hint="eastAsia" w:ascii="宋体" w:hAnsi="宋体" w:cs="宋体"/>
          <w:sz w:val="24"/>
          <w:szCs w:val="24"/>
          <w:highlight w:val="none"/>
        </w:rPr>
        <w:t xml:space="preserve">（2）采购项目 ： 优先支持货物类采购，稳妥介入服务类采购，审慎介入建设工程类采购； 未在他行办理以同一采购合同为贸易背景的融资业务； </w:t>
      </w:r>
    </w:p>
    <w:p>
      <w:pPr>
        <w:pStyle w:val="52"/>
        <w:spacing w:line="360" w:lineRule="auto"/>
        <w:jc w:val="left"/>
        <w:rPr>
          <w:rFonts w:ascii="宋体" w:hAnsi="宋体" w:cs="宋体"/>
          <w:sz w:val="24"/>
          <w:szCs w:val="24"/>
          <w:highlight w:val="none"/>
        </w:rPr>
      </w:pPr>
      <w:r>
        <w:rPr>
          <w:rFonts w:hint="eastAsia" w:ascii="宋体" w:hAnsi="宋体" w:cs="宋体"/>
          <w:sz w:val="24"/>
          <w:szCs w:val="24"/>
          <w:highlight w:val="none"/>
        </w:rPr>
        <w:t>8、政采自助贷：</w:t>
      </w:r>
    </w:p>
    <w:p>
      <w:pPr>
        <w:pStyle w:val="52"/>
        <w:spacing w:line="360" w:lineRule="auto"/>
        <w:jc w:val="left"/>
        <w:rPr>
          <w:rFonts w:ascii="宋体" w:hAnsi="宋体" w:cs="宋体"/>
          <w:sz w:val="24"/>
          <w:szCs w:val="24"/>
          <w:highlight w:val="none"/>
        </w:rPr>
      </w:pPr>
      <w:r>
        <w:rPr>
          <w:rFonts w:hint="eastAsia" w:ascii="宋体" w:hAnsi="宋体" w:cs="宋体"/>
          <w:sz w:val="24"/>
          <w:szCs w:val="24"/>
          <w:highlight w:val="none"/>
        </w:rPr>
        <w:t>（1）线上申请及预授信，额度最高1000万；（2）网银端线上自助提款，10分钟内即可到账；（3）基于政府采购中标总额和实际采购合同办理融资, 融资比例最高可达合同金额的80%；（4）利率优惠,线上可随借随还，更加符合政采供应商需求并降低企业成本。</w:t>
      </w:r>
    </w:p>
    <w:p>
      <w:pPr>
        <w:pStyle w:val="52"/>
        <w:spacing w:line="360" w:lineRule="auto"/>
        <w:jc w:val="center"/>
        <w:rPr>
          <w:rFonts w:ascii="宋体" w:hAnsi="宋体" w:cs="宋体"/>
          <w:bCs/>
          <w:sz w:val="24"/>
          <w:szCs w:val="24"/>
          <w:highlight w:val="none"/>
        </w:rPr>
      </w:pPr>
      <w:r>
        <w:rPr>
          <w:rFonts w:hint="eastAsia" w:ascii="宋体" w:hAnsi="宋体" w:cs="宋体"/>
          <w:bCs/>
          <w:sz w:val="24"/>
          <w:szCs w:val="24"/>
          <w:highlight w:val="none"/>
        </w:rPr>
        <w:tab/>
      </w:r>
    </w:p>
    <w:p>
      <w:pPr>
        <w:pStyle w:val="52"/>
        <w:spacing w:line="360" w:lineRule="auto"/>
        <w:jc w:val="center"/>
        <w:rPr>
          <w:rFonts w:ascii="宋体" w:hAnsi="宋体" w:cs="宋体"/>
          <w:b/>
          <w:bCs/>
          <w:color w:val="0000FF"/>
          <w:sz w:val="24"/>
          <w:szCs w:val="24"/>
          <w:highlight w:val="none"/>
        </w:rPr>
      </w:pPr>
      <w:r>
        <w:rPr>
          <w:rFonts w:hint="eastAsia" w:ascii="宋体" w:hAnsi="宋体" w:cs="宋体"/>
          <w:b/>
          <w:bCs/>
          <w:color w:val="0000FF"/>
          <w:sz w:val="24"/>
          <w:szCs w:val="24"/>
          <w:highlight w:val="none"/>
        </w:rPr>
        <w:t>浦发银行政府采购融资贷联系方式及融资产品介绍</w:t>
      </w:r>
    </w:p>
    <w:p>
      <w:pPr>
        <w:pStyle w:val="52"/>
        <w:spacing w:line="360" w:lineRule="auto"/>
        <w:rPr>
          <w:rFonts w:ascii="宋体" w:hAnsi="宋体" w:cs="宋体"/>
          <w:sz w:val="24"/>
          <w:szCs w:val="24"/>
          <w:highlight w:val="none"/>
        </w:rPr>
      </w:pPr>
    </w:p>
    <w:p>
      <w:pPr>
        <w:pStyle w:val="52"/>
        <w:spacing w:line="360" w:lineRule="auto"/>
        <w:jc w:val="left"/>
        <w:rPr>
          <w:rFonts w:ascii="宋体" w:hAnsi="宋体" w:cs="宋体"/>
          <w:sz w:val="24"/>
          <w:szCs w:val="24"/>
          <w:highlight w:val="none"/>
        </w:rPr>
      </w:pPr>
      <w:r>
        <w:rPr>
          <w:rFonts w:hint="eastAsia" w:ascii="宋体" w:hAnsi="宋体" w:cs="宋体"/>
          <w:sz w:val="24"/>
          <w:szCs w:val="24"/>
          <w:highlight w:val="none"/>
        </w:rPr>
        <w:t>一、联系方式</w:t>
      </w:r>
    </w:p>
    <w:p>
      <w:pPr>
        <w:pStyle w:val="52"/>
        <w:spacing w:line="360" w:lineRule="auto"/>
        <w:jc w:val="left"/>
        <w:rPr>
          <w:rFonts w:ascii="宋体" w:hAnsi="宋体" w:cs="宋体"/>
          <w:sz w:val="24"/>
          <w:szCs w:val="24"/>
          <w:highlight w:val="none"/>
        </w:rPr>
      </w:pP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4"/>
        <w:gridCol w:w="1704"/>
        <w:gridCol w:w="1704"/>
        <w:gridCol w:w="1705"/>
        <w:gridCol w:w="17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tcPr>
          <w:p>
            <w:pPr>
              <w:pStyle w:val="52"/>
              <w:spacing w:line="360" w:lineRule="auto"/>
              <w:jc w:val="left"/>
              <w:rPr>
                <w:rFonts w:ascii="宋体" w:hAnsi="宋体" w:cs="宋体"/>
                <w:sz w:val="24"/>
                <w:szCs w:val="24"/>
                <w:highlight w:val="none"/>
              </w:rPr>
            </w:pPr>
            <w:r>
              <w:rPr>
                <w:rFonts w:hint="eastAsia" w:ascii="宋体" w:hAnsi="宋体" w:cs="宋体"/>
                <w:sz w:val="24"/>
                <w:szCs w:val="24"/>
                <w:highlight w:val="none"/>
              </w:rPr>
              <w:t>联系人</w:t>
            </w:r>
          </w:p>
        </w:tc>
        <w:tc>
          <w:tcPr>
            <w:tcW w:w="1704" w:type="dxa"/>
          </w:tcPr>
          <w:p>
            <w:pPr>
              <w:pStyle w:val="52"/>
              <w:spacing w:line="360" w:lineRule="auto"/>
              <w:jc w:val="left"/>
              <w:rPr>
                <w:rFonts w:ascii="宋体" w:hAnsi="宋体" w:cs="宋体"/>
                <w:sz w:val="24"/>
                <w:szCs w:val="24"/>
                <w:highlight w:val="none"/>
              </w:rPr>
            </w:pPr>
            <w:r>
              <w:rPr>
                <w:rFonts w:hint="eastAsia" w:ascii="宋体" w:hAnsi="宋体" w:cs="宋体"/>
                <w:sz w:val="24"/>
                <w:szCs w:val="24"/>
                <w:highlight w:val="none"/>
              </w:rPr>
              <w:t>职务</w:t>
            </w:r>
          </w:p>
        </w:tc>
        <w:tc>
          <w:tcPr>
            <w:tcW w:w="1704" w:type="dxa"/>
          </w:tcPr>
          <w:p>
            <w:pPr>
              <w:pStyle w:val="52"/>
              <w:spacing w:line="360" w:lineRule="auto"/>
              <w:jc w:val="left"/>
              <w:rPr>
                <w:rFonts w:ascii="宋体" w:hAnsi="宋体" w:cs="宋体"/>
                <w:sz w:val="24"/>
                <w:szCs w:val="24"/>
                <w:highlight w:val="none"/>
              </w:rPr>
            </w:pPr>
            <w:r>
              <w:rPr>
                <w:rFonts w:hint="eastAsia" w:ascii="宋体" w:hAnsi="宋体" w:cs="宋体"/>
                <w:sz w:val="24"/>
                <w:szCs w:val="24"/>
                <w:highlight w:val="none"/>
              </w:rPr>
              <w:t>地址</w:t>
            </w:r>
          </w:p>
        </w:tc>
        <w:tc>
          <w:tcPr>
            <w:tcW w:w="1705" w:type="dxa"/>
          </w:tcPr>
          <w:p>
            <w:pPr>
              <w:pStyle w:val="52"/>
              <w:spacing w:line="360" w:lineRule="auto"/>
              <w:jc w:val="left"/>
              <w:rPr>
                <w:rFonts w:ascii="宋体" w:hAnsi="宋体" w:cs="宋体"/>
                <w:sz w:val="24"/>
                <w:szCs w:val="24"/>
                <w:highlight w:val="none"/>
              </w:rPr>
            </w:pPr>
            <w:r>
              <w:rPr>
                <w:rFonts w:hint="eastAsia" w:ascii="宋体" w:hAnsi="宋体" w:cs="宋体"/>
                <w:sz w:val="24"/>
                <w:szCs w:val="24"/>
                <w:highlight w:val="none"/>
              </w:rPr>
              <w:t>电话</w:t>
            </w:r>
          </w:p>
        </w:tc>
        <w:tc>
          <w:tcPr>
            <w:tcW w:w="1705" w:type="dxa"/>
          </w:tcPr>
          <w:p>
            <w:pPr>
              <w:pStyle w:val="52"/>
              <w:spacing w:line="360" w:lineRule="auto"/>
              <w:jc w:val="left"/>
              <w:rPr>
                <w:rFonts w:ascii="宋体" w:hAnsi="宋体" w:cs="宋体"/>
                <w:sz w:val="24"/>
                <w:szCs w:val="24"/>
                <w:highlight w:val="none"/>
              </w:rPr>
            </w:pPr>
            <w:r>
              <w:rPr>
                <w:rFonts w:hint="eastAsia" w:ascii="宋体" w:hAnsi="宋体" w:cs="宋体"/>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tcPr>
          <w:p>
            <w:pPr>
              <w:pStyle w:val="52"/>
              <w:spacing w:line="360" w:lineRule="auto"/>
              <w:jc w:val="left"/>
              <w:rPr>
                <w:rFonts w:ascii="宋体" w:hAnsi="宋体" w:cs="宋体"/>
                <w:sz w:val="24"/>
                <w:szCs w:val="24"/>
                <w:highlight w:val="none"/>
              </w:rPr>
            </w:pPr>
            <w:r>
              <w:rPr>
                <w:rFonts w:hint="eastAsia" w:ascii="宋体" w:hAnsi="宋体" w:cs="宋体"/>
                <w:sz w:val="24"/>
                <w:szCs w:val="24"/>
                <w:highlight w:val="none"/>
              </w:rPr>
              <w:t>苏冰</w:t>
            </w:r>
          </w:p>
        </w:tc>
        <w:tc>
          <w:tcPr>
            <w:tcW w:w="1704" w:type="dxa"/>
          </w:tcPr>
          <w:p>
            <w:pPr>
              <w:pStyle w:val="52"/>
              <w:spacing w:line="360" w:lineRule="auto"/>
              <w:jc w:val="left"/>
              <w:rPr>
                <w:rFonts w:ascii="宋体" w:hAnsi="宋体" w:cs="宋体"/>
                <w:sz w:val="24"/>
                <w:szCs w:val="24"/>
                <w:highlight w:val="none"/>
              </w:rPr>
            </w:pPr>
            <w:r>
              <w:rPr>
                <w:rFonts w:hint="eastAsia" w:ascii="宋体" w:hAnsi="宋体" w:cs="宋体"/>
                <w:sz w:val="24"/>
                <w:szCs w:val="24"/>
                <w:highlight w:val="none"/>
              </w:rPr>
              <w:t>高级产品经理</w:t>
            </w:r>
          </w:p>
        </w:tc>
        <w:tc>
          <w:tcPr>
            <w:tcW w:w="1704" w:type="dxa"/>
          </w:tcPr>
          <w:p>
            <w:pPr>
              <w:pStyle w:val="52"/>
              <w:spacing w:line="360" w:lineRule="auto"/>
              <w:jc w:val="left"/>
              <w:rPr>
                <w:rFonts w:ascii="宋体" w:hAnsi="宋体" w:cs="宋体"/>
                <w:sz w:val="24"/>
                <w:szCs w:val="24"/>
                <w:highlight w:val="none"/>
              </w:rPr>
            </w:pPr>
            <w:r>
              <w:rPr>
                <w:rFonts w:hint="eastAsia" w:ascii="宋体" w:hAnsi="宋体" w:cs="宋体"/>
                <w:sz w:val="24"/>
                <w:szCs w:val="24"/>
                <w:highlight w:val="none"/>
              </w:rPr>
              <w:t>洛阳市洛龙区展览路211号</w:t>
            </w:r>
          </w:p>
        </w:tc>
        <w:tc>
          <w:tcPr>
            <w:tcW w:w="1705" w:type="dxa"/>
          </w:tcPr>
          <w:p>
            <w:pPr>
              <w:pStyle w:val="52"/>
              <w:spacing w:line="360" w:lineRule="auto"/>
              <w:jc w:val="left"/>
              <w:rPr>
                <w:rFonts w:ascii="宋体" w:hAnsi="宋体" w:cs="宋体"/>
                <w:sz w:val="24"/>
                <w:szCs w:val="24"/>
                <w:highlight w:val="none"/>
              </w:rPr>
            </w:pPr>
            <w:r>
              <w:rPr>
                <w:rFonts w:hint="eastAsia" w:ascii="宋体" w:hAnsi="宋体" w:cs="宋体"/>
                <w:sz w:val="24"/>
                <w:szCs w:val="24"/>
                <w:highlight w:val="none"/>
              </w:rPr>
              <w:t xml:space="preserve">18623790623 </w:t>
            </w:r>
          </w:p>
        </w:tc>
        <w:tc>
          <w:tcPr>
            <w:tcW w:w="1705" w:type="dxa"/>
          </w:tcPr>
          <w:p>
            <w:pPr>
              <w:pStyle w:val="52"/>
              <w:spacing w:line="360" w:lineRule="auto"/>
              <w:jc w:val="left"/>
              <w:rPr>
                <w:rFonts w:ascii="宋体" w:hAnsi="宋体" w:cs="宋体"/>
                <w:sz w:val="24"/>
                <w:szCs w:val="24"/>
                <w:highlight w:val="none"/>
              </w:rPr>
            </w:pPr>
            <w:r>
              <w:rPr>
                <w:rFonts w:hint="eastAsia" w:ascii="宋体" w:hAnsi="宋体" w:cs="宋体"/>
                <w:sz w:val="24"/>
                <w:szCs w:val="24"/>
                <w:highlight w:val="none"/>
              </w:rPr>
              <w:t>微信同手机号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tcPr>
          <w:p>
            <w:pPr>
              <w:pStyle w:val="52"/>
              <w:spacing w:line="360" w:lineRule="auto"/>
              <w:jc w:val="left"/>
              <w:rPr>
                <w:rFonts w:ascii="宋体" w:hAnsi="宋体" w:cs="宋体"/>
                <w:sz w:val="24"/>
                <w:szCs w:val="24"/>
                <w:highlight w:val="none"/>
              </w:rPr>
            </w:pPr>
            <w:r>
              <w:rPr>
                <w:rFonts w:hint="eastAsia" w:ascii="宋体" w:hAnsi="宋体" w:cs="宋体"/>
                <w:sz w:val="24"/>
                <w:szCs w:val="24"/>
                <w:highlight w:val="none"/>
              </w:rPr>
              <w:t>汪乐阳</w:t>
            </w:r>
          </w:p>
        </w:tc>
        <w:tc>
          <w:tcPr>
            <w:tcW w:w="1704" w:type="dxa"/>
          </w:tcPr>
          <w:p>
            <w:pPr>
              <w:pStyle w:val="52"/>
              <w:spacing w:line="360" w:lineRule="auto"/>
              <w:jc w:val="left"/>
              <w:rPr>
                <w:rFonts w:ascii="宋体" w:hAnsi="宋体" w:cs="宋体"/>
                <w:sz w:val="24"/>
                <w:szCs w:val="24"/>
                <w:highlight w:val="none"/>
              </w:rPr>
            </w:pPr>
            <w:r>
              <w:rPr>
                <w:rFonts w:hint="eastAsia" w:ascii="宋体" w:hAnsi="宋体" w:cs="宋体"/>
                <w:sz w:val="24"/>
                <w:szCs w:val="24"/>
                <w:highlight w:val="none"/>
              </w:rPr>
              <w:t>普惠金融部总经理</w:t>
            </w:r>
          </w:p>
        </w:tc>
        <w:tc>
          <w:tcPr>
            <w:tcW w:w="1704" w:type="dxa"/>
          </w:tcPr>
          <w:p>
            <w:pPr>
              <w:pStyle w:val="52"/>
              <w:spacing w:line="360" w:lineRule="auto"/>
              <w:jc w:val="left"/>
              <w:rPr>
                <w:rFonts w:ascii="宋体" w:hAnsi="宋体" w:cs="宋体"/>
                <w:sz w:val="24"/>
                <w:szCs w:val="24"/>
                <w:highlight w:val="none"/>
              </w:rPr>
            </w:pPr>
            <w:r>
              <w:rPr>
                <w:rFonts w:hint="eastAsia" w:ascii="宋体" w:hAnsi="宋体" w:cs="宋体"/>
                <w:sz w:val="24"/>
                <w:szCs w:val="24"/>
                <w:highlight w:val="none"/>
              </w:rPr>
              <w:t>洛阳市洛龙区展览路211号</w:t>
            </w:r>
          </w:p>
        </w:tc>
        <w:tc>
          <w:tcPr>
            <w:tcW w:w="1705" w:type="dxa"/>
          </w:tcPr>
          <w:p>
            <w:pPr>
              <w:pStyle w:val="52"/>
              <w:spacing w:line="360" w:lineRule="auto"/>
              <w:jc w:val="left"/>
              <w:rPr>
                <w:rFonts w:ascii="宋体" w:hAnsi="宋体" w:cs="宋体"/>
                <w:sz w:val="24"/>
                <w:szCs w:val="24"/>
                <w:highlight w:val="none"/>
              </w:rPr>
            </w:pPr>
            <w:r>
              <w:rPr>
                <w:rFonts w:hint="eastAsia" w:ascii="宋体" w:hAnsi="宋体" w:cs="宋体"/>
                <w:sz w:val="24"/>
                <w:szCs w:val="24"/>
                <w:highlight w:val="none"/>
              </w:rPr>
              <w:t>13698889966</w:t>
            </w:r>
          </w:p>
        </w:tc>
        <w:tc>
          <w:tcPr>
            <w:tcW w:w="1705" w:type="dxa"/>
          </w:tcPr>
          <w:p>
            <w:pPr>
              <w:pStyle w:val="52"/>
              <w:spacing w:line="360" w:lineRule="auto"/>
              <w:jc w:val="left"/>
              <w:rPr>
                <w:rFonts w:ascii="宋体" w:hAnsi="宋体" w:cs="宋体"/>
                <w:sz w:val="24"/>
                <w:szCs w:val="24"/>
                <w:highlight w:val="none"/>
              </w:rPr>
            </w:pPr>
            <w:r>
              <w:rPr>
                <w:rFonts w:hint="eastAsia" w:ascii="宋体" w:hAnsi="宋体" w:cs="宋体"/>
                <w:sz w:val="24"/>
                <w:szCs w:val="24"/>
                <w:highlight w:val="none"/>
              </w:rPr>
              <w:t>微信同手机号</w:t>
            </w:r>
          </w:p>
        </w:tc>
      </w:tr>
    </w:tbl>
    <w:p>
      <w:pPr>
        <w:pStyle w:val="52"/>
        <w:spacing w:line="360" w:lineRule="auto"/>
        <w:jc w:val="left"/>
        <w:rPr>
          <w:rFonts w:ascii="宋体" w:hAnsi="宋体" w:cs="宋体"/>
          <w:sz w:val="24"/>
          <w:szCs w:val="24"/>
          <w:highlight w:val="none"/>
        </w:rPr>
      </w:pPr>
      <w:r>
        <w:rPr>
          <w:rFonts w:hint="eastAsia" w:ascii="宋体" w:hAnsi="宋体" w:cs="宋体"/>
          <w:sz w:val="24"/>
          <w:szCs w:val="24"/>
          <w:highlight w:val="none"/>
        </w:rPr>
        <w:t>二、融资产品介绍</w:t>
      </w:r>
    </w:p>
    <w:p>
      <w:pPr>
        <w:pStyle w:val="52"/>
        <w:spacing w:line="360" w:lineRule="auto"/>
        <w:jc w:val="left"/>
        <w:rPr>
          <w:rFonts w:ascii="宋体" w:hAnsi="宋体" w:cs="宋体"/>
          <w:sz w:val="24"/>
          <w:szCs w:val="24"/>
          <w:highlight w:val="none"/>
        </w:rPr>
      </w:pPr>
      <w:r>
        <w:rPr>
          <w:rFonts w:hint="eastAsia" w:ascii="宋体" w:hAnsi="宋体" w:cs="宋体"/>
          <w:sz w:val="24"/>
          <w:szCs w:val="24"/>
          <w:highlight w:val="none"/>
        </w:rPr>
        <w:t>在您中标政府采购项目，从合同(订单)生效到最终收款期间，有没有因采购原材料、生产产品等产生资金压力，存在融资需求的情况？</w:t>
      </w:r>
    </w:p>
    <w:p>
      <w:pPr>
        <w:pStyle w:val="52"/>
        <w:spacing w:line="360" w:lineRule="auto"/>
        <w:jc w:val="left"/>
        <w:rPr>
          <w:rFonts w:ascii="宋体" w:hAnsi="宋体" w:cs="宋体"/>
          <w:sz w:val="24"/>
          <w:szCs w:val="24"/>
          <w:highlight w:val="none"/>
        </w:rPr>
      </w:pPr>
      <w:r>
        <w:rPr>
          <w:rFonts w:hint="eastAsia" w:ascii="宋体" w:hAnsi="宋体" w:cs="宋体"/>
          <w:sz w:val="24"/>
          <w:szCs w:val="24"/>
          <w:highlight w:val="none"/>
        </w:rPr>
        <w:t>（一）产品介绍：</w:t>
      </w:r>
    </w:p>
    <w:p>
      <w:pPr>
        <w:pStyle w:val="52"/>
        <w:spacing w:line="360" w:lineRule="auto"/>
        <w:jc w:val="left"/>
        <w:rPr>
          <w:rFonts w:ascii="宋体" w:hAnsi="宋体" w:cs="宋体"/>
          <w:sz w:val="24"/>
          <w:szCs w:val="24"/>
          <w:highlight w:val="none"/>
        </w:rPr>
      </w:pPr>
      <w:r>
        <w:rPr>
          <w:rFonts w:hint="eastAsia" w:ascii="宋体" w:hAnsi="宋体" w:cs="宋体"/>
          <w:sz w:val="24"/>
          <w:szCs w:val="24"/>
          <w:highlight w:val="none"/>
        </w:rPr>
        <w:t>“政采e贷”是由洛阳市财政局与浦发银行共同开发，基于政府采购合同，为供应商提供的信用贷款。</w:t>
      </w:r>
    </w:p>
    <w:p>
      <w:pPr>
        <w:pStyle w:val="52"/>
        <w:spacing w:line="360" w:lineRule="auto"/>
        <w:jc w:val="left"/>
        <w:rPr>
          <w:rFonts w:ascii="宋体" w:hAnsi="宋体" w:cs="宋体"/>
          <w:sz w:val="24"/>
          <w:szCs w:val="24"/>
          <w:highlight w:val="none"/>
        </w:rPr>
      </w:pPr>
      <w:r>
        <w:rPr>
          <w:rFonts w:hint="eastAsia" w:ascii="宋体" w:hAnsi="宋体" w:cs="宋体"/>
          <w:sz w:val="24"/>
          <w:szCs w:val="24"/>
          <w:highlight w:val="none"/>
        </w:rPr>
        <w:t>（二）产品优势：</w:t>
      </w:r>
    </w:p>
    <w:p>
      <w:pPr>
        <w:pStyle w:val="52"/>
        <w:spacing w:line="360" w:lineRule="auto"/>
        <w:jc w:val="left"/>
        <w:rPr>
          <w:rFonts w:ascii="宋体" w:hAnsi="宋体" w:cs="宋体"/>
          <w:sz w:val="24"/>
          <w:szCs w:val="24"/>
          <w:highlight w:val="none"/>
        </w:rPr>
      </w:pPr>
      <w:r>
        <w:rPr>
          <w:rFonts w:hint="eastAsia" w:ascii="宋体" w:hAnsi="宋体" w:cs="宋体"/>
          <w:sz w:val="24"/>
          <w:szCs w:val="24"/>
          <w:highlight w:val="none"/>
        </w:rPr>
        <w:t>1、融资期限最长可达1年。</w:t>
      </w:r>
    </w:p>
    <w:p>
      <w:pPr>
        <w:pStyle w:val="52"/>
        <w:spacing w:line="360" w:lineRule="auto"/>
        <w:jc w:val="left"/>
        <w:rPr>
          <w:rFonts w:ascii="宋体" w:hAnsi="宋体" w:cs="宋体"/>
          <w:sz w:val="24"/>
          <w:szCs w:val="24"/>
          <w:highlight w:val="none"/>
        </w:rPr>
      </w:pPr>
      <w:r>
        <w:rPr>
          <w:rFonts w:hint="eastAsia" w:ascii="宋体" w:hAnsi="宋体" w:cs="宋体"/>
          <w:sz w:val="24"/>
          <w:szCs w:val="24"/>
          <w:highlight w:val="none"/>
        </w:rPr>
        <w:t>2、货物、服务类最高1000万元，工程类最高1500万元。</w:t>
      </w:r>
    </w:p>
    <w:p>
      <w:pPr>
        <w:pStyle w:val="52"/>
        <w:spacing w:line="360" w:lineRule="auto"/>
        <w:jc w:val="left"/>
        <w:rPr>
          <w:rFonts w:ascii="宋体" w:hAnsi="宋体" w:cs="宋体"/>
          <w:sz w:val="24"/>
          <w:szCs w:val="24"/>
          <w:highlight w:val="none"/>
        </w:rPr>
      </w:pPr>
      <w:r>
        <w:rPr>
          <w:rFonts w:hint="eastAsia" w:ascii="宋体" w:hAnsi="宋体" w:cs="宋体"/>
          <w:sz w:val="24"/>
          <w:szCs w:val="24"/>
          <w:highlight w:val="none"/>
        </w:rPr>
        <w:t>3、信用贷款，低门槛，循环额度，随借随还。</w:t>
      </w:r>
    </w:p>
    <w:p>
      <w:pPr>
        <w:pStyle w:val="52"/>
        <w:spacing w:line="360" w:lineRule="auto"/>
        <w:jc w:val="left"/>
        <w:rPr>
          <w:rFonts w:ascii="宋体" w:hAnsi="宋体" w:cs="宋体"/>
          <w:sz w:val="24"/>
          <w:szCs w:val="24"/>
          <w:highlight w:val="none"/>
        </w:rPr>
      </w:pPr>
      <w:r>
        <w:rPr>
          <w:rFonts w:hint="eastAsia" w:ascii="宋体" w:hAnsi="宋体" w:cs="宋体"/>
          <w:sz w:val="24"/>
          <w:szCs w:val="24"/>
          <w:highlight w:val="none"/>
        </w:rPr>
        <w:t>4、业务流程简单，在线秒级放款，尊享快捷体验。</w:t>
      </w:r>
    </w:p>
    <w:p>
      <w:pPr>
        <w:pStyle w:val="52"/>
        <w:spacing w:line="360" w:lineRule="auto"/>
        <w:jc w:val="left"/>
        <w:rPr>
          <w:rFonts w:ascii="宋体" w:hAnsi="宋体" w:cs="宋体"/>
          <w:sz w:val="24"/>
          <w:szCs w:val="24"/>
          <w:highlight w:val="none"/>
        </w:rPr>
      </w:pPr>
      <w:r>
        <w:rPr>
          <w:rFonts w:hint="eastAsia" w:ascii="宋体" w:hAnsi="宋体" w:cs="宋体"/>
          <w:sz w:val="24"/>
          <w:szCs w:val="24"/>
          <w:highlight w:val="none"/>
        </w:rPr>
        <w:t>5、总行补贴，融资利率有优惠。</w:t>
      </w:r>
    </w:p>
    <w:p>
      <w:pPr>
        <w:pStyle w:val="52"/>
        <w:spacing w:line="360" w:lineRule="auto"/>
        <w:jc w:val="left"/>
        <w:rPr>
          <w:rFonts w:ascii="宋体" w:hAnsi="宋体" w:cs="宋体"/>
          <w:sz w:val="24"/>
          <w:szCs w:val="24"/>
          <w:highlight w:val="none"/>
        </w:rPr>
      </w:pPr>
      <w:r>
        <w:rPr>
          <w:rFonts w:hint="eastAsia" w:ascii="宋体" w:hAnsi="宋体" w:cs="宋体"/>
          <w:sz w:val="24"/>
          <w:szCs w:val="24"/>
          <w:highlight w:val="none"/>
        </w:rPr>
        <w:t>（三）适用客户：</w:t>
      </w:r>
    </w:p>
    <w:p>
      <w:pPr>
        <w:pStyle w:val="52"/>
        <w:spacing w:line="360" w:lineRule="auto"/>
        <w:jc w:val="left"/>
        <w:rPr>
          <w:rFonts w:ascii="宋体" w:hAnsi="宋体" w:cs="宋体"/>
          <w:sz w:val="24"/>
          <w:szCs w:val="24"/>
          <w:highlight w:val="none"/>
        </w:rPr>
      </w:pPr>
      <w:r>
        <w:rPr>
          <w:rFonts w:hint="eastAsia" w:ascii="宋体" w:hAnsi="宋体" w:cs="宋体"/>
          <w:sz w:val="24"/>
          <w:szCs w:val="24"/>
          <w:highlight w:val="none"/>
        </w:rPr>
        <w:t>1、在河南省境内注册的供应商，未列入河南省政府采购供应商黑名单。</w:t>
      </w:r>
    </w:p>
    <w:p>
      <w:pPr>
        <w:pStyle w:val="52"/>
        <w:spacing w:line="360" w:lineRule="auto"/>
        <w:jc w:val="left"/>
        <w:rPr>
          <w:rFonts w:ascii="宋体" w:hAnsi="宋体" w:cs="宋体"/>
          <w:sz w:val="24"/>
          <w:szCs w:val="24"/>
          <w:highlight w:val="none"/>
        </w:rPr>
      </w:pPr>
      <w:r>
        <w:rPr>
          <w:rFonts w:hint="eastAsia" w:ascii="宋体" w:hAnsi="宋体" w:cs="宋体"/>
          <w:sz w:val="24"/>
          <w:szCs w:val="24"/>
          <w:highlight w:val="none"/>
        </w:rPr>
        <w:t>2、人民银行征信系统无逾期、垫款等情况，且无其他不良信用记录。</w:t>
      </w:r>
    </w:p>
    <w:p>
      <w:pPr>
        <w:pStyle w:val="52"/>
        <w:spacing w:line="360" w:lineRule="auto"/>
        <w:jc w:val="left"/>
        <w:rPr>
          <w:rFonts w:ascii="宋体" w:hAnsi="宋体" w:cs="宋体"/>
          <w:sz w:val="24"/>
          <w:szCs w:val="24"/>
          <w:highlight w:val="none"/>
        </w:rPr>
      </w:pPr>
      <w:r>
        <w:rPr>
          <w:rFonts w:hint="eastAsia" w:ascii="宋体" w:hAnsi="宋体" w:cs="宋体"/>
          <w:sz w:val="24"/>
          <w:szCs w:val="24"/>
          <w:highlight w:val="none"/>
        </w:rPr>
        <w:t>3、政府采购中标区域：</w:t>
      </w:r>
    </w:p>
    <w:p>
      <w:pPr>
        <w:pStyle w:val="52"/>
        <w:spacing w:line="360" w:lineRule="auto"/>
        <w:jc w:val="left"/>
        <w:rPr>
          <w:rFonts w:ascii="宋体" w:hAnsi="宋体" w:cs="宋体"/>
          <w:sz w:val="24"/>
          <w:szCs w:val="24"/>
          <w:highlight w:val="none"/>
        </w:rPr>
      </w:pPr>
      <w:r>
        <w:rPr>
          <w:rFonts w:hint="eastAsia" w:ascii="宋体" w:hAnsi="宋体" w:cs="宋体"/>
          <w:sz w:val="24"/>
          <w:szCs w:val="24"/>
          <w:highlight w:val="none"/>
        </w:rPr>
        <w:t>（1）河南省省直、郑州市（含市内各区）项目</w:t>
      </w:r>
    </w:p>
    <w:p>
      <w:pPr>
        <w:pStyle w:val="52"/>
        <w:spacing w:line="360" w:lineRule="auto"/>
        <w:jc w:val="left"/>
        <w:rPr>
          <w:rFonts w:ascii="宋体" w:hAnsi="宋体" w:cs="宋体"/>
          <w:sz w:val="24"/>
          <w:szCs w:val="24"/>
          <w:highlight w:val="none"/>
        </w:rPr>
      </w:pPr>
      <w:r>
        <w:rPr>
          <w:rFonts w:hint="eastAsia" w:ascii="宋体" w:hAnsi="宋体" w:cs="宋体"/>
          <w:sz w:val="24"/>
          <w:szCs w:val="24"/>
          <w:highlight w:val="none"/>
        </w:rPr>
        <w:t>（2）洛阳市市直项目</w:t>
      </w:r>
    </w:p>
    <w:p>
      <w:pPr>
        <w:pStyle w:val="52"/>
        <w:spacing w:line="360" w:lineRule="auto"/>
        <w:jc w:val="left"/>
        <w:rPr>
          <w:rFonts w:ascii="宋体" w:hAnsi="宋体" w:cs="宋体"/>
          <w:sz w:val="24"/>
          <w:szCs w:val="24"/>
          <w:highlight w:val="none"/>
        </w:rPr>
      </w:pPr>
      <w:r>
        <w:rPr>
          <w:rFonts w:hint="eastAsia" w:ascii="宋体" w:hAnsi="宋体" w:cs="宋体"/>
          <w:sz w:val="24"/>
          <w:szCs w:val="24"/>
          <w:highlight w:val="none"/>
        </w:rPr>
        <w:t>（3）河南其他地市市直项目</w:t>
      </w:r>
    </w:p>
    <w:p>
      <w:pPr>
        <w:pStyle w:val="52"/>
        <w:spacing w:line="360" w:lineRule="auto"/>
        <w:jc w:val="left"/>
        <w:rPr>
          <w:rFonts w:ascii="宋体" w:hAnsi="宋体" w:cs="宋体"/>
          <w:sz w:val="24"/>
          <w:szCs w:val="24"/>
          <w:highlight w:val="none"/>
        </w:rPr>
      </w:pPr>
      <w:r>
        <w:rPr>
          <w:rFonts w:hint="eastAsia" w:ascii="宋体" w:hAnsi="宋体" w:cs="宋体"/>
          <w:sz w:val="24"/>
          <w:szCs w:val="24"/>
          <w:highlight w:val="none"/>
        </w:rPr>
        <w:t>（4）林州、长垣、新郑、禹州中标项目。</w:t>
      </w:r>
    </w:p>
    <w:p>
      <w:pPr>
        <w:pStyle w:val="52"/>
        <w:spacing w:line="360" w:lineRule="auto"/>
        <w:jc w:val="left"/>
        <w:rPr>
          <w:rFonts w:ascii="宋体" w:hAnsi="宋体" w:cs="宋体"/>
          <w:sz w:val="24"/>
          <w:szCs w:val="24"/>
          <w:highlight w:val="none"/>
        </w:rPr>
      </w:pPr>
      <w:r>
        <w:rPr>
          <w:rFonts w:hint="eastAsia" w:ascii="宋体" w:hAnsi="宋体" w:cs="宋体"/>
          <w:sz w:val="24"/>
          <w:szCs w:val="24"/>
          <w:highlight w:val="none"/>
        </w:rPr>
        <w:t>（四）申请路径</w:t>
      </w:r>
    </w:p>
    <w:p>
      <w:pPr>
        <w:pStyle w:val="52"/>
        <w:spacing w:line="360" w:lineRule="auto"/>
        <w:jc w:val="left"/>
        <w:rPr>
          <w:rFonts w:ascii="宋体" w:hAnsi="宋体" w:cs="宋体"/>
          <w:sz w:val="24"/>
          <w:szCs w:val="24"/>
          <w:highlight w:val="none"/>
        </w:rPr>
      </w:pPr>
      <w:r>
        <w:rPr>
          <w:rFonts w:hint="eastAsia" w:ascii="宋体" w:hAnsi="宋体" w:cs="宋体"/>
          <w:sz w:val="24"/>
          <w:szCs w:val="24"/>
          <w:highlight w:val="none"/>
        </w:rPr>
        <w:t>1、供应商首先与联系人联系，提供企业基本证件、征信报告、中标合同、采购合同等进行客户准入和额度测算。</w:t>
      </w:r>
    </w:p>
    <w:p>
      <w:pPr>
        <w:pStyle w:val="52"/>
        <w:spacing w:line="360" w:lineRule="auto"/>
        <w:jc w:val="left"/>
        <w:rPr>
          <w:rFonts w:ascii="宋体" w:hAnsi="宋体" w:cs="宋体"/>
          <w:sz w:val="24"/>
          <w:szCs w:val="24"/>
          <w:highlight w:val="none"/>
        </w:rPr>
      </w:pPr>
      <w:r>
        <w:rPr>
          <w:rFonts w:hint="eastAsia" w:ascii="宋体" w:hAnsi="宋体" w:cs="宋体"/>
          <w:sz w:val="24"/>
          <w:szCs w:val="24"/>
          <w:highlight w:val="none"/>
        </w:rPr>
        <w:t>2、供应商来浦发银行开户，在政府采购合同中填写浦发银行账号。</w:t>
      </w:r>
    </w:p>
    <w:p>
      <w:pPr>
        <w:pStyle w:val="52"/>
        <w:spacing w:line="360" w:lineRule="auto"/>
        <w:jc w:val="left"/>
        <w:rPr>
          <w:rFonts w:ascii="宋体" w:hAnsi="宋体" w:cs="宋体"/>
          <w:sz w:val="24"/>
          <w:szCs w:val="24"/>
          <w:highlight w:val="none"/>
        </w:rPr>
      </w:pPr>
      <w:r>
        <w:rPr>
          <w:rFonts w:hint="eastAsia" w:ascii="宋体" w:hAnsi="宋体" w:cs="宋体"/>
          <w:sz w:val="24"/>
          <w:szCs w:val="24"/>
          <w:highlight w:val="none"/>
        </w:rPr>
        <w:t>（若客户已签署其他银行账号，则需要联系浦发银行进行备案银行账号变更）</w:t>
      </w:r>
    </w:p>
    <w:p>
      <w:pPr>
        <w:pStyle w:val="52"/>
        <w:spacing w:line="360" w:lineRule="auto"/>
        <w:jc w:val="left"/>
        <w:rPr>
          <w:rFonts w:ascii="宋体" w:hAnsi="宋体" w:cs="宋体"/>
          <w:sz w:val="24"/>
          <w:szCs w:val="24"/>
          <w:highlight w:val="none"/>
        </w:rPr>
      </w:pPr>
      <w:r>
        <w:rPr>
          <w:rFonts w:hint="eastAsia" w:ascii="宋体" w:hAnsi="宋体" w:cs="宋体"/>
          <w:sz w:val="24"/>
          <w:szCs w:val="24"/>
          <w:highlight w:val="none"/>
        </w:rPr>
        <w:t>3、授信审查和放款（资料齐全一周时间）</w:t>
      </w:r>
    </w:p>
    <w:p>
      <w:pPr>
        <w:pStyle w:val="52"/>
        <w:spacing w:line="360" w:lineRule="auto"/>
        <w:jc w:val="left"/>
        <w:rPr>
          <w:rFonts w:ascii="宋体" w:hAnsi="宋体" w:cs="宋体"/>
          <w:sz w:val="24"/>
          <w:szCs w:val="24"/>
          <w:highlight w:val="none"/>
        </w:rPr>
      </w:pPr>
    </w:p>
    <w:p>
      <w:pPr>
        <w:pStyle w:val="52"/>
        <w:spacing w:line="360" w:lineRule="auto"/>
        <w:rPr>
          <w:rFonts w:ascii="宋体" w:hAnsi="宋体" w:cs="宋体"/>
          <w:sz w:val="24"/>
          <w:szCs w:val="24"/>
          <w:highlight w:val="none"/>
        </w:rPr>
      </w:pPr>
    </w:p>
    <w:p>
      <w:pPr>
        <w:pStyle w:val="52"/>
        <w:spacing w:line="360" w:lineRule="auto"/>
        <w:jc w:val="center"/>
        <w:rPr>
          <w:rFonts w:ascii="宋体" w:hAnsi="宋体" w:cs="宋体"/>
          <w:b/>
          <w:bCs/>
          <w:color w:val="0000FF"/>
          <w:sz w:val="24"/>
          <w:szCs w:val="24"/>
          <w:highlight w:val="none"/>
        </w:rPr>
      </w:pPr>
      <w:r>
        <w:rPr>
          <w:rFonts w:hint="eastAsia" w:ascii="宋体" w:hAnsi="宋体" w:cs="宋体"/>
          <w:b/>
          <w:bCs/>
          <w:color w:val="0000FF"/>
          <w:sz w:val="24"/>
          <w:szCs w:val="24"/>
          <w:highlight w:val="none"/>
        </w:rPr>
        <w:t>交通银行政府采购融资贷联系方式及融资产品介绍</w:t>
      </w:r>
    </w:p>
    <w:p>
      <w:pPr>
        <w:pStyle w:val="52"/>
        <w:spacing w:line="360" w:lineRule="auto"/>
        <w:jc w:val="left"/>
        <w:rPr>
          <w:rFonts w:ascii="宋体" w:hAnsi="宋体" w:cs="宋体"/>
          <w:sz w:val="24"/>
          <w:szCs w:val="24"/>
          <w:highlight w:val="none"/>
        </w:rPr>
      </w:pPr>
      <w:r>
        <w:rPr>
          <w:rFonts w:hint="eastAsia" w:ascii="宋体" w:hAnsi="宋体" w:cs="宋体"/>
          <w:sz w:val="24"/>
          <w:szCs w:val="24"/>
          <w:highlight w:val="none"/>
        </w:rPr>
        <w:t>交通银行针对政府采购供应商中的小微企业推出的，以未来应收账款作为质押、以财政性资金作为还款来源的融资业务。凡参与过政府采购历史的中标企业，即可提前在我行预申请融资额度，中标且签订采购合同后可随时提用。我行具有绿色批复通道、授信额度高、免抵押担保、期限长等优势。</w:t>
      </w:r>
    </w:p>
    <w:p>
      <w:pPr>
        <w:pStyle w:val="52"/>
        <w:spacing w:line="360" w:lineRule="auto"/>
        <w:jc w:val="left"/>
        <w:rPr>
          <w:rFonts w:ascii="宋体" w:hAnsi="宋体" w:cs="宋体"/>
          <w:sz w:val="24"/>
          <w:szCs w:val="24"/>
          <w:highlight w:val="none"/>
        </w:rPr>
      </w:pPr>
    </w:p>
    <w:p>
      <w:pPr>
        <w:pStyle w:val="52"/>
        <w:spacing w:line="360" w:lineRule="auto"/>
        <w:jc w:val="left"/>
        <w:rPr>
          <w:rFonts w:ascii="宋体" w:hAnsi="宋体" w:cs="宋体"/>
          <w:sz w:val="24"/>
          <w:szCs w:val="24"/>
          <w:highlight w:val="none"/>
        </w:rPr>
      </w:pPr>
      <w:r>
        <w:rPr>
          <w:rFonts w:hint="eastAsia" w:ascii="宋体" w:hAnsi="宋体" w:cs="宋体"/>
          <w:sz w:val="24"/>
          <w:szCs w:val="24"/>
          <w:highlight w:val="none"/>
        </w:rPr>
        <w:t>负责人：  周贯超     联系方式：15538830369</w:t>
      </w:r>
    </w:p>
    <w:p>
      <w:pPr>
        <w:pStyle w:val="52"/>
        <w:spacing w:line="360" w:lineRule="auto"/>
        <w:jc w:val="left"/>
        <w:rPr>
          <w:rFonts w:ascii="宋体" w:hAnsi="宋体" w:cs="宋体"/>
          <w:sz w:val="24"/>
          <w:szCs w:val="24"/>
          <w:highlight w:val="none"/>
        </w:rPr>
      </w:pPr>
      <w:r>
        <w:rPr>
          <w:rFonts w:hint="eastAsia" w:ascii="宋体" w:hAnsi="宋体" w:cs="宋体"/>
          <w:sz w:val="24"/>
          <w:szCs w:val="24"/>
          <w:highlight w:val="none"/>
        </w:rPr>
        <w:t>联系人：  顾  伟     联系方式：18037558778</w:t>
      </w:r>
    </w:p>
    <w:p>
      <w:pPr>
        <w:pStyle w:val="52"/>
        <w:spacing w:line="360" w:lineRule="auto"/>
        <w:jc w:val="left"/>
        <w:rPr>
          <w:rFonts w:ascii="宋体" w:hAnsi="宋体" w:cs="宋体"/>
          <w:sz w:val="24"/>
          <w:szCs w:val="24"/>
          <w:highlight w:val="none"/>
        </w:rPr>
      </w:pPr>
      <w:r>
        <w:rPr>
          <w:rFonts w:hint="eastAsia" w:ascii="宋体" w:hAnsi="宋体" w:cs="宋体"/>
          <w:sz w:val="24"/>
          <w:szCs w:val="24"/>
          <w:highlight w:val="none"/>
        </w:rPr>
        <w:t>魏柴扉               18837923035</w:t>
      </w:r>
    </w:p>
    <w:p>
      <w:pPr>
        <w:pStyle w:val="52"/>
        <w:spacing w:line="360" w:lineRule="auto"/>
        <w:jc w:val="center"/>
        <w:rPr>
          <w:rFonts w:ascii="宋体" w:hAnsi="宋体" w:cs="宋体"/>
          <w:b/>
          <w:bCs/>
          <w:color w:val="0000FF"/>
          <w:sz w:val="24"/>
          <w:szCs w:val="24"/>
          <w:highlight w:val="none"/>
        </w:rPr>
      </w:pPr>
      <w:r>
        <w:rPr>
          <w:rFonts w:hint="eastAsia" w:ascii="宋体" w:hAnsi="宋体" w:cs="宋体"/>
          <w:b/>
          <w:bCs/>
          <w:color w:val="0000FF"/>
          <w:sz w:val="24"/>
          <w:szCs w:val="24"/>
          <w:highlight w:val="none"/>
        </w:rPr>
        <w:t>洛阳农商银行“普惠政府采购贷”产品简介及联系人</w:t>
      </w:r>
    </w:p>
    <w:p>
      <w:pPr>
        <w:pStyle w:val="52"/>
        <w:spacing w:line="360" w:lineRule="auto"/>
        <w:jc w:val="left"/>
        <w:rPr>
          <w:rFonts w:ascii="宋体" w:hAnsi="宋体" w:cs="宋体"/>
          <w:sz w:val="24"/>
          <w:szCs w:val="24"/>
          <w:highlight w:val="none"/>
        </w:rPr>
      </w:pPr>
      <w:r>
        <w:rPr>
          <w:rFonts w:hint="eastAsia" w:ascii="宋体" w:hAnsi="宋体" w:cs="宋体"/>
          <w:sz w:val="24"/>
          <w:szCs w:val="24"/>
          <w:highlight w:val="none"/>
        </w:rPr>
        <w:t>产品简介：“普惠政府采购贷”是指本行以政府采购诚信考核和信用审查为基础，凭借中小微企业供应商取得并提供的政府采购合同，依托省财政厅的电子化政府采购系统平台，按优于一般中小微企业的贷款利率及手续，直接向本行申请贷款的中小微企业发放的用于采购合同项下商品备货、生产和加工的贷款。以信用方式为主，追加供货商法定代表人或者实际控制人提供连带责任保证担保，融资额度不超过采购合同标的额的70%，贷款期限不超过1年，贷款利率原则上执行LPR上浮60%执行。</w:t>
      </w:r>
    </w:p>
    <w:p>
      <w:pPr>
        <w:pStyle w:val="52"/>
        <w:spacing w:line="360" w:lineRule="auto"/>
        <w:jc w:val="left"/>
        <w:rPr>
          <w:rFonts w:ascii="宋体" w:hAnsi="宋体" w:cs="宋体"/>
          <w:sz w:val="24"/>
          <w:szCs w:val="24"/>
          <w:highlight w:val="none"/>
        </w:rPr>
      </w:pPr>
      <w:r>
        <w:rPr>
          <w:rFonts w:hint="eastAsia" w:ascii="宋体" w:hAnsi="宋体" w:cs="宋体"/>
          <w:sz w:val="24"/>
          <w:szCs w:val="24"/>
          <w:highlight w:val="none"/>
        </w:rPr>
        <w:t>分管领导：张学强 13083636800</w:t>
      </w:r>
    </w:p>
    <w:p>
      <w:pPr>
        <w:pStyle w:val="52"/>
        <w:spacing w:line="360" w:lineRule="auto"/>
        <w:jc w:val="left"/>
        <w:rPr>
          <w:rFonts w:ascii="宋体" w:hAnsi="宋体" w:cs="宋体"/>
          <w:sz w:val="24"/>
          <w:szCs w:val="24"/>
          <w:highlight w:val="none"/>
        </w:rPr>
      </w:pPr>
      <w:r>
        <w:rPr>
          <w:rFonts w:hint="eastAsia" w:ascii="宋体" w:hAnsi="宋体" w:cs="宋体"/>
          <w:sz w:val="24"/>
          <w:szCs w:val="24"/>
          <w:highlight w:val="none"/>
        </w:rPr>
        <w:t>信贷经理：常洁   13721681719</w:t>
      </w:r>
    </w:p>
    <w:p>
      <w:pPr>
        <w:pStyle w:val="52"/>
        <w:spacing w:line="360" w:lineRule="auto"/>
        <w:jc w:val="left"/>
        <w:rPr>
          <w:rFonts w:ascii="宋体" w:hAnsi="宋体" w:cs="宋体"/>
          <w:sz w:val="24"/>
          <w:szCs w:val="24"/>
          <w:highlight w:val="none"/>
        </w:rPr>
      </w:pPr>
      <w:r>
        <w:rPr>
          <w:rFonts w:hint="eastAsia" w:ascii="宋体" w:hAnsi="宋体" w:cs="宋体"/>
          <w:sz w:val="24"/>
          <w:szCs w:val="24"/>
          <w:highlight w:val="none"/>
        </w:rPr>
        <w:t>具体负责人：娄艳阁 13526989222</w:t>
      </w:r>
    </w:p>
    <w:p>
      <w:pPr>
        <w:pStyle w:val="52"/>
        <w:spacing w:line="360" w:lineRule="auto"/>
        <w:rPr>
          <w:rFonts w:ascii="宋体" w:hAnsi="宋体" w:cs="宋体"/>
          <w:b/>
          <w:bCs/>
          <w:color w:val="0000FF"/>
          <w:sz w:val="24"/>
          <w:szCs w:val="24"/>
          <w:highlight w:val="none"/>
        </w:rPr>
      </w:pPr>
    </w:p>
    <w:p>
      <w:pPr>
        <w:pStyle w:val="52"/>
        <w:spacing w:line="360" w:lineRule="auto"/>
        <w:jc w:val="center"/>
        <w:rPr>
          <w:rFonts w:ascii="宋体" w:hAnsi="宋体" w:cs="宋体"/>
          <w:b/>
          <w:bCs/>
          <w:color w:val="0000FF"/>
          <w:sz w:val="24"/>
          <w:szCs w:val="24"/>
          <w:highlight w:val="none"/>
        </w:rPr>
      </w:pPr>
      <w:r>
        <w:rPr>
          <w:rFonts w:hint="eastAsia" w:ascii="宋体" w:hAnsi="宋体" w:cs="宋体"/>
          <w:b/>
          <w:bCs/>
          <w:color w:val="0000FF"/>
          <w:sz w:val="24"/>
          <w:szCs w:val="24"/>
          <w:highlight w:val="none"/>
        </w:rPr>
        <w:t>农行洛阳分行政采贷</w:t>
      </w:r>
    </w:p>
    <w:p>
      <w:pPr>
        <w:pStyle w:val="52"/>
        <w:spacing w:line="360" w:lineRule="auto"/>
        <w:jc w:val="left"/>
        <w:rPr>
          <w:rFonts w:ascii="宋体" w:hAnsi="宋体" w:cs="宋体"/>
          <w:sz w:val="24"/>
          <w:szCs w:val="24"/>
          <w:highlight w:val="none"/>
        </w:rPr>
      </w:pPr>
      <w:r>
        <w:rPr>
          <w:rFonts w:hint="eastAsia" w:ascii="宋体" w:hAnsi="宋体" w:cs="宋体"/>
          <w:sz w:val="24"/>
          <w:szCs w:val="24"/>
          <w:highlight w:val="none"/>
        </w:rPr>
        <w:t>　　1、产品定义：指境内购销双方签署订单后，农业银行以订单项下的预期销货款作为主要还款来源，为满足销货方在货物发运前因支付原材料采购款、组织生产、货物运输等资金需求而向其提供的短期融资。</w:t>
      </w:r>
    </w:p>
    <w:p>
      <w:pPr>
        <w:pStyle w:val="52"/>
        <w:spacing w:line="360" w:lineRule="auto"/>
        <w:jc w:val="left"/>
        <w:rPr>
          <w:rFonts w:ascii="宋体" w:hAnsi="宋体" w:cs="宋体"/>
          <w:sz w:val="24"/>
          <w:szCs w:val="24"/>
          <w:highlight w:val="none"/>
        </w:rPr>
      </w:pPr>
      <w:r>
        <w:rPr>
          <w:rFonts w:hint="eastAsia" w:ascii="宋体" w:hAnsi="宋体" w:cs="宋体"/>
          <w:sz w:val="24"/>
          <w:szCs w:val="24"/>
          <w:highlight w:val="none"/>
        </w:rPr>
        <w:t>　　2、贷款期限：一年以内。</w:t>
      </w:r>
    </w:p>
    <w:p>
      <w:pPr>
        <w:pStyle w:val="52"/>
        <w:spacing w:line="360" w:lineRule="auto"/>
        <w:jc w:val="left"/>
        <w:rPr>
          <w:rFonts w:ascii="宋体" w:hAnsi="宋体" w:cs="宋体"/>
          <w:sz w:val="24"/>
          <w:szCs w:val="24"/>
          <w:highlight w:val="none"/>
        </w:rPr>
      </w:pPr>
      <w:r>
        <w:rPr>
          <w:rFonts w:hint="eastAsia" w:ascii="宋体" w:hAnsi="宋体" w:cs="宋体"/>
          <w:sz w:val="24"/>
          <w:szCs w:val="24"/>
          <w:highlight w:val="none"/>
        </w:rPr>
        <w:t>　　3、适用对象：地市级（含）以上政府的采购部门统一组织的政府采购行为形成的订单等。</w:t>
      </w:r>
    </w:p>
    <w:p>
      <w:pPr>
        <w:pStyle w:val="52"/>
        <w:spacing w:line="360" w:lineRule="auto"/>
        <w:jc w:val="left"/>
        <w:rPr>
          <w:rFonts w:ascii="宋体" w:hAnsi="宋体" w:cs="宋体"/>
          <w:sz w:val="24"/>
          <w:szCs w:val="24"/>
          <w:highlight w:val="none"/>
        </w:rPr>
      </w:pPr>
      <w:r>
        <w:rPr>
          <w:rFonts w:hint="eastAsia" w:ascii="宋体" w:hAnsi="宋体" w:cs="宋体"/>
          <w:sz w:val="24"/>
          <w:szCs w:val="24"/>
          <w:highlight w:val="none"/>
        </w:rPr>
        <w:t>4、办理条件：（1）在农行开立基本结算账户或一般结算账户。（2）借款人符合国家产业政策及我行信贷政策，生产经营正常,具备购货方认可的供货能力。（3）订单项下商品属于销货方营业执照经营范围内，商品质量稳定，符合国家及行业标准。（4）与购货方有两年以上稳定的供销关系，合作期间的履约交货记录及销售回款情况良好。（5）在金融机构无不良信用记录，或虽然有过不良信用记录，但不良信用记录的产生并非由于主观恶意且已全部偿还。</w:t>
      </w:r>
    </w:p>
    <w:p>
      <w:pPr>
        <w:pStyle w:val="52"/>
        <w:spacing w:line="360" w:lineRule="auto"/>
        <w:jc w:val="left"/>
        <w:rPr>
          <w:rFonts w:ascii="宋体" w:hAnsi="宋体" w:cs="宋体"/>
          <w:sz w:val="24"/>
          <w:szCs w:val="24"/>
          <w:highlight w:val="none"/>
        </w:rPr>
      </w:pPr>
      <w:r>
        <w:rPr>
          <w:rFonts w:hint="eastAsia" w:ascii="宋体" w:hAnsi="宋体" w:cs="宋体"/>
          <w:sz w:val="24"/>
          <w:szCs w:val="24"/>
          <w:highlight w:val="none"/>
        </w:rPr>
        <w:t>5、业务流程：客户申请--银行调查--业务审查审批--合同签署--贷款发放。</w:t>
      </w:r>
    </w:p>
    <w:p>
      <w:pPr>
        <w:pStyle w:val="52"/>
        <w:spacing w:line="360" w:lineRule="auto"/>
        <w:jc w:val="left"/>
        <w:rPr>
          <w:rFonts w:ascii="宋体" w:hAnsi="宋体" w:cs="宋体"/>
          <w:sz w:val="24"/>
          <w:szCs w:val="24"/>
          <w:highlight w:val="none"/>
        </w:rPr>
      </w:pPr>
      <w:r>
        <w:rPr>
          <w:rFonts w:hint="eastAsia" w:ascii="宋体" w:hAnsi="宋体" w:cs="宋体"/>
          <w:sz w:val="24"/>
          <w:szCs w:val="24"/>
          <w:highlight w:val="none"/>
        </w:rPr>
        <w:t>业务分管及联系人</w:t>
      </w:r>
    </w:p>
    <w:p>
      <w:pPr>
        <w:pStyle w:val="52"/>
        <w:spacing w:line="360" w:lineRule="auto"/>
        <w:jc w:val="left"/>
        <w:rPr>
          <w:rFonts w:ascii="宋体" w:hAnsi="宋体" w:cs="宋体"/>
          <w:sz w:val="24"/>
          <w:szCs w:val="24"/>
          <w:highlight w:val="none"/>
        </w:rPr>
      </w:pPr>
      <w:r>
        <w:rPr>
          <w:rFonts w:hint="eastAsia" w:ascii="宋体" w:hAnsi="宋体" w:cs="宋体"/>
          <w:sz w:val="24"/>
          <w:szCs w:val="24"/>
          <w:highlight w:val="none"/>
        </w:rPr>
        <w:t>分管领导：蔡浩洋　18567663969</w:t>
      </w:r>
    </w:p>
    <w:p>
      <w:pPr>
        <w:pStyle w:val="52"/>
        <w:spacing w:line="360" w:lineRule="auto"/>
        <w:jc w:val="left"/>
        <w:rPr>
          <w:rFonts w:ascii="宋体" w:hAnsi="宋体" w:cs="宋体"/>
          <w:sz w:val="24"/>
          <w:szCs w:val="24"/>
          <w:highlight w:val="none"/>
        </w:rPr>
      </w:pPr>
      <w:r>
        <w:rPr>
          <w:rFonts w:hint="eastAsia" w:ascii="宋体" w:hAnsi="宋体" w:cs="宋体"/>
          <w:sz w:val="24"/>
          <w:szCs w:val="24"/>
          <w:highlight w:val="none"/>
        </w:rPr>
        <w:t>客户经理：张琦颖　18567663732</w:t>
      </w:r>
    </w:p>
    <w:p>
      <w:pPr>
        <w:pStyle w:val="52"/>
        <w:spacing w:line="360" w:lineRule="auto"/>
        <w:rPr>
          <w:rFonts w:ascii="宋体" w:hAnsi="宋体" w:cs="宋体"/>
          <w:sz w:val="24"/>
          <w:szCs w:val="24"/>
          <w:highlight w:val="none"/>
        </w:rPr>
      </w:pPr>
    </w:p>
    <w:p>
      <w:pPr>
        <w:pStyle w:val="52"/>
        <w:spacing w:line="360" w:lineRule="auto"/>
        <w:jc w:val="center"/>
        <w:rPr>
          <w:rFonts w:ascii="宋体" w:hAnsi="宋体" w:cs="宋体"/>
          <w:b/>
          <w:bCs/>
          <w:color w:val="0000FF"/>
          <w:sz w:val="24"/>
          <w:szCs w:val="24"/>
          <w:highlight w:val="none"/>
        </w:rPr>
      </w:pPr>
      <w:r>
        <w:rPr>
          <w:rFonts w:hint="eastAsia" w:ascii="宋体" w:hAnsi="宋体" w:cs="宋体"/>
          <w:b/>
          <w:bCs/>
          <w:color w:val="0000FF"/>
          <w:sz w:val="24"/>
          <w:szCs w:val="24"/>
          <w:highlight w:val="none"/>
        </w:rPr>
        <w:t>华夏银行洛阳分行“政采贷”产品介绍</w:t>
      </w:r>
    </w:p>
    <w:p>
      <w:pPr>
        <w:pStyle w:val="52"/>
        <w:spacing w:line="360" w:lineRule="auto"/>
        <w:jc w:val="left"/>
        <w:rPr>
          <w:rFonts w:ascii="宋体" w:hAnsi="宋体" w:cs="宋体"/>
          <w:sz w:val="24"/>
          <w:szCs w:val="24"/>
          <w:highlight w:val="none"/>
        </w:rPr>
      </w:pPr>
      <w:r>
        <w:rPr>
          <w:rFonts w:hint="eastAsia" w:ascii="宋体" w:hAnsi="宋体" w:cs="宋体"/>
          <w:sz w:val="24"/>
          <w:szCs w:val="24"/>
          <w:highlight w:val="none"/>
        </w:rPr>
        <w:t>产品特点</w:t>
      </w:r>
    </w:p>
    <w:p>
      <w:pPr>
        <w:pStyle w:val="52"/>
        <w:spacing w:line="360" w:lineRule="auto"/>
        <w:jc w:val="left"/>
        <w:rPr>
          <w:rFonts w:ascii="宋体" w:hAnsi="宋体" w:cs="宋体"/>
          <w:sz w:val="24"/>
          <w:szCs w:val="24"/>
          <w:highlight w:val="none"/>
        </w:rPr>
      </w:pPr>
      <w:r>
        <w:rPr>
          <w:rFonts w:hint="eastAsia" w:ascii="宋体" w:hAnsi="宋体" w:cs="宋体"/>
          <w:sz w:val="24"/>
          <w:szCs w:val="24"/>
          <w:highlight w:val="none"/>
        </w:rPr>
        <w:t>融资便捷快捷</w:t>
      </w:r>
    </w:p>
    <w:p>
      <w:pPr>
        <w:pStyle w:val="52"/>
        <w:spacing w:line="360" w:lineRule="auto"/>
        <w:jc w:val="left"/>
        <w:rPr>
          <w:rFonts w:ascii="宋体" w:hAnsi="宋体" w:cs="宋体"/>
          <w:sz w:val="24"/>
          <w:szCs w:val="24"/>
          <w:highlight w:val="none"/>
        </w:rPr>
      </w:pPr>
      <w:r>
        <w:rPr>
          <w:rFonts w:hint="eastAsia" w:ascii="宋体" w:hAnsi="宋体" w:cs="宋体"/>
          <w:sz w:val="24"/>
          <w:szCs w:val="24"/>
          <w:highlight w:val="none"/>
        </w:rPr>
        <w:t>线上提交融资申请，线上反馈审批额度</w:t>
      </w:r>
    </w:p>
    <w:p>
      <w:pPr>
        <w:pStyle w:val="52"/>
        <w:spacing w:line="360" w:lineRule="auto"/>
        <w:jc w:val="left"/>
        <w:rPr>
          <w:rFonts w:ascii="宋体" w:hAnsi="宋体" w:cs="宋体"/>
          <w:sz w:val="24"/>
          <w:szCs w:val="24"/>
          <w:highlight w:val="none"/>
        </w:rPr>
      </w:pPr>
      <w:r>
        <w:rPr>
          <w:rFonts w:hint="eastAsia" w:ascii="宋体" w:hAnsi="宋体" w:cs="宋体"/>
          <w:sz w:val="24"/>
          <w:szCs w:val="24"/>
          <w:highlight w:val="none"/>
        </w:rPr>
        <w:t>审批手续简便</w:t>
      </w:r>
    </w:p>
    <w:p>
      <w:pPr>
        <w:pStyle w:val="52"/>
        <w:spacing w:line="360" w:lineRule="auto"/>
        <w:jc w:val="left"/>
        <w:rPr>
          <w:rFonts w:ascii="宋体" w:hAnsi="宋体" w:cs="宋体"/>
          <w:sz w:val="24"/>
          <w:szCs w:val="24"/>
          <w:highlight w:val="none"/>
        </w:rPr>
      </w:pPr>
      <w:r>
        <w:rPr>
          <w:rFonts w:hint="eastAsia" w:ascii="宋体" w:hAnsi="宋体" w:cs="宋体"/>
          <w:sz w:val="24"/>
          <w:szCs w:val="24"/>
          <w:highlight w:val="none"/>
        </w:rPr>
        <w:t>审批手续及所需的资料相对简便</w:t>
      </w:r>
    </w:p>
    <w:p>
      <w:pPr>
        <w:pStyle w:val="52"/>
        <w:spacing w:line="360" w:lineRule="auto"/>
        <w:jc w:val="left"/>
        <w:rPr>
          <w:rFonts w:ascii="宋体" w:hAnsi="宋体" w:cs="宋体"/>
          <w:sz w:val="24"/>
          <w:szCs w:val="24"/>
          <w:highlight w:val="none"/>
        </w:rPr>
      </w:pPr>
      <w:r>
        <w:rPr>
          <w:rFonts w:hint="eastAsia" w:ascii="宋体" w:hAnsi="宋体" w:cs="宋体"/>
          <w:sz w:val="24"/>
          <w:szCs w:val="24"/>
          <w:highlight w:val="none"/>
        </w:rPr>
        <w:t>融资比例合理</w:t>
      </w:r>
    </w:p>
    <w:p>
      <w:pPr>
        <w:pStyle w:val="52"/>
        <w:spacing w:line="360" w:lineRule="auto"/>
        <w:jc w:val="left"/>
        <w:rPr>
          <w:rFonts w:ascii="宋体" w:hAnsi="宋体" w:cs="宋体"/>
          <w:sz w:val="24"/>
          <w:szCs w:val="24"/>
          <w:highlight w:val="none"/>
        </w:rPr>
      </w:pPr>
      <w:r>
        <w:rPr>
          <w:rFonts w:hint="eastAsia" w:ascii="宋体" w:hAnsi="宋体" w:cs="宋体"/>
          <w:sz w:val="24"/>
          <w:szCs w:val="24"/>
          <w:highlight w:val="none"/>
        </w:rPr>
        <w:t>最高融资比例可达订单金额的80%</w:t>
      </w:r>
    </w:p>
    <w:p>
      <w:pPr>
        <w:pStyle w:val="52"/>
        <w:spacing w:line="360" w:lineRule="auto"/>
        <w:jc w:val="left"/>
        <w:rPr>
          <w:rFonts w:ascii="宋体" w:hAnsi="宋体" w:cs="宋体"/>
          <w:sz w:val="24"/>
          <w:szCs w:val="24"/>
          <w:highlight w:val="none"/>
        </w:rPr>
      </w:pPr>
      <w:r>
        <w:rPr>
          <w:rFonts w:hint="eastAsia" w:ascii="宋体" w:hAnsi="宋体" w:cs="宋体"/>
          <w:sz w:val="24"/>
          <w:szCs w:val="24"/>
          <w:highlight w:val="none"/>
        </w:rPr>
        <w:t>价格合理灵活</w:t>
      </w:r>
    </w:p>
    <w:p>
      <w:pPr>
        <w:pStyle w:val="52"/>
        <w:spacing w:line="360" w:lineRule="auto"/>
        <w:jc w:val="left"/>
        <w:rPr>
          <w:rFonts w:ascii="宋体" w:hAnsi="宋体" w:cs="宋体"/>
          <w:sz w:val="24"/>
          <w:szCs w:val="24"/>
          <w:highlight w:val="none"/>
        </w:rPr>
      </w:pPr>
      <w:r>
        <w:rPr>
          <w:rFonts w:hint="eastAsia" w:ascii="宋体" w:hAnsi="宋体" w:cs="宋体"/>
          <w:sz w:val="24"/>
          <w:szCs w:val="24"/>
          <w:highlight w:val="none"/>
        </w:rPr>
        <w:t>按实际融资天数计息，低于同业平均水平</w:t>
      </w:r>
    </w:p>
    <w:p>
      <w:pPr>
        <w:pStyle w:val="52"/>
        <w:spacing w:line="360" w:lineRule="auto"/>
        <w:jc w:val="left"/>
        <w:rPr>
          <w:rFonts w:ascii="宋体" w:hAnsi="宋体" w:cs="宋体"/>
          <w:sz w:val="24"/>
          <w:szCs w:val="24"/>
          <w:highlight w:val="none"/>
        </w:rPr>
      </w:pPr>
      <w:r>
        <w:rPr>
          <w:rFonts w:hint="eastAsia" w:ascii="宋体" w:hAnsi="宋体" w:cs="宋体"/>
          <w:sz w:val="24"/>
          <w:szCs w:val="24"/>
          <w:highlight w:val="none"/>
        </w:rPr>
        <w:t>还款灵活方便</w:t>
      </w:r>
    </w:p>
    <w:p>
      <w:pPr>
        <w:pStyle w:val="52"/>
        <w:spacing w:line="360" w:lineRule="auto"/>
        <w:jc w:val="left"/>
        <w:rPr>
          <w:rFonts w:ascii="宋体" w:hAnsi="宋体" w:cs="宋体"/>
          <w:sz w:val="24"/>
          <w:szCs w:val="24"/>
          <w:highlight w:val="none"/>
        </w:rPr>
      </w:pPr>
      <w:r>
        <w:rPr>
          <w:rFonts w:hint="eastAsia" w:ascii="宋体" w:hAnsi="宋体" w:cs="宋体"/>
          <w:sz w:val="24"/>
          <w:szCs w:val="24"/>
          <w:highlight w:val="none"/>
        </w:rPr>
        <w:t>按期还息，到期还本，可提前部分还款或全部还款</w:t>
      </w:r>
    </w:p>
    <w:p>
      <w:pPr>
        <w:pStyle w:val="52"/>
        <w:spacing w:line="360" w:lineRule="auto"/>
        <w:jc w:val="left"/>
        <w:rPr>
          <w:rFonts w:ascii="宋体" w:hAnsi="宋体" w:cs="宋体"/>
          <w:sz w:val="24"/>
          <w:szCs w:val="24"/>
          <w:highlight w:val="none"/>
        </w:rPr>
      </w:pPr>
      <w:r>
        <w:rPr>
          <w:rFonts w:hint="eastAsia" w:ascii="宋体" w:hAnsi="宋体" w:cs="宋体"/>
          <w:sz w:val="24"/>
          <w:szCs w:val="24"/>
          <w:highlight w:val="none"/>
        </w:rPr>
        <w:t>无需抵押担保</w:t>
      </w:r>
    </w:p>
    <w:p>
      <w:pPr>
        <w:pStyle w:val="52"/>
        <w:spacing w:line="360" w:lineRule="auto"/>
        <w:jc w:val="left"/>
        <w:rPr>
          <w:rFonts w:ascii="宋体" w:hAnsi="宋体" w:cs="宋体"/>
          <w:sz w:val="24"/>
          <w:szCs w:val="24"/>
          <w:highlight w:val="none"/>
        </w:rPr>
      </w:pPr>
      <w:r>
        <w:rPr>
          <w:rFonts w:hint="eastAsia" w:ascii="宋体" w:hAnsi="宋体" w:cs="宋体"/>
          <w:sz w:val="24"/>
          <w:szCs w:val="24"/>
          <w:highlight w:val="none"/>
        </w:rPr>
        <w:t>凭订单即可申请，无需追加抵押担保</w:t>
      </w:r>
    </w:p>
    <w:p>
      <w:pPr>
        <w:pStyle w:val="52"/>
        <w:spacing w:line="360" w:lineRule="auto"/>
        <w:jc w:val="left"/>
        <w:rPr>
          <w:rFonts w:ascii="宋体" w:hAnsi="宋体" w:cs="宋体"/>
          <w:sz w:val="24"/>
          <w:szCs w:val="24"/>
          <w:highlight w:val="none"/>
        </w:rPr>
      </w:pPr>
      <w:r>
        <w:rPr>
          <w:rFonts w:hint="eastAsia" w:ascii="宋体" w:hAnsi="宋体" w:cs="宋体"/>
          <w:sz w:val="24"/>
          <w:szCs w:val="24"/>
          <w:highlight w:val="none"/>
        </w:rPr>
        <w:t>申请条件和资料</w:t>
      </w:r>
    </w:p>
    <w:p>
      <w:pPr>
        <w:pStyle w:val="52"/>
        <w:spacing w:line="360" w:lineRule="auto"/>
        <w:jc w:val="left"/>
        <w:rPr>
          <w:rFonts w:ascii="宋体" w:hAnsi="宋体" w:cs="宋体"/>
          <w:sz w:val="24"/>
          <w:szCs w:val="24"/>
          <w:highlight w:val="none"/>
        </w:rPr>
      </w:pPr>
      <w:r>
        <w:rPr>
          <w:rFonts w:hint="eastAsia" w:ascii="宋体" w:hAnsi="宋体" w:cs="宋体"/>
          <w:sz w:val="24"/>
          <w:szCs w:val="24"/>
          <w:highlight w:val="none"/>
        </w:rPr>
        <w:t>经工商形状管理机关（或主管机关）核准登记的企业法人或个体工商户，有固定经营场所，合法经营；</w:t>
      </w:r>
    </w:p>
    <w:p>
      <w:pPr>
        <w:pStyle w:val="52"/>
        <w:spacing w:line="360" w:lineRule="auto"/>
        <w:jc w:val="left"/>
        <w:rPr>
          <w:rFonts w:ascii="宋体" w:hAnsi="宋体" w:cs="宋体"/>
          <w:sz w:val="24"/>
          <w:szCs w:val="24"/>
          <w:highlight w:val="none"/>
        </w:rPr>
      </w:pPr>
      <w:r>
        <w:rPr>
          <w:rFonts w:hint="eastAsia" w:ascii="宋体" w:hAnsi="宋体" w:cs="宋体"/>
          <w:sz w:val="24"/>
          <w:szCs w:val="24"/>
          <w:highlight w:val="none"/>
        </w:rPr>
        <w:t>企业为货物或服务类供应商；</w:t>
      </w:r>
    </w:p>
    <w:p>
      <w:pPr>
        <w:pStyle w:val="52"/>
        <w:spacing w:line="360" w:lineRule="auto"/>
        <w:jc w:val="left"/>
        <w:rPr>
          <w:rFonts w:ascii="宋体" w:hAnsi="宋体" w:cs="宋体"/>
          <w:sz w:val="24"/>
          <w:szCs w:val="24"/>
          <w:highlight w:val="none"/>
        </w:rPr>
      </w:pPr>
      <w:r>
        <w:rPr>
          <w:rFonts w:hint="eastAsia" w:ascii="宋体" w:hAnsi="宋体" w:cs="宋体"/>
          <w:sz w:val="24"/>
          <w:szCs w:val="24"/>
          <w:highlight w:val="none"/>
        </w:rPr>
        <w:t>未纳入政府采购严重违法失信行为记录名单；</w:t>
      </w:r>
    </w:p>
    <w:p>
      <w:pPr>
        <w:pStyle w:val="52"/>
        <w:spacing w:line="360" w:lineRule="auto"/>
        <w:jc w:val="left"/>
        <w:rPr>
          <w:rFonts w:ascii="宋体" w:hAnsi="宋体" w:cs="宋体"/>
          <w:sz w:val="24"/>
          <w:szCs w:val="24"/>
          <w:highlight w:val="none"/>
        </w:rPr>
      </w:pPr>
      <w:r>
        <w:rPr>
          <w:rFonts w:hint="eastAsia" w:ascii="宋体" w:hAnsi="宋体" w:cs="宋体"/>
          <w:sz w:val="24"/>
          <w:szCs w:val="24"/>
          <w:highlight w:val="none"/>
        </w:rPr>
        <w:t>企业近三年中标数不少于2次；</w:t>
      </w:r>
    </w:p>
    <w:p>
      <w:pPr>
        <w:pStyle w:val="52"/>
        <w:spacing w:line="360" w:lineRule="auto"/>
        <w:jc w:val="left"/>
        <w:rPr>
          <w:rFonts w:ascii="宋体" w:hAnsi="宋体" w:cs="宋体"/>
          <w:sz w:val="24"/>
          <w:szCs w:val="24"/>
          <w:highlight w:val="none"/>
        </w:rPr>
      </w:pPr>
      <w:r>
        <w:rPr>
          <w:rFonts w:hint="eastAsia" w:ascii="宋体" w:hAnsi="宋体" w:cs="宋体"/>
          <w:sz w:val="24"/>
          <w:szCs w:val="24"/>
          <w:highlight w:val="none"/>
        </w:rPr>
        <w:t>企业具备与中标项目相匹配的生产或销售资质。</w:t>
      </w:r>
    </w:p>
    <w:p>
      <w:pPr>
        <w:pStyle w:val="52"/>
        <w:spacing w:line="360" w:lineRule="auto"/>
        <w:jc w:val="left"/>
        <w:rPr>
          <w:rFonts w:ascii="宋体" w:hAnsi="宋体" w:cs="宋体"/>
          <w:sz w:val="24"/>
          <w:szCs w:val="24"/>
          <w:highlight w:val="none"/>
        </w:rPr>
      </w:pPr>
      <w:r>
        <w:rPr>
          <w:rFonts w:hint="eastAsia" w:ascii="宋体" w:hAnsi="宋体" w:cs="宋体"/>
          <w:sz w:val="24"/>
          <w:szCs w:val="24"/>
          <w:highlight w:val="none"/>
        </w:rPr>
        <w:t>申请资料：营业执照正副本、法人身份证</w:t>
      </w:r>
    </w:p>
    <w:p>
      <w:pPr>
        <w:pStyle w:val="52"/>
        <w:spacing w:line="360" w:lineRule="auto"/>
        <w:jc w:val="left"/>
        <w:rPr>
          <w:rFonts w:ascii="宋体" w:hAnsi="宋体" w:cs="宋体"/>
          <w:sz w:val="24"/>
          <w:szCs w:val="24"/>
          <w:highlight w:val="none"/>
        </w:rPr>
      </w:pPr>
      <w:r>
        <w:rPr>
          <w:rFonts w:hint="eastAsia" w:ascii="宋体" w:hAnsi="宋体" w:cs="宋体"/>
          <w:sz w:val="24"/>
          <w:szCs w:val="24"/>
          <w:highlight w:val="none"/>
        </w:rPr>
        <w:t>申请流程：通过河南省政府采购网进入“华夏政采E贷”根据提示完成授信申请，系统审批通过后，前往网点开立企业账户及签订贷款协议，登陆“华夏政采贷”根据提示完成放款申请，系统审批通过后完成提款。</w:t>
      </w:r>
    </w:p>
    <w:p>
      <w:pPr>
        <w:pStyle w:val="52"/>
        <w:spacing w:line="360" w:lineRule="auto"/>
        <w:jc w:val="left"/>
        <w:rPr>
          <w:rFonts w:ascii="宋体" w:hAnsi="宋体" w:cs="宋体"/>
          <w:sz w:val="24"/>
          <w:szCs w:val="24"/>
          <w:highlight w:val="none"/>
        </w:rPr>
      </w:pPr>
      <w:r>
        <w:rPr>
          <w:rFonts w:hint="eastAsia" w:ascii="宋体" w:hAnsi="宋体" w:cs="宋体"/>
          <w:sz w:val="24"/>
          <w:szCs w:val="24"/>
          <w:highlight w:val="none"/>
        </w:rPr>
        <w:t>联系方式：分管领导：马鲜平副行长</w:t>
      </w:r>
    </w:p>
    <w:p>
      <w:pPr>
        <w:pStyle w:val="52"/>
        <w:spacing w:line="360" w:lineRule="auto"/>
        <w:jc w:val="left"/>
        <w:rPr>
          <w:rFonts w:ascii="宋体" w:hAnsi="宋体" w:cs="宋体"/>
          <w:sz w:val="24"/>
          <w:szCs w:val="24"/>
          <w:highlight w:val="none"/>
        </w:rPr>
      </w:pPr>
      <w:r>
        <w:rPr>
          <w:rFonts w:hint="eastAsia" w:ascii="宋体" w:hAnsi="宋体" w:cs="宋体"/>
          <w:sz w:val="24"/>
          <w:szCs w:val="24"/>
          <w:highlight w:val="none"/>
        </w:rPr>
        <w:t>部门经理：杜青青营销管理部经理13633790075</w:t>
      </w:r>
    </w:p>
    <w:p>
      <w:pPr>
        <w:pStyle w:val="52"/>
        <w:spacing w:line="360" w:lineRule="auto"/>
        <w:jc w:val="left"/>
        <w:rPr>
          <w:rFonts w:ascii="宋体" w:hAnsi="宋体" w:cs="宋体"/>
          <w:sz w:val="24"/>
          <w:szCs w:val="24"/>
          <w:highlight w:val="none"/>
        </w:rPr>
      </w:pPr>
      <w:r>
        <w:rPr>
          <w:rFonts w:hint="eastAsia" w:ascii="宋体" w:hAnsi="宋体" w:cs="宋体"/>
          <w:sz w:val="24"/>
          <w:szCs w:val="24"/>
          <w:highlight w:val="none"/>
        </w:rPr>
        <w:t>具体负责人联系方式：谢逸伦客户经理15038621500</w:t>
      </w:r>
    </w:p>
    <w:p>
      <w:pPr>
        <w:pStyle w:val="52"/>
        <w:spacing w:line="360" w:lineRule="auto"/>
        <w:jc w:val="left"/>
        <w:rPr>
          <w:rFonts w:ascii="宋体" w:hAnsi="宋体" w:cs="宋体"/>
          <w:sz w:val="24"/>
          <w:szCs w:val="24"/>
          <w:highlight w:val="none"/>
        </w:rPr>
      </w:pPr>
    </w:p>
    <w:p>
      <w:pPr>
        <w:pStyle w:val="52"/>
        <w:spacing w:line="360" w:lineRule="auto"/>
        <w:jc w:val="center"/>
        <w:rPr>
          <w:rFonts w:ascii="宋体" w:hAnsi="宋体" w:cs="宋体"/>
          <w:b/>
          <w:bCs/>
          <w:color w:val="0000FF"/>
          <w:sz w:val="24"/>
          <w:szCs w:val="24"/>
          <w:highlight w:val="none"/>
        </w:rPr>
      </w:pPr>
      <w:r>
        <w:rPr>
          <w:rFonts w:hint="eastAsia" w:ascii="宋体" w:hAnsi="宋体" w:cs="宋体"/>
          <w:b/>
          <w:bCs/>
          <w:color w:val="0000FF"/>
          <w:sz w:val="24"/>
          <w:szCs w:val="24"/>
          <w:highlight w:val="none"/>
        </w:rPr>
        <w:t>中国光大银行政府采购贷融资产品</w:t>
      </w:r>
    </w:p>
    <w:p>
      <w:pPr>
        <w:pStyle w:val="52"/>
        <w:spacing w:line="360" w:lineRule="auto"/>
        <w:jc w:val="center"/>
        <w:rPr>
          <w:rFonts w:ascii="宋体" w:hAnsi="宋体" w:cs="宋体"/>
          <w:b/>
          <w:bCs/>
          <w:color w:val="0000FF"/>
          <w:sz w:val="24"/>
          <w:szCs w:val="24"/>
          <w:highlight w:val="none"/>
        </w:rPr>
      </w:pPr>
      <w:r>
        <w:rPr>
          <w:rFonts w:hint="eastAsia" w:ascii="宋体" w:hAnsi="宋体" w:cs="宋体"/>
          <w:b/>
          <w:bCs/>
          <w:color w:val="0000FF"/>
          <w:sz w:val="24"/>
          <w:szCs w:val="24"/>
          <w:highlight w:val="none"/>
        </w:rPr>
        <w:t>介绍及联系方式</w:t>
      </w:r>
    </w:p>
    <w:p>
      <w:pPr>
        <w:pStyle w:val="58"/>
        <w:numPr>
          <w:ilvl w:val="0"/>
          <w:numId w:val="4"/>
        </w:numPr>
        <w:spacing w:before="0" w:beforeAutospacing="0" w:after="0" w:afterAutospacing="0" w:line="360" w:lineRule="auto"/>
        <w:ind w:firstLine="0" w:firstLineChars="0"/>
        <w:rPr>
          <w:rFonts w:cs="宋体"/>
          <w:sz w:val="24"/>
          <w:szCs w:val="24"/>
          <w:highlight w:val="none"/>
        </w:rPr>
      </w:pPr>
      <w:r>
        <w:rPr>
          <w:rFonts w:hint="eastAsia" w:cs="宋体"/>
          <w:sz w:val="24"/>
          <w:szCs w:val="24"/>
          <w:highlight w:val="none"/>
        </w:rPr>
        <w:t>产品定义</w:t>
      </w:r>
    </w:p>
    <w:p>
      <w:pPr>
        <w:pStyle w:val="58"/>
        <w:spacing w:before="0" w:beforeAutospacing="0" w:after="0" w:afterAutospacing="0" w:line="360" w:lineRule="auto"/>
        <w:ind w:firstLine="0" w:firstLineChars="0"/>
        <w:rPr>
          <w:rFonts w:cs="宋体"/>
          <w:sz w:val="24"/>
          <w:szCs w:val="24"/>
          <w:highlight w:val="none"/>
        </w:rPr>
      </w:pPr>
      <w:r>
        <w:rPr>
          <w:rFonts w:hint="eastAsia" w:cs="宋体"/>
          <w:sz w:val="24"/>
          <w:szCs w:val="24"/>
          <w:highlight w:val="none"/>
        </w:rPr>
        <w:t xml:space="preserve">    “政采易”是指光大银行根据政府采购中标通知书，以政府财政支付资金为主要还款来源，通过封闭回款路径等方式，为中标供应商提供流动资金贷款。</w:t>
      </w:r>
    </w:p>
    <w:p>
      <w:pPr>
        <w:pStyle w:val="58"/>
        <w:numPr>
          <w:ilvl w:val="0"/>
          <w:numId w:val="4"/>
        </w:numPr>
        <w:spacing w:before="0" w:beforeAutospacing="0" w:after="0" w:afterAutospacing="0" w:line="360" w:lineRule="auto"/>
        <w:ind w:firstLine="0" w:firstLineChars="0"/>
        <w:rPr>
          <w:rFonts w:cs="宋体"/>
          <w:sz w:val="24"/>
          <w:szCs w:val="24"/>
          <w:highlight w:val="none"/>
        </w:rPr>
      </w:pPr>
      <w:r>
        <w:rPr>
          <w:rFonts w:hint="eastAsia" w:cs="宋体"/>
          <w:sz w:val="24"/>
          <w:szCs w:val="24"/>
          <w:highlight w:val="none"/>
        </w:rPr>
        <w:t>借款人基本条件</w:t>
      </w:r>
    </w:p>
    <w:p>
      <w:pPr>
        <w:pStyle w:val="52"/>
        <w:tabs>
          <w:tab w:val="left" w:pos="1560"/>
        </w:tabs>
        <w:adjustRightInd w:val="0"/>
        <w:snapToGrid w:val="0"/>
        <w:spacing w:line="360" w:lineRule="auto"/>
        <w:rPr>
          <w:rFonts w:ascii="宋体" w:hAnsi="宋体" w:cs="宋体"/>
          <w:sz w:val="24"/>
          <w:szCs w:val="24"/>
          <w:highlight w:val="none"/>
        </w:rPr>
      </w:pPr>
      <w:r>
        <w:rPr>
          <w:rFonts w:hint="eastAsia" w:ascii="宋体" w:hAnsi="宋体" w:cs="宋体"/>
          <w:sz w:val="24"/>
          <w:szCs w:val="24"/>
          <w:highlight w:val="none"/>
        </w:rPr>
        <w:t>（一）具有独立承担民事责任的能力,有固定的经营场所；</w:t>
      </w:r>
    </w:p>
    <w:p>
      <w:pPr>
        <w:pStyle w:val="52"/>
        <w:tabs>
          <w:tab w:val="left" w:pos="1560"/>
        </w:tabs>
        <w:adjustRightInd w:val="0"/>
        <w:snapToGrid w:val="0"/>
        <w:spacing w:line="360" w:lineRule="auto"/>
        <w:rPr>
          <w:rFonts w:ascii="宋体" w:hAnsi="宋体" w:cs="宋体"/>
          <w:sz w:val="24"/>
          <w:szCs w:val="24"/>
          <w:highlight w:val="none"/>
        </w:rPr>
      </w:pPr>
      <w:r>
        <w:rPr>
          <w:rFonts w:hint="eastAsia" w:ascii="宋体" w:hAnsi="宋体" w:cs="宋体"/>
          <w:sz w:val="24"/>
          <w:szCs w:val="24"/>
          <w:highlight w:val="none"/>
        </w:rPr>
        <w:t>（二）企业成立1（含）年以上，且实际控制人有3年以上实际行业经验，具有良好的纳税记录、工商登记记录；</w:t>
      </w:r>
    </w:p>
    <w:p>
      <w:pPr>
        <w:pStyle w:val="52"/>
        <w:tabs>
          <w:tab w:val="left" w:pos="1560"/>
        </w:tabs>
        <w:adjustRightInd w:val="0"/>
        <w:snapToGrid w:val="0"/>
        <w:spacing w:line="360" w:lineRule="auto"/>
        <w:rPr>
          <w:rFonts w:ascii="宋体" w:hAnsi="宋体" w:cs="宋体"/>
          <w:sz w:val="24"/>
          <w:szCs w:val="24"/>
          <w:highlight w:val="none"/>
        </w:rPr>
      </w:pPr>
      <w:r>
        <w:rPr>
          <w:rFonts w:hint="eastAsia" w:ascii="宋体" w:hAnsi="宋体" w:cs="宋体"/>
          <w:sz w:val="24"/>
          <w:szCs w:val="24"/>
          <w:highlight w:val="none"/>
        </w:rPr>
        <w:t>（三）企业具有履行合同所必需的设备和服务能力；</w:t>
      </w:r>
    </w:p>
    <w:p>
      <w:pPr>
        <w:pStyle w:val="52"/>
        <w:tabs>
          <w:tab w:val="left" w:pos="1560"/>
        </w:tabs>
        <w:adjustRightInd w:val="0"/>
        <w:snapToGrid w:val="0"/>
        <w:spacing w:line="360" w:lineRule="auto"/>
        <w:rPr>
          <w:rFonts w:ascii="宋体" w:hAnsi="宋体" w:cs="宋体"/>
          <w:sz w:val="24"/>
          <w:szCs w:val="24"/>
          <w:highlight w:val="none"/>
        </w:rPr>
      </w:pPr>
      <w:r>
        <w:rPr>
          <w:rFonts w:hint="eastAsia" w:ascii="宋体" w:hAnsi="宋体" w:cs="宋体"/>
          <w:sz w:val="24"/>
          <w:szCs w:val="24"/>
          <w:highlight w:val="none"/>
        </w:rPr>
        <w:t>（四）生产经营符合国家法律法规、产业政策和环境保护要求，符合我行信贷政策；</w:t>
      </w:r>
    </w:p>
    <w:p>
      <w:pPr>
        <w:pStyle w:val="52"/>
        <w:tabs>
          <w:tab w:val="left" w:pos="1560"/>
        </w:tabs>
        <w:adjustRightInd w:val="0"/>
        <w:snapToGrid w:val="0"/>
        <w:spacing w:line="360" w:lineRule="auto"/>
        <w:rPr>
          <w:rFonts w:ascii="宋体" w:hAnsi="宋体" w:cs="宋体"/>
          <w:sz w:val="24"/>
          <w:szCs w:val="24"/>
          <w:highlight w:val="none"/>
        </w:rPr>
      </w:pPr>
      <w:r>
        <w:rPr>
          <w:rFonts w:hint="eastAsia" w:ascii="宋体" w:hAnsi="宋体" w:cs="宋体"/>
          <w:sz w:val="24"/>
          <w:szCs w:val="24"/>
          <w:highlight w:val="none"/>
        </w:rPr>
        <w:t>（五）人行征信信息查询系统查询显示企业法人、法定代表人、主要经营者无重大不良记录；政府采购履约行为无不良记录；</w:t>
      </w:r>
    </w:p>
    <w:p>
      <w:pPr>
        <w:pStyle w:val="52"/>
        <w:tabs>
          <w:tab w:val="left" w:pos="1560"/>
        </w:tabs>
        <w:adjustRightInd w:val="0"/>
        <w:snapToGrid w:val="0"/>
        <w:spacing w:line="360" w:lineRule="auto"/>
        <w:rPr>
          <w:rFonts w:ascii="宋体" w:hAnsi="宋体" w:cs="宋体"/>
          <w:sz w:val="24"/>
          <w:szCs w:val="24"/>
          <w:highlight w:val="none"/>
        </w:rPr>
      </w:pPr>
      <w:r>
        <w:rPr>
          <w:rFonts w:hint="eastAsia" w:ascii="宋体" w:hAnsi="宋体" w:cs="宋体"/>
          <w:sz w:val="24"/>
          <w:szCs w:val="24"/>
          <w:highlight w:val="none"/>
        </w:rPr>
        <w:t>（六）中标供应商在我行信用评级应在B-级（含）以上；</w:t>
      </w:r>
    </w:p>
    <w:p>
      <w:pPr>
        <w:pStyle w:val="52"/>
        <w:tabs>
          <w:tab w:val="left" w:pos="1560"/>
        </w:tabs>
        <w:adjustRightInd w:val="0"/>
        <w:snapToGrid w:val="0"/>
        <w:spacing w:line="360" w:lineRule="auto"/>
        <w:rPr>
          <w:rFonts w:ascii="宋体" w:hAnsi="宋体" w:cs="宋体"/>
          <w:sz w:val="24"/>
          <w:szCs w:val="24"/>
          <w:highlight w:val="none"/>
        </w:rPr>
      </w:pPr>
      <w:r>
        <w:rPr>
          <w:rFonts w:hint="eastAsia" w:ascii="宋体" w:hAnsi="宋体" w:cs="宋体"/>
          <w:sz w:val="24"/>
          <w:szCs w:val="24"/>
          <w:highlight w:val="none"/>
        </w:rPr>
        <w:t>（七）我行要求的其他条件。</w:t>
      </w:r>
    </w:p>
    <w:p>
      <w:pPr>
        <w:pStyle w:val="58"/>
        <w:numPr>
          <w:ilvl w:val="0"/>
          <w:numId w:val="4"/>
        </w:numPr>
        <w:spacing w:before="0" w:beforeAutospacing="0" w:after="0" w:afterAutospacing="0" w:line="360" w:lineRule="auto"/>
        <w:ind w:firstLine="0" w:firstLineChars="0"/>
        <w:rPr>
          <w:rFonts w:cs="宋体"/>
          <w:sz w:val="24"/>
          <w:szCs w:val="24"/>
          <w:highlight w:val="none"/>
        </w:rPr>
      </w:pPr>
      <w:r>
        <w:rPr>
          <w:rFonts w:hint="eastAsia" w:cs="宋体"/>
          <w:sz w:val="24"/>
          <w:szCs w:val="24"/>
          <w:highlight w:val="none"/>
        </w:rPr>
        <w:t>业务流程</w:t>
      </w:r>
    </w:p>
    <w:p>
      <w:pPr>
        <w:pStyle w:val="52"/>
        <w:numPr>
          <w:ilvl w:val="0"/>
          <w:numId w:val="5"/>
        </w:numPr>
        <w:tabs>
          <w:tab w:val="left" w:pos="1560"/>
        </w:tabs>
        <w:adjustRightInd w:val="0"/>
        <w:snapToGrid w:val="0"/>
        <w:spacing w:line="360" w:lineRule="auto"/>
        <w:rPr>
          <w:rFonts w:ascii="宋体" w:hAnsi="宋体" w:cs="宋体"/>
          <w:sz w:val="24"/>
          <w:szCs w:val="24"/>
          <w:highlight w:val="none"/>
        </w:rPr>
      </w:pPr>
      <w:r>
        <w:rPr>
          <w:rFonts w:hint="eastAsia" w:ascii="宋体" w:hAnsi="宋体" w:cs="宋体"/>
          <w:sz w:val="24"/>
          <w:szCs w:val="24"/>
          <w:highlight w:val="none"/>
        </w:rPr>
        <w:t>供应商的采购资金纳入同级或以上政府财政预算。</w:t>
      </w:r>
    </w:p>
    <w:p>
      <w:pPr>
        <w:pStyle w:val="52"/>
        <w:numPr>
          <w:ilvl w:val="0"/>
          <w:numId w:val="5"/>
        </w:numPr>
        <w:tabs>
          <w:tab w:val="left" w:pos="1560"/>
        </w:tabs>
        <w:adjustRightInd w:val="0"/>
        <w:snapToGrid w:val="0"/>
        <w:spacing w:line="360" w:lineRule="auto"/>
        <w:rPr>
          <w:rFonts w:ascii="宋体" w:hAnsi="宋体" w:cs="宋体"/>
          <w:sz w:val="24"/>
          <w:szCs w:val="24"/>
          <w:highlight w:val="none"/>
        </w:rPr>
      </w:pPr>
      <w:r>
        <w:rPr>
          <w:rFonts w:hint="eastAsia" w:ascii="宋体" w:hAnsi="宋体" w:cs="宋体"/>
          <w:sz w:val="24"/>
          <w:szCs w:val="24"/>
          <w:highlight w:val="none"/>
        </w:rPr>
        <w:t>供应商与政府采购部门签署采购合同。</w:t>
      </w:r>
    </w:p>
    <w:p>
      <w:pPr>
        <w:pStyle w:val="52"/>
        <w:numPr>
          <w:ilvl w:val="0"/>
          <w:numId w:val="5"/>
        </w:numPr>
        <w:tabs>
          <w:tab w:val="left" w:pos="1560"/>
        </w:tabs>
        <w:adjustRightInd w:val="0"/>
        <w:snapToGrid w:val="0"/>
        <w:spacing w:line="360" w:lineRule="auto"/>
        <w:rPr>
          <w:rFonts w:ascii="宋体" w:hAnsi="宋体" w:cs="宋体"/>
          <w:sz w:val="24"/>
          <w:szCs w:val="24"/>
          <w:highlight w:val="none"/>
        </w:rPr>
      </w:pPr>
      <w:r>
        <w:rPr>
          <w:rFonts w:hint="eastAsia" w:ascii="宋体" w:hAnsi="宋体" w:cs="宋体"/>
          <w:sz w:val="24"/>
          <w:szCs w:val="24"/>
          <w:highlight w:val="none"/>
        </w:rPr>
        <w:t>采购合同在公开平台进行公示或者备案。</w:t>
      </w:r>
    </w:p>
    <w:p>
      <w:pPr>
        <w:pStyle w:val="52"/>
        <w:numPr>
          <w:ilvl w:val="0"/>
          <w:numId w:val="5"/>
        </w:numPr>
        <w:tabs>
          <w:tab w:val="left" w:pos="1560"/>
        </w:tabs>
        <w:adjustRightInd w:val="0"/>
        <w:snapToGrid w:val="0"/>
        <w:spacing w:line="360" w:lineRule="auto"/>
        <w:rPr>
          <w:rFonts w:ascii="宋体" w:hAnsi="宋体" w:cs="宋体"/>
          <w:sz w:val="24"/>
          <w:szCs w:val="24"/>
          <w:highlight w:val="none"/>
        </w:rPr>
      </w:pPr>
      <w:r>
        <w:rPr>
          <w:rFonts w:hint="eastAsia" w:ascii="宋体" w:hAnsi="宋体" w:cs="宋体"/>
          <w:sz w:val="24"/>
          <w:szCs w:val="24"/>
          <w:highlight w:val="none"/>
        </w:rPr>
        <w:t>供应商依托采购合同，向光大银行申请融资。</w:t>
      </w:r>
    </w:p>
    <w:p>
      <w:pPr>
        <w:pStyle w:val="52"/>
        <w:numPr>
          <w:ilvl w:val="0"/>
          <w:numId w:val="5"/>
        </w:numPr>
        <w:tabs>
          <w:tab w:val="left" w:pos="1560"/>
        </w:tabs>
        <w:adjustRightInd w:val="0"/>
        <w:snapToGrid w:val="0"/>
        <w:spacing w:line="360" w:lineRule="auto"/>
        <w:rPr>
          <w:rFonts w:ascii="宋体" w:hAnsi="宋体" w:cs="宋体"/>
          <w:sz w:val="24"/>
          <w:szCs w:val="24"/>
          <w:highlight w:val="none"/>
        </w:rPr>
      </w:pPr>
      <w:r>
        <w:rPr>
          <w:rFonts w:hint="eastAsia" w:ascii="宋体" w:hAnsi="宋体" w:cs="宋体"/>
          <w:sz w:val="24"/>
          <w:szCs w:val="24"/>
          <w:highlight w:val="none"/>
        </w:rPr>
        <w:t>光大银行对采购商进行调查，根据政府采购中标合同金额扣除预付款一定比例发放融资款项。</w:t>
      </w:r>
    </w:p>
    <w:p>
      <w:pPr>
        <w:pStyle w:val="52"/>
        <w:numPr>
          <w:ilvl w:val="0"/>
          <w:numId w:val="5"/>
        </w:numPr>
        <w:tabs>
          <w:tab w:val="left" w:pos="1560"/>
        </w:tabs>
        <w:adjustRightInd w:val="0"/>
        <w:snapToGrid w:val="0"/>
        <w:spacing w:line="360" w:lineRule="auto"/>
        <w:rPr>
          <w:rFonts w:ascii="宋体" w:hAnsi="宋体" w:cs="宋体"/>
          <w:sz w:val="24"/>
          <w:szCs w:val="24"/>
          <w:highlight w:val="none"/>
        </w:rPr>
      </w:pPr>
      <w:r>
        <w:rPr>
          <w:rFonts w:hint="eastAsia" w:ascii="宋体" w:hAnsi="宋体" w:cs="宋体"/>
          <w:sz w:val="24"/>
          <w:szCs w:val="24"/>
          <w:highlight w:val="none"/>
        </w:rPr>
        <w:t>中标供应商须在光大银行开立结算账户并将其指定为企业政府采购结算专户，回款至该账户。</w:t>
      </w:r>
    </w:p>
    <w:p>
      <w:pPr>
        <w:pStyle w:val="58"/>
        <w:numPr>
          <w:ilvl w:val="0"/>
          <w:numId w:val="4"/>
        </w:numPr>
        <w:spacing w:before="0" w:beforeAutospacing="0" w:after="0" w:afterAutospacing="0" w:line="360" w:lineRule="auto"/>
        <w:ind w:firstLine="0" w:firstLineChars="0"/>
        <w:rPr>
          <w:rFonts w:cs="宋体"/>
          <w:sz w:val="24"/>
          <w:szCs w:val="24"/>
          <w:highlight w:val="none"/>
        </w:rPr>
      </w:pPr>
      <w:r>
        <w:rPr>
          <w:rFonts w:hint="eastAsia" w:cs="宋体"/>
          <w:sz w:val="24"/>
          <w:szCs w:val="24"/>
          <w:highlight w:val="none"/>
        </w:rPr>
        <w:t>利率</w:t>
      </w:r>
    </w:p>
    <w:p>
      <w:pPr>
        <w:pStyle w:val="58"/>
        <w:spacing w:before="0" w:beforeAutospacing="0" w:after="0" w:afterAutospacing="0" w:line="360" w:lineRule="auto"/>
        <w:ind w:firstLine="0" w:firstLineChars="0"/>
        <w:rPr>
          <w:rFonts w:cs="宋体"/>
          <w:sz w:val="24"/>
          <w:szCs w:val="24"/>
          <w:highlight w:val="none"/>
        </w:rPr>
      </w:pPr>
      <w:r>
        <w:rPr>
          <w:rFonts w:hint="eastAsia" w:cs="宋体"/>
          <w:sz w:val="24"/>
          <w:szCs w:val="24"/>
          <w:highlight w:val="none"/>
        </w:rPr>
        <w:t>根据当地同业水平合理确定贷款利率水平，执行总行贷款利率授权管理政策。</w:t>
      </w:r>
    </w:p>
    <w:p>
      <w:pPr>
        <w:pStyle w:val="58"/>
        <w:numPr>
          <w:ilvl w:val="0"/>
          <w:numId w:val="4"/>
        </w:numPr>
        <w:spacing w:before="0" w:beforeAutospacing="0" w:after="0" w:afterAutospacing="0" w:line="360" w:lineRule="auto"/>
        <w:ind w:firstLine="0" w:firstLineChars="0"/>
        <w:rPr>
          <w:rFonts w:cs="宋体"/>
          <w:sz w:val="24"/>
          <w:szCs w:val="24"/>
          <w:highlight w:val="none"/>
        </w:rPr>
      </w:pPr>
      <w:r>
        <w:rPr>
          <w:rFonts w:hint="eastAsia" w:cs="宋体"/>
          <w:sz w:val="24"/>
          <w:szCs w:val="24"/>
          <w:highlight w:val="none"/>
        </w:rPr>
        <w:t>贷款期限</w:t>
      </w:r>
    </w:p>
    <w:p>
      <w:pPr>
        <w:pStyle w:val="59"/>
        <w:tabs>
          <w:tab w:val="left" w:pos="1560"/>
        </w:tabs>
        <w:adjustRightInd w:val="0"/>
        <w:snapToGrid w:val="0"/>
        <w:spacing w:line="360" w:lineRule="auto"/>
        <w:jc w:val="both"/>
        <w:rPr>
          <w:rFonts w:ascii="宋体" w:hAnsi="宋体" w:cs="宋体"/>
          <w:kern w:val="0"/>
          <w:sz w:val="24"/>
          <w:szCs w:val="24"/>
          <w:highlight w:val="none"/>
        </w:rPr>
      </w:pPr>
      <w:r>
        <w:rPr>
          <w:rFonts w:hint="eastAsia" w:ascii="宋体" w:hAnsi="宋体" w:cs="宋体"/>
          <w:kern w:val="0"/>
          <w:sz w:val="24"/>
          <w:szCs w:val="24"/>
          <w:highlight w:val="none"/>
        </w:rPr>
        <w:t>贷款期限应与政府采购合同中约定的结算周期、付款方式相匹配，最长不超过合同约定付款日期后两个月。</w:t>
      </w:r>
    </w:p>
    <w:p>
      <w:pPr>
        <w:pStyle w:val="58"/>
        <w:numPr>
          <w:ilvl w:val="0"/>
          <w:numId w:val="4"/>
        </w:numPr>
        <w:spacing w:before="0" w:beforeAutospacing="0" w:after="0" w:afterAutospacing="0" w:line="360" w:lineRule="auto"/>
        <w:ind w:firstLine="0" w:firstLineChars="0"/>
        <w:rPr>
          <w:rFonts w:cs="宋体"/>
          <w:sz w:val="24"/>
          <w:szCs w:val="24"/>
          <w:highlight w:val="none"/>
        </w:rPr>
      </w:pPr>
      <w:r>
        <w:rPr>
          <w:rFonts w:hint="eastAsia" w:cs="宋体"/>
          <w:sz w:val="24"/>
          <w:szCs w:val="24"/>
          <w:highlight w:val="none"/>
        </w:rPr>
        <w:t>联系方式</w:t>
      </w:r>
    </w:p>
    <w:p>
      <w:pPr>
        <w:pStyle w:val="52"/>
        <w:spacing w:line="360" w:lineRule="auto"/>
        <w:rPr>
          <w:rFonts w:ascii="宋体" w:hAnsi="宋体" w:cs="宋体"/>
          <w:sz w:val="24"/>
          <w:szCs w:val="24"/>
          <w:highlight w:val="none"/>
        </w:rPr>
      </w:pPr>
      <w:r>
        <w:rPr>
          <w:rFonts w:hint="eastAsia" w:ascii="宋体" w:hAnsi="宋体" w:cs="宋体"/>
          <w:sz w:val="24"/>
          <w:szCs w:val="24"/>
          <w:highlight w:val="none"/>
        </w:rPr>
        <w:t>1、分管领导 ：王慧18837902280</w:t>
      </w:r>
    </w:p>
    <w:p>
      <w:pPr>
        <w:pStyle w:val="52"/>
        <w:spacing w:line="360" w:lineRule="auto"/>
        <w:rPr>
          <w:rFonts w:ascii="宋体" w:hAnsi="宋体" w:cs="宋体"/>
          <w:sz w:val="24"/>
          <w:szCs w:val="24"/>
          <w:highlight w:val="none"/>
        </w:rPr>
      </w:pPr>
      <w:r>
        <w:rPr>
          <w:rFonts w:hint="eastAsia" w:ascii="宋体" w:hAnsi="宋体" w:cs="宋体"/>
          <w:sz w:val="24"/>
          <w:szCs w:val="24"/>
          <w:highlight w:val="none"/>
        </w:rPr>
        <w:t>2、信贷经理：刘勇 1883799580</w:t>
      </w:r>
    </w:p>
    <w:p>
      <w:pPr>
        <w:spacing w:line="360" w:lineRule="auto"/>
        <w:rPr>
          <w:rFonts w:ascii="宋体" w:hAnsi="宋体" w:eastAsia="宋体" w:cs="宋体"/>
          <w:highlight w:val="none"/>
        </w:rPr>
      </w:pPr>
    </w:p>
    <w:p>
      <w:pPr>
        <w:pStyle w:val="33"/>
        <w:spacing w:line="360" w:lineRule="auto"/>
        <w:rPr>
          <w:rFonts w:ascii="宋体" w:hAnsi="宋体" w:cs="宋体"/>
          <w:sz w:val="24"/>
          <w:szCs w:val="24"/>
          <w:highlight w:val="none"/>
        </w:rPr>
      </w:pPr>
    </w:p>
    <w:p>
      <w:pPr>
        <w:pStyle w:val="34"/>
        <w:ind w:right="72" w:firstLine="480"/>
        <w:rPr>
          <w:rFonts w:ascii="宋体" w:hAnsi="宋体" w:cs="宋体"/>
          <w:sz w:val="24"/>
          <w:szCs w:val="24"/>
          <w:highlight w:val="none"/>
        </w:rPr>
      </w:pPr>
    </w:p>
    <w:p>
      <w:pPr>
        <w:pStyle w:val="31"/>
        <w:rPr>
          <w:rFonts w:ascii="宋体" w:hAnsi="宋体" w:cs="宋体"/>
          <w:highlight w:val="none"/>
        </w:rPr>
      </w:pPr>
    </w:p>
    <w:p>
      <w:pPr>
        <w:pStyle w:val="42"/>
        <w:spacing w:line="360" w:lineRule="auto"/>
        <w:rPr>
          <w:rFonts w:ascii="宋体" w:hAnsi="宋体" w:cs="宋体"/>
          <w:sz w:val="24"/>
          <w:szCs w:val="24"/>
          <w:highlight w:val="none"/>
        </w:rPr>
      </w:pPr>
    </w:p>
    <w:p>
      <w:pPr>
        <w:pStyle w:val="42"/>
        <w:spacing w:line="360" w:lineRule="auto"/>
        <w:rPr>
          <w:rFonts w:ascii="宋体" w:hAnsi="宋体" w:cs="宋体"/>
          <w:sz w:val="24"/>
          <w:szCs w:val="24"/>
          <w:highlight w:val="none"/>
        </w:rPr>
      </w:pPr>
    </w:p>
    <w:p>
      <w:pPr>
        <w:pStyle w:val="42"/>
        <w:spacing w:line="360" w:lineRule="auto"/>
        <w:rPr>
          <w:rFonts w:ascii="宋体" w:hAnsi="宋体" w:cs="宋体"/>
          <w:sz w:val="24"/>
          <w:szCs w:val="24"/>
          <w:highlight w:val="none"/>
        </w:rPr>
      </w:pPr>
    </w:p>
    <w:p>
      <w:pPr>
        <w:pStyle w:val="42"/>
        <w:spacing w:line="360" w:lineRule="auto"/>
        <w:rPr>
          <w:rFonts w:ascii="宋体" w:hAnsi="宋体" w:cs="宋体"/>
          <w:sz w:val="24"/>
          <w:szCs w:val="24"/>
          <w:highlight w:val="none"/>
        </w:rPr>
      </w:pPr>
    </w:p>
    <w:p>
      <w:pPr>
        <w:pStyle w:val="42"/>
        <w:spacing w:line="360" w:lineRule="auto"/>
        <w:rPr>
          <w:rFonts w:ascii="宋体" w:hAnsi="宋体" w:cs="宋体"/>
          <w:sz w:val="24"/>
          <w:szCs w:val="24"/>
          <w:highlight w:val="none"/>
        </w:rPr>
      </w:pPr>
    </w:p>
    <w:p>
      <w:pPr>
        <w:pStyle w:val="42"/>
        <w:spacing w:line="360" w:lineRule="auto"/>
        <w:rPr>
          <w:rFonts w:ascii="宋体" w:hAnsi="宋体" w:cs="宋体"/>
          <w:sz w:val="24"/>
          <w:szCs w:val="24"/>
          <w:highlight w:val="none"/>
        </w:rPr>
      </w:pPr>
    </w:p>
    <w:p>
      <w:pPr>
        <w:pStyle w:val="42"/>
        <w:spacing w:line="360" w:lineRule="auto"/>
        <w:rPr>
          <w:rFonts w:ascii="宋体" w:hAnsi="宋体" w:cs="宋体"/>
          <w:sz w:val="24"/>
          <w:szCs w:val="24"/>
          <w:highlight w:val="none"/>
        </w:rPr>
      </w:pPr>
    </w:p>
    <w:p>
      <w:pPr>
        <w:pStyle w:val="42"/>
        <w:spacing w:line="360" w:lineRule="auto"/>
        <w:rPr>
          <w:rFonts w:ascii="宋体" w:hAnsi="宋体" w:cs="宋体"/>
          <w:sz w:val="24"/>
          <w:szCs w:val="24"/>
          <w:highlight w:val="none"/>
        </w:rPr>
      </w:pPr>
    </w:p>
    <w:p>
      <w:pPr>
        <w:pStyle w:val="42"/>
        <w:spacing w:line="360" w:lineRule="auto"/>
        <w:rPr>
          <w:rFonts w:ascii="宋体" w:hAnsi="宋体" w:cs="宋体"/>
          <w:sz w:val="24"/>
          <w:szCs w:val="24"/>
          <w:highlight w:val="none"/>
        </w:rPr>
      </w:pPr>
    </w:p>
    <w:p>
      <w:pPr>
        <w:pStyle w:val="42"/>
        <w:spacing w:line="360" w:lineRule="auto"/>
        <w:rPr>
          <w:rFonts w:ascii="宋体" w:hAnsi="宋体" w:cs="宋体"/>
          <w:sz w:val="24"/>
          <w:szCs w:val="24"/>
          <w:highlight w:val="none"/>
        </w:rPr>
      </w:pPr>
    </w:p>
    <w:p>
      <w:pPr>
        <w:pStyle w:val="42"/>
        <w:spacing w:line="360" w:lineRule="auto"/>
        <w:rPr>
          <w:rFonts w:ascii="宋体" w:hAnsi="宋体" w:cs="宋体"/>
          <w:sz w:val="24"/>
          <w:szCs w:val="24"/>
          <w:highlight w:val="none"/>
        </w:rPr>
      </w:pPr>
    </w:p>
    <w:p>
      <w:pPr>
        <w:pStyle w:val="42"/>
        <w:spacing w:line="360" w:lineRule="auto"/>
        <w:rPr>
          <w:rFonts w:ascii="宋体" w:hAnsi="宋体" w:cs="宋体"/>
          <w:sz w:val="24"/>
          <w:szCs w:val="24"/>
          <w:highlight w:val="none"/>
        </w:rPr>
      </w:pPr>
    </w:p>
    <w:p>
      <w:pPr>
        <w:pStyle w:val="42"/>
        <w:spacing w:line="360" w:lineRule="auto"/>
        <w:rPr>
          <w:rFonts w:ascii="宋体" w:hAnsi="宋体" w:cs="宋体"/>
          <w:sz w:val="24"/>
          <w:szCs w:val="24"/>
          <w:highlight w:val="none"/>
        </w:rPr>
      </w:pPr>
    </w:p>
    <w:p>
      <w:pPr>
        <w:pStyle w:val="42"/>
        <w:spacing w:line="360" w:lineRule="auto"/>
        <w:rPr>
          <w:rFonts w:ascii="宋体" w:hAnsi="宋体" w:cs="宋体"/>
          <w:sz w:val="24"/>
          <w:szCs w:val="24"/>
          <w:highlight w:val="none"/>
        </w:rPr>
      </w:pPr>
    </w:p>
    <w:p>
      <w:pPr>
        <w:pStyle w:val="42"/>
        <w:spacing w:line="360" w:lineRule="auto"/>
        <w:rPr>
          <w:rFonts w:ascii="宋体" w:hAnsi="宋体" w:cs="宋体"/>
          <w:sz w:val="24"/>
          <w:szCs w:val="24"/>
          <w:highlight w:val="none"/>
        </w:rPr>
      </w:pPr>
    </w:p>
    <w:p>
      <w:pPr>
        <w:pStyle w:val="42"/>
        <w:spacing w:line="360" w:lineRule="auto"/>
        <w:rPr>
          <w:rFonts w:ascii="宋体" w:hAnsi="宋体" w:cs="宋体"/>
          <w:sz w:val="24"/>
          <w:szCs w:val="24"/>
          <w:highlight w:val="none"/>
        </w:rPr>
      </w:pPr>
    </w:p>
    <w:p>
      <w:pPr>
        <w:pStyle w:val="42"/>
        <w:spacing w:line="360" w:lineRule="auto"/>
        <w:rPr>
          <w:rFonts w:ascii="宋体" w:hAnsi="宋体" w:cs="宋体"/>
          <w:sz w:val="24"/>
          <w:szCs w:val="24"/>
          <w:highlight w:val="none"/>
        </w:rPr>
      </w:pPr>
    </w:p>
    <w:p>
      <w:pPr>
        <w:pStyle w:val="42"/>
        <w:spacing w:line="360" w:lineRule="auto"/>
        <w:rPr>
          <w:rFonts w:ascii="宋体" w:hAnsi="宋体" w:cs="宋体"/>
          <w:sz w:val="24"/>
          <w:szCs w:val="24"/>
          <w:highlight w:val="none"/>
        </w:rPr>
      </w:pPr>
    </w:p>
    <w:p>
      <w:pPr>
        <w:pStyle w:val="42"/>
        <w:spacing w:line="360" w:lineRule="auto"/>
        <w:rPr>
          <w:rFonts w:ascii="宋体" w:hAnsi="宋体" w:cs="宋体"/>
          <w:sz w:val="24"/>
          <w:szCs w:val="24"/>
          <w:highlight w:val="none"/>
        </w:rPr>
      </w:pPr>
    </w:p>
    <w:p>
      <w:pPr>
        <w:pStyle w:val="42"/>
        <w:spacing w:line="360" w:lineRule="auto"/>
        <w:rPr>
          <w:rFonts w:ascii="宋体" w:hAnsi="宋体" w:cs="宋体"/>
          <w:sz w:val="24"/>
          <w:szCs w:val="24"/>
          <w:highlight w:val="none"/>
        </w:rPr>
      </w:pPr>
    </w:p>
    <w:p>
      <w:pPr>
        <w:pStyle w:val="42"/>
        <w:spacing w:line="360" w:lineRule="auto"/>
        <w:rPr>
          <w:rFonts w:ascii="宋体" w:hAnsi="宋体" w:cs="宋体"/>
          <w:sz w:val="24"/>
          <w:szCs w:val="24"/>
          <w:highlight w:val="none"/>
        </w:rPr>
      </w:pPr>
    </w:p>
    <w:p>
      <w:pPr>
        <w:pStyle w:val="42"/>
        <w:spacing w:line="360" w:lineRule="auto"/>
        <w:rPr>
          <w:rFonts w:ascii="宋体" w:hAnsi="宋体" w:cs="宋体"/>
          <w:sz w:val="24"/>
          <w:szCs w:val="24"/>
          <w:highlight w:val="none"/>
        </w:rPr>
      </w:pPr>
    </w:p>
    <w:p>
      <w:pPr>
        <w:pStyle w:val="42"/>
        <w:spacing w:line="360" w:lineRule="auto"/>
        <w:rPr>
          <w:rFonts w:ascii="宋体" w:hAnsi="宋体" w:cs="宋体"/>
          <w:sz w:val="24"/>
          <w:szCs w:val="24"/>
          <w:highlight w:val="none"/>
        </w:rPr>
      </w:pPr>
    </w:p>
    <w:p>
      <w:pPr>
        <w:pStyle w:val="42"/>
        <w:spacing w:line="360" w:lineRule="auto"/>
        <w:rPr>
          <w:rFonts w:ascii="宋体" w:hAnsi="宋体" w:cs="宋体"/>
          <w:sz w:val="24"/>
          <w:szCs w:val="24"/>
          <w:highlight w:val="none"/>
        </w:rPr>
      </w:pPr>
    </w:p>
    <w:p>
      <w:pPr>
        <w:pStyle w:val="42"/>
        <w:spacing w:line="360" w:lineRule="auto"/>
        <w:rPr>
          <w:rFonts w:ascii="宋体" w:hAnsi="宋体" w:cs="宋体"/>
          <w:sz w:val="24"/>
          <w:szCs w:val="24"/>
          <w:highlight w:val="none"/>
        </w:rPr>
      </w:pPr>
    </w:p>
    <w:p>
      <w:pPr>
        <w:pStyle w:val="42"/>
        <w:spacing w:line="360" w:lineRule="auto"/>
        <w:rPr>
          <w:rFonts w:ascii="宋体" w:hAnsi="宋体" w:cs="宋体"/>
          <w:sz w:val="24"/>
          <w:szCs w:val="24"/>
          <w:highlight w:val="none"/>
        </w:rPr>
      </w:pPr>
    </w:p>
    <w:p>
      <w:pPr>
        <w:pStyle w:val="42"/>
        <w:spacing w:line="360" w:lineRule="auto"/>
        <w:rPr>
          <w:rFonts w:ascii="宋体" w:hAnsi="宋体" w:cs="宋体"/>
          <w:sz w:val="24"/>
          <w:szCs w:val="24"/>
          <w:highlight w:val="none"/>
        </w:rPr>
      </w:pPr>
    </w:p>
    <w:p>
      <w:pPr>
        <w:pStyle w:val="43"/>
        <w:spacing w:before="0" w:after="0"/>
        <w:ind w:firstLine="562"/>
        <w:rPr>
          <w:rFonts w:ascii="宋体" w:hAnsi="宋体" w:cs="宋体"/>
          <w:sz w:val="28"/>
          <w:szCs w:val="28"/>
          <w:highlight w:val="none"/>
        </w:rPr>
      </w:pPr>
      <w:bookmarkStart w:id="136" w:name="_Toc1660836"/>
      <w:bookmarkStart w:id="137" w:name="_Toc256000019"/>
      <w:bookmarkStart w:id="138" w:name="_Toc9104"/>
      <w:r>
        <w:rPr>
          <w:rFonts w:hint="eastAsia" w:ascii="宋体" w:hAnsi="宋体" w:cs="宋体"/>
          <w:sz w:val="28"/>
          <w:szCs w:val="28"/>
          <w:highlight w:val="none"/>
        </w:rPr>
        <w:t>第三章  采购需求</w:t>
      </w:r>
      <w:bookmarkEnd w:id="134"/>
      <w:bookmarkEnd w:id="136"/>
      <w:bookmarkEnd w:id="137"/>
      <w:bookmarkEnd w:id="138"/>
    </w:p>
    <w:p>
      <w:pPr>
        <w:pStyle w:val="46"/>
        <w:spacing w:before="0" w:after="0" w:line="360" w:lineRule="auto"/>
        <w:outlineLvl w:val="9"/>
        <w:rPr>
          <w:rFonts w:ascii="宋体" w:hAnsi="宋体" w:cs="宋体"/>
          <w:sz w:val="24"/>
          <w:szCs w:val="24"/>
          <w:highlight w:val="none"/>
        </w:rPr>
      </w:pPr>
      <w:bookmarkStart w:id="139" w:name="_Toc256000020"/>
      <w:bookmarkStart w:id="140" w:name="_Toc31116"/>
      <w:bookmarkStart w:id="141" w:name="_Toc1660837"/>
      <w:r>
        <w:rPr>
          <w:rFonts w:hint="eastAsia" w:ascii="宋体" w:hAnsi="宋体" w:cs="宋体"/>
          <w:sz w:val="24"/>
          <w:szCs w:val="24"/>
          <w:highlight w:val="none"/>
        </w:rPr>
        <w:t>一、项目概况</w:t>
      </w:r>
      <w:bookmarkEnd w:id="139"/>
      <w:bookmarkEnd w:id="140"/>
      <w:bookmarkEnd w:id="141"/>
    </w:p>
    <w:p>
      <w:pPr>
        <w:pStyle w:val="44"/>
        <w:spacing w:before="0" w:beforeAutospacing="0" w:after="0" w:afterAutospacing="0" w:line="360" w:lineRule="auto"/>
        <w:ind w:firstLine="480"/>
        <w:jc w:val="both"/>
        <w:rPr>
          <w:rFonts w:cs="宋体"/>
          <w:sz w:val="24"/>
          <w:szCs w:val="24"/>
          <w:highlight w:val="none"/>
        </w:rPr>
      </w:pPr>
      <w:bookmarkStart w:id="142" w:name="_Toc1660838"/>
      <w:bookmarkStart w:id="143" w:name="_Toc5980"/>
      <w:bookmarkStart w:id="144" w:name="_Toc256000021"/>
      <w:bookmarkStart w:id="145" w:name="_Toc238530903"/>
      <w:r>
        <w:rPr>
          <w:rFonts w:hint="eastAsia" w:cs="宋体"/>
          <w:sz w:val="24"/>
          <w:szCs w:val="24"/>
          <w:highlight w:val="none"/>
        </w:rPr>
        <w:t>1、项目名称：河南科技大学第二附属医院介入手术医疗设备采购项目（第一批）</w:t>
      </w:r>
    </w:p>
    <w:p>
      <w:pPr>
        <w:pStyle w:val="44"/>
        <w:spacing w:before="0" w:beforeAutospacing="0" w:after="0" w:afterAutospacing="0" w:line="360" w:lineRule="auto"/>
        <w:ind w:firstLine="480"/>
        <w:jc w:val="both"/>
        <w:rPr>
          <w:rFonts w:cs="宋体"/>
          <w:sz w:val="24"/>
          <w:szCs w:val="24"/>
          <w:highlight w:val="none"/>
        </w:rPr>
      </w:pPr>
      <w:r>
        <w:rPr>
          <w:rFonts w:hint="eastAsia" w:cs="宋体"/>
          <w:sz w:val="24"/>
          <w:szCs w:val="24"/>
          <w:highlight w:val="none"/>
        </w:rPr>
        <w:t>2、采购方式：公开招标</w:t>
      </w:r>
    </w:p>
    <w:p>
      <w:pPr>
        <w:pStyle w:val="44"/>
        <w:spacing w:before="0" w:beforeAutospacing="0" w:after="0" w:afterAutospacing="0" w:line="360" w:lineRule="auto"/>
        <w:ind w:firstLine="480"/>
        <w:jc w:val="both"/>
        <w:rPr>
          <w:rFonts w:cs="宋体"/>
          <w:sz w:val="24"/>
          <w:szCs w:val="24"/>
          <w:highlight w:val="none"/>
        </w:rPr>
      </w:pPr>
      <w:r>
        <w:rPr>
          <w:rFonts w:hint="eastAsia" w:cs="宋体"/>
          <w:sz w:val="24"/>
          <w:szCs w:val="24"/>
          <w:highlight w:val="none"/>
        </w:rPr>
        <w:t>3、预算金额：预算金额：1000000.00元，最高限价：1000000.00元</w:t>
      </w:r>
    </w:p>
    <w:p>
      <w:pPr>
        <w:pStyle w:val="44"/>
        <w:spacing w:before="0" w:beforeAutospacing="0" w:after="0" w:afterAutospacing="0" w:line="360" w:lineRule="auto"/>
        <w:ind w:firstLine="480"/>
        <w:jc w:val="both"/>
        <w:rPr>
          <w:rFonts w:cs="宋体"/>
          <w:sz w:val="24"/>
          <w:szCs w:val="24"/>
          <w:highlight w:val="none"/>
        </w:rPr>
      </w:pPr>
      <w:r>
        <w:rPr>
          <w:rFonts w:hint="eastAsia" w:cs="宋体"/>
          <w:sz w:val="24"/>
          <w:szCs w:val="24"/>
          <w:highlight w:val="none"/>
        </w:rPr>
        <w:t>4、采购需求：</w:t>
      </w:r>
    </w:p>
    <w:p>
      <w:pPr>
        <w:pStyle w:val="44"/>
        <w:spacing w:before="0" w:beforeAutospacing="0" w:after="0" w:afterAutospacing="0" w:line="360" w:lineRule="auto"/>
        <w:ind w:firstLine="480"/>
        <w:jc w:val="both"/>
        <w:rPr>
          <w:rFonts w:cs="宋体"/>
          <w:sz w:val="24"/>
          <w:szCs w:val="24"/>
          <w:highlight w:val="none"/>
        </w:rPr>
      </w:pPr>
      <w:r>
        <w:rPr>
          <w:rFonts w:hint="eastAsia" w:cs="宋体"/>
          <w:sz w:val="24"/>
          <w:szCs w:val="24"/>
          <w:highlight w:val="none"/>
        </w:rPr>
        <w:t>（1）采购标的的名称、数量、简要技术需求：本次拟采购血管内超声(IVUS)设备1台（具体参数及内容详见招标文件）；</w:t>
      </w:r>
    </w:p>
    <w:p>
      <w:pPr>
        <w:pStyle w:val="44"/>
        <w:spacing w:before="0" w:beforeAutospacing="0" w:after="0" w:afterAutospacing="0" w:line="360" w:lineRule="auto"/>
        <w:ind w:firstLine="480"/>
        <w:jc w:val="both"/>
        <w:rPr>
          <w:rFonts w:cs="宋体"/>
          <w:sz w:val="24"/>
          <w:szCs w:val="24"/>
          <w:highlight w:val="none"/>
        </w:rPr>
      </w:pPr>
      <w:r>
        <w:rPr>
          <w:rFonts w:hint="eastAsia" w:cs="宋体"/>
          <w:sz w:val="24"/>
          <w:szCs w:val="24"/>
          <w:highlight w:val="none"/>
        </w:rPr>
        <w:t>（2）采购范围：包含设备的供货、运输、保险、装卸、安装、检测、调试、试运行、验收交付、培训、技术支持、软件升级、售后保修及相关伴随服务等；</w:t>
      </w:r>
    </w:p>
    <w:p>
      <w:pPr>
        <w:pStyle w:val="44"/>
        <w:spacing w:before="0" w:beforeAutospacing="0" w:after="0" w:afterAutospacing="0" w:line="360" w:lineRule="auto"/>
        <w:ind w:firstLine="480"/>
        <w:jc w:val="both"/>
        <w:rPr>
          <w:rFonts w:cs="宋体"/>
          <w:sz w:val="24"/>
          <w:szCs w:val="24"/>
          <w:highlight w:val="none"/>
        </w:rPr>
      </w:pPr>
      <w:r>
        <w:rPr>
          <w:rFonts w:hint="eastAsia" w:cs="宋体"/>
          <w:sz w:val="24"/>
          <w:szCs w:val="24"/>
          <w:highlight w:val="none"/>
        </w:rPr>
        <w:t>（3）交货期：自合同签订之日起45日内完成供货、安装、调试完毕至正常使用；</w:t>
      </w:r>
    </w:p>
    <w:p>
      <w:pPr>
        <w:pStyle w:val="44"/>
        <w:spacing w:before="0" w:beforeAutospacing="0" w:after="0" w:afterAutospacing="0" w:line="360" w:lineRule="auto"/>
        <w:ind w:firstLine="480"/>
        <w:jc w:val="both"/>
        <w:rPr>
          <w:rFonts w:cs="宋体"/>
          <w:sz w:val="24"/>
          <w:szCs w:val="24"/>
          <w:highlight w:val="none"/>
        </w:rPr>
      </w:pPr>
      <w:r>
        <w:rPr>
          <w:rFonts w:hint="eastAsia" w:cs="宋体"/>
          <w:sz w:val="24"/>
          <w:szCs w:val="24"/>
          <w:highlight w:val="none"/>
        </w:rPr>
        <w:t>（4）交货地点：采购人指定地点；</w:t>
      </w:r>
    </w:p>
    <w:p>
      <w:pPr>
        <w:pStyle w:val="44"/>
        <w:spacing w:before="0" w:beforeAutospacing="0" w:after="0" w:afterAutospacing="0" w:line="360" w:lineRule="auto"/>
        <w:ind w:firstLine="480"/>
        <w:jc w:val="both"/>
        <w:rPr>
          <w:rFonts w:cs="宋体"/>
          <w:sz w:val="24"/>
          <w:szCs w:val="24"/>
          <w:highlight w:val="none"/>
        </w:rPr>
      </w:pPr>
      <w:r>
        <w:rPr>
          <w:rFonts w:hint="eastAsia" w:cs="宋体"/>
          <w:sz w:val="24"/>
          <w:szCs w:val="24"/>
          <w:highlight w:val="none"/>
        </w:rPr>
        <w:t>（5）质量要求：符合国家相关合格标准；</w:t>
      </w:r>
    </w:p>
    <w:p>
      <w:pPr>
        <w:pStyle w:val="44"/>
        <w:spacing w:before="0" w:beforeAutospacing="0" w:after="0" w:afterAutospacing="0" w:line="360" w:lineRule="auto"/>
        <w:ind w:firstLine="480"/>
        <w:jc w:val="both"/>
        <w:rPr>
          <w:rFonts w:cs="宋体"/>
          <w:sz w:val="24"/>
          <w:szCs w:val="24"/>
          <w:highlight w:val="none"/>
        </w:rPr>
      </w:pPr>
      <w:r>
        <w:rPr>
          <w:rFonts w:hint="eastAsia" w:cs="宋体"/>
          <w:sz w:val="24"/>
          <w:szCs w:val="24"/>
          <w:highlight w:val="none"/>
        </w:rPr>
        <w:t>（6）验收标准：满足国家、行业及采购人验收标准；</w:t>
      </w:r>
    </w:p>
    <w:p>
      <w:pPr>
        <w:pStyle w:val="44"/>
        <w:spacing w:before="0" w:beforeAutospacing="0" w:after="0" w:afterAutospacing="0" w:line="360" w:lineRule="auto"/>
        <w:ind w:firstLine="480"/>
        <w:jc w:val="both"/>
        <w:rPr>
          <w:rFonts w:cs="宋体"/>
          <w:sz w:val="24"/>
          <w:szCs w:val="24"/>
          <w:highlight w:val="none"/>
        </w:rPr>
      </w:pPr>
      <w:r>
        <w:rPr>
          <w:rFonts w:hint="eastAsia" w:cs="宋体"/>
          <w:sz w:val="24"/>
          <w:szCs w:val="24"/>
          <w:highlight w:val="none"/>
        </w:rPr>
        <w:t>（7）本项目共划分为 1 个包。</w:t>
      </w:r>
    </w:p>
    <w:p>
      <w:pPr>
        <w:pStyle w:val="44"/>
        <w:spacing w:before="0" w:beforeAutospacing="0" w:after="0" w:afterAutospacing="0" w:line="360" w:lineRule="auto"/>
        <w:ind w:firstLine="480"/>
        <w:jc w:val="both"/>
        <w:rPr>
          <w:rFonts w:cs="宋体"/>
          <w:sz w:val="24"/>
          <w:szCs w:val="24"/>
          <w:highlight w:val="none"/>
        </w:rPr>
      </w:pPr>
      <w:r>
        <w:rPr>
          <w:rFonts w:hint="eastAsia" w:cs="宋体"/>
          <w:sz w:val="24"/>
          <w:szCs w:val="24"/>
          <w:highlight w:val="none"/>
        </w:rPr>
        <w:t>5、合同履行期限：合同签订之日至质保期结束。</w:t>
      </w:r>
    </w:p>
    <w:p>
      <w:pPr>
        <w:pStyle w:val="46"/>
        <w:spacing w:before="0" w:after="0" w:line="360" w:lineRule="auto"/>
        <w:outlineLvl w:val="9"/>
        <w:rPr>
          <w:rFonts w:ascii="宋体" w:hAnsi="宋体" w:cs="宋体"/>
          <w:sz w:val="24"/>
          <w:szCs w:val="24"/>
          <w:highlight w:val="none"/>
        </w:rPr>
      </w:pPr>
      <w:r>
        <w:rPr>
          <w:rFonts w:hint="eastAsia" w:ascii="宋体" w:hAnsi="宋体" w:cs="宋体"/>
          <w:sz w:val="24"/>
          <w:szCs w:val="24"/>
          <w:highlight w:val="none"/>
        </w:rPr>
        <w:t>二、</w:t>
      </w:r>
      <w:bookmarkEnd w:id="142"/>
      <w:r>
        <w:rPr>
          <w:rFonts w:hint="eastAsia" w:ascii="宋体" w:hAnsi="宋体" w:cs="宋体"/>
          <w:sz w:val="24"/>
          <w:szCs w:val="24"/>
          <w:highlight w:val="none"/>
        </w:rPr>
        <w:t>招标货物清单及技术要求</w:t>
      </w:r>
      <w:bookmarkEnd w:id="143"/>
      <w:bookmarkEnd w:id="144"/>
    </w:p>
    <w:bookmarkEnd w:id="145"/>
    <w:p>
      <w:pPr>
        <w:pStyle w:val="16"/>
        <w:pageBreakBefore w:val="0"/>
        <w:widowControl w:val="0"/>
        <w:kinsoku/>
        <w:wordWrap/>
        <w:overflowPunct/>
        <w:topLinePunct w:val="0"/>
        <w:autoSpaceDE/>
        <w:autoSpaceDN/>
        <w:bidi w:val="0"/>
        <w:spacing w:before="0" w:after="0" w:line="360" w:lineRule="auto"/>
        <w:ind w:left="0"/>
        <w:textAlignment w:val="auto"/>
        <w:rPr>
          <w:rFonts w:hint="eastAsia" w:ascii="宋体" w:hAnsi="宋体" w:eastAsia="宋体" w:cs="宋体"/>
          <w:sz w:val="24"/>
          <w:szCs w:val="24"/>
          <w:highlight w:val="none"/>
        </w:rPr>
      </w:pPr>
      <w:bookmarkStart w:id="146" w:name="_Toc20384570"/>
      <w:bookmarkStart w:id="147" w:name="_Toc256000051"/>
      <w:bookmarkStart w:id="148" w:name="_Toc1660839"/>
      <w:bookmarkStart w:id="149" w:name="_Toc16918"/>
      <w:r>
        <w:rPr>
          <w:rFonts w:hint="eastAsia" w:ascii="宋体" w:hAnsi="宋体" w:eastAsia="宋体" w:cs="宋体"/>
          <w:sz w:val="24"/>
          <w:szCs w:val="24"/>
          <w:highlight w:val="none"/>
        </w:rPr>
        <w:t>血管内超声系统参数</w:t>
      </w:r>
    </w:p>
    <w:bookmarkEnd w:id="146"/>
    <w:tbl>
      <w:tblPr>
        <w:tblStyle w:val="19"/>
        <w:tblW w:w="92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5"/>
        <w:gridCol w:w="83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238" w:type="dxa"/>
            <w:gridSpan w:val="2"/>
            <w:vAlign w:val="center"/>
          </w:tcPr>
          <w:p>
            <w:pPr>
              <w:pageBreakBefore w:val="0"/>
              <w:widowControl w:val="0"/>
              <w:kinsoku/>
              <w:wordWrap/>
              <w:overflowPunct/>
              <w:topLinePunct w:val="0"/>
              <w:autoSpaceDE/>
              <w:autoSpaceDN/>
              <w:bidi w:val="0"/>
              <w:spacing w:line="360" w:lineRule="auto"/>
              <w:ind w:left="0"/>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一、设备参数（硬件）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75" w:type="dxa"/>
            <w:vAlign w:val="center"/>
          </w:tcPr>
          <w:p>
            <w:pPr>
              <w:pageBreakBefore w:val="0"/>
              <w:widowControl w:val="0"/>
              <w:kinsoku/>
              <w:wordWrap/>
              <w:overflowPunct/>
              <w:topLinePunct w:val="0"/>
              <w:autoSpaceDE/>
              <w:autoSpaceDN/>
              <w:bidi w:val="0"/>
              <w:spacing w:line="360" w:lineRule="auto"/>
              <w:ind w:left="0"/>
              <w:jc w:val="center"/>
              <w:textAlignment w:val="auto"/>
              <w:rPr>
                <w:rFonts w:hint="eastAsia" w:ascii="宋体" w:hAnsi="宋体" w:eastAsia="宋体" w:cs="宋体"/>
                <w:bCs/>
                <w:sz w:val="24"/>
                <w:szCs w:val="24"/>
                <w:highlight w:val="none"/>
              </w:rPr>
            </w:pPr>
            <w:r>
              <w:rPr>
                <w:rFonts w:hint="eastAsia" w:ascii="宋体" w:hAnsi="宋体" w:eastAsia="宋体" w:cs="宋体"/>
                <w:b w:val="0"/>
                <w:bCs w:val="0"/>
                <w:sz w:val="28"/>
                <w:szCs w:val="28"/>
                <w:highlight w:val="none"/>
                <w:lang w:val="en-US" w:eastAsia="zh-CN"/>
              </w:rPr>
              <w:t>▲</w:t>
            </w:r>
            <w:r>
              <w:rPr>
                <w:rFonts w:hint="eastAsia" w:ascii="宋体" w:hAnsi="宋体" w:eastAsia="宋体" w:cs="宋体"/>
                <w:bCs/>
                <w:sz w:val="24"/>
                <w:szCs w:val="24"/>
                <w:highlight w:val="none"/>
              </w:rPr>
              <w:t>1.1</w:t>
            </w:r>
          </w:p>
        </w:tc>
        <w:tc>
          <w:tcPr>
            <w:tcW w:w="8363" w:type="dxa"/>
            <w:vAlign w:val="center"/>
          </w:tcPr>
          <w:p>
            <w:pPr>
              <w:pageBreakBefore w:val="0"/>
              <w:widowControl w:val="0"/>
              <w:kinsoku/>
              <w:wordWrap/>
              <w:overflowPunct/>
              <w:topLinePunct w:val="0"/>
              <w:autoSpaceDE/>
              <w:autoSpaceDN/>
              <w:bidi w:val="0"/>
              <w:spacing w:line="360" w:lineRule="auto"/>
              <w:ind w:left="0"/>
              <w:jc w:val="left"/>
              <w:textAlignment w:val="auto"/>
              <w:rPr>
                <w:rFonts w:hint="default" w:ascii="宋体" w:hAnsi="宋体" w:eastAsia="宋体" w:cs="宋体"/>
                <w:bCs/>
                <w:sz w:val="24"/>
                <w:szCs w:val="24"/>
                <w:highlight w:val="none"/>
                <w:lang w:val="en-US" w:eastAsia="zh-CN"/>
              </w:rPr>
            </w:pPr>
            <w:r>
              <w:rPr>
                <w:rFonts w:hint="eastAsia" w:ascii="宋体" w:hAnsi="宋体" w:eastAsia="宋体" w:cs="宋体"/>
                <w:bCs/>
                <w:sz w:val="24"/>
                <w:szCs w:val="24"/>
                <w:highlight w:val="none"/>
              </w:rPr>
              <w:t>多功能介入超声诊断平台</w:t>
            </w:r>
            <w:r>
              <w:rPr>
                <w:rFonts w:hint="eastAsia" w:ascii="宋体" w:hAnsi="宋体" w:eastAsia="宋体" w:cs="宋体"/>
                <w:bCs/>
                <w:color w:val="auto"/>
                <w:sz w:val="24"/>
                <w:szCs w:val="24"/>
                <w:highlight w:val="none"/>
              </w:rPr>
              <w:t>，≥</w:t>
            </w:r>
            <w:r>
              <w:rPr>
                <w:rFonts w:hint="eastAsia" w:ascii="宋体" w:hAnsi="宋体" w:cs="宋体"/>
                <w:bCs/>
                <w:color w:val="auto"/>
                <w:sz w:val="24"/>
                <w:szCs w:val="24"/>
                <w:highlight w:val="none"/>
                <w:lang w:val="en-US" w:eastAsia="zh-CN"/>
              </w:rPr>
              <w:t>55</w:t>
            </w:r>
            <w:r>
              <w:rPr>
                <w:rFonts w:hint="eastAsia" w:ascii="宋体" w:hAnsi="宋体" w:eastAsia="宋体" w:cs="宋体"/>
                <w:bCs/>
                <w:color w:val="auto"/>
                <w:sz w:val="24"/>
                <w:szCs w:val="24"/>
                <w:highlight w:val="none"/>
              </w:rPr>
              <w:t>MHz机械旋转式超声</w:t>
            </w:r>
            <w:r>
              <w:rPr>
                <w:rFonts w:hint="eastAsia" w:ascii="宋体" w:hAnsi="宋体" w:eastAsia="宋体" w:cs="宋体"/>
                <w:bCs/>
                <w:sz w:val="24"/>
                <w:szCs w:val="24"/>
                <w:highlight w:val="none"/>
              </w:rPr>
              <w:t>导管技术</w:t>
            </w:r>
            <w:r>
              <w:rPr>
                <w:rFonts w:hint="eastAsia" w:ascii="宋体" w:hAnsi="宋体" w:cs="宋体"/>
                <w:bCs/>
                <w:sz w:val="24"/>
                <w:szCs w:val="24"/>
                <w:highlight w:val="non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75" w:type="dxa"/>
            <w:vAlign w:val="center"/>
          </w:tcPr>
          <w:p>
            <w:pPr>
              <w:pageBreakBefore w:val="0"/>
              <w:widowControl w:val="0"/>
              <w:kinsoku/>
              <w:wordWrap/>
              <w:overflowPunct/>
              <w:topLinePunct w:val="0"/>
              <w:autoSpaceDE/>
              <w:autoSpaceDN/>
              <w:bidi w:val="0"/>
              <w:spacing w:line="360" w:lineRule="auto"/>
              <w:ind w:left="0"/>
              <w:jc w:val="center"/>
              <w:textAlignment w:val="auto"/>
              <w:rPr>
                <w:rFonts w:hint="eastAsia" w:ascii="宋体" w:hAnsi="宋体" w:eastAsia="宋体" w:cs="宋体"/>
                <w:bCs/>
                <w:sz w:val="24"/>
                <w:szCs w:val="24"/>
                <w:highlight w:val="none"/>
              </w:rPr>
            </w:pPr>
            <w:r>
              <w:rPr>
                <w:rFonts w:hint="eastAsia" w:ascii="宋体" w:hAnsi="宋体" w:eastAsia="宋体" w:cs="宋体"/>
                <w:b w:val="0"/>
                <w:bCs w:val="0"/>
                <w:sz w:val="28"/>
                <w:szCs w:val="28"/>
                <w:highlight w:val="none"/>
                <w:lang w:val="en-US" w:eastAsia="zh-CN"/>
              </w:rPr>
              <w:t>▲</w:t>
            </w:r>
            <w:r>
              <w:rPr>
                <w:rFonts w:hint="eastAsia" w:ascii="宋体" w:hAnsi="宋体" w:eastAsia="宋体" w:cs="宋体"/>
                <w:bCs/>
                <w:sz w:val="24"/>
                <w:szCs w:val="24"/>
                <w:highlight w:val="none"/>
              </w:rPr>
              <w:t>1.2</w:t>
            </w:r>
          </w:p>
        </w:tc>
        <w:tc>
          <w:tcPr>
            <w:tcW w:w="8363" w:type="dxa"/>
            <w:vAlign w:val="center"/>
          </w:tcPr>
          <w:p>
            <w:pPr>
              <w:pageBreakBefore w:val="0"/>
              <w:widowControl w:val="0"/>
              <w:kinsoku/>
              <w:wordWrap/>
              <w:overflowPunct/>
              <w:topLinePunct w:val="0"/>
              <w:autoSpaceDE/>
              <w:autoSpaceDN/>
              <w:bidi w:val="0"/>
              <w:spacing w:line="360" w:lineRule="auto"/>
              <w:ind w:left="0"/>
              <w:jc w:val="left"/>
              <w:textAlignment w:val="auto"/>
              <w:rPr>
                <w:rFonts w:hint="default" w:ascii="宋体" w:hAnsi="宋体" w:eastAsia="宋体" w:cs="宋体"/>
                <w:bCs/>
                <w:sz w:val="24"/>
                <w:szCs w:val="24"/>
                <w:highlight w:val="none"/>
                <w:lang w:val="en-US" w:eastAsia="zh-CN"/>
              </w:rPr>
            </w:pPr>
            <w:r>
              <w:rPr>
                <w:rFonts w:hint="eastAsia" w:ascii="宋体" w:hAnsi="宋体" w:cs="宋体"/>
                <w:bCs/>
                <w:color w:val="auto"/>
                <w:sz w:val="24"/>
                <w:szCs w:val="24"/>
                <w:highlight w:val="none"/>
                <w:lang w:eastAsia="zh-CN"/>
              </w:rPr>
              <w:t>可开展冠脉血管内影像诊断，且需</w:t>
            </w:r>
            <w:r>
              <w:rPr>
                <w:rFonts w:hint="eastAsia" w:ascii="宋体" w:hAnsi="宋体" w:eastAsia="宋体" w:cs="宋体"/>
                <w:bCs/>
                <w:color w:val="auto"/>
                <w:sz w:val="24"/>
                <w:szCs w:val="24"/>
                <w:highlight w:val="none"/>
                <w:lang w:eastAsia="zh-CN"/>
              </w:rPr>
              <w:t>配置</w:t>
            </w:r>
            <w:r>
              <w:rPr>
                <w:rFonts w:hint="eastAsia" w:ascii="宋体" w:hAnsi="宋体" w:eastAsia="宋体" w:cs="宋体"/>
                <w:bCs/>
                <w:color w:val="auto"/>
                <w:sz w:val="24"/>
                <w:szCs w:val="24"/>
                <w:highlight w:val="none"/>
                <w:lang w:val="en-US" w:eastAsia="zh-CN"/>
              </w:rPr>
              <w:t>FFR</w:t>
            </w:r>
            <w:r>
              <w:rPr>
                <w:rFonts w:hint="eastAsia" w:ascii="宋体" w:hAnsi="宋体" w:cs="宋体"/>
                <w:bCs/>
                <w:color w:val="FF0000"/>
                <w:sz w:val="24"/>
                <w:szCs w:val="24"/>
                <w:highlight w:val="non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75" w:type="dxa"/>
            <w:vAlign w:val="center"/>
          </w:tcPr>
          <w:p>
            <w:pPr>
              <w:pageBreakBefore w:val="0"/>
              <w:widowControl w:val="0"/>
              <w:kinsoku/>
              <w:wordWrap/>
              <w:overflowPunct/>
              <w:topLinePunct w:val="0"/>
              <w:autoSpaceDE/>
              <w:autoSpaceDN/>
              <w:bidi w:val="0"/>
              <w:spacing w:line="360" w:lineRule="auto"/>
              <w:ind w:left="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1.3</w:t>
            </w:r>
          </w:p>
        </w:tc>
        <w:tc>
          <w:tcPr>
            <w:tcW w:w="8363" w:type="dxa"/>
            <w:vAlign w:val="center"/>
          </w:tcPr>
          <w:p>
            <w:pPr>
              <w:pageBreakBefore w:val="0"/>
              <w:widowControl w:val="0"/>
              <w:kinsoku/>
              <w:wordWrap/>
              <w:overflowPunct/>
              <w:topLinePunct w:val="0"/>
              <w:autoSpaceDE/>
              <w:autoSpaceDN/>
              <w:bidi w:val="0"/>
              <w:spacing w:line="360" w:lineRule="auto"/>
              <w:ind w:left="0"/>
              <w:jc w:val="left"/>
              <w:textAlignment w:val="auto"/>
              <w:rPr>
                <w:rFonts w:hint="eastAsia" w:ascii="宋体" w:hAnsi="宋体" w:eastAsia="宋体" w:cs="宋体"/>
                <w:bCs/>
                <w:sz w:val="24"/>
                <w:szCs w:val="24"/>
                <w:highlight w:val="none"/>
                <w:lang w:eastAsia="zh-CN"/>
              </w:rPr>
            </w:pPr>
            <w:r>
              <w:rPr>
                <w:rFonts w:hint="eastAsia" w:ascii="宋体" w:hAnsi="宋体" w:eastAsia="宋体" w:cs="宋体"/>
                <w:bCs/>
                <w:sz w:val="24"/>
                <w:szCs w:val="24"/>
                <w:highlight w:val="none"/>
              </w:rPr>
              <w:t>触摸屏</w:t>
            </w:r>
            <w:r>
              <w:rPr>
                <w:rFonts w:hint="eastAsia" w:ascii="宋体" w:hAnsi="宋体" w:eastAsia="宋体" w:cs="宋体"/>
                <w:bCs/>
                <w:color w:val="auto"/>
                <w:sz w:val="24"/>
                <w:szCs w:val="24"/>
                <w:highlight w:val="none"/>
              </w:rPr>
              <w:t>式</w:t>
            </w:r>
            <w:r>
              <w:rPr>
                <w:rFonts w:hint="eastAsia" w:ascii="宋体" w:hAnsi="宋体" w:cs="宋体"/>
                <w:bCs/>
                <w:color w:val="auto"/>
                <w:sz w:val="24"/>
                <w:szCs w:val="24"/>
                <w:highlight w:val="none"/>
                <w:lang w:eastAsia="zh-CN"/>
              </w:rPr>
              <w:t>或键盘式</w:t>
            </w:r>
            <w:r>
              <w:rPr>
                <w:rFonts w:hint="eastAsia" w:ascii="宋体" w:hAnsi="宋体" w:eastAsia="宋体" w:cs="宋体"/>
                <w:bCs/>
                <w:color w:val="auto"/>
                <w:sz w:val="24"/>
                <w:szCs w:val="24"/>
                <w:highlight w:val="none"/>
              </w:rPr>
              <w:t>控制面板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75" w:type="dxa"/>
            <w:vAlign w:val="center"/>
          </w:tcPr>
          <w:p>
            <w:pPr>
              <w:pageBreakBefore w:val="0"/>
              <w:widowControl w:val="0"/>
              <w:kinsoku/>
              <w:wordWrap/>
              <w:overflowPunct/>
              <w:topLinePunct w:val="0"/>
              <w:autoSpaceDE/>
              <w:autoSpaceDN/>
              <w:bidi w:val="0"/>
              <w:spacing w:line="360" w:lineRule="auto"/>
              <w:ind w:left="0"/>
              <w:jc w:val="center"/>
              <w:textAlignment w:val="auto"/>
              <w:rPr>
                <w:rFonts w:hint="eastAsia" w:ascii="宋体" w:hAnsi="宋体" w:eastAsia="宋体" w:cs="宋体"/>
                <w:bCs/>
                <w:sz w:val="24"/>
                <w:szCs w:val="24"/>
                <w:highlight w:val="none"/>
                <w:lang w:eastAsia="zh-CN"/>
              </w:rPr>
            </w:pPr>
            <w:r>
              <w:rPr>
                <w:rFonts w:hint="eastAsia" w:ascii="宋体" w:hAnsi="宋体" w:eastAsia="宋体" w:cs="宋体"/>
                <w:b w:val="0"/>
                <w:bCs w:val="0"/>
                <w:sz w:val="28"/>
                <w:szCs w:val="28"/>
                <w:highlight w:val="none"/>
                <w:lang w:val="en-US" w:eastAsia="zh-CN"/>
              </w:rPr>
              <w:t>▲</w:t>
            </w:r>
            <w:r>
              <w:rPr>
                <w:rFonts w:hint="eastAsia" w:ascii="宋体" w:hAnsi="宋体" w:eastAsia="宋体" w:cs="宋体"/>
                <w:bCs/>
                <w:sz w:val="24"/>
                <w:szCs w:val="24"/>
                <w:highlight w:val="none"/>
              </w:rPr>
              <w:t>1.</w:t>
            </w:r>
            <w:r>
              <w:rPr>
                <w:rFonts w:hint="eastAsia" w:ascii="宋体" w:hAnsi="宋体" w:eastAsia="宋体" w:cs="宋体"/>
                <w:bCs/>
                <w:sz w:val="24"/>
                <w:szCs w:val="24"/>
                <w:highlight w:val="none"/>
                <w:lang w:val="en-US" w:eastAsia="zh-CN"/>
              </w:rPr>
              <w:t>4</w:t>
            </w:r>
          </w:p>
        </w:tc>
        <w:tc>
          <w:tcPr>
            <w:tcW w:w="8363" w:type="dxa"/>
            <w:vAlign w:val="center"/>
          </w:tcPr>
          <w:p>
            <w:pPr>
              <w:pageBreakBefore w:val="0"/>
              <w:widowControl w:val="0"/>
              <w:kinsoku/>
              <w:wordWrap/>
              <w:overflowPunct/>
              <w:topLinePunct w:val="0"/>
              <w:autoSpaceDE/>
              <w:autoSpaceDN/>
              <w:bidi w:val="0"/>
              <w:spacing w:line="360" w:lineRule="auto"/>
              <w:ind w:left="0"/>
              <w:textAlignment w:val="auto"/>
              <w:rPr>
                <w:rFonts w:hint="default" w:ascii="宋体" w:hAnsi="宋体" w:eastAsia="宋体" w:cs="宋体"/>
                <w:bCs/>
                <w:sz w:val="24"/>
                <w:szCs w:val="24"/>
                <w:highlight w:val="none"/>
                <w:lang w:val="en-US" w:eastAsia="zh-CN"/>
              </w:rPr>
            </w:pPr>
            <w:r>
              <w:rPr>
                <w:rFonts w:hint="eastAsia" w:ascii="宋体" w:hAnsi="宋体" w:eastAsia="宋体" w:cs="宋体"/>
                <w:bCs/>
                <w:sz w:val="24"/>
                <w:szCs w:val="24"/>
                <w:highlight w:val="none"/>
              </w:rPr>
              <w:t>内置高速硬盘和移动硬盘</w:t>
            </w:r>
            <w:r>
              <w:rPr>
                <w:rFonts w:hint="eastAsia" w:ascii="宋体" w:hAnsi="宋体" w:eastAsia="宋体" w:cs="宋体"/>
                <w:bCs/>
                <w:sz w:val="24"/>
                <w:szCs w:val="24"/>
                <w:highlight w:val="none"/>
                <w:lang w:eastAsia="zh-CN"/>
              </w:rPr>
              <w:t>≥</w:t>
            </w:r>
            <w:r>
              <w:rPr>
                <w:rFonts w:hint="eastAsia" w:ascii="宋体" w:hAnsi="宋体" w:eastAsia="宋体" w:cs="宋体"/>
                <w:bCs/>
                <w:sz w:val="24"/>
                <w:szCs w:val="24"/>
                <w:highlight w:val="none"/>
                <w:lang w:val="en-US" w:eastAsia="zh-CN"/>
              </w:rPr>
              <w:t>1T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75" w:type="dxa"/>
            <w:vAlign w:val="center"/>
          </w:tcPr>
          <w:p>
            <w:pPr>
              <w:pageBreakBefore w:val="0"/>
              <w:widowControl w:val="0"/>
              <w:kinsoku/>
              <w:wordWrap/>
              <w:overflowPunct/>
              <w:topLinePunct w:val="0"/>
              <w:autoSpaceDE/>
              <w:autoSpaceDN/>
              <w:bidi w:val="0"/>
              <w:spacing w:line="360" w:lineRule="auto"/>
              <w:ind w:left="0"/>
              <w:jc w:val="center"/>
              <w:textAlignment w:val="auto"/>
              <w:rPr>
                <w:rFonts w:hint="eastAsia" w:ascii="宋体" w:hAnsi="宋体" w:eastAsia="宋体" w:cs="宋体"/>
                <w:bCs/>
                <w:sz w:val="24"/>
                <w:szCs w:val="24"/>
                <w:highlight w:val="none"/>
                <w:lang w:eastAsia="zh-CN"/>
              </w:rPr>
            </w:pPr>
            <w:r>
              <w:rPr>
                <w:rFonts w:hint="eastAsia" w:ascii="宋体" w:hAnsi="宋体" w:eastAsia="宋体" w:cs="宋体"/>
                <w:bCs/>
                <w:sz w:val="24"/>
                <w:szCs w:val="24"/>
                <w:highlight w:val="none"/>
              </w:rPr>
              <w:t>1.</w:t>
            </w:r>
            <w:r>
              <w:rPr>
                <w:rFonts w:hint="eastAsia" w:ascii="宋体" w:hAnsi="宋体" w:eastAsia="宋体" w:cs="宋体"/>
                <w:bCs/>
                <w:sz w:val="24"/>
                <w:szCs w:val="24"/>
                <w:highlight w:val="none"/>
                <w:lang w:val="en-US" w:eastAsia="zh-CN"/>
              </w:rPr>
              <w:t>5</w:t>
            </w:r>
          </w:p>
        </w:tc>
        <w:tc>
          <w:tcPr>
            <w:tcW w:w="8363" w:type="dxa"/>
            <w:vAlign w:val="center"/>
          </w:tcPr>
          <w:p>
            <w:pPr>
              <w:pageBreakBefore w:val="0"/>
              <w:widowControl w:val="0"/>
              <w:kinsoku/>
              <w:wordWrap/>
              <w:overflowPunct/>
              <w:topLinePunct w:val="0"/>
              <w:autoSpaceDE/>
              <w:autoSpaceDN/>
              <w:bidi w:val="0"/>
              <w:spacing w:line="360" w:lineRule="auto"/>
              <w:ind w:left="0"/>
              <w:textAlignment w:val="auto"/>
              <w:rPr>
                <w:rFonts w:hint="eastAsia" w:ascii="宋体" w:hAnsi="宋体" w:eastAsia="宋体" w:cs="宋体"/>
                <w:bCs/>
                <w:sz w:val="24"/>
                <w:szCs w:val="24"/>
                <w:highlight w:val="none"/>
                <w:lang w:eastAsia="zh-CN"/>
              </w:rPr>
            </w:pPr>
            <w:r>
              <w:rPr>
                <w:rFonts w:hint="eastAsia" w:ascii="宋体" w:hAnsi="宋体" w:eastAsia="宋体" w:cs="宋体"/>
                <w:bCs/>
                <w:sz w:val="24"/>
                <w:szCs w:val="24"/>
                <w:highlight w:val="none"/>
                <w:lang w:eastAsia="zh-CN"/>
              </w:rPr>
              <w:t>多样式存储</w:t>
            </w:r>
            <w:r>
              <w:rPr>
                <w:rFonts w:hint="eastAsia" w:ascii="宋体" w:hAnsi="宋体" w:eastAsia="宋体" w:cs="宋体"/>
                <w:bCs/>
                <w:sz w:val="24"/>
                <w:szCs w:val="24"/>
                <w:highlight w:val="none"/>
              </w:rPr>
              <w:t>，</w:t>
            </w:r>
            <w:r>
              <w:rPr>
                <w:rFonts w:hint="eastAsia" w:ascii="宋体" w:hAnsi="宋体" w:eastAsia="宋体" w:cs="宋体"/>
                <w:bCs/>
                <w:sz w:val="24"/>
                <w:szCs w:val="24"/>
                <w:highlight w:val="none"/>
                <w:lang w:eastAsia="zh-CN"/>
              </w:rPr>
              <w:t>具备</w:t>
            </w:r>
            <w:r>
              <w:rPr>
                <w:rFonts w:hint="eastAsia" w:ascii="宋体" w:hAnsi="宋体" w:eastAsia="宋体" w:cs="宋体"/>
                <w:bCs/>
                <w:color w:val="000000"/>
                <w:sz w:val="24"/>
                <w:szCs w:val="24"/>
                <w:highlight w:val="none"/>
              </w:rPr>
              <w:t>上传PACS系统、光盘、USB</w:t>
            </w:r>
            <w:r>
              <w:rPr>
                <w:rFonts w:hint="eastAsia" w:ascii="宋体" w:hAnsi="宋体" w:eastAsia="宋体" w:cs="宋体"/>
                <w:bCs/>
                <w:color w:val="000000"/>
                <w:sz w:val="24"/>
                <w:szCs w:val="24"/>
                <w:highlight w:val="none"/>
                <w:lang w:eastAsia="zh-CN"/>
              </w:rPr>
              <w:t>接口、</w:t>
            </w:r>
            <w:r>
              <w:rPr>
                <w:rFonts w:hint="eastAsia" w:ascii="宋体" w:hAnsi="宋体" w:eastAsia="宋体" w:cs="宋体"/>
                <w:bCs/>
                <w:color w:val="000000"/>
                <w:sz w:val="24"/>
                <w:szCs w:val="24"/>
                <w:highlight w:val="none"/>
              </w:rPr>
              <w:t>移动硬盘</w:t>
            </w:r>
            <w:r>
              <w:rPr>
                <w:rFonts w:hint="eastAsia" w:ascii="宋体" w:hAnsi="宋体" w:eastAsia="宋体" w:cs="宋体"/>
                <w:bCs/>
                <w:color w:val="000000"/>
                <w:sz w:val="24"/>
                <w:szCs w:val="24"/>
                <w:highlight w:val="none"/>
                <w:lang w:eastAsia="zh-CN"/>
              </w:rPr>
              <w:t>的功能</w:t>
            </w:r>
            <w:r>
              <w:rPr>
                <w:rFonts w:hint="eastAsia" w:ascii="宋体" w:hAnsi="宋体" w:cs="宋体"/>
                <w:bCs/>
                <w:color w:val="000000"/>
                <w:sz w:val="24"/>
                <w:szCs w:val="24"/>
                <w:highlight w:val="none"/>
                <w:lang w:eastAsia="zh-CN"/>
              </w:rPr>
              <w:t>（</w:t>
            </w:r>
            <w:r>
              <w:rPr>
                <w:rFonts w:hint="eastAsia" w:ascii="宋体" w:hAnsi="宋体" w:cs="宋体"/>
                <w:bCs/>
                <w:color w:val="000000"/>
                <w:sz w:val="24"/>
                <w:szCs w:val="24"/>
                <w:highlight w:val="none"/>
                <w:lang w:val="en-US" w:eastAsia="zh-CN"/>
              </w:rPr>
              <w:t>提供证明资料</w:t>
            </w:r>
            <w:r>
              <w:rPr>
                <w:rFonts w:hint="eastAsia" w:ascii="宋体" w:hAnsi="宋体" w:cs="宋体"/>
                <w:bCs/>
                <w:color w:val="000000"/>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75" w:type="dxa"/>
            <w:vAlign w:val="center"/>
          </w:tcPr>
          <w:p>
            <w:pPr>
              <w:pageBreakBefore w:val="0"/>
              <w:widowControl w:val="0"/>
              <w:kinsoku/>
              <w:wordWrap/>
              <w:overflowPunct/>
              <w:topLinePunct w:val="0"/>
              <w:autoSpaceDE/>
              <w:autoSpaceDN/>
              <w:bidi w:val="0"/>
              <w:spacing w:line="360" w:lineRule="auto"/>
              <w:ind w:left="0"/>
              <w:jc w:val="center"/>
              <w:textAlignment w:val="auto"/>
              <w:rPr>
                <w:rFonts w:hint="eastAsia" w:ascii="宋体" w:hAnsi="宋体" w:eastAsia="宋体" w:cs="宋体"/>
                <w:bCs/>
                <w:sz w:val="24"/>
                <w:szCs w:val="24"/>
                <w:highlight w:val="none"/>
                <w:lang w:eastAsia="zh-CN"/>
              </w:rPr>
            </w:pPr>
            <w:r>
              <w:rPr>
                <w:rFonts w:hint="eastAsia" w:ascii="宋体" w:hAnsi="宋体" w:eastAsia="宋体" w:cs="宋体"/>
                <w:bCs/>
                <w:sz w:val="24"/>
                <w:szCs w:val="24"/>
                <w:highlight w:val="none"/>
              </w:rPr>
              <w:t>1.</w:t>
            </w:r>
            <w:r>
              <w:rPr>
                <w:rFonts w:hint="eastAsia" w:ascii="宋体" w:hAnsi="宋体" w:eastAsia="宋体" w:cs="宋体"/>
                <w:bCs/>
                <w:sz w:val="24"/>
                <w:szCs w:val="24"/>
                <w:highlight w:val="none"/>
                <w:lang w:val="en-US" w:eastAsia="zh-CN"/>
              </w:rPr>
              <w:t>6</w:t>
            </w:r>
          </w:p>
        </w:tc>
        <w:tc>
          <w:tcPr>
            <w:tcW w:w="8363" w:type="dxa"/>
            <w:vAlign w:val="center"/>
          </w:tcPr>
          <w:p>
            <w:pPr>
              <w:pageBreakBefore w:val="0"/>
              <w:widowControl w:val="0"/>
              <w:kinsoku/>
              <w:wordWrap/>
              <w:overflowPunct/>
              <w:topLinePunct w:val="0"/>
              <w:autoSpaceDE/>
              <w:autoSpaceDN/>
              <w:bidi w:val="0"/>
              <w:spacing w:line="360" w:lineRule="auto"/>
              <w:ind w:left="0"/>
              <w:textAlignment w:val="auto"/>
              <w:rPr>
                <w:rFonts w:hint="eastAsia" w:ascii="宋体" w:hAnsi="宋体" w:eastAsia="宋体" w:cs="宋体"/>
                <w:bCs/>
                <w:sz w:val="24"/>
                <w:szCs w:val="24"/>
                <w:highlight w:val="none"/>
              </w:rPr>
            </w:pPr>
            <w:bookmarkStart w:id="150" w:name="OLE_LINK1"/>
            <w:r>
              <w:rPr>
                <w:rFonts w:hint="eastAsia" w:ascii="宋体" w:hAnsi="宋体" w:eastAsia="宋体" w:cs="宋体"/>
                <w:bCs/>
                <w:sz w:val="24"/>
                <w:szCs w:val="24"/>
                <w:highlight w:val="none"/>
                <w:lang w:eastAsia="zh-CN"/>
              </w:rPr>
              <w:t>具备≥</w:t>
            </w:r>
            <w:r>
              <w:rPr>
                <w:rFonts w:hint="eastAsia" w:ascii="宋体" w:hAnsi="宋体" w:eastAsia="宋体" w:cs="宋体"/>
                <w:bCs/>
                <w:sz w:val="24"/>
                <w:szCs w:val="24"/>
                <w:highlight w:val="none"/>
                <w:lang w:val="en-US" w:eastAsia="zh-CN"/>
              </w:rPr>
              <w:t>1280</w:t>
            </w:r>
            <w:r>
              <w:rPr>
                <w:rFonts w:hint="default" w:ascii="Arial" w:hAnsi="Arial" w:eastAsia="宋体" w:cs="Arial"/>
                <w:bCs/>
                <w:sz w:val="24"/>
                <w:szCs w:val="24"/>
                <w:highlight w:val="none"/>
                <w:lang w:val="en-US" w:eastAsia="zh-CN"/>
              </w:rPr>
              <w:t>×</w:t>
            </w:r>
            <w:r>
              <w:rPr>
                <w:rFonts w:hint="eastAsia" w:ascii="宋体" w:hAnsi="宋体" w:eastAsia="宋体" w:cs="宋体"/>
                <w:bCs/>
                <w:sz w:val="24"/>
                <w:szCs w:val="24"/>
                <w:highlight w:val="none"/>
                <w:lang w:val="en-US" w:eastAsia="zh-CN"/>
              </w:rPr>
              <w:t>1024</w:t>
            </w:r>
            <w:r>
              <w:rPr>
                <w:rFonts w:hint="eastAsia" w:ascii="宋体" w:hAnsi="宋体" w:eastAsia="宋体" w:cs="宋体"/>
                <w:bCs/>
                <w:sz w:val="24"/>
                <w:szCs w:val="24"/>
                <w:highlight w:val="none"/>
              </w:rPr>
              <w:t>分辨率彩色LCD显示</w:t>
            </w:r>
            <w:bookmarkEnd w:id="150"/>
            <w:r>
              <w:rPr>
                <w:rFonts w:hint="eastAsia" w:ascii="宋体" w:hAnsi="宋体" w:eastAsia="宋体" w:cs="宋体"/>
                <w:bCs/>
                <w:sz w:val="24"/>
                <w:szCs w:val="24"/>
                <w:highlight w:val="none"/>
              </w:rPr>
              <w:t>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75" w:type="dxa"/>
            <w:vAlign w:val="center"/>
          </w:tcPr>
          <w:p>
            <w:pPr>
              <w:pageBreakBefore w:val="0"/>
              <w:widowControl w:val="0"/>
              <w:kinsoku/>
              <w:wordWrap/>
              <w:overflowPunct/>
              <w:topLinePunct w:val="0"/>
              <w:autoSpaceDE/>
              <w:autoSpaceDN/>
              <w:bidi w:val="0"/>
              <w:spacing w:line="360" w:lineRule="auto"/>
              <w:ind w:left="0"/>
              <w:jc w:val="center"/>
              <w:textAlignment w:val="auto"/>
              <w:rPr>
                <w:rFonts w:hint="eastAsia" w:ascii="宋体" w:hAnsi="宋体" w:eastAsia="宋体" w:cs="宋体"/>
                <w:bCs/>
                <w:sz w:val="24"/>
                <w:szCs w:val="24"/>
                <w:highlight w:val="none"/>
                <w:lang w:eastAsia="zh-CN"/>
              </w:rPr>
            </w:pPr>
            <w:r>
              <w:rPr>
                <w:rFonts w:hint="eastAsia" w:ascii="宋体" w:hAnsi="宋体" w:eastAsia="宋体" w:cs="宋体"/>
                <w:bCs/>
                <w:sz w:val="24"/>
                <w:szCs w:val="24"/>
                <w:highlight w:val="none"/>
              </w:rPr>
              <w:t>1.</w:t>
            </w:r>
            <w:r>
              <w:rPr>
                <w:rFonts w:hint="eastAsia" w:ascii="宋体" w:hAnsi="宋体" w:eastAsia="宋体" w:cs="宋体"/>
                <w:bCs/>
                <w:sz w:val="24"/>
                <w:szCs w:val="24"/>
                <w:highlight w:val="none"/>
                <w:lang w:val="en-US" w:eastAsia="zh-CN"/>
              </w:rPr>
              <w:t>7</w:t>
            </w:r>
          </w:p>
        </w:tc>
        <w:tc>
          <w:tcPr>
            <w:tcW w:w="8363" w:type="dxa"/>
            <w:vAlign w:val="center"/>
          </w:tcPr>
          <w:p>
            <w:pPr>
              <w:pageBreakBefore w:val="0"/>
              <w:widowControl w:val="0"/>
              <w:kinsoku/>
              <w:wordWrap/>
              <w:overflowPunct/>
              <w:topLinePunct w:val="0"/>
              <w:autoSpaceDE/>
              <w:autoSpaceDN/>
              <w:bidi w:val="0"/>
              <w:spacing w:line="360" w:lineRule="auto"/>
              <w:ind w:left="0"/>
              <w:textAlignment w:val="auto"/>
              <w:rPr>
                <w:rFonts w:hint="default" w:ascii="宋体" w:hAnsi="宋体" w:eastAsia="宋体" w:cs="宋体"/>
                <w:bCs/>
                <w:sz w:val="24"/>
                <w:szCs w:val="24"/>
                <w:highlight w:val="none"/>
                <w:lang w:val="en-US" w:eastAsia="zh-CN"/>
              </w:rPr>
            </w:pPr>
            <w:r>
              <w:rPr>
                <w:rFonts w:hint="eastAsia" w:ascii="宋体" w:hAnsi="宋体" w:eastAsia="宋体" w:cs="宋体"/>
                <w:bCs/>
                <w:sz w:val="24"/>
                <w:szCs w:val="24"/>
                <w:highlight w:val="none"/>
              </w:rPr>
              <w:t>系统处理器：</w:t>
            </w:r>
            <w:r>
              <w:rPr>
                <w:rFonts w:hint="eastAsia" w:ascii="宋体" w:hAnsi="宋体" w:eastAsia="宋体" w:cs="宋体"/>
                <w:bCs/>
                <w:sz w:val="24"/>
                <w:szCs w:val="24"/>
                <w:highlight w:val="none"/>
                <w:lang w:eastAsia="zh-CN"/>
              </w:rPr>
              <w:t>双</w:t>
            </w:r>
            <w:r>
              <w:rPr>
                <w:rFonts w:hint="eastAsia" w:ascii="宋体" w:hAnsi="宋体" w:eastAsia="宋体" w:cs="宋体"/>
                <w:bCs/>
                <w:sz w:val="24"/>
                <w:szCs w:val="24"/>
                <w:highlight w:val="none"/>
                <w:lang w:val="en-US" w:eastAsia="zh-CN"/>
              </w:rPr>
              <w:t>CPU分布式系统采集处理器celeron 2GHz 显像处理器 intel corei5-4590s 3.0GHz</w:t>
            </w:r>
            <w:r>
              <w:rPr>
                <w:rFonts w:hint="eastAsia" w:ascii="宋体" w:hAnsi="宋体" w:cs="宋体"/>
                <w:bCs/>
                <w:color w:val="000000"/>
                <w:sz w:val="24"/>
                <w:szCs w:val="24"/>
                <w:highlight w:val="none"/>
                <w:lang w:eastAsia="zh-CN"/>
              </w:rPr>
              <w:t>（</w:t>
            </w:r>
            <w:r>
              <w:rPr>
                <w:rFonts w:hint="eastAsia" w:ascii="宋体" w:hAnsi="宋体" w:cs="宋体"/>
                <w:bCs/>
                <w:color w:val="000000"/>
                <w:sz w:val="24"/>
                <w:szCs w:val="24"/>
                <w:highlight w:val="none"/>
                <w:lang w:val="en-US" w:eastAsia="zh-CN"/>
              </w:rPr>
              <w:t>提供证明资料</w:t>
            </w:r>
            <w:r>
              <w:rPr>
                <w:rFonts w:hint="eastAsia" w:ascii="宋体" w:hAnsi="宋体" w:cs="宋体"/>
                <w:bCs/>
                <w:color w:val="000000"/>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875" w:type="dxa"/>
            <w:vAlign w:val="center"/>
          </w:tcPr>
          <w:p>
            <w:pPr>
              <w:pageBreakBefore w:val="0"/>
              <w:widowControl w:val="0"/>
              <w:kinsoku/>
              <w:wordWrap/>
              <w:overflowPunct/>
              <w:topLinePunct w:val="0"/>
              <w:autoSpaceDE/>
              <w:autoSpaceDN/>
              <w:bidi w:val="0"/>
              <w:spacing w:line="360" w:lineRule="auto"/>
              <w:ind w:left="0"/>
              <w:jc w:val="center"/>
              <w:textAlignment w:val="auto"/>
              <w:rPr>
                <w:rFonts w:hint="eastAsia" w:ascii="宋体" w:hAnsi="宋体" w:eastAsia="宋体" w:cs="宋体"/>
                <w:bCs/>
                <w:sz w:val="24"/>
                <w:szCs w:val="24"/>
                <w:highlight w:val="none"/>
                <w:lang w:eastAsia="zh-CN"/>
              </w:rPr>
            </w:pPr>
            <w:r>
              <w:rPr>
                <w:rFonts w:hint="eastAsia" w:ascii="宋体" w:hAnsi="宋体" w:eastAsia="宋体" w:cs="宋体"/>
                <w:bCs/>
                <w:sz w:val="24"/>
                <w:szCs w:val="24"/>
                <w:highlight w:val="none"/>
              </w:rPr>
              <w:t>1.</w:t>
            </w:r>
            <w:r>
              <w:rPr>
                <w:rFonts w:hint="eastAsia" w:ascii="宋体" w:hAnsi="宋体" w:eastAsia="宋体" w:cs="宋体"/>
                <w:bCs/>
                <w:sz w:val="24"/>
                <w:szCs w:val="24"/>
                <w:highlight w:val="none"/>
                <w:lang w:val="en-US" w:eastAsia="zh-CN"/>
              </w:rPr>
              <w:t>8</w:t>
            </w:r>
          </w:p>
        </w:tc>
        <w:tc>
          <w:tcPr>
            <w:tcW w:w="8363" w:type="dxa"/>
            <w:vAlign w:val="center"/>
          </w:tcPr>
          <w:p>
            <w:pPr>
              <w:pageBreakBefore w:val="0"/>
              <w:widowControl w:val="0"/>
              <w:kinsoku/>
              <w:wordWrap/>
              <w:overflowPunct/>
              <w:topLinePunct w:val="0"/>
              <w:autoSpaceDE/>
              <w:autoSpaceDN/>
              <w:bidi w:val="0"/>
              <w:spacing w:line="360" w:lineRule="auto"/>
              <w:ind w:left="0"/>
              <w:textAlignment w:val="auto"/>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具备图片打印功能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75" w:type="dxa"/>
            <w:vAlign w:val="center"/>
          </w:tcPr>
          <w:p>
            <w:pPr>
              <w:pageBreakBefore w:val="0"/>
              <w:widowControl w:val="0"/>
              <w:kinsoku/>
              <w:wordWrap/>
              <w:overflowPunct/>
              <w:topLinePunct w:val="0"/>
              <w:autoSpaceDE/>
              <w:autoSpaceDN/>
              <w:bidi w:val="0"/>
              <w:spacing w:line="360" w:lineRule="auto"/>
              <w:ind w:left="0"/>
              <w:jc w:val="center"/>
              <w:textAlignment w:val="auto"/>
              <w:rPr>
                <w:rFonts w:hint="eastAsia" w:ascii="宋体" w:hAnsi="宋体" w:eastAsia="宋体" w:cs="宋体"/>
                <w:bCs/>
                <w:sz w:val="24"/>
                <w:szCs w:val="24"/>
                <w:highlight w:val="none"/>
                <w:lang w:eastAsia="zh-CN"/>
              </w:rPr>
            </w:pPr>
            <w:r>
              <w:rPr>
                <w:rFonts w:hint="eastAsia" w:ascii="宋体" w:hAnsi="宋体" w:eastAsia="宋体" w:cs="宋体"/>
                <w:bCs/>
                <w:sz w:val="24"/>
                <w:szCs w:val="24"/>
                <w:highlight w:val="none"/>
              </w:rPr>
              <w:t>1.</w:t>
            </w:r>
            <w:r>
              <w:rPr>
                <w:rFonts w:hint="eastAsia" w:ascii="宋体" w:hAnsi="宋体" w:eastAsia="宋体" w:cs="宋体"/>
                <w:bCs/>
                <w:sz w:val="24"/>
                <w:szCs w:val="24"/>
                <w:highlight w:val="none"/>
                <w:lang w:val="en-US" w:eastAsia="zh-CN"/>
              </w:rPr>
              <w:t>9</w:t>
            </w:r>
          </w:p>
        </w:tc>
        <w:tc>
          <w:tcPr>
            <w:tcW w:w="8363" w:type="dxa"/>
            <w:vAlign w:val="center"/>
          </w:tcPr>
          <w:p>
            <w:pPr>
              <w:pageBreakBefore w:val="0"/>
              <w:widowControl w:val="0"/>
              <w:kinsoku/>
              <w:wordWrap/>
              <w:overflowPunct/>
              <w:topLinePunct w:val="0"/>
              <w:autoSpaceDE/>
              <w:autoSpaceDN/>
              <w:bidi w:val="0"/>
              <w:spacing w:line="360" w:lineRule="auto"/>
              <w:ind w:left="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具自动回撤和手动回撤功能，</w:t>
            </w:r>
            <w:r>
              <w:rPr>
                <w:rFonts w:hint="eastAsia" w:ascii="宋体" w:hAnsi="宋体" w:eastAsia="宋体" w:cs="宋体"/>
                <w:bCs/>
                <w:sz w:val="24"/>
                <w:szCs w:val="24"/>
                <w:highlight w:val="none"/>
                <w:lang w:eastAsia="zh-CN"/>
              </w:rPr>
              <w:t>且</w:t>
            </w:r>
            <w:r>
              <w:rPr>
                <w:rFonts w:hint="eastAsia" w:ascii="宋体" w:hAnsi="宋体" w:eastAsia="宋体" w:cs="宋体"/>
                <w:bCs/>
                <w:sz w:val="24"/>
                <w:szCs w:val="24"/>
                <w:highlight w:val="none"/>
              </w:rPr>
              <w:t>显示回撤距离。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238" w:type="dxa"/>
            <w:gridSpan w:val="2"/>
            <w:vAlign w:val="center"/>
          </w:tcPr>
          <w:p>
            <w:pPr>
              <w:pageBreakBefore w:val="0"/>
              <w:widowControl w:val="0"/>
              <w:kinsoku/>
              <w:wordWrap/>
              <w:overflowPunct/>
              <w:topLinePunct w:val="0"/>
              <w:autoSpaceDE/>
              <w:autoSpaceDN/>
              <w:bidi w:val="0"/>
              <w:spacing w:line="360" w:lineRule="auto"/>
              <w:ind w:left="0"/>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二、设备参数（软件）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75" w:type="dxa"/>
            <w:vAlign w:val="center"/>
          </w:tcPr>
          <w:p>
            <w:pPr>
              <w:pageBreakBefore w:val="0"/>
              <w:widowControl w:val="0"/>
              <w:kinsoku/>
              <w:wordWrap/>
              <w:overflowPunct/>
              <w:topLinePunct w:val="0"/>
              <w:autoSpaceDE/>
              <w:autoSpaceDN/>
              <w:bidi w:val="0"/>
              <w:spacing w:line="360" w:lineRule="auto"/>
              <w:ind w:left="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2.1</w:t>
            </w:r>
          </w:p>
        </w:tc>
        <w:tc>
          <w:tcPr>
            <w:tcW w:w="8363" w:type="dxa"/>
            <w:vAlign w:val="center"/>
          </w:tcPr>
          <w:p>
            <w:pPr>
              <w:pageBreakBefore w:val="0"/>
              <w:widowControl w:val="0"/>
              <w:kinsoku/>
              <w:wordWrap/>
              <w:overflowPunct/>
              <w:topLinePunct w:val="0"/>
              <w:autoSpaceDE/>
              <w:autoSpaceDN/>
              <w:bidi w:val="0"/>
              <w:spacing w:line="360" w:lineRule="auto"/>
              <w:ind w:left="0"/>
              <w:textAlignment w:val="auto"/>
              <w:rPr>
                <w:rFonts w:hint="eastAsia" w:ascii="宋体" w:hAnsi="宋体" w:eastAsia="宋体" w:cs="宋体"/>
                <w:bCs/>
                <w:sz w:val="24"/>
                <w:szCs w:val="24"/>
                <w:highlight w:val="none"/>
              </w:rPr>
            </w:pPr>
            <w:r>
              <w:rPr>
                <w:rFonts w:hint="eastAsia" w:ascii="宋体" w:hAnsi="宋体" w:eastAsia="宋体" w:cs="宋体"/>
                <w:sz w:val="24"/>
                <w:szCs w:val="24"/>
                <w:highlight w:val="none"/>
              </w:rPr>
              <w:t>具有自动化血管壁和血管内腔测量功能的计算软件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75" w:type="dxa"/>
            <w:vAlign w:val="center"/>
          </w:tcPr>
          <w:p>
            <w:pPr>
              <w:pageBreakBefore w:val="0"/>
              <w:widowControl w:val="0"/>
              <w:kinsoku/>
              <w:wordWrap/>
              <w:overflowPunct/>
              <w:topLinePunct w:val="0"/>
              <w:autoSpaceDE/>
              <w:autoSpaceDN/>
              <w:bidi w:val="0"/>
              <w:spacing w:line="360" w:lineRule="auto"/>
              <w:ind w:left="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2.2</w:t>
            </w:r>
          </w:p>
        </w:tc>
        <w:tc>
          <w:tcPr>
            <w:tcW w:w="8363" w:type="dxa"/>
            <w:vAlign w:val="center"/>
          </w:tcPr>
          <w:p>
            <w:pPr>
              <w:pageBreakBefore w:val="0"/>
              <w:widowControl w:val="0"/>
              <w:kinsoku/>
              <w:wordWrap/>
              <w:overflowPunct/>
              <w:topLinePunct w:val="0"/>
              <w:autoSpaceDE/>
              <w:autoSpaceDN/>
              <w:bidi w:val="0"/>
              <w:spacing w:line="360" w:lineRule="auto"/>
              <w:ind w:left="0"/>
              <w:jc w:val="left"/>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具有图像动态回顾功能，</w:t>
            </w:r>
            <w:r>
              <w:rPr>
                <w:rFonts w:hint="eastAsia" w:ascii="宋体" w:hAnsi="宋体" w:eastAsia="宋体" w:cs="宋体"/>
                <w:sz w:val="24"/>
                <w:szCs w:val="24"/>
                <w:highlight w:val="none"/>
              </w:rPr>
              <w:t>反复播放图像，</w:t>
            </w:r>
            <w:r>
              <w:rPr>
                <w:rFonts w:hint="eastAsia" w:ascii="宋体" w:hAnsi="宋体" w:eastAsia="宋体" w:cs="宋体"/>
                <w:bCs/>
                <w:color w:val="000000" w:themeColor="text1"/>
                <w:kern w:val="0"/>
                <w:sz w:val="24"/>
                <w:szCs w:val="24"/>
                <w:highlight w:val="none"/>
                <w14:textFill>
                  <w14:solidFill>
                    <w14:schemeClr w14:val="tx1"/>
                  </w14:solidFill>
                </w14:textFill>
              </w:rPr>
              <w:t>具有自动化血管壁和血管内腔测量计算软件</w:t>
            </w:r>
            <w:r>
              <w:rPr>
                <w:rFonts w:hint="eastAsia" w:ascii="宋体" w:hAnsi="宋体" w:cs="宋体"/>
                <w:bCs/>
                <w:color w:val="000000"/>
                <w:sz w:val="24"/>
                <w:szCs w:val="24"/>
                <w:highlight w:val="none"/>
                <w:lang w:eastAsia="zh-CN"/>
              </w:rPr>
              <w:t>（</w:t>
            </w:r>
            <w:r>
              <w:rPr>
                <w:rFonts w:hint="eastAsia" w:ascii="宋体" w:hAnsi="宋体" w:cs="宋体"/>
                <w:bCs/>
                <w:color w:val="000000"/>
                <w:sz w:val="24"/>
                <w:szCs w:val="24"/>
                <w:highlight w:val="none"/>
                <w:lang w:val="en-US" w:eastAsia="zh-CN"/>
              </w:rPr>
              <w:t>提供证明资料</w:t>
            </w:r>
            <w:r>
              <w:rPr>
                <w:rFonts w:hint="eastAsia" w:ascii="宋体" w:hAnsi="宋体" w:cs="宋体"/>
                <w:bCs/>
                <w:color w:val="000000"/>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75" w:type="dxa"/>
            <w:vAlign w:val="center"/>
          </w:tcPr>
          <w:p>
            <w:pPr>
              <w:pageBreakBefore w:val="0"/>
              <w:widowControl w:val="0"/>
              <w:kinsoku/>
              <w:wordWrap/>
              <w:overflowPunct/>
              <w:topLinePunct w:val="0"/>
              <w:autoSpaceDE/>
              <w:autoSpaceDN/>
              <w:bidi w:val="0"/>
              <w:spacing w:line="360" w:lineRule="auto"/>
              <w:ind w:left="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2.3</w:t>
            </w:r>
          </w:p>
        </w:tc>
        <w:tc>
          <w:tcPr>
            <w:tcW w:w="8363" w:type="dxa"/>
            <w:vAlign w:val="center"/>
          </w:tcPr>
          <w:p>
            <w:pPr>
              <w:pageBreakBefore w:val="0"/>
              <w:widowControl w:val="0"/>
              <w:kinsoku/>
              <w:wordWrap/>
              <w:overflowPunct/>
              <w:topLinePunct w:val="0"/>
              <w:autoSpaceDE/>
              <w:autoSpaceDN/>
              <w:bidi w:val="0"/>
              <w:adjustRightInd w:val="0"/>
              <w:spacing w:line="360" w:lineRule="auto"/>
              <w:jc w:val="left"/>
              <w:textAlignment w:val="auto"/>
              <w:rPr>
                <w:rFonts w:hint="eastAsia" w:ascii="宋体" w:hAnsi="宋体" w:eastAsia="宋体" w:cs="宋体"/>
                <w:sz w:val="24"/>
                <w:szCs w:val="24"/>
                <w:highlight w:val="none"/>
              </w:rPr>
            </w:pPr>
            <w:r>
              <w:rPr>
                <w:rFonts w:hint="eastAsia" w:ascii="宋体" w:hAnsi="宋体" w:eastAsia="宋体" w:cs="宋体"/>
                <w:bCs/>
                <w:sz w:val="24"/>
                <w:szCs w:val="24"/>
                <w:highlight w:val="none"/>
              </w:rPr>
              <w:t>具有双图功能：显示来自同一回撤不同帧的两幅截面图像。</w:t>
            </w:r>
            <w:r>
              <w:rPr>
                <w:rFonts w:hint="eastAsia" w:ascii="宋体" w:hAnsi="宋体" w:cs="宋体"/>
                <w:bCs/>
                <w:color w:val="000000"/>
                <w:sz w:val="24"/>
                <w:szCs w:val="24"/>
                <w:highlight w:val="none"/>
                <w:lang w:eastAsia="zh-CN"/>
              </w:rPr>
              <w:t>（</w:t>
            </w:r>
            <w:r>
              <w:rPr>
                <w:rFonts w:hint="eastAsia" w:ascii="宋体" w:hAnsi="宋体" w:cs="宋体"/>
                <w:bCs/>
                <w:color w:val="000000"/>
                <w:sz w:val="24"/>
                <w:szCs w:val="24"/>
                <w:highlight w:val="none"/>
                <w:lang w:val="en-US" w:eastAsia="zh-CN"/>
              </w:rPr>
              <w:t>提供证明资料</w:t>
            </w:r>
            <w:r>
              <w:rPr>
                <w:rFonts w:hint="eastAsia" w:ascii="宋体" w:hAnsi="宋体" w:cs="宋体"/>
                <w:bCs/>
                <w:color w:val="000000"/>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75" w:type="dxa"/>
            <w:vAlign w:val="center"/>
          </w:tcPr>
          <w:p>
            <w:pPr>
              <w:pageBreakBefore w:val="0"/>
              <w:widowControl w:val="0"/>
              <w:kinsoku/>
              <w:wordWrap/>
              <w:overflowPunct/>
              <w:topLinePunct w:val="0"/>
              <w:autoSpaceDE/>
              <w:autoSpaceDN/>
              <w:bidi w:val="0"/>
              <w:spacing w:line="360" w:lineRule="auto"/>
              <w:ind w:left="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2.4</w:t>
            </w:r>
          </w:p>
        </w:tc>
        <w:tc>
          <w:tcPr>
            <w:tcW w:w="8363" w:type="dxa"/>
            <w:vAlign w:val="center"/>
          </w:tcPr>
          <w:p>
            <w:pPr>
              <w:pageBreakBefore w:val="0"/>
              <w:widowControl w:val="0"/>
              <w:kinsoku/>
              <w:wordWrap/>
              <w:overflowPunct/>
              <w:topLinePunct w:val="0"/>
              <w:autoSpaceDE/>
              <w:autoSpaceDN/>
              <w:bidi w:val="0"/>
              <w:adjustRightInd w:val="0"/>
              <w:spacing w:line="360" w:lineRule="auto"/>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根据数据处理控件,提供图像处理以帮助除去图像中因血细胞移动反射而形成的“血斑”，使图像更清晰。</w:t>
            </w:r>
            <w:r>
              <w:rPr>
                <w:rFonts w:hint="eastAsia" w:ascii="宋体" w:hAnsi="宋体" w:cs="宋体"/>
                <w:bCs/>
                <w:color w:val="000000"/>
                <w:sz w:val="24"/>
                <w:szCs w:val="24"/>
                <w:highlight w:val="none"/>
                <w:lang w:eastAsia="zh-CN"/>
              </w:rPr>
              <w:t>（</w:t>
            </w:r>
            <w:r>
              <w:rPr>
                <w:rFonts w:hint="eastAsia" w:ascii="宋体" w:hAnsi="宋体" w:cs="宋体"/>
                <w:bCs/>
                <w:color w:val="000000"/>
                <w:sz w:val="24"/>
                <w:szCs w:val="24"/>
                <w:highlight w:val="none"/>
                <w:lang w:val="en-US" w:eastAsia="zh-CN"/>
              </w:rPr>
              <w:t>提供证明资料</w:t>
            </w:r>
            <w:r>
              <w:rPr>
                <w:rFonts w:hint="eastAsia" w:ascii="宋体" w:hAnsi="宋体" w:cs="宋体"/>
                <w:bCs/>
                <w:color w:val="000000"/>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75" w:type="dxa"/>
            <w:vAlign w:val="center"/>
          </w:tcPr>
          <w:p>
            <w:pPr>
              <w:pageBreakBefore w:val="0"/>
              <w:widowControl w:val="0"/>
              <w:kinsoku/>
              <w:wordWrap/>
              <w:overflowPunct/>
              <w:topLinePunct w:val="0"/>
              <w:autoSpaceDE/>
              <w:autoSpaceDN/>
              <w:bidi w:val="0"/>
              <w:spacing w:line="360" w:lineRule="auto"/>
              <w:ind w:left="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2.5</w:t>
            </w:r>
          </w:p>
        </w:tc>
        <w:tc>
          <w:tcPr>
            <w:tcW w:w="8363" w:type="dxa"/>
            <w:vAlign w:val="center"/>
          </w:tcPr>
          <w:p>
            <w:pPr>
              <w:pageBreakBefore w:val="0"/>
              <w:widowControl w:val="0"/>
              <w:kinsoku/>
              <w:wordWrap/>
              <w:overflowPunct/>
              <w:topLinePunct w:val="0"/>
              <w:autoSpaceDE/>
              <w:autoSpaceDN/>
              <w:bidi w:val="0"/>
              <w:spacing w:line="360" w:lineRule="auto"/>
              <w:ind w:left="0"/>
              <w:textAlignment w:val="auto"/>
              <w:rPr>
                <w:rFonts w:hint="eastAsia" w:ascii="宋体" w:hAnsi="宋体" w:eastAsia="宋体" w:cs="宋体"/>
                <w:bCs/>
                <w:sz w:val="24"/>
                <w:szCs w:val="24"/>
                <w:highlight w:val="none"/>
              </w:rPr>
            </w:pPr>
            <w:r>
              <w:rPr>
                <w:rFonts w:hint="eastAsia" w:ascii="宋体" w:hAnsi="宋体" w:eastAsia="宋体" w:cs="宋体"/>
                <w:sz w:val="24"/>
                <w:szCs w:val="24"/>
                <w:highlight w:val="none"/>
                <w:lang w:eastAsia="zh-CN"/>
              </w:rPr>
              <w:t>具备书签添加功能</w:t>
            </w:r>
            <w:r>
              <w:rPr>
                <w:rFonts w:hint="eastAsia" w:ascii="宋体" w:hAnsi="宋体" w:eastAsia="宋体" w:cs="宋体"/>
                <w:sz w:val="24"/>
                <w:szCs w:val="24"/>
                <w:highlight w:val="none"/>
              </w:rPr>
              <w:t>，便于记录并快速查看书签图像。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75" w:type="dxa"/>
            <w:vAlign w:val="center"/>
          </w:tcPr>
          <w:p>
            <w:pPr>
              <w:pageBreakBefore w:val="0"/>
              <w:widowControl w:val="0"/>
              <w:kinsoku/>
              <w:wordWrap/>
              <w:overflowPunct/>
              <w:topLinePunct w:val="0"/>
              <w:autoSpaceDE/>
              <w:autoSpaceDN/>
              <w:bidi w:val="0"/>
              <w:spacing w:line="360" w:lineRule="auto"/>
              <w:ind w:left="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2.6</w:t>
            </w:r>
          </w:p>
        </w:tc>
        <w:tc>
          <w:tcPr>
            <w:tcW w:w="8363" w:type="dxa"/>
            <w:vAlign w:val="center"/>
          </w:tcPr>
          <w:p>
            <w:pPr>
              <w:pageBreakBefore w:val="0"/>
              <w:widowControl w:val="0"/>
              <w:kinsoku/>
              <w:wordWrap/>
              <w:overflowPunct/>
              <w:topLinePunct w:val="0"/>
              <w:autoSpaceDE/>
              <w:autoSpaceDN/>
              <w:bidi w:val="0"/>
              <w:spacing w:line="360" w:lineRule="auto"/>
              <w:ind w:left="0"/>
              <w:textAlignment w:val="auto"/>
              <w:rPr>
                <w:rFonts w:hint="eastAsia" w:ascii="宋体" w:hAnsi="宋体" w:eastAsia="宋体" w:cs="宋体"/>
                <w:bCs/>
                <w:sz w:val="24"/>
                <w:szCs w:val="24"/>
                <w:highlight w:val="none"/>
                <w:lang w:eastAsia="zh-CN"/>
              </w:rPr>
            </w:pPr>
            <w:r>
              <w:rPr>
                <w:rFonts w:hint="eastAsia" w:ascii="宋体" w:hAnsi="宋体" w:eastAsia="宋体" w:cs="宋体"/>
                <w:sz w:val="24"/>
                <w:szCs w:val="24"/>
                <w:highlight w:val="none"/>
                <w:lang w:eastAsia="zh-CN"/>
              </w:rPr>
              <w:t>具备书签缩略图功能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75" w:type="dxa"/>
            <w:vAlign w:val="center"/>
          </w:tcPr>
          <w:p>
            <w:pPr>
              <w:pageBreakBefore w:val="0"/>
              <w:widowControl w:val="0"/>
              <w:kinsoku/>
              <w:wordWrap/>
              <w:overflowPunct/>
              <w:topLinePunct w:val="0"/>
              <w:autoSpaceDE/>
              <w:autoSpaceDN/>
              <w:bidi w:val="0"/>
              <w:spacing w:line="360" w:lineRule="auto"/>
              <w:ind w:left="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2.7</w:t>
            </w:r>
          </w:p>
        </w:tc>
        <w:tc>
          <w:tcPr>
            <w:tcW w:w="8363" w:type="dxa"/>
            <w:vAlign w:val="center"/>
          </w:tcPr>
          <w:p>
            <w:pPr>
              <w:pageBreakBefore w:val="0"/>
              <w:widowControl w:val="0"/>
              <w:kinsoku/>
              <w:wordWrap/>
              <w:overflowPunct/>
              <w:topLinePunct w:val="0"/>
              <w:autoSpaceDE/>
              <w:autoSpaceDN/>
              <w:bidi w:val="0"/>
              <w:spacing w:line="360" w:lineRule="auto"/>
              <w:ind w:left="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具备</w:t>
            </w:r>
            <w:r>
              <w:rPr>
                <w:rFonts w:hint="eastAsia" w:ascii="宋体" w:hAnsi="宋体" w:eastAsia="宋体" w:cs="宋体"/>
                <w:sz w:val="24"/>
                <w:szCs w:val="24"/>
                <w:highlight w:val="none"/>
              </w:rPr>
              <w:t>自动书签距离测量</w:t>
            </w:r>
            <w:r>
              <w:rPr>
                <w:rFonts w:hint="eastAsia" w:ascii="宋体" w:hAnsi="宋体" w:eastAsia="宋体" w:cs="宋体"/>
                <w:sz w:val="24"/>
                <w:szCs w:val="24"/>
                <w:highlight w:val="none"/>
                <w:lang w:eastAsia="zh-CN"/>
              </w:rPr>
              <w:t>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75" w:type="dxa"/>
            <w:vAlign w:val="center"/>
          </w:tcPr>
          <w:p>
            <w:pPr>
              <w:pageBreakBefore w:val="0"/>
              <w:widowControl w:val="0"/>
              <w:kinsoku/>
              <w:wordWrap/>
              <w:overflowPunct/>
              <w:topLinePunct w:val="0"/>
              <w:autoSpaceDE/>
              <w:autoSpaceDN/>
              <w:bidi w:val="0"/>
              <w:spacing w:line="360" w:lineRule="auto"/>
              <w:ind w:left="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2.8</w:t>
            </w:r>
          </w:p>
        </w:tc>
        <w:tc>
          <w:tcPr>
            <w:tcW w:w="8363" w:type="dxa"/>
            <w:vAlign w:val="center"/>
          </w:tcPr>
          <w:p>
            <w:pPr>
              <w:pageBreakBefore w:val="0"/>
              <w:widowControl w:val="0"/>
              <w:kinsoku/>
              <w:wordWrap/>
              <w:overflowPunct/>
              <w:topLinePunct w:val="0"/>
              <w:autoSpaceDE/>
              <w:autoSpaceDN/>
              <w:bidi w:val="0"/>
              <w:adjustRightInd w:val="0"/>
              <w:spacing w:line="360" w:lineRule="auto"/>
              <w:ind w:left="0" w:hanging="352" w:hangingChars="147"/>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注释可自定义，可保存或修改。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75" w:type="dxa"/>
            <w:vAlign w:val="center"/>
          </w:tcPr>
          <w:p>
            <w:pPr>
              <w:pageBreakBefore w:val="0"/>
              <w:widowControl w:val="0"/>
              <w:kinsoku/>
              <w:wordWrap/>
              <w:overflowPunct/>
              <w:topLinePunct w:val="0"/>
              <w:autoSpaceDE/>
              <w:autoSpaceDN/>
              <w:bidi w:val="0"/>
              <w:spacing w:line="360" w:lineRule="auto"/>
              <w:ind w:lef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2.9</w:t>
            </w:r>
          </w:p>
        </w:tc>
        <w:tc>
          <w:tcPr>
            <w:tcW w:w="8363" w:type="dxa"/>
            <w:vAlign w:val="center"/>
          </w:tcPr>
          <w:p>
            <w:pPr>
              <w:pageBreakBefore w:val="0"/>
              <w:widowControl w:val="0"/>
              <w:kinsoku/>
              <w:wordWrap/>
              <w:overflowPunct/>
              <w:topLinePunct w:val="0"/>
              <w:autoSpaceDE/>
              <w:autoSpaceDN/>
              <w:bidi w:val="0"/>
              <w:adjustRightInd w:val="0"/>
              <w:spacing w:line="360" w:lineRule="auto"/>
              <w:ind w:left="0" w:hanging="352" w:hangingChars="147"/>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长轴标尺：长轴图像下显示距离标尺，以便于进行测量。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75" w:type="dxa"/>
            <w:vAlign w:val="center"/>
          </w:tcPr>
          <w:p>
            <w:pPr>
              <w:pageBreakBefore w:val="0"/>
              <w:widowControl w:val="0"/>
              <w:kinsoku/>
              <w:wordWrap/>
              <w:overflowPunct/>
              <w:topLinePunct w:val="0"/>
              <w:autoSpaceDE/>
              <w:autoSpaceDN/>
              <w:bidi w:val="0"/>
              <w:spacing w:line="360" w:lineRule="auto"/>
              <w:ind w:left="0"/>
              <w:jc w:val="center"/>
              <w:textAlignment w:val="auto"/>
              <w:rPr>
                <w:rFonts w:hint="eastAsia" w:ascii="宋体" w:hAnsi="宋体" w:eastAsia="宋体" w:cs="宋体"/>
                <w:sz w:val="24"/>
                <w:szCs w:val="24"/>
                <w:highlight w:val="none"/>
              </w:rPr>
            </w:pPr>
            <w:r>
              <w:rPr>
                <w:rFonts w:hint="eastAsia" w:ascii="宋体" w:hAnsi="宋体" w:eastAsia="宋体" w:cs="宋体"/>
                <w:b w:val="0"/>
                <w:bCs w:val="0"/>
                <w:sz w:val="28"/>
                <w:szCs w:val="28"/>
                <w:highlight w:val="none"/>
                <w:lang w:val="en-US" w:eastAsia="zh-CN"/>
              </w:rPr>
              <w:t>▲</w:t>
            </w:r>
            <w:r>
              <w:rPr>
                <w:rFonts w:hint="eastAsia" w:ascii="宋体" w:hAnsi="宋体" w:eastAsia="宋体" w:cs="宋体"/>
                <w:sz w:val="24"/>
                <w:szCs w:val="24"/>
                <w:highlight w:val="none"/>
              </w:rPr>
              <w:t>2.10</w:t>
            </w:r>
          </w:p>
        </w:tc>
        <w:tc>
          <w:tcPr>
            <w:tcW w:w="8363" w:type="dxa"/>
            <w:vAlign w:val="center"/>
          </w:tcPr>
          <w:p>
            <w:pPr>
              <w:pageBreakBefore w:val="0"/>
              <w:widowControl w:val="0"/>
              <w:kinsoku/>
              <w:wordWrap/>
              <w:overflowPunct/>
              <w:topLinePunct w:val="0"/>
              <w:autoSpaceDE/>
              <w:autoSpaceDN/>
              <w:bidi w:val="0"/>
              <w:spacing w:line="360" w:lineRule="auto"/>
              <w:ind w:left="0"/>
              <w:jc w:val="left"/>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数据存储、导出方式、导出格式多样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75" w:type="dxa"/>
            <w:vAlign w:val="center"/>
          </w:tcPr>
          <w:p>
            <w:pPr>
              <w:pageBreakBefore w:val="0"/>
              <w:widowControl w:val="0"/>
              <w:kinsoku/>
              <w:wordWrap/>
              <w:overflowPunct/>
              <w:topLinePunct w:val="0"/>
              <w:autoSpaceDE/>
              <w:autoSpaceDN/>
              <w:bidi w:val="0"/>
              <w:spacing w:line="360" w:lineRule="auto"/>
              <w:ind w:left="0" w:leftChars="0"/>
              <w:jc w:val="center"/>
              <w:textAlignment w:val="auto"/>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lang w:eastAsia="zh-CN"/>
              </w:rPr>
              <w:t>2.11</w:t>
            </w:r>
          </w:p>
        </w:tc>
        <w:tc>
          <w:tcPr>
            <w:tcW w:w="8363" w:type="dxa"/>
            <w:vAlign w:val="center"/>
          </w:tcPr>
          <w:p>
            <w:pPr>
              <w:pageBreakBefore w:val="0"/>
              <w:widowControl w:val="0"/>
              <w:kinsoku/>
              <w:wordWrap/>
              <w:overflowPunct/>
              <w:topLinePunct w:val="0"/>
              <w:autoSpaceDE/>
              <w:autoSpaceDN/>
              <w:bidi w:val="0"/>
              <w:spacing w:line="360" w:lineRule="auto"/>
              <w:ind w:left="0"/>
              <w:jc w:val="left"/>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eastAsia="zh-CN"/>
              </w:rPr>
              <w:t>支持</w:t>
            </w:r>
            <w:r>
              <w:rPr>
                <w:rFonts w:hint="eastAsia" w:ascii="宋体" w:hAnsi="宋体" w:eastAsia="宋体" w:cs="宋体"/>
                <w:sz w:val="24"/>
                <w:szCs w:val="24"/>
                <w:highlight w:val="none"/>
                <w:lang w:val="en-US" w:eastAsia="zh-CN"/>
              </w:rPr>
              <w:t>D</w:t>
            </w:r>
            <w:r>
              <w:rPr>
                <w:rFonts w:hint="eastAsia" w:ascii="宋体" w:hAnsi="宋体" w:eastAsia="宋体" w:cs="宋体"/>
                <w:sz w:val="24"/>
                <w:szCs w:val="24"/>
                <w:highlight w:val="none"/>
                <w:lang w:eastAsia="zh-CN"/>
              </w:rPr>
              <w:t>I</w:t>
            </w:r>
            <w:r>
              <w:rPr>
                <w:rFonts w:hint="eastAsia" w:ascii="宋体" w:hAnsi="宋体" w:eastAsia="宋体" w:cs="宋体"/>
                <w:color w:val="auto"/>
                <w:sz w:val="24"/>
                <w:szCs w:val="24"/>
                <w:highlight w:val="none"/>
                <w:lang w:eastAsia="zh-CN"/>
              </w:rPr>
              <w:t>COM</w:t>
            </w:r>
            <w:r>
              <w:rPr>
                <w:rFonts w:hint="eastAsia" w:ascii="宋体" w:hAnsi="宋体" w:cs="宋体"/>
                <w:color w:val="auto"/>
                <w:sz w:val="24"/>
                <w:szCs w:val="24"/>
                <w:highlight w:val="none"/>
                <w:lang w:val="en-US" w:eastAsia="zh-CN"/>
              </w:rPr>
              <w:t>3.0</w:t>
            </w:r>
            <w:r>
              <w:rPr>
                <w:rFonts w:hint="eastAsia" w:ascii="宋体" w:hAnsi="宋体" w:eastAsia="宋体" w:cs="宋体"/>
                <w:color w:val="FF0000"/>
                <w:sz w:val="24"/>
                <w:szCs w:val="24"/>
                <w:highlight w:val="none"/>
                <w:lang w:eastAsia="zh-CN"/>
              </w:rPr>
              <w:t xml:space="preserve"> </w:t>
            </w:r>
            <w:r>
              <w:rPr>
                <w:rFonts w:hint="eastAsia" w:ascii="宋体" w:hAnsi="宋体" w:eastAsia="宋体" w:cs="宋体"/>
                <w:color w:val="auto"/>
                <w:sz w:val="24"/>
                <w:szCs w:val="24"/>
                <w:highlight w:val="none"/>
                <w:lang w:eastAsia="zh-CN"/>
              </w:rPr>
              <w:t>格</w:t>
            </w:r>
            <w:r>
              <w:rPr>
                <w:rFonts w:hint="eastAsia" w:ascii="宋体" w:hAnsi="宋体" w:eastAsia="宋体" w:cs="宋体"/>
                <w:sz w:val="24"/>
                <w:szCs w:val="24"/>
                <w:highlight w:val="none"/>
                <w:lang w:eastAsia="zh-CN"/>
              </w:rPr>
              <w:t>式病例存档，并提供</w:t>
            </w:r>
            <w:r>
              <w:rPr>
                <w:rFonts w:hint="eastAsia" w:ascii="宋体" w:hAnsi="宋体" w:eastAsia="宋体" w:cs="宋体"/>
                <w:sz w:val="24"/>
                <w:szCs w:val="24"/>
                <w:highlight w:val="none"/>
                <w:lang w:val="en-US" w:eastAsia="zh-CN"/>
              </w:rPr>
              <w:t>多</w:t>
            </w:r>
            <w:r>
              <w:rPr>
                <w:rFonts w:hint="eastAsia" w:ascii="宋体" w:hAnsi="宋体" w:eastAsia="宋体" w:cs="宋体"/>
                <w:sz w:val="24"/>
                <w:szCs w:val="24"/>
                <w:highlight w:val="none"/>
                <w:lang w:eastAsia="zh-CN"/>
              </w:rPr>
              <w:t>种压缩格式、无压缩格式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75" w:type="dxa"/>
            <w:vAlign w:val="center"/>
          </w:tcPr>
          <w:p>
            <w:pPr>
              <w:pageBreakBefore w:val="0"/>
              <w:widowControl w:val="0"/>
              <w:kinsoku/>
              <w:wordWrap/>
              <w:overflowPunct/>
              <w:topLinePunct w:val="0"/>
              <w:autoSpaceDE/>
              <w:autoSpaceDN/>
              <w:bidi w:val="0"/>
              <w:spacing w:line="360" w:lineRule="auto"/>
              <w:ind w:left="0" w:leftChars="0"/>
              <w:jc w:val="center"/>
              <w:textAlignment w:val="auto"/>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rPr>
              <w:t>2.12</w:t>
            </w:r>
          </w:p>
        </w:tc>
        <w:tc>
          <w:tcPr>
            <w:tcW w:w="8363" w:type="dxa"/>
            <w:vAlign w:val="center"/>
          </w:tcPr>
          <w:p>
            <w:pPr>
              <w:pageBreakBefore w:val="0"/>
              <w:widowControl w:val="0"/>
              <w:kinsoku/>
              <w:wordWrap/>
              <w:overflowPunct/>
              <w:topLinePunct w:val="0"/>
              <w:autoSpaceDE/>
              <w:autoSpaceDN/>
              <w:bidi w:val="0"/>
              <w:adjustRightInd w:val="0"/>
              <w:spacing w:line="360" w:lineRule="auto"/>
              <w:ind w:left="0" w:leftChars="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具备管腔暗度调节选择模式</w:t>
            </w:r>
            <w:r>
              <w:rPr>
                <w:rFonts w:hint="eastAsia" w:ascii="宋体" w:hAnsi="宋体" w:cs="宋体"/>
                <w:bCs/>
                <w:color w:val="000000"/>
                <w:sz w:val="24"/>
                <w:szCs w:val="24"/>
                <w:highlight w:val="none"/>
                <w:lang w:eastAsia="zh-CN"/>
              </w:rPr>
              <w:t>（</w:t>
            </w:r>
            <w:r>
              <w:rPr>
                <w:rFonts w:hint="eastAsia" w:ascii="宋体" w:hAnsi="宋体" w:cs="宋体"/>
                <w:bCs/>
                <w:color w:val="000000"/>
                <w:sz w:val="24"/>
                <w:szCs w:val="24"/>
                <w:highlight w:val="none"/>
                <w:lang w:val="en-US" w:eastAsia="zh-CN"/>
              </w:rPr>
              <w:t>提供证明资料</w:t>
            </w:r>
            <w:r>
              <w:rPr>
                <w:rFonts w:hint="eastAsia" w:ascii="宋体" w:hAnsi="宋体" w:cs="宋体"/>
                <w:bCs/>
                <w:color w:val="000000"/>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75" w:type="dxa"/>
            <w:vAlign w:val="center"/>
          </w:tcPr>
          <w:p>
            <w:pPr>
              <w:pageBreakBefore w:val="0"/>
              <w:widowControl w:val="0"/>
              <w:kinsoku/>
              <w:wordWrap/>
              <w:overflowPunct/>
              <w:topLinePunct w:val="0"/>
              <w:autoSpaceDE/>
              <w:autoSpaceDN/>
              <w:bidi w:val="0"/>
              <w:spacing w:line="360" w:lineRule="auto"/>
              <w:ind w:left="0" w:leftChars="0"/>
              <w:jc w:val="center"/>
              <w:textAlignment w:val="auto"/>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rPr>
              <w:t>2.13</w:t>
            </w:r>
          </w:p>
        </w:tc>
        <w:tc>
          <w:tcPr>
            <w:tcW w:w="8363" w:type="dxa"/>
            <w:vAlign w:val="center"/>
          </w:tcPr>
          <w:p>
            <w:pPr>
              <w:pageBreakBefore w:val="0"/>
              <w:widowControl w:val="0"/>
              <w:kinsoku/>
              <w:wordWrap/>
              <w:overflowPunct/>
              <w:topLinePunct w:val="0"/>
              <w:autoSpaceDE/>
              <w:autoSpaceDN/>
              <w:bidi w:val="0"/>
              <w:adjustRightInd w:val="0"/>
              <w:spacing w:line="360" w:lineRule="auto"/>
              <w:ind w:left="0" w:left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具备长轴标签功能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75" w:type="dxa"/>
            <w:vAlign w:val="center"/>
          </w:tcPr>
          <w:p>
            <w:pPr>
              <w:pageBreakBefore w:val="0"/>
              <w:widowControl w:val="0"/>
              <w:kinsoku/>
              <w:wordWrap/>
              <w:overflowPunct/>
              <w:topLinePunct w:val="0"/>
              <w:autoSpaceDE/>
              <w:autoSpaceDN/>
              <w:bidi w:val="0"/>
              <w:spacing w:line="360" w:lineRule="auto"/>
              <w:ind w:left="0" w:leftChars="0"/>
              <w:jc w:val="center"/>
              <w:textAlignment w:val="auto"/>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rPr>
              <w:t>2.14</w:t>
            </w:r>
          </w:p>
        </w:tc>
        <w:tc>
          <w:tcPr>
            <w:tcW w:w="8363" w:type="dxa"/>
            <w:vAlign w:val="center"/>
          </w:tcPr>
          <w:p>
            <w:pPr>
              <w:pageBreakBefore w:val="0"/>
              <w:widowControl w:val="0"/>
              <w:kinsoku/>
              <w:wordWrap/>
              <w:overflowPunct/>
              <w:topLinePunct w:val="0"/>
              <w:autoSpaceDE/>
              <w:autoSpaceDN/>
              <w:bidi w:val="0"/>
              <w:adjustRightInd w:val="0"/>
              <w:spacing w:line="360" w:lineRule="auto"/>
              <w:ind w:left="0" w:left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具备图像降噪选择模式，可以有效降低图像噪声信号，提高图像分辨率</w:t>
            </w:r>
            <w:r>
              <w:rPr>
                <w:rFonts w:hint="eastAsia" w:ascii="宋体" w:hAnsi="宋体" w:cs="宋体"/>
                <w:bCs/>
                <w:color w:val="000000"/>
                <w:sz w:val="24"/>
                <w:szCs w:val="24"/>
                <w:highlight w:val="none"/>
                <w:lang w:eastAsia="zh-CN"/>
              </w:rPr>
              <w:t>（</w:t>
            </w:r>
            <w:r>
              <w:rPr>
                <w:rFonts w:hint="eastAsia" w:ascii="宋体" w:hAnsi="宋体" w:cs="宋体"/>
                <w:bCs/>
                <w:color w:val="000000"/>
                <w:sz w:val="24"/>
                <w:szCs w:val="24"/>
                <w:highlight w:val="none"/>
                <w:lang w:val="en-US" w:eastAsia="zh-CN"/>
              </w:rPr>
              <w:t>提供证明资料</w:t>
            </w:r>
            <w:r>
              <w:rPr>
                <w:rFonts w:hint="eastAsia" w:ascii="宋体" w:hAnsi="宋体" w:cs="宋体"/>
                <w:bCs/>
                <w:color w:val="000000"/>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75" w:type="dxa"/>
            <w:vAlign w:val="center"/>
          </w:tcPr>
          <w:p>
            <w:pPr>
              <w:pageBreakBefore w:val="0"/>
              <w:widowControl w:val="0"/>
              <w:kinsoku/>
              <w:wordWrap/>
              <w:overflowPunct/>
              <w:topLinePunct w:val="0"/>
              <w:autoSpaceDE/>
              <w:autoSpaceDN/>
              <w:bidi w:val="0"/>
              <w:spacing w:line="360" w:lineRule="auto"/>
              <w:ind w:left="0" w:leftChars="0"/>
              <w:jc w:val="center"/>
              <w:textAlignment w:val="auto"/>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rPr>
              <w:t>2.15</w:t>
            </w:r>
          </w:p>
        </w:tc>
        <w:tc>
          <w:tcPr>
            <w:tcW w:w="8363" w:type="dxa"/>
            <w:vAlign w:val="center"/>
          </w:tcPr>
          <w:p>
            <w:pPr>
              <w:pStyle w:val="4"/>
              <w:pageBreakBefore w:val="0"/>
              <w:widowControl w:val="0"/>
              <w:numPr>
                <w:ilvl w:val="2"/>
                <w:numId w:val="0"/>
              </w:numPr>
              <w:kinsoku/>
              <w:wordWrap/>
              <w:overflowPunct/>
              <w:topLinePunct w:val="0"/>
              <w:autoSpaceDE/>
              <w:autoSpaceDN/>
              <w:bidi w:val="0"/>
              <w:spacing w:before="0" w:after="0" w:line="360" w:lineRule="auto"/>
              <w:ind w:left="0" w:leftChars="0" w:firstLine="0" w:firstLineChars="0"/>
              <w:textAlignment w:val="auto"/>
              <w:rPr>
                <w:rFonts w:hint="eastAsia" w:ascii="宋体" w:hAnsi="宋体" w:eastAsia="宋体" w:cs="宋体"/>
                <w:sz w:val="24"/>
                <w:szCs w:val="24"/>
                <w:highlight w:val="none"/>
              </w:rPr>
            </w:pPr>
            <w:r>
              <w:rPr>
                <w:rFonts w:hint="eastAsia" w:ascii="宋体" w:hAnsi="宋体" w:eastAsia="宋体" w:cs="宋体"/>
                <w:b w:val="0"/>
                <w:bCs w:val="0"/>
                <w:sz w:val="24"/>
                <w:szCs w:val="24"/>
                <w:highlight w:val="none"/>
              </w:rPr>
              <w:t>图像旋转：横截面图像旋转、纵切面图像旋转</w:t>
            </w:r>
            <w:r>
              <w:rPr>
                <w:rFonts w:hint="eastAsia" w:ascii="宋体" w:hAnsi="宋体" w:cs="宋体"/>
                <w:b w:val="0"/>
                <w:bCs w:val="0"/>
                <w:color w:val="000000"/>
                <w:sz w:val="24"/>
                <w:szCs w:val="24"/>
                <w:highlight w:val="none"/>
                <w:lang w:eastAsia="zh-CN"/>
              </w:rPr>
              <w:t>（</w:t>
            </w:r>
            <w:r>
              <w:rPr>
                <w:rFonts w:hint="eastAsia" w:ascii="宋体" w:hAnsi="宋体" w:cs="宋体"/>
                <w:b w:val="0"/>
                <w:bCs w:val="0"/>
                <w:color w:val="000000"/>
                <w:sz w:val="24"/>
                <w:szCs w:val="24"/>
                <w:highlight w:val="none"/>
                <w:lang w:val="en-US" w:eastAsia="zh-CN"/>
              </w:rPr>
              <w:t>提供证明资料</w:t>
            </w:r>
            <w:r>
              <w:rPr>
                <w:rFonts w:hint="eastAsia" w:ascii="宋体" w:hAnsi="宋体" w:cs="宋体"/>
                <w:b w:val="0"/>
                <w:bCs w:val="0"/>
                <w:color w:val="000000"/>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jc w:val="center"/>
        </w:trPr>
        <w:tc>
          <w:tcPr>
            <w:tcW w:w="875" w:type="dxa"/>
            <w:vAlign w:val="center"/>
          </w:tcPr>
          <w:p>
            <w:pPr>
              <w:pageBreakBefore w:val="0"/>
              <w:widowControl w:val="0"/>
              <w:kinsoku/>
              <w:wordWrap/>
              <w:overflowPunct/>
              <w:topLinePunct w:val="0"/>
              <w:autoSpaceDE/>
              <w:autoSpaceDN/>
              <w:bidi w:val="0"/>
              <w:spacing w:line="360" w:lineRule="auto"/>
              <w:ind w:left="0" w:leftChars="0"/>
              <w:jc w:val="center"/>
              <w:textAlignment w:val="auto"/>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rPr>
              <w:t>2.16</w:t>
            </w:r>
          </w:p>
        </w:tc>
        <w:tc>
          <w:tcPr>
            <w:tcW w:w="8363" w:type="dxa"/>
            <w:vAlign w:val="center"/>
          </w:tcPr>
          <w:p>
            <w:pPr>
              <w:pageBreakBefore w:val="0"/>
              <w:widowControl w:val="0"/>
              <w:kinsoku/>
              <w:wordWrap/>
              <w:overflowPunct/>
              <w:topLinePunct w:val="0"/>
              <w:autoSpaceDE/>
              <w:autoSpaceDN/>
              <w:bidi w:val="0"/>
              <w:adjustRightInd w:val="0"/>
              <w:spacing w:line="360" w:lineRule="auto"/>
              <w:ind w:left="0" w:left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支持软件升级，留置软件升级通道，并可与院方His系统对接，免费升级软件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75" w:type="dxa"/>
            <w:vAlign w:val="center"/>
          </w:tcPr>
          <w:p>
            <w:pPr>
              <w:pageBreakBefore w:val="0"/>
              <w:widowControl w:val="0"/>
              <w:kinsoku/>
              <w:wordWrap/>
              <w:overflowPunct/>
              <w:topLinePunct w:val="0"/>
              <w:autoSpaceDE/>
              <w:autoSpaceDN/>
              <w:bidi w:val="0"/>
              <w:spacing w:line="360" w:lineRule="auto"/>
              <w:ind w:left="0"/>
              <w:jc w:val="center"/>
              <w:textAlignment w:val="auto"/>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2.17</w:t>
            </w:r>
          </w:p>
        </w:tc>
        <w:tc>
          <w:tcPr>
            <w:tcW w:w="8363" w:type="dxa"/>
            <w:vAlign w:val="center"/>
          </w:tcPr>
          <w:p>
            <w:pPr>
              <w:pageBreakBefore w:val="0"/>
              <w:kinsoku/>
              <w:wordWrap/>
              <w:overflowPunct/>
              <w:topLinePunct w:val="0"/>
              <w:autoSpaceDE/>
              <w:autoSpaceDN/>
              <w:bidi w:val="0"/>
              <w:adjustRightInd w:val="0"/>
              <w:spacing w:line="360" w:lineRule="auto"/>
              <w:ind w:left="0" w:leftChars="0"/>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支持dicom服务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238" w:type="dxa"/>
            <w:gridSpan w:val="2"/>
            <w:vAlign w:val="center"/>
          </w:tcPr>
          <w:p>
            <w:pPr>
              <w:pageBreakBefore w:val="0"/>
              <w:widowControl w:val="0"/>
              <w:kinsoku/>
              <w:wordWrap/>
              <w:overflowPunct/>
              <w:topLinePunct w:val="0"/>
              <w:autoSpaceDE/>
              <w:autoSpaceDN/>
              <w:bidi w:val="0"/>
              <w:adjustRightInd w:val="0"/>
              <w:spacing w:line="360" w:lineRule="auto"/>
              <w:ind w:left="0"/>
              <w:textAlignment w:val="auto"/>
              <w:rPr>
                <w:rFonts w:hint="eastAsia" w:ascii="宋体" w:hAnsi="宋体" w:eastAsia="宋体" w:cs="宋体"/>
                <w:sz w:val="24"/>
                <w:szCs w:val="24"/>
                <w:highlight w:val="none"/>
              </w:rPr>
            </w:pPr>
            <w:r>
              <w:rPr>
                <w:rFonts w:hint="eastAsia" w:ascii="宋体" w:hAnsi="宋体" w:eastAsia="宋体" w:cs="宋体"/>
                <w:b/>
                <w:bCs/>
                <w:sz w:val="24"/>
                <w:szCs w:val="24"/>
                <w:highlight w:val="none"/>
              </w:rPr>
              <w:t>三、超声导管参数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75" w:type="dxa"/>
            <w:vAlign w:val="center"/>
          </w:tcPr>
          <w:p>
            <w:pPr>
              <w:pageBreakBefore w:val="0"/>
              <w:widowControl w:val="0"/>
              <w:kinsoku/>
              <w:wordWrap/>
              <w:overflowPunct/>
              <w:topLinePunct w:val="0"/>
              <w:autoSpaceDE/>
              <w:autoSpaceDN/>
              <w:bidi w:val="0"/>
              <w:spacing w:line="360" w:lineRule="auto"/>
              <w:ind w:left="0"/>
              <w:jc w:val="center"/>
              <w:textAlignment w:val="auto"/>
              <w:rPr>
                <w:rFonts w:hint="eastAsia" w:ascii="宋体" w:hAnsi="宋体" w:eastAsia="宋体" w:cs="宋体"/>
                <w:bCs/>
                <w:i/>
                <w:iCs/>
                <w:color w:val="0000FF"/>
                <w:sz w:val="24"/>
                <w:szCs w:val="24"/>
                <w:highlight w:val="none"/>
              </w:rPr>
            </w:pPr>
            <w:r>
              <w:rPr>
                <w:rFonts w:hint="eastAsia" w:ascii="宋体" w:hAnsi="宋体" w:eastAsia="宋体" w:cs="宋体"/>
                <w:sz w:val="24"/>
                <w:szCs w:val="24"/>
                <w:highlight w:val="none"/>
              </w:rPr>
              <w:t>3.1</w:t>
            </w:r>
          </w:p>
        </w:tc>
        <w:tc>
          <w:tcPr>
            <w:tcW w:w="8363" w:type="dxa"/>
            <w:vAlign w:val="center"/>
          </w:tcPr>
          <w:p>
            <w:pPr>
              <w:pageBreakBefore w:val="0"/>
              <w:widowControl w:val="0"/>
              <w:kinsoku/>
              <w:wordWrap/>
              <w:overflowPunct/>
              <w:topLinePunct w:val="0"/>
              <w:autoSpaceDE/>
              <w:autoSpaceDN/>
              <w:bidi w:val="0"/>
              <w:spacing w:line="360" w:lineRule="auto"/>
              <w:ind w:left="0"/>
              <w:textAlignment w:val="auto"/>
              <w:rPr>
                <w:rFonts w:hint="eastAsia" w:ascii="宋体" w:hAnsi="宋体" w:eastAsia="宋体" w:cs="宋体"/>
                <w:bCs/>
                <w:i/>
                <w:iCs/>
                <w:color w:val="0000FF"/>
                <w:sz w:val="24"/>
                <w:szCs w:val="24"/>
                <w:highlight w:val="none"/>
              </w:rPr>
            </w:pPr>
            <w:r>
              <w:rPr>
                <w:rFonts w:hint="eastAsia" w:ascii="宋体" w:hAnsi="宋体" w:eastAsia="宋体" w:cs="宋体"/>
                <w:bCs/>
                <w:sz w:val="24"/>
                <w:szCs w:val="24"/>
                <w:highlight w:val="none"/>
                <w:lang w:eastAsia="zh-CN"/>
              </w:rPr>
              <w:t>标配</w:t>
            </w:r>
            <w:r>
              <w:rPr>
                <w:rFonts w:hint="eastAsia" w:ascii="宋体" w:hAnsi="宋体" w:eastAsia="宋体" w:cs="宋体"/>
                <w:bCs/>
                <w:sz w:val="24"/>
                <w:szCs w:val="24"/>
                <w:highlight w:val="none"/>
              </w:rPr>
              <w:t>超声导管，可用于冠脉血管超声介入治疗诊断。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75" w:type="dxa"/>
            <w:vAlign w:val="center"/>
          </w:tcPr>
          <w:p>
            <w:pPr>
              <w:pageBreakBefore w:val="0"/>
              <w:widowControl w:val="0"/>
              <w:kinsoku/>
              <w:wordWrap/>
              <w:overflowPunct/>
              <w:topLinePunct w:val="0"/>
              <w:autoSpaceDE/>
              <w:autoSpaceDN/>
              <w:bidi w:val="0"/>
              <w:spacing w:line="360" w:lineRule="auto"/>
              <w:ind w:left="0"/>
              <w:jc w:val="center"/>
              <w:textAlignment w:val="auto"/>
              <w:rPr>
                <w:rFonts w:hint="eastAsia" w:ascii="宋体" w:hAnsi="宋体" w:eastAsia="宋体" w:cs="宋体"/>
                <w:bCs/>
                <w:sz w:val="24"/>
                <w:szCs w:val="24"/>
                <w:highlight w:val="none"/>
              </w:rPr>
            </w:pPr>
            <w:r>
              <w:rPr>
                <w:rFonts w:hint="eastAsia" w:ascii="宋体" w:hAnsi="宋体" w:eastAsia="宋体" w:cs="宋体"/>
                <w:b w:val="0"/>
                <w:bCs w:val="0"/>
                <w:sz w:val="28"/>
                <w:szCs w:val="28"/>
                <w:highlight w:val="none"/>
                <w:lang w:val="en-US" w:eastAsia="zh-CN"/>
              </w:rPr>
              <w:t>▲</w:t>
            </w:r>
            <w:r>
              <w:rPr>
                <w:rFonts w:hint="eastAsia" w:ascii="宋体" w:hAnsi="宋体" w:eastAsia="宋体" w:cs="宋体"/>
                <w:bCs/>
                <w:sz w:val="24"/>
                <w:szCs w:val="24"/>
                <w:highlight w:val="none"/>
              </w:rPr>
              <w:t>3.2</w:t>
            </w:r>
          </w:p>
        </w:tc>
        <w:tc>
          <w:tcPr>
            <w:tcW w:w="8363" w:type="dxa"/>
            <w:vAlign w:val="center"/>
          </w:tcPr>
          <w:p>
            <w:pPr>
              <w:pageBreakBefore w:val="0"/>
              <w:widowControl w:val="0"/>
              <w:kinsoku/>
              <w:wordWrap/>
              <w:overflowPunct/>
              <w:topLinePunct w:val="0"/>
              <w:autoSpaceDE/>
              <w:autoSpaceDN/>
              <w:bidi w:val="0"/>
              <w:spacing w:line="360" w:lineRule="auto"/>
              <w:ind w:left="0"/>
              <w:textAlignment w:val="auto"/>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rPr>
              <w:t>具有宽带技术的机械旋转式超声导管，频率≥</w:t>
            </w:r>
            <w:r>
              <w:rPr>
                <w:rFonts w:hint="eastAsia" w:ascii="宋体" w:hAnsi="宋体" w:eastAsia="宋体" w:cs="宋体"/>
                <w:bCs/>
                <w:sz w:val="24"/>
                <w:szCs w:val="24"/>
                <w:highlight w:val="none"/>
                <w:lang w:val="en-US" w:eastAsia="zh-CN"/>
              </w:rPr>
              <w:t>50</w:t>
            </w:r>
            <w:r>
              <w:rPr>
                <w:rFonts w:hint="eastAsia" w:ascii="宋体" w:hAnsi="宋体" w:eastAsia="宋体" w:cs="宋体"/>
                <w:bCs/>
                <w:sz w:val="24"/>
                <w:szCs w:val="24"/>
                <w:highlight w:val="none"/>
              </w:rPr>
              <w:t>MHz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75" w:type="dxa"/>
            <w:vAlign w:val="center"/>
          </w:tcPr>
          <w:p>
            <w:pPr>
              <w:pageBreakBefore w:val="0"/>
              <w:widowControl w:val="0"/>
              <w:kinsoku/>
              <w:wordWrap/>
              <w:overflowPunct/>
              <w:topLinePunct w:val="0"/>
              <w:autoSpaceDE/>
              <w:autoSpaceDN/>
              <w:bidi w:val="0"/>
              <w:spacing w:line="360" w:lineRule="auto"/>
              <w:jc w:val="center"/>
              <w:textAlignment w:val="auto"/>
              <w:rPr>
                <w:rFonts w:hint="eastAsia" w:ascii="宋体" w:hAnsi="宋体" w:eastAsia="宋体" w:cs="宋体"/>
                <w:bCs/>
                <w:sz w:val="24"/>
                <w:szCs w:val="24"/>
                <w:highlight w:val="none"/>
                <w:lang w:eastAsia="zh-CN"/>
              </w:rPr>
            </w:pPr>
            <w:r>
              <w:rPr>
                <w:rFonts w:hint="eastAsia" w:ascii="宋体" w:hAnsi="宋体" w:eastAsia="宋体" w:cs="宋体"/>
                <w:b w:val="0"/>
                <w:bCs w:val="0"/>
                <w:sz w:val="28"/>
                <w:szCs w:val="28"/>
                <w:highlight w:val="none"/>
                <w:lang w:val="en-US" w:eastAsia="zh-CN"/>
              </w:rPr>
              <w:t>▲</w:t>
            </w:r>
            <w:r>
              <w:rPr>
                <w:rFonts w:hint="eastAsia" w:ascii="宋体" w:hAnsi="宋体" w:eastAsia="宋体" w:cs="宋体"/>
                <w:bCs/>
                <w:sz w:val="24"/>
                <w:szCs w:val="24"/>
                <w:highlight w:val="none"/>
              </w:rPr>
              <w:t>3.</w:t>
            </w:r>
            <w:r>
              <w:rPr>
                <w:rFonts w:hint="eastAsia" w:ascii="宋体" w:hAnsi="宋体" w:cs="宋体"/>
                <w:bCs/>
                <w:sz w:val="24"/>
                <w:szCs w:val="24"/>
                <w:highlight w:val="none"/>
                <w:lang w:val="en-US" w:eastAsia="zh-CN"/>
              </w:rPr>
              <w:t>3</w:t>
            </w:r>
          </w:p>
        </w:tc>
        <w:tc>
          <w:tcPr>
            <w:tcW w:w="8363" w:type="dxa"/>
            <w:vAlign w:val="center"/>
          </w:tcPr>
          <w:p>
            <w:pPr>
              <w:pageBreakBefore w:val="0"/>
              <w:widowControl w:val="0"/>
              <w:kinsoku/>
              <w:wordWrap/>
              <w:overflowPunct/>
              <w:topLinePunct w:val="0"/>
              <w:autoSpaceDE/>
              <w:autoSpaceDN/>
              <w:bidi w:val="0"/>
              <w:spacing w:line="360" w:lineRule="auto"/>
              <w:ind w:left="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超声导管长度≥110cm。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75" w:type="dxa"/>
            <w:vAlign w:val="center"/>
          </w:tcPr>
          <w:p>
            <w:pPr>
              <w:pageBreakBefore w:val="0"/>
              <w:widowControl w:val="0"/>
              <w:kinsoku/>
              <w:wordWrap/>
              <w:overflowPunct/>
              <w:topLinePunct w:val="0"/>
              <w:autoSpaceDE/>
              <w:autoSpaceDN/>
              <w:bidi w:val="0"/>
              <w:spacing w:line="360" w:lineRule="auto"/>
              <w:jc w:val="center"/>
              <w:textAlignment w:val="auto"/>
              <w:rPr>
                <w:rFonts w:hint="eastAsia" w:ascii="宋体" w:hAnsi="宋体" w:eastAsia="宋体" w:cs="宋体"/>
                <w:bCs/>
                <w:sz w:val="24"/>
                <w:szCs w:val="24"/>
                <w:highlight w:val="none"/>
                <w:lang w:eastAsia="zh-CN"/>
              </w:rPr>
            </w:pPr>
            <w:r>
              <w:rPr>
                <w:rFonts w:hint="eastAsia" w:ascii="宋体" w:hAnsi="宋体" w:eastAsia="宋体" w:cs="宋体"/>
                <w:b w:val="0"/>
                <w:bCs w:val="0"/>
                <w:sz w:val="28"/>
                <w:szCs w:val="28"/>
                <w:highlight w:val="none"/>
                <w:lang w:val="en-US" w:eastAsia="zh-CN"/>
              </w:rPr>
              <w:t>▲</w:t>
            </w:r>
            <w:r>
              <w:rPr>
                <w:rFonts w:hint="eastAsia" w:ascii="宋体" w:hAnsi="宋体" w:eastAsia="宋体" w:cs="宋体"/>
                <w:bCs/>
                <w:sz w:val="24"/>
                <w:szCs w:val="24"/>
                <w:highlight w:val="none"/>
              </w:rPr>
              <w:t>3</w:t>
            </w:r>
            <w:r>
              <w:rPr>
                <w:rFonts w:hint="eastAsia" w:ascii="宋体" w:hAnsi="宋体" w:cs="宋体"/>
                <w:bCs/>
                <w:sz w:val="24"/>
                <w:szCs w:val="24"/>
                <w:highlight w:val="none"/>
                <w:lang w:val="en-US" w:eastAsia="zh-CN"/>
              </w:rPr>
              <w:t>.4</w:t>
            </w:r>
          </w:p>
        </w:tc>
        <w:tc>
          <w:tcPr>
            <w:tcW w:w="8363" w:type="dxa"/>
            <w:vAlign w:val="center"/>
          </w:tcPr>
          <w:p>
            <w:pPr>
              <w:pageBreakBefore w:val="0"/>
              <w:widowControl w:val="0"/>
              <w:kinsoku/>
              <w:wordWrap/>
              <w:overflowPunct/>
              <w:topLinePunct w:val="0"/>
              <w:autoSpaceDE/>
              <w:autoSpaceDN/>
              <w:bidi w:val="0"/>
              <w:spacing w:line="360" w:lineRule="auto"/>
              <w:ind w:left="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超声导管兼容≤9F指引导管</w:t>
            </w:r>
          </w:p>
        </w:tc>
      </w:tr>
    </w:tbl>
    <w:p>
      <w:pPr>
        <w:spacing w:line="360" w:lineRule="auto"/>
        <w:rPr>
          <w:rFonts w:ascii="宋体" w:hAnsi="宋体" w:eastAsia="宋体" w:cs="宋体"/>
          <w:highlight w:val="none"/>
        </w:rPr>
      </w:pPr>
      <w:r>
        <w:rPr>
          <w:rFonts w:hint="eastAsia" w:ascii="宋体" w:hAnsi="宋体" w:eastAsia="宋体" w:cs="宋体"/>
          <w:highlight w:val="none"/>
        </w:rPr>
        <w:t>注：（1）加▲参数必须提供技术支持材料，否则按加▲参数不满足要求不予认可；其余一般技术参数须如实响应，否则按负偏离处理。</w:t>
      </w:r>
    </w:p>
    <w:p>
      <w:pPr>
        <w:spacing w:line="360" w:lineRule="auto"/>
        <w:rPr>
          <w:rFonts w:ascii="宋体" w:hAnsi="宋体" w:eastAsia="宋体" w:cs="宋体"/>
          <w:highlight w:val="none"/>
        </w:rPr>
      </w:pPr>
      <w:r>
        <w:rPr>
          <w:rFonts w:hint="eastAsia" w:ascii="宋体" w:hAnsi="宋体" w:eastAsia="宋体" w:cs="宋体"/>
          <w:highlight w:val="none"/>
        </w:rPr>
        <w:t>(2)供应商须提供响应招标文件要求提供产品完整的检测报告和注册证及附件（产品技术要求），且对提供产品证明材料的真实性负责，并承担相应的法律责任。</w:t>
      </w:r>
    </w:p>
    <w:p>
      <w:pPr>
        <w:spacing w:line="360" w:lineRule="auto"/>
        <w:rPr>
          <w:rFonts w:ascii="宋体" w:hAnsi="宋体" w:eastAsia="宋体" w:cs="宋体"/>
          <w:highlight w:val="none"/>
        </w:rPr>
      </w:pPr>
      <w:r>
        <w:rPr>
          <w:rFonts w:hint="eastAsia" w:ascii="宋体" w:hAnsi="宋体" w:eastAsia="宋体" w:cs="宋体"/>
          <w:highlight w:val="none"/>
        </w:rPr>
        <w:t>(3)供应商也可提供其他技术支持文件，如所投产品型号彩页等相关证明文件。</w:t>
      </w:r>
    </w:p>
    <w:p>
      <w:pPr>
        <w:spacing w:line="360" w:lineRule="auto"/>
        <w:rPr>
          <w:rFonts w:ascii="宋体" w:hAnsi="宋体" w:eastAsia="宋体" w:cs="宋体"/>
          <w:highlight w:val="none"/>
        </w:rPr>
      </w:pPr>
      <w:r>
        <w:rPr>
          <w:rFonts w:hint="eastAsia" w:ascii="宋体" w:hAnsi="宋体" w:eastAsia="宋体" w:cs="宋体"/>
          <w:highlight w:val="none"/>
        </w:rPr>
        <w:t>(4)加▲参数供应商在投标文件中《技术要求响应与偏差表》的偏差说明处填写“符合”，但在提供的证明文件中并未找到该条款“符合”的依据，此条款将按负偏离进行打分。</w:t>
      </w:r>
    </w:p>
    <w:p>
      <w:pPr>
        <w:spacing w:line="360" w:lineRule="auto"/>
        <w:rPr>
          <w:rFonts w:ascii="宋体" w:hAnsi="宋体" w:eastAsia="宋体" w:cs="宋体"/>
          <w:highlight w:val="none"/>
        </w:rPr>
      </w:pPr>
      <w:r>
        <w:rPr>
          <w:rFonts w:hint="eastAsia" w:ascii="宋体" w:hAnsi="宋体" w:eastAsia="宋体" w:cs="宋体"/>
          <w:highlight w:val="none"/>
        </w:rPr>
        <w:t>（5）各供应商应在投标文件中标注加▲技术参数及其他所需提供证明材料的对应页码，否则因此导致评委无法判断偏离情况的，后果供应商自负。</w:t>
      </w:r>
    </w:p>
    <w:p>
      <w:pPr>
        <w:spacing w:line="360" w:lineRule="auto"/>
        <w:rPr>
          <w:rFonts w:ascii="宋体" w:hAnsi="宋体" w:eastAsia="宋体" w:cs="宋体"/>
          <w:highlight w:val="none"/>
        </w:rPr>
      </w:pPr>
      <w:r>
        <w:rPr>
          <w:rFonts w:hint="eastAsia" w:ascii="宋体" w:hAnsi="宋体" w:eastAsia="宋体" w:cs="宋体"/>
          <w:highlight w:val="none"/>
        </w:rPr>
        <w:t>（6）供应商应保证其资料的真实性、有效性，一经发现有虚假资料，招标人有权取消其中标资格，由此产生的损失，由供应商承担。</w:t>
      </w:r>
    </w:p>
    <w:p>
      <w:pPr>
        <w:spacing w:line="360" w:lineRule="auto"/>
        <w:rPr>
          <w:rFonts w:ascii="宋体" w:hAnsi="宋体" w:eastAsia="宋体" w:cs="宋体"/>
          <w:highlight w:val="none"/>
        </w:rPr>
      </w:pPr>
      <w:r>
        <w:rPr>
          <w:rFonts w:hint="eastAsia" w:ascii="宋体" w:hAnsi="宋体" w:eastAsia="宋体" w:cs="宋体"/>
          <w:highlight w:val="none"/>
        </w:rPr>
        <w:t>（7）证据材料应是中文，如是外文应提供对应的中文翻译说明，评标以中文翻译内容为准。</w:t>
      </w:r>
    </w:p>
    <w:bookmarkEnd w:id="147"/>
    <w:bookmarkEnd w:id="148"/>
    <w:bookmarkEnd w:id="149"/>
    <w:p>
      <w:pPr>
        <w:pStyle w:val="46"/>
        <w:spacing w:before="0" w:after="0" w:line="360" w:lineRule="auto"/>
        <w:outlineLvl w:val="9"/>
        <w:rPr>
          <w:rFonts w:ascii="宋体" w:hAnsi="宋体" w:cs="宋体"/>
          <w:sz w:val="24"/>
          <w:szCs w:val="24"/>
          <w:highlight w:val="none"/>
        </w:rPr>
      </w:pPr>
      <w:r>
        <w:rPr>
          <w:rFonts w:hint="eastAsia" w:ascii="宋体" w:hAnsi="宋体" w:cs="宋体"/>
          <w:sz w:val="24"/>
          <w:szCs w:val="24"/>
          <w:highlight w:val="none"/>
        </w:rPr>
        <w:t>三、其他要求：</w:t>
      </w:r>
    </w:p>
    <w:p>
      <w:pPr>
        <w:pStyle w:val="28"/>
        <w:spacing w:line="360" w:lineRule="auto"/>
        <w:rPr>
          <w:rFonts w:ascii="宋体" w:hAnsi="宋体" w:eastAsia="宋体" w:cs="宋体"/>
          <w:spacing w:val="14"/>
          <w:sz w:val="24"/>
          <w:szCs w:val="24"/>
          <w:highlight w:val="none"/>
        </w:rPr>
      </w:pPr>
      <w:r>
        <w:rPr>
          <w:rFonts w:hint="eastAsia" w:ascii="宋体" w:hAnsi="宋体" w:eastAsia="宋体" w:cs="宋体"/>
          <w:spacing w:val="14"/>
          <w:sz w:val="24"/>
          <w:szCs w:val="24"/>
          <w:highlight w:val="none"/>
        </w:rPr>
        <w:t>1、投标人须提供符合国家质量标准、部颁标准、行业标准或本招标文件规定标准的、供货渠道合法的全新原装合格正品（包括零部件），如安装或配置软件的，须为正版软件。所提供的货物应当同时符合国家有关安全、卫生、环保规定。本项目中所投产品涉及工业产品生产许可证的，该产品应具有由质监部门颁发给制造商的关于该产品的《全国工业产品生产许可证》；本项目中所投产品涉及纳入国家认证认可监督管理委员会现行《强制性产品认证目录描述与界定表》管理的强制性认证产品（简称3C认证产品）的，该产品应具有由认证机构颁发给制造商的该产品强制性认证证书；本项目中所投产品属于《信息安全产品强制性认证目录》内的信息安全产品的，该产品应具有由中国信息安全认证中心按国家标准认证颁发的有效认证证书；本项目中所投产品涉及网络通讯产品的，该产品应具有工信部门颁发的入网许可证。</w:t>
      </w:r>
    </w:p>
    <w:p>
      <w:pPr>
        <w:pStyle w:val="28"/>
        <w:spacing w:line="360" w:lineRule="auto"/>
        <w:rPr>
          <w:rFonts w:ascii="宋体" w:hAnsi="宋体" w:eastAsia="宋体" w:cs="宋体"/>
          <w:spacing w:val="14"/>
          <w:sz w:val="24"/>
          <w:szCs w:val="24"/>
          <w:highlight w:val="none"/>
        </w:rPr>
      </w:pPr>
      <w:r>
        <w:rPr>
          <w:rFonts w:hint="eastAsia" w:ascii="宋体" w:hAnsi="宋体" w:eastAsia="宋体" w:cs="宋体"/>
          <w:spacing w:val="14"/>
          <w:sz w:val="24"/>
          <w:szCs w:val="24"/>
          <w:highlight w:val="none"/>
        </w:rPr>
        <w:t>2、本项目中所投的设备和产品列入国家互联网信息办公室、工业和信息化部、公安部、国家认证认可监督管理委员会《网络关键设备和网络安全专用产品目录》的，应当按照相关国家标准的强制性要求，提供由具备资格的机构安全认证合格或者安全检测符合要求的相关证明材料的复印件（具备资格的机构指国家认证认可监督管理委员会、工业和信息化部、公安部、国家互联网信息办公室按照国家有关规定共同认定的机构）。</w:t>
      </w:r>
    </w:p>
    <w:p>
      <w:pPr>
        <w:pStyle w:val="28"/>
        <w:spacing w:line="360" w:lineRule="auto"/>
        <w:rPr>
          <w:rFonts w:ascii="宋体" w:hAnsi="宋体" w:eastAsia="宋体" w:cs="宋体"/>
          <w:spacing w:val="14"/>
          <w:sz w:val="24"/>
          <w:szCs w:val="24"/>
          <w:highlight w:val="none"/>
        </w:rPr>
      </w:pPr>
      <w:r>
        <w:rPr>
          <w:rFonts w:hint="eastAsia" w:ascii="宋体" w:hAnsi="宋体" w:eastAsia="宋体" w:cs="宋体"/>
          <w:spacing w:val="14"/>
          <w:sz w:val="24"/>
          <w:szCs w:val="24"/>
          <w:highlight w:val="none"/>
        </w:rPr>
        <w:t>3、采购人使用中标人中标的货物、技术、资料、服务或其他任何一部分时，享有无偿使用权。免受第三方提出的侵犯其专利权、著作权、商标权或其它知识产权的起诉。如果第三方提出侵权指控，中标人应承担由此而引起的一切法律责任和费用。</w:t>
      </w:r>
    </w:p>
    <w:p>
      <w:pPr>
        <w:pStyle w:val="29"/>
        <w:spacing w:line="360" w:lineRule="auto"/>
        <w:rPr>
          <w:rFonts w:ascii="宋体" w:hAnsi="宋体" w:cs="宋体"/>
          <w:spacing w:val="14"/>
          <w:sz w:val="24"/>
          <w:szCs w:val="24"/>
          <w:highlight w:val="none"/>
        </w:rPr>
      </w:pPr>
    </w:p>
    <w:p>
      <w:pPr>
        <w:pStyle w:val="38"/>
        <w:rPr>
          <w:rFonts w:ascii="宋体" w:hAnsi="宋体" w:cs="宋体"/>
          <w:spacing w:val="14"/>
          <w:sz w:val="24"/>
          <w:szCs w:val="24"/>
          <w:highlight w:val="none"/>
        </w:rPr>
      </w:pPr>
    </w:p>
    <w:p>
      <w:pPr>
        <w:pStyle w:val="43"/>
        <w:spacing w:before="0" w:after="0"/>
        <w:ind w:firstLine="562"/>
        <w:rPr>
          <w:rFonts w:hint="eastAsia" w:ascii="宋体" w:hAnsi="宋体" w:cs="宋体"/>
          <w:sz w:val="28"/>
          <w:szCs w:val="28"/>
          <w:highlight w:val="none"/>
        </w:rPr>
      </w:pPr>
      <w:bookmarkStart w:id="151" w:name="_Toc1660840"/>
      <w:bookmarkStart w:id="152" w:name="_Toc504741950"/>
      <w:bookmarkStart w:id="153" w:name="_Toc256000052"/>
      <w:bookmarkStart w:id="154" w:name="_Toc19226"/>
    </w:p>
    <w:p>
      <w:pPr>
        <w:pStyle w:val="43"/>
        <w:spacing w:before="0" w:after="0"/>
        <w:ind w:firstLine="562"/>
        <w:rPr>
          <w:rFonts w:hint="eastAsia" w:ascii="宋体" w:hAnsi="宋体" w:cs="宋体"/>
          <w:sz w:val="28"/>
          <w:szCs w:val="28"/>
          <w:highlight w:val="none"/>
        </w:rPr>
      </w:pPr>
    </w:p>
    <w:p>
      <w:pPr>
        <w:pStyle w:val="43"/>
        <w:spacing w:before="0" w:after="0"/>
        <w:ind w:firstLine="562"/>
        <w:rPr>
          <w:rFonts w:hint="eastAsia" w:ascii="宋体" w:hAnsi="宋体" w:cs="宋体"/>
          <w:sz w:val="28"/>
          <w:szCs w:val="28"/>
          <w:highlight w:val="none"/>
        </w:rPr>
      </w:pPr>
    </w:p>
    <w:p>
      <w:pPr>
        <w:pStyle w:val="43"/>
        <w:spacing w:before="0" w:after="0"/>
        <w:ind w:firstLine="562"/>
        <w:rPr>
          <w:rFonts w:hint="eastAsia" w:ascii="宋体" w:hAnsi="宋体" w:cs="宋体"/>
          <w:sz w:val="28"/>
          <w:szCs w:val="28"/>
          <w:highlight w:val="none"/>
        </w:rPr>
      </w:pPr>
    </w:p>
    <w:p>
      <w:pPr>
        <w:pStyle w:val="43"/>
        <w:spacing w:before="0" w:after="0"/>
        <w:ind w:firstLine="562"/>
        <w:rPr>
          <w:rFonts w:hint="eastAsia" w:ascii="宋体" w:hAnsi="宋体" w:cs="宋体"/>
          <w:sz w:val="28"/>
          <w:szCs w:val="28"/>
          <w:highlight w:val="none"/>
        </w:rPr>
      </w:pPr>
    </w:p>
    <w:p>
      <w:pPr>
        <w:pStyle w:val="43"/>
        <w:spacing w:before="0" w:after="0"/>
        <w:ind w:firstLine="562"/>
        <w:rPr>
          <w:rFonts w:hint="eastAsia" w:ascii="宋体" w:hAnsi="宋体" w:cs="宋体"/>
          <w:sz w:val="28"/>
          <w:szCs w:val="28"/>
          <w:highlight w:val="none"/>
        </w:rPr>
      </w:pPr>
    </w:p>
    <w:p>
      <w:pPr>
        <w:pStyle w:val="43"/>
        <w:spacing w:before="0" w:after="0"/>
        <w:ind w:firstLine="562"/>
        <w:rPr>
          <w:rFonts w:hint="eastAsia" w:ascii="宋体" w:hAnsi="宋体" w:cs="宋体"/>
          <w:sz w:val="28"/>
          <w:szCs w:val="28"/>
          <w:highlight w:val="none"/>
        </w:rPr>
      </w:pPr>
    </w:p>
    <w:p>
      <w:pPr>
        <w:pStyle w:val="43"/>
        <w:spacing w:before="0" w:after="0"/>
        <w:ind w:firstLine="562"/>
        <w:rPr>
          <w:rFonts w:hint="eastAsia" w:ascii="宋体" w:hAnsi="宋体" w:cs="宋体"/>
          <w:sz w:val="28"/>
          <w:szCs w:val="28"/>
          <w:highlight w:val="none"/>
        </w:rPr>
      </w:pPr>
    </w:p>
    <w:p>
      <w:pPr>
        <w:pStyle w:val="43"/>
        <w:spacing w:before="0" w:after="0"/>
        <w:ind w:firstLine="562"/>
        <w:rPr>
          <w:rFonts w:hint="eastAsia" w:ascii="宋体" w:hAnsi="宋体" w:cs="宋体"/>
          <w:sz w:val="28"/>
          <w:szCs w:val="28"/>
          <w:highlight w:val="none"/>
        </w:rPr>
      </w:pPr>
    </w:p>
    <w:p>
      <w:pPr>
        <w:pStyle w:val="43"/>
        <w:spacing w:before="0" w:after="0"/>
        <w:ind w:firstLine="562"/>
        <w:rPr>
          <w:rFonts w:hint="eastAsia" w:ascii="宋体" w:hAnsi="宋体" w:cs="宋体"/>
          <w:sz w:val="28"/>
          <w:szCs w:val="28"/>
          <w:highlight w:val="none"/>
        </w:rPr>
      </w:pPr>
    </w:p>
    <w:p>
      <w:pPr>
        <w:pStyle w:val="43"/>
        <w:spacing w:before="0" w:after="0"/>
        <w:ind w:firstLine="562"/>
        <w:rPr>
          <w:rFonts w:hint="eastAsia" w:ascii="宋体" w:hAnsi="宋体" w:cs="宋体"/>
          <w:sz w:val="28"/>
          <w:szCs w:val="28"/>
          <w:highlight w:val="none"/>
        </w:rPr>
      </w:pPr>
    </w:p>
    <w:p>
      <w:pPr>
        <w:pStyle w:val="43"/>
        <w:spacing w:before="0" w:after="0"/>
        <w:ind w:firstLine="562"/>
        <w:rPr>
          <w:rFonts w:hint="eastAsia" w:ascii="宋体" w:hAnsi="宋体" w:cs="宋体"/>
          <w:sz w:val="28"/>
          <w:szCs w:val="28"/>
          <w:highlight w:val="none"/>
        </w:rPr>
      </w:pPr>
    </w:p>
    <w:p>
      <w:pPr>
        <w:pStyle w:val="43"/>
        <w:spacing w:before="0" w:after="0"/>
        <w:ind w:firstLine="562"/>
        <w:rPr>
          <w:rFonts w:hint="eastAsia" w:ascii="宋体" w:hAnsi="宋体" w:cs="宋体"/>
          <w:sz w:val="28"/>
          <w:szCs w:val="28"/>
          <w:highlight w:val="none"/>
        </w:rPr>
      </w:pPr>
    </w:p>
    <w:p>
      <w:pPr>
        <w:pStyle w:val="43"/>
        <w:spacing w:before="0" w:after="0"/>
        <w:ind w:firstLine="562"/>
        <w:rPr>
          <w:rFonts w:hint="eastAsia" w:ascii="宋体" w:hAnsi="宋体" w:cs="宋体"/>
          <w:sz w:val="28"/>
          <w:szCs w:val="28"/>
          <w:highlight w:val="none"/>
        </w:rPr>
      </w:pPr>
    </w:p>
    <w:p>
      <w:pPr>
        <w:pStyle w:val="43"/>
        <w:spacing w:before="0" w:after="0"/>
        <w:ind w:firstLine="562"/>
        <w:rPr>
          <w:rFonts w:hint="eastAsia" w:ascii="宋体" w:hAnsi="宋体" w:cs="宋体"/>
          <w:sz w:val="28"/>
          <w:szCs w:val="28"/>
          <w:highlight w:val="none"/>
        </w:rPr>
      </w:pPr>
    </w:p>
    <w:p>
      <w:pPr>
        <w:pStyle w:val="43"/>
        <w:spacing w:before="0" w:after="0"/>
        <w:ind w:firstLine="562"/>
        <w:rPr>
          <w:rFonts w:hint="eastAsia" w:ascii="宋体" w:hAnsi="宋体" w:cs="宋体"/>
          <w:sz w:val="28"/>
          <w:szCs w:val="28"/>
          <w:highlight w:val="none"/>
        </w:rPr>
      </w:pPr>
    </w:p>
    <w:p>
      <w:pPr>
        <w:pStyle w:val="43"/>
        <w:spacing w:before="0" w:after="0"/>
        <w:ind w:firstLine="562"/>
        <w:rPr>
          <w:rFonts w:hint="eastAsia" w:ascii="宋体" w:hAnsi="宋体" w:cs="宋体"/>
          <w:sz w:val="28"/>
          <w:szCs w:val="28"/>
          <w:highlight w:val="none"/>
        </w:rPr>
      </w:pPr>
    </w:p>
    <w:p>
      <w:pPr>
        <w:pStyle w:val="43"/>
        <w:spacing w:before="0" w:after="0"/>
        <w:ind w:firstLine="562"/>
        <w:rPr>
          <w:rFonts w:hint="eastAsia" w:ascii="宋体" w:hAnsi="宋体" w:cs="宋体"/>
          <w:sz w:val="28"/>
          <w:szCs w:val="28"/>
          <w:highlight w:val="none"/>
        </w:rPr>
      </w:pPr>
    </w:p>
    <w:p>
      <w:pPr>
        <w:pStyle w:val="43"/>
        <w:spacing w:before="0" w:after="0"/>
        <w:ind w:firstLine="562"/>
        <w:rPr>
          <w:rFonts w:ascii="宋体" w:hAnsi="宋体" w:cs="宋体"/>
          <w:sz w:val="28"/>
          <w:szCs w:val="28"/>
          <w:highlight w:val="none"/>
        </w:rPr>
      </w:pPr>
      <w:r>
        <w:rPr>
          <w:rFonts w:hint="eastAsia" w:ascii="宋体" w:hAnsi="宋体" w:cs="宋体"/>
          <w:sz w:val="28"/>
          <w:szCs w:val="28"/>
          <w:highlight w:val="none"/>
        </w:rPr>
        <w:t>第四章   合 同(样本)</w:t>
      </w:r>
      <w:bookmarkEnd w:id="151"/>
      <w:bookmarkEnd w:id="152"/>
      <w:bookmarkEnd w:id="153"/>
      <w:bookmarkEnd w:id="154"/>
    </w:p>
    <w:p>
      <w:pPr>
        <w:pStyle w:val="28"/>
        <w:spacing w:line="360" w:lineRule="auto"/>
        <w:rPr>
          <w:rFonts w:ascii="宋体" w:hAnsi="宋体" w:eastAsia="宋体" w:cs="宋体"/>
          <w:spacing w:val="14"/>
          <w:sz w:val="24"/>
          <w:szCs w:val="24"/>
          <w:highlight w:val="none"/>
        </w:rPr>
      </w:pPr>
      <w:r>
        <w:rPr>
          <w:rFonts w:hint="eastAsia" w:ascii="宋体" w:hAnsi="宋体" w:eastAsia="宋体" w:cs="宋体"/>
          <w:spacing w:val="14"/>
          <w:sz w:val="24"/>
          <w:szCs w:val="24"/>
          <w:highlight w:val="none"/>
        </w:rPr>
        <w:t>双方应根据招标文件、中标通知书、中标人的投标文件（包括澄清说明），以及与本项目招标相关的资料签订采购合同。所签订的合同不得背离招标文件的实质性内容要求和投标文件的承诺。双方可使用或参考《洛阳市市级政府货物类采购合同范本》签订合同。</w:t>
      </w:r>
    </w:p>
    <w:p>
      <w:pPr>
        <w:pStyle w:val="28"/>
        <w:spacing w:line="360" w:lineRule="auto"/>
        <w:rPr>
          <w:rFonts w:ascii="宋体" w:hAnsi="宋体" w:eastAsia="宋体" w:cs="宋体"/>
          <w:spacing w:val="14"/>
          <w:sz w:val="24"/>
          <w:szCs w:val="24"/>
          <w:highlight w:val="none"/>
        </w:rPr>
      </w:pPr>
      <w:r>
        <w:rPr>
          <w:rFonts w:hint="eastAsia" w:ascii="宋体" w:hAnsi="宋体" w:eastAsia="宋体" w:cs="宋体"/>
          <w:spacing w:val="14"/>
          <w:sz w:val="24"/>
          <w:szCs w:val="24"/>
          <w:highlight w:val="none"/>
        </w:rPr>
        <w:t>《洛阳市市级政府货物类采购合同范本》下载地址：</w:t>
      </w:r>
    </w:p>
    <w:p>
      <w:pPr>
        <w:pStyle w:val="28"/>
        <w:spacing w:line="360" w:lineRule="auto"/>
        <w:rPr>
          <w:rFonts w:ascii="宋体" w:hAnsi="宋体" w:eastAsia="宋体" w:cs="宋体"/>
          <w:spacing w:val="14"/>
          <w:sz w:val="24"/>
          <w:szCs w:val="24"/>
          <w:highlight w:val="none"/>
        </w:rPr>
      </w:pPr>
      <w:r>
        <w:rPr>
          <w:rFonts w:hint="eastAsia" w:ascii="宋体" w:hAnsi="宋体" w:eastAsia="宋体" w:cs="宋体"/>
          <w:spacing w:val="14"/>
          <w:sz w:val="24"/>
          <w:szCs w:val="24"/>
          <w:highlight w:val="none"/>
        </w:rPr>
        <w:t>洛阳市政府采购网（</w:t>
      </w:r>
      <w:r>
        <w:rPr>
          <w:rFonts w:hint="eastAsia"/>
          <w:highlight w:val="none"/>
        </w:rPr>
        <w:fldChar w:fldCharType="begin"/>
      </w:r>
      <w:r>
        <w:rPr>
          <w:highlight w:val="none"/>
        </w:rPr>
        <w:instrText xml:space="preserve"> HYPERLINK "http://luoyang.hngp.gov.cn/" </w:instrText>
      </w:r>
      <w:r>
        <w:rPr>
          <w:rFonts w:hint="eastAsia"/>
          <w:highlight w:val="none"/>
        </w:rPr>
        <w:fldChar w:fldCharType="separate"/>
      </w:r>
      <w:r>
        <w:rPr>
          <w:rFonts w:hint="eastAsia" w:ascii="宋体" w:hAnsi="宋体" w:eastAsia="宋体" w:cs="宋体"/>
          <w:spacing w:val="14"/>
          <w:sz w:val="24"/>
          <w:szCs w:val="24"/>
          <w:highlight w:val="none"/>
        </w:rPr>
        <w:t>http://luoyang.hngp.gov.cn/</w:t>
      </w:r>
      <w:r>
        <w:rPr>
          <w:rFonts w:hint="eastAsia" w:ascii="宋体" w:hAnsi="宋体" w:eastAsia="宋体" w:cs="宋体"/>
          <w:spacing w:val="14"/>
          <w:sz w:val="24"/>
          <w:szCs w:val="24"/>
          <w:highlight w:val="none"/>
        </w:rPr>
        <w:fldChar w:fldCharType="end"/>
      </w:r>
      <w:r>
        <w:rPr>
          <w:rFonts w:hint="eastAsia" w:ascii="宋体" w:hAnsi="宋体" w:eastAsia="宋体" w:cs="宋体"/>
          <w:spacing w:val="14"/>
          <w:sz w:val="24"/>
          <w:szCs w:val="24"/>
          <w:highlight w:val="none"/>
        </w:rPr>
        <w:t>）首页“文件下载”栏。</w:t>
      </w:r>
    </w:p>
    <w:p>
      <w:pPr>
        <w:pStyle w:val="28"/>
        <w:spacing w:line="360" w:lineRule="auto"/>
        <w:rPr>
          <w:rFonts w:ascii="宋体" w:hAnsi="宋体" w:eastAsia="宋体" w:cs="宋体"/>
          <w:spacing w:val="14"/>
          <w:sz w:val="24"/>
          <w:szCs w:val="24"/>
          <w:highlight w:val="none"/>
        </w:rPr>
      </w:pPr>
      <w:r>
        <w:rPr>
          <w:rFonts w:hint="eastAsia" w:ascii="宋体" w:hAnsi="宋体" w:eastAsia="宋体" w:cs="宋体"/>
          <w:spacing w:val="14"/>
          <w:sz w:val="24"/>
          <w:szCs w:val="24"/>
          <w:highlight w:val="none"/>
        </w:rPr>
        <w:t>《洛阳市市级政府采购支持中小微企业信用融资信用担保合作金融机构名单》下载地址：</w:t>
      </w:r>
    </w:p>
    <w:p>
      <w:pPr>
        <w:pStyle w:val="28"/>
        <w:spacing w:line="360" w:lineRule="auto"/>
        <w:rPr>
          <w:rFonts w:ascii="宋体" w:hAnsi="宋体" w:eastAsia="宋体" w:cs="宋体"/>
          <w:spacing w:val="14"/>
          <w:sz w:val="24"/>
          <w:szCs w:val="24"/>
          <w:highlight w:val="none"/>
        </w:rPr>
      </w:pPr>
      <w:r>
        <w:rPr>
          <w:rFonts w:hint="eastAsia" w:ascii="宋体" w:hAnsi="宋体" w:eastAsia="宋体" w:cs="宋体"/>
          <w:spacing w:val="14"/>
          <w:sz w:val="24"/>
          <w:szCs w:val="24"/>
          <w:highlight w:val="none"/>
        </w:rPr>
        <w:t>洛阳市政府采购网（</w:t>
      </w:r>
      <w:r>
        <w:rPr>
          <w:rFonts w:hint="eastAsia"/>
          <w:highlight w:val="none"/>
        </w:rPr>
        <w:fldChar w:fldCharType="begin"/>
      </w:r>
      <w:r>
        <w:rPr>
          <w:highlight w:val="none"/>
        </w:rPr>
        <w:instrText xml:space="preserve"> HYPERLINK "http://luoyang.hngp.gov.cn/" </w:instrText>
      </w:r>
      <w:r>
        <w:rPr>
          <w:rFonts w:hint="eastAsia"/>
          <w:highlight w:val="none"/>
        </w:rPr>
        <w:fldChar w:fldCharType="separate"/>
      </w:r>
      <w:r>
        <w:rPr>
          <w:rFonts w:hint="eastAsia" w:ascii="宋体" w:hAnsi="宋体" w:eastAsia="宋体" w:cs="宋体"/>
          <w:spacing w:val="14"/>
          <w:sz w:val="24"/>
          <w:szCs w:val="24"/>
          <w:highlight w:val="none"/>
        </w:rPr>
        <w:t>http://luoyang.hngp.gov.cn/</w:t>
      </w:r>
      <w:r>
        <w:rPr>
          <w:rFonts w:hint="eastAsia" w:ascii="宋体" w:hAnsi="宋体" w:eastAsia="宋体" w:cs="宋体"/>
          <w:spacing w:val="14"/>
          <w:sz w:val="24"/>
          <w:szCs w:val="24"/>
          <w:highlight w:val="none"/>
        </w:rPr>
        <w:fldChar w:fldCharType="end"/>
      </w:r>
      <w:r>
        <w:rPr>
          <w:rFonts w:hint="eastAsia" w:ascii="宋体" w:hAnsi="宋体" w:eastAsia="宋体" w:cs="宋体"/>
          <w:spacing w:val="14"/>
          <w:sz w:val="24"/>
          <w:szCs w:val="24"/>
          <w:highlight w:val="none"/>
        </w:rPr>
        <w:t>）首页“文件下载”栏。</w:t>
      </w:r>
    </w:p>
    <w:p>
      <w:pPr>
        <w:pStyle w:val="28"/>
        <w:spacing w:line="360" w:lineRule="auto"/>
        <w:ind w:firstLine="0"/>
        <w:rPr>
          <w:rFonts w:ascii="宋体" w:hAnsi="宋体" w:eastAsia="宋体" w:cs="宋体"/>
          <w:spacing w:val="14"/>
          <w:sz w:val="24"/>
          <w:szCs w:val="24"/>
          <w:highlight w:val="none"/>
        </w:rPr>
      </w:pPr>
    </w:p>
    <w:p>
      <w:pPr>
        <w:pStyle w:val="33"/>
        <w:spacing w:line="360" w:lineRule="auto"/>
        <w:rPr>
          <w:rFonts w:ascii="宋体" w:hAnsi="宋体" w:cs="宋体"/>
          <w:sz w:val="24"/>
          <w:szCs w:val="24"/>
          <w:highlight w:val="none"/>
        </w:rPr>
      </w:pPr>
    </w:p>
    <w:p>
      <w:pPr>
        <w:spacing w:line="360" w:lineRule="auto"/>
        <w:jc w:val="right"/>
        <w:rPr>
          <w:rFonts w:ascii="宋体" w:hAnsi="宋体" w:eastAsia="宋体" w:cs="宋体"/>
          <w:spacing w:val="6"/>
          <w:highlight w:val="none"/>
        </w:rPr>
      </w:pPr>
    </w:p>
    <w:p>
      <w:pPr>
        <w:spacing w:line="360" w:lineRule="auto"/>
        <w:jc w:val="right"/>
        <w:rPr>
          <w:rFonts w:ascii="宋体" w:hAnsi="宋体" w:eastAsia="宋体" w:cs="宋体"/>
          <w:spacing w:val="6"/>
          <w:highlight w:val="none"/>
        </w:rPr>
      </w:pPr>
    </w:p>
    <w:p>
      <w:pPr>
        <w:pStyle w:val="2"/>
        <w:rPr>
          <w:rFonts w:ascii="宋体" w:hAnsi="宋体" w:eastAsia="宋体" w:cs="宋体"/>
          <w:spacing w:val="6"/>
          <w:highlight w:val="none"/>
        </w:rPr>
      </w:pPr>
    </w:p>
    <w:p>
      <w:pPr>
        <w:pStyle w:val="3"/>
        <w:rPr>
          <w:rFonts w:ascii="宋体" w:hAnsi="宋体" w:eastAsia="宋体" w:cs="宋体"/>
          <w:spacing w:val="6"/>
          <w:highlight w:val="none"/>
        </w:rPr>
      </w:pPr>
    </w:p>
    <w:p>
      <w:pPr>
        <w:rPr>
          <w:rFonts w:ascii="宋体" w:hAnsi="宋体" w:eastAsia="宋体" w:cs="宋体"/>
          <w:spacing w:val="6"/>
          <w:highlight w:val="none"/>
        </w:rPr>
      </w:pPr>
    </w:p>
    <w:p>
      <w:pPr>
        <w:pStyle w:val="2"/>
        <w:rPr>
          <w:rFonts w:ascii="宋体" w:hAnsi="宋体" w:eastAsia="宋体" w:cs="宋体"/>
          <w:spacing w:val="6"/>
          <w:highlight w:val="none"/>
        </w:rPr>
      </w:pPr>
    </w:p>
    <w:p>
      <w:pPr>
        <w:pStyle w:val="3"/>
        <w:rPr>
          <w:rFonts w:ascii="宋体" w:hAnsi="宋体" w:eastAsia="宋体" w:cs="宋体"/>
          <w:spacing w:val="6"/>
          <w:highlight w:val="none"/>
        </w:rPr>
      </w:pPr>
    </w:p>
    <w:p>
      <w:pPr>
        <w:rPr>
          <w:rFonts w:ascii="宋体" w:hAnsi="宋体" w:eastAsia="宋体" w:cs="宋体"/>
          <w:spacing w:val="6"/>
          <w:highlight w:val="none"/>
        </w:rPr>
      </w:pPr>
    </w:p>
    <w:p>
      <w:pPr>
        <w:pStyle w:val="2"/>
        <w:rPr>
          <w:rFonts w:ascii="宋体" w:hAnsi="宋体" w:eastAsia="宋体" w:cs="宋体"/>
          <w:spacing w:val="6"/>
          <w:highlight w:val="none"/>
        </w:rPr>
      </w:pPr>
    </w:p>
    <w:p>
      <w:pPr>
        <w:pStyle w:val="3"/>
        <w:rPr>
          <w:rFonts w:ascii="宋体" w:hAnsi="宋体" w:eastAsia="宋体" w:cs="宋体"/>
          <w:spacing w:val="6"/>
          <w:highlight w:val="none"/>
        </w:rPr>
      </w:pPr>
    </w:p>
    <w:p>
      <w:pPr>
        <w:rPr>
          <w:rFonts w:ascii="宋体" w:hAnsi="宋体" w:eastAsia="宋体" w:cs="宋体"/>
          <w:spacing w:val="6"/>
          <w:highlight w:val="none"/>
        </w:rPr>
      </w:pPr>
    </w:p>
    <w:p>
      <w:pPr>
        <w:pStyle w:val="2"/>
        <w:rPr>
          <w:rFonts w:ascii="宋体" w:hAnsi="宋体" w:eastAsia="宋体" w:cs="宋体"/>
          <w:spacing w:val="6"/>
          <w:highlight w:val="none"/>
        </w:rPr>
      </w:pPr>
    </w:p>
    <w:p>
      <w:pPr>
        <w:pStyle w:val="3"/>
        <w:rPr>
          <w:rFonts w:ascii="宋体" w:hAnsi="宋体" w:eastAsia="宋体" w:cs="宋体"/>
          <w:spacing w:val="6"/>
          <w:highlight w:val="none"/>
        </w:rPr>
      </w:pPr>
    </w:p>
    <w:p>
      <w:pPr>
        <w:rPr>
          <w:rFonts w:ascii="宋体" w:hAnsi="宋体" w:eastAsia="宋体" w:cs="宋体"/>
          <w:spacing w:val="6"/>
          <w:highlight w:val="none"/>
        </w:rPr>
      </w:pPr>
    </w:p>
    <w:p>
      <w:pPr>
        <w:pStyle w:val="2"/>
        <w:rPr>
          <w:rFonts w:ascii="宋体" w:hAnsi="宋体" w:eastAsia="宋体" w:cs="宋体"/>
          <w:spacing w:val="6"/>
          <w:highlight w:val="none"/>
        </w:rPr>
      </w:pPr>
    </w:p>
    <w:p>
      <w:pPr>
        <w:pStyle w:val="3"/>
        <w:rPr>
          <w:rFonts w:ascii="宋体" w:hAnsi="宋体" w:eastAsia="宋体" w:cs="宋体"/>
          <w:spacing w:val="6"/>
          <w:highlight w:val="none"/>
        </w:rPr>
      </w:pPr>
    </w:p>
    <w:p>
      <w:pPr>
        <w:rPr>
          <w:rFonts w:ascii="宋体" w:hAnsi="宋体" w:eastAsia="宋体" w:cs="宋体"/>
          <w:spacing w:val="6"/>
          <w:highlight w:val="none"/>
        </w:rPr>
      </w:pPr>
    </w:p>
    <w:p>
      <w:pPr>
        <w:pStyle w:val="2"/>
        <w:rPr>
          <w:rFonts w:ascii="宋体" w:hAnsi="宋体" w:eastAsia="宋体" w:cs="宋体"/>
          <w:spacing w:val="6"/>
          <w:highlight w:val="none"/>
        </w:rPr>
      </w:pPr>
    </w:p>
    <w:p>
      <w:pPr>
        <w:pStyle w:val="3"/>
        <w:rPr>
          <w:rFonts w:ascii="宋体" w:hAnsi="宋体" w:eastAsia="宋体" w:cs="宋体"/>
          <w:spacing w:val="6"/>
          <w:highlight w:val="none"/>
        </w:rPr>
      </w:pPr>
    </w:p>
    <w:p/>
    <w:p>
      <w:pPr>
        <w:spacing w:line="360" w:lineRule="auto"/>
        <w:jc w:val="right"/>
        <w:rPr>
          <w:rFonts w:ascii="宋体" w:hAnsi="宋体" w:eastAsia="宋体" w:cs="宋体"/>
          <w:spacing w:val="6"/>
          <w:highlight w:val="none"/>
        </w:rPr>
      </w:pPr>
    </w:p>
    <w:p>
      <w:pPr>
        <w:spacing w:line="360" w:lineRule="auto"/>
        <w:jc w:val="right"/>
        <w:rPr>
          <w:rFonts w:ascii="宋体" w:hAnsi="宋体" w:eastAsia="宋体" w:cs="宋体"/>
          <w:spacing w:val="6"/>
          <w:highlight w:val="none"/>
        </w:rPr>
      </w:pPr>
    </w:p>
    <w:p>
      <w:pPr>
        <w:spacing w:line="360" w:lineRule="auto"/>
        <w:jc w:val="right"/>
        <w:rPr>
          <w:rFonts w:ascii="宋体" w:hAnsi="宋体" w:eastAsia="宋体" w:cs="宋体"/>
          <w:spacing w:val="6"/>
          <w:highlight w:val="none"/>
        </w:rPr>
      </w:pPr>
    </w:p>
    <w:p>
      <w:pPr>
        <w:spacing w:line="360" w:lineRule="auto"/>
        <w:jc w:val="right"/>
        <w:rPr>
          <w:rFonts w:ascii="宋体" w:hAnsi="宋体" w:eastAsia="宋体" w:cs="宋体"/>
          <w:spacing w:val="6"/>
          <w:highlight w:val="none"/>
        </w:rPr>
      </w:pPr>
    </w:p>
    <w:p>
      <w:pPr>
        <w:spacing w:line="360" w:lineRule="auto"/>
        <w:jc w:val="right"/>
        <w:rPr>
          <w:rFonts w:ascii="宋体" w:hAnsi="宋体" w:eastAsia="宋体" w:cs="宋体"/>
          <w:spacing w:val="6"/>
          <w:highlight w:val="none"/>
        </w:rPr>
      </w:pPr>
    </w:p>
    <w:p>
      <w:pPr>
        <w:spacing w:line="360" w:lineRule="auto"/>
        <w:jc w:val="right"/>
        <w:rPr>
          <w:rFonts w:ascii="宋体" w:hAnsi="宋体" w:eastAsia="宋体" w:cs="宋体"/>
          <w:spacing w:val="6"/>
          <w:highlight w:val="none"/>
        </w:rPr>
      </w:pPr>
      <w:r>
        <w:rPr>
          <w:rFonts w:hint="eastAsia" w:ascii="宋体" w:hAnsi="宋体" w:eastAsia="宋体" w:cs="宋体"/>
          <w:spacing w:val="6"/>
          <w:highlight w:val="none"/>
        </w:rPr>
        <w:t xml:space="preserve">                 （</w:t>
      </w:r>
      <w:r>
        <w:rPr>
          <w:rFonts w:hint="eastAsia" w:ascii="宋体" w:hAnsi="宋体" w:eastAsia="宋体" w:cs="宋体"/>
          <w:bCs/>
          <w:spacing w:val="6"/>
          <w:highlight w:val="none"/>
        </w:rPr>
        <w:t>货物类</w:t>
      </w:r>
      <w:r>
        <w:rPr>
          <w:rFonts w:hint="eastAsia" w:ascii="宋体" w:hAnsi="宋体" w:eastAsia="宋体" w:cs="宋体"/>
          <w:spacing w:val="6"/>
          <w:highlight w:val="none"/>
        </w:rPr>
        <w:t>）</w:t>
      </w:r>
    </w:p>
    <w:p>
      <w:pPr>
        <w:spacing w:line="360" w:lineRule="auto"/>
        <w:jc w:val="center"/>
        <w:rPr>
          <w:rFonts w:ascii="宋体" w:hAnsi="宋体" w:eastAsia="宋体" w:cs="宋体"/>
          <w:b/>
          <w:spacing w:val="6"/>
          <w:highlight w:val="none"/>
        </w:rPr>
      </w:pPr>
    </w:p>
    <w:p>
      <w:pPr>
        <w:pStyle w:val="12"/>
        <w:ind w:firstLine="506"/>
        <w:rPr>
          <w:rFonts w:ascii="宋体" w:hAnsi="宋体" w:eastAsia="宋体" w:cs="宋体"/>
          <w:b/>
          <w:spacing w:val="6"/>
          <w:highlight w:val="none"/>
        </w:rPr>
      </w:pPr>
    </w:p>
    <w:p>
      <w:pPr>
        <w:pStyle w:val="12"/>
        <w:ind w:firstLine="506"/>
        <w:rPr>
          <w:rFonts w:ascii="宋体" w:hAnsi="宋体" w:eastAsia="宋体" w:cs="宋体"/>
          <w:b/>
          <w:spacing w:val="6"/>
          <w:highlight w:val="none"/>
        </w:rPr>
      </w:pPr>
    </w:p>
    <w:p>
      <w:pPr>
        <w:pStyle w:val="12"/>
        <w:ind w:firstLine="506"/>
        <w:rPr>
          <w:rFonts w:ascii="宋体" w:hAnsi="宋体" w:eastAsia="宋体" w:cs="宋体"/>
          <w:b/>
          <w:spacing w:val="6"/>
          <w:highlight w:val="none"/>
        </w:rPr>
      </w:pPr>
    </w:p>
    <w:p>
      <w:pPr>
        <w:pStyle w:val="12"/>
        <w:ind w:firstLine="506"/>
        <w:rPr>
          <w:rFonts w:ascii="宋体" w:hAnsi="宋体" w:eastAsia="宋体" w:cs="宋体"/>
          <w:b/>
          <w:spacing w:val="6"/>
          <w:highlight w:val="none"/>
        </w:rPr>
      </w:pPr>
    </w:p>
    <w:p>
      <w:pPr>
        <w:pStyle w:val="12"/>
        <w:ind w:firstLine="506"/>
        <w:rPr>
          <w:rFonts w:ascii="宋体" w:hAnsi="宋体" w:eastAsia="宋体" w:cs="宋体"/>
          <w:b/>
          <w:spacing w:val="6"/>
          <w:highlight w:val="none"/>
        </w:rPr>
      </w:pPr>
    </w:p>
    <w:p>
      <w:pPr>
        <w:spacing w:line="360" w:lineRule="auto"/>
        <w:jc w:val="center"/>
        <w:rPr>
          <w:rFonts w:ascii="宋体" w:hAnsi="宋体" w:eastAsia="宋体" w:cs="宋体"/>
          <w:b/>
          <w:spacing w:val="6"/>
          <w:sz w:val="48"/>
          <w:szCs w:val="48"/>
          <w:highlight w:val="none"/>
        </w:rPr>
      </w:pPr>
      <w:r>
        <w:rPr>
          <w:rFonts w:hint="eastAsia" w:ascii="宋体" w:hAnsi="宋体" w:eastAsia="宋体" w:cs="宋体"/>
          <w:b/>
          <w:spacing w:val="6"/>
          <w:sz w:val="48"/>
          <w:szCs w:val="48"/>
          <w:highlight w:val="none"/>
        </w:rPr>
        <w:t>政府采购合同</w:t>
      </w:r>
    </w:p>
    <w:p>
      <w:pPr>
        <w:spacing w:line="360" w:lineRule="auto"/>
        <w:jc w:val="center"/>
        <w:rPr>
          <w:rFonts w:ascii="宋体" w:hAnsi="宋体" w:eastAsia="宋体" w:cs="宋体"/>
          <w:b/>
          <w:spacing w:val="6"/>
          <w:highlight w:val="none"/>
        </w:rPr>
      </w:pPr>
    </w:p>
    <w:p>
      <w:pPr>
        <w:spacing w:line="360" w:lineRule="auto"/>
        <w:jc w:val="center"/>
        <w:rPr>
          <w:rFonts w:ascii="宋体" w:hAnsi="宋体" w:eastAsia="宋体" w:cs="宋体"/>
          <w:b/>
          <w:spacing w:val="6"/>
          <w:highlight w:val="none"/>
        </w:rPr>
      </w:pPr>
    </w:p>
    <w:p>
      <w:pPr>
        <w:spacing w:line="360" w:lineRule="auto"/>
        <w:jc w:val="center"/>
        <w:rPr>
          <w:rFonts w:ascii="宋体" w:hAnsi="宋体" w:eastAsia="宋体" w:cs="宋体"/>
          <w:b/>
          <w:spacing w:val="6"/>
          <w:highlight w:val="none"/>
        </w:rPr>
      </w:pPr>
    </w:p>
    <w:p>
      <w:pPr>
        <w:spacing w:line="360" w:lineRule="auto"/>
        <w:ind w:firstLine="584" w:firstLineChars="200"/>
        <w:rPr>
          <w:rFonts w:ascii="宋体" w:hAnsi="宋体" w:eastAsia="宋体" w:cs="宋体"/>
          <w:spacing w:val="6"/>
          <w:sz w:val="28"/>
          <w:szCs w:val="28"/>
          <w:highlight w:val="none"/>
        </w:rPr>
      </w:pPr>
      <w:r>
        <w:rPr>
          <w:rFonts w:hint="eastAsia" w:ascii="宋体" w:hAnsi="宋体" w:eastAsia="宋体" w:cs="宋体"/>
          <w:spacing w:val="6"/>
          <w:sz w:val="28"/>
          <w:szCs w:val="28"/>
          <w:highlight w:val="none"/>
        </w:rPr>
        <w:t>项目名称：</w:t>
      </w:r>
    </w:p>
    <w:p>
      <w:pPr>
        <w:spacing w:line="360" w:lineRule="auto"/>
        <w:ind w:firstLine="584" w:firstLineChars="200"/>
        <w:rPr>
          <w:rFonts w:ascii="宋体" w:hAnsi="宋体" w:eastAsia="宋体" w:cs="宋体"/>
          <w:spacing w:val="6"/>
          <w:sz w:val="28"/>
          <w:szCs w:val="28"/>
          <w:highlight w:val="none"/>
          <w:u w:val="single"/>
        </w:rPr>
      </w:pPr>
      <w:r>
        <w:rPr>
          <w:rFonts w:hint="eastAsia" w:ascii="宋体" w:hAnsi="宋体" w:eastAsia="宋体" w:cs="宋体"/>
          <w:spacing w:val="6"/>
          <w:sz w:val="28"/>
          <w:szCs w:val="28"/>
          <w:highlight w:val="none"/>
        </w:rPr>
        <w:t>政府采购管理部门备案编号：</w:t>
      </w:r>
    </w:p>
    <w:p>
      <w:pPr>
        <w:spacing w:line="360" w:lineRule="auto"/>
        <w:ind w:firstLine="584" w:firstLineChars="200"/>
        <w:rPr>
          <w:rFonts w:ascii="宋体" w:hAnsi="宋体" w:eastAsia="宋体" w:cs="宋体"/>
          <w:spacing w:val="6"/>
          <w:sz w:val="28"/>
          <w:szCs w:val="28"/>
          <w:highlight w:val="none"/>
        </w:rPr>
      </w:pPr>
      <w:r>
        <w:rPr>
          <w:rFonts w:hint="eastAsia" w:ascii="宋体" w:hAnsi="宋体" w:eastAsia="宋体" w:cs="宋体"/>
          <w:spacing w:val="6"/>
          <w:sz w:val="28"/>
          <w:szCs w:val="28"/>
          <w:highlight w:val="none"/>
        </w:rPr>
        <w:t>招标采购文件编号：</w:t>
      </w:r>
    </w:p>
    <w:p>
      <w:pPr>
        <w:spacing w:line="360" w:lineRule="auto"/>
        <w:ind w:firstLine="584" w:firstLineChars="200"/>
        <w:rPr>
          <w:rFonts w:ascii="宋体" w:hAnsi="宋体" w:eastAsia="宋体" w:cs="宋体"/>
          <w:spacing w:val="6"/>
          <w:sz w:val="28"/>
          <w:szCs w:val="28"/>
          <w:highlight w:val="none"/>
        </w:rPr>
      </w:pPr>
      <w:r>
        <w:rPr>
          <w:rFonts w:hint="eastAsia" w:ascii="宋体" w:hAnsi="宋体" w:eastAsia="宋体" w:cs="宋体"/>
          <w:spacing w:val="6"/>
          <w:sz w:val="28"/>
          <w:szCs w:val="28"/>
          <w:highlight w:val="none"/>
        </w:rPr>
        <w:t>甲方合同编号：</w:t>
      </w:r>
    </w:p>
    <w:p>
      <w:pPr>
        <w:spacing w:line="360" w:lineRule="auto"/>
        <w:ind w:firstLine="584" w:firstLineChars="200"/>
        <w:rPr>
          <w:rFonts w:ascii="宋体" w:hAnsi="宋体" w:eastAsia="宋体" w:cs="宋体"/>
          <w:spacing w:val="6"/>
          <w:sz w:val="28"/>
          <w:szCs w:val="28"/>
          <w:highlight w:val="none"/>
          <w:u w:val="single"/>
        </w:rPr>
      </w:pPr>
      <w:r>
        <w:rPr>
          <w:rFonts w:hint="eastAsia" w:ascii="宋体" w:hAnsi="宋体" w:eastAsia="宋体" w:cs="宋体"/>
          <w:spacing w:val="6"/>
          <w:sz w:val="28"/>
          <w:szCs w:val="28"/>
          <w:highlight w:val="none"/>
        </w:rPr>
        <w:t>甲方：</w:t>
      </w:r>
      <w:r>
        <w:rPr>
          <w:rFonts w:hint="eastAsia" w:ascii="宋体" w:hAnsi="宋体" w:eastAsia="宋体" w:cs="宋体"/>
          <w:spacing w:val="6"/>
          <w:sz w:val="28"/>
          <w:szCs w:val="28"/>
          <w:highlight w:val="none"/>
          <w:u w:val="single"/>
        </w:rPr>
        <w:t xml:space="preserve">河南科技大学第二附属医院    </w:t>
      </w:r>
    </w:p>
    <w:p>
      <w:pPr>
        <w:spacing w:line="360" w:lineRule="auto"/>
        <w:ind w:firstLine="584" w:firstLineChars="200"/>
        <w:rPr>
          <w:rFonts w:ascii="宋体" w:hAnsi="宋体" w:eastAsia="宋体" w:cs="宋体"/>
          <w:spacing w:val="6"/>
          <w:sz w:val="28"/>
          <w:szCs w:val="28"/>
          <w:highlight w:val="none"/>
        </w:rPr>
      </w:pPr>
      <w:r>
        <w:rPr>
          <w:rFonts w:hint="eastAsia" w:ascii="宋体" w:hAnsi="宋体" w:eastAsia="宋体" w:cs="宋体"/>
          <w:spacing w:val="6"/>
          <w:sz w:val="28"/>
          <w:szCs w:val="28"/>
          <w:highlight w:val="none"/>
        </w:rPr>
        <w:t>乙方：</w:t>
      </w:r>
    </w:p>
    <w:p>
      <w:pPr>
        <w:spacing w:line="360" w:lineRule="auto"/>
        <w:ind w:firstLine="584" w:firstLineChars="200"/>
        <w:rPr>
          <w:rFonts w:ascii="宋体" w:hAnsi="宋体" w:eastAsia="宋体" w:cs="宋体"/>
          <w:spacing w:val="6"/>
          <w:sz w:val="28"/>
          <w:szCs w:val="28"/>
          <w:highlight w:val="none"/>
        </w:rPr>
      </w:pPr>
      <w:r>
        <w:rPr>
          <w:rFonts w:hint="eastAsia" w:ascii="宋体" w:hAnsi="宋体" w:eastAsia="宋体" w:cs="宋体"/>
          <w:spacing w:val="6"/>
          <w:sz w:val="28"/>
          <w:szCs w:val="28"/>
          <w:highlight w:val="none"/>
        </w:rPr>
        <w:t>甲方民法典律审核部门：</w:t>
      </w:r>
    </w:p>
    <w:p>
      <w:pPr>
        <w:spacing w:line="360" w:lineRule="auto"/>
        <w:jc w:val="center"/>
        <w:rPr>
          <w:rFonts w:ascii="宋体" w:hAnsi="宋体" w:eastAsia="宋体" w:cs="宋体"/>
          <w:spacing w:val="6"/>
          <w:sz w:val="28"/>
          <w:szCs w:val="28"/>
          <w:highlight w:val="none"/>
        </w:rPr>
      </w:pPr>
      <w:r>
        <w:rPr>
          <w:rFonts w:hint="eastAsia" w:ascii="宋体" w:hAnsi="宋体" w:eastAsia="宋体" w:cs="宋体"/>
          <w:spacing w:val="6"/>
          <w:sz w:val="28"/>
          <w:szCs w:val="28"/>
          <w:highlight w:val="none"/>
        </w:rPr>
        <w:t>签订时间：    年   月   日</w:t>
      </w:r>
    </w:p>
    <w:p>
      <w:pPr>
        <w:spacing w:line="360" w:lineRule="auto"/>
        <w:rPr>
          <w:rFonts w:ascii="宋体" w:hAnsi="宋体" w:eastAsia="宋体" w:cs="宋体"/>
          <w:spacing w:val="6"/>
          <w:highlight w:val="none"/>
        </w:rPr>
      </w:pPr>
      <w:r>
        <w:rPr>
          <w:rFonts w:hint="eastAsia" w:ascii="宋体" w:hAnsi="宋体" w:eastAsia="宋体" w:cs="宋体"/>
          <w:spacing w:val="6"/>
          <w:highlight w:val="none"/>
        </w:rPr>
        <w:br w:type="page"/>
      </w:r>
    </w:p>
    <w:p>
      <w:pPr>
        <w:spacing w:line="360" w:lineRule="auto"/>
        <w:rPr>
          <w:rFonts w:ascii="宋体" w:hAnsi="宋体" w:eastAsia="宋体" w:cs="宋体"/>
          <w:highlight w:val="none"/>
          <w:u w:val="single"/>
        </w:rPr>
      </w:pPr>
    </w:p>
    <w:p>
      <w:pPr>
        <w:spacing w:line="360" w:lineRule="auto"/>
        <w:ind w:firstLine="480" w:firstLineChars="200"/>
        <w:rPr>
          <w:highlight w:val="none"/>
        </w:rPr>
      </w:pPr>
      <w:r>
        <w:rPr>
          <w:rFonts w:hint="eastAsia" w:ascii="宋体" w:hAnsi="宋体" w:eastAsia="宋体" w:cs="宋体"/>
          <w:highlight w:val="none"/>
        </w:rPr>
        <w:t>（甲方）（项目名称）委托（代理机构名称）进行了政府采购。按照评委会评审推荐、甲方确定乙方为中标单位。现甲乙双方协商同意签订本合同。</w:t>
      </w:r>
    </w:p>
    <w:p>
      <w:pPr>
        <w:spacing w:line="360" w:lineRule="auto"/>
        <w:rPr>
          <w:rFonts w:ascii="宋体" w:hAnsi="宋体" w:eastAsia="宋体" w:cs="宋体"/>
          <w:b/>
          <w:highlight w:val="none"/>
        </w:rPr>
      </w:pPr>
      <w:r>
        <w:rPr>
          <w:rFonts w:hint="eastAsia" w:ascii="宋体" w:hAnsi="宋体" w:eastAsia="宋体" w:cs="宋体"/>
          <w:b/>
          <w:highlight w:val="none"/>
        </w:rPr>
        <w:t>第一条  合同文件</w:t>
      </w:r>
    </w:p>
    <w:p>
      <w:pPr>
        <w:spacing w:line="360" w:lineRule="auto"/>
        <w:ind w:firstLine="480" w:firstLineChars="200"/>
        <w:rPr>
          <w:rFonts w:ascii="宋体" w:hAnsi="宋体" w:eastAsia="宋体" w:cs="宋体"/>
          <w:highlight w:val="none"/>
        </w:rPr>
      </w:pPr>
      <w:r>
        <w:rPr>
          <w:rFonts w:hint="eastAsia" w:ascii="宋体" w:hAnsi="宋体" w:eastAsia="宋体" w:cs="宋体"/>
          <w:highlight w:val="none"/>
        </w:rPr>
        <w:t>下列与本次采购活动有关的文件及附件是本合同不可分割的组成部分，与本合同具有同等法律效力，这些文件包括但不限于：</w:t>
      </w:r>
    </w:p>
    <w:p>
      <w:pPr>
        <w:numPr>
          <w:ilvl w:val="0"/>
          <w:numId w:val="6"/>
        </w:numPr>
        <w:spacing w:line="360" w:lineRule="auto"/>
        <w:ind w:firstLine="480" w:firstLineChars="200"/>
        <w:rPr>
          <w:rFonts w:ascii="宋体" w:hAnsi="宋体" w:eastAsia="宋体" w:cs="宋体"/>
          <w:highlight w:val="none"/>
        </w:rPr>
      </w:pPr>
      <w:r>
        <w:rPr>
          <w:rFonts w:hint="eastAsia" w:ascii="宋体" w:hAnsi="宋体" w:eastAsia="宋体" w:cs="宋体"/>
          <w:highlight w:val="none"/>
        </w:rPr>
        <w:t>号招标采购文件</w:t>
      </w:r>
    </w:p>
    <w:p>
      <w:pPr>
        <w:spacing w:line="360" w:lineRule="auto"/>
        <w:ind w:firstLine="480" w:firstLineChars="200"/>
        <w:rPr>
          <w:rFonts w:ascii="宋体" w:hAnsi="宋体" w:eastAsia="宋体" w:cs="宋体"/>
          <w:highlight w:val="none"/>
        </w:rPr>
      </w:pPr>
      <w:r>
        <w:rPr>
          <w:rFonts w:hint="eastAsia" w:ascii="宋体" w:hAnsi="宋体" w:eastAsia="宋体" w:cs="宋体"/>
          <w:highlight w:val="none"/>
        </w:rPr>
        <w:t>2.投标文件</w:t>
      </w:r>
    </w:p>
    <w:p>
      <w:pPr>
        <w:spacing w:line="360" w:lineRule="auto"/>
        <w:ind w:firstLine="480" w:firstLineChars="200"/>
        <w:rPr>
          <w:rFonts w:ascii="宋体" w:hAnsi="宋体" w:eastAsia="宋体" w:cs="宋体"/>
          <w:highlight w:val="none"/>
        </w:rPr>
      </w:pPr>
      <w:r>
        <w:rPr>
          <w:rFonts w:hint="eastAsia" w:ascii="宋体" w:hAnsi="宋体" w:eastAsia="宋体" w:cs="宋体"/>
          <w:highlight w:val="none"/>
        </w:rPr>
        <w:t>3.乙方在投标时的书面承诺</w:t>
      </w:r>
    </w:p>
    <w:p>
      <w:pPr>
        <w:spacing w:line="360" w:lineRule="auto"/>
        <w:ind w:firstLine="480" w:firstLineChars="200"/>
        <w:rPr>
          <w:rFonts w:ascii="宋体" w:hAnsi="宋体" w:eastAsia="宋体" w:cs="宋体"/>
          <w:highlight w:val="none"/>
        </w:rPr>
      </w:pPr>
      <w:r>
        <w:rPr>
          <w:rFonts w:hint="eastAsia" w:ascii="宋体" w:hAnsi="宋体" w:eastAsia="宋体" w:cs="宋体"/>
          <w:highlight w:val="none"/>
        </w:rPr>
        <w:t>4.</w:t>
      </w:r>
      <w:r>
        <w:rPr>
          <w:rFonts w:hint="eastAsia" w:ascii="宋体" w:hAnsi="宋体" w:eastAsia="宋体" w:cs="宋体"/>
          <w:highlight w:val="none"/>
          <w:u w:val="single"/>
        </w:rPr>
        <w:t xml:space="preserve">            号</w:t>
      </w:r>
      <w:r>
        <w:rPr>
          <w:rFonts w:hint="eastAsia" w:ascii="宋体" w:hAnsi="宋体" w:eastAsia="宋体" w:cs="宋体"/>
          <w:highlight w:val="none"/>
        </w:rPr>
        <w:t>中标通知书</w:t>
      </w:r>
    </w:p>
    <w:p>
      <w:pPr>
        <w:spacing w:line="360" w:lineRule="auto"/>
        <w:ind w:firstLine="480" w:firstLineChars="200"/>
        <w:rPr>
          <w:rFonts w:ascii="宋体" w:hAnsi="宋体" w:eastAsia="宋体" w:cs="宋体"/>
          <w:highlight w:val="none"/>
        </w:rPr>
      </w:pPr>
      <w:r>
        <w:rPr>
          <w:rFonts w:hint="eastAsia" w:ascii="宋体" w:hAnsi="宋体" w:eastAsia="宋体" w:cs="宋体"/>
          <w:highlight w:val="none"/>
        </w:rPr>
        <w:t>5.合同补充条款或说明</w:t>
      </w:r>
    </w:p>
    <w:p>
      <w:pPr>
        <w:spacing w:line="360" w:lineRule="auto"/>
        <w:ind w:firstLine="480" w:firstLineChars="200"/>
        <w:rPr>
          <w:rFonts w:ascii="宋体" w:hAnsi="宋体" w:eastAsia="宋体" w:cs="宋体"/>
          <w:highlight w:val="none"/>
        </w:rPr>
      </w:pPr>
      <w:r>
        <w:rPr>
          <w:rFonts w:hint="eastAsia" w:ascii="宋体" w:hAnsi="宋体" w:eastAsia="宋体" w:cs="宋体"/>
          <w:highlight w:val="none"/>
        </w:rPr>
        <w:t>6.保密协议或条款</w:t>
      </w:r>
    </w:p>
    <w:p>
      <w:pPr>
        <w:spacing w:line="360" w:lineRule="auto"/>
        <w:ind w:firstLine="480" w:firstLineChars="200"/>
        <w:rPr>
          <w:rFonts w:ascii="宋体" w:hAnsi="宋体" w:eastAsia="宋体" w:cs="宋体"/>
          <w:highlight w:val="none"/>
        </w:rPr>
      </w:pPr>
      <w:r>
        <w:rPr>
          <w:rFonts w:hint="eastAsia" w:ascii="宋体" w:hAnsi="宋体" w:eastAsia="宋体" w:cs="宋体"/>
          <w:highlight w:val="none"/>
        </w:rPr>
        <w:t>7.相关附件、图纸</w:t>
      </w:r>
    </w:p>
    <w:p>
      <w:pPr>
        <w:spacing w:line="360" w:lineRule="auto"/>
        <w:rPr>
          <w:rFonts w:ascii="宋体" w:hAnsi="宋体" w:eastAsia="宋体" w:cs="宋体"/>
          <w:b/>
          <w:highlight w:val="none"/>
        </w:rPr>
      </w:pPr>
      <w:r>
        <w:rPr>
          <w:rFonts w:hint="eastAsia" w:ascii="宋体" w:hAnsi="宋体" w:eastAsia="宋体" w:cs="宋体"/>
          <w:b/>
          <w:highlight w:val="none"/>
        </w:rPr>
        <w:t>第二条  合同标的</w:t>
      </w:r>
    </w:p>
    <w:p>
      <w:pPr>
        <w:spacing w:line="360" w:lineRule="auto"/>
        <w:ind w:firstLine="480" w:firstLineChars="200"/>
        <w:rPr>
          <w:rFonts w:ascii="宋体" w:hAnsi="宋体" w:eastAsia="宋体" w:cs="宋体"/>
          <w:highlight w:val="none"/>
        </w:rPr>
      </w:pPr>
      <w:r>
        <w:rPr>
          <w:rFonts w:hint="eastAsia" w:ascii="宋体" w:hAnsi="宋体" w:eastAsia="宋体" w:cs="宋体"/>
          <w:highlight w:val="none"/>
        </w:rPr>
        <w:t>乙方根据甲方需求提供下列货物，货物名称、规格及数量，备件、易损件和专用工具等（详见《供货一览表》）。</w:t>
      </w:r>
    </w:p>
    <w:p>
      <w:pPr>
        <w:spacing w:line="360" w:lineRule="auto"/>
        <w:rPr>
          <w:rFonts w:ascii="宋体" w:hAnsi="宋体" w:eastAsia="宋体" w:cs="宋体"/>
          <w:b/>
          <w:highlight w:val="none"/>
        </w:rPr>
      </w:pPr>
      <w:r>
        <w:rPr>
          <w:rFonts w:hint="eastAsia" w:ascii="宋体" w:hAnsi="宋体" w:eastAsia="宋体" w:cs="宋体"/>
          <w:b/>
          <w:highlight w:val="none"/>
        </w:rPr>
        <w:t>第三条  合同总金额</w:t>
      </w:r>
    </w:p>
    <w:p>
      <w:pPr>
        <w:spacing w:line="360" w:lineRule="auto"/>
        <w:ind w:firstLine="480" w:firstLineChars="200"/>
        <w:rPr>
          <w:rFonts w:ascii="宋体" w:hAnsi="宋体" w:eastAsia="宋体" w:cs="宋体"/>
          <w:color w:val="000000" w:themeColor="text1"/>
          <w:highlight w:val="none"/>
          <w:u w:val="single"/>
          <w14:textFill>
            <w14:solidFill>
              <w14:schemeClr w14:val="tx1"/>
            </w14:solidFill>
          </w14:textFill>
        </w:rPr>
      </w:pPr>
      <w:r>
        <w:rPr>
          <w:rFonts w:hint="eastAsia" w:ascii="宋体" w:hAnsi="宋体" w:eastAsia="宋体" w:cs="宋体"/>
          <w:highlight w:val="none"/>
        </w:rPr>
        <w:t>大写：</w:t>
      </w:r>
      <w:r>
        <w:rPr>
          <w:rFonts w:hint="eastAsia" w:ascii="宋体" w:hAnsi="宋体" w:eastAsia="宋体" w:cs="宋体"/>
          <w:color w:val="000000" w:themeColor="text1"/>
          <w:highlight w:val="none"/>
          <w:u w:val="single"/>
          <w14:textFill>
            <w14:solidFill>
              <w14:schemeClr w14:val="tx1"/>
            </w14:solidFill>
          </w14:textFill>
        </w:rPr>
        <w:t>。</w:t>
      </w:r>
    </w:p>
    <w:p>
      <w:pPr>
        <w:spacing w:line="360" w:lineRule="auto"/>
        <w:ind w:firstLine="480" w:firstLineChars="200"/>
        <w:rPr>
          <w:rFonts w:ascii="宋体" w:hAnsi="宋体" w:eastAsia="宋体" w:cs="宋体"/>
          <w:color w:val="000000" w:themeColor="text1"/>
          <w:highlight w:val="none"/>
          <w:u w:val="single"/>
          <w14:textFill>
            <w14:solidFill>
              <w14:schemeClr w14:val="tx1"/>
            </w14:solidFill>
          </w14:textFill>
        </w:rPr>
      </w:pPr>
      <w:r>
        <w:rPr>
          <w:rFonts w:hint="eastAsia" w:ascii="宋体" w:hAnsi="宋体" w:eastAsia="宋体" w:cs="宋体"/>
          <w:color w:val="000000" w:themeColor="text1"/>
          <w:highlight w:val="none"/>
          <w:u w:val="single"/>
          <w14:textFill>
            <w14:solidFill>
              <w14:schemeClr w14:val="tx1"/>
            </w14:solidFill>
          </w14:textFill>
        </w:rPr>
        <w:t>本合同项下货物总金额：￥元。</w:t>
      </w:r>
    </w:p>
    <w:p>
      <w:pPr>
        <w:spacing w:line="360" w:lineRule="auto"/>
        <w:ind w:firstLine="480" w:firstLineChars="200"/>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分项价款在《供货一览表》中有明确规定。</w:t>
      </w:r>
    </w:p>
    <w:p>
      <w:pPr>
        <w:spacing w:line="360" w:lineRule="auto"/>
        <w:ind w:firstLine="480" w:firstLineChars="200"/>
        <w:rPr>
          <w:rFonts w:ascii="宋体" w:hAnsi="宋体" w:eastAsia="宋体" w:cs="宋体"/>
          <w:highlight w:val="none"/>
        </w:rPr>
      </w:pPr>
      <w:r>
        <w:rPr>
          <w:rFonts w:hint="eastAsia" w:ascii="宋体" w:hAnsi="宋体" w:eastAsia="宋体" w:cs="宋体"/>
          <w:highlight w:val="none"/>
        </w:rPr>
        <w:t>本合同总价款包括设备的供货、运输、保险、装卸、搬运、安装、检测、调试、屏蔽及装修、试运行、验收交付、培训、技术支持、软件升级、售后保修及相关配套服务等验收合格之前和质保期内的售后服务一切税金和费用。</w:t>
      </w:r>
    </w:p>
    <w:p>
      <w:pPr>
        <w:spacing w:line="360" w:lineRule="auto"/>
        <w:ind w:firstLine="480" w:firstLineChars="200"/>
        <w:rPr>
          <w:rFonts w:ascii="宋体" w:hAnsi="宋体" w:eastAsia="宋体" w:cs="宋体"/>
          <w:highlight w:val="none"/>
        </w:rPr>
      </w:pPr>
      <w:r>
        <w:rPr>
          <w:rFonts w:hint="eastAsia" w:ascii="宋体" w:hAnsi="宋体" w:eastAsia="宋体" w:cs="宋体"/>
          <w:highlight w:val="none"/>
        </w:rPr>
        <w:t>本合同执行期间合同总价款不变。</w:t>
      </w:r>
    </w:p>
    <w:p>
      <w:pPr>
        <w:spacing w:line="360" w:lineRule="auto"/>
        <w:rPr>
          <w:rFonts w:ascii="宋体" w:hAnsi="宋体" w:eastAsia="宋体" w:cs="宋体"/>
          <w:b/>
          <w:highlight w:val="none"/>
        </w:rPr>
      </w:pPr>
      <w:r>
        <w:rPr>
          <w:rFonts w:hint="eastAsia" w:ascii="宋体" w:hAnsi="宋体" w:eastAsia="宋体" w:cs="宋体"/>
          <w:b/>
          <w:highlight w:val="none"/>
        </w:rPr>
        <w:t>第四条  权利和质量保证</w:t>
      </w:r>
    </w:p>
    <w:p>
      <w:pPr>
        <w:spacing w:line="360" w:lineRule="auto"/>
        <w:ind w:firstLine="480" w:firstLineChars="200"/>
        <w:rPr>
          <w:rFonts w:ascii="宋体" w:hAnsi="宋体" w:eastAsia="宋体" w:cs="宋体"/>
          <w:highlight w:val="none"/>
        </w:rPr>
      </w:pPr>
      <w:r>
        <w:rPr>
          <w:rFonts w:hint="eastAsia" w:ascii="宋体" w:hAnsi="宋体" w:eastAsia="宋体" w:cs="宋体"/>
          <w:highlight w:val="none"/>
        </w:rPr>
        <w:t>1.乙方应保证甲方在使用该货物或其任何一部分时不受第三方提出侵犯其专利权、版权、商标权或其他权利的起诉。一旦出现侵权，索赔或诉讼，乙方应承担全部责任。</w:t>
      </w:r>
    </w:p>
    <w:p>
      <w:pPr>
        <w:spacing w:line="360" w:lineRule="auto"/>
        <w:ind w:firstLine="480" w:firstLineChars="200"/>
        <w:rPr>
          <w:rFonts w:ascii="宋体" w:hAnsi="宋体" w:eastAsia="宋体" w:cs="宋体"/>
          <w:highlight w:val="none"/>
        </w:rPr>
      </w:pPr>
      <w:r>
        <w:rPr>
          <w:rFonts w:hint="eastAsia" w:ascii="宋体" w:hAnsi="宋体" w:eastAsia="宋体" w:cs="宋体"/>
          <w:highlight w:val="none"/>
        </w:rPr>
        <w:t>2.乙方保证货物是全新的、未使用过的，完全符合国家规范及甲乙双方确认的投标文件、本合同关于货物数量、质量的要求。货物符合实行国家“三包”规定的，应执行“三包”规定。</w:t>
      </w:r>
    </w:p>
    <w:p>
      <w:pPr>
        <w:spacing w:line="360" w:lineRule="auto"/>
        <w:ind w:firstLine="480" w:firstLineChars="200"/>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highlight w:val="none"/>
        </w:rPr>
        <w:t>本项目质保期</w:t>
      </w:r>
      <w:r>
        <w:rPr>
          <w:rFonts w:hint="eastAsia" w:ascii="宋体" w:hAnsi="宋体" w:eastAsia="宋体" w:cs="宋体"/>
          <w:color w:val="000000" w:themeColor="text1"/>
          <w:highlight w:val="none"/>
          <w14:textFill>
            <w14:solidFill>
              <w14:schemeClr w14:val="tx1"/>
            </w14:solidFill>
          </w14:textFill>
        </w:rPr>
        <w:t>。</w:t>
      </w:r>
    </w:p>
    <w:p>
      <w:pPr>
        <w:spacing w:line="360" w:lineRule="auto"/>
        <w:ind w:firstLine="480" w:firstLineChars="200"/>
        <w:rPr>
          <w:rFonts w:ascii="宋体" w:hAnsi="宋体" w:eastAsia="宋体" w:cs="宋体"/>
          <w:highlight w:val="none"/>
        </w:rPr>
      </w:pPr>
      <w:r>
        <w:rPr>
          <w:rFonts w:hint="eastAsia" w:ascii="宋体" w:hAnsi="宋体" w:eastAsia="宋体" w:cs="宋体"/>
          <w:highlight w:val="none"/>
        </w:rPr>
        <w:t>3.乙方提交的货物应符合投标文件中所记载的详细配置、技术参数、参数及性能，并应附有此类货物完整、详细的技术资料和说明文件。</w:t>
      </w:r>
    </w:p>
    <w:p>
      <w:pPr>
        <w:spacing w:line="360" w:lineRule="auto"/>
        <w:ind w:firstLine="480" w:firstLineChars="200"/>
        <w:rPr>
          <w:rFonts w:ascii="宋体" w:hAnsi="宋体" w:eastAsia="宋体" w:cs="宋体"/>
          <w:highlight w:val="none"/>
        </w:rPr>
      </w:pPr>
      <w:r>
        <w:rPr>
          <w:rFonts w:hint="eastAsia" w:ascii="宋体" w:hAnsi="宋体" w:eastAsia="宋体" w:cs="宋体"/>
          <w:highlight w:val="none"/>
        </w:rPr>
        <w:t>4.乙方提交的货物必须按照招标采购文件的要求和中标人投标文件的承诺，以约定标准进行制造、安装；经政府采购管理部门批准采购的进口产品应执行原产地国家有关部门最新颁布的相应正式标准并提供国家商检、海关报关等手续。</w:t>
      </w:r>
    </w:p>
    <w:p>
      <w:pPr>
        <w:spacing w:line="360" w:lineRule="auto"/>
        <w:ind w:firstLine="480" w:firstLineChars="200"/>
        <w:rPr>
          <w:rFonts w:ascii="宋体" w:hAnsi="宋体" w:eastAsia="宋体" w:cs="宋体"/>
          <w:highlight w:val="none"/>
        </w:rPr>
      </w:pPr>
      <w:r>
        <w:rPr>
          <w:rFonts w:hint="eastAsia" w:ascii="宋体" w:hAnsi="宋体" w:eastAsia="宋体" w:cs="宋体"/>
          <w:highlight w:val="none"/>
        </w:rPr>
        <w:t>5.乙方应保证将货物按照国家或专业标准包装、确保货物安全无损运抵合同规定的交货地点，并进行安装、试运行。</w:t>
      </w:r>
    </w:p>
    <w:p>
      <w:pPr>
        <w:spacing w:line="360" w:lineRule="auto"/>
        <w:ind w:firstLine="480" w:firstLineChars="200"/>
        <w:rPr>
          <w:rFonts w:ascii="宋体" w:hAnsi="宋体" w:eastAsia="宋体" w:cs="宋体"/>
          <w:highlight w:val="none"/>
        </w:rPr>
      </w:pPr>
      <w:r>
        <w:rPr>
          <w:rFonts w:hint="eastAsia" w:ascii="宋体" w:hAnsi="宋体" w:eastAsia="宋体" w:cs="宋体"/>
          <w:highlight w:val="none"/>
        </w:rPr>
        <w:t>6、乙方保证货物不存在危及人身及财产安全的产品缺陷，否则应承担全部法律责任。</w:t>
      </w:r>
    </w:p>
    <w:p>
      <w:pPr>
        <w:spacing w:line="360" w:lineRule="auto"/>
        <w:rPr>
          <w:rFonts w:ascii="宋体" w:hAnsi="宋体" w:eastAsia="宋体" w:cs="宋体"/>
          <w:b/>
          <w:highlight w:val="none"/>
        </w:rPr>
      </w:pPr>
      <w:r>
        <w:rPr>
          <w:rFonts w:hint="eastAsia" w:ascii="宋体" w:hAnsi="宋体" w:eastAsia="宋体" w:cs="宋体"/>
          <w:b/>
          <w:highlight w:val="none"/>
        </w:rPr>
        <w:t>第五条  付款方式</w:t>
      </w:r>
    </w:p>
    <w:p>
      <w:pPr>
        <w:spacing w:line="360" w:lineRule="auto"/>
        <w:ind w:firstLine="480" w:firstLineChars="200"/>
        <w:rPr>
          <w:rFonts w:ascii="宋体" w:hAnsi="宋体" w:eastAsia="宋体" w:cs="宋体"/>
          <w:highlight w:val="none"/>
        </w:rPr>
      </w:pPr>
      <w:r>
        <w:rPr>
          <w:rFonts w:hint="eastAsia" w:ascii="宋体" w:hAnsi="宋体" w:eastAsia="宋体" w:cs="宋体"/>
          <w:highlight w:val="none"/>
        </w:rPr>
        <w:t>1.本合同项下所有款项均以人民币支付。</w:t>
      </w:r>
    </w:p>
    <w:p>
      <w:pPr>
        <w:spacing w:line="360" w:lineRule="auto"/>
        <w:ind w:firstLine="480" w:firstLineChars="200"/>
        <w:rPr>
          <w:rFonts w:ascii="宋体" w:hAnsi="宋体" w:eastAsia="宋体" w:cs="宋体"/>
          <w:highlight w:val="none"/>
        </w:rPr>
      </w:pPr>
      <w:r>
        <w:rPr>
          <w:rFonts w:hint="eastAsia" w:ascii="宋体" w:hAnsi="宋体" w:eastAsia="宋体" w:cs="宋体"/>
          <w:highlight w:val="none"/>
        </w:rPr>
        <w:t>2.乙方向甲方提交下列文件材料，经甲方审核无误后支付采购资金：</w:t>
      </w:r>
    </w:p>
    <w:p>
      <w:pPr>
        <w:spacing w:line="360" w:lineRule="auto"/>
        <w:ind w:firstLine="480" w:firstLineChars="200"/>
        <w:rPr>
          <w:rFonts w:ascii="宋体" w:hAnsi="宋体" w:eastAsia="宋体" w:cs="宋体"/>
          <w:highlight w:val="none"/>
        </w:rPr>
      </w:pPr>
      <w:r>
        <w:rPr>
          <w:rFonts w:hint="eastAsia" w:ascii="宋体" w:hAnsi="宋体" w:eastAsia="宋体" w:cs="宋体"/>
          <w:highlight w:val="none"/>
        </w:rPr>
        <w:t>（1）经甲方确认的发票；</w:t>
      </w:r>
    </w:p>
    <w:p>
      <w:pPr>
        <w:spacing w:line="360" w:lineRule="auto"/>
        <w:ind w:firstLine="480" w:firstLineChars="200"/>
        <w:rPr>
          <w:rFonts w:ascii="宋体" w:hAnsi="宋体" w:eastAsia="宋体" w:cs="宋体"/>
          <w:highlight w:val="none"/>
        </w:rPr>
      </w:pPr>
      <w:r>
        <w:rPr>
          <w:rFonts w:hint="eastAsia" w:ascii="宋体" w:hAnsi="宋体" w:eastAsia="宋体" w:cs="宋体"/>
          <w:highlight w:val="none"/>
        </w:rPr>
        <w:t>（2）经甲乙双方确认签署的《验收报告》（或按项目进度阶段性《验收报告》）；</w:t>
      </w:r>
    </w:p>
    <w:p>
      <w:pPr>
        <w:spacing w:line="360" w:lineRule="auto"/>
        <w:ind w:firstLine="480" w:firstLineChars="200"/>
        <w:rPr>
          <w:rFonts w:ascii="宋体" w:hAnsi="宋体" w:eastAsia="宋体" w:cs="宋体"/>
          <w:highlight w:val="none"/>
        </w:rPr>
      </w:pPr>
      <w:r>
        <w:rPr>
          <w:rFonts w:hint="eastAsia" w:ascii="宋体" w:hAnsi="宋体" w:eastAsia="宋体" w:cs="宋体"/>
          <w:highlight w:val="none"/>
        </w:rPr>
        <w:t>（3）其他材料。</w:t>
      </w:r>
    </w:p>
    <w:p>
      <w:pPr>
        <w:spacing w:line="360" w:lineRule="auto"/>
        <w:ind w:firstLine="480" w:firstLineChars="200"/>
        <w:rPr>
          <w:rFonts w:ascii="宋体" w:hAnsi="宋体" w:eastAsia="宋体" w:cs="宋体"/>
          <w:highlight w:val="none"/>
        </w:rPr>
      </w:pPr>
      <w:r>
        <w:rPr>
          <w:rFonts w:hint="eastAsia" w:ascii="宋体" w:hAnsi="宋体" w:eastAsia="宋体" w:cs="宋体"/>
          <w:highlight w:val="none"/>
        </w:rPr>
        <w:t>3.款项的支付进度以招标采购文件的有关规定为准。如招标采购文件未作特别规定，则付款进度应符合如下约定：</w:t>
      </w:r>
    </w:p>
    <w:p>
      <w:pPr>
        <w:spacing w:line="360" w:lineRule="auto"/>
        <w:ind w:firstLine="504" w:firstLineChars="200"/>
        <w:rPr>
          <w:rFonts w:ascii="宋体" w:hAnsi="宋体" w:eastAsia="宋体" w:cs="宋体"/>
          <w:highlight w:val="none"/>
        </w:rPr>
      </w:pPr>
      <w:r>
        <w:rPr>
          <w:rFonts w:hint="eastAsia" w:ascii="宋体" w:hAnsi="宋体" w:eastAsia="宋体" w:cs="宋体"/>
          <w:spacing w:val="6"/>
          <w:highlight w:val="none"/>
        </w:rPr>
        <w:t>设备到货、安装、调试完毕、验收合格后，采购人向中标人付合同总价款</w:t>
      </w:r>
      <w:r>
        <w:rPr>
          <w:rFonts w:hint="eastAsia" w:ascii="宋体" w:hAnsi="宋体" w:eastAsia="宋体" w:cs="宋体"/>
          <w:b/>
          <w:spacing w:val="6"/>
          <w:highlight w:val="none"/>
          <w:u w:val="single"/>
        </w:rPr>
        <w:t>90%</w:t>
      </w:r>
      <w:r>
        <w:rPr>
          <w:rFonts w:hint="eastAsia" w:ascii="宋体" w:hAnsi="宋体" w:eastAsia="宋体" w:cs="宋体"/>
          <w:b/>
          <w:spacing w:val="6"/>
          <w:highlight w:val="none"/>
        </w:rPr>
        <w:t>，</w:t>
      </w:r>
      <w:r>
        <w:rPr>
          <w:rFonts w:hint="eastAsia" w:ascii="宋体" w:hAnsi="宋体" w:eastAsia="宋体" w:cs="宋体"/>
          <w:spacing w:val="6"/>
          <w:highlight w:val="none"/>
        </w:rPr>
        <w:t>设备开始投入使用运行正常三个月付清合同余款。</w:t>
      </w:r>
    </w:p>
    <w:p>
      <w:pPr>
        <w:spacing w:line="360" w:lineRule="auto"/>
        <w:rPr>
          <w:rFonts w:ascii="宋体" w:hAnsi="宋体" w:eastAsia="宋体" w:cs="宋体"/>
          <w:b/>
          <w:highlight w:val="none"/>
        </w:rPr>
      </w:pPr>
      <w:r>
        <w:rPr>
          <w:rFonts w:hint="eastAsia" w:ascii="宋体" w:hAnsi="宋体" w:eastAsia="宋体" w:cs="宋体"/>
          <w:b/>
          <w:highlight w:val="none"/>
        </w:rPr>
        <w:t>第六条  交货和验收</w:t>
      </w:r>
    </w:p>
    <w:p>
      <w:pPr>
        <w:spacing w:line="360" w:lineRule="auto"/>
        <w:ind w:firstLine="480" w:firstLineChars="200"/>
        <w:rPr>
          <w:rFonts w:ascii="宋体" w:hAnsi="宋体" w:eastAsia="宋体" w:cs="宋体"/>
          <w:color w:val="000000" w:themeColor="text1"/>
          <w:highlight w:val="none"/>
          <w:u w:val="single"/>
          <w14:textFill>
            <w14:solidFill>
              <w14:schemeClr w14:val="tx1"/>
            </w14:solidFill>
          </w14:textFill>
        </w:rPr>
      </w:pPr>
      <w:r>
        <w:rPr>
          <w:rFonts w:hint="eastAsia" w:ascii="宋体" w:hAnsi="宋体" w:eastAsia="宋体" w:cs="宋体"/>
          <w:highlight w:val="none"/>
        </w:rPr>
        <w:t>1.交货时间：</w:t>
      </w:r>
      <w:r>
        <w:rPr>
          <w:rFonts w:hint="eastAsia" w:ascii="宋体" w:hAnsi="宋体" w:eastAsia="宋体" w:cs="宋体"/>
          <w:color w:val="000000" w:themeColor="text1"/>
          <w:highlight w:val="none"/>
          <w14:textFill>
            <w14:solidFill>
              <w14:schemeClr w14:val="tx1"/>
            </w14:solidFill>
          </w14:textFill>
        </w:rPr>
        <w:t>。</w:t>
      </w:r>
    </w:p>
    <w:p>
      <w:pPr>
        <w:spacing w:line="360" w:lineRule="auto"/>
        <w:ind w:firstLine="720" w:firstLineChars="300"/>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交货地点：</w:t>
      </w:r>
      <w:r>
        <w:rPr>
          <w:rFonts w:hint="eastAsia" w:ascii="宋体" w:hAnsi="宋体" w:eastAsia="宋体" w:cs="宋体"/>
          <w:color w:val="000000" w:themeColor="text1"/>
          <w:highlight w:val="none"/>
          <w:u w:val="single"/>
          <w14:textFill>
            <w14:solidFill>
              <w14:schemeClr w14:val="tx1"/>
            </w14:solidFill>
          </w14:textFill>
        </w:rPr>
        <w:t xml:space="preserve">河南科技大学第二附属医院      </w:t>
      </w:r>
      <w:r>
        <w:rPr>
          <w:rFonts w:hint="eastAsia" w:ascii="宋体" w:hAnsi="宋体" w:eastAsia="宋体" w:cs="宋体"/>
          <w:color w:val="000000" w:themeColor="text1"/>
          <w:highlight w:val="none"/>
          <w14:textFill>
            <w14:solidFill>
              <w14:schemeClr w14:val="tx1"/>
            </w14:solidFill>
          </w14:textFill>
        </w:rPr>
        <w:t>。</w:t>
      </w:r>
    </w:p>
    <w:p>
      <w:pPr>
        <w:spacing w:line="360" w:lineRule="auto"/>
        <w:ind w:firstLine="720" w:firstLineChars="300"/>
        <w:rPr>
          <w:rFonts w:ascii="宋体" w:hAnsi="宋体" w:eastAsia="宋体" w:cs="宋体"/>
          <w:highlight w:val="none"/>
        </w:rPr>
      </w:pPr>
      <w:r>
        <w:rPr>
          <w:rFonts w:hint="eastAsia" w:ascii="宋体" w:hAnsi="宋体" w:eastAsia="宋体" w:cs="宋体"/>
          <w:color w:val="000000" w:themeColor="text1"/>
          <w:highlight w:val="none"/>
          <w14:textFill>
            <w14:solidFill>
              <w14:schemeClr w14:val="tx1"/>
            </w14:solidFill>
          </w14:textFill>
        </w:rPr>
        <w:t>安装调试时间：</w:t>
      </w:r>
      <w:r>
        <w:rPr>
          <w:rFonts w:hint="eastAsia" w:ascii="宋体" w:hAnsi="宋体" w:eastAsia="宋体" w:cs="宋体"/>
          <w:highlight w:val="none"/>
        </w:rPr>
        <w:t>。</w:t>
      </w:r>
    </w:p>
    <w:p>
      <w:pPr>
        <w:tabs>
          <w:tab w:val="left" w:pos="0"/>
        </w:tabs>
        <w:spacing w:line="360" w:lineRule="auto"/>
        <w:ind w:firstLine="480" w:firstLineChars="200"/>
        <w:rPr>
          <w:rFonts w:ascii="宋体" w:hAnsi="宋体" w:eastAsia="宋体" w:cs="宋体"/>
          <w:highlight w:val="none"/>
        </w:rPr>
      </w:pPr>
      <w:r>
        <w:rPr>
          <w:rFonts w:hint="eastAsia" w:ascii="宋体" w:hAnsi="宋体" w:eastAsia="宋体" w:cs="宋体"/>
          <w:highlight w:val="none"/>
        </w:rPr>
        <w:t>2. 乙方应对提供的货物作出全面自查和整理，并列出清单，作为甲方验收和使用的技术条件依据，清单应随提供的验收资料交给甲方。</w:t>
      </w:r>
    </w:p>
    <w:p>
      <w:pPr>
        <w:spacing w:line="360" w:lineRule="auto"/>
        <w:ind w:firstLine="480" w:firstLineChars="200"/>
        <w:rPr>
          <w:rFonts w:ascii="宋体" w:hAnsi="宋体" w:eastAsia="宋体" w:cs="宋体"/>
          <w:highlight w:val="none"/>
        </w:rPr>
      </w:pPr>
      <w:r>
        <w:rPr>
          <w:rFonts w:hint="eastAsia" w:ascii="宋体" w:hAnsi="宋体" w:eastAsia="宋体" w:cs="宋体"/>
          <w:highlight w:val="none"/>
        </w:rPr>
        <w:t>3.乙方提供的货物应包括本合同“第一条 合同文件”规定的全部货物及其附（辅）件、资料。</w:t>
      </w:r>
    </w:p>
    <w:p>
      <w:pPr>
        <w:spacing w:line="360" w:lineRule="auto"/>
        <w:ind w:firstLine="480" w:firstLineChars="200"/>
        <w:rPr>
          <w:rFonts w:ascii="宋体" w:hAnsi="宋体" w:eastAsia="宋体" w:cs="宋体"/>
          <w:highlight w:val="none"/>
        </w:rPr>
      </w:pPr>
      <w:r>
        <w:rPr>
          <w:rFonts w:hint="eastAsia" w:ascii="宋体" w:hAnsi="宋体" w:eastAsia="宋体" w:cs="宋体"/>
          <w:highlight w:val="none"/>
        </w:rPr>
        <w:t>4.货物验收时，甲乙双方必须同时在场，双方共同确认货物与本合同规定的产地、生产厂家名称、品牌、规格型号、数量、质量、技术参数和性能等是否一致。乙方所交付的货物不符合合同规定的，甲方有权拒收。乙方应及时按本合同规定和甲方要求免费对拒收货物采取更换或其他必要的补救措施，直至验收合格，方视为乙方按本合同规定完成交货。验收合格的，由双方共同签署《验收报告》。</w:t>
      </w:r>
    </w:p>
    <w:p>
      <w:pPr>
        <w:spacing w:line="360" w:lineRule="auto"/>
        <w:ind w:firstLine="480" w:firstLineChars="200"/>
        <w:rPr>
          <w:rFonts w:ascii="宋体" w:hAnsi="宋体" w:eastAsia="宋体" w:cs="宋体"/>
          <w:highlight w:val="none"/>
        </w:rPr>
      </w:pPr>
      <w:r>
        <w:rPr>
          <w:rFonts w:hint="eastAsia" w:ascii="宋体" w:hAnsi="宋体" w:eastAsia="宋体" w:cs="宋体"/>
          <w:highlight w:val="none"/>
        </w:rPr>
        <w:t>5.需要乙方对货物（包括软件）或系统进行安装调试的，甲乙双方应在货物安装调试完毕</w:t>
      </w:r>
      <w:r>
        <w:rPr>
          <w:rFonts w:hint="eastAsia" w:ascii="宋体" w:hAnsi="宋体" w:eastAsia="宋体" w:cs="宋体"/>
          <w:color w:val="000000" w:themeColor="text1"/>
          <w:highlight w:val="none"/>
          <w14:textFill>
            <w14:solidFill>
              <w14:schemeClr w14:val="tx1"/>
            </w14:solidFill>
          </w14:textFill>
        </w:rPr>
        <w:t>后进行运行效</w:t>
      </w:r>
      <w:r>
        <w:rPr>
          <w:rFonts w:hint="eastAsia" w:ascii="宋体" w:hAnsi="宋体" w:eastAsia="宋体" w:cs="宋体"/>
          <w:highlight w:val="none"/>
        </w:rPr>
        <w:t>果验收。在验收之前，乙方需提前提交相应的调试计划（包括调试程序、环境、内容和检验标准、调试时间安排等）供甲方确认，乙方还应对所有检验验收调试的结果、步骤、原始数据等作妥善记录。如甲方要求，乙方应将记录提供给甲方。调试检验出现全部或部分未达到本合同所约定的技术指标，甲方有权选择下列任一处理方式：</w:t>
      </w:r>
    </w:p>
    <w:p>
      <w:pPr>
        <w:spacing w:line="360" w:lineRule="auto"/>
        <w:ind w:firstLine="480" w:firstLineChars="200"/>
        <w:rPr>
          <w:rFonts w:ascii="宋体" w:hAnsi="宋体" w:eastAsia="宋体" w:cs="宋体"/>
          <w:highlight w:val="none"/>
        </w:rPr>
      </w:pPr>
      <w:r>
        <w:rPr>
          <w:rFonts w:hint="eastAsia" w:ascii="宋体" w:hAnsi="宋体" w:eastAsia="宋体" w:cs="宋体"/>
          <w:highlight w:val="none"/>
        </w:rPr>
        <w:t>a.重新调试直至合格为止；</w:t>
      </w:r>
    </w:p>
    <w:p>
      <w:pPr>
        <w:spacing w:line="360" w:lineRule="auto"/>
        <w:ind w:firstLine="480" w:firstLineChars="200"/>
        <w:rPr>
          <w:rFonts w:ascii="宋体" w:hAnsi="宋体" w:eastAsia="宋体" w:cs="宋体"/>
          <w:highlight w:val="none"/>
        </w:rPr>
      </w:pPr>
      <w:r>
        <w:rPr>
          <w:rFonts w:hint="eastAsia" w:ascii="宋体" w:hAnsi="宋体" w:eastAsia="宋体" w:cs="宋体"/>
          <w:highlight w:val="none"/>
        </w:rPr>
        <w:t>b.要求乙方对货物进行免费更换，然后重新调试直至合格为止。</w:t>
      </w:r>
    </w:p>
    <w:p>
      <w:pPr>
        <w:spacing w:line="360" w:lineRule="auto"/>
        <w:ind w:firstLine="480" w:firstLineChars="200"/>
        <w:rPr>
          <w:rFonts w:ascii="宋体" w:hAnsi="宋体" w:eastAsia="宋体" w:cs="宋体"/>
          <w:highlight w:val="none"/>
        </w:rPr>
      </w:pPr>
      <w:r>
        <w:rPr>
          <w:rFonts w:hint="eastAsia" w:ascii="宋体" w:hAnsi="宋体" w:eastAsia="宋体" w:cs="宋体"/>
          <w:highlight w:val="none"/>
        </w:rPr>
        <w:t>甲方因乙方原因所产生的所有费用均由乙方负担。</w:t>
      </w:r>
    </w:p>
    <w:p>
      <w:pPr>
        <w:spacing w:line="360" w:lineRule="auto"/>
        <w:ind w:firstLine="480" w:firstLineChars="200"/>
        <w:rPr>
          <w:rFonts w:ascii="宋体" w:hAnsi="宋体" w:eastAsia="宋体" w:cs="宋体"/>
          <w:highlight w:val="none"/>
        </w:rPr>
      </w:pPr>
      <w:r>
        <w:rPr>
          <w:rFonts w:hint="eastAsia" w:ascii="宋体" w:hAnsi="宋体" w:eastAsia="宋体" w:cs="宋体"/>
          <w:highlight w:val="none"/>
        </w:rPr>
        <w:t>6.验收合格的，由双方共同签署《验收报告》。</w:t>
      </w:r>
    </w:p>
    <w:p>
      <w:pPr>
        <w:snapToGrid w:val="0"/>
        <w:spacing w:line="360" w:lineRule="auto"/>
        <w:ind w:firstLine="482"/>
        <w:textAlignment w:val="baseline"/>
        <w:rPr>
          <w:rFonts w:ascii="宋体" w:hAnsi="宋体" w:eastAsia="宋体" w:cs="宋体"/>
          <w:highlight w:val="none"/>
        </w:rPr>
      </w:pPr>
      <w:r>
        <w:rPr>
          <w:rFonts w:hint="eastAsia" w:ascii="宋体" w:hAnsi="宋体" w:eastAsia="宋体" w:cs="宋体"/>
          <w:highlight w:val="none"/>
        </w:rPr>
        <w:t>7.甲方可以视项目规模或复杂情况聘请本项目所涉及产品的售后服务机构参与验收，聘请专业人员参与验收，大型或复杂项目，以及特种货物应当邀请国家认可的第三方质量检测机构参与验收，也可以视项目情况邀请参加本项目投标的落标人参与验收。</w:t>
      </w:r>
    </w:p>
    <w:p>
      <w:pPr>
        <w:spacing w:line="360" w:lineRule="auto"/>
        <w:ind w:firstLine="480" w:firstLineChars="200"/>
        <w:rPr>
          <w:rFonts w:ascii="宋体" w:hAnsi="宋体" w:eastAsia="宋体" w:cs="宋体"/>
          <w:highlight w:val="none"/>
        </w:rPr>
      </w:pPr>
      <w:r>
        <w:rPr>
          <w:rFonts w:hint="eastAsia" w:ascii="宋体" w:hAnsi="宋体" w:eastAsia="宋体" w:cs="宋体"/>
          <w:highlight w:val="none"/>
        </w:rPr>
        <w:t>8.货物验收包括：货物包装是否完好，产地、生产厂家名称、品牌、型号、规格、数量、外观质量、配置、内在质量，以及调试运行是否达到“第一条合同文件”规定的效果。乙方应将所提供货物的装箱清单、产品合格证、甲方手册、原厂保修卡、随机资料及备品备件、易损件、专用工具等交付给甲方；乙方不能完整交付货物、附（辅）件和资料的，视为未按合同约定交货，乙方负责补齐，因此导致逾期交付的，由乙方承担相关的违约责任。</w:t>
      </w:r>
    </w:p>
    <w:p>
      <w:pPr>
        <w:spacing w:line="360" w:lineRule="auto"/>
        <w:ind w:firstLine="480" w:firstLineChars="200"/>
        <w:rPr>
          <w:rFonts w:ascii="宋体" w:hAnsi="宋体" w:eastAsia="宋体" w:cs="宋体"/>
          <w:highlight w:val="none"/>
        </w:rPr>
      </w:pPr>
      <w:r>
        <w:rPr>
          <w:rFonts w:hint="eastAsia" w:ascii="宋体" w:hAnsi="宋体" w:eastAsia="宋体" w:cs="宋体"/>
          <w:highlight w:val="none"/>
        </w:rPr>
        <w:t>9.货物达不到本合同“第一条合同文件”规定的数量、质量要求和运行效果，甲方有权拒收，并可以解除合同；由此引起甲方损失及赔偿责任由乙方承担。</w:t>
      </w:r>
    </w:p>
    <w:p>
      <w:pPr>
        <w:spacing w:line="360" w:lineRule="auto"/>
        <w:ind w:firstLine="480" w:firstLineChars="200"/>
        <w:rPr>
          <w:rFonts w:ascii="宋体" w:hAnsi="宋体" w:eastAsia="宋体" w:cs="宋体"/>
          <w:highlight w:val="none"/>
        </w:rPr>
      </w:pPr>
      <w:r>
        <w:rPr>
          <w:rFonts w:hint="eastAsia" w:ascii="宋体" w:hAnsi="宋体" w:eastAsia="宋体" w:cs="宋体"/>
          <w:highlight w:val="none"/>
        </w:rPr>
        <w:t>10.如果合同双方对《验收报告》有分歧，双方须于出现分歧后天内给对方书面声明，以陈述己方的理由及要求，并附有关证据。分歧应通过协商解决。</w:t>
      </w:r>
    </w:p>
    <w:p>
      <w:pPr>
        <w:spacing w:line="360" w:lineRule="auto"/>
        <w:rPr>
          <w:rFonts w:ascii="宋体" w:hAnsi="宋体" w:eastAsia="宋体" w:cs="宋体"/>
          <w:b/>
          <w:highlight w:val="none"/>
        </w:rPr>
      </w:pPr>
      <w:r>
        <w:rPr>
          <w:rFonts w:hint="eastAsia" w:ascii="宋体" w:hAnsi="宋体" w:eastAsia="宋体" w:cs="宋体"/>
          <w:b/>
          <w:highlight w:val="none"/>
        </w:rPr>
        <w:t>第七条  项目管理服务</w:t>
      </w:r>
    </w:p>
    <w:p>
      <w:pPr>
        <w:spacing w:line="360" w:lineRule="auto"/>
        <w:ind w:firstLine="480" w:firstLineChars="200"/>
        <w:rPr>
          <w:rFonts w:ascii="宋体" w:hAnsi="宋体" w:eastAsia="宋体" w:cs="宋体"/>
          <w:highlight w:val="none"/>
        </w:rPr>
      </w:pPr>
      <w:r>
        <w:rPr>
          <w:rFonts w:hint="eastAsia" w:ascii="宋体" w:hAnsi="宋体" w:eastAsia="宋体" w:cs="宋体"/>
          <w:highlight w:val="none"/>
        </w:rPr>
        <w:t>乙方应组建技术熟练、称职的团队全面履行合同,并指定不少于一人全权全程负责本项目的商务服务，以及货物安装、调试、咨询、培训和售后等技术服务工作。</w:t>
      </w:r>
    </w:p>
    <w:p>
      <w:pPr>
        <w:snapToGrid w:val="0"/>
        <w:spacing w:line="360" w:lineRule="auto"/>
        <w:ind w:firstLine="481"/>
        <w:textAlignment w:val="baseline"/>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项目负责人姓名： ； 联系电话：。</w:t>
      </w:r>
    </w:p>
    <w:p>
      <w:pPr>
        <w:spacing w:line="360" w:lineRule="auto"/>
        <w:ind w:firstLine="482" w:firstLineChars="200"/>
        <w:rPr>
          <w:rFonts w:ascii="宋体" w:hAnsi="宋体" w:eastAsia="宋体" w:cs="宋体"/>
          <w:b/>
          <w:highlight w:val="none"/>
        </w:rPr>
      </w:pPr>
      <w:r>
        <w:rPr>
          <w:rFonts w:hint="eastAsia" w:ascii="宋体" w:hAnsi="宋体" w:eastAsia="宋体" w:cs="宋体"/>
          <w:b/>
          <w:highlight w:val="none"/>
        </w:rPr>
        <w:t>第八条  售后服务</w:t>
      </w:r>
    </w:p>
    <w:p>
      <w:pPr>
        <w:spacing w:line="360" w:lineRule="auto"/>
        <w:ind w:firstLine="480" w:firstLineChars="200"/>
        <w:rPr>
          <w:rFonts w:ascii="宋体" w:hAnsi="宋体" w:eastAsia="宋体" w:cs="宋体"/>
          <w:highlight w:val="none"/>
        </w:rPr>
      </w:pPr>
      <w:r>
        <w:rPr>
          <w:rFonts w:hint="eastAsia" w:ascii="宋体" w:hAnsi="宋体" w:eastAsia="宋体" w:cs="宋体"/>
          <w:highlight w:val="none"/>
        </w:rPr>
        <w:t>1.质量保证期为自货物通过最终验收之日</w:t>
      </w:r>
      <w:r>
        <w:rPr>
          <w:rFonts w:hint="eastAsia" w:ascii="宋体" w:hAnsi="宋体" w:eastAsia="宋体" w:cs="宋体"/>
          <w:color w:val="000000" w:themeColor="text1"/>
          <w:highlight w:val="none"/>
          <w:u w:val="single"/>
          <w14:textFill>
            <w14:solidFill>
              <w14:schemeClr w14:val="tx1"/>
            </w14:solidFill>
          </w14:textFill>
        </w:rPr>
        <w:t xml:space="preserve">起 </w:t>
      </w:r>
      <w:r>
        <w:rPr>
          <w:rFonts w:hint="eastAsia" w:ascii="宋体" w:hAnsi="宋体" w:eastAsia="宋体" w:cs="宋体"/>
          <w:color w:val="000000" w:themeColor="text1"/>
          <w:highlight w:val="none"/>
          <w14:textFill>
            <w14:solidFill>
              <w14:schemeClr w14:val="tx1"/>
            </w14:solidFill>
          </w14:textFill>
        </w:rPr>
        <w:t>。</w:t>
      </w:r>
      <w:r>
        <w:rPr>
          <w:rFonts w:hint="eastAsia" w:ascii="宋体" w:hAnsi="宋体" w:eastAsia="宋体" w:cs="宋体"/>
          <w:highlight w:val="none"/>
        </w:rPr>
        <w:t>若国家有明确规定的质量保证期高于此质量保证期的，执行国家规定。</w:t>
      </w:r>
    </w:p>
    <w:p>
      <w:pPr>
        <w:spacing w:line="360" w:lineRule="auto"/>
        <w:ind w:firstLine="480" w:firstLineChars="200"/>
        <w:rPr>
          <w:rFonts w:ascii="宋体" w:hAnsi="宋体" w:eastAsia="宋体" w:cs="宋体"/>
          <w:highlight w:val="none"/>
        </w:rPr>
      </w:pPr>
      <w:r>
        <w:rPr>
          <w:rFonts w:hint="eastAsia" w:ascii="宋体" w:hAnsi="宋体" w:eastAsia="宋体" w:cs="宋体"/>
          <w:highlight w:val="none"/>
        </w:rPr>
        <w:t>2.在货物质保期内，乙方应对由于设计、工艺、质量（含环保节能要求）、材料和的缺陷而发生的任何不足或故障负责，并解决存在的问题。</w:t>
      </w:r>
    </w:p>
    <w:p>
      <w:pPr>
        <w:spacing w:line="360" w:lineRule="auto"/>
        <w:ind w:firstLine="480" w:firstLineChars="200"/>
        <w:rPr>
          <w:rFonts w:ascii="宋体" w:hAnsi="宋体" w:eastAsia="宋体" w:cs="宋体"/>
          <w:highlight w:val="none"/>
        </w:rPr>
      </w:pPr>
      <w:r>
        <w:rPr>
          <w:rFonts w:hint="eastAsia" w:ascii="宋体" w:hAnsi="宋体" w:eastAsia="宋体" w:cs="宋体"/>
          <w:highlight w:val="none"/>
        </w:rPr>
        <w:t>3.对不符合本合同第四条规定要求的货物应立即进行调换，调换本身并不影响甲方就其损失向乙方索赔的权利。</w:t>
      </w:r>
    </w:p>
    <w:p>
      <w:pPr>
        <w:spacing w:line="360" w:lineRule="auto"/>
        <w:ind w:firstLine="480" w:firstLineChars="200"/>
        <w:rPr>
          <w:rFonts w:ascii="宋体" w:hAnsi="宋体" w:eastAsia="宋体" w:cs="宋体"/>
          <w:highlight w:val="none"/>
        </w:rPr>
      </w:pPr>
      <w:r>
        <w:rPr>
          <w:rFonts w:hint="eastAsia" w:ascii="宋体" w:hAnsi="宋体" w:eastAsia="宋体" w:cs="宋体"/>
          <w:highlight w:val="none"/>
        </w:rPr>
        <w:t>4.货物安装调试完成后，乙方应继续向甲方提供良好的技术支持。应当由专门队伍从事此项工作，并提供全天候的热线技术支持服务，应当对甲方所反映的任何问题在</w:t>
      </w:r>
      <w:r>
        <w:rPr>
          <w:rFonts w:hint="eastAsia" w:ascii="宋体" w:hAnsi="宋体" w:eastAsia="宋体" w:cs="宋体"/>
          <w:highlight w:val="none"/>
          <w:u w:val="single"/>
        </w:rPr>
        <w:t xml:space="preserve">      分钟</w:t>
      </w:r>
      <w:r>
        <w:rPr>
          <w:rFonts w:hint="eastAsia" w:ascii="宋体" w:hAnsi="宋体" w:eastAsia="宋体" w:cs="宋体"/>
          <w:highlight w:val="none"/>
        </w:rPr>
        <w:t>之内做出及时响应，在小时之内赶到现场实地解决问题。质保期内，乙方不能及时响应或者拒绝响应，甲方有权自行组织人员维修，由此产生的后果和费用有乙方承担。</w:t>
      </w:r>
    </w:p>
    <w:p>
      <w:pPr>
        <w:spacing w:line="360" w:lineRule="auto"/>
        <w:ind w:firstLine="480" w:firstLineChars="200"/>
        <w:rPr>
          <w:rFonts w:ascii="宋体" w:hAnsi="宋体" w:eastAsia="宋体" w:cs="宋体"/>
          <w:highlight w:val="none"/>
        </w:rPr>
      </w:pPr>
      <w:r>
        <w:rPr>
          <w:rFonts w:hint="eastAsia" w:ascii="宋体" w:hAnsi="宋体" w:eastAsia="宋体" w:cs="宋体"/>
          <w:highlight w:val="none"/>
        </w:rPr>
        <w:t>5.乙方应当建立健全售后服务体系，确保货物正常运行。乙方应当遵守甲方的有关管理制度、操作规程。对于乙方违规操作造成甲方损失的，由乙方按照本合同第十二条的约定承担赔偿责任。</w:t>
      </w:r>
    </w:p>
    <w:p>
      <w:pPr>
        <w:spacing w:line="360" w:lineRule="auto"/>
        <w:ind w:firstLine="480" w:firstLineChars="200"/>
        <w:rPr>
          <w:rFonts w:ascii="宋体" w:hAnsi="宋体" w:eastAsia="宋体" w:cs="宋体"/>
          <w:highlight w:val="none"/>
        </w:rPr>
      </w:pPr>
      <w:r>
        <w:rPr>
          <w:rFonts w:hint="eastAsia" w:ascii="宋体" w:hAnsi="宋体" w:eastAsia="宋体" w:cs="宋体"/>
          <w:highlight w:val="none"/>
        </w:rPr>
        <w:t>6.乙方应负责货物及主要部件、配件维修更换。质保期内，乙方对货物（人为故意损坏除外）提供全免费保修或免费更换；质保期后，收取维修成本费（备品备件乙方应以投标文件承诺的优惠价格提供）。</w:t>
      </w:r>
    </w:p>
    <w:p>
      <w:pPr>
        <w:spacing w:line="360" w:lineRule="auto"/>
        <w:rPr>
          <w:rFonts w:ascii="宋体" w:hAnsi="宋体" w:eastAsia="宋体" w:cs="宋体"/>
          <w:b/>
          <w:highlight w:val="none"/>
        </w:rPr>
      </w:pPr>
      <w:r>
        <w:rPr>
          <w:rFonts w:hint="eastAsia" w:ascii="宋体" w:hAnsi="宋体" w:eastAsia="宋体" w:cs="宋体"/>
          <w:b/>
          <w:highlight w:val="none"/>
        </w:rPr>
        <w:t>第九条  分包</w:t>
      </w:r>
    </w:p>
    <w:p>
      <w:pPr>
        <w:spacing w:line="360" w:lineRule="auto"/>
        <w:ind w:firstLine="480" w:firstLineChars="200"/>
        <w:rPr>
          <w:rFonts w:ascii="宋体" w:hAnsi="宋体" w:eastAsia="宋体" w:cs="宋体"/>
          <w:strike/>
          <w:highlight w:val="none"/>
        </w:rPr>
      </w:pPr>
      <w:r>
        <w:rPr>
          <w:rFonts w:hint="eastAsia" w:ascii="宋体" w:hAnsi="宋体" w:eastAsia="宋体" w:cs="宋体"/>
          <w:highlight w:val="none"/>
        </w:rPr>
        <w:t>除招标采购文件事先说明、且经甲方事先书面同意外，乙方不得分包其应履行的合同义务。</w:t>
      </w:r>
    </w:p>
    <w:p>
      <w:pPr>
        <w:spacing w:line="360" w:lineRule="auto"/>
        <w:rPr>
          <w:rFonts w:ascii="宋体" w:hAnsi="宋体" w:eastAsia="宋体" w:cs="宋体"/>
          <w:b/>
          <w:highlight w:val="none"/>
        </w:rPr>
      </w:pPr>
      <w:r>
        <w:rPr>
          <w:rFonts w:hint="eastAsia" w:ascii="宋体" w:hAnsi="宋体" w:eastAsia="宋体" w:cs="宋体"/>
          <w:b/>
          <w:highlight w:val="none"/>
        </w:rPr>
        <w:t>第十条  合同的生效</w:t>
      </w:r>
    </w:p>
    <w:p>
      <w:pPr>
        <w:spacing w:line="360" w:lineRule="auto"/>
        <w:ind w:firstLine="480" w:firstLineChars="200"/>
        <w:rPr>
          <w:rFonts w:ascii="宋体" w:hAnsi="宋体" w:eastAsia="宋体" w:cs="宋体"/>
          <w:highlight w:val="none"/>
        </w:rPr>
      </w:pPr>
      <w:r>
        <w:rPr>
          <w:rFonts w:hint="eastAsia" w:ascii="宋体" w:hAnsi="宋体" w:eastAsia="宋体" w:cs="宋体"/>
          <w:highlight w:val="none"/>
        </w:rPr>
        <w:t>1.本合同经甲乙双方授权代表签订并加盖公章或合同专用章后生效。</w:t>
      </w:r>
    </w:p>
    <w:p>
      <w:pPr>
        <w:spacing w:line="360" w:lineRule="auto"/>
        <w:ind w:firstLine="480" w:firstLineChars="200"/>
        <w:rPr>
          <w:rFonts w:ascii="宋体" w:hAnsi="宋体" w:eastAsia="宋体" w:cs="宋体"/>
          <w:highlight w:val="none"/>
        </w:rPr>
      </w:pPr>
      <w:r>
        <w:rPr>
          <w:rFonts w:hint="eastAsia" w:ascii="宋体" w:hAnsi="宋体" w:eastAsia="宋体" w:cs="宋体"/>
          <w:highlight w:val="none"/>
        </w:rPr>
        <w:t>2.生效后，除《政府采购法》第49条、第50条第二款规定的情形外，甲乙双方不得擅自变更、中止或终止合同。</w:t>
      </w:r>
    </w:p>
    <w:p>
      <w:pPr>
        <w:spacing w:line="360" w:lineRule="auto"/>
        <w:rPr>
          <w:rFonts w:ascii="宋体" w:hAnsi="宋体" w:eastAsia="宋体" w:cs="宋体"/>
          <w:b/>
          <w:highlight w:val="none"/>
        </w:rPr>
      </w:pPr>
      <w:r>
        <w:rPr>
          <w:rFonts w:hint="eastAsia" w:ascii="宋体" w:hAnsi="宋体" w:eastAsia="宋体" w:cs="宋体"/>
          <w:b/>
          <w:highlight w:val="none"/>
        </w:rPr>
        <w:t>第十一条  违约责任</w:t>
      </w:r>
    </w:p>
    <w:p>
      <w:pPr>
        <w:spacing w:line="360" w:lineRule="auto"/>
        <w:ind w:firstLine="480" w:firstLineChars="200"/>
        <w:rPr>
          <w:rFonts w:ascii="宋体" w:hAnsi="宋体" w:eastAsia="宋体" w:cs="宋体"/>
          <w:highlight w:val="none"/>
        </w:rPr>
      </w:pPr>
      <w:r>
        <w:rPr>
          <w:rFonts w:hint="eastAsia" w:ascii="宋体" w:hAnsi="宋体" w:eastAsia="宋体" w:cs="宋体"/>
          <w:highlight w:val="none"/>
        </w:rPr>
        <w:t>1.乙方所交付的货物不符合本合同规定的，甲方有权拒收，乙方在得到甲方通知之日起个工作日内采取补救措施，逾期仍未采取有效措施的，甲方有权要求乙方赔偿因此造成的损失；同时乙方应向甲方支付合同总价％的违约金。</w:t>
      </w:r>
    </w:p>
    <w:p>
      <w:pPr>
        <w:spacing w:line="360" w:lineRule="auto"/>
        <w:ind w:firstLine="480" w:firstLineChars="200"/>
        <w:rPr>
          <w:rFonts w:ascii="宋体" w:hAnsi="宋体" w:eastAsia="宋体" w:cs="宋体"/>
          <w:highlight w:val="none"/>
        </w:rPr>
      </w:pPr>
      <w:r>
        <w:rPr>
          <w:rFonts w:hint="eastAsia" w:ascii="宋体" w:hAnsi="宋体" w:eastAsia="宋体" w:cs="宋体"/>
          <w:highlight w:val="none"/>
        </w:rPr>
        <w:t>2.甲方无正当理由拒收货物、拒付货款的，甲方应向乙方偿付拒付货款％的违约金。</w:t>
      </w:r>
    </w:p>
    <w:p>
      <w:pPr>
        <w:spacing w:line="360" w:lineRule="auto"/>
        <w:ind w:firstLine="480" w:firstLineChars="200"/>
        <w:rPr>
          <w:rFonts w:ascii="宋体" w:hAnsi="宋体" w:eastAsia="宋体" w:cs="宋体"/>
          <w:highlight w:val="none"/>
        </w:rPr>
      </w:pPr>
      <w:r>
        <w:rPr>
          <w:rFonts w:hint="eastAsia" w:ascii="宋体" w:hAnsi="宋体" w:eastAsia="宋体" w:cs="宋体"/>
          <w:highlight w:val="none"/>
        </w:rPr>
        <w:t>3.乙方无正当理由逾期交付货物的，每逾期1天，乙方向甲方偿付逾期交货部分货款总额的‰的违约金。如乙方逾期交货达天，甲方有权解除合同，甲方解除合同的通知自到达乙方时生效。在此情况下，乙方给甲方造成的实际损失高于违约金的，对高出违约金的部分乙方应予以赔偿。</w:t>
      </w:r>
    </w:p>
    <w:p>
      <w:pPr>
        <w:spacing w:line="360" w:lineRule="auto"/>
        <w:ind w:firstLine="480" w:firstLineChars="200"/>
        <w:rPr>
          <w:rFonts w:ascii="宋体" w:hAnsi="宋体" w:eastAsia="宋体" w:cs="宋体"/>
          <w:highlight w:val="none"/>
        </w:rPr>
      </w:pPr>
      <w:r>
        <w:rPr>
          <w:rFonts w:hint="eastAsia" w:ascii="宋体" w:hAnsi="宋体" w:eastAsia="宋体" w:cs="宋体"/>
          <w:highlight w:val="none"/>
        </w:rPr>
        <w:t>4.在乙方承诺的或国家规定的质量保证期内（取两者中最长的期限），如经乙方两次维修，货物仍不能达到合同约定的质量标准、运行效果的，甲方有权要求乙方更换为全新合格货物并按本条第1款处理，同时，乙方还须赔偿甲方因此遭受的损失。</w:t>
      </w:r>
    </w:p>
    <w:p>
      <w:pPr>
        <w:spacing w:line="360" w:lineRule="auto"/>
        <w:ind w:firstLine="480" w:firstLineChars="200"/>
        <w:rPr>
          <w:rFonts w:ascii="宋体" w:hAnsi="宋体" w:eastAsia="宋体" w:cs="宋体"/>
          <w:highlight w:val="none"/>
        </w:rPr>
      </w:pPr>
      <w:r>
        <w:rPr>
          <w:rFonts w:hint="eastAsia" w:ascii="宋体" w:hAnsi="宋体" w:eastAsia="宋体" w:cs="宋体"/>
          <w:highlight w:val="none"/>
        </w:rPr>
        <w:t>5.其它未尽事宜，以《民法典》和《政府采购法》等有关法律法规规定为准，无相关规定的，双方协商解决。</w:t>
      </w:r>
    </w:p>
    <w:p>
      <w:pPr>
        <w:spacing w:line="360" w:lineRule="auto"/>
        <w:rPr>
          <w:rFonts w:ascii="宋体" w:hAnsi="宋体" w:eastAsia="宋体" w:cs="宋体"/>
          <w:b/>
          <w:highlight w:val="none"/>
        </w:rPr>
      </w:pPr>
      <w:r>
        <w:rPr>
          <w:rFonts w:hint="eastAsia" w:ascii="宋体" w:hAnsi="宋体" w:eastAsia="宋体" w:cs="宋体"/>
          <w:b/>
          <w:highlight w:val="none"/>
        </w:rPr>
        <w:t>第十二条  不可抗力</w:t>
      </w:r>
    </w:p>
    <w:p>
      <w:pPr>
        <w:spacing w:line="360" w:lineRule="auto"/>
        <w:ind w:firstLine="480" w:firstLineChars="200"/>
        <w:rPr>
          <w:rFonts w:ascii="宋体" w:hAnsi="宋体" w:eastAsia="宋体" w:cs="宋体"/>
          <w:highlight w:val="none"/>
        </w:rPr>
      </w:pPr>
      <w:r>
        <w:rPr>
          <w:rFonts w:hint="eastAsia" w:ascii="宋体" w:hAnsi="宋体" w:eastAsia="宋体" w:cs="宋体"/>
          <w:highlight w:val="none"/>
        </w:rPr>
        <w:t>甲、乙方中任何一方，因不可抗力不能按时或完全履行合同的，应及时通知对方，并在个工作日内提供相应证明。未履行完合同部分是否继续履行、如何履行等问题，可由双方初步协商，并向主管部门和政府采购管理部门报告。确定为不可抗力原因造成的损失，免予承担违约赔偿责任。</w:t>
      </w:r>
    </w:p>
    <w:p>
      <w:pPr>
        <w:spacing w:line="360" w:lineRule="auto"/>
        <w:rPr>
          <w:rFonts w:ascii="宋体" w:hAnsi="宋体" w:eastAsia="宋体" w:cs="宋体"/>
          <w:b/>
          <w:highlight w:val="none"/>
        </w:rPr>
      </w:pPr>
      <w:r>
        <w:rPr>
          <w:rFonts w:hint="eastAsia" w:ascii="宋体" w:hAnsi="宋体" w:eastAsia="宋体" w:cs="宋体"/>
          <w:b/>
          <w:highlight w:val="none"/>
        </w:rPr>
        <w:t>第十三条  争议的解决方式</w:t>
      </w:r>
    </w:p>
    <w:p>
      <w:pPr>
        <w:spacing w:line="360" w:lineRule="auto"/>
        <w:ind w:firstLine="480" w:firstLineChars="200"/>
        <w:rPr>
          <w:rFonts w:ascii="宋体" w:hAnsi="宋体" w:eastAsia="宋体" w:cs="宋体"/>
          <w:highlight w:val="none"/>
        </w:rPr>
      </w:pPr>
      <w:r>
        <w:rPr>
          <w:rFonts w:hint="eastAsia" w:ascii="宋体" w:hAnsi="宋体" w:eastAsia="宋体" w:cs="宋体"/>
          <w:highlight w:val="none"/>
        </w:rPr>
        <w:t>1.因货物的质量问题发生争议的，应当邀请国家认可的质量检测机构对货物质量进行鉴定。货物符合质量标准的，鉴定费由甲方承担；货物不符合质量标准的，鉴定费由乙方承担。</w:t>
      </w:r>
    </w:p>
    <w:p>
      <w:pPr>
        <w:spacing w:line="360" w:lineRule="auto"/>
        <w:ind w:firstLine="480" w:firstLineChars="200"/>
        <w:rPr>
          <w:rFonts w:ascii="宋体" w:hAnsi="宋体" w:eastAsia="宋体" w:cs="宋体"/>
          <w:highlight w:val="none"/>
        </w:rPr>
      </w:pPr>
      <w:r>
        <w:rPr>
          <w:rFonts w:hint="eastAsia" w:ascii="宋体" w:hAnsi="宋体" w:eastAsia="宋体" w:cs="宋体"/>
          <w:highlight w:val="none"/>
        </w:rPr>
        <w:t>2.在解释或者执行本合同的过程中发生争议时，双方应通过协商方式解决。</w:t>
      </w:r>
    </w:p>
    <w:p>
      <w:pPr>
        <w:spacing w:line="360" w:lineRule="auto"/>
        <w:ind w:firstLine="480" w:firstLineChars="200"/>
        <w:rPr>
          <w:rFonts w:ascii="宋体" w:hAnsi="宋体" w:eastAsia="宋体" w:cs="宋体"/>
          <w:highlight w:val="none"/>
        </w:rPr>
      </w:pPr>
      <w:r>
        <w:rPr>
          <w:rFonts w:hint="eastAsia" w:ascii="宋体" w:hAnsi="宋体" w:eastAsia="宋体" w:cs="宋体"/>
          <w:highlight w:val="none"/>
        </w:rPr>
        <w:t>3.经协商不能解决的争议，双方可选择以下第种方式解决：</w:t>
      </w:r>
    </w:p>
    <w:p>
      <w:pPr>
        <w:spacing w:line="360" w:lineRule="auto"/>
        <w:ind w:firstLine="480" w:firstLineChars="200"/>
        <w:rPr>
          <w:rFonts w:ascii="宋体" w:hAnsi="宋体" w:eastAsia="宋体" w:cs="宋体"/>
          <w:highlight w:val="none"/>
        </w:rPr>
      </w:pPr>
      <w:r>
        <w:rPr>
          <w:rFonts w:hint="eastAsia" w:ascii="宋体" w:hAnsi="宋体" w:eastAsia="宋体" w:cs="宋体"/>
          <w:highlight w:val="none"/>
        </w:rPr>
        <w:t>①向甲方所在人民法院提起诉讼；</w:t>
      </w:r>
    </w:p>
    <w:p>
      <w:pPr>
        <w:spacing w:line="360" w:lineRule="auto"/>
        <w:ind w:firstLine="480" w:firstLineChars="200"/>
        <w:rPr>
          <w:rFonts w:ascii="宋体" w:hAnsi="宋体" w:eastAsia="宋体" w:cs="宋体"/>
          <w:highlight w:val="none"/>
        </w:rPr>
      </w:pPr>
      <w:r>
        <w:rPr>
          <w:rFonts w:hint="eastAsia" w:ascii="宋体" w:hAnsi="宋体" w:eastAsia="宋体" w:cs="宋体"/>
          <w:highlight w:val="none"/>
        </w:rPr>
        <w:t>②向甲方仲裁委员会提出仲裁。</w:t>
      </w:r>
    </w:p>
    <w:p>
      <w:pPr>
        <w:spacing w:line="360" w:lineRule="auto"/>
        <w:ind w:firstLine="480" w:firstLineChars="200"/>
        <w:rPr>
          <w:rFonts w:ascii="宋体" w:hAnsi="宋体" w:eastAsia="宋体" w:cs="宋体"/>
          <w:highlight w:val="none"/>
        </w:rPr>
      </w:pPr>
      <w:r>
        <w:rPr>
          <w:rFonts w:hint="eastAsia" w:ascii="宋体" w:hAnsi="宋体" w:eastAsia="宋体" w:cs="宋体"/>
          <w:highlight w:val="none"/>
        </w:rPr>
        <w:t>4.在法院审理和仲裁期间，除有争议部分外，本合同其他部分可以履行的仍应按合同条款继续履行。</w:t>
      </w:r>
    </w:p>
    <w:p>
      <w:pPr>
        <w:spacing w:line="360" w:lineRule="auto"/>
        <w:rPr>
          <w:rFonts w:ascii="宋体" w:hAnsi="宋体" w:eastAsia="宋体" w:cs="宋体"/>
          <w:b/>
          <w:highlight w:val="none"/>
        </w:rPr>
      </w:pPr>
      <w:r>
        <w:rPr>
          <w:rFonts w:hint="eastAsia" w:ascii="宋体" w:hAnsi="宋体" w:eastAsia="宋体" w:cs="宋体"/>
          <w:b/>
          <w:highlight w:val="none"/>
        </w:rPr>
        <w:t>第十四条  其他</w:t>
      </w:r>
    </w:p>
    <w:p>
      <w:pPr>
        <w:spacing w:line="360" w:lineRule="auto"/>
        <w:ind w:firstLine="480" w:firstLineChars="200"/>
        <w:rPr>
          <w:rFonts w:ascii="宋体" w:hAnsi="宋体" w:eastAsia="宋体" w:cs="宋体"/>
          <w:highlight w:val="none"/>
        </w:rPr>
      </w:pPr>
      <w:r>
        <w:rPr>
          <w:rFonts w:hint="eastAsia" w:ascii="宋体" w:hAnsi="宋体" w:eastAsia="宋体" w:cs="宋体"/>
          <w:highlight w:val="none"/>
        </w:rPr>
        <w:t>符合《政府采购法》第49条规定的，经双方协商，办理政府采购手续后，可签订补充合同，所签订的补充合同与本合同具有同等法律效力。</w:t>
      </w:r>
    </w:p>
    <w:p>
      <w:pPr>
        <w:spacing w:line="360" w:lineRule="auto"/>
        <w:ind w:firstLine="480" w:firstLineChars="200"/>
        <w:rPr>
          <w:rFonts w:ascii="宋体" w:hAnsi="宋体" w:eastAsia="宋体" w:cs="宋体"/>
          <w:highlight w:val="none"/>
        </w:rPr>
      </w:pPr>
      <w:r>
        <w:rPr>
          <w:rFonts w:hint="eastAsia" w:ascii="宋体" w:hAnsi="宋体" w:eastAsia="宋体" w:cs="宋体"/>
          <w:highlight w:val="none"/>
        </w:rPr>
        <w:t>本合同一式</w:t>
      </w:r>
      <w:r>
        <w:rPr>
          <w:rFonts w:hint="eastAsia" w:ascii="宋体" w:hAnsi="宋体" w:eastAsia="宋体" w:cs="宋体"/>
          <w:highlight w:val="none"/>
          <w:u w:val="single"/>
        </w:rPr>
        <w:t xml:space="preserve">  四 </w:t>
      </w:r>
      <w:r>
        <w:rPr>
          <w:rFonts w:hint="eastAsia" w:ascii="宋体" w:hAnsi="宋体" w:eastAsia="宋体" w:cs="宋体"/>
          <w:highlight w:val="none"/>
        </w:rPr>
        <w:t>份，甲方执</w:t>
      </w:r>
      <w:r>
        <w:rPr>
          <w:rFonts w:hint="eastAsia" w:ascii="宋体" w:hAnsi="宋体" w:eastAsia="宋体" w:cs="宋体"/>
          <w:highlight w:val="none"/>
          <w:u w:val="single"/>
        </w:rPr>
        <w:t xml:space="preserve">  叁  </w:t>
      </w:r>
      <w:r>
        <w:rPr>
          <w:rFonts w:hint="eastAsia" w:ascii="宋体" w:hAnsi="宋体" w:eastAsia="宋体" w:cs="宋体"/>
          <w:highlight w:val="none"/>
        </w:rPr>
        <w:t>份，甲、乙方执</w:t>
      </w:r>
      <w:r>
        <w:rPr>
          <w:rFonts w:hint="eastAsia" w:ascii="宋体" w:hAnsi="宋体" w:eastAsia="宋体" w:cs="宋体"/>
          <w:highlight w:val="none"/>
          <w:u w:val="single"/>
        </w:rPr>
        <w:t xml:space="preserve">  壹 </w:t>
      </w:r>
      <w:r>
        <w:rPr>
          <w:rFonts w:hint="eastAsia" w:ascii="宋体" w:hAnsi="宋体" w:eastAsia="宋体" w:cs="宋体"/>
          <w:highlight w:val="none"/>
        </w:rPr>
        <w:t>份。</w:t>
      </w:r>
    </w:p>
    <w:p>
      <w:pPr>
        <w:spacing w:line="360" w:lineRule="auto"/>
        <w:ind w:firstLine="480" w:firstLineChars="200"/>
        <w:rPr>
          <w:rFonts w:ascii="宋体" w:hAnsi="宋体" w:eastAsia="宋体" w:cs="宋体"/>
          <w:highlight w:val="none"/>
        </w:rPr>
      </w:pPr>
      <w:r>
        <w:rPr>
          <w:rFonts w:hint="eastAsia" w:ascii="宋体" w:hAnsi="宋体" w:eastAsia="宋体" w:cs="宋体"/>
          <w:highlight w:val="none"/>
        </w:rPr>
        <w:t>甲方：河南科技大学第二附属医院            乙方：</w:t>
      </w:r>
    </w:p>
    <w:p>
      <w:pPr>
        <w:spacing w:line="360" w:lineRule="auto"/>
        <w:ind w:firstLine="480" w:firstLineChars="200"/>
        <w:rPr>
          <w:rFonts w:ascii="宋体" w:hAnsi="宋体" w:eastAsia="宋体" w:cs="宋体"/>
          <w:highlight w:val="none"/>
        </w:rPr>
      </w:pPr>
      <w:r>
        <w:rPr>
          <w:rFonts w:hint="eastAsia" w:ascii="宋体" w:hAnsi="宋体" w:eastAsia="宋体" w:cs="宋体"/>
          <w:highlight w:val="none"/>
        </w:rPr>
        <w:t>名称：（盖章）                            名称：（盖章）</w:t>
      </w:r>
    </w:p>
    <w:p>
      <w:pPr>
        <w:spacing w:line="360" w:lineRule="auto"/>
        <w:ind w:left="5760" w:hanging="5760" w:hangingChars="2400"/>
        <w:rPr>
          <w:rFonts w:ascii="宋体" w:hAnsi="宋体" w:eastAsia="宋体" w:cs="宋体"/>
          <w:highlight w:val="none"/>
        </w:rPr>
      </w:pPr>
      <w:r>
        <w:rPr>
          <w:rFonts w:hint="eastAsia" w:ascii="宋体" w:hAnsi="宋体" w:eastAsia="宋体" w:cs="宋体"/>
          <w:highlight w:val="none"/>
        </w:rPr>
        <w:t>地址：河南省洛阳市西工区金谷园路80号     地址：</w:t>
      </w:r>
    </w:p>
    <w:p>
      <w:pPr>
        <w:spacing w:line="360" w:lineRule="auto"/>
        <w:ind w:firstLine="480" w:firstLineChars="200"/>
        <w:rPr>
          <w:rFonts w:ascii="宋体" w:hAnsi="宋体" w:eastAsia="宋体" w:cs="宋体"/>
          <w:highlight w:val="none"/>
        </w:rPr>
      </w:pPr>
      <w:r>
        <w:rPr>
          <w:rFonts w:hint="eastAsia" w:ascii="宋体" w:hAnsi="宋体" w:eastAsia="宋体" w:cs="宋体"/>
          <w:highlight w:val="none"/>
        </w:rPr>
        <w:t>法定代表人（签字）：                      法定代表人（签字）：</w:t>
      </w:r>
    </w:p>
    <w:p>
      <w:pPr>
        <w:spacing w:line="360" w:lineRule="auto"/>
        <w:ind w:firstLine="480" w:firstLineChars="200"/>
        <w:rPr>
          <w:rFonts w:ascii="宋体" w:hAnsi="宋体" w:eastAsia="宋体" w:cs="宋体"/>
          <w:highlight w:val="none"/>
        </w:rPr>
      </w:pPr>
      <w:r>
        <w:rPr>
          <w:rFonts w:hint="eastAsia" w:ascii="宋体" w:hAnsi="宋体" w:eastAsia="宋体" w:cs="宋体"/>
          <w:highlight w:val="none"/>
        </w:rPr>
        <w:t>授权代表（签字）：                        授权代表（签字）：</w:t>
      </w:r>
    </w:p>
    <w:p>
      <w:pPr>
        <w:spacing w:line="360" w:lineRule="auto"/>
        <w:ind w:firstLine="480" w:firstLineChars="200"/>
        <w:rPr>
          <w:rFonts w:ascii="宋体" w:hAnsi="宋体" w:eastAsia="宋体" w:cs="宋体"/>
          <w:highlight w:val="none"/>
        </w:rPr>
      </w:pPr>
      <w:r>
        <w:rPr>
          <w:rFonts w:hint="eastAsia" w:ascii="宋体" w:hAnsi="宋体" w:eastAsia="宋体" w:cs="宋体"/>
          <w:highlight w:val="none"/>
        </w:rPr>
        <w:t>开户银行：                                开户银行（基本账户）：</w:t>
      </w:r>
    </w:p>
    <w:p>
      <w:pPr>
        <w:spacing w:line="360" w:lineRule="auto"/>
        <w:ind w:firstLine="480" w:firstLineChars="200"/>
        <w:rPr>
          <w:rFonts w:ascii="宋体" w:hAnsi="宋体" w:eastAsia="宋体" w:cs="宋体"/>
          <w:highlight w:val="none"/>
        </w:rPr>
      </w:pPr>
      <w:r>
        <w:rPr>
          <w:rFonts w:hint="eastAsia" w:ascii="宋体" w:hAnsi="宋体" w:eastAsia="宋体" w:cs="宋体"/>
          <w:highlight w:val="none"/>
        </w:rPr>
        <w:t>银行帐号：                                银行帐号（基本账户）：</w:t>
      </w:r>
    </w:p>
    <w:p>
      <w:pPr>
        <w:spacing w:line="360" w:lineRule="auto"/>
        <w:ind w:firstLine="480" w:firstLineChars="200"/>
        <w:rPr>
          <w:rFonts w:ascii="宋体" w:hAnsi="宋体" w:eastAsia="宋体" w:cs="宋体"/>
          <w:highlight w:val="none"/>
        </w:rPr>
      </w:pPr>
      <w:r>
        <w:rPr>
          <w:rFonts w:hint="eastAsia" w:ascii="宋体" w:hAnsi="宋体" w:eastAsia="宋体" w:cs="宋体"/>
          <w:highlight w:val="none"/>
        </w:rPr>
        <w:t>时  间：年月日</w:t>
      </w:r>
    </w:p>
    <w:p>
      <w:pPr>
        <w:spacing w:line="360" w:lineRule="auto"/>
        <w:rPr>
          <w:rFonts w:ascii="宋体" w:hAnsi="宋体" w:eastAsia="宋体" w:cs="宋体"/>
          <w:highlight w:val="none"/>
        </w:rPr>
      </w:pPr>
    </w:p>
    <w:p>
      <w:pPr>
        <w:pStyle w:val="41"/>
        <w:spacing w:line="360" w:lineRule="auto"/>
        <w:rPr>
          <w:rFonts w:ascii="宋体" w:hAnsi="宋体" w:cs="宋体"/>
          <w:highlight w:val="none"/>
        </w:rPr>
      </w:pPr>
    </w:p>
    <w:p>
      <w:pPr>
        <w:pStyle w:val="42"/>
        <w:spacing w:line="360" w:lineRule="auto"/>
        <w:rPr>
          <w:rFonts w:ascii="宋体" w:hAnsi="宋体" w:cs="宋体"/>
          <w:sz w:val="24"/>
          <w:szCs w:val="24"/>
          <w:highlight w:val="none"/>
        </w:rPr>
      </w:pPr>
    </w:p>
    <w:p>
      <w:pPr>
        <w:pStyle w:val="42"/>
        <w:spacing w:line="360" w:lineRule="auto"/>
        <w:rPr>
          <w:rFonts w:ascii="宋体" w:hAnsi="宋体" w:cs="宋体"/>
          <w:sz w:val="24"/>
          <w:szCs w:val="24"/>
          <w:highlight w:val="none"/>
        </w:rPr>
      </w:pPr>
    </w:p>
    <w:p>
      <w:pPr>
        <w:pStyle w:val="42"/>
        <w:spacing w:line="360" w:lineRule="auto"/>
        <w:rPr>
          <w:rFonts w:ascii="宋体" w:hAnsi="宋体" w:cs="宋体"/>
          <w:sz w:val="24"/>
          <w:szCs w:val="24"/>
          <w:highlight w:val="none"/>
        </w:rPr>
      </w:pPr>
    </w:p>
    <w:p>
      <w:pPr>
        <w:pStyle w:val="42"/>
        <w:spacing w:line="360" w:lineRule="auto"/>
        <w:rPr>
          <w:rFonts w:ascii="宋体" w:hAnsi="宋体" w:cs="宋体"/>
          <w:sz w:val="24"/>
          <w:szCs w:val="24"/>
          <w:highlight w:val="none"/>
        </w:rPr>
      </w:pPr>
    </w:p>
    <w:p>
      <w:pPr>
        <w:pStyle w:val="42"/>
        <w:spacing w:line="360" w:lineRule="auto"/>
        <w:rPr>
          <w:rFonts w:ascii="宋体" w:hAnsi="宋体" w:cs="宋体"/>
          <w:sz w:val="24"/>
          <w:szCs w:val="24"/>
          <w:highlight w:val="none"/>
        </w:rPr>
      </w:pPr>
    </w:p>
    <w:p>
      <w:pPr>
        <w:pStyle w:val="42"/>
        <w:spacing w:line="360" w:lineRule="auto"/>
        <w:rPr>
          <w:rFonts w:ascii="宋体" w:hAnsi="宋体" w:cs="宋体"/>
          <w:sz w:val="24"/>
          <w:szCs w:val="24"/>
          <w:highlight w:val="none"/>
        </w:rPr>
      </w:pPr>
    </w:p>
    <w:p>
      <w:pPr>
        <w:pStyle w:val="42"/>
        <w:spacing w:line="360" w:lineRule="auto"/>
        <w:rPr>
          <w:rFonts w:ascii="宋体" w:hAnsi="宋体" w:cs="宋体"/>
          <w:sz w:val="24"/>
          <w:szCs w:val="24"/>
          <w:highlight w:val="none"/>
        </w:rPr>
      </w:pPr>
    </w:p>
    <w:p>
      <w:pPr>
        <w:pStyle w:val="42"/>
        <w:spacing w:line="360" w:lineRule="auto"/>
        <w:rPr>
          <w:rFonts w:ascii="宋体" w:hAnsi="宋体" w:cs="宋体"/>
          <w:sz w:val="24"/>
          <w:szCs w:val="24"/>
          <w:highlight w:val="none"/>
        </w:rPr>
      </w:pPr>
    </w:p>
    <w:p>
      <w:pPr>
        <w:pStyle w:val="42"/>
        <w:spacing w:line="360" w:lineRule="auto"/>
        <w:rPr>
          <w:rFonts w:ascii="宋体" w:hAnsi="宋体" w:cs="宋体"/>
          <w:sz w:val="24"/>
          <w:szCs w:val="24"/>
          <w:highlight w:val="none"/>
        </w:rPr>
      </w:pPr>
    </w:p>
    <w:p>
      <w:pPr>
        <w:pStyle w:val="43"/>
        <w:spacing w:before="0" w:after="0"/>
        <w:ind w:firstLine="562"/>
        <w:rPr>
          <w:rFonts w:ascii="宋体" w:hAnsi="宋体" w:cs="宋体"/>
          <w:sz w:val="28"/>
          <w:szCs w:val="28"/>
          <w:highlight w:val="none"/>
        </w:rPr>
      </w:pPr>
      <w:bookmarkStart w:id="155" w:name="_Toc4965"/>
      <w:bookmarkStart w:id="156" w:name="_Toc256000053"/>
      <w:bookmarkStart w:id="157" w:name="_Toc504741948"/>
      <w:bookmarkStart w:id="158" w:name="_Toc1660841"/>
      <w:r>
        <w:rPr>
          <w:rFonts w:hint="eastAsia" w:ascii="宋体" w:hAnsi="宋体" w:cs="宋体"/>
          <w:sz w:val="28"/>
          <w:szCs w:val="28"/>
          <w:highlight w:val="none"/>
        </w:rPr>
        <w:t>第五章   资格审查与评标办法</w:t>
      </w:r>
      <w:bookmarkEnd w:id="155"/>
      <w:bookmarkEnd w:id="156"/>
      <w:bookmarkEnd w:id="157"/>
      <w:bookmarkEnd w:id="158"/>
    </w:p>
    <w:p>
      <w:pPr>
        <w:pStyle w:val="28"/>
        <w:spacing w:line="360" w:lineRule="auto"/>
        <w:rPr>
          <w:rFonts w:ascii="宋体" w:hAnsi="宋体" w:eastAsia="宋体" w:cs="宋体"/>
          <w:b/>
          <w:bCs/>
          <w:spacing w:val="14"/>
          <w:sz w:val="24"/>
          <w:szCs w:val="24"/>
          <w:highlight w:val="none"/>
        </w:rPr>
      </w:pPr>
      <w:bookmarkStart w:id="159" w:name="_Toc1660842"/>
      <w:r>
        <w:rPr>
          <w:rFonts w:hint="eastAsia" w:ascii="宋体" w:hAnsi="宋体" w:eastAsia="宋体" w:cs="宋体"/>
          <w:b/>
          <w:bCs/>
          <w:spacing w:val="14"/>
          <w:sz w:val="24"/>
          <w:szCs w:val="24"/>
          <w:highlight w:val="none"/>
        </w:rPr>
        <w:t>1、资格审查与评标方法</w:t>
      </w:r>
      <w:bookmarkEnd w:id="159"/>
    </w:p>
    <w:p>
      <w:pPr>
        <w:pStyle w:val="28"/>
        <w:spacing w:line="360" w:lineRule="auto"/>
        <w:rPr>
          <w:rFonts w:ascii="宋体" w:hAnsi="宋体" w:eastAsia="宋体" w:cs="宋体"/>
          <w:spacing w:val="14"/>
          <w:sz w:val="24"/>
          <w:szCs w:val="24"/>
          <w:highlight w:val="none"/>
        </w:rPr>
      </w:pPr>
      <w:r>
        <w:rPr>
          <w:rFonts w:hint="eastAsia" w:ascii="宋体" w:hAnsi="宋体" w:eastAsia="宋体" w:cs="宋体"/>
          <w:spacing w:val="14"/>
          <w:sz w:val="24"/>
          <w:szCs w:val="24"/>
          <w:highlight w:val="none"/>
        </w:rPr>
        <w:t>本次资格审查和符合性审查采用合格制，评标方法采用综合评分法。评标委员会对满足招标文件实质性要求的投标文件，按照本章2.2 款规定的评分标准进行打分，按得分由高到低顺序推荐中标候选人，或根据采购人授权直接确定中标人，但投标报价明显低于其他通过符合性审查投标人的报价，有可能影响产品质量或者不能诚信履约的除外</w:t>
      </w:r>
      <w:bookmarkStart w:id="160" w:name="_Toc1660843"/>
      <w:r>
        <w:rPr>
          <w:rFonts w:hint="eastAsia" w:ascii="宋体" w:hAnsi="宋体" w:eastAsia="宋体" w:cs="宋体"/>
          <w:spacing w:val="14"/>
          <w:sz w:val="24"/>
          <w:szCs w:val="24"/>
          <w:highlight w:val="none"/>
        </w:rPr>
        <w:t>。</w:t>
      </w:r>
    </w:p>
    <w:p>
      <w:pPr>
        <w:pStyle w:val="28"/>
        <w:spacing w:line="360" w:lineRule="auto"/>
        <w:rPr>
          <w:rFonts w:ascii="宋体" w:hAnsi="宋体" w:eastAsia="宋体" w:cs="宋体"/>
          <w:b/>
          <w:bCs/>
          <w:spacing w:val="14"/>
          <w:sz w:val="24"/>
          <w:szCs w:val="24"/>
          <w:highlight w:val="none"/>
        </w:rPr>
      </w:pPr>
      <w:r>
        <w:rPr>
          <w:rFonts w:hint="eastAsia" w:ascii="宋体" w:hAnsi="宋体" w:eastAsia="宋体" w:cs="宋体"/>
          <w:b/>
          <w:bCs/>
          <w:spacing w:val="14"/>
          <w:sz w:val="24"/>
          <w:szCs w:val="24"/>
          <w:highlight w:val="none"/>
        </w:rPr>
        <w:t>2、资格审查与评审标准</w:t>
      </w:r>
      <w:bookmarkEnd w:id="160"/>
    </w:p>
    <w:p>
      <w:pPr>
        <w:pStyle w:val="28"/>
        <w:spacing w:line="360" w:lineRule="auto"/>
        <w:rPr>
          <w:rFonts w:ascii="宋体" w:hAnsi="宋体" w:eastAsia="宋体" w:cs="宋体"/>
          <w:spacing w:val="14"/>
          <w:sz w:val="24"/>
          <w:szCs w:val="24"/>
          <w:highlight w:val="none"/>
        </w:rPr>
      </w:pPr>
      <w:bookmarkStart w:id="161" w:name="_Toc1660844"/>
      <w:r>
        <w:rPr>
          <w:rFonts w:hint="eastAsia" w:ascii="宋体" w:hAnsi="宋体" w:eastAsia="宋体" w:cs="宋体"/>
          <w:spacing w:val="14"/>
          <w:sz w:val="24"/>
          <w:szCs w:val="24"/>
          <w:highlight w:val="none"/>
        </w:rPr>
        <w:t>2.1 资格审查与符合性审查标准</w:t>
      </w:r>
      <w:bookmarkEnd w:id="161"/>
    </w:p>
    <w:p>
      <w:pPr>
        <w:pStyle w:val="28"/>
        <w:spacing w:line="360" w:lineRule="auto"/>
        <w:rPr>
          <w:rFonts w:ascii="宋体" w:hAnsi="宋体" w:eastAsia="宋体" w:cs="宋体"/>
          <w:spacing w:val="14"/>
          <w:sz w:val="24"/>
          <w:szCs w:val="24"/>
          <w:highlight w:val="none"/>
        </w:rPr>
      </w:pPr>
      <w:r>
        <w:rPr>
          <w:rFonts w:hint="eastAsia" w:ascii="宋体" w:hAnsi="宋体" w:eastAsia="宋体" w:cs="宋体"/>
          <w:spacing w:val="14"/>
          <w:sz w:val="24"/>
          <w:szCs w:val="24"/>
          <w:highlight w:val="none"/>
        </w:rPr>
        <w:t>2.1.1 资格审查标准：见第六章。</w:t>
      </w:r>
    </w:p>
    <w:p>
      <w:pPr>
        <w:pStyle w:val="28"/>
        <w:spacing w:line="360" w:lineRule="auto"/>
        <w:rPr>
          <w:rFonts w:ascii="宋体" w:hAnsi="宋体" w:eastAsia="宋体" w:cs="宋体"/>
          <w:spacing w:val="14"/>
          <w:sz w:val="24"/>
          <w:szCs w:val="24"/>
          <w:highlight w:val="none"/>
        </w:rPr>
      </w:pPr>
      <w:r>
        <w:rPr>
          <w:rFonts w:hint="eastAsia" w:ascii="宋体" w:hAnsi="宋体" w:eastAsia="宋体" w:cs="宋体"/>
          <w:spacing w:val="14"/>
          <w:sz w:val="24"/>
          <w:szCs w:val="24"/>
          <w:highlight w:val="none"/>
        </w:rPr>
        <w:t>2.1.2 符合性审查标准：见第六章。</w:t>
      </w:r>
    </w:p>
    <w:p>
      <w:pPr>
        <w:pStyle w:val="28"/>
        <w:spacing w:line="360" w:lineRule="auto"/>
        <w:rPr>
          <w:rFonts w:ascii="宋体" w:hAnsi="宋体" w:eastAsia="宋体" w:cs="宋体"/>
          <w:spacing w:val="14"/>
          <w:sz w:val="24"/>
          <w:szCs w:val="24"/>
          <w:highlight w:val="none"/>
        </w:rPr>
      </w:pPr>
      <w:bookmarkStart w:id="162" w:name="_Toc1660845"/>
      <w:r>
        <w:rPr>
          <w:rFonts w:hint="eastAsia" w:ascii="宋体" w:hAnsi="宋体" w:eastAsia="宋体" w:cs="宋体"/>
          <w:spacing w:val="14"/>
          <w:sz w:val="24"/>
          <w:szCs w:val="24"/>
          <w:highlight w:val="none"/>
        </w:rPr>
        <w:t>2.2 分值构成与评分标准</w:t>
      </w:r>
      <w:bookmarkEnd w:id="162"/>
    </w:p>
    <w:p>
      <w:pPr>
        <w:pStyle w:val="28"/>
        <w:spacing w:line="360" w:lineRule="auto"/>
        <w:rPr>
          <w:rFonts w:ascii="宋体" w:hAnsi="宋体" w:eastAsia="宋体" w:cs="宋体"/>
          <w:spacing w:val="14"/>
          <w:sz w:val="24"/>
          <w:szCs w:val="24"/>
          <w:highlight w:val="none"/>
        </w:rPr>
      </w:pPr>
      <w:r>
        <w:rPr>
          <w:rFonts w:hint="eastAsia" w:ascii="宋体" w:hAnsi="宋体" w:eastAsia="宋体" w:cs="宋体"/>
          <w:spacing w:val="14"/>
          <w:sz w:val="24"/>
          <w:szCs w:val="24"/>
          <w:highlight w:val="none"/>
        </w:rPr>
        <w:t>2.2.1 分值构成见评分标准。</w:t>
      </w:r>
    </w:p>
    <w:p>
      <w:pPr>
        <w:pStyle w:val="28"/>
        <w:spacing w:line="360" w:lineRule="auto"/>
        <w:rPr>
          <w:rFonts w:ascii="宋体" w:hAnsi="宋体" w:eastAsia="宋体" w:cs="宋体"/>
          <w:spacing w:val="14"/>
          <w:sz w:val="24"/>
          <w:szCs w:val="24"/>
          <w:highlight w:val="none"/>
        </w:rPr>
      </w:pPr>
      <w:r>
        <w:rPr>
          <w:rFonts w:hint="eastAsia" w:ascii="宋体" w:hAnsi="宋体" w:eastAsia="宋体" w:cs="宋体"/>
          <w:spacing w:val="14"/>
          <w:sz w:val="24"/>
          <w:szCs w:val="24"/>
          <w:highlight w:val="none"/>
        </w:rPr>
        <w:t>2.2.2 评分标准：具体评分标准见第六章。</w:t>
      </w:r>
    </w:p>
    <w:p>
      <w:pPr>
        <w:pStyle w:val="28"/>
        <w:spacing w:line="360" w:lineRule="auto"/>
        <w:rPr>
          <w:rFonts w:ascii="宋体" w:hAnsi="宋体" w:eastAsia="宋体" w:cs="宋体"/>
          <w:b/>
          <w:bCs/>
          <w:spacing w:val="14"/>
          <w:sz w:val="24"/>
          <w:szCs w:val="24"/>
          <w:highlight w:val="none"/>
        </w:rPr>
      </w:pPr>
      <w:bookmarkStart w:id="163" w:name="_Toc1660846"/>
      <w:r>
        <w:rPr>
          <w:rFonts w:hint="eastAsia" w:ascii="宋体" w:hAnsi="宋体" w:eastAsia="宋体" w:cs="宋体"/>
          <w:b/>
          <w:bCs/>
          <w:spacing w:val="14"/>
          <w:sz w:val="24"/>
          <w:szCs w:val="24"/>
          <w:highlight w:val="none"/>
        </w:rPr>
        <w:t>3、资格审查与评标程序</w:t>
      </w:r>
      <w:bookmarkEnd w:id="163"/>
    </w:p>
    <w:p>
      <w:pPr>
        <w:pStyle w:val="28"/>
        <w:spacing w:line="360" w:lineRule="auto"/>
        <w:rPr>
          <w:rFonts w:ascii="宋体" w:hAnsi="宋体" w:eastAsia="宋体" w:cs="宋体"/>
          <w:spacing w:val="14"/>
          <w:sz w:val="24"/>
          <w:szCs w:val="24"/>
          <w:highlight w:val="none"/>
        </w:rPr>
      </w:pPr>
      <w:bookmarkStart w:id="164" w:name="_Toc1660847"/>
      <w:r>
        <w:rPr>
          <w:rFonts w:hint="eastAsia" w:ascii="宋体" w:hAnsi="宋体" w:eastAsia="宋体" w:cs="宋体"/>
          <w:spacing w:val="14"/>
          <w:sz w:val="24"/>
          <w:szCs w:val="24"/>
          <w:highlight w:val="none"/>
        </w:rPr>
        <w:t>3.1 资格审查与符合性审查</w:t>
      </w:r>
      <w:bookmarkEnd w:id="164"/>
    </w:p>
    <w:p>
      <w:pPr>
        <w:pStyle w:val="28"/>
        <w:spacing w:line="360" w:lineRule="auto"/>
        <w:rPr>
          <w:rFonts w:ascii="宋体" w:hAnsi="宋体" w:eastAsia="宋体" w:cs="宋体"/>
          <w:spacing w:val="14"/>
          <w:sz w:val="24"/>
          <w:szCs w:val="24"/>
          <w:highlight w:val="none"/>
        </w:rPr>
      </w:pPr>
      <w:r>
        <w:rPr>
          <w:rFonts w:hint="eastAsia" w:ascii="宋体" w:hAnsi="宋体" w:eastAsia="宋体" w:cs="宋体"/>
          <w:spacing w:val="14"/>
          <w:sz w:val="24"/>
          <w:szCs w:val="24"/>
          <w:highlight w:val="none"/>
        </w:rPr>
        <w:t>3.1.1资格审查小组依据本章第 2.1.1款规定的标准对投标文件进行资格审查。有一项不符合审查标准的，应当否决其投标。评标委员会依据本章第 2.1.2款规定的标准对投标文件进行符合性审查。有一项不符合审查标准的，应当否决其投标。</w:t>
      </w:r>
    </w:p>
    <w:p>
      <w:pPr>
        <w:pStyle w:val="28"/>
        <w:spacing w:line="360" w:lineRule="auto"/>
        <w:rPr>
          <w:rFonts w:ascii="宋体" w:hAnsi="宋体" w:eastAsia="宋体" w:cs="宋体"/>
          <w:spacing w:val="14"/>
          <w:sz w:val="24"/>
          <w:szCs w:val="24"/>
          <w:highlight w:val="none"/>
        </w:rPr>
      </w:pPr>
      <w:r>
        <w:rPr>
          <w:rFonts w:hint="eastAsia" w:ascii="宋体" w:hAnsi="宋体" w:eastAsia="宋体" w:cs="宋体"/>
          <w:spacing w:val="14"/>
          <w:sz w:val="24"/>
          <w:szCs w:val="24"/>
          <w:highlight w:val="none"/>
        </w:rPr>
        <w:t>3.1.2 投标人有以下情形之一的，评标委员会应当否决其投标：</w:t>
      </w:r>
    </w:p>
    <w:p>
      <w:pPr>
        <w:pStyle w:val="28"/>
        <w:spacing w:line="360" w:lineRule="auto"/>
        <w:rPr>
          <w:rFonts w:ascii="宋体" w:hAnsi="宋体" w:eastAsia="宋体" w:cs="宋体"/>
          <w:spacing w:val="14"/>
          <w:sz w:val="24"/>
          <w:szCs w:val="24"/>
          <w:highlight w:val="none"/>
        </w:rPr>
      </w:pPr>
      <w:r>
        <w:rPr>
          <w:rFonts w:hint="eastAsia" w:ascii="宋体" w:hAnsi="宋体" w:eastAsia="宋体" w:cs="宋体"/>
          <w:spacing w:val="14"/>
          <w:sz w:val="24"/>
          <w:szCs w:val="24"/>
          <w:highlight w:val="none"/>
        </w:rPr>
        <w:t>（1）投标文件没有对招标文件的实质性要求和条件作出响应，或者对招标文件的偏差超出招标文件规定的偏差范围或最高项数；</w:t>
      </w:r>
    </w:p>
    <w:p>
      <w:pPr>
        <w:pStyle w:val="28"/>
        <w:spacing w:line="360" w:lineRule="auto"/>
        <w:rPr>
          <w:rFonts w:ascii="宋体" w:hAnsi="宋体" w:eastAsia="宋体" w:cs="宋体"/>
          <w:spacing w:val="14"/>
          <w:sz w:val="24"/>
          <w:szCs w:val="24"/>
          <w:highlight w:val="none"/>
        </w:rPr>
      </w:pPr>
      <w:r>
        <w:rPr>
          <w:rFonts w:hint="eastAsia" w:ascii="宋体" w:hAnsi="宋体" w:eastAsia="宋体" w:cs="宋体"/>
          <w:spacing w:val="14"/>
          <w:sz w:val="24"/>
          <w:szCs w:val="24"/>
          <w:highlight w:val="none"/>
        </w:rPr>
        <w:t>（2）有串通投标、弄虚作假、行贿等违法行为。</w:t>
      </w:r>
    </w:p>
    <w:p>
      <w:pPr>
        <w:pStyle w:val="28"/>
        <w:spacing w:line="360" w:lineRule="auto"/>
        <w:rPr>
          <w:rFonts w:ascii="宋体" w:hAnsi="宋体" w:eastAsia="宋体" w:cs="宋体"/>
          <w:spacing w:val="14"/>
          <w:sz w:val="24"/>
          <w:szCs w:val="24"/>
          <w:highlight w:val="none"/>
        </w:rPr>
      </w:pPr>
      <w:r>
        <w:rPr>
          <w:rFonts w:hint="eastAsia" w:ascii="宋体" w:hAnsi="宋体" w:eastAsia="宋体" w:cs="宋体"/>
          <w:spacing w:val="14"/>
          <w:sz w:val="24"/>
          <w:szCs w:val="24"/>
          <w:highlight w:val="none"/>
        </w:rPr>
        <w:t>3.1.3有下列情形之一的，视为投标人串通投标，其投标无效：</w:t>
      </w:r>
    </w:p>
    <w:p>
      <w:pPr>
        <w:pStyle w:val="28"/>
        <w:spacing w:line="360" w:lineRule="auto"/>
        <w:rPr>
          <w:rFonts w:ascii="宋体" w:hAnsi="宋体" w:eastAsia="宋体" w:cs="宋体"/>
          <w:spacing w:val="14"/>
          <w:sz w:val="24"/>
          <w:szCs w:val="24"/>
          <w:highlight w:val="none"/>
        </w:rPr>
      </w:pPr>
      <w:r>
        <w:rPr>
          <w:rFonts w:hint="eastAsia" w:ascii="宋体" w:hAnsi="宋体" w:eastAsia="宋体" w:cs="宋体"/>
          <w:spacing w:val="14"/>
          <w:sz w:val="24"/>
          <w:szCs w:val="24"/>
          <w:highlight w:val="none"/>
        </w:rPr>
        <w:t>（1）不同投标人的投标文件由同一单位或者个人编制；</w:t>
      </w:r>
    </w:p>
    <w:p>
      <w:pPr>
        <w:pStyle w:val="28"/>
        <w:spacing w:line="360" w:lineRule="auto"/>
        <w:rPr>
          <w:rFonts w:ascii="宋体" w:hAnsi="宋体" w:eastAsia="宋体" w:cs="宋体"/>
          <w:spacing w:val="14"/>
          <w:sz w:val="24"/>
          <w:szCs w:val="24"/>
          <w:highlight w:val="none"/>
        </w:rPr>
      </w:pPr>
      <w:r>
        <w:rPr>
          <w:rFonts w:hint="eastAsia" w:ascii="宋体" w:hAnsi="宋体" w:eastAsia="宋体" w:cs="宋体"/>
          <w:spacing w:val="14"/>
          <w:sz w:val="24"/>
          <w:szCs w:val="24"/>
          <w:highlight w:val="none"/>
        </w:rPr>
        <w:t>（2）不同投标人委托同一单位或者个人办理投标事宜；</w:t>
      </w:r>
    </w:p>
    <w:p>
      <w:pPr>
        <w:pStyle w:val="28"/>
        <w:spacing w:line="360" w:lineRule="auto"/>
        <w:rPr>
          <w:rFonts w:ascii="宋体" w:hAnsi="宋体" w:eastAsia="宋体" w:cs="宋体"/>
          <w:spacing w:val="14"/>
          <w:sz w:val="24"/>
          <w:szCs w:val="24"/>
          <w:highlight w:val="none"/>
        </w:rPr>
      </w:pPr>
      <w:r>
        <w:rPr>
          <w:rFonts w:hint="eastAsia" w:ascii="宋体" w:hAnsi="宋体" w:eastAsia="宋体" w:cs="宋体"/>
          <w:spacing w:val="14"/>
          <w:sz w:val="24"/>
          <w:szCs w:val="24"/>
          <w:highlight w:val="none"/>
        </w:rPr>
        <w:t>（3）不同投标人的投标文件载明的项目管理成员或者联系人员为同一人；</w:t>
      </w:r>
    </w:p>
    <w:p>
      <w:pPr>
        <w:pStyle w:val="28"/>
        <w:spacing w:line="360" w:lineRule="auto"/>
        <w:rPr>
          <w:rFonts w:ascii="宋体" w:hAnsi="宋体" w:eastAsia="宋体" w:cs="宋体"/>
          <w:spacing w:val="14"/>
          <w:sz w:val="24"/>
          <w:szCs w:val="24"/>
          <w:highlight w:val="none"/>
        </w:rPr>
      </w:pPr>
      <w:r>
        <w:rPr>
          <w:rFonts w:hint="eastAsia" w:ascii="宋体" w:hAnsi="宋体" w:eastAsia="宋体" w:cs="宋体"/>
          <w:spacing w:val="14"/>
          <w:sz w:val="24"/>
          <w:szCs w:val="24"/>
          <w:highlight w:val="none"/>
        </w:rPr>
        <w:t>（4）不同投标人的投标文件异常一致或者投标报价呈规律性差异；</w:t>
      </w:r>
    </w:p>
    <w:p>
      <w:pPr>
        <w:pStyle w:val="28"/>
        <w:spacing w:line="360" w:lineRule="auto"/>
        <w:rPr>
          <w:rFonts w:ascii="宋体" w:hAnsi="宋体" w:eastAsia="宋体" w:cs="宋体"/>
          <w:spacing w:val="14"/>
          <w:sz w:val="24"/>
          <w:szCs w:val="24"/>
          <w:highlight w:val="none"/>
        </w:rPr>
      </w:pPr>
      <w:r>
        <w:rPr>
          <w:rFonts w:hint="eastAsia" w:ascii="宋体" w:hAnsi="宋体" w:eastAsia="宋体" w:cs="宋体"/>
          <w:spacing w:val="14"/>
          <w:sz w:val="24"/>
          <w:szCs w:val="24"/>
          <w:highlight w:val="none"/>
        </w:rPr>
        <w:t>（5）不同投标人的投标文件相互混装；</w:t>
      </w:r>
    </w:p>
    <w:p>
      <w:pPr>
        <w:pStyle w:val="28"/>
        <w:spacing w:line="360" w:lineRule="auto"/>
        <w:rPr>
          <w:rFonts w:ascii="宋体" w:hAnsi="宋体" w:eastAsia="宋体" w:cs="宋体"/>
          <w:spacing w:val="14"/>
          <w:sz w:val="24"/>
          <w:szCs w:val="24"/>
          <w:highlight w:val="none"/>
        </w:rPr>
      </w:pPr>
      <w:r>
        <w:rPr>
          <w:rFonts w:hint="eastAsia" w:ascii="宋体" w:hAnsi="宋体" w:eastAsia="宋体" w:cs="宋体"/>
          <w:spacing w:val="14"/>
          <w:sz w:val="24"/>
          <w:szCs w:val="24"/>
          <w:highlight w:val="none"/>
        </w:rPr>
        <w:t>（6）不同投标人的投标保证金从同一单位或者个人的账户转出。</w:t>
      </w:r>
    </w:p>
    <w:p>
      <w:pPr>
        <w:pStyle w:val="28"/>
        <w:spacing w:line="360" w:lineRule="auto"/>
        <w:rPr>
          <w:rFonts w:ascii="宋体" w:hAnsi="宋体" w:eastAsia="宋体" w:cs="宋体"/>
          <w:spacing w:val="14"/>
          <w:sz w:val="24"/>
          <w:szCs w:val="24"/>
          <w:highlight w:val="none"/>
        </w:rPr>
      </w:pPr>
      <w:r>
        <w:rPr>
          <w:rFonts w:hint="eastAsia" w:ascii="宋体" w:hAnsi="宋体" w:eastAsia="宋体" w:cs="宋体"/>
          <w:spacing w:val="14"/>
          <w:sz w:val="24"/>
          <w:szCs w:val="24"/>
          <w:highlight w:val="none"/>
        </w:rPr>
        <w:t>3.1.4投标文件报价出现前后不一致的，评标委员会按以下原则要求投标人对投标报价进行修正，并要求投标人书面澄清确认。投标人拒不澄清确认的，评标委员会应当否决其投标：</w:t>
      </w:r>
    </w:p>
    <w:p>
      <w:pPr>
        <w:pStyle w:val="28"/>
        <w:spacing w:line="360" w:lineRule="auto"/>
        <w:rPr>
          <w:rFonts w:ascii="宋体" w:hAnsi="宋体" w:eastAsia="宋体" w:cs="宋体"/>
          <w:spacing w:val="14"/>
          <w:sz w:val="24"/>
          <w:szCs w:val="24"/>
          <w:highlight w:val="none"/>
        </w:rPr>
      </w:pPr>
      <w:r>
        <w:rPr>
          <w:rFonts w:hint="eastAsia" w:ascii="宋体" w:hAnsi="宋体" w:eastAsia="宋体" w:cs="宋体"/>
          <w:spacing w:val="14"/>
          <w:sz w:val="24"/>
          <w:szCs w:val="24"/>
          <w:highlight w:val="none"/>
        </w:rPr>
        <w:t>（1）投标文件中开标一览表内容与投标文件中相应内容不一致的，以开标一览表为准；</w:t>
      </w:r>
    </w:p>
    <w:p>
      <w:pPr>
        <w:pStyle w:val="28"/>
        <w:spacing w:line="360" w:lineRule="auto"/>
        <w:rPr>
          <w:rFonts w:ascii="宋体" w:hAnsi="宋体" w:eastAsia="宋体" w:cs="宋体"/>
          <w:spacing w:val="14"/>
          <w:sz w:val="24"/>
          <w:szCs w:val="24"/>
          <w:highlight w:val="none"/>
        </w:rPr>
      </w:pPr>
      <w:r>
        <w:rPr>
          <w:rFonts w:hint="eastAsia" w:ascii="宋体" w:hAnsi="宋体" w:eastAsia="宋体" w:cs="宋体"/>
          <w:spacing w:val="14"/>
          <w:sz w:val="24"/>
          <w:szCs w:val="24"/>
          <w:highlight w:val="none"/>
        </w:rPr>
        <w:t>（2）大写金额和小写金额不一致的，以大写金额为准；</w:t>
      </w:r>
    </w:p>
    <w:p>
      <w:pPr>
        <w:pStyle w:val="28"/>
        <w:spacing w:line="360" w:lineRule="auto"/>
        <w:rPr>
          <w:rFonts w:ascii="宋体" w:hAnsi="宋体" w:eastAsia="宋体" w:cs="宋体"/>
          <w:spacing w:val="14"/>
          <w:sz w:val="24"/>
          <w:szCs w:val="24"/>
          <w:highlight w:val="none"/>
        </w:rPr>
      </w:pPr>
      <w:r>
        <w:rPr>
          <w:rFonts w:hint="eastAsia" w:ascii="宋体" w:hAnsi="宋体" w:eastAsia="宋体" w:cs="宋体"/>
          <w:spacing w:val="14"/>
          <w:sz w:val="24"/>
          <w:szCs w:val="24"/>
          <w:highlight w:val="none"/>
        </w:rPr>
        <w:t>（3）单价金额小数点或者百分比有明显错位的，以开标一览表的总价为准，并修改单价；</w:t>
      </w:r>
    </w:p>
    <w:p>
      <w:pPr>
        <w:pStyle w:val="28"/>
        <w:spacing w:line="360" w:lineRule="auto"/>
        <w:rPr>
          <w:rFonts w:ascii="宋体" w:hAnsi="宋体" w:eastAsia="宋体" w:cs="宋体"/>
          <w:spacing w:val="14"/>
          <w:sz w:val="24"/>
          <w:szCs w:val="24"/>
          <w:highlight w:val="none"/>
        </w:rPr>
      </w:pPr>
      <w:r>
        <w:rPr>
          <w:rFonts w:hint="eastAsia" w:ascii="宋体" w:hAnsi="宋体" w:eastAsia="宋体" w:cs="宋体"/>
          <w:spacing w:val="14"/>
          <w:sz w:val="24"/>
          <w:szCs w:val="24"/>
          <w:highlight w:val="none"/>
        </w:rPr>
        <w:t>（4）总价金额与按单价汇总金额不一致的，以单价金额计算结果为准。</w:t>
      </w:r>
    </w:p>
    <w:p>
      <w:pPr>
        <w:pStyle w:val="28"/>
        <w:spacing w:line="360" w:lineRule="auto"/>
        <w:rPr>
          <w:rFonts w:ascii="宋体" w:hAnsi="宋体" w:eastAsia="宋体" w:cs="宋体"/>
          <w:spacing w:val="14"/>
          <w:sz w:val="24"/>
          <w:szCs w:val="24"/>
          <w:highlight w:val="none"/>
        </w:rPr>
      </w:pPr>
      <w:r>
        <w:rPr>
          <w:rFonts w:hint="eastAsia" w:ascii="宋体" w:hAnsi="宋体" w:eastAsia="宋体" w:cs="宋体"/>
          <w:spacing w:val="14"/>
          <w:sz w:val="24"/>
          <w:szCs w:val="24"/>
          <w:highlight w:val="none"/>
        </w:rPr>
        <w:t>同时出现两种以上不一致的，按照前款规定的顺序修正。</w:t>
      </w:r>
    </w:p>
    <w:p>
      <w:pPr>
        <w:pStyle w:val="28"/>
        <w:spacing w:line="360" w:lineRule="auto"/>
        <w:rPr>
          <w:rFonts w:ascii="宋体" w:hAnsi="宋体" w:eastAsia="宋体" w:cs="宋体"/>
          <w:b/>
          <w:bCs/>
          <w:spacing w:val="14"/>
          <w:sz w:val="24"/>
          <w:szCs w:val="24"/>
          <w:highlight w:val="none"/>
        </w:rPr>
      </w:pPr>
      <w:bookmarkStart w:id="165" w:name="_Toc1660848"/>
      <w:r>
        <w:rPr>
          <w:rFonts w:hint="eastAsia" w:ascii="宋体" w:hAnsi="宋体" w:eastAsia="宋体" w:cs="宋体"/>
          <w:b/>
          <w:bCs/>
          <w:spacing w:val="14"/>
          <w:sz w:val="24"/>
          <w:szCs w:val="24"/>
          <w:highlight w:val="none"/>
        </w:rPr>
        <w:t>3.2 详细评审</w:t>
      </w:r>
      <w:bookmarkEnd w:id="165"/>
    </w:p>
    <w:p>
      <w:pPr>
        <w:pStyle w:val="28"/>
        <w:spacing w:line="360" w:lineRule="auto"/>
        <w:rPr>
          <w:rFonts w:ascii="宋体" w:hAnsi="宋体" w:eastAsia="宋体" w:cs="宋体"/>
          <w:spacing w:val="14"/>
          <w:sz w:val="24"/>
          <w:szCs w:val="24"/>
          <w:highlight w:val="none"/>
        </w:rPr>
      </w:pPr>
      <w:r>
        <w:rPr>
          <w:rFonts w:hint="eastAsia" w:ascii="宋体" w:hAnsi="宋体" w:eastAsia="宋体" w:cs="宋体"/>
          <w:spacing w:val="14"/>
          <w:sz w:val="24"/>
          <w:szCs w:val="24"/>
          <w:highlight w:val="none"/>
        </w:rPr>
        <w:t>3.2.1 评标委员会按本章第 2.2 款规定的量化因素和分值进行打分，取所有评委打分分数的算术平均值作为该投标人的各项得分。</w:t>
      </w:r>
    </w:p>
    <w:p>
      <w:pPr>
        <w:pStyle w:val="28"/>
        <w:spacing w:line="360" w:lineRule="auto"/>
        <w:rPr>
          <w:rFonts w:ascii="宋体" w:hAnsi="宋体" w:eastAsia="宋体" w:cs="宋体"/>
          <w:spacing w:val="14"/>
          <w:sz w:val="24"/>
          <w:szCs w:val="24"/>
          <w:highlight w:val="none"/>
        </w:rPr>
      </w:pPr>
      <w:r>
        <w:rPr>
          <w:rFonts w:hint="eastAsia" w:ascii="宋体" w:hAnsi="宋体" w:eastAsia="宋体" w:cs="宋体"/>
          <w:spacing w:val="14"/>
          <w:sz w:val="24"/>
          <w:szCs w:val="24"/>
          <w:highlight w:val="none"/>
        </w:rPr>
        <w:t>3.2.2 评分分值计算保留小数点后两位，小数点后第三位“四舍五入”。</w:t>
      </w:r>
    </w:p>
    <w:p>
      <w:pPr>
        <w:pStyle w:val="28"/>
        <w:spacing w:line="360" w:lineRule="auto"/>
        <w:rPr>
          <w:rFonts w:ascii="宋体" w:hAnsi="宋体" w:eastAsia="宋体" w:cs="宋体"/>
          <w:spacing w:val="14"/>
          <w:sz w:val="24"/>
          <w:szCs w:val="24"/>
          <w:highlight w:val="none"/>
        </w:rPr>
      </w:pPr>
      <w:r>
        <w:rPr>
          <w:rFonts w:hint="eastAsia" w:ascii="宋体" w:hAnsi="宋体" w:eastAsia="宋体" w:cs="宋体"/>
          <w:spacing w:val="14"/>
          <w:sz w:val="24"/>
          <w:szCs w:val="24"/>
          <w:highlight w:val="none"/>
        </w:rPr>
        <w:t>3.2.3评标委员会汇总投标人的各项得分，相加后为投标人最终得分。</w:t>
      </w:r>
    </w:p>
    <w:p>
      <w:pPr>
        <w:pStyle w:val="28"/>
        <w:spacing w:line="360" w:lineRule="auto"/>
        <w:rPr>
          <w:rFonts w:ascii="宋体" w:hAnsi="宋体" w:eastAsia="宋体" w:cs="宋体"/>
          <w:spacing w:val="14"/>
          <w:sz w:val="24"/>
          <w:szCs w:val="24"/>
          <w:highlight w:val="none"/>
        </w:rPr>
      </w:pPr>
      <w:r>
        <w:rPr>
          <w:rFonts w:hint="eastAsia" w:ascii="宋体" w:hAnsi="宋体" w:eastAsia="宋体" w:cs="宋体"/>
          <w:spacing w:val="14"/>
          <w:sz w:val="24"/>
          <w:szCs w:val="24"/>
          <w:highlight w:val="none"/>
        </w:rPr>
        <w:t>3.2.4若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pStyle w:val="28"/>
        <w:spacing w:line="360" w:lineRule="auto"/>
        <w:rPr>
          <w:rFonts w:ascii="宋体" w:hAnsi="宋体" w:eastAsia="宋体" w:cs="宋体"/>
          <w:b/>
          <w:bCs/>
          <w:spacing w:val="14"/>
          <w:sz w:val="24"/>
          <w:szCs w:val="24"/>
          <w:highlight w:val="none"/>
        </w:rPr>
      </w:pPr>
      <w:bookmarkStart w:id="166" w:name="_Toc1660849"/>
      <w:r>
        <w:rPr>
          <w:rFonts w:hint="eastAsia" w:ascii="宋体" w:hAnsi="宋体" w:eastAsia="宋体" w:cs="宋体"/>
          <w:b/>
          <w:bCs/>
          <w:spacing w:val="14"/>
          <w:sz w:val="24"/>
          <w:szCs w:val="24"/>
          <w:highlight w:val="none"/>
        </w:rPr>
        <w:t>3.3 投标文件的澄清</w:t>
      </w:r>
      <w:bookmarkEnd w:id="166"/>
    </w:p>
    <w:p>
      <w:pPr>
        <w:pStyle w:val="28"/>
        <w:spacing w:line="360" w:lineRule="auto"/>
        <w:rPr>
          <w:rFonts w:ascii="宋体" w:hAnsi="宋体" w:eastAsia="宋体" w:cs="宋体"/>
          <w:spacing w:val="14"/>
          <w:sz w:val="24"/>
          <w:szCs w:val="24"/>
          <w:highlight w:val="none"/>
        </w:rPr>
      </w:pPr>
      <w:r>
        <w:rPr>
          <w:rFonts w:hint="eastAsia" w:ascii="宋体" w:hAnsi="宋体" w:eastAsia="宋体" w:cs="宋体"/>
          <w:spacing w:val="14"/>
          <w:sz w:val="24"/>
          <w:szCs w:val="24"/>
          <w:highlight w:val="none"/>
        </w:rPr>
        <w:t>3.3.1 在评标过程中，评标委员会可以书面形式要求投标人对投标文件中含义不明确、对同类问题表述不一致或者有明显文字和计算错误的内容作必要的澄清、说明或补正。澄清、说明或补正应以书面方式进行。评标委员会不接受投标人主动提出的澄清、说明或补正。</w:t>
      </w:r>
    </w:p>
    <w:p>
      <w:pPr>
        <w:pStyle w:val="28"/>
        <w:spacing w:line="360" w:lineRule="auto"/>
        <w:rPr>
          <w:rFonts w:ascii="宋体" w:hAnsi="宋体" w:eastAsia="宋体" w:cs="宋体"/>
          <w:spacing w:val="14"/>
          <w:sz w:val="24"/>
          <w:szCs w:val="24"/>
          <w:highlight w:val="none"/>
        </w:rPr>
      </w:pPr>
      <w:r>
        <w:rPr>
          <w:rFonts w:hint="eastAsia" w:ascii="宋体" w:hAnsi="宋体" w:eastAsia="宋体" w:cs="宋体"/>
          <w:spacing w:val="14"/>
          <w:sz w:val="24"/>
          <w:szCs w:val="24"/>
          <w:highlight w:val="none"/>
        </w:rPr>
        <w:t>3.3.2 澄清、说明或补正不得超出投标文件的范围且不得改变投标文件的实质性内容，并构成投标文件的组成部分。</w:t>
      </w:r>
    </w:p>
    <w:p>
      <w:pPr>
        <w:pStyle w:val="28"/>
        <w:spacing w:line="360" w:lineRule="auto"/>
        <w:rPr>
          <w:rFonts w:ascii="宋体" w:hAnsi="宋体" w:eastAsia="宋体" w:cs="宋体"/>
          <w:spacing w:val="14"/>
          <w:sz w:val="24"/>
          <w:szCs w:val="24"/>
          <w:highlight w:val="none"/>
        </w:rPr>
      </w:pPr>
      <w:r>
        <w:rPr>
          <w:rFonts w:hint="eastAsia" w:ascii="宋体" w:hAnsi="宋体" w:eastAsia="宋体" w:cs="宋体"/>
          <w:spacing w:val="14"/>
          <w:sz w:val="24"/>
          <w:szCs w:val="24"/>
          <w:highlight w:val="none"/>
        </w:rPr>
        <w:t>3.3.3 评标委员会对投标人提交的澄清、说明或补正有疑问的，可以要求投标人进一步澄清、说明或补正，直至满足评标委员会的要求。</w:t>
      </w:r>
    </w:p>
    <w:p>
      <w:pPr>
        <w:pStyle w:val="28"/>
        <w:spacing w:line="360" w:lineRule="auto"/>
        <w:rPr>
          <w:rFonts w:ascii="宋体" w:hAnsi="宋体" w:eastAsia="宋体" w:cs="宋体"/>
          <w:b/>
          <w:bCs/>
          <w:spacing w:val="14"/>
          <w:sz w:val="24"/>
          <w:szCs w:val="24"/>
          <w:highlight w:val="none"/>
        </w:rPr>
      </w:pPr>
      <w:bookmarkStart w:id="167" w:name="_Toc1660850"/>
      <w:r>
        <w:rPr>
          <w:rFonts w:hint="eastAsia" w:ascii="宋体" w:hAnsi="宋体" w:eastAsia="宋体" w:cs="宋体"/>
          <w:b/>
          <w:bCs/>
          <w:spacing w:val="14"/>
          <w:sz w:val="24"/>
          <w:szCs w:val="24"/>
          <w:highlight w:val="none"/>
        </w:rPr>
        <w:t>3.4 评标结果</w:t>
      </w:r>
      <w:bookmarkEnd w:id="167"/>
    </w:p>
    <w:p>
      <w:pPr>
        <w:pStyle w:val="28"/>
        <w:spacing w:line="360" w:lineRule="auto"/>
        <w:rPr>
          <w:rFonts w:ascii="宋体" w:hAnsi="宋体" w:eastAsia="宋体" w:cs="宋体"/>
          <w:spacing w:val="14"/>
          <w:sz w:val="24"/>
          <w:szCs w:val="24"/>
          <w:highlight w:val="none"/>
        </w:rPr>
      </w:pPr>
      <w:r>
        <w:rPr>
          <w:rFonts w:hint="eastAsia" w:ascii="宋体" w:hAnsi="宋体" w:eastAsia="宋体" w:cs="宋体"/>
          <w:spacing w:val="14"/>
          <w:sz w:val="24"/>
          <w:szCs w:val="24"/>
          <w:highlight w:val="none"/>
        </w:rPr>
        <w:t>3.4.1评标委员会严格按照招标文件的要求和条件进行评标和打分，评标结果按评审后得分由高到低的顺序排列。得分相同的，按照投标报价由低到高的顺序推荐；如评审得分且投标报价均相同的，按照技术标得分由高到低顺序推荐；若评审得分、投标报价、技术标得分均相同，则由采购人自主决定中标人及中标候选人排名。</w:t>
      </w:r>
    </w:p>
    <w:p>
      <w:pPr>
        <w:pStyle w:val="28"/>
        <w:spacing w:line="360" w:lineRule="auto"/>
        <w:rPr>
          <w:rFonts w:ascii="宋体" w:hAnsi="宋体" w:eastAsia="宋体" w:cs="宋体"/>
          <w:spacing w:val="14"/>
          <w:sz w:val="24"/>
          <w:szCs w:val="24"/>
          <w:highlight w:val="none"/>
        </w:rPr>
      </w:pPr>
      <w:r>
        <w:rPr>
          <w:rFonts w:hint="eastAsia" w:ascii="宋体" w:hAnsi="宋体" w:eastAsia="宋体" w:cs="宋体"/>
          <w:spacing w:val="14"/>
          <w:sz w:val="24"/>
          <w:szCs w:val="24"/>
          <w:highlight w:val="none"/>
        </w:rPr>
        <w:t>3.4.2评标委员会完成评标后，应当向采购人提交书面评标报告和中标候选人名单。</w:t>
      </w:r>
    </w:p>
    <w:p>
      <w:pPr>
        <w:pStyle w:val="28"/>
        <w:spacing w:line="360" w:lineRule="auto"/>
        <w:rPr>
          <w:rFonts w:ascii="宋体" w:hAnsi="宋体" w:eastAsia="宋体" w:cs="宋体"/>
          <w:b/>
          <w:bCs/>
          <w:spacing w:val="14"/>
          <w:sz w:val="24"/>
          <w:szCs w:val="24"/>
          <w:highlight w:val="none"/>
        </w:rPr>
      </w:pPr>
      <w:bookmarkStart w:id="168" w:name="_Toc1660851"/>
      <w:r>
        <w:rPr>
          <w:rFonts w:hint="eastAsia" w:ascii="宋体" w:hAnsi="宋体" w:eastAsia="宋体" w:cs="宋体"/>
          <w:b/>
          <w:bCs/>
          <w:spacing w:val="14"/>
          <w:sz w:val="24"/>
          <w:szCs w:val="24"/>
          <w:highlight w:val="none"/>
        </w:rPr>
        <w:t>4、评分标准说明</w:t>
      </w:r>
      <w:bookmarkEnd w:id="168"/>
    </w:p>
    <w:p>
      <w:pPr>
        <w:pStyle w:val="28"/>
        <w:spacing w:line="360" w:lineRule="auto"/>
        <w:rPr>
          <w:rFonts w:ascii="宋体" w:hAnsi="宋体" w:eastAsia="宋体" w:cs="宋体"/>
          <w:b/>
          <w:bCs/>
          <w:spacing w:val="14"/>
          <w:sz w:val="24"/>
          <w:szCs w:val="24"/>
          <w:highlight w:val="none"/>
        </w:rPr>
      </w:pPr>
      <w:bookmarkStart w:id="169" w:name="_Toc1660852"/>
      <w:r>
        <w:rPr>
          <w:rFonts w:hint="eastAsia" w:ascii="宋体" w:hAnsi="宋体" w:eastAsia="宋体" w:cs="宋体"/>
          <w:b/>
          <w:bCs/>
          <w:spacing w:val="14"/>
          <w:sz w:val="24"/>
          <w:szCs w:val="24"/>
          <w:highlight w:val="none"/>
        </w:rPr>
        <w:t>4.1关于价格扣除和评标报价的说明</w:t>
      </w:r>
      <w:bookmarkEnd w:id="169"/>
    </w:p>
    <w:p>
      <w:pPr>
        <w:pStyle w:val="28"/>
        <w:spacing w:line="360" w:lineRule="auto"/>
        <w:rPr>
          <w:rFonts w:ascii="宋体" w:hAnsi="宋体" w:eastAsia="宋体" w:cs="宋体"/>
          <w:spacing w:val="14"/>
          <w:sz w:val="24"/>
          <w:szCs w:val="24"/>
          <w:highlight w:val="none"/>
        </w:rPr>
      </w:pPr>
      <w:r>
        <w:rPr>
          <w:rFonts w:hint="eastAsia" w:ascii="宋体" w:hAnsi="宋体" w:eastAsia="宋体" w:cs="宋体"/>
          <w:spacing w:val="14"/>
          <w:sz w:val="24"/>
          <w:szCs w:val="24"/>
          <w:highlight w:val="none"/>
        </w:rPr>
        <w:t>4.1.1价格扣除</w:t>
      </w:r>
    </w:p>
    <w:p>
      <w:pPr>
        <w:pStyle w:val="48"/>
        <w:spacing w:line="360" w:lineRule="auto"/>
        <w:rPr>
          <w:rFonts w:ascii="宋体" w:hAnsi="宋体" w:eastAsia="宋体" w:cs="宋体"/>
          <w:spacing w:val="14"/>
          <w:sz w:val="24"/>
          <w:szCs w:val="24"/>
          <w:highlight w:val="none"/>
        </w:rPr>
      </w:pPr>
      <w:bookmarkStart w:id="170" w:name="_Toc1660853"/>
      <w:r>
        <w:rPr>
          <w:rFonts w:hint="eastAsia" w:ascii="宋体" w:hAnsi="宋体" w:eastAsia="宋体" w:cs="宋体"/>
          <w:spacing w:val="14"/>
          <w:sz w:val="24"/>
          <w:szCs w:val="24"/>
          <w:highlight w:val="none"/>
        </w:rPr>
        <w:t>（1）如果本项目报经政府采购管理部门批准允许采购进口产品，投标人可投进口产品，也可投国产产品。但进口货物及其有关服务必须符合原产地和/或中华人民共和国的设计和制造生产标准或行业标准。进口的货物必须具有合法的进口手续和途径，并通过中华人民共和国商检部门检验。</w:t>
      </w:r>
    </w:p>
    <w:p>
      <w:pPr>
        <w:pStyle w:val="48"/>
        <w:spacing w:line="360" w:lineRule="auto"/>
        <w:rPr>
          <w:rFonts w:ascii="宋体" w:hAnsi="宋体" w:eastAsia="宋体" w:cs="宋体"/>
          <w:spacing w:val="14"/>
          <w:sz w:val="24"/>
          <w:szCs w:val="24"/>
          <w:highlight w:val="none"/>
        </w:rPr>
      </w:pPr>
      <w:r>
        <w:rPr>
          <w:rFonts w:hint="eastAsia" w:ascii="宋体" w:hAnsi="宋体" w:eastAsia="宋体" w:cs="宋体"/>
          <w:spacing w:val="14"/>
          <w:sz w:val="24"/>
          <w:szCs w:val="24"/>
          <w:highlight w:val="none"/>
        </w:rPr>
        <w:t>（2）本项目执行财政部、工业和信息化部《政府采购促进中小企业发展管理办法》（财库〔2020〕 46号）的规定。本项目支持中小微（监狱、残疾人福利性单位）企业，监狱企业、残疾人福利性单位视同小型、微型企业，用扣除后的价格参加评审。监狱企业、残疾人福利性单位视同小型、微型企业。所属行业：</w:t>
      </w:r>
      <w:r>
        <w:rPr>
          <w:rFonts w:hint="eastAsia" w:ascii="宋体" w:hAnsi="宋体" w:eastAsia="宋体" w:cs="宋体"/>
          <w:b/>
          <w:bCs/>
          <w:spacing w:val="14"/>
          <w:sz w:val="24"/>
          <w:szCs w:val="24"/>
          <w:highlight w:val="none"/>
        </w:rPr>
        <w:t>工业和其他未列明行业</w:t>
      </w:r>
      <w:r>
        <w:rPr>
          <w:rFonts w:hint="eastAsia" w:ascii="宋体" w:hAnsi="宋体" w:eastAsia="宋体" w:cs="宋体"/>
          <w:spacing w:val="14"/>
          <w:sz w:val="24"/>
          <w:szCs w:val="24"/>
          <w:highlight w:val="none"/>
        </w:rPr>
        <w:t>。</w:t>
      </w:r>
    </w:p>
    <w:p>
      <w:pPr>
        <w:pStyle w:val="48"/>
        <w:spacing w:line="360" w:lineRule="auto"/>
        <w:rPr>
          <w:rFonts w:ascii="宋体" w:hAnsi="宋体" w:eastAsia="宋体" w:cs="宋体"/>
          <w:spacing w:val="14"/>
          <w:sz w:val="24"/>
          <w:szCs w:val="24"/>
          <w:highlight w:val="none"/>
        </w:rPr>
      </w:pPr>
      <w:r>
        <w:rPr>
          <w:rFonts w:hint="eastAsia" w:ascii="宋体" w:hAnsi="宋体" w:eastAsia="宋体" w:cs="宋体"/>
          <w:spacing w:val="14"/>
          <w:sz w:val="24"/>
          <w:szCs w:val="24"/>
          <w:highlight w:val="none"/>
        </w:rPr>
        <w:t>注：中小企业划型标准详见关于印发中小企业划型标准规定的通知，对符合办法规定的小微企业报价给予10%的扣除，用扣除后的价格参加评审。</w:t>
      </w:r>
    </w:p>
    <w:p>
      <w:pPr>
        <w:pStyle w:val="48"/>
        <w:spacing w:line="360" w:lineRule="auto"/>
        <w:rPr>
          <w:rFonts w:ascii="宋体" w:hAnsi="宋体" w:eastAsia="宋体" w:cs="宋体"/>
          <w:spacing w:val="14"/>
          <w:sz w:val="24"/>
          <w:szCs w:val="24"/>
          <w:highlight w:val="none"/>
        </w:rPr>
      </w:pPr>
      <w:r>
        <w:rPr>
          <w:rFonts w:hint="eastAsia" w:ascii="宋体" w:hAnsi="宋体" w:eastAsia="宋体" w:cs="宋体"/>
          <w:spacing w:val="14"/>
          <w:sz w:val="24"/>
          <w:szCs w:val="24"/>
          <w:highlight w:val="none"/>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w:t>
      </w:r>
    </w:p>
    <w:p>
      <w:pPr>
        <w:pStyle w:val="48"/>
        <w:spacing w:line="360" w:lineRule="auto"/>
        <w:rPr>
          <w:rFonts w:ascii="宋体" w:hAnsi="宋体" w:eastAsia="宋体" w:cs="宋体"/>
          <w:spacing w:val="14"/>
          <w:sz w:val="24"/>
          <w:szCs w:val="24"/>
          <w:highlight w:val="none"/>
        </w:rPr>
      </w:pPr>
      <w:r>
        <w:rPr>
          <w:rFonts w:hint="eastAsia" w:ascii="宋体" w:hAnsi="宋体" w:eastAsia="宋体" w:cs="宋体"/>
          <w:spacing w:val="14"/>
          <w:sz w:val="24"/>
          <w:szCs w:val="24"/>
          <w:highlight w:val="none"/>
        </w:rPr>
        <w:t>在货物采购项目中，货物由中小企业制造，即货物由中小企业生产且使用该中小企业商号或者注册商标；投标人提供的货物既有中小企业制造货物，也有大型企业制造货物的，不享受本办法规定的中小企业扶持政策。</w:t>
      </w:r>
    </w:p>
    <w:p>
      <w:pPr>
        <w:pStyle w:val="48"/>
        <w:spacing w:line="360" w:lineRule="auto"/>
        <w:rPr>
          <w:rFonts w:ascii="宋体" w:hAnsi="宋体" w:eastAsia="宋体" w:cs="宋体"/>
          <w:spacing w:val="14"/>
          <w:sz w:val="24"/>
          <w:szCs w:val="24"/>
          <w:highlight w:val="none"/>
        </w:rPr>
      </w:pPr>
      <w:r>
        <w:rPr>
          <w:rFonts w:hint="eastAsia" w:ascii="宋体" w:hAnsi="宋体" w:eastAsia="宋体" w:cs="宋体"/>
          <w:spacing w:val="14"/>
          <w:sz w:val="24"/>
          <w:szCs w:val="24"/>
          <w:highlight w:val="none"/>
        </w:rPr>
        <w:t xml:space="preserve">非专门面向中小企业采购的采购项目（采购包）对符合《政府采购促进中小企业发展管理办法》规定的小微企业报价给予扣除（扣除比例详见投标人须知前附表）；专门面向中小企业采购的采购项目（采购包），不执行价格扣除政策。 </w:t>
      </w:r>
    </w:p>
    <w:p>
      <w:pPr>
        <w:pStyle w:val="48"/>
        <w:spacing w:line="360" w:lineRule="auto"/>
        <w:rPr>
          <w:rFonts w:ascii="宋体" w:hAnsi="宋体" w:eastAsia="宋体" w:cs="宋体"/>
          <w:spacing w:val="14"/>
          <w:sz w:val="24"/>
          <w:szCs w:val="24"/>
          <w:highlight w:val="none"/>
        </w:rPr>
      </w:pPr>
      <w:r>
        <w:rPr>
          <w:rFonts w:hint="eastAsia" w:ascii="宋体" w:hAnsi="宋体" w:eastAsia="宋体" w:cs="宋体"/>
          <w:spacing w:val="14"/>
          <w:sz w:val="24"/>
          <w:szCs w:val="24"/>
          <w:highlight w:val="none"/>
        </w:rPr>
        <w:t xml:space="preserve">（3）根据财政部司法部《关于政府采购支持监狱企业发展有关问题的通知》（财库〔2014〕68 号）规定，监狱企业视同小型、微型企业，享受评审中价格扣除等政府采购促进中小企业发展的政府采购政策。 </w:t>
      </w:r>
    </w:p>
    <w:p>
      <w:pPr>
        <w:pStyle w:val="48"/>
        <w:spacing w:line="360" w:lineRule="auto"/>
        <w:rPr>
          <w:rFonts w:ascii="宋体" w:hAnsi="宋体" w:eastAsia="宋体" w:cs="宋体"/>
          <w:spacing w:val="14"/>
          <w:sz w:val="24"/>
          <w:szCs w:val="24"/>
          <w:highlight w:val="none"/>
        </w:rPr>
      </w:pPr>
      <w:r>
        <w:rPr>
          <w:rFonts w:hint="eastAsia" w:ascii="宋体" w:hAnsi="宋体" w:eastAsia="宋体" w:cs="宋体"/>
          <w:spacing w:val="14"/>
          <w:sz w:val="24"/>
          <w:szCs w:val="24"/>
          <w:highlight w:val="none"/>
        </w:rPr>
        <w:t xml:space="preserve">（4）根据财政部民政部中国残疾人联合会《关于促进残疾人就业政府采购政策的通知》（财库 〔2017〕141号）规定，残疾人福利性单位视同小型、微型企业，享受评审中价格扣除等政府采购促进中小企业发展的政府采购政策。 </w:t>
      </w:r>
    </w:p>
    <w:p>
      <w:pPr>
        <w:pStyle w:val="48"/>
        <w:spacing w:line="360" w:lineRule="auto"/>
        <w:rPr>
          <w:rFonts w:ascii="宋体" w:hAnsi="宋体" w:eastAsia="宋体" w:cs="宋体"/>
          <w:spacing w:val="14"/>
          <w:sz w:val="24"/>
          <w:szCs w:val="24"/>
          <w:highlight w:val="none"/>
        </w:rPr>
      </w:pPr>
      <w:r>
        <w:rPr>
          <w:rFonts w:hint="eastAsia" w:ascii="宋体" w:hAnsi="宋体" w:eastAsia="宋体" w:cs="宋体"/>
          <w:spacing w:val="14"/>
          <w:sz w:val="24"/>
          <w:szCs w:val="24"/>
          <w:highlight w:val="none"/>
        </w:rPr>
        <w:t>（5）同一投标人（包括联合体），中小微企业产品、监狱企业产品、残疾人福利性单位产品价格扣除优惠只享受一次，不得重复享受。</w:t>
      </w:r>
    </w:p>
    <w:p>
      <w:pPr>
        <w:pStyle w:val="28"/>
        <w:spacing w:line="360" w:lineRule="auto"/>
        <w:rPr>
          <w:rFonts w:ascii="宋体" w:hAnsi="宋体" w:eastAsia="宋体" w:cs="宋体"/>
          <w:spacing w:val="14"/>
          <w:sz w:val="24"/>
          <w:szCs w:val="24"/>
          <w:highlight w:val="none"/>
        </w:rPr>
      </w:pPr>
      <w:r>
        <w:rPr>
          <w:rFonts w:hint="eastAsia" w:ascii="宋体" w:hAnsi="宋体" w:eastAsia="宋体" w:cs="宋体"/>
          <w:spacing w:val="14"/>
          <w:sz w:val="24"/>
          <w:szCs w:val="24"/>
          <w:highlight w:val="none"/>
        </w:rPr>
        <w:t>4.1.2评标报价=投标报价-价格扣除</w:t>
      </w:r>
    </w:p>
    <w:p>
      <w:pPr>
        <w:pStyle w:val="28"/>
        <w:spacing w:line="360" w:lineRule="auto"/>
        <w:rPr>
          <w:rFonts w:ascii="宋体" w:hAnsi="宋体" w:eastAsia="宋体" w:cs="宋体"/>
          <w:b/>
          <w:bCs/>
          <w:spacing w:val="14"/>
          <w:sz w:val="24"/>
          <w:szCs w:val="24"/>
          <w:highlight w:val="none"/>
        </w:rPr>
      </w:pPr>
      <w:r>
        <w:rPr>
          <w:rFonts w:hint="eastAsia" w:ascii="宋体" w:hAnsi="宋体" w:eastAsia="宋体" w:cs="宋体"/>
          <w:b/>
          <w:bCs/>
          <w:spacing w:val="14"/>
          <w:sz w:val="24"/>
          <w:szCs w:val="24"/>
          <w:highlight w:val="none"/>
        </w:rPr>
        <w:t>4.2关于节能环保政策的说明</w:t>
      </w:r>
      <w:bookmarkEnd w:id="170"/>
    </w:p>
    <w:p>
      <w:pPr>
        <w:pStyle w:val="28"/>
        <w:spacing w:line="360" w:lineRule="auto"/>
        <w:rPr>
          <w:rFonts w:ascii="宋体" w:hAnsi="宋体" w:eastAsia="宋体" w:cs="宋体"/>
          <w:spacing w:val="14"/>
          <w:sz w:val="24"/>
          <w:szCs w:val="24"/>
          <w:highlight w:val="none"/>
        </w:rPr>
      </w:pPr>
      <w:r>
        <w:rPr>
          <w:rFonts w:hint="eastAsia" w:ascii="宋体" w:hAnsi="宋体" w:eastAsia="宋体" w:cs="宋体"/>
          <w:spacing w:val="14"/>
          <w:sz w:val="24"/>
          <w:szCs w:val="24"/>
          <w:highlight w:val="none"/>
        </w:rPr>
        <w:t>4.2.1节能产品：所投货物（除政府强制采购节能产品外）有《中国节能产品认证证书》的加0.5分（以所投货物的《中国节能产品认证证书》扫描件为依据；证书不显示规格型号的，还须同时提供证书配套附件；证书应是由《市场监管总局关于发布参与实施政府采购节能产品、环境标志产品认证机构名录的公告》的认证机构出具的、处于有效期之内的）。</w:t>
      </w:r>
    </w:p>
    <w:p>
      <w:pPr>
        <w:pStyle w:val="28"/>
        <w:spacing w:line="360" w:lineRule="auto"/>
        <w:rPr>
          <w:rFonts w:ascii="宋体" w:hAnsi="宋体" w:eastAsia="宋体" w:cs="宋体"/>
          <w:spacing w:val="14"/>
          <w:sz w:val="24"/>
          <w:szCs w:val="24"/>
          <w:highlight w:val="none"/>
        </w:rPr>
      </w:pPr>
      <w:r>
        <w:rPr>
          <w:rFonts w:hint="eastAsia" w:ascii="宋体" w:hAnsi="宋体" w:eastAsia="宋体" w:cs="宋体"/>
          <w:spacing w:val="14"/>
          <w:sz w:val="24"/>
          <w:szCs w:val="24"/>
          <w:highlight w:val="none"/>
        </w:rPr>
        <w:t>4.2.2环境标志产品：所投货物有《中国环境标志产品认证证书》（有效期内）的加0.5分（以所投货物的《中国环境标志产品认证证书》扫描件为依据；证书不显示规格型号的，还须同时提供证书配套附件；证书应是由《市场监管总局关于发布参与实施政府采购节能产品、环境标志产品认证机构名录的公告》的认证机构出具的、处于有效期之内的）。</w:t>
      </w:r>
    </w:p>
    <w:bookmarkEnd w:id="1"/>
    <w:p>
      <w:pPr>
        <w:spacing w:line="360" w:lineRule="auto"/>
        <w:rPr>
          <w:rFonts w:ascii="宋体" w:hAnsi="宋体" w:eastAsia="宋体" w:cs="宋体"/>
          <w:color w:val="000080"/>
          <w:highlight w:val="none"/>
        </w:rPr>
      </w:pPr>
    </w:p>
    <w:p>
      <w:pPr>
        <w:spacing w:line="360" w:lineRule="auto"/>
        <w:rPr>
          <w:rFonts w:ascii="宋体" w:hAnsi="宋体" w:eastAsia="宋体" w:cs="宋体"/>
          <w:highlight w:val="none"/>
        </w:rPr>
      </w:pPr>
    </w:p>
    <w:p>
      <w:pPr>
        <w:spacing w:line="360" w:lineRule="auto"/>
        <w:rPr>
          <w:rFonts w:ascii="宋体" w:hAnsi="宋体" w:eastAsia="宋体" w:cs="宋体"/>
          <w:highlight w:val="none"/>
        </w:rPr>
      </w:pPr>
    </w:p>
    <w:p>
      <w:pPr>
        <w:spacing w:line="360" w:lineRule="auto"/>
        <w:rPr>
          <w:rFonts w:ascii="宋体" w:hAnsi="宋体" w:eastAsia="宋体" w:cs="宋体"/>
          <w:highlight w:val="none"/>
        </w:rPr>
      </w:pPr>
    </w:p>
    <w:p>
      <w:pPr>
        <w:spacing w:line="360" w:lineRule="auto"/>
        <w:rPr>
          <w:rFonts w:ascii="宋体" w:hAnsi="宋体" w:eastAsia="宋体" w:cs="宋体"/>
          <w:highlight w:val="none"/>
        </w:rPr>
      </w:pPr>
    </w:p>
    <w:p>
      <w:pPr>
        <w:spacing w:line="360" w:lineRule="auto"/>
        <w:rPr>
          <w:rFonts w:ascii="宋体" w:hAnsi="宋体" w:eastAsia="宋体" w:cs="宋体"/>
          <w:highlight w:val="none"/>
        </w:rPr>
      </w:pPr>
    </w:p>
    <w:p>
      <w:pPr>
        <w:pStyle w:val="12"/>
        <w:rPr>
          <w:rFonts w:ascii="宋体" w:hAnsi="宋体" w:eastAsia="宋体" w:cs="宋体"/>
          <w:highlight w:val="none"/>
        </w:rPr>
      </w:pPr>
    </w:p>
    <w:p>
      <w:pPr>
        <w:pStyle w:val="12"/>
        <w:rPr>
          <w:rFonts w:ascii="宋体" w:hAnsi="宋体" w:eastAsia="宋体" w:cs="宋体"/>
          <w:highlight w:val="none"/>
        </w:rPr>
      </w:pPr>
    </w:p>
    <w:p>
      <w:pPr>
        <w:pStyle w:val="12"/>
        <w:rPr>
          <w:rFonts w:ascii="宋体" w:hAnsi="宋体" w:eastAsia="宋体" w:cs="宋体"/>
          <w:highlight w:val="none"/>
        </w:rPr>
      </w:pPr>
    </w:p>
    <w:p>
      <w:pPr>
        <w:spacing w:line="360" w:lineRule="auto"/>
        <w:rPr>
          <w:rFonts w:ascii="宋体" w:hAnsi="宋体" w:eastAsia="宋体" w:cs="宋体"/>
          <w:highlight w:val="none"/>
        </w:rPr>
      </w:pPr>
    </w:p>
    <w:p>
      <w:pPr>
        <w:spacing w:line="360" w:lineRule="auto"/>
        <w:rPr>
          <w:rFonts w:ascii="宋体" w:hAnsi="宋体" w:eastAsia="宋体" w:cs="宋体"/>
          <w:highlight w:val="none"/>
        </w:rPr>
      </w:pPr>
    </w:p>
    <w:p>
      <w:pPr>
        <w:pStyle w:val="2"/>
        <w:rPr>
          <w:rFonts w:ascii="宋体" w:hAnsi="宋体" w:eastAsia="宋体" w:cs="宋体"/>
          <w:sz w:val="24"/>
          <w:szCs w:val="24"/>
          <w:highlight w:val="none"/>
        </w:rPr>
      </w:pPr>
    </w:p>
    <w:p>
      <w:pPr>
        <w:spacing w:line="360" w:lineRule="auto"/>
        <w:rPr>
          <w:rFonts w:ascii="宋体" w:hAnsi="宋体" w:eastAsia="宋体" w:cs="宋体"/>
          <w:highlight w:val="none"/>
        </w:rPr>
      </w:pPr>
    </w:p>
    <w:p>
      <w:pPr>
        <w:pStyle w:val="2"/>
        <w:rPr>
          <w:rFonts w:ascii="宋体" w:hAnsi="宋体" w:eastAsia="宋体" w:cs="宋体"/>
          <w:highlight w:val="none"/>
        </w:rPr>
      </w:pPr>
    </w:p>
    <w:p>
      <w:pPr>
        <w:pStyle w:val="3"/>
        <w:rPr>
          <w:rFonts w:hAnsi="宋体" w:cs="宋体"/>
          <w:highlight w:val="none"/>
        </w:rPr>
      </w:pPr>
    </w:p>
    <w:p>
      <w:pPr>
        <w:pStyle w:val="63"/>
        <w:jc w:val="both"/>
        <w:rPr>
          <w:highlight w:val="none"/>
        </w:rPr>
      </w:pPr>
    </w:p>
    <w:p>
      <w:pPr>
        <w:pStyle w:val="16"/>
        <w:spacing w:line="360" w:lineRule="auto"/>
        <w:rPr>
          <w:rFonts w:ascii="宋体" w:hAnsi="宋体" w:eastAsia="宋体" w:cs="宋体"/>
          <w:kern w:val="2"/>
          <w:sz w:val="28"/>
          <w:szCs w:val="28"/>
          <w:highlight w:val="none"/>
          <w:lang w:eastAsia="zh-CN" w:bidi="ar-SA"/>
        </w:rPr>
      </w:pPr>
      <w:bookmarkStart w:id="171" w:name="_Toc3904807"/>
      <w:bookmarkStart w:id="172" w:name="_Toc256000054"/>
      <w:bookmarkStart w:id="173" w:name="_Toc21422"/>
      <w:r>
        <w:rPr>
          <w:rFonts w:hint="eastAsia" w:ascii="宋体" w:hAnsi="宋体" w:eastAsia="宋体" w:cs="宋体"/>
          <w:kern w:val="2"/>
          <w:sz w:val="28"/>
          <w:szCs w:val="28"/>
          <w:highlight w:val="none"/>
          <w:lang w:eastAsia="zh-CN" w:bidi="ar-SA"/>
        </w:rPr>
        <w:t>第六章   资格审查与评审标准</w:t>
      </w:r>
      <w:bookmarkEnd w:id="171"/>
      <w:bookmarkEnd w:id="172"/>
      <w:bookmarkEnd w:id="173"/>
    </w:p>
    <w:tbl>
      <w:tblPr>
        <w:tblStyle w:val="19"/>
        <w:tblW w:w="5016" w:type="pct"/>
        <w:tblInd w:w="-32" w:type="dxa"/>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Layout w:type="autofit"/>
        <w:tblCellMar>
          <w:top w:w="75" w:type="dxa"/>
          <w:left w:w="75" w:type="dxa"/>
          <w:bottom w:w="75" w:type="dxa"/>
          <w:right w:w="75" w:type="dxa"/>
        </w:tblCellMar>
      </w:tblPr>
      <w:tblGrid>
        <w:gridCol w:w="934"/>
        <w:gridCol w:w="1212"/>
        <w:gridCol w:w="1113"/>
        <w:gridCol w:w="1059"/>
        <w:gridCol w:w="5763"/>
      </w:tblGrid>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rPr>
          <w:trHeight w:val="242" w:hRule="atLeast"/>
        </w:trPr>
        <w:tc>
          <w:tcPr>
            <w:tcW w:w="463" w:type="pct"/>
            <w:tcBorders>
              <w:top w:val="outset" w:color="auto" w:sz="6" w:space="0"/>
              <w:left w:val="outset" w:color="auto" w:sz="6" w:space="0"/>
              <w:bottom w:val="outset" w:color="auto" w:sz="6" w:space="0"/>
              <w:right w:val="outset" w:color="auto" w:sz="6" w:space="0"/>
            </w:tcBorders>
            <w:vAlign w:val="center"/>
          </w:tcPr>
          <w:p>
            <w:pPr>
              <w:spacing w:line="360" w:lineRule="auto"/>
              <w:jc w:val="center"/>
              <w:rPr>
                <w:rFonts w:ascii="宋体" w:hAnsi="宋体" w:eastAsia="宋体" w:cs="宋体"/>
                <w:spacing w:val="14"/>
                <w:highlight w:val="none"/>
              </w:rPr>
            </w:pPr>
            <w:r>
              <w:rPr>
                <w:rFonts w:hint="eastAsia" w:ascii="宋体" w:hAnsi="宋体" w:eastAsia="宋体" w:cs="宋体"/>
                <w:spacing w:val="14"/>
                <w:highlight w:val="none"/>
              </w:rPr>
              <w:t>初步条款</w:t>
            </w:r>
          </w:p>
        </w:tc>
        <w:tc>
          <w:tcPr>
            <w:tcW w:w="1678" w:type="pct"/>
            <w:gridSpan w:val="3"/>
            <w:tcBorders>
              <w:top w:val="outset" w:color="auto" w:sz="6" w:space="0"/>
              <w:left w:val="outset" w:color="auto" w:sz="6" w:space="0"/>
              <w:bottom w:val="outset" w:color="auto" w:sz="6" w:space="0"/>
              <w:right w:val="outset" w:color="auto" w:sz="6" w:space="0"/>
            </w:tcBorders>
            <w:vAlign w:val="center"/>
          </w:tcPr>
          <w:p>
            <w:pPr>
              <w:spacing w:line="360" w:lineRule="auto"/>
              <w:jc w:val="center"/>
              <w:rPr>
                <w:rFonts w:ascii="宋体" w:hAnsi="宋体" w:eastAsia="宋体" w:cs="宋体"/>
                <w:spacing w:val="14"/>
                <w:highlight w:val="none"/>
              </w:rPr>
            </w:pPr>
            <w:r>
              <w:rPr>
                <w:rFonts w:hint="eastAsia" w:ascii="宋体" w:hAnsi="宋体" w:eastAsia="宋体" w:cs="宋体"/>
                <w:spacing w:val="14"/>
                <w:highlight w:val="none"/>
              </w:rPr>
              <w:t>评分点名称</w:t>
            </w:r>
          </w:p>
        </w:tc>
        <w:tc>
          <w:tcPr>
            <w:tcW w:w="2858" w:type="pct"/>
            <w:tcBorders>
              <w:top w:val="outset" w:color="auto" w:sz="6" w:space="0"/>
              <w:left w:val="outset" w:color="auto" w:sz="6" w:space="0"/>
              <w:bottom w:val="outset" w:color="auto" w:sz="6" w:space="0"/>
              <w:right w:val="outset" w:color="auto" w:sz="6" w:space="0"/>
            </w:tcBorders>
            <w:vAlign w:val="center"/>
          </w:tcPr>
          <w:p>
            <w:pPr>
              <w:spacing w:line="360" w:lineRule="auto"/>
              <w:jc w:val="center"/>
              <w:rPr>
                <w:rFonts w:ascii="宋体" w:hAnsi="宋体" w:eastAsia="宋体" w:cs="宋体"/>
                <w:spacing w:val="14"/>
                <w:highlight w:val="none"/>
              </w:rPr>
            </w:pPr>
            <w:r>
              <w:rPr>
                <w:rFonts w:hint="eastAsia" w:ascii="宋体" w:hAnsi="宋体" w:eastAsia="宋体" w:cs="宋体"/>
                <w:spacing w:val="14"/>
                <w:highlight w:val="none"/>
              </w:rPr>
              <w:t>评审标准</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rPr>
          <w:trHeight w:val="242" w:hRule="atLeast"/>
        </w:trPr>
        <w:tc>
          <w:tcPr>
            <w:tcW w:w="463" w:type="pct"/>
            <w:vMerge w:val="restart"/>
            <w:tcBorders>
              <w:top w:val="outset" w:color="auto" w:sz="6" w:space="0"/>
              <w:left w:val="outset" w:color="auto" w:sz="6" w:space="0"/>
              <w:bottom w:val="outset" w:color="auto" w:sz="6" w:space="0"/>
              <w:right w:val="outset" w:color="auto" w:sz="6" w:space="0"/>
            </w:tcBorders>
            <w:vAlign w:val="center"/>
          </w:tcPr>
          <w:p>
            <w:pPr>
              <w:spacing w:line="360" w:lineRule="auto"/>
              <w:jc w:val="center"/>
              <w:rPr>
                <w:rFonts w:ascii="宋体" w:hAnsi="宋体" w:eastAsia="宋体" w:cs="宋体"/>
                <w:spacing w:val="14"/>
                <w:highlight w:val="none"/>
              </w:rPr>
            </w:pPr>
            <w:r>
              <w:rPr>
                <w:rFonts w:hint="eastAsia" w:ascii="宋体" w:hAnsi="宋体" w:eastAsia="宋体" w:cs="宋体"/>
                <w:spacing w:val="14"/>
                <w:highlight w:val="none"/>
              </w:rPr>
              <w:t>符合性评审</w:t>
            </w:r>
          </w:p>
        </w:tc>
        <w:tc>
          <w:tcPr>
            <w:tcW w:w="1678" w:type="pct"/>
            <w:gridSpan w:val="3"/>
            <w:tcBorders>
              <w:top w:val="outset" w:color="auto" w:sz="6" w:space="0"/>
              <w:left w:val="outset" w:color="auto" w:sz="6" w:space="0"/>
              <w:bottom w:val="outset" w:color="auto" w:sz="6" w:space="0"/>
              <w:right w:val="outset" w:color="auto" w:sz="6" w:space="0"/>
            </w:tcBorders>
            <w:vAlign w:val="center"/>
          </w:tcPr>
          <w:p>
            <w:pPr>
              <w:spacing w:line="360" w:lineRule="auto"/>
              <w:jc w:val="center"/>
              <w:rPr>
                <w:rFonts w:ascii="宋体" w:hAnsi="宋体" w:eastAsia="宋体" w:cs="宋体"/>
                <w:highlight w:val="none"/>
              </w:rPr>
            </w:pPr>
            <w:r>
              <w:rPr>
                <w:rFonts w:hint="eastAsia" w:ascii="宋体" w:hAnsi="宋体" w:eastAsia="宋体" w:cs="宋体"/>
                <w:highlight w:val="none"/>
              </w:rPr>
              <w:t>投标人名称</w:t>
            </w:r>
          </w:p>
        </w:tc>
        <w:tc>
          <w:tcPr>
            <w:tcW w:w="2858" w:type="pct"/>
            <w:tcBorders>
              <w:top w:val="outset" w:color="auto" w:sz="6" w:space="0"/>
              <w:left w:val="outset" w:color="auto" w:sz="6" w:space="0"/>
              <w:bottom w:val="outset" w:color="auto" w:sz="6" w:space="0"/>
              <w:right w:val="outset" w:color="auto" w:sz="6" w:space="0"/>
            </w:tcBorders>
            <w:vAlign w:val="center"/>
          </w:tcPr>
          <w:p>
            <w:pPr>
              <w:spacing w:line="360" w:lineRule="auto"/>
              <w:jc w:val="center"/>
              <w:rPr>
                <w:rFonts w:ascii="宋体" w:hAnsi="宋体" w:eastAsia="宋体" w:cs="宋体"/>
                <w:highlight w:val="none"/>
              </w:rPr>
            </w:pPr>
            <w:r>
              <w:rPr>
                <w:rFonts w:hint="eastAsia" w:ascii="宋体" w:hAnsi="宋体" w:eastAsia="宋体" w:cs="宋体"/>
                <w:highlight w:val="none"/>
              </w:rPr>
              <w:t>与营业执照一致</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rPr>
          <w:trHeight w:val="242" w:hRule="atLeast"/>
        </w:trPr>
        <w:tc>
          <w:tcPr>
            <w:tcW w:w="463" w:type="pct"/>
            <w:vMerge w:val="continue"/>
            <w:tcBorders>
              <w:top w:val="outset" w:color="auto" w:sz="6" w:space="0"/>
              <w:left w:val="outset" w:color="auto" w:sz="6" w:space="0"/>
              <w:bottom w:val="outset" w:color="auto" w:sz="6" w:space="0"/>
              <w:right w:val="outset" w:color="auto" w:sz="6" w:space="0"/>
            </w:tcBorders>
            <w:vAlign w:val="center"/>
          </w:tcPr>
          <w:p>
            <w:pPr>
              <w:spacing w:line="360" w:lineRule="auto"/>
              <w:jc w:val="center"/>
              <w:rPr>
                <w:rFonts w:ascii="宋体" w:hAnsi="宋体" w:eastAsia="宋体" w:cs="宋体"/>
                <w:spacing w:val="14"/>
                <w:highlight w:val="none"/>
              </w:rPr>
            </w:pPr>
          </w:p>
        </w:tc>
        <w:tc>
          <w:tcPr>
            <w:tcW w:w="1678" w:type="pct"/>
            <w:gridSpan w:val="3"/>
            <w:tcBorders>
              <w:top w:val="outset" w:color="auto" w:sz="6" w:space="0"/>
              <w:left w:val="outset" w:color="auto" w:sz="6" w:space="0"/>
              <w:bottom w:val="outset" w:color="auto" w:sz="6" w:space="0"/>
              <w:right w:val="outset" w:color="auto" w:sz="6" w:space="0"/>
            </w:tcBorders>
            <w:vAlign w:val="center"/>
          </w:tcPr>
          <w:p>
            <w:pPr>
              <w:spacing w:line="360" w:lineRule="auto"/>
              <w:jc w:val="center"/>
              <w:rPr>
                <w:rFonts w:ascii="宋体" w:hAnsi="宋体" w:eastAsia="宋体" w:cs="宋体"/>
                <w:highlight w:val="none"/>
              </w:rPr>
            </w:pPr>
            <w:r>
              <w:rPr>
                <w:rFonts w:hint="eastAsia" w:ascii="宋体" w:hAnsi="宋体" w:eastAsia="宋体" w:cs="宋体"/>
                <w:highlight w:val="none"/>
              </w:rPr>
              <w:t>投标文件签字盖章</w:t>
            </w:r>
          </w:p>
        </w:tc>
        <w:tc>
          <w:tcPr>
            <w:tcW w:w="2858" w:type="pct"/>
            <w:tcBorders>
              <w:top w:val="outset" w:color="auto" w:sz="6" w:space="0"/>
              <w:left w:val="outset" w:color="auto" w:sz="6" w:space="0"/>
              <w:bottom w:val="outset" w:color="auto" w:sz="6" w:space="0"/>
              <w:right w:val="outset" w:color="auto" w:sz="6" w:space="0"/>
            </w:tcBorders>
            <w:vAlign w:val="center"/>
          </w:tcPr>
          <w:p>
            <w:pPr>
              <w:spacing w:line="360" w:lineRule="auto"/>
              <w:jc w:val="center"/>
              <w:rPr>
                <w:rFonts w:ascii="宋体" w:hAnsi="宋体" w:eastAsia="宋体" w:cs="宋体"/>
                <w:highlight w:val="none"/>
              </w:rPr>
            </w:pPr>
            <w:r>
              <w:rPr>
                <w:rFonts w:hint="eastAsia" w:ascii="宋体" w:hAnsi="宋体" w:eastAsia="宋体" w:cs="宋体"/>
                <w:highlight w:val="none"/>
              </w:rPr>
              <w:t>符合招标文件要求</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rPr>
          <w:trHeight w:val="421" w:hRule="atLeast"/>
        </w:trPr>
        <w:tc>
          <w:tcPr>
            <w:tcW w:w="463" w:type="pct"/>
            <w:vMerge w:val="continue"/>
            <w:tcBorders>
              <w:top w:val="outset" w:color="auto" w:sz="6" w:space="0"/>
              <w:left w:val="outset" w:color="auto" w:sz="6" w:space="0"/>
              <w:bottom w:val="outset" w:color="auto" w:sz="6" w:space="0"/>
              <w:right w:val="outset" w:color="auto" w:sz="6" w:space="0"/>
            </w:tcBorders>
            <w:vAlign w:val="center"/>
          </w:tcPr>
          <w:p>
            <w:pPr>
              <w:spacing w:line="360" w:lineRule="auto"/>
              <w:jc w:val="center"/>
              <w:rPr>
                <w:rFonts w:ascii="宋体" w:hAnsi="宋体" w:eastAsia="宋体" w:cs="宋体"/>
                <w:spacing w:val="14"/>
                <w:highlight w:val="none"/>
              </w:rPr>
            </w:pPr>
          </w:p>
        </w:tc>
        <w:tc>
          <w:tcPr>
            <w:tcW w:w="1678" w:type="pct"/>
            <w:gridSpan w:val="3"/>
            <w:tcBorders>
              <w:top w:val="outset" w:color="auto" w:sz="6" w:space="0"/>
              <w:left w:val="outset" w:color="auto" w:sz="6" w:space="0"/>
              <w:bottom w:val="outset" w:color="auto" w:sz="6" w:space="0"/>
              <w:right w:val="outset" w:color="auto" w:sz="6" w:space="0"/>
            </w:tcBorders>
            <w:vAlign w:val="center"/>
          </w:tcPr>
          <w:p>
            <w:pPr>
              <w:spacing w:line="360" w:lineRule="auto"/>
              <w:jc w:val="center"/>
              <w:rPr>
                <w:rFonts w:ascii="宋体" w:hAnsi="宋体" w:eastAsia="宋体" w:cs="宋体"/>
                <w:highlight w:val="none"/>
              </w:rPr>
            </w:pPr>
            <w:r>
              <w:rPr>
                <w:rFonts w:hint="eastAsia" w:ascii="宋体" w:hAnsi="宋体" w:eastAsia="宋体" w:cs="宋体"/>
                <w:highlight w:val="none"/>
              </w:rPr>
              <w:t>投标报价</w:t>
            </w:r>
          </w:p>
        </w:tc>
        <w:tc>
          <w:tcPr>
            <w:tcW w:w="2858" w:type="pct"/>
            <w:tcBorders>
              <w:top w:val="outset" w:color="auto" w:sz="6" w:space="0"/>
              <w:left w:val="outset" w:color="auto" w:sz="6" w:space="0"/>
              <w:bottom w:val="outset" w:color="auto" w:sz="6" w:space="0"/>
              <w:right w:val="outset" w:color="auto" w:sz="6" w:space="0"/>
            </w:tcBorders>
            <w:vAlign w:val="center"/>
          </w:tcPr>
          <w:p>
            <w:pPr>
              <w:spacing w:line="360" w:lineRule="auto"/>
              <w:jc w:val="center"/>
              <w:rPr>
                <w:rFonts w:ascii="宋体" w:hAnsi="宋体" w:eastAsia="宋体" w:cs="宋体"/>
                <w:highlight w:val="none"/>
              </w:rPr>
            </w:pPr>
            <w:r>
              <w:rPr>
                <w:rFonts w:hint="eastAsia" w:ascii="宋体" w:hAnsi="宋体" w:eastAsia="宋体" w:cs="宋体"/>
                <w:highlight w:val="none"/>
              </w:rPr>
              <w:t>只能有一个有效报价，且未超过预算控制金额，并按规定填报开标一览表、报价明细表</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rPr>
          <w:trHeight w:val="242" w:hRule="atLeast"/>
        </w:trPr>
        <w:tc>
          <w:tcPr>
            <w:tcW w:w="463" w:type="pct"/>
            <w:vMerge w:val="continue"/>
            <w:tcBorders>
              <w:top w:val="outset" w:color="auto" w:sz="6" w:space="0"/>
              <w:left w:val="outset" w:color="auto" w:sz="6" w:space="0"/>
              <w:bottom w:val="outset" w:color="auto" w:sz="6" w:space="0"/>
              <w:right w:val="outset" w:color="auto" w:sz="6" w:space="0"/>
            </w:tcBorders>
            <w:vAlign w:val="center"/>
          </w:tcPr>
          <w:p>
            <w:pPr>
              <w:spacing w:line="360" w:lineRule="auto"/>
              <w:jc w:val="center"/>
              <w:rPr>
                <w:rFonts w:ascii="宋体" w:hAnsi="宋体" w:eastAsia="宋体" w:cs="宋体"/>
                <w:spacing w:val="14"/>
                <w:highlight w:val="none"/>
              </w:rPr>
            </w:pPr>
          </w:p>
        </w:tc>
        <w:tc>
          <w:tcPr>
            <w:tcW w:w="1678" w:type="pct"/>
            <w:gridSpan w:val="3"/>
            <w:tcBorders>
              <w:top w:val="outset" w:color="auto" w:sz="6" w:space="0"/>
              <w:left w:val="outset" w:color="auto" w:sz="6" w:space="0"/>
              <w:bottom w:val="outset" w:color="auto" w:sz="6" w:space="0"/>
              <w:right w:val="outset" w:color="auto" w:sz="6" w:space="0"/>
            </w:tcBorders>
            <w:vAlign w:val="center"/>
          </w:tcPr>
          <w:p>
            <w:pPr>
              <w:spacing w:line="360" w:lineRule="auto"/>
              <w:jc w:val="center"/>
              <w:rPr>
                <w:rFonts w:ascii="宋体" w:hAnsi="宋体" w:eastAsia="宋体" w:cs="宋体"/>
                <w:highlight w:val="none"/>
              </w:rPr>
            </w:pPr>
            <w:r>
              <w:rPr>
                <w:rFonts w:hint="eastAsia" w:ascii="宋体" w:hAnsi="宋体" w:eastAsia="宋体" w:cs="宋体"/>
                <w:highlight w:val="none"/>
              </w:rPr>
              <w:t>投标有效期</w:t>
            </w:r>
          </w:p>
        </w:tc>
        <w:tc>
          <w:tcPr>
            <w:tcW w:w="2858" w:type="pct"/>
            <w:tcBorders>
              <w:top w:val="outset" w:color="auto" w:sz="6" w:space="0"/>
              <w:left w:val="outset" w:color="auto" w:sz="6" w:space="0"/>
              <w:bottom w:val="outset" w:color="auto" w:sz="6" w:space="0"/>
              <w:right w:val="outset" w:color="auto" w:sz="6" w:space="0"/>
            </w:tcBorders>
            <w:vAlign w:val="center"/>
          </w:tcPr>
          <w:p>
            <w:pPr>
              <w:spacing w:line="360" w:lineRule="auto"/>
              <w:jc w:val="center"/>
              <w:rPr>
                <w:rFonts w:ascii="宋体" w:hAnsi="宋体" w:eastAsia="宋体" w:cs="宋体"/>
                <w:highlight w:val="none"/>
              </w:rPr>
            </w:pPr>
            <w:r>
              <w:rPr>
                <w:rFonts w:hint="eastAsia" w:ascii="宋体" w:hAnsi="宋体" w:eastAsia="宋体" w:cs="宋体"/>
                <w:highlight w:val="none"/>
              </w:rPr>
              <w:t>符合投标人须知前附表的规定</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rPr>
          <w:trHeight w:val="242" w:hRule="atLeast"/>
        </w:trPr>
        <w:tc>
          <w:tcPr>
            <w:tcW w:w="463" w:type="pct"/>
            <w:vMerge w:val="continue"/>
            <w:tcBorders>
              <w:top w:val="outset" w:color="auto" w:sz="6" w:space="0"/>
              <w:left w:val="outset" w:color="auto" w:sz="6" w:space="0"/>
              <w:bottom w:val="outset" w:color="auto" w:sz="6" w:space="0"/>
              <w:right w:val="outset" w:color="auto" w:sz="6" w:space="0"/>
            </w:tcBorders>
            <w:vAlign w:val="center"/>
          </w:tcPr>
          <w:p>
            <w:pPr>
              <w:spacing w:line="360" w:lineRule="auto"/>
              <w:jc w:val="center"/>
              <w:rPr>
                <w:rFonts w:ascii="宋体" w:hAnsi="宋体" w:eastAsia="宋体" w:cs="宋体"/>
                <w:spacing w:val="14"/>
                <w:highlight w:val="none"/>
              </w:rPr>
            </w:pPr>
          </w:p>
        </w:tc>
        <w:tc>
          <w:tcPr>
            <w:tcW w:w="1678" w:type="pct"/>
            <w:gridSpan w:val="3"/>
            <w:tcBorders>
              <w:top w:val="outset" w:color="auto" w:sz="6" w:space="0"/>
              <w:left w:val="outset" w:color="auto" w:sz="6" w:space="0"/>
              <w:bottom w:val="outset" w:color="auto" w:sz="6" w:space="0"/>
              <w:right w:val="outset" w:color="auto" w:sz="6" w:space="0"/>
            </w:tcBorders>
            <w:vAlign w:val="center"/>
          </w:tcPr>
          <w:p>
            <w:pPr>
              <w:spacing w:line="360" w:lineRule="auto"/>
              <w:jc w:val="center"/>
              <w:rPr>
                <w:rFonts w:ascii="宋体" w:hAnsi="宋体" w:eastAsia="宋体" w:cs="宋体"/>
                <w:highlight w:val="none"/>
              </w:rPr>
            </w:pPr>
            <w:r>
              <w:rPr>
                <w:rFonts w:hint="eastAsia" w:ascii="宋体" w:hAnsi="宋体" w:eastAsia="宋体" w:cs="宋体"/>
                <w:highlight w:val="none"/>
              </w:rPr>
              <w:t>交货期</w:t>
            </w:r>
          </w:p>
        </w:tc>
        <w:tc>
          <w:tcPr>
            <w:tcW w:w="2858" w:type="pct"/>
            <w:tcBorders>
              <w:top w:val="outset" w:color="auto" w:sz="6" w:space="0"/>
              <w:left w:val="outset" w:color="auto" w:sz="6" w:space="0"/>
              <w:bottom w:val="outset" w:color="auto" w:sz="6" w:space="0"/>
              <w:right w:val="outset" w:color="auto" w:sz="6" w:space="0"/>
            </w:tcBorders>
            <w:vAlign w:val="center"/>
          </w:tcPr>
          <w:p>
            <w:pPr>
              <w:spacing w:line="360" w:lineRule="auto"/>
              <w:jc w:val="center"/>
              <w:rPr>
                <w:rFonts w:ascii="宋体" w:hAnsi="宋体" w:eastAsia="宋体" w:cs="宋体"/>
                <w:highlight w:val="none"/>
              </w:rPr>
            </w:pPr>
            <w:r>
              <w:rPr>
                <w:rFonts w:hint="eastAsia" w:ascii="宋体" w:hAnsi="宋体" w:eastAsia="宋体" w:cs="宋体"/>
                <w:highlight w:val="none"/>
              </w:rPr>
              <w:t>符合投标人须知前附表的规定</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rPr>
          <w:trHeight w:val="242" w:hRule="atLeast"/>
        </w:trPr>
        <w:tc>
          <w:tcPr>
            <w:tcW w:w="463" w:type="pct"/>
            <w:vMerge w:val="continue"/>
            <w:tcBorders>
              <w:top w:val="outset" w:color="auto" w:sz="6" w:space="0"/>
              <w:left w:val="outset" w:color="auto" w:sz="6" w:space="0"/>
              <w:bottom w:val="outset" w:color="auto" w:sz="6" w:space="0"/>
              <w:right w:val="outset" w:color="auto" w:sz="6" w:space="0"/>
            </w:tcBorders>
            <w:vAlign w:val="center"/>
          </w:tcPr>
          <w:p>
            <w:pPr>
              <w:spacing w:line="360" w:lineRule="auto"/>
              <w:jc w:val="center"/>
              <w:rPr>
                <w:rFonts w:ascii="宋体" w:hAnsi="宋体" w:eastAsia="宋体" w:cs="宋体"/>
                <w:spacing w:val="14"/>
                <w:highlight w:val="none"/>
              </w:rPr>
            </w:pPr>
          </w:p>
        </w:tc>
        <w:tc>
          <w:tcPr>
            <w:tcW w:w="1678" w:type="pct"/>
            <w:gridSpan w:val="3"/>
            <w:tcBorders>
              <w:top w:val="outset" w:color="auto" w:sz="6" w:space="0"/>
              <w:left w:val="outset" w:color="auto" w:sz="6" w:space="0"/>
              <w:bottom w:val="outset" w:color="auto" w:sz="6" w:space="0"/>
              <w:right w:val="outset" w:color="auto" w:sz="6" w:space="0"/>
            </w:tcBorders>
            <w:vAlign w:val="center"/>
          </w:tcPr>
          <w:p>
            <w:pPr>
              <w:spacing w:line="360" w:lineRule="auto"/>
              <w:jc w:val="center"/>
              <w:rPr>
                <w:rFonts w:ascii="宋体" w:hAnsi="宋体" w:eastAsia="宋体" w:cs="宋体"/>
                <w:highlight w:val="none"/>
              </w:rPr>
            </w:pPr>
            <w:r>
              <w:rPr>
                <w:rFonts w:hint="eastAsia" w:ascii="宋体" w:hAnsi="宋体" w:eastAsia="宋体" w:cs="宋体"/>
                <w:highlight w:val="none"/>
              </w:rPr>
              <w:t>合同履行期限</w:t>
            </w:r>
          </w:p>
        </w:tc>
        <w:tc>
          <w:tcPr>
            <w:tcW w:w="2858" w:type="pct"/>
            <w:tcBorders>
              <w:top w:val="outset" w:color="auto" w:sz="6" w:space="0"/>
              <w:left w:val="outset" w:color="auto" w:sz="6" w:space="0"/>
              <w:bottom w:val="outset" w:color="auto" w:sz="6" w:space="0"/>
              <w:right w:val="outset" w:color="auto" w:sz="6" w:space="0"/>
            </w:tcBorders>
            <w:vAlign w:val="center"/>
          </w:tcPr>
          <w:p>
            <w:pPr>
              <w:spacing w:line="360" w:lineRule="auto"/>
              <w:jc w:val="center"/>
              <w:rPr>
                <w:rFonts w:ascii="宋体" w:hAnsi="宋体" w:eastAsia="宋体" w:cs="宋体"/>
                <w:highlight w:val="none"/>
              </w:rPr>
            </w:pPr>
            <w:r>
              <w:rPr>
                <w:rFonts w:hint="eastAsia" w:ascii="宋体" w:hAnsi="宋体" w:eastAsia="宋体" w:cs="宋体"/>
                <w:highlight w:val="none"/>
              </w:rPr>
              <w:t>符合投标人须知前附表的规定</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rPr>
          <w:trHeight w:val="242" w:hRule="atLeast"/>
        </w:trPr>
        <w:tc>
          <w:tcPr>
            <w:tcW w:w="463" w:type="pct"/>
            <w:vMerge w:val="continue"/>
            <w:tcBorders>
              <w:top w:val="outset" w:color="auto" w:sz="6" w:space="0"/>
              <w:left w:val="outset" w:color="auto" w:sz="6" w:space="0"/>
              <w:bottom w:val="outset" w:color="auto" w:sz="6" w:space="0"/>
              <w:right w:val="outset" w:color="auto" w:sz="6" w:space="0"/>
            </w:tcBorders>
            <w:vAlign w:val="center"/>
          </w:tcPr>
          <w:p>
            <w:pPr>
              <w:spacing w:line="360" w:lineRule="auto"/>
              <w:jc w:val="center"/>
              <w:rPr>
                <w:rFonts w:ascii="宋体" w:hAnsi="宋体" w:eastAsia="宋体" w:cs="宋体"/>
                <w:spacing w:val="14"/>
                <w:highlight w:val="none"/>
              </w:rPr>
            </w:pPr>
          </w:p>
        </w:tc>
        <w:tc>
          <w:tcPr>
            <w:tcW w:w="1678" w:type="pct"/>
            <w:gridSpan w:val="3"/>
            <w:tcBorders>
              <w:top w:val="outset" w:color="auto" w:sz="6" w:space="0"/>
              <w:left w:val="outset" w:color="auto" w:sz="6" w:space="0"/>
              <w:bottom w:val="outset" w:color="auto" w:sz="6" w:space="0"/>
              <w:right w:val="outset" w:color="auto" w:sz="6" w:space="0"/>
            </w:tcBorders>
            <w:vAlign w:val="center"/>
          </w:tcPr>
          <w:p>
            <w:pPr>
              <w:spacing w:line="360" w:lineRule="auto"/>
              <w:jc w:val="center"/>
              <w:rPr>
                <w:rFonts w:ascii="宋体" w:hAnsi="宋体" w:eastAsia="宋体" w:cs="宋体"/>
                <w:highlight w:val="none"/>
              </w:rPr>
            </w:pPr>
            <w:r>
              <w:rPr>
                <w:rFonts w:hint="eastAsia" w:ascii="宋体" w:hAnsi="宋体" w:eastAsia="宋体" w:cs="宋体"/>
                <w:highlight w:val="none"/>
              </w:rPr>
              <w:t>质量要求</w:t>
            </w:r>
          </w:p>
        </w:tc>
        <w:tc>
          <w:tcPr>
            <w:tcW w:w="2858" w:type="pct"/>
            <w:tcBorders>
              <w:top w:val="outset" w:color="auto" w:sz="6" w:space="0"/>
              <w:left w:val="outset" w:color="auto" w:sz="6" w:space="0"/>
              <w:bottom w:val="outset" w:color="auto" w:sz="6" w:space="0"/>
              <w:right w:val="outset" w:color="auto" w:sz="6" w:space="0"/>
            </w:tcBorders>
            <w:vAlign w:val="center"/>
          </w:tcPr>
          <w:p>
            <w:pPr>
              <w:spacing w:line="360" w:lineRule="auto"/>
              <w:jc w:val="center"/>
              <w:rPr>
                <w:rFonts w:ascii="宋体" w:hAnsi="宋体" w:eastAsia="宋体" w:cs="宋体"/>
                <w:highlight w:val="none"/>
              </w:rPr>
            </w:pPr>
            <w:r>
              <w:rPr>
                <w:rFonts w:hint="eastAsia" w:ascii="宋体" w:hAnsi="宋体" w:eastAsia="宋体" w:cs="宋体"/>
                <w:highlight w:val="none"/>
              </w:rPr>
              <w:t>符合投标人须知前附表的规定</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rPr>
          <w:trHeight w:val="421" w:hRule="atLeast"/>
        </w:trPr>
        <w:tc>
          <w:tcPr>
            <w:tcW w:w="463" w:type="pct"/>
            <w:vMerge w:val="continue"/>
            <w:tcBorders>
              <w:top w:val="outset" w:color="auto" w:sz="6" w:space="0"/>
              <w:left w:val="outset" w:color="auto" w:sz="6" w:space="0"/>
              <w:bottom w:val="outset" w:color="auto" w:sz="6" w:space="0"/>
              <w:right w:val="outset" w:color="auto" w:sz="6" w:space="0"/>
            </w:tcBorders>
            <w:vAlign w:val="center"/>
          </w:tcPr>
          <w:p>
            <w:pPr>
              <w:spacing w:line="360" w:lineRule="auto"/>
              <w:jc w:val="center"/>
              <w:rPr>
                <w:rFonts w:ascii="宋体" w:hAnsi="宋体" w:eastAsia="宋体" w:cs="宋体"/>
                <w:spacing w:val="14"/>
                <w:highlight w:val="none"/>
              </w:rPr>
            </w:pPr>
          </w:p>
        </w:tc>
        <w:tc>
          <w:tcPr>
            <w:tcW w:w="1678" w:type="pct"/>
            <w:gridSpan w:val="3"/>
            <w:tcBorders>
              <w:top w:val="outset" w:color="auto" w:sz="6" w:space="0"/>
              <w:left w:val="outset" w:color="auto" w:sz="6" w:space="0"/>
              <w:bottom w:val="outset" w:color="auto" w:sz="6" w:space="0"/>
              <w:right w:val="outset" w:color="auto" w:sz="6" w:space="0"/>
            </w:tcBorders>
            <w:vAlign w:val="center"/>
          </w:tcPr>
          <w:p>
            <w:pPr>
              <w:spacing w:line="360" w:lineRule="auto"/>
              <w:jc w:val="center"/>
              <w:rPr>
                <w:rFonts w:ascii="宋体" w:hAnsi="宋体" w:eastAsia="宋体" w:cs="宋体"/>
                <w:highlight w:val="none"/>
              </w:rPr>
            </w:pPr>
            <w:r>
              <w:rPr>
                <w:rFonts w:hint="eastAsia" w:ascii="宋体" w:hAnsi="宋体" w:eastAsia="宋体" w:cs="宋体"/>
                <w:highlight w:val="none"/>
              </w:rPr>
              <w:t>质保期</w:t>
            </w:r>
          </w:p>
        </w:tc>
        <w:tc>
          <w:tcPr>
            <w:tcW w:w="2858" w:type="pct"/>
            <w:tcBorders>
              <w:top w:val="outset" w:color="auto" w:sz="6" w:space="0"/>
              <w:left w:val="outset" w:color="auto" w:sz="6" w:space="0"/>
              <w:bottom w:val="outset" w:color="auto" w:sz="6" w:space="0"/>
              <w:right w:val="outset" w:color="auto" w:sz="6" w:space="0"/>
            </w:tcBorders>
            <w:vAlign w:val="center"/>
          </w:tcPr>
          <w:p>
            <w:pPr>
              <w:spacing w:line="360" w:lineRule="auto"/>
              <w:jc w:val="center"/>
              <w:rPr>
                <w:rFonts w:ascii="宋体" w:hAnsi="宋体" w:eastAsia="宋体" w:cs="宋体"/>
                <w:highlight w:val="none"/>
              </w:rPr>
            </w:pPr>
            <w:r>
              <w:rPr>
                <w:rFonts w:hint="eastAsia" w:ascii="宋体" w:hAnsi="宋体" w:eastAsia="宋体" w:cs="宋体"/>
                <w:highlight w:val="none"/>
              </w:rPr>
              <w:t>符合投标人须知前附表的规定</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rPr>
          <w:trHeight w:val="242" w:hRule="atLeast"/>
        </w:trPr>
        <w:tc>
          <w:tcPr>
            <w:tcW w:w="463" w:type="pct"/>
            <w:vMerge w:val="continue"/>
            <w:tcBorders>
              <w:top w:val="outset" w:color="auto" w:sz="6" w:space="0"/>
              <w:left w:val="outset" w:color="auto" w:sz="6" w:space="0"/>
              <w:bottom w:val="outset" w:color="auto" w:sz="6" w:space="0"/>
              <w:right w:val="outset" w:color="auto" w:sz="6" w:space="0"/>
            </w:tcBorders>
            <w:vAlign w:val="center"/>
          </w:tcPr>
          <w:p>
            <w:pPr>
              <w:spacing w:line="360" w:lineRule="auto"/>
              <w:jc w:val="center"/>
              <w:rPr>
                <w:rFonts w:ascii="宋体" w:hAnsi="宋体" w:eastAsia="宋体" w:cs="宋体"/>
                <w:spacing w:val="14"/>
                <w:highlight w:val="none"/>
              </w:rPr>
            </w:pPr>
          </w:p>
        </w:tc>
        <w:tc>
          <w:tcPr>
            <w:tcW w:w="1678" w:type="pct"/>
            <w:gridSpan w:val="3"/>
            <w:tcBorders>
              <w:top w:val="outset" w:color="auto" w:sz="6" w:space="0"/>
              <w:left w:val="outset" w:color="auto" w:sz="6" w:space="0"/>
              <w:bottom w:val="outset" w:color="auto" w:sz="6" w:space="0"/>
              <w:right w:val="outset" w:color="auto" w:sz="6" w:space="0"/>
            </w:tcBorders>
            <w:vAlign w:val="center"/>
          </w:tcPr>
          <w:p>
            <w:pPr>
              <w:spacing w:line="360" w:lineRule="auto"/>
              <w:jc w:val="center"/>
              <w:rPr>
                <w:rFonts w:ascii="宋体" w:hAnsi="宋体" w:eastAsia="宋体" w:cs="宋体"/>
                <w:highlight w:val="none"/>
              </w:rPr>
            </w:pPr>
            <w:r>
              <w:rPr>
                <w:rFonts w:hint="eastAsia" w:ascii="宋体" w:hAnsi="宋体" w:eastAsia="宋体" w:cs="宋体"/>
                <w:highlight w:val="none"/>
              </w:rPr>
              <w:t>付款方式</w:t>
            </w:r>
          </w:p>
        </w:tc>
        <w:tc>
          <w:tcPr>
            <w:tcW w:w="2858" w:type="pct"/>
            <w:tcBorders>
              <w:top w:val="outset" w:color="auto" w:sz="6" w:space="0"/>
              <w:left w:val="outset" w:color="auto" w:sz="6" w:space="0"/>
              <w:bottom w:val="outset" w:color="auto" w:sz="6" w:space="0"/>
              <w:right w:val="outset" w:color="auto" w:sz="6" w:space="0"/>
            </w:tcBorders>
            <w:vAlign w:val="center"/>
          </w:tcPr>
          <w:p>
            <w:pPr>
              <w:spacing w:line="360" w:lineRule="auto"/>
              <w:jc w:val="center"/>
              <w:rPr>
                <w:rFonts w:ascii="宋体" w:hAnsi="宋体" w:eastAsia="宋体" w:cs="宋体"/>
                <w:highlight w:val="none"/>
              </w:rPr>
            </w:pPr>
            <w:r>
              <w:rPr>
                <w:rFonts w:hint="eastAsia" w:ascii="宋体" w:hAnsi="宋体" w:eastAsia="宋体" w:cs="宋体"/>
                <w:highlight w:val="none"/>
              </w:rPr>
              <w:t>符合招标文件的规定</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rPr>
          <w:trHeight w:val="421" w:hRule="atLeast"/>
        </w:trPr>
        <w:tc>
          <w:tcPr>
            <w:tcW w:w="463" w:type="pct"/>
            <w:vMerge w:val="restart"/>
            <w:tcBorders>
              <w:top w:val="outset" w:color="auto" w:sz="6" w:space="0"/>
              <w:left w:val="outset" w:color="auto" w:sz="6" w:space="0"/>
              <w:bottom w:val="outset" w:color="auto" w:sz="6" w:space="0"/>
              <w:right w:val="outset" w:color="auto" w:sz="6" w:space="0"/>
            </w:tcBorders>
            <w:vAlign w:val="center"/>
          </w:tcPr>
          <w:p>
            <w:pPr>
              <w:spacing w:line="360" w:lineRule="auto"/>
              <w:jc w:val="center"/>
              <w:rPr>
                <w:rFonts w:ascii="宋体" w:hAnsi="宋体" w:eastAsia="宋体" w:cs="宋体"/>
                <w:spacing w:val="14"/>
                <w:highlight w:val="none"/>
              </w:rPr>
            </w:pPr>
            <w:r>
              <w:rPr>
                <w:rFonts w:hint="eastAsia" w:ascii="宋体" w:hAnsi="宋体" w:eastAsia="宋体" w:cs="宋体"/>
                <w:spacing w:val="14"/>
                <w:highlight w:val="none"/>
              </w:rPr>
              <w:t>资格性评审</w:t>
            </w:r>
          </w:p>
        </w:tc>
        <w:tc>
          <w:tcPr>
            <w:tcW w:w="1678" w:type="pct"/>
            <w:gridSpan w:val="3"/>
            <w:tcBorders>
              <w:top w:val="outset" w:color="auto" w:sz="6" w:space="0"/>
              <w:left w:val="outset" w:color="auto" w:sz="6" w:space="0"/>
              <w:bottom w:val="outset" w:color="auto" w:sz="6" w:space="0"/>
              <w:right w:val="outset" w:color="auto" w:sz="6" w:space="0"/>
            </w:tcBorders>
            <w:vAlign w:val="center"/>
          </w:tcPr>
          <w:p>
            <w:pPr>
              <w:spacing w:line="360" w:lineRule="auto"/>
              <w:jc w:val="center"/>
              <w:rPr>
                <w:rFonts w:ascii="宋体" w:hAnsi="宋体" w:eastAsia="宋体" w:cs="宋体"/>
                <w:highlight w:val="none"/>
              </w:rPr>
            </w:pPr>
            <w:r>
              <w:rPr>
                <w:rFonts w:hint="eastAsia" w:ascii="宋体" w:hAnsi="宋体" w:eastAsia="宋体" w:cs="宋体"/>
                <w:highlight w:val="none"/>
              </w:rPr>
              <w:t>营业执照或事业单位法人证书</w:t>
            </w:r>
          </w:p>
        </w:tc>
        <w:tc>
          <w:tcPr>
            <w:tcW w:w="2858" w:type="pct"/>
            <w:tcBorders>
              <w:top w:val="outset" w:color="auto" w:sz="6" w:space="0"/>
              <w:left w:val="outset" w:color="auto" w:sz="6" w:space="0"/>
              <w:bottom w:val="outset" w:color="auto" w:sz="6" w:space="0"/>
              <w:right w:val="outset" w:color="auto" w:sz="6" w:space="0"/>
            </w:tcBorders>
            <w:vAlign w:val="center"/>
          </w:tcPr>
          <w:p>
            <w:pPr>
              <w:spacing w:line="360" w:lineRule="auto"/>
              <w:jc w:val="center"/>
              <w:rPr>
                <w:rFonts w:ascii="宋体" w:hAnsi="宋体" w:eastAsia="宋体" w:cs="宋体"/>
                <w:highlight w:val="none"/>
              </w:rPr>
            </w:pPr>
            <w:r>
              <w:rPr>
                <w:rFonts w:hint="eastAsia" w:ascii="宋体" w:hAnsi="宋体" w:eastAsia="宋体" w:cs="宋体"/>
                <w:highlight w:val="none"/>
              </w:rPr>
              <w:t>符合投标人须知前附表1.4.1投标人资格要求的规定</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rPr>
          <w:trHeight w:val="421" w:hRule="atLeast"/>
        </w:trPr>
        <w:tc>
          <w:tcPr>
            <w:tcW w:w="463" w:type="pct"/>
            <w:vMerge w:val="continue"/>
            <w:tcBorders>
              <w:left w:val="outset" w:color="auto" w:sz="6" w:space="0"/>
              <w:right w:val="outset" w:color="auto" w:sz="6" w:space="0"/>
            </w:tcBorders>
            <w:vAlign w:val="center"/>
          </w:tcPr>
          <w:p>
            <w:pPr>
              <w:spacing w:line="360" w:lineRule="auto"/>
              <w:jc w:val="center"/>
              <w:rPr>
                <w:rFonts w:ascii="宋体" w:hAnsi="宋体" w:eastAsia="宋体" w:cs="宋体"/>
                <w:spacing w:val="14"/>
                <w:highlight w:val="none"/>
              </w:rPr>
            </w:pPr>
          </w:p>
        </w:tc>
        <w:tc>
          <w:tcPr>
            <w:tcW w:w="1678" w:type="pct"/>
            <w:gridSpan w:val="3"/>
            <w:tcBorders>
              <w:top w:val="outset" w:color="auto" w:sz="6" w:space="0"/>
              <w:left w:val="outset" w:color="auto" w:sz="6" w:space="0"/>
              <w:bottom w:val="outset" w:color="auto" w:sz="6" w:space="0"/>
              <w:right w:val="outset" w:color="auto" w:sz="6" w:space="0"/>
            </w:tcBorders>
            <w:vAlign w:val="center"/>
          </w:tcPr>
          <w:p>
            <w:pPr>
              <w:spacing w:line="360" w:lineRule="auto"/>
              <w:jc w:val="center"/>
              <w:rPr>
                <w:rFonts w:ascii="宋体" w:hAnsi="宋体" w:eastAsia="宋体" w:cs="宋体"/>
                <w:highlight w:val="none"/>
              </w:rPr>
            </w:pPr>
            <w:r>
              <w:rPr>
                <w:rFonts w:hint="eastAsia" w:ascii="宋体" w:hAnsi="宋体" w:eastAsia="宋体" w:cs="宋体"/>
                <w:highlight w:val="none"/>
              </w:rPr>
              <w:t>代理商或制造商要求</w:t>
            </w:r>
          </w:p>
        </w:tc>
        <w:tc>
          <w:tcPr>
            <w:tcW w:w="2858" w:type="pct"/>
            <w:tcBorders>
              <w:top w:val="outset" w:color="auto" w:sz="6" w:space="0"/>
              <w:left w:val="outset" w:color="auto" w:sz="6" w:space="0"/>
              <w:bottom w:val="outset" w:color="auto" w:sz="6" w:space="0"/>
              <w:right w:val="outset" w:color="auto" w:sz="6" w:space="0"/>
            </w:tcBorders>
            <w:vAlign w:val="center"/>
          </w:tcPr>
          <w:p>
            <w:pPr>
              <w:spacing w:line="360" w:lineRule="auto"/>
              <w:jc w:val="center"/>
              <w:rPr>
                <w:rFonts w:ascii="宋体" w:hAnsi="宋体" w:eastAsia="宋体" w:cs="宋体"/>
                <w:highlight w:val="none"/>
              </w:rPr>
            </w:pPr>
            <w:r>
              <w:rPr>
                <w:rFonts w:hint="eastAsia" w:ascii="宋体" w:hAnsi="宋体" w:eastAsia="宋体" w:cs="宋体"/>
                <w:highlight w:val="none"/>
              </w:rPr>
              <w:t>符合投标人须知前附表1.4.1投标人资格要求的规定</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rPr>
          <w:trHeight w:val="421" w:hRule="atLeast"/>
        </w:trPr>
        <w:tc>
          <w:tcPr>
            <w:tcW w:w="463" w:type="pct"/>
            <w:vMerge w:val="continue"/>
            <w:tcBorders>
              <w:left w:val="outset" w:color="auto" w:sz="6" w:space="0"/>
              <w:right w:val="outset" w:color="auto" w:sz="6" w:space="0"/>
            </w:tcBorders>
            <w:vAlign w:val="center"/>
          </w:tcPr>
          <w:p>
            <w:pPr>
              <w:spacing w:line="360" w:lineRule="auto"/>
              <w:jc w:val="center"/>
              <w:rPr>
                <w:rFonts w:ascii="宋体" w:hAnsi="宋体" w:eastAsia="宋体" w:cs="宋体"/>
                <w:spacing w:val="14"/>
                <w:highlight w:val="none"/>
              </w:rPr>
            </w:pPr>
          </w:p>
        </w:tc>
        <w:tc>
          <w:tcPr>
            <w:tcW w:w="1678" w:type="pct"/>
            <w:gridSpan w:val="3"/>
            <w:tcBorders>
              <w:top w:val="outset" w:color="auto" w:sz="6" w:space="0"/>
              <w:left w:val="outset" w:color="auto" w:sz="6" w:space="0"/>
              <w:bottom w:val="outset" w:color="auto" w:sz="6" w:space="0"/>
              <w:right w:val="outset" w:color="auto" w:sz="6" w:space="0"/>
            </w:tcBorders>
            <w:vAlign w:val="center"/>
          </w:tcPr>
          <w:p>
            <w:pPr>
              <w:spacing w:line="360" w:lineRule="auto"/>
              <w:jc w:val="center"/>
              <w:rPr>
                <w:rFonts w:ascii="宋体" w:hAnsi="宋体" w:eastAsia="宋体" w:cs="宋体"/>
                <w:highlight w:val="none"/>
              </w:rPr>
            </w:pPr>
            <w:r>
              <w:rPr>
                <w:rFonts w:hint="eastAsia" w:ascii="宋体" w:hAnsi="宋体" w:eastAsia="宋体" w:cs="宋体"/>
                <w:highlight w:val="none"/>
              </w:rPr>
              <w:t>进口产品要求</w:t>
            </w:r>
          </w:p>
        </w:tc>
        <w:tc>
          <w:tcPr>
            <w:tcW w:w="2858" w:type="pct"/>
            <w:tcBorders>
              <w:top w:val="outset" w:color="auto" w:sz="6" w:space="0"/>
              <w:left w:val="outset" w:color="auto" w:sz="6" w:space="0"/>
              <w:bottom w:val="outset" w:color="auto" w:sz="6" w:space="0"/>
              <w:right w:val="outset" w:color="auto" w:sz="6" w:space="0"/>
            </w:tcBorders>
            <w:vAlign w:val="center"/>
          </w:tcPr>
          <w:p>
            <w:pPr>
              <w:spacing w:line="360" w:lineRule="auto"/>
              <w:jc w:val="center"/>
              <w:rPr>
                <w:rFonts w:ascii="宋体" w:hAnsi="宋体" w:eastAsia="宋体" w:cs="宋体"/>
                <w:highlight w:val="none"/>
              </w:rPr>
            </w:pPr>
            <w:r>
              <w:rPr>
                <w:rFonts w:hint="eastAsia" w:ascii="宋体" w:hAnsi="宋体" w:eastAsia="宋体" w:cs="宋体"/>
                <w:highlight w:val="none"/>
              </w:rPr>
              <w:t>符合投标人须知前附表1.4.1投标人资格要求的规定</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rPr>
          <w:trHeight w:val="421" w:hRule="atLeast"/>
        </w:trPr>
        <w:tc>
          <w:tcPr>
            <w:tcW w:w="463" w:type="pct"/>
            <w:vMerge w:val="continue"/>
            <w:tcBorders>
              <w:left w:val="outset" w:color="auto" w:sz="6" w:space="0"/>
              <w:right w:val="outset" w:color="auto" w:sz="6" w:space="0"/>
            </w:tcBorders>
            <w:vAlign w:val="center"/>
          </w:tcPr>
          <w:p>
            <w:pPr>
              <w:spacing w:line="360" w:lineRule="auto"/>
              <w:jc w:val="center"/>
              <w:rPr>
                <w:rFonts w:ascii="宋体" w:hAnsi="宋体" w:eastAsia="宋体" w:cs="宋体"/>
                <w:spacing w:val="14"/>
                <w:highlight w:val="none"/>
              </w:rPr>
            </w:pPr>
          </w:p>
        </w:tc>
        <w:tc>
          <w:tcPr>
            <w:tcW w:w="1678" w:type="pct"/>
            <w:gridSpan w:val="3"/>
            <w:tcBorders>
              <w:top w:val="outset" w:color="auto" w:sz="6" w:space="0"/>
              <w:left w:val="outset" w:color="auto" w:sz="6" w:space="0"/>
              <w:bottom w:val="outset" w:color="auto" w:sz="6" w:space="0"/>
              <w:right w:val="outset" w:color="auto" w:sz="6" w:space="0"/>
            </w:tcBorders>
            <w:vAlign w:val="center"/>
          </w:tcPr>
          <w:p>
            <w:pPr>
              <w:spacing w:line="360" w:lineRule="auto"/>
              <w:jc w:val="center"/>
              <w:rPr>
                <w:rFonts w:ascii="宋体" w:hAnsi="宋体" w:eastAsia="宋体" w:cs="宋体"/>
                <w:highlight w:val="none"/>
              </w:rPr>
            </w:pPr>
            <w:r>
              <w:rPr>
                <w:rFonts w:hint="eastAsia" w:ascii="宋体" w:hAnsi="宋体" w:eastAsia="宋体" w:cs="宋体"/>
                <w:highlight w:val="none"/>
              </w:rPr>
              <w:t>投标产品证书要求</w:t>
            </w:r>
          </w:p>
        </w:tc>
        <w:tc>
          <w:tcPr>
            <w:tcW w:w="2858" w:type="pct"/>
            <w:tcBorders>
              <w:top w:val="outset" w:color="auto" w:sz="6" w:space="0"/>
              <w:left w:val="outset" w:color="auto" w:sz="6" w:space="0"/>
              <w:bottom w:val="outset" w:color="auto" w:sz="6" w:space="0"/>
              <w:right w:val="outset" w:color="auto" w:sz="6" w:space="0"/>
            </w:tcBorders>
            <w:vAlign w:val="center"/>
          </w:tcPr>
          <w:p>
            <w:pPr>
              <w:spacing w:line="360" w:lineRule="auto"/>
              <w:jc w:val="center"/>
              <w:rPr>
                <w:rFonts w:ascii="宋体" w:hAnsi="宋体" w:eastAsia="宋体" w:cs="宋体"/>
                <w:highlight w:val="none"/>
              </w:rPr>
            </w:pPr>
            <w:r>
              <w:rPr>
                <w:rFonts w:hint="eastAsia" w:ascii="宋体" w:hAnsi="宋体" w:eastAsia="宋体" w:cs="宋体"/>
                <w:highlight w:val="none"/>
              </w:rPr>
              <w:t>符合投标人须知前附表1.4.1投标人资格要求的规定</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rPr>
          <w:trHeight w:val="421" w:hRule="atLeast"/>
        </w:trPr>
        <w:tc>
          <w:tcPr>
            <w:tcW w:w="463" w:type="pct"/>
            <w:vMerge w:val="continue"/>
            <w:tcBorders>
              <w:top w:val="outset" w:color="auto" w:sz="6" w:space="0"/>
              <w:left w:val="outset" w:color="auto" w:sz="6" w:space="0"/>
              <w:bottom w:val="outset" w:color="auto" w:sz="6" w:space="0"/>
              <w:right w:val="outset" w:color="auto" w:sz="6" w:space="0"/>
            </w:tcBorders>
            <w:vAlign w:val="center"/>
          </w:tcPr>
          <w:p>
            <w:pPr>
              <w:spacing w:line="360" w:lineRule="auto"/>
              <w:jc w:val="center"/>
              <w:rPr>
                <w:rFonts w:ascii="宋体" w:hAnsi="宋体" w:eastAsia="宋体" w:cs="宋体"/>
                <w:spacing w:val="14"/>
                <w:highlight w:val="none"/>
              </w:rPr>
            </w:pPr>
          </w:p>
        </w:tc>
        <w:tc>
          <w:tcPr>
            <w:tcW w:w="1678" w:type="pct"/>
            <w:gridSpan w:val="3"/>
            <w:tcBorders>
              <w:top w:val="outset" w:color="auto" w:sz="6" w:space="0"/>
              <w:left w:val="outset" w:color="auto" w:sz="6" w:space="0"/>
              <w:bottom w:val="outset" w:color="auto" w:sz="6" w:space="0"/>
              <w:right w:val="outset" w:color="auto" w:sz="6" w:space="0"/>
            </w:tcBorders>
            <w:vAlign w:val="center"/>
          </w:tcPr>
          <w:p>
            <w:pPr>
              <w:spacing w:line="360" w:lineRule="auto"/>
              <w:jc w:val="center"/>
              <w:rPr>
                <w:rFonts w:ascii="宋体" w:hAnsi="宋体" w:eastAsia="宋体" w:cs="宋体"/>
                <w:spacing w:val="14"/>
                <w:highlight w:val="none"/>
              </w:rPr>
            </w:pPr>
            <w:r>
              <w:rPr>
                <w:rFonts w:hint="eastAsia" w:ascii="宋体" w:hAnsi="宋体" w:eastAsia="宋体" w:cs="宋体"/>
                <w:spacing w:val="14"/>
                <w:highlight w:val="none"/>
              </w:rPr>
              <w:t>洛阳市政府采购供应商信用承诺函</w:t>
            </w:r>
          </w:p>
        </w:tc>
        <w:tc>
          <w:tcPr>
            <w:tcW w:w="2858" w:type="pct"/>
            <w:tcBorders>
              <w:top w:val="outset" w:color="auto" w:sz="6" w:space="0"/>
              <w:left w:val="outset" w:color="auto" w:sz="6" w:space="0"/>
              <w:bottom w:val="outset" w:color="auto" w:sz="6" w:space="0"/>
              <w:right w:val="outset" w:color="auto" w:sz="6" w:space="0"/>
            </w:tcBorders>
            <w:vAlign w:val="center"/>
          </w:tcPr>
          <w:p>
            <w:pPr>
              <w:spacing w:line="360" w:lineRule="auto"/>
              <w:jc w:val="center"/>
              <w:rPr>
                <w:rFonts w:ascii="宋体" w:hAnsi="宋体" w:eastAsia="宋体" w:cs="宋体"/>
                <w:spacing w:val="14"/>
                <w:highlight w:val="none"/>
              </w:rPr>
            </w:pPr>
            <w:r>
              <w:rPr>
                <w:rFonts w:hint="eastAsia" w:ascii="宋体" w:hAnsi="宋体" w:eastAsia="宋体" w:cs="宋体"/>
                <w:highlight w:val="none"/>
              </w:rPr>
              <w:t>符合投标人须知前附表1.4.1投标人资格要求的规定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 w:hRule="atLeast"/>
          <w:jc w:val="center"/>
        </w:trPr>
        <w:tc>
          <w:tcPr>
            <w:tcW w:w="463" w:type="pct"/>
            <w:vAlign w:val="center"/>
          </w:tcPr>
          <w:p>
            <w:pPr>
              <w:spacing w:line="360" w:lineRule="auto"/>
              <w:jc w:val="center"/>
              <w:rPr>
                <w:rFonts w:ascii="宋体" w:hAnsi="宋体" w:eastAsia="宋体" w:cs="宋体"/>
                <w:b/>
                <w:bCs/>
                <w:highlight w:val="none"/>
              </w:rPr>
            </w:pPr>
            <w:bookmarkStart w:id="174" w:name="EB8d005f5cb64c4739b85bd6ac6ddef359"/>
            <w:bookmarkStart w:id="175" w:name="_Hlk87600380"/>
            <w:r>
              <w:rPr>
                <w:rFonts w:hint="eastAsia" w:ascii="宋体" w:hAnsi="宋体" w:eastAsia="宋体" w:cs="宋体"/>
                <w:b/>
                <w:bCs/>
                <w:highlight w:val="none"/>
              </w:rPr>
              <w:t>评分因素</w:t>
            </w:r>
          </w:p>
        </w:tc>
        <w:tc>
          <w:tcPr>
            <w:tcW w:w="1678" w:type="pct"/>
            <w:gridSpan w:val="3"/>
            <w:vAlign w:val="center"/>
          </w:tcPr>
          <w:p>
            <w:pPr>
              <w:spacing w:line="360" w:lineRule="auto"/>
              <w:jc w:val="center"/>
              <w:rPr>
                <w:rFonts w:ascii="宋体" w:hAnsi="宋体" w:eastAsia="宋体" w:cs="宋体"/>
                <w:b/>
                <w:bCs/>
                <w:highlight w:val="none"/>
              </w:rPr>
            </w:pPr>
            <w:r>
              <w:rPr>
                <w:rFonts w:hint="eastAsia" w:ascii="宋体" w:hAnsi="宋体" w:eastAsia="宋体" w:cs="宋体"/>
                <w:b/>
                <w:bCs/>
                <w:highlight w:val="none"/>
              </w:rPr>
              <w:t>评分内容</w:t>
            </w:r>
          </w:p>
        </w:tc>
        <w:tc>
          <w:tcPr>
            <w:tcW w:w="2858" w:type="pct"/>
            <w:vAlign w:val="center"/>
          </w:tcPr>
          <w:p>
            <w:pPr>
              <w:spacing w:line="360" w:lineRule="auto"/>
              <w:jc w:val="center"/>
              <w:rPr>
                <w:rFonts w:ascii="宋体" w:hAnsi="宋体" w:eastAsia="宋体" w:cs="宋体"/>
                <w:b/>
                <w:bCs/>
                <w:highlight w:val="none"/>
              </w:rPr>
            </w:pPr>
            <w:r>
              <w:rPr>
                <w:rFonts w:hint="eastAsia" w:ascii="宋体" w:hAnsi="宋体" w:eastAsia="宋体" w:cs="宋体"/>
                <w:b/>
                <w:bCs/>
                <w:highlight w:val="none"/>
              </w:rPr>
              <w:t>评分标准</w:t>
            </w:r>
          </w:p>
        </w:tc>
      </w:tr>
      <w:bookmarkEnd w:id="174"/>
      <w:bookmarkEnd w:id="175"/>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c>
          <w:tcPr>
            <w:tcW w:w="463" w:type="pct"/>
            <w:tcBorders>
              <w:top w:val="outset" w:color="auto" w:sz="6" w:space="0"/>
              <w:left w:val="outset" w:color="auto" w:sz="6" w:space="0"/>
              <w:bottom w:val="outset" w:color="auto" w:sz="6" w:space="0"/>
              <w:right w:val="outset" w:color="auto" w:sz="6" w:space="0"/>
            </w:tcBorders>
            <w:vAlign w:val="center"/>
          </w:tcPr>
          <w:p>
            <w:pPr>
              <w:spacing w:line="360" w:lineRule="auto"/>
              <w:jc w:val="center"/>
              <w:rPr>
                <w:rFonts w:ascii="宋体" w:hAnsi="宋体" w:eastAsia="宋体" w:cs="宋体"/>
                <w:highlight w:val="none"/>
              </w:rPr>
            </w:pPr>
            <w:bookmarkStart w:id="176" w:name="_Toc256000055"/>
            <w:bookmarkStart w:id="177" w:name="_Toc3904808"/>
            <w:bookmarkStart w:id="178" w:name="_Toc15810"/>
            <w:r>
              <w:rPr>
                <w:rFonts w:hint="eastAsia" w:ascii="宋体" w:hAnsi="宋体" w:eastAsia="宋体" w:cs="宋体"/>
                <w:highlight w:val="none"/>
              </w:rPr>
              <w:t>详细条款</w:t>
            </w:r>
          </w:p>
        </w:tc>
        <w:tc>
          <w:tcPr>
            <w:tcW w:w="601" w:type="pct"/>
            <w:tcBorders>
              <w:top w:val="outset" w:color="auto" w:sz="6" w:space="0"/>
              <w:left w:val="outset" w:color="auto" w:sz="6" w:space="0"/>
              <w:bottom w:val="outset" w:color="auto" w:sz="6" w:space="0"/>
              <w:right w:val="outset" w:color="auto" w:sz="6" w:space="0"/>
            </w:tcBorders>
            <w:vAlign w:val="center"/>
          </w:tcPr>
          <w:p>
            <w:pPr>
              <w:spacing w:line="360" w:lineRule="auto"/>
              <w:jc w:val="center"/>
              <w:rPr>
                <w:rFonts w:ascii="宋体" w:hAnsi="宋体" w:eastAsia="宋体" w:cs="宋体"/>
                <w:highlight w:val="none"/>
              </w:rPr>
            </w:pPr>
            <w:r>
              <w:rPr>
                <w:rFonts w:hint="eastAsia" w:ascii="宋体" w:hAnsi="宋体" w:eastAsia="宋体" w:cs="宋体"/>
                <w:highlight w:val="none"/>
              </w:rPr>
              <w:t>最低分</w:t>
            </w:r>
          </w:p>
        </w:tc>
        <w:tc>
          <w:tcPr>
            <w:tcW w:w="552" w:type="pct"/>
            <w:tcBorders>
              <w:top w:val="outset" w:color="auto" w:sz="6" w:space="0"/>
              <w:left w:val="outset" w:color="auto" w:sz="6" w:space="0"/>
              <w:bottom w:val="outset" w:color="auto" w:sz="6" w:space="0"/>
              <w:right w:val="outset" w:color="auto" w:sz="6" w:space="0"/>
            </w:tcBorders>
            <w:vAlign w:val="center"/>
          </w:tcPr>
          <w:p>
            <w:pPr>
              <w:spacing w:line="360" w:lineRule="auto"/>
              <w:jc w:val="center"/>
              <w:rPr>
                <w:rFonts w:ascii="宋体" w:hAnsi="宋体" w:eastAsia="宋体" w:cs="宋体"/>
                <w:highlight w:val="none"/>
              </w:rPr>
            </w:pPr>
            <w:r>
              <w:rPr>
                <w:rFonts w:hint="eastAsia" w:ascii="宋体" w:hAnsi="宋体" w:eastAsia="宋体" w:cs="宋体"/>
                <w:highlight w:val="none"/>
              </w:rPr>
              <w:t>最高分</w:t>
            </w:r>
          </w:p>
        </w:tc>
        <w:tc>
          <w:tcPr>
            <w:tcW w:w="524" w:type="pct"/>
            <w:tcBorders>
              <w:top w:val="outset" w:color="auto" w:sz="6" w:space="0"/>
              <w:left w:val="outset" w:color="auto" w:sz="6" w:space="0"/>
              <w:bottom w:val="outset" w:color="auto" w:sz="6" w:space="0"/>
              <w:right w:val="outset" w:color="auto" w:sz="6" w:space="0"/>
            </w:tcBorders>
            <w:vAlign w:val="center"/>
          </w:tcPr>
          <w:p>
            <w:pPr>
              <w:spacing w:line="360" w:lineRule="auto"/>
              <w:jc w:val="center"/>
              <w:rPr>
                <w:rFonts w:ascii="宋体" w:hAnsi="宋体" w:eastAsia="宋体" w:cs="宋体"/>
                <w:highlight w:val="none"/>
              </w:rPr>
            </w:pPr>
            <w:r>
              <w:rPr>
                <w:rFonts w:hint="eastAsia" w:ascii="宋体" w:hAnsi="宋体" w:eastAsia="宋体" w:cs="宋体"/>
                <w:highlight w:val="none"/>
              </w:rPr>
              <w:t>评分点名称</w:t>
            </w:r>
          </w:p>
        </w:tc>
        <w:tc>
          <w:tcPr>
            <w:tcW w:w="2858" w:type="pct"/>
            <w:tcBorders>
              <w:top w:val="outset" w:color="auto" w:sz="6" w:space="0"/>
              <w:left w:val="outset" w:color="auto" w:sz="6" w:space="0"/>
              <w:bottom w:val="outset" w:color="auto" w:sz="6" w:space="0"/>
              <w:right w:val="outset" w:color="auto" w:sz="6" w:space="0"/>
            </w:tcBorders>
            <w:vAlign w:val="center"/>
          </w:tcPr>
          <w:p>
            <w:pPr>
              <w:spacing w:line="360" w:lineRule="auto"/>
              <w:jc w:val="center"/>
              <w:rPr>
                <w:rFonts w:ascii="宋体" w:hAnsi="宋体" w:eastAsia="宋体" w:cs="宋体"/>
                <w:highlight w:val="none"/>
              </w:rPr>
            </w:pPr>
            <w:r>
              <w:rPr>
                <w:rFonts w:hint="eastAsia" w:ascii="宋体" w:hAnsi="宋体" w:eastAsia="宋体" w:cs="宋体"/>
                <w:highlight w:val="none"/>
              </w:rPr>
              <w:t>评审标准</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c>
          <w:tcPr>
            <w:tcW w:w="463" w:type="pct"/>
            <w:tcBorders>
              <w:top w:val="outset" w:color="auto" w:sz="6" w:space="0"/>
              <w:left w:val="outset" w:color="auto" w:sz="6" w:space="0"/>
              <w:bottom w:val="outset" w:color="auto" w:sz="6" w:space="0"/>
              <w:right w:val="outset" w:color="auto" w:sz="6" w:space="0"/>
            </w:tcBorders>
            <w:vAlign w:val="center"/>
          </w:tcPr>
          <w:p>
            <w:pPr>
              <w:spacing w:line="360" w:lineRule="auto"/>
              <w:jc w:val="center"/>
              <w:rPr>
                <w:rFonts w:ascii="宋体" w:hAnsi="宋体" w:eastAsia="宋体" w:cs="宋体"/>
                <w:highlight w:val="none"/>
              </w:rPr>
            </w:pPr>
            <w:r>
              <w:rPr>
                <w:rFonts w:hint="eastAsia" w:ascii="宋体" w:hAnsi="宋体" w:eastAsia="宋体" w:cs="宋体"/>
                <w:highlight w:val="none"/>
              </w:rPr>
              <w:t>经济标评分参数）（30分）</w:t>
            </w:r>
          </w:p>
        </w:tc>
        <w:tc>
          <w:tcPr>
            <w:tcW w:w="601" w:type="pct"/>
            <w:tcBorders>
              <w:top w:val="outset" w:color="auto" w:sz="6" w:space="0"/>
              <w:left w:val="outset" w:color="auto" w:sz="6" w:space="0"/>
              <w:bottom w:val="outset" w:color="auto" w:sz="6" w:space="0"/>
              <w:right w:val="outset" w:color="auto" w:sz="6" w:space="0"/>
            </w:tcBorders>
            <w:vAlign w:val="center"/>
          </w:tcPr>
          <w:p>
            <w:pPr>
              <w:spacing w:line="360" w:lineRule="auto"/>
              <w:jc w:val="center"/>
              <w:rPr>
                <w:rFonts w:ascii="宋体" w:hAnsi="宋体" w:eastAsia="宋体" w:cs="宋体"/>
                <w:highlight w:val="none"/>
              </w:rPr>
            </w:pPr>
            <w:r>
              <w:rPr>
                <w:rFonts w:hint="eastAsia" w:ascii="宋体" w:hAnsi="宋体" w:eastAsia="宋体" w:cs="宋体"/>
                <w:highlight w:val="none"/>
              </w:rPr>
              <w:t>0.00</w:t>
            </w:r>
          </w:p>
        </w:tc>
        <w:tc>
          <w:tcPr>
            <w:tcW w:w="552" w:type="pct"/>
            <w:tcBorders>
              <w:top w:val="outset" w:color="auto" w:sz="6" w:space="0"/>
              <w:left w:val="outset" w:color="auto" w:sz="6" w:space="0"/>
              <w:bottom w:val="outset" w:color="auto" w:sz="6" w:space="0"/>
              <w:right w:val="outset" w:color="auto" w:sz="6" w:space="0"/>
            </w:tcBorders>
            <w:vAlign w:val="center"/>
          </w:tcPr>
          <w:p>
            <w:pPr>
              <w:spacing w:line="360" w:lineRule="auto"/>
              <w:jc w:val="center"/>
              <w:rPr>
                <w:rFonts w:ascii="宋体" w:hAnsi="宋体" w:eastAsia="宋体" w:cs="宋体"/>
                <w:highlight w:val="none"/>
              </w:rPr>
            </w:pPr>
            <w:r>
              <w:rPr>
                <w:rFonts w:hint="eastAsia" w:ascii="宋体" w:hAnsi="宋体" w:eastAsia="宋体" w:cs="宋体"/>
                <w:highlight w:val="none"/>
              </w:rPr>
              <w:t>30.00</w:t>
            </w:r>
          </w:p>
        </w:tc>
        <w:tc>
          <w:tcPr>
            <w:tcW w:w="524" w:type="pct"/>
            <w:tcBorders>
              <w:top w:val="outset" w:color="auto" w:sz="6" w:space="0"/>
              <w:left w:val="outset" w:color="auto" w:sz="6" w:space="0"/>
              <w:bottom w:val="outset" w:color="auto" w:sz="6" w:space="0"/>
              <w:right w:val="outset" w:color="auto" w:sz="6" w:space="0"/>
            </w:tcBorders>
            <w:vAlign w:val="center"/>
          </w:tcPr>
          <w:p>
            <w:pPr>
              <w:spacing w:line="360" w:lineRule="auto"/>
              <w:jc w:val="center"/>
              <w:rPr>
                <w:rFonts w:ascii="宋体" w:hAnsi="宋体" w:eastAsia="宋体" w:cs="宋体"/>
                <w:highlight w:val="none"/>
              </w:rPr>
            </w:pPr>
            <w:r>
              <w:rPr>
                <w:rFonts w:hint="eastAsia" w:ascii="宋体" w:hAnsi="宋体" w:eastAsia="宋体" w:cs="宋体"/>
                <w:highlight w:val="none"/>
              </w:rPr>
              <w:t>投标报价</w:t>
            </w:r>
          </w:p>
        </w:tc>
        <w:tc>
          <w:tcPr>
            <w:tcW w:w="2858" w:type="pct"/>
            <w:tcBorders>
              <w:top w:val="outset" w:color="auto" w:sz="6" w:space="0"/>
              <w:left w:val="outset" w:color="auto" w:sz="6" w:space="0"/>
              <w:bottom w:val="outset" w:color="auto" w:sz="6" w:space="0"/>
              <w:right w:val="outset" w:color="auto" w:sz="6" w:space="0"/>
            </w:tcBorders>
            <w:vAlign w:val="center"/>
          </w:tcPr>
          <w:p>
            <w:pPr>
              <w:spacing w:line="360" w:lineRule="auto"/>
              <w:jc w:val="left"/>
              <w:rPr>
                <w:rFonts w:ascii="宋体" w:hAnsi="宋体" w:eastAsia="宋体" w:cs="宋体"/>
                <w:highlight w:val="none"/>
              </w:rPr>
            </w:pPr>
            <w:r>
              <w:rPr>
                <w:rFonts w:hint="eastAsia" w:ascii="宋体" w:hAnsi="宋体" w:eastAsia="宋体" w:cs="宋体"/>
                <w:highlight w:val="none"/>
              </w:rPr>
              <w:t xml:space="preserve">价格分采用低价优先法计算，即满足招标文件要求且评标报价最低的评标报价为评标基准价，其价格分为满分。其他供应商的价格分统一按照下列公式计算：投标报价得分=(评标基准价／评标报价)×投标报价权重 </w:t>
            </w:r>
          </w:p>
          <w:p>
            <w:pPr>
              <w:spacing w:line="360" w:lineRule="auto"/>
              <w:jc w:val="left"/>
              <w:rPr>
                <w:rFonts w:ascii="宋体" w:hAnsi="宋体" w:eastAsia="宋体" w:cs="宋体"/>
                <w:highlight w:val="none"/>
              </w:rPr>
            </w:pPr>
            <w:r>
              <w:rPr>
                <w:rFonts w:hint="eastAsia" w:ascii="宋体" w:hAnsi="宋体" w:eastAsia="宋体" w:cs="宋体"/>
                <w:highlight w:val="none"/>
              </w:rPr>
              <w:t>注：价格扣除：投标人根据《政府采购促进中小企业发展管理办法》(财库〔2020〕46号)、财政部司法部《关于政府采购支持监狱企业发展有关问题的通知》（财库〔2014〕68号）和财政部民政部中国残疾人联合会《关于促进残疾人就业政府采购政策的通知》（财库〔2017〕141 号）规定，投标人提供的货物全部由符合政策要求的中小企业制造，对所投标的小型和微型企业产品的价格给予10%的扣除，监狱企业、残疾人福利性企业作为供应商所提供的本企业生产的产品的价格给予10%的扣除。同一投标人（包括联合体），小微企业、监狱、残疾人福利性企业同一产品价格扣除优惠只享受一次，不得重复享受。</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c>
          <w:tcPr>
            <w:tcW w:w="463" w:type="pct"/>
            <w:tcBorders>
              <w:top w:val="outset" w:color="auto" w:sz="6" w:space="0"/>
              <w:left w:val="outset" w:color="auto" w:sz="6" w:space="0"/>
              <w:bottom w:val="outset" w:color="auto" w:sz="6" w:space="0"/>
              <w:right w:val="outset" w:color="auto" w:sz="6" w:space="0"/>
            </w:tcBorders>
            <w:vAlign w:val="center"/>
          </w:tcPr>
          <w:p>
            <w:pPr>
              <w:spacing w:line="360" w:lineRule="auto"/>
              <w:jc w:val="center"/>
              <w:rPr>
                <w:rFonts w:ascii="宋体" w:hAnsi="宋体" w:eastAsia="宋体" w:cs="宋体"/>
                <w:highlight w:val="none"/>
              </w:rPr>
            </w:pPr>
            <w:r>
              <w:rPr>
                <w:rFonts w:hint="eastAsia" w:ascii="宋体" w:hAnsi="宋体" w:eastAsia="宋体" w:cs="宋体"/>
                <w:highlight w:val="none"/>
              </w:rPr>
              <w:t>技术标评分参数（30分）</w:t>
            </w:r>
          </w:p>
        </w:tc>
        <w:tc>
          <w:tcPr>
            <w:tcW w:w="601" w:type="pct"/>
            <w:tcBorders>
              <w:top w:val="outset" w:color="auto" w:sz="6" w:space="0"/>
              <w:left w:val="outset" w:color="auto" w:sz="6" w:space="0"/>
              <w:bottom w:val="outset" w:color="auto" w:sz="6" w:space="0"/>
              <w:right w:val="outset" w:color="auto" w:sz="6" w:space="0"/>
            </w:tcBorders>
            <w:vAlign w:val="center"/>
          </w:tcPr>
          <w:p>
            <w:pPr>
              <w:spacing w:line="360" w:lineRule="auto"/>
              <w:jc w:val="center"/>
              <w:rPr>
                <w:rFonts w:ascii="宋体" w:hAnsi="宋体" w:eastAsia="宋体" w:cs="宋体"/>
                <w:highlight w:val="none"/>
              </w:rPr>
            </w:pPr>
            <w:r>
              <w:rPr>
                <w:rFonts w:hint="eastAsia" w:ascii="宋体" w:hAnsi="宋体" w:eastAsia="宋体" w:cs="宋体"/>
                <w:highlight w:val="none"/>
              </w:rPr>
              <w:t>0.00</w:t>
            </w:r>
          </w:p>
        </w:tc>
        <w:tc>
          <w:tcPr>
            <w:tcW w:w="552" w:type="pct"/>
            <w:tcBorders>
              <w:top w:val="outset" w:color="auto" w:sz="6" w:space="0"/>
              <w:left w:val="outset" w:color="auto" w:sz="6" w:space="0"/>
              <w:bottom w:val="outset" w:color="auto" w:sz="6" w:space="0"/>
              <w:right w:val="outset" w:color="auto" w:sz="6" w:space="0"/>
            </w:tcBorders>
            <w:vAlign w:val="center"/>
          </w:tcPr>
          <w:p>
            <w:pPr>
              <w:spacing w:line="360" w:lineRule="auto"/>
              <w:jc w:val="center"/>
              <w:rPr>
                <w:rFonts w:ascii="宋体" w:hAnsi="宋体" w:eastAsia="宋体" w:cs="宋体"/>
                <w:highlight w:val="none"/>
              </w:rPr>
            </w:pPr>
            <w:r>
              <w:rPr>
                <w:rFonts w:hint="eastAsia" w:ascii="宋体" w:hAnsi="宋体" w:eastAsia="宋体" w:cs="宋体"/>
                <w:highlight w:val="none"/>
              </w:rPr>
              <w:t>30.00</w:t>
            </w:r>
          </w:p>
        </w:tc>
        <w:tc>
          <w:tcPr>
            <w:tcW w:w="524" w:type="pct"/>
            <w:tcBorders>
              <w:top w:val="outset" w:color="auto" w:sz="6" w:space="0"/>
              <w:left w:val="outset" w:color="auto" w:sz="6" w:space="0"/>
              <w:bottom w:val="outset" w:color="auto" w:sz="6" w:space="0"/>
              <w:right w:val="outset" w:color="auto" w:sz="6" w:space="0"/>
            </w:tcBorders>
            <w:vAlign w:val="center"/>
          </w:tcPr>
          <w:p>
            <w:pPr>
              <w:spacing w:line="360" w:lineRule="auto"/>
              <w:jc w:val="center"/>
              <w:rPr>
                <w:rFonts w:ascii="宋体" w:hAnsi="宋体" w:eastAsia="宋体" w:cs="宋体"/>
                <w:highlight w:val="none"/>
              </w:rPr>
            </w:pPr>
            <w:r>
              <w:rPr>
                <w:rFonts w:hint="eastAsia" w:ascii="宋体" w:hAnsi="宋体" w:eastAsia="宋体" w:cs="宋体"/>
                <w:highlight w:val="none"/>
              </w:rPr>
              <w:t>技术部分</w:t>
            </w:r>
          </w:p>
        </w:tc>
        <w:tc>
          <w:tcPr>
            <w:tcW w:w="2858" w:type="pct"/>
            <w:tcBorders>
              <w:top w:val="outset" w:color="auto" w:sz="6" w:space="0"/>
              <w:left w:val="outset" w:color="auto" w:sz="6" w:space="0"/>
              <w:bottom w:val="outset" w:color="auto" w:sz="6" w:space="0"/>
              <w:right w:val="outset" w:color="auto" w:sz="6" w:space="0"/>
            </w:tcBorders>
            <w:vAlign w:val="center"/>
          </w:tcPr>
          <w:p>
            <w:pPr>
              <w:spacing w:line="360" w:lineRule="auto"/>
              <w:jc w:val="left"/>
              <w:rPr>
                <w:rFonts w:ascii="宋体" w:hAnsi="宋体" w:eastAsia="宋体" w:cs="宋体"/>
                <w:highlight w:val="none"/>
                <w:lang w:val="zh-CN"/>
              </w:rPr>
            </w:pPr>
            <w:r>
              <w:rPr>
                <w:rFonts w:hint="eastAsia" w:ascii="宋体" w:hAnsi="宋体" w:eastAsia="宋体" w:cs="宋体"/>
                <w:highlight w:val="none"/>
                <w:lang w:val="zh-CN"/>
              </w:rPr>
              <w:t>投标产品的技术参数、技术性能需满足</w:t>
            </w:r>
            <w:r>
              <w:rPr>
                <w:rFonts w:hint="eastAsia" w:ascii="宋体" w:hAnsi="宋体" w:eastAsia="宋体" w:cs="宋体"/>
                <w:highlight w:val="none"/>
              </w:rPr>
              <w:t>招标</w:t>
            </w:r>
            <w:r>
              <w:rPr>
                <w:rFonts w:hint="eastAsia" w:ascii="宋体" w:hAnsi="宋体" w:eastAsia="宋体" w:cs="宋体"/>
                <w:highlight w:val="none"/>
                <w:lang w:val="zh-CN"/>
              </w:rPr>
              <w:t>文件要求</w:t>
            </w:r>
            <w:r>
              <w:rPr>
                <w:rFonts w:hint="eastAsia" w:ascii="宋体" w:hAnsi="宋体" w:eastAsia="宋体" w:cs="宋体"/>
                <w:highlight w:val="none"/>
              </w:rPr>
              <w:t>的得30分，</w:t>
            </w:r>
            <w:r>
              <w:rPr>
                <w:rFonts w:hint="eastAsia" w:ascii="宋体" w:hAnsi="宋体" w:eastAsia="宋体" w:cs="宋体"/>
                <w:highlight w:val="none"/>
                <w:lang w:val="zh-CN"/>
              </w:rPr>
              <w:t>加▲项技术参数每有一项</w:t>
            </w:r>
            <w:r>
              <w:rPr>
                <w:rFonts w:hint="eastAsia" w:ascii="宋体" w:hAnsi="宋体" w:eastAsia="宋体" w:cs="宋体"/>
                <w:highlight w:val="none"/>
              </w:rPr>
              <w:t>负偏差</w:t>
            </w:r>
            <w:r>
              <w:rPr>
                <w:rFonts w:hint="eastAsia" w:ascii="宋体" w:hAnsi="宋体" w:eastAsia="宋体" w:cs="宋体"/>
                <w:highlight w:val="none"/>
                <w:lang w:val="zh-CN"/>
              </w:rPr>
              <w:t>扣</w:t>
            </w:r>
            <w:r>
              <w:rPr>
                <w:rFonts w:hint="eastAsia" w:ascii="宋体" w:hAnsi="宋体" w:eastAsia="宋体" w:cs="宋体"/>
                <w:highlight w:val="none"/>
              </w:rPr>
              <w:t>5</w:t>
            </w:r>
            <w:r>
              <w:rPr>
                <w:rFonts w:hint="eastAsia" w:ascii="宋体" w:hAnsi="宋体" w:eastAsia="宋体" w:cs="宋体"/>
                <w:highlight w:val="none"/>
                <w:lang w:val="zh-CN"/>
              </w:rPr>
              <w:t>分，其他技术参数每有一项</w:t>
            </w:r>
            <w:r>
              <w:rPr>
                <w:rFonts w:hint="eastAsia" w:ascii="宋体" w:hAnsi="宋体" w:eastAsia="宋体" w:cs="宋体"/>
                <w:highlight w:val="none"/>
              </w:rPr>
              <w:t>负偏差</w:t>
            </w:r>
            <w:r>
              <w:rPr>
                <w:rFonts w:hint="eastAsia" w:ascii="宋体" w:hAnsi="宋体" w:eastAsia="宋体" w:cs="宋体"/>
                <w:highlight w:val="none"/>
                <w:lang w:val="zh-CN"/>
              </w:rPr>
              <w:t>扣</w:t>
            </w:r>
            <w:r>
              <w:rPr>
                <w:rFonts w:hint="eastAsia" w:ascii="宋体" w:hAnsi="宋体" w:eastAsia="宋体" w:cs="宋体"/>
                <w:highlight w:val="none"/>
              </w:rPr>
              <w:t>2</w:t>
            </w:r>
            <w:r>
              <w:rPr>
                <w:rFonts w:hint="eastAsia" w:ascii="宋体" w:hAnsi="宋体" w:eastAsia="宋体" w:cs="宋体"/>
                <w:highlight w:val="none"/>
                <w:lang w:val="zh-CN"/>
              </w:rPr>
              <w:t>分，扣完为止。</w:t>
            </w:r>
          </w:p>
          <w:p>
            <w:pPr>
              <w:spacing w:line="360" w:lineRule="auto"/>
              <w:jc w:val="left"/>
              <w:rPr>
                <w:rFonts w:ascii="宋体" w:hAnsi="宋体" w:eastAsia="宋体" w:cs="宋体"/>
                <w:highlight w:val="none"/>
                <w:lang w:val="zh-CN"/>
              </w:rPr>
            </w:pPr>
            <w:r>
              <w:rPr>
                <w:rFonts w:hint="eastAsia" w:ascii="宋体" w:hAnsi="宋体" w:eastAsia="宋体" w:cs="宋体"/>
                <w:highlight w:val="none"/>
                <w:lang w:val="zh-CN"/>
              </w:rPr>
              <w:t>注：（1）加▲参数必须提供技术支持材料，否则按加▲参数不满足要求不予认可；其余一般技术参数须如实响应，否则按负偏离处理。</w:t>
            </w:r>
          </w:p>
          <w:p>
            <w:pPr>
              <w:spacing w:line="360" w:lineRule="auto"/>
              <w:jc w:val="left"/>
              <w:rPr>
                <w:rFonts w:ascii="宋体" w:hAnsi="宋体" w:eastAsia="宋体" w:cs="宋体"/>
                <w:highlight w:val="none"/>
                <w:lang w:val="zh-CN"/>
              </w:rPr>
            </w:pPr>
            <w:r>
              <w:rPr>
                <w:rFonts w:hint="eastAsia" w:ascii="宋体" w:hAnsi="宋体" w:eastAsia="宋体" w:cs="宋体"/>
                <w:highlight w:val="none"/>
                <w:lang w:val="zh-CN"/>
              </w:rPr>
              <w:t>(2)供应商须提供响应招标文件要求提供</w:t>
            </w:r>
            <w:r>
              <w:rPr>
                <w:rFonts w:hint="eastAsia" w:ascii="宋体" w:hAnsi="宋体" w:eastAsia="宋体" w:cs="宋体"/>
                <w:highlight w:val="none"/>
              </w:rPr>
              <w:t>产品</w:t>
            </w:r>
            <w:r>
              <w:rPr>
                <w:rFonts w:hint="eastAsia" w:ascii="宋体" w:hAnsi="宋体" w:eastAsia="宋体" w:cs="宋体"/>
                <w:highlight w:val="none"/>
                <w:lang w:val="zh-CN"/>
              </w:rPr>
              <w:t>完整的检测报告和注册证及</w:t>
            </w:r>
            <w:r>
              <w:rPr>
                <w:rFonts w:hint="eastAsia" w:ascii="宋体" w:hAnsi="宋体" w:eastAsia="宋体" w:cs="宋体"/>
                <w:highlight w:val="none"/>
              </w:rPr>
              <w:t>附件（产品技术要求）</w:t>
            </w:r>
            <w:r>
              <w:rPr>
                <w:rFonts w:hint="eastAsia" w:ascii="宋体" w:hAnsi="宋体" w:eastAsia="宋体" w:cs="宋体"/>
                <w:highlight w:val="none"/>
                <w:lang w:val="zh-CN"/>
              </w:rPr>
              <w:t>，且对提供产品证明材料的真实性负责，并承担相应的法律责任。</w:t>
            </w:r>
          </w:p>
          <w:p>
            <w:pPr>
              <w:spacing w:line="360" w:lineRule="auto"/>
              <w:jc w:val="left"/>
              <w:rPr>
                <w:rFonts w:ascii="宋体" w:hAnsi="宋体" w:eastAsia="宋体" w:cs="宋体"/>
                <w:highlight w:val="none"/>
                <w:lang w:val="zh-CN"/>
              </w:rPr>
            </w:pPr>
            <w:r>
              <w:rPr>
                <w:rFonts w:hint="eastAsia" w:ascii="宋体" w:hAnsi="宋体" w:eastAsia="宋体" w:cs="宋体"/>
                <w:highlight w:val="none"/>
                <w:lang w:val="zh-CN"/>
              </w:rPr>
              <w:t>(3)供应商也可提供其他技术支持文件，如所投产品型号彩页等相关证明文件。</w:t>
            </w:r>
          </w:p>
          <w:p>
            <w:pPr>
              <w:spacing w:line="360" w:lineRule="auto"/>
              <w:jc w:val="left"/>
              <w:rPr>
                <w:rFonts w:ascii="宋体" w:hAnsi="宋体" w:eastAsia="宋体" w:cs="宋体"/>
                <w:highlight w:val="none"/>
                <w:lang w:val="zh-CN"/>
              </w:rPr>
            </w:pPr>
            <w:r>
              <w:rPr>
                <w:rFonts w:hint="eastAsia" w:ascii="宋体" w:hAnsi="宋体" w:eastAsia="宋体" w:cs="宋体"/>
                <w:highlight w:val="none"/>
                <w:lang w:val="zh-CN"/>
              </w:rPr>
              <w:t>(4)加▲参数供应商在投标文件中《技术要求响应与偏差表》的偏差说明处填写“符合”，但在提供的证明文件中并未找到该条款“符合”的依据，此条款将按负偏离进行打分。</w:t>
            </w:r>
          </w:p>
          <w:p>
            <w:pPr>
              <w:spacing w:line="360" w:lineRule="auto"/>
              <w:jc w:val="left"/>
              <w:rPr>
                <w:rFonts w:ascii="宋体" w:hAnsi="宋体" w:eastAsia="宋体" w:cs="宋体"/>
                <w:highlight w:val="none"/>
                <w:lang w:val="zh-CN"/>
              </w:rPr>
            </w:pPr>
            <w:r>
              <w:rPr>
                <w:rFonts w:hint="eastAsia" w:ascii="宋体" w:hAnsi="宋体" w:eastAsia="宋体" w:cs="宋体"/>
                <w:highlight w:val="none"/>
                <w:lang w:val="zh-CN"/>
              </w:rPr>
              <w:t>（</w:t>
            </w:r>
            <w:r>
              <w:rPr>
                <w:rFonts w:hint="eastAsia" w:ascii="宋体" w:hAnsi="宋体" w:eastAsia="宋体" w:cs="宋体"/>
                <w:highlight w:val="none"/>
              </w:rPr>
              <w:t>5</w:t>
            </w:r>
            <w:r>
              <w:rPr>
                <w:rFonts w:hint="eastAsia" w:ascii="宋体" w:hAnsi="宋体" w:eastAsia="宋体" w:cs="宋体"/>
                <w:highlight w:val="none"/>
                <w:lang w:val="zh-CN"/>
              </w:rPr>
              <w:t>）各供应商应在投标文件中标注加▲技术参数及其他所需提供证明材料的对应页码，否则因此导致评委无法判断偏离情况的，后果供应商自负。</w:t>
            </w:r>
          </w:p>
          <w:p>
            <w:pPr>
              <w:spacing w:line="360" w:lineRule="auto"/>
              <w:jc w:val="left"/>
              <w:rPr>
                <w:rFonts w:ascii="宋体" w:hAnsi="宋体" w:eastAsia="宋体" w:cs="宋体"/>
                <w:highlight w:val="none"/>
                <w:lang w:val="zh-CN"/>
              </w:rPr>
            </w:pPr>
            <w:r>
              <w:rPr>
                <w:rFonts w:hint="eastAsia" w:ascii="宋体" w:hAnsi="宋体" w:eastAsia="宋体" w:cs="宋体"/>
                <w:highlight w:val="none"/>
                <w:lang w:val="zh-CN"/>
              </w:rPr>
              <w:t>（</w:t>
            </w:r>
            <w:r>
              <w:rPr>
                <w:rFonts w:hint="eastAsia" w:ascii="宋体" w:hAnsi="宋体" w:eastAsia="宋体" w:cs="宋体"/>
                <w:highlight w:val="none"/>
              </w:rPr>
              <w:t>6</w:t>
            </w:r>
            <w:r>
              <w:rPr>
                <w:rFonts w:hint="eastAsia" w:ascii="宋体" w:hAnsi="宋体" w:eastAsia="宋体" w:cs="宋体"/>
                <w:highlight w:val="none"/>
                <w:lang w:val="zh-CN"/>
              </w:rPr>
              <w:t>）供应商应保证其资料的真实性、有效性，一经发现有虚假资料，招标人有权取消其中标资格，由此产生的损失，由供应商承担。</w:t>
            </w:r>
          </w:p>
          <w:p>
            <w:pPr>
              <w:spacing w:line="360" w:lineRule="auto"/>
              <w:jc w:val="left"/>
              <w:rPr>
                <w:rFonts w:ascii="宋体" w:hAnsi="宋体" w:eastAsia="宋体" w:cs="宋体"/>
                <w:highlight w:val="none"/>
              </w:rPr>
            </w:pPr>
            <w:r>
              <w:rPr>
                <w:rFonts w:hint="eastAsia" w:ascii="宋体" w:hAnsi="宋体" w:eastAsia="宋体" w:cs="宋体"/>
                <w:highlight w:val="none"/>
                <w:lang w:val="zh-CN"/>
              </w:rPr>
              <w:t>（</w:t>
            </w:r>
            <w:r>
              <w:rPr>
                <w:rFonts w:hint="eastAsia" w:ascii="宋体" w:hAnsi="宋体" w:eastAsia="宋体" w:cs="宋体"/>
                <w:highlight w:val="none"/>
              </w:rPr>
              <w:t>7</w:t>
            </w:r>
            <w:r>
              <w:rPr>
                <w:rFonts w:hint="eastAsia" w:ascii="宋体" w:hAnsi="宋体" w:eastAsia="宋体" w:cs="宋体"/>
                <w:highlight w:val="none"/>
                <w:lang w:val="zh-CN"/>
              </w:rPr>
              <w:t>）证据材料应是中文，如是外文应提供对应的中文翻译说明，评标以中文翻译内容为准。</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c>
          <w:tcPr>
            <w:tcW w:w="463" w:type="pct"/>
            <w:vMerge w:val="restart"/>
            <w:tcBorders>
              <w:left w:val="outset" w:color="auto" w:sz="6" w:space="0"/>
              <w:right w:val="outset" w:color="auto" w:sz="6" w:space="0"/>
            </w:tcBorders>
            <w:vAlign w:val="center"/>
          </w:tcPr>
          <w:p>
            <w:pPr>
              <w:spacing w:line="360" w:lineRule="auto"/>
              <w:jc w:val="center"/>
              <w:rPr>
                <w:rFonts w:ascii="宋体" w:hAnsi="宋体" w:eastAsia="宋体" w:cs="宋体"/>
                <w:highlight w:val="none"/>
              </w:rPr>
            </w:pPr>
            <w:r>
              <w:rPr>
                <w:rFonts w:hint="eastAsia" w:ascii="宋体" w:hAnsi="宋体" w:eastAsia="宋体" w:cs="宋体"/>
                <w:highlight w:val="none"/>
              </w:rPr>
              <w:t>综合标评分参数（40分）</w:t>
            </w:r>
          </w:p>
        </w:tc>
        <w:tc>
          <w:tcPr>
            <w:tcW w:w="601" w:type="pct"/>
            <w:tcBorders>
              <w:top w:val="outset" w:color="auto" w:sz="6" w:space="0"/>
              <w:left w:val="outset" w:color="auto" w:sz="6" w:space="0"/>
              <w:bottom w:val="outset" w:color="auto" w:sz="6" w:space="0"/>
              <w:right w:val="outset" w:color="auto" w:sz="6" w:space="0"/>
            </w:tcBorders>
            <w:vAlign w:val="center"/>
          </w:tcPr>
          <w:p>
            <w:pPr>
              <w:spacing w:line="360" w:lineRule="auto"/>
              <w:jc w:val="center"/>
              <w:rPr>
                <w:rFonts w:ascii="宋体" w:hAnsi="宋体" w:eastAsia="宋体" w:cs="宋体"/>
                <w:highlight w:val="none"/>
              </w:rPr>
            </w:pPr>
            <w:r>
              <w:rPr>
                <w:rFonts w:hint="eastAsia" w:ascii="宋体" w:hAnsi="宋体" w:eastAsia="宋体" w:cs="宋体"/>
                <w:highlight w:val="none"/>
              </w:rPr>
              <w:t>0.00</w:t>
            </w:r>
          </w:p>
        </w:tc>
        <w:tc>
          <w:tcPr>
            <w:tcW w:w="552" w:type="pct"/>
            <w:tcBorders>
              <w:top w:val="outset" w:color="auto" w:sz="6" w:space="0"/>
              <w:left w:val="outset" w:color="auto" w:sz="6" w:space="0"/>
              <w:bottom w:val="outset" w:color="auto" w:sz="6" w:space="0"/>
              <w:right w:val="outset" w:color="auto" w:sz="6" w:space="0"/>
            </w:tcBorders>
            <w:vAlign w:val="center"/>
          </w:tcPr>
          <w:p>
            <w:pPr>
              <w:spacing w:line="360" w:lineRule="auto"/>
              <w:jc w:val="center"/>
              <w:rPr>
                <w:rFonts w:ascii="宋体" w:hAnsi="宋体" w:eastAsia="宋体" w:cs="宋体"/>
                <w:highlight w:val="none"/>
              </w:rPr>
            </w:pPr>
            <w:r>
              <w:rPr>
                <w:rFonts w:hint="eastAsia" w:ascii="宋体" w:hAnsi="宋体" w:eastAsia="宋体" w:cs="宋体"/>
                <w:highlight w:val="none"/>
              </w:rPr>
              <w:t>1.00</w:t>
            </w:r>
          </w:p>
        </w:tc>
        <w:tc>
          <w:tcPr>
            <w:tcW w:w="524" w:type="pct"/>
            <w:tcBorders>
              <w:top w:val="outset" w:color="auto" w:sz="6" w:space="0"/>
              <w:left w:val="outset" w:color="auto" w:sz="6" w:space="0"/>
              <w:bottom w:val="outset" w:color="auto" w:sz="6" w:space="0"/>
              <w:right w:val="outset" w:color="auto" w:sz="6" w:space="0"/>
            </w:tcBorders>
            <w:vAlign w:val="center"/>
          </w:tcPr>
          <w:p>
            <w:pPr>
              <w:spacing w:line="360" w:lineRule="auto"/>
              <w:jc w:val="center"/>
              <w:rPr>
                <w:rFonts w:ascii="宋体" w:hAnsi="宋体" w:eastAsia="宋体" w:cs="宋体"/>
                <w:highlight w:val="none"/>
              </w:rPr>
            </w:pPr>
            <w:r>
              <w:rPr>
                <w:rFonts w:hint="eastAsia" w:ascii="宋体" w:hAnsi="宋体" w:eastAsia="宋体" w:cs="宋体"/>
                <w:highlight w:val="none"/>
              </w:rPr>
              <w:t xml:space="preserve">节能环保政策 </w:t>
            </w:r>
          </w:p>
        </w:tc>
        <w:tc>
          <w:tcPr>
            <w:tcW w:w="2858" w:type="pct"/>
            <w:tcBorders>
              <w:top w:val="outset" w:color="auto" w:sz="6" w:space="0"/>
              <w:left w:val="outset" w:color="auto" w:sz="6" w:space="0"/>
              <w:bottom w:val="outset" w:color="auto" w:sz="6" w:space="0"/>
              <w:right w:val="outset" w:color="auto" w:sz="6" w:space="0"/>
            </w:tcBorders>
            <w:vAlign w:val="center"/>
          </w:tcPr>
          <w:p>
            <w:pPr>
              <w:spacing w:line="360" w:lineRule="auto"/>
              <w:jc w:val="left"/>
              <w:rPr>
                <w:rFonts w:ascii="宋体" w:hAnsi="宋体" w:eastAsia="宋体" w:cs="宋体"/>
                <w:highlight w:val="none"/>
              </w:rPr>
            </w:pPr>
            <w:r>
              <w:rPr>
                <w:rFonts w:hint="eastAsia" w:ascii="宋体" w:hAnsi="宋体" w:eastAsia="宋体" w:cs="宋体"/>
                <w:highlight w:val="none"/>
              </w:rPr>
              <w:t>1、节能产品：所投产品（除政府强制采购节能产品外）为《中国节能产品认证证书》的加0.5分（以所投货物的《中国节能产品认证证书》扫描件为依据；证书不显示规格型号的，还须同时提供证书配套附件；证书应是由《市场监管总局关于发布参与实施政府采购节能产品、环境标志产品认证机构名录的公告》的认证机构出具的、处于有效期之内的）。</w:t>
            </w:r>
          </w:p>
          <w:p>
            <w:pPr>
              <w:spacing w:line="360" w:lineRule="auto"/>
              <w:jc w:val="left"/>
              <w:rPr>
                <w:rFonts w:ascii="宋体" w:hAnsi="宋体" w:eastAsia="宋体" w:cs="宋体"/>
                <w:highlight w:val="none"/>
              </w:rPr>
            </w:pPr>
            <w:r>
              <w:rPr>
                <w:rFonts w:hint="eastAsia" w:ascii="宋体" w:hAnsi="宋体" w:eastAsia="宋体" w:cs="宋体"/>
                <w:highlight w:val="none"/>
              </w:rPr>
              <w:t>2、环境标志产品：所投产品为《中国环境标志产品认证证书》（有效期内）的加0.5分（以所投货物的《中国环境标志产品认证证书》扫描件为依据；证书不显示规格型号的，还须同时提供证书配套附件；证书应是由《市场监管总局关于发布参与实施政府采购节能产品、环境标志产品认证机构名录的公告》的认证机构出具的、处于有效期之内的）。</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c>
          <w:tcPr>
            <w:tcW w:w="463" w:type="pct"/>
            <w:vMerge w:val="continue"/>
            <w:tcBorders>
              <w:left w:val="outset" w:color="auto" w:sz="6" w:space="0"/>
              <w:right w:val="outset" w:color="auto" w:sz="6" w:space="0"/>
            </w:tcBorders>
            <w:vAlign w:val="center"/>
          </w:tcPr>
          <w:p>
            <w:pPr>
              <w:spacing w:line="360" w:lineRule="auto"/>
              <w:jc w:val="center"/>
              <w:rPr>
                <w:rFonts w:ascii="宋体" w:hAnsi="宋体" w:eastAsia="宋体" w:cs="宋体"/>
                <w:highlight w:val="none"/>
              </w:rPr>
            </w:pPr>
          </w:p>
        </w:tc>
        <w:tc>
          <w:tcPr>
            <w:tcW w:w="601" w:type="pct"/>
            <w:tcBorders>
              <w:top w:val="outset" w:color="auto" w:sz="6" w:space="0"/>
              <w:left w:val="outset" w:color="auto" w:sz="6" w:space="0"/>
              <w:bottom w:val="outset" w:color="auto" w:sz="6" w:space="0"/>
              <w:right w:val="outset" w:color="auto" w:sz="6" w:space="0"/>
            </w:tcBorders>
            <w:vAlign w:val="center"/>
          </w:tcPr>
          <w:p>
            <w:pPr>
              <w:spacing w:line="360" w:lineRule="auto"/>
              <w:jc w:val="center"/>
              <w:rPr>
                <w:rFonts w:ascii="宋体" w:hAnsi="宋体" w:eastAsia="宋体" w:cs="宋体"/>
                <w:highlight w:val="none"/>
              </w:rPr>
            </w:pPr>
            <w:r>
              <w:rPr>
                <w:rFonts w:hint="eastAsia" w:ascii="宋体" w:hAnsi="宋体" w:eastAsia="宋体" w:cs="宋体"/>
                <w:highlight w:val="none"/>
              </w:rPr>
              <w:t>0.00</w:t>
            </w:r>
          </w:p>
        </w:tc>
        <w:tc>
          <w:tcPr>
            <w:tcW w:w="552" w:type="pct"/>
            <w:tcBorders>
              <w:top w:val="outset" w:color="auto" w:sz="6" w:space="0"/>
              <w:left w:val="outset" w:color="auto" w:sz="6" w:space="0"/>
              <w:bottom w:val="outset" w:color="auto" w:sz="6" w:space="0"/>
              <w:right w:val="outset" w:color="auto" w:sz="6" w:space="0"/>
            </w:tcBorders>
            <w:vAlign w:val="center"/>
          </w:tcPr>
          <w:p>
            <w:pPr>
              <w:spacing w:line="360" w:lineRule="auto"/>
              <w:jc w:val="center"/>
              <w:rPr>
                <w:rFonts w:ascii="宋体" w:hAnsi="宋体" w:eastAsia="宋体" w:cs="宋体"/>
                <w:highlight w:val="none"/>
              </w:rPr>
            </w:pPr>
            <w:r>
              <w:rPr>
                <w:rFonts w:hint="eastAsia" w:ascii="宋体" w:hAnsi="宋体" w:eastAsia="宋体" w:cs="宋体"/>
                <w:highlight w:val="none"/>
              </w:rPr>
              <w:t>5.00</w:t>
            </w:r>
          </w:p>
        </w:tc>
        <w:tc>
          <w:tcPr>
            <w:tcW w:w="524" w:type="pct"/>
            <w:tcBorders>
              <w:top w:val="outset" w:color="auto" w:sz="6" w:space="0"/>
              <w:left w:val="outset" w:color="auto" w:sz="6" w:space="0"/>
              <w:bottom w:val="outset" w:color="auto" w:sz="6" w:space="0"/>
              <w:right w:val="outset" w:color="auto" w:sz="6" w:space="0"/>
            </w:tcBorders>
            <w:vAlign w:val="center"/>
          </w:tcPr>
          <w:p>
            <w:pPr>
              <w:spacing w:line="360" w:lineRule="auto"/>
              <w:jc w:val="center"/>
              <w:rPr>
                <w:rFonts w:ascii="宋体" w:hAnsi="宋体" w:eastAsia="宋体" w:cs="宋体"/>
                <w:highlight w:val="none"/>
              </w:rPr>
            </w:pPr>
            <w:r>
              <w:rPr>
                <w:rFonts w:hint="eastAsia" w:ascii="宋体" w:hAnsi="宋体" w:eastAsia="宋体" w:cs="宋体"/>
                <w:highlight w:val="none"/>
              </w:rPr>
              <w:t>安装调试及培训方案</w:t>
            </w:r>
          </w:p>
        </w:tc>
        <w:tc>
          <w:tcPr>
            <w:tcW w:w="2858" w:type="pct"/>
            <w:tcBorders>
              <w:top w:val="outset" w:color="auto" w:sz="6" w:space="0"/>
              <w:left w:val="outset" w:color="auto" w:sz="6" w:space="0"/>
              <w:bottom w:val="outset" w:color="auto" w:sz="6" w:space="0"/>
              <w:right w:val="outset" w:color="auto" w:sz="6" w:space="0"/>
            </w:tcBorders>
            <w:vAlign w:val="center"/>
          </w:tcPr>
          <w:p>
            <w:pPr>
              <w:spacing w:line="360" w:lineRule="auto"/>
              <w:jc w:val="left"/>
              <w:rPr>
                <w:rFonts w:ascii="宋体" w:hAnsi="宋体" w:eastAsia="宋体" w:cs="宋体"/>
                <w:highlight w:val="none"/>
              </w:rPr>
            </w:pPr>
            <w:r>
              <w:rPr>
                <w:rFonts w:hint="eastAsia" w:ascii="宋体" w:hAnsi="宋体" w:eastAsia="宋体" w:cs="宋体"/>
                <w:highlight w:val="none"/>
              </w:rPr>
              <w:t>供应商提供完整的安装调试、设备验收方案、确保质量、交货期、人员培训的措施等，方案合理性、科学性及可操作性非常合理的得5分；比较合理的得3分；存在欠缺的得1分；供应商未针对本项目描述的不得分。</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c>
          <w:tcPr>
            <w:tcW w:w="463" w:type="pct"/>
            <w:vMerge w:val="continue"/>
            <w:tcBorders>
              <w:left w:val="outset" w:color="auto" w:sz="6" w:space="0"/>
              <w:right w:val="outset" w:color="auto" w:sz="6" w:space="0"/>
            </w:tcBorders>
            <w:vAlign w:val="center"/>
          </w:tcPr>
          <w:p>
            <w:pPr>
              <w:spacing w:line="360" w:lineRule="auto"/>
              <w:jc w:val="center"/>
              <w:rPr>
                <w:rFonts w:ascii="宋体" w:hAnsi="宋体" w:eastAsia="宋体" w:cs="宋体"/>
                <w:highlight w:val="none"/>
              </w:rPr>
            </w:pPr>
          </w:p>
        </w:tc>
        <w:tc>
          <w:tcPr>
            <w:tcW w:w="601" w:type="pct"/>
            <w:tcBorders>
              <w:top w:val="outset" w:color="auto" w:sz="6" w:space="0"/>
              <w:left w:val="outset" w:color="auto" w:sz="6" w:space="0"/>
              <w:bottom w:val="outset" w:color="auto" w:sz="6" w:space="0"/>
              <w:right w:val="outset" w:color="auto" w:sz="6" w:space="0"/>
            </w:tcBorders>
            <w:vAlign w:val="center"/>
          </w:tcPr>
          <w:p>
            <w:pPr>
              <w:spacing w:line="360" w:lineRule="auto"/>
              <w:jc w:val="center"/>
              <w:rPr>
                <w:rFonts w:ascii="宋体" w:hAnsi="宋体" w:eastAsia="宋体" w:cs="宋体"/>
                <w:highlight w:val="none"/>
              </w:rPr>
            </w:pPr>
            <w:r>
              <w:rPr>
                <w:rFonts w:hint="eastAsia" w:ascii="宋体" w:hAnsi="宋体" w:eastAsia="宋体" w:cs="宋体"/>
                <w:highlight w:val="none"/>
              </w:rPr>
              <w:t>0.00</w:t>
            </w:r>
          </w:p>
        </w:tc>
        <w:tc>
          <w:tcPr>
            <w:tcW w:w="552" w:type="pct"/>
            <w:tcBorders>
              <w:top w:val="outset" w:color="auto" w:sz="6" w:space="0"/>
              <w:left w:val="outset" w:color="auto" w:sz="6" w:space="0"/>
              <w:bottom w:val="outset" w:color="auto" w:sz="6" w:space="0"/>
              <w:right w:val="outset" w:color="auto" w:sz="6" w:space="0"/>
            </w:tcBorders>
            <w:vAlign w:val="center"/>
          </w:tcPr>
          <w:p>
            <w:pPr>
              <w:spacing w:line="360" w:lineRule="auto"/>
              <w:jc w:val="center"/>
              <w:rPr>
                <w:rFonts w:ascii="宋体" w:hAnsi="宋体" w:eastAsia="宋体" w:cs="宋体"/>
                <w:highlight w:val="none"/>
              </w:rPr>
            </w:pPr>
            <w:r>
              <w:rPr>
                <w:rFonts w:hint="eastAsia" w:ascii="宋体" w:hAnsi="宋体" w:eastAsia="宋体" w:cs="宋体"/>
                <w:highlight w:val="none"/>
              </w:rPr>
              <w:t>5.00</w:t>
            </w:r>
          </w:p>
        </w:tc>
        <w:tc>
          <w:tcPr>
            <w:tcW w:w="524" w:type="pct"/>
            <w:tcBorders>
              <w:top w:val="outset" w:color="auto" w:sz="6" w:space="0"/>
              <w:left w:val="outset" w:color="auto" w:sz="6" w:space="0"/>
              <w:bottom w:val="outset" w:color="auto" w:sz="6" w:space="0"/>
              <w:right w:val="outset" w:color="auto" w:sz="6" w:space="0"/>
            </w:tcBorders>
            <w:vAlign w:val="center"/>
          </w:tcPr>
          <w:p>
            <w:pPr>
              <w:spacing w:line="360" w:lineRule="auto"/>
              <w:jc w:val="center"/>
              <w:rPr>
                <w:rFonts w:ascii="宋体" w:hAnsi="宋体" w:eastAsia="宋体" w:cs="宋体"/>
                <w:highlight w:val="none"/>
              </w:rPr>
            </w:pPr>
            <w:r>
              <w:rPr>
                <w:rFonts w:hint="eastAsia" w:ascii="宋体" w:hAnsi="宋体" w:eastAsia="宋体" w:cs="宋体"/>
                <w:highlight w:val="none"/>
              </w:rPr>
              <w:t>售后服务方案</w:t>
            </w:r>
          </w:p>
        </w:tc>
        <w:tc>
          <w:tcPr>
            <w:tcW w:w="2858" w:type="pct"/>
            <w:tcBorders>
              <w:top w:val="outset" w:color="auto" w:sz="6" w:space="0"/>
              <w:left w:val="outset" w:color="auto" w:sz="6" w:space="0"/>
              <w:bottom w:val="outset" w:color="auto" w:sz="6" w:space="0"/>
              <w:right w:val="outset" w:color="auto" w:sz="6" w:space="0"/>
            </w:tcBorders>
            <w:vAlign w:val="center"/>
          </w:tcPr>
          <w:p>
            <w:pPr>
              <w:spacing w:line="360" w:lineRule="auto"/>
              <w:jc w:val="left"/>
              <w:rPr>
                <w:rFonts w:ascii="宋体" w:hAnsi="宋体" w:eastAsia="宋体" w:cs="宋体"/>
                <w:highlight w:val="none"/>
              </w:rPr>
            </w:pPr>
            <w:r>
              <w:rPr>
                <w:rFonts w:hint="eastAsia" w:ascii="宋体" w:hAnsi="宋体" w:eastAsia="宋体" w:cs="宋体"/>
                <w:highlight w:val="none"/>
              </w:rPr>
              <w:t>售后服务方案（包括服务内容、服务团队、巡检服务和故障响应时间、解决问题时间、保障措施等）全面、详尽、符合项目特点，完全满足项目要求得5分；售后服务计划较全面、详尽、能够满足项目需求得3分；不全面、不详尽或者保障措施欠充分、欠可靠、欠有效得1分；未针对本项目描述的不得分。</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c>
          <w:tcPr>
            <w:tcW w:w="463" w:type="pct"/>
            <w:vMerge w:val="continue"/>
            <w:tcBorders>
              <w:left w:val="outset" w:color="auto" w:sz="6" w:space="0"/>
              <w:right w:val="outset" w:color="auto" w:sz="6" w:space="0"/>
            </w:tcBorders>
            <w:vAlign w:val="center"/>
          </w:tcPr>
          <w:p>
            <w:pPr>
              <w:spacing w:line="360" w:lineRule="auto"/>
              <w:jc w:val="center"/>
              <w:rPr>
                <w:rFonts w:ascii="宋体" w:hAnsi="宋体" w:eastAsia="宋体" w:cs="宋体"/>
                <w:highlight w:val="none"/>
              </w:rPr>
            </w:pPr>
          </w:p>
        </w:tc>
        <w:tc>
          <w:tcPr>
            <w:tcW w:w="601" w:type="pct"/>
            <w:tcBorders>
              <w:top w:val="outset" w:color="auto" w:sz="6" w:space="0"/>
              <w:left w:val="outset" w:color="auto" w:sz="6" w:space="0"/>
              <w:bottom w:val="outset" w:color="auto" w:sz="6" w:space="0"/>
              <w:right w:val="outset" w:color="auto" w:sz="6" w:space="0"/>
            </w:tcBorders>
            <w:vAlign w:val="center"/>
          </w:tcPr>
          <w:p>
            <w:pPr>
              <w:spacing w:line="360" w:lineRule="auto"/>
              <w:jc w:val="center"/>
              <w:rPr>
                <w:rFonts w:ascii="宋体" w:hAnsi="宋体" w:eastAsia="宋体" w:cs="宋体"/>
                <w:highlight w:val="none"/>
              </w:rPr>
            </w:pPr>
            <w:r>
              <w:rPr>
                <w:rFonts w:hint="eastAsia" w:ascii="宋体" w:hAnsi="宋体" w:eastAsia="宋体" w:cs="宋体"/>
                <w:highlight w:val="none"/>
              </w:rPr>
              <w:t>0.00</w:t>
            </w:r>
          </w:p>
        </w:tc>
        <w:tc>
          <w:tcPr>
            <w:tcW w:w="552" w:type="pct"/>
            <w:tcBorders>
              <w:top w:val="outset" w:color="auto" w:sz="6" w:space="0"/>
              <w:left w:val="outset" w:color="auto" w:sz="6" w:space="0"/>
              <w:bottom w:val="outset" w:color="auto" w:sz="6" w:space="0"/>
              <w:right w:val="outset" w:color="auto" w:sz="6" w:space="0"/>
            </w:tcBorders>
            <w:vAlign w:val="center"/>
          </w:tcPr>
          <w:p>
            <w:pPr>
              <w:spacing w:line="360" w:lineRule="auto"/>
              <w:jc w:val="center"/>
              <w:rPr>
                <w:rFonts w:ascii="宋体" w:hAnsi="宋体" w:eastAsia="宋体" w:cs="宋体"/>
                <w:highlight w:val="none"/>
              </w:rPr>
            </w:pPr>
            <w:r>
              <w:rPr>
                <w:rFonts w:hint="eastAsia" w:ascii="宋体" w:hAnsi="宋体" w:eastAsia="宋体" w:cs="宋体"/>
                <w:highlight w:val="none"/>
              </w:rPr>
              <w:t>5.00</w:t>
            </w:r>
          </w:p>
        </w:tc>
        <w:tc>
          <w:tcPr>
            <w:tcW w:w="524" w:type="pct"/>
            <w:tcBorders>
              <w:top w:val="outset" w:color="auto" w:sz="6" w:space="0"/>
              <w:left w:val="outset" w:color="auto" w:sz="6" w:space="0"/>
              <w:bottom w:val="outset" w:color="auto" w:sz="6" w:space="0"/>
              <w:right w:val="outset" w:color="auto" w:sz="6" w:space="0"/>
            </w:tcBorders>
            <w:vAlign w:val="center"/>
          </w:tcPr>
          <w:p>
            <w:pPr>
              <w:spacing w:line="360" w:lineRule="auto"/>
              <w:jc w:val="center"/>
              <w:rPr>
                <w:rFonts w:ascii="宋体" w:hAnsi="宋体" w:eastAsia="宋体" w:cs="宋体"/>
                <w:highlight w:val="none"/>
              </w:rPr>
            </w:pPr>
            <w:r>
              <w:rPr>
                <w:rFonts w:hint="eastAsia" w:ascii="宋体" w:hAnsi="宋体" w:eastAsia="宋体" w:cs="宋体"/>
                <w:highlight w:val="none"/>
              </w:rPr>
              <w:t>应急方案</w:t>
            </w:r>
          </w:p>
        </w:tc>
        <w:tc>
          <w:tcPr>
            <w:tcW w:w="2858" w:type="pct"/>
            <w:tcBorders>
              <w:top w:val="outset" w:color="auto" w:sz="6" w:space="0"/>
              <w:left w:val="outset" w:color="auto" w:sz="6" w:space="0"/>
              <w:bottom w:val="outset" w:color="auto" w:sz="6" w:space="0"/>
              <w:right w:val="outset" w:color="auto" w:sz="6" w:space="0"/>
            </w:tcBorders>
            <w:vAlign w:val="center"/>
          </w:tcPr>
          <w:p>
            <w:pPr>
              <w:spacing w:line="360" w:lineRule="auto"/>
              <w:jc w:val="left"/>
              <w:rPr>
                <w:rFonts w:ascii="宋体" w:hAnsi="宋体" w:eastAsia="宋体" w:cs="宋体"/>
                <w:highlight w:val="none"/>
              </w:rPr>
            </w:pPr>
            <w:r>
              <w:rPr>
                <w:rFonts w:hint="eastAsia" w:ascii="宋体" w:hAnsi="宋体" w:eastAsia="宋体" w:cs="宋体"/>
                <w:highlight w:val="none"/>
              </w:rPr>
              <w:t>设备在遇到紧急情况的应急方案（合理性、完善性及快速响应等）内容全面、切实可行、服务明晰的得5分；内容较全面、基本可行、针对性一般的得3分；内容不完整，描述简略得1分；未针对本项目描述的得0分。</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c>
          <w:tcPr>
            <w:tcW w:w="463" w:type="pct"/>
            <w:vMerge w:val="continue"/>
            <w:tcBorders>
              <w:left w:val="outset" w:color="auto" w:sz="6" w:space="0"/>
              <w:right w:val="outset" w:color="auto" w:sz="6" w:space="0"/>
            </w:tcBorders>
            <w:vAlign w:val="center"/>
          </w:tcPr>
          <w:p>
            <w:pPr>
              <w:spacing w:line="360" w:lineRule="auto"/>
              <w:jc w:val="center"/>
              <w:rPr>
                <w:rFonts w:ascii="宋体" w:hAnsi="宋体" w:eastAsia="宋体" w:cs="宋体"/>
                <w:highlight w:val="none"/>
              </w:rPr>
            </w:pPr>
          </w:p>
        </w:tc>
        <w:tc>
          <w:tcPr>
            <w:tcW w:w="601" w:type="pct"/>
            <w:tcBorders>
              <w:top w:val="outset" w:color="auto" w:sz="6" w:space="0"/>
              <w:left w:val="outset" w:color="auto" w:sz="6" w:space="0"/>
              <w:bottom w:val="outset" w:color="auto" w:sz="6" w:space="0"/>
              <w:right w:val="outset" w:color="auto" w:sz="6" w:space="0"/>
            </w:tcBorders>
            <w:vAlign w:val="center"/>
          </w:tcPr>
          <w:p>
            <w:pPr>
              <w:spacing w:line="360" w:lineRule="auto"/>
              <w:jc w:val="center"/>
              <w:rPr>
                <w:rFonts w:ascii="宋体" w:hAnsi="宋体" w:eastAsia="宋体" w:cs="宋体"/>
                <w:highlight w:val="none"/>
              </w:rPr>
            </w:pPr>
            <w:r>
              <w:rPr>
                <w:rFonts w:hint="eastAsia" w:ascii="宋体" w:hAnsi="宋体" w:eastAsia="宋体" w:cs="宋体"/>
                <w:highlight w:val="none"/>
              </w:rPr>
              <w:t>0.00</w:t>
            </w:r>
          </w:p>
        </w:tc>
        <w:tc>
          <w:tcPr>
            <w:tcW w:w="552" w:type="pct"/>
            <w:tcBorders>
              <w:top w:val="outset" w:color="auto" w:sz="6" w:space="0"/>
              <w:left w:val="outset" w:color="auto" w:sz="6" w:space="0"/>
              <w:bottom w:val="outset" w:color="auto" w:sz="6" w:space="0"/>
              <w:right w:val="outset" w:color="auto" w:sz="6" w:space="0"/>
            </w:tcBorders>
            <w:vAlign w:val="center"/>
          </w:tcPr>
          <w:p>
            <w:pPr>
              <w:spacing w:line="360" w:lineRule="auto"/>
              <w:jc w:val="center"/>
              <w:rPr>
                <w:rFonts w:ascii="宋体" w:hAnsi="宋体" w:eastAsia="宋体" w:cs="宋体"/>
                <w:highlight w:val="none"/>
              </w:rPr>
            </w:pPr>
            <w:r>
              <w:rPr>
                <w:rFonts w:hint="eastAsia" w:ascii="宋体" w:hAnsi="宋体" w:eastAsia="宋体" w:cs="宋体"/>
                <w:highlight w:val="none"/>
              </w:rPr>
              <w:t>5.00</w:t>
            </w:r>
          </w:p>
        </w:tc>
        <w:tc>
          <w:tcPr>
            <w:tcW w:w="524" w:type="pct"/>
            <w:tcBorders>
              <w:top w:val="outset" w:color="auto" w:sz="6" w:space="0"/>
              <w:left w:val="outset" w:color="auto" w:sz="6" w:space="0"/>
              <w:bottom w:val="outset" w:color="auto" w:sz="6" w:space="0"/>
              <w:right w:val="outset" w:color="auto" w:sz="6" w:space="0"/>
            </w:tcBorders>
            <w:vAlign w:val="center"/>
          </w:tcPr>
          <w:p>
            <w:pPr>
              <w:spacing w:line="360" w:lineRule="auto"/>
              <w:jc w:val="center"/>
              <w:rPr>
                <w:rFonts w:ascii="宋体" w:hAnsi="宋体" w:eastAsia="宋体" w:cs="宋体"/>
                <w:highlight w:val="none"/>
              </w:rPr>
            </w:pPr>
            <w:r>
              <w:rPr>
                <w:rFonts w:hint="eastAsia" w:ascii="宋体" w:hAnsi="宋体" w:eastAsia="宋体" w:cs="宋体"/>
                <w:highlight w:val="none"/>
              </w:rPr>
              <w:t>质量保证期内、外服务承诺</w:t>
            </w:r>
          </w:p>
        </w:tc>
        <w:tc>
          <w:tcPr>
            <w:tcW w:w="2858" w:type="pct"/>
            <w:tcBorders>
              <w:top w:val="outset" w:color="auto" w:sz="6" w:space="0"/>
              <w:left w:val="outset" w:color="auto" w:sz="6" w:space="0"/>
              <w:bottom w:val="outset" w:color="auto" w:sz="6" w:space="0"/>
              <w:right w:val="outset" w:color="auto" w:sz="6" w:space="0"/>
            </w:tcBorders>
            <w:vAlign w:val="center"/>
          </w:tcPr>
          <w:p>
            <w:pPr>
              <w:spacing w:line="360" w:lineRule="auto"/>
              <w:jc w:val="left"/>
              <w:rPr>
                <w:rFonts w:ascii="宋体" w:hAnsi="宋体" w:eastAsia="宋体" w:cs="宋体"/>
                <w:highlight w:val="none"/>
              </w:rPr>
            </w:pPr>
            <w:r>
              <w:rPr>
                <w:rFonts w:hint="eastAsia" w:ascii="宋体" w:hAnsi="宋体" w:eastAsia="宋体" w:cs="宋体"/>
                <w:highlight w:val="none"/>
              </w:rPr>
              <w:t>质量保证期内、外服务内容、标准及承诺：内容科学、合理、有针对性，完善程度非常全面准确的得5分；内容科学、合理、有针对性、完善程度比较全面的得3分；内容科学、合理、完善程度上存在欠缺的，得1分。供应商没有提供上述内容得0分。</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c>
          <w:tcPr>
            <w:tcW w:w="463" w:type="pct"/>
            <w:vMerge w:val="continue"/>
            <w:tcBorders>
              <w:left w:val="outset" w:color="auto" w:sz="6" w:space="0"/>
              <w:right w:val="outset" w:color="auto" w:sz="6" w:space="0"/>
            </w:tcBorders>
            <w:vAlign w:val="center"/>
          </w:tcPr>
          <w:p>
            <w:pPr>
              <w:spacing w:line="360" w:lineRule="auto"/>
              <w:jc w:val="center"/>
              <w:rPr>
                <w:rFonts w:ascii="宋体" w:hAnsi="宋体" w:eastAsia="宋体" w:cs="宋体"/>
                <w:highlight w:val="none"/>
              </w:rPr>
            </w:pPr>
          </w:p>
        </w:tc>
        <w:tc>
          <w:tcPr>
            <w:tcW w:w="601" w:type="pct"/>
            <w:tcBorders>
              <w:top w:val="outset" w:color="auto" w:sz="6" w:space="0"/>
              <w:left w:val="outset" w:color="auto" w:sz="6" w:space="0"/>
              <w:bottom w:val="outset" w:color="auto" w:sz="6" w:space="0"/>
              <w:right w:val="outset" w:color="auto" w:sz="6" w:space="0"/>
            </w:tcBorders>
            <w:vAlign w:val="center"/>
          </w:tcPr>
          <w:p>
            <w:pPr>
              <w:spacing w:line="360" w:lineRule="auto"/>
              <w:jc w:val="center"/>
              <w:rPr>
                <w:rFonts w:ascii="宋体" w:hAnsi="宋体" w:eastAsia="宋体" w:cs="宋体"/>
                <w:highlight w:val="none"/>
              </w:rPr>
            </w:pPr>
            <w:r>
              <w:rPr>
                <w:rFonts w:hint="eastAsia" w:ascii="宋体" w:hAnsi="宋体" w:eastAsia="宋体" w:cs="宋体"/>
                <w:highlight w:val="none"/>
              </w:rPr>
              <w:t>0.00</w:t>
            </w:r>
          </w:p>
        </w:tc>
        <w:tc>
          <w:tcPr>
            <w:tcW w:w="552" w:type="pct"/>
            <w:tcBorders>
              <w:top w:val="outset" w:color="auto" w:sz="6" w:space="0"/>
              <w:left w:val="outset" w:color="auto" w:sz="6" w:space="0"/>
              <w:bottom w:val="outset" w:color="auto" w:sz="6" w:space="0"/>
              <w:right w:val="outset" w:color="auto" w:sz="6" w:space="0"/>
            </w:tcBorders>
            <w:vAlign w:val="center"/>
          </w:tcPr>
          <w:p>
            <w:pPr>
              <w:spacing w:line="360" w:lineRule="auto"/>
              <w:jc w:val="center"/>
              <w:rPr>
                <w:rFonts w:ascii="宋体" w:hAnsi="宋体" w:eastAsia="宋体" w:cs="宋体"/>
                <w:highlight w:val="none"/>
              </w:rPr>
            </w:pPr>
            <w:r>
              <w:rPr>
                <w:rFonts w:hint="eastAsia" w:ascii="宋体" w:hAnsi="宋体" w:eastAsia="宋体" w:cs="宋体"/>
                <w:highlight w:val="none"/>
              </w:rPr>
              <w:t>2.00</w:t>
            </w:r>
          </w:p>
        </w:tc>
        <w:tc>
          <w:tcPr>
            <w:tcW w:w="524" w:type="pct"/>
            <w:tcBorders>
              <w:top w:val="outset" w:color="auto" w:sz="6" w:space="0"/>
              <w:left w:val="outset" w:color="auto" w:sz="6" w:space="0"/>
              <w:bottom w:val="outset" w:color="auto" w:sz="6" w:space="0"/>
              <w:right w:val="outset" w:color="auto" w:sz="6" w:space="0"/>
            </w:tcBorders>
            <w:vAlign w:val="center"/>
          </w:tcPr>
          <w:p>
            <w:pPr>
              <w:spacing w:line="360" w:lineRule="auto"/>
              <w:jc w:val="center"/>
              <w:rPr>
                <w:rFonts w:ascii="宋体" w:hAnsi="宋体" w:eastAsia="宋体" w:cs="宋体"/>
                <w:highlight w:val="none"/>
              </w:rPr>
            </w:pPr>
            <w:r>
              <w:rPr>
                <w:rFonts w:hint="eastAsia" w:ascii="宋体" w:hAnsi="宋体" w:eastAsia="宋体" w:cs="宋体"/>
                <w:highlight w:val="none"/>
              </w:rPr>
              <w:t>售后服务网点</w:t>
            </w:r>
          </w:p>
        </w:tc>
        <w:tc>
          <w:tcPr>
            <w:tcW w:w="2858" w:type="pct"/>
            <w:tcBorders>
              <w:top w:val="outset" w:color="auto" w:sz="6" w:space="0"/>
              <w:left w:val="outset" w:color="auto" w:sz="6" w:space="0"/>
              <w:bottom w:val="outset" w:color="auto" w:sz="6" w:space="0"/>
              <w:right w:val="outset" w:color="auto" w:sz="6" w:space="0"/>
            </w:tcBorders>
            <w:vAlign w:val="center"/>
          </w:tcPr>
          <w:p>
            <w:pPr>
              <w:spacing w:line="360" w:lineRule="auto"/>
              <w:jc w:val="left"/>
              <w:rPr>
                <w:rFonts w:ascii="宋体" w:hAnsi="宋体" w:eastAsia="宋体" w:cs="宋体"/>
                <w:highlight w:val="none"/>
              </w:rPr>
            </w:pPr>
            <w:r>
              <w:rPr>
                <w:rFonts w:hint="eastAsia" w:ascii="宋体" w:hAnsi="宋体" w:eastAsia="宋体" w:cs="宋体"/>
                <w:highlight w:val="none"/>
              </w:rPr>
              <w:t>投标产品的生产厂家售后服务机构设置情况，可根据售后服务对本项目的时效性、便捷性打分，时效性、便捷性强得2分；时效性、便捷性强一般得1分。没有的不得分。</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c>
          <w:tcPr>
            <w:tcW w:w="463" w:type="pct"/>
            <w:vMerge w:val="continue"/>
            <w:tcBorders>
              <w:left w:val="outset" w:color="auto" w:sz="6" w:space="0"/>
              <w:right w:val="outset" w:color="auto" w:sz="6" w:space="0"/>
            </w:tcBorders>
            <w:vAlign w:val="center"/>
          </w:tcPr>
          <w:p>
            <w:pPr>
              <w:spacing w:line="360" w:lineRule="auto"/>
              <w:jc w:val="center"/>
              <w:rPr>
                <w:rFonts w:ascii="宋体" w:hAnsi="宋体" w:eastAsia="宋体" w:cs="宋体"/>
                <w:highlight w:val="none"/>
              </w:rPr>
            </w:pPr>
          </w:p>
        </w:tc>
        <w:tc>
          <w:tcPr>
            <w:tcW w:w="601" w:type="pct"/>
            <w:tcBorders>
              <w:top w:val="outset" w:color="auto" w:sz="6" w:space="0"/>
              <w:left w:val="outset" w:color="auto" w:sz="6" w:space="0"/>
              <w:bottom w:val="outset" w:color="auto" w:sz="6" w:space="0"/>
              <w:right w:val="outset" w:color="auto" w:sz="6" w:space="0"/>
            </w:tcBorders>
            <w:vAlign w:val="center"/>
          </w:tcPr>
          <w:p>
            <w:pPr>
              <w:spacing w:line="360" w:lineRule="auto"/>
              <w:jc w:val="center"/>
              <w:rPr>
                <w:rFonts w:ascii="宋体" w:hAnsi="宋体" w:eastAsia="宋体" w:cs="宋体"/>
                <w:highlight w:val="none"/>
              </w:rPr>
            </w:pPr>
            <w:r>
              <w:rPr>
                <w:rFonts w:hint="eastAsia" w:ascii="宋体" w:hAnsi="宋体" w:eastAsia="宋体" w:cs="宋体"/>
                <w:highlight w:val="none"/>
              </w:rPr>
              <w:t>0.00</w:t>
            </w:r>
          </w:p>
        </w:tc>
        <w:tc>
          <w:tcPr>
            <w:tcW w:w="552" w:type="pct"/>
            <w:tcBorders>
              <w:top w:val="outset" w:color="auto" w:sz="6" w:space="0"/>
              <w:left w:val="outset" w:color="auto" w:sz="6" w:space="0"/>
              <w:bottom w:val="outset" w:color="auto" w:sz="6" w:space="0"/>
              <w:right w:val="outset" w:color="auto" w:sz="6" w:space="0"/>
            </w:tcBorders>
            <w:vAlign w:val="center"/>
          </w:tcPr>
          <w:p>
            <w:pPr>
              <w:spacing w:line="360" w:lineRule="auto"/>
              <w:jc w:val="center"/>
              <w:rPr>
                <w:rFonts w:ascii="宋体" w:hAnsi="宋体" w:eastAsia="宋体" w:cs="宋体"/>
                <w:highlight w:val="none"/>
              </w:rPr>
            </w:pPr>
            <w:r>
              <w:rPr>
                <w:rFonts w:hint="eastAsia" w:ascii="宋体" w:hAnsi="宋体" w:eastAsia="宋体" w:cs="宋体"/>
                <w:highlight w:val="none"/>
              </w:rPr>
              <w:t>3.00</w:t>
            </w:r>
          </w:p>
        </w:tc>
        <w:tc>
          <w:tcPr>
            <w:tcW w:w="524" w:type="pct"/>
            <w:tcBorders>
              <w:top w:val="outset" w:color="auto" w:sz="6" w:space="0"/>
              <w:left w:val="outset" w:color="auto" w:sz="6" w:space="0"/>
              <w:bottom w:val="outset" w:color="auto" w:sz="6" w:space="0"/>
              <w:right w:val="outset" w:color="auto" w:sz="6" w:space="0"/>
            </w:tcBorders>
            <w:vAlign w:val="center"/>
          </w:tcPr>
          <w:p>
            <w:pPr>
              <w:spacing w:line="360" w:lineRule="auto"/>
              <w:jc w:val="center"/>
              <w:rPr>
                <w:rFonts w:ascii="宋体" w:hAnsi="宋体" w:eastAsia="宋体" w:cs="宋体"/>
                <w:highlight w:val="none"/>
              </w:rPr>
            </w:pPr>
            <w:r>
              <w:rPr>
                <w:rFonts w:hint="eastAsia" w:ascii="宋体" w:hAnsi="宋体" w:eastAsia="宋体" w:cs="宋体"/>
                <w:highlight w:val="none"/>
              </w:rPr>
              <w:t>质保期</w:t>
            </w:r>
          </w:p>
        </w:tc>
        <w:tc>
          <w:tcPr>
            <w:tcW w:w="2858" w:type="pct"/>
            <w:tcBorders>
              <w:top w:val="outset" w:color="auto" w:sz="6" w:space="0"/>
              <w:left w:val="outset" w:color="auto" w:sz="6" w:space="0"/>
              <w:bottom w:val="outset" w:color="auto" w:sz="6" w:space="0"/>
              <w:right w:val="outset" w:color="auto" w:sz="6" w:space="0"/>
            </w:tcBorders>
            <w:vAlign w:val="center"/>
          </w:tcPr>
          <w:p>
            <w:pPr>
              <w:spacing w:line="360" w:lineRule="auto"/>
              <w:jc w:val="left"/>
              <w:rPr>
                <w:rFonts w:ascii="宋体" w:hAnsi="宋体" w:eastAsia="宋体" w:cs="宋体"/>
                <w:highlight w:val="none"/>
              </w:rPr>
            </w:pPr>
            <w:r>
              <w:rPr>
                <w:rFonts w:hint="eastAsia" w:ascii="宋体" w:hAnsi="宋体" w:eastAsia="宋体" w:cs="宋体"/>
                <w:highlight w:val="none"/>
              </w:rPr>
              <w:t>在所投产品原有质保期要求的基础上，所有产品每增加一年质保期的得1分，最高得3分。（须提供承诺函，格式自拟）注：延长不足12个月者，不加分。</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c>
          <w:tcPr>
            <w:tcW w:w="463" w:type="pct"/>
            <w:vMerge w:val="continue"/>
            <w:tcBorders>
              <w:left w:val="outset" w:color="auto" w:sz="6" w:space="0"/>
              <w:right w:val="outset" w:color="auto" w:sz="6" w:space="0"/>
            </w:tcBorders>
            <w:vAlign w:val="center"/>
          </w:tcPr>
          <w:p>
            <w:pPr>
              <w:spacing w:line="360" w:lineRule="auto"/>
              <w:jc w:val="center"/>
              <w:rPr>
                <w:rFonts w:ascii="宋体" w:hAnsi="宋体" w:eastAsia="宋体" w:cs="宋体"/>
                <w:highlight w:val="none"/>
              </w:rPr>
            </w:pPr>
          </w:p>
        </w:tc>
        <w:tc>
          <w:tcPr>
            <w:tcW w:w="601" w:type="pct"/>
            <w:tcBorders>
              <w:top w:val="outset" w:color="auto" w:sz="6" w:space="0"/>
              <w:left w:val="outset" w:color="auto" w:sz="6" w:space="0"/>
              <w:bottom w:val="outset" w:color="auto" w:sz="6" w:space="0"/>
              <w:right w:val="outset" w:color="auto" w:sz="6" w:space="0"/>
            </w:tcBorders>
            <w:vAlign w:val="center"/>
          </w:tcPr>
          <w:p>
            <w:pPr>
              <w:spacing w:line="360" w:lineRule="auto"/>
              <w:jc w:val="center"/>
              <w:rPr>
                <w:rFonts w:ascii="宋体" w:hAnsi="宋体" w:eastAsia="宋体" w:cs="宋体"/>
                <w:highlight w:val="none"/>
              </w:rPr>
            </w:pPr>
            <w:r>
              <w:rPr>
                <w:rFonts w:hint="eastAsia" w:ascii="宋体" w:hAnsi="宋体" w:eastAsia="宋体" w:cs="宋体"/>
                <w:highlight w:val="none"/>
              </w:rPr>
              <w:t>0.00</w:t>
            </w:r>
          </w:p>
        </w:tc>
        <w:tc>
          <w:tcPr>
            <w:tcW w:w="552" w:type="pct"/>
            <w:tcBorders>
              <w:top w:val="outset" w:color="auto" w:sz="6" w:space="0"/>
              <w:left w:val="outset" w:color="auto" w:sz="6" w:space="0"/>
              <w:bottom w:val="outset" w:color="auto" w:sz="6" w:space="0"/>
              <w:right w:val="outset" w:color="auto" w:sz="6" w:space="0"/>
            </w:tcBorders>
            <w:vAlign w:val="center"/>
          </w:tcPr>
          <w:p>
            <w:pPr>
              <w:spacing w:line="360" w:lineRule="auto"/>
              <w:jc w:val="center"/>
              <w:rPr>
                <w:rFonts w:ascii="宋体" w:hAnsi="宋体" w:eastAsia="宋体" w:cs="宋体"/>
                <w:highlight w:val="none"/>
              </w:rPr>
            </w:pPr>
            <w:r>
              <w:rPr>
                <w:rFonts w:hint="eastAsia" w:ascii="宋体" w:hAnsi="宋体" w:eastAsia="宋体" w:cs="宋体"/>
                <w:highlight w:val="none"/>
              </w:rPr>
              <w:t>2.00</w:t>
            </w:r>
          </w:p>
        </w:tc>
        <w:tc>
          <w:tcPr>
            <w:tcW w:w="524" w:type="pct"/>
            <w:tcBorders>
              <w:top w:val="outset" w:color="auto" w:sz="6" w:space="0"/>
              <w:left w:val="outset" w:color="auto" w:sz="6" w:space="0"/>
              <w:bottom w:val="outset" w:color="auto" w:sz="6" w:space="0"/>
              <w:right w:val="outset" w:color="auto" w:sz="6" w:space="0"/>
            </w:tcBorders>
            <w:vAlign w:val="center"/>
          </w:tcPr>
          <w:p>
            <w:pPr>
              <w:spacing w:line="360" w:lineRule="auto"/>
              <w:jc w:val="center"/>
              <w:rPr>
                <w:rFonts w:ascii="宋体" w:hAnsi="宋体" w:eastAsia="宋体" w:cs="宋体"/>
                <w:highlight w:val="none"/>
              </w:rPr>
            </w:pPr>
            <w:r>
              <w:rPr>
                <w:rFonts w:hint="eastAsia" w:ascii="宋体" w:hAnsi="宋体" w:eastAsia="宋体" w:cs="宋体"/>
                <w:highlight w:val="none"/>
              </w:rPr>
              <w:t>备品备件</w:t>
            </w:r>
          </w:p>
        </w:tc>
        <w:tc>
          <w:tcPr>
            <w:tcW w:w="2858" w:type="pct"/>
            <w:tcBorders>
              <w:top w:val="outset" w:color="auto" w:sz="6" w:space="0"/>
              <w:left w:val="outset" w:color="auto" w:sz="6" w:space="0"/>
              <w:bottom w:val="outset" w:color="auto" w:sz="6" w:space="0"/>
              <w:right w:val="outset" w:color="auto" w:sz="6" w:space="0"/>
            </w:tcBorders>
            <w:vAlign w:val="center"/>
          </w:tcPr>
          <w:p>
            <w:pPr>
              <w:spacing w:line="360" w:lineRule="auto"/>
              <w:jc w:val="left"/>
              <w:rPr>
                <w:rFonts w:ascii="宋体" w:hAnsi="宋体" w:eastAsia="宋体" w:cs="宋体"/>
                <w:highlight w:val="none"/>
              </w:rPr>
            </w:pPr>
            <w:r>
              <w:rPr>
                <w:rFonts w:hint="eastAsia" w:ascii="宋体" w:hAnsi="宋体" w:eastAsia="宋体" w:cs="宋体"/>
                <w:highlight w:val="none"/>
              </w:rPr>
              <w:t>提供原厂标准的备品备件、消耗材料价格清单及折扣率，保修期届满后维修的价格清单及折扣率详细、完备的得2分；价格清单及折扣率基本详细、基本完备得1分。供应商未针对本项目描述的不得分。</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c>
          <w:tcPr>
            <w:tcW w:w="463" w:type="pct"/>
            <w:vMerge w:val="continue"/>
            <w:tcBorders>
              <w:left w:val="outset" w:color="auto" w:sz="6" w:space="0"/>
              <w:right w:val="outset" w:color="auto" w:sz="6" w:space="0"/>
            </w:tcBorders>
            <w:vAlign w:val="center"/>
          </w:tcPr>
          <w:p>
            <w:pPr>
              <w:spacing w:line="360" w:lineRule="auto"/>
              <w:jc w:val="center"/>
              <w:rPr>
                <w:rFonts w:ascii="宋体" w:hAnsi="宋体" w:eastAsia="宋体" w:cs="宋体"/>
                <w:highlight w:val="none"/>
              </w:rPr>
            </w:pPr>
          </w:p>
        </w:tc>
        <w:tc>
          <w:tcPr>
            <w:tcW w:w="601" w:type="pct"/>
            <w:tcBorders>
              <w:top w:val="outset" w:color="auto" w:sz="6" w:space="0"/>
              <w:left w:val="outset" w:color="auto" w:sz="6" w:space="0"/>
              <w:bottom w:val="outset" w:color="auto" w:sz="6" w:space="0"/>
              <w:right w:val="outset" w:color="auto" w:sz="6" w:space="0"/>
            </w:tcBorders>
            <w:vAlign w:val="center"/>
          </w:tcPr>
          <w:p>
            <w:pPr>
              <w:spacing w:line="360" w:lineRule="auto"/>
              <w:jc w:val="center"/>
              <w:rPr>
                <w:rFonts w:ascii="宋体" w:hAnsi="宋体" w:eastAsia="宋体" w:cs="宋体"/>
                <w:highlight w:val="none"/>
              </w:rPr>
            </w:pPr>
            <w:r>
              <w:rPr>
                <w:rFonts w:hint="eastAsia" w:ascii="宋体" w:hAnsi="宋体" w:eastAsia="宋体" w:cs="宋体"/>
                <w:highlight w:val="none"/>
              </w:rPr>
              <w:t>0.00</w:t>
            </w:r>
          </w:p>
        </w:tc>
        <w:tc>
          <w:tcPr>
            <w:tcW w:w="552" w:type="pct"/>
            <w:tcBorders>
              <w:top w:val="outset" w:color="auto" w:sz="6" w:space="0"/>
              <w:left w:val="outset" w:color="auto" w:sz="6" w:space="0"/>
              <w:bottom w:val="outset" w:color="auto" w:sz="6" w:space="0"/>
              <w:right w:val="outset" w:color="auto" w:sz="6" w:space="0"/>
            </w:tcBorders>
            <w:vAlign w:val="center"/>
          </w:tcPr>
          <w:p>
            <w:pPr>
              <w:spacing w:line="360" w:lineRule="auto"/>
              <w:jc w:val="center"/>
              <w:rPr>
                <w:rFonts w:ascii="宋体" w:hAnsi="宋体" w:eastAsia="宋体" w:cs="宋体"/>
                <w:highlight w:val="none"/>
              </w:rPr>
            </w:pPr>
            <w:r>
              <w:rPr>
                <w:rFonts w:hint="eastAsia" w:ascii="宋体" w:hAnsi="宋体" w:eastAsia="宋体" w:cs="宋体"/>
                <w:highlight w:val="none"/>
              </w:rPr>
              <w:t>3.00</w:t>
            </w:r>
          </w:p>
        </w:tc>
        <w:tc>
          <w:tcPr>
            <w:tcW w:w="524" w:type="pct"/>
            <w:tcBorders>
              <w:top w:val="outset" w:color="auto" w:sz="6" w:space="0"/>
              <w:left w:val="outset" w:color="auto" w:sz="6" w:space="0"/>
              <w:bottom w:val="outset" w:color="auto" w:sz="6" w:space="0"/>
              <w:right w:val="outset" w:color="auto" w:sz="6" w:space="0"/>
            </w:tcBorders>
            <w:vAlign w:val="center"/>
          </w:tcPr>
          <w:p>
            <w:pPr>
              <w:spacing w:line="360" w:lineRule="auto"/>
              <w:jc w:val="center"/>
              <w:rPr>
                <w:rFonts w:ascii="宋体" w:hAnsi="宋体" w:eastAsia="宋体" w:cs="宋体"/>
                <w:highlight w:val="none"/>
              </w:rPr>
            </w:pPr>
            <w:r>
              <w:rPr>
                <w:rFonts w:hint="eastAsia" w:ascii="宋体" w:hAnsi="宋体" w:eastAsia="宋体" w:cs="宋体"/>
                <w:highlight w:val="none"/>
              </w:rPr>
              <w:t>其他实质性优惠条件</w:t>
            </w:r>
          </w:p>
        </w:tc>
        <w:tc>
          <w:tcPr>
            <w:tcW w:w="2858" w:type="pct"/>
            <w:tcBorders>
              <w:top w:val="outset" w:color="auto" w:sz="6" w:space="0"/>
              <w:left w:val="outset" w:color="auto" w:sz="6" w:space="0"/>
              <w:bottom w:val="outset" w:color="auto" w:sz="6" w:space="0"/>
              <w:right w:val="outset" w:color="auto" w:sz="6" w:space="0"/>
            </w:tcBorders>
            <w:vAlign w:val="center"/>
          </w:tcPr>
          <w:p>
            <w:pPr>
              <w:spacing w:line="360" w:lineRule="auto"/>
              <w:jc w:val="left"/>
              <w:rPr>
                <w:rFonts w:ascii="宋体" w:hAnsi="宋体" w:eastAsia="宋体" w:cs="宋体"/>
                <w:highlight w:val="none"/>
              </w:rPr>
            </w:pPr>
            <w:r>
              <w:rPr>
                <w:rFonts w:hint="eastAsia" w:ascii="宋体" w:hAnsi="宋体" w:eastAsia="宋体" w:cs="宋体"/>
                <w:highlight w:val="none"/>
              </w:rPr>
              <w:t>其他实质性优惠条件，根据供应商承诺的内容：内容科学、合理、有针对性，完善程度非常全面准确的得3分；内容科学、合理、有针对性、完善程度比较全面的得2分；内容科学、合理、有针对性、完善程度有欠缺的得1分。供应商未针对本项目描述的不得分。</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c>
          <w:tcPr>
            <w:tcW w:w="463" w:type="pct"/>
            <w:tcBorders>
              <w:top w:val="outset" w:color="auto" w:sz="6" w:space="0"/>
              <w:left w:val="outset" w:color="auto" w:sz="6" w:space="0"/>
              <w:bottom w:val="outset" w:color="auto" w:sz="6" w:space="0"/>
              <w:right w:val="outset" w:color="auto" w:sz="6" w:space="0"/>
            </w:tcBorders>
            <w:vAlign w:val="center"/>
          </w:tcPr>
          <w:p>
            <w:pPr>
              <w:spacing w:line="360" w:lineRule="auto"/>
              <w:jc w:val="center"/>
              <w:rPr>
                <w:rFonts w:ascii="宋体" w:hAnsi="宋体" w:eastAsia="宋体" w:cs="宋体"/>
                <w:highlight w:val="none"/>
              </w:rPr>
            </w:pPr>
            <w:r>
              <w:rPr>
                <w:rFonts w:hint="eastAsia" w:ascii="宋体" w:hAnsi="宋体" w:eastAsia="宋体" w:cs="宋体"/>
                <w:highlight w:val="none"/>
              </w:rPr>
              <w:t>业绩信誉</w:t>
            </w:r>
          </w:p>
        </w:tc>
        <w:tc>
          <w:tcPr>
            <w:tcW w:w="601" w:type="pct"/>
            <w:tcBorders>
              <w:top w:val="outset" w:color="auto" w:sz="6" w:space="0"/>
              <w:left w:val="outset" w:color="auto" w:sz="6" w:space="0"/>
              <w:bottom w:val="outset" w:color="auto" w:sz="6" w:space="0"/>
              <w:right w:val="outset" w:color="auto" w:sz="6" w:space="0"/>
            </w:tcBorders>
            <w:vAlign w:val="center"/>
          </w:tcPr>
          <w:p>
            <w:pPr>
              <w:spacing w:line="360" w:lineRule="auto"/>
              <w:jc w:val="center"/>
              <w:rPr>
                <w:rFonts w:ascii="宋体" w:hAnsi="宋体" w:eastAsia="宋体" w:cs="宋体"/>
                <w:highlight w:val="none"/>
              </w:rPr>
            </w:pPr>
            <w:r>
              <w:rPr>
                <w:rFonts w:hint="eastAsia" w:ascii="宋体" w:hAnsi="宋体" w:eastAsia="宋体" w:cs="宋体"/>
                <w:highlight w:val="none"/>
              </w:rPr>
              <w:t>0.00</w:t>
            </w:r>
          </w:p>
        </w:tc>
        <w:tc>
          <w:tcPr>
            <w:tcW w:w="552" w:type="pct"/>
            <w:tcBorders>
              <w:top w:val="outset" w:color="auto" w:sz="6" w:space="0"/>
              <w:left w:val="outset" w:color="auto" w:sz="6" w:space="0"/>
              <w:bottom w:val="outset" w:color="auto" w:sz="6" w:space="0"/>
              <w:right w:val="outset" w:color="auto" w:sz="6" w:space="0"/>
            </w:tcBorders>
            <w:vAlign w:val="center"/>
          </w:tcPr>
          <w:p>
            <w:pPr>
              <w:spacing w:line="360" w:lineRule="auto"/>
              <w:jc w:val="center"/>
              <w:rPr>
                <w:rFonts w:ascii="宋体" w:hAnsi="宋体" w:eastAsia="宋体" w:cs="宋体"/>
                <w:highlight w:val="none"/>
              </w:rPr>
            </w:pPr>
            <w:r>
              <w:rPr>
                <w:rFonts w:hint="eastAsia" w:ascii="宋体" w:hAnsi="宋体" w:eastAsia="宋体" w:cs="宋体"/>
                <w:highlight w:val="none"/>
              </w:rPr>
              <w:t>9.00</w:t>
            </w:r>
          </w:p>
        </w:tc>
        <w:tc>
          <w:tcPr>
            <w:tcW w:w="524" w:type="pct"/>
            <w:tcBorders>
              <w:top w:val="outset" w:color="auto" w:sz="6" w:space="0"/>
              <w:left w:val="outset" w:color="auto" w:sz="6" w:space="0"/>
              <w:bottom w:val="outset" w:color="auto" w:sz="6" w:space="0"/>
              <w:right w:val="outset" w:color="auto" w:sz="6" w:space="0"/>
            </w:tcBorders>
            <w:vAlign w:val="center"/>
          </w:tcPr>
          <w:p>
            <w:pPr>
              <w:spacing w:line="360" w:lineRule="auto"/>
              <w:jc w:val="center"/>
              <w:rPr>
                <w:rFonts w:ascii="宋体" w:hAnsi="宋体" w:eastAsia="宋体" w:cs="宋体"/>
                <w:highlight w:val="none"/>
              </w:rPr>
            </w:pPr>
            <w:r>
              <w:rPr>
                <w:rFonts w:hint="eastAsia" w:ascii="宋体" w:hAnsi="宋体" w:eastAsia="宋体" w:cs="宋体"/>
                <w:highlight w:val="none"/>
              </w:rPr>
              <w:t>企业业绩</w:t>
            </w:r>
          </w:p>
        </w:tc>
        <w:tc>
          <w:tcPr>
            <w:tcW w:w="2858" w:type="pct"/>
            <w:tcBorders>
              <w:top w:val="outset" w:color="auto" w:sz="6" w:space="0"/>
              <w:left w:val="outset" w:color="auto" w:sz="6" w:space="0"/>
              <w:bottom w:val="outset" w:color="auto" w:sz="6" w:space="0"/>
              <w:right w:val="outset" w:color="auto" w:sz="6" w:space="0"/>
            </w:tcBorders>
            <w:vAlign w:val="center"/>
          </w:tcPr>
          <w:p>
            <w:pPr>
              <w:spacing w:line="360" w:lineRule="auto"/>
              <w:jc w:val="left"/>
              <w:rPr>
                <w:rFonts w:ascii="宋体" w:hAnsi="宋体" w:eastAsia="宋体" w:cs="宋体"/>
                <w:highlight w:val="none"/>
              </w:rPr>
            </w:pPr>
            <w:r>
              <w:rPr>
                <w:rFonts w:hint="eastAsia" w:ascii="宋体" w:hAnsi="宋体" w:eastAsia="宋体" w:cs="宋体"/>
                <w:highlight w:val="none"/>
              </w:rPr>
              <w:t>供应商</w:t>
            </w:r>
            <w:r>
              <w:rPr>
                <w:rFonts w:ascii="宋体" w:hAnsi="宋体" w:eastAsia="宋体" w:cs="宋体"/>
                <w:highlight w:val="none"/>
              </w:rPr>
              <w:t>提供2020年1月1日以来（以合同签订时间为准）所投核心产品同品牌同型号产品的业绩证明材料的，有1个得1</w:t>
            </w:r>
            <w:r>
              <w:rPr>
                <w:rFonts w:hint="eastAsia" w:ascii="宋体" w:hAnsi="宋体" w:eastAsia="宋体" w:cs="宋体"/>
                <w:highlight w:val="none"/>
              </w:rPr>
              <w:t>.5</w:t>
            </w:r>
            <w:r>
              <w:rPr>
                <w:rFonts w:ascii="宋体" w:hAnsi="宋体" w:eastAsia="宋体" w:cs="宋体"/>
                <w:highlight w:val="none"/>
              </w:rPr>
              <w:t>分，最多</w:t>
            </w:r>
            <w:r>
              <w:rPr>
                <w:rFonts w:hint="eastAsia" w:ascii="宋体" w:hAnsi="宋体" w:eastAsia="宋体" w:cs="宋体"/>
                <w:highlight w:val="none"/>
              </w:rPr>
              <w:t>9</w:t>
            </w:r>
            <w:r>
              <w:rPr>
                <w:rFonts w:ascii="宋体" w:hAnsi="宋体" w:eastAsia="宋体" w:cs="宋体"/>
                <w:highlight w:val="none"/>
              </w:rPr>
              <w:t>分。</w:t>
            </w:r>
          </w:p>
          <w:p>
            <w:pPr>
              <w:spacing w:line="360" w:lineRule="auto"/>
              <w:jc w:val="left"/>
              <w:rPr>
                <w:rFonts w:ascii="宋体" w:hAnsi="宋体" w:eastAsia="宋体" w:cs="宋体"/>
                <w:highlight w:val="none"/>
              </w:rPr>
            </w:pPr>
            <w:r>
              <w:rPr>
                <w:rFonts w:ascii="宋体" w:hAnsi="宋体" w:eastAsia="宋体" w:cs="宋体"/>
                <w:b/>
                <w:bCs/>
                <w:highlight w:val="none"/>
              </w:rPr>
              <w:t>注：投标文件中须附合同、中标通知书和中标公示网络截图（含网址）的原件的彩色扫描件，未提供或提供不全的不得分。（该业绩可为</w:t>
            </w:r>
            <w:r>
              <w:rPr>
                <w:rFonts w:hint="eastAsia" w:ascii="宋体" w:hAnsi="宋体" w:eastAsia="宋体" w:cs="宋体"/>
                <w:b/>
                <w:bCs/>
                <w:highlight w:val="none"/>
              </w:rPr>
              <w:t>供应商</w:t>
            </w:r>
            <w:r>
              <w:rPr>
                <w:rFonts w:ascii="宋体" w:hAnsi="宋体" w:eastAsia="宋体" w:cs="宋体"/>
                <w:b/>
                <w:bCs/>
                <w:highlight w:val="none"/>
              </w:rPr>
              <w:t>的或该产品的生产厂家、产品其他代理商的业绩）。</w:t>
            </w:r>
          </w:p>
        </w:tc>
      </w:tr>
    </w:tbl>
    <w:p>
      <w:pPr>
        <w:pStyle w:val="16"/>
        <w:spacing w:line="360" w:lineRule="auto"/>
        <w:rPr>
          <w:rFonts w:ascii="宋体" w:hAnsi="宋体" w:eastAsia="宋体" w:cs="宋体"/>
          <w:kern w:val="2"/>
          <w:sz w:val="28"/>
          <w:szCs w:val="28"/>
          <w:highlight w:val="none"/>
          <w:lang w:eastAsia="zh-CN" w:bidi="ar-SA"/>
        </w:rPr>
      </w:pPr>
    </w:p>
    <w:p>
      <w:pPr>
        <w:pStyle w:val="16"/>
        <w:spacing w:line="360" w:lineRule="auto"/>
        <w:rPr>
          <w:rFonts w:ascii="宋体" w:hAnsi="宋体" w:eastAsia="宋体" w:cs="宋体"/>
          <w:kern w:val="2"/>
          <w:sz w:val="28"/>
          <w:szCs w:val="28"/>
          <w:highlight w:val="none"/>
          <w:lang w:eastAsia="zh-CN" w:bidi="ar-SA"/>
        </w:rPr>
      </w:pPr>
    </w:p>
    <w:p>
      <w:pPr>
        <w:pStyle w:val="16"/>
        <w:spacing w:line="360" w:lineRule="auto"/>
        <w:rPr>
          <w:rFonts w:ascii="宋体" w:hAnsi="宋体" w:eastAsia="宋体" w:cs="宋体"/>
          <w:kern w:val="2"/>
          <w:sz w:val="28"/>
          <w:szCs w:val="28"/>
          <w:highlight w:val="none"/>
          <w:lang w:eastAsia="zh-CN" w:bidi="ar-SA"/>
        </w:rPr>
      </w:pPr>
    </w:p>
    <w:p>
      <w:pPr>
        <w:pStyle w:val="16"/>
        <w:spacing w:line="360" w:lineRule="auto"/>
        <w:rPr>
          <w:rFonts w:ascii="宋体" w:hAnsi="宋体" w:eastAsia="宋体" w:cs="宋体"/>
          <w:kern w:val="2"/>
          <w:sz w:val="28"/>
          <w:szCs w:val="28"/>
          <w:highlight w:val="none"/>
          <w:lang w:eastAsia="zh-CN" w:bidi="ar-SA"/>
        </w:rPr>
      </w:pPr>
    </w:p>
    <w:p>
      <w:pPr>
        <w:pStyle w:val="16"/>
        <w:spacing w:line="360" w:lineRule="auto"/>
        <w:rPr>
          <w:rFonts w:ascii="宋体" w:hAnsi="宋体" w:eastAsia="宋体" w:cs="宋体"/>
          <w:kern w:val="2"/>
          <w:sz w:val="28"/>
          <w:szCs w:val="28"/>
          <w:highlight w:val="none"/>
          <w:lang w:eastAsia="zh-CN" w:bidi="ar-SA"/>
        </w:rPr>
      </w:pPr>
    </w:p>
    <w:p>
      <w:pPr>
        <w:pStyle w:val="16"/>
        <w:spacing w:line="360" w:lineRule="auto"/>
        <w:rPr>
          <w:rFonts w:ascii="宋体" w:hAnsi="宋体" w:eastAsia="宋体" w:cs="宋体"/>
          <w:kern w:val="2"/>
          <w:sz w:val="28"/>
          <w:szCs w:val="28"/>
          <w:highlight w:val="none"/>
          <w:lang w:eastAsia="zh-CN" w:bidi="ar-SA"/>
        </w:rPr>
      </w:pPr>
    </w:p>
    <w:p>
      <w:pPr>
        <w:pStyle w:val="16"/>
        <w:spacing w:line="360" w:lineRule="auto"/>
        <w:rPr>
          <w:rFonts w:ascii="宋体" w:hAnsi="宋体" w:eastAsia="宋体" w:cs="宋体"/>
          <w:kern w:val="2"/>
          <w:sz w:val="28"/>
          <w:szCs w:val="28"/>
          <w:highlight w:val="none"/>
          <w:lang w:eastAsia="zh-CN" w:bidi="ar-SA"/>
        </w:rPr>
      </w:pPr>
    </w:p>
    <w:p>
      <w:pPr>
        <w:pStyle w:val="16"/>
        <w:spacing w:line="360" w:lineRule="auto"/>
        <w:rPr>
          <w:rFonts w:ascii="宋体" w:hAnsi="宋体" w:eastAsia="宋体" w:cs="宋体"/>
          <w:kern w:val="2"/>
          <w:sz w:val="28"/>
          <w:szCs w:val="28"/>
          <w:highlight w:val="none"/>
          <w:lang w:eastAsia="zh-CN" w:bidi="ar-SA"/>
        </w:rPr>
      </w:pPr>
    </w:p>
    <w:p>
      <w:pPr>
        <w:pStyle w:val="16"/>
        <w:spacing w:line="360" w:lineRule="auto"/>
        <w:rPr>
          <w:rFonts w:ascii="宋体" w:hAnsi="宋体" w:eastAsia="宋体" w:cs="宋体"/>
          <w:kern w:val="2"/>
          <w:sz w:val="28"/>
          <w:szCs w:val="28"/>
          <w:highlight w:val="none"/>
          <w:lang w:eastAsia="zh-CN" w:bidi="ar-SA"/>
        </w:rPr>
      </w:pPr>
    </w:p>
    <w:p>
      <w:pPr>
        <w:pStyle w:val="16"/>
        <w:spacing w:line="360" w:lineRule="auto"/>
        <w:rPr>
          <w:rFonts w:ascii="宋体" w:hAnsi="宋体" w:eastAsia="宋体" w:cs="宋体"/>
          <w:kern w:val="2"/>
          <w:sz w:val="28"/>
          <w:szCs w:val="28"/>
          <w:highlight w:val="none"/>
          <w:lang w:eastAsia="zh-CN" w:bidi="ar-SA"/>
        </w:rPr>
      </w:pPr>
    </w:p>
    <w:p>
      <w:pPr>
        <w:pStyle w:val="16"/>
        <w:spacing w:line="360" w:lineRule="auto"/>
        <w:rPr>
          <w:rFonts w:ascii="宋体" w:hAnsi="宋体" w:eastAsia="宋体" w:cs="宋体"/>
          <w:kern w:val="2"/>
          <w:sz w:val="28"/>
          <w:szCs w:val="28"/>
          <w:highlight w:val="none"/>
          <w:lang w:eastAsia="zh-CN" w:bidi="ar-SA"/>
        </w:rPr>
      </w:pPr>
    </w:p>
    <w:p>
      <w:pPr>
        <w:pStyle w:val="16"/>
        <w:spacing w:line="360" w:lineRule="auto"/>
        <w:rPr>
          <w:rFonts w:ascii="宋体" w:hAnsi="宋体" w:eastAsia="宋体" w:cs="宋体"/>
          <w:kern w:val="2"/>
          <w:sz w:val="28"/>
          <w:szCs w:val="28"/>
          <w:highlight w:val="none"/>
          <w:lang w:eastAsia="zh-CN" w:bidi="ar-SA"/>
        </w:rPr>
      </w:pPr>
    </w:p>
    <w:p>
      <w:pPr>
        <w:pStyle w:val="16"/>
        <w:spacing w:line="360" w:lineRule="auto"/>
        <w:rPr>
          <w:rFonts w:ascii="宋体" w:hAnsi="宋体" w:eastAsia="宋体" w:cs="宋体"/>
          <w:kern w:val="2"/>
          <w:sz w:val="28"/>
          <w:szCs w:val="28"/>
          <w:highlight w:val="none"/>
          <w:lang w:eastAsia="zh-CN" w:bidi="ar-SA"/>
        </w:rPr>
      </w:pPr>
    </w:p>
    <w:p>
      <w:pPr>
        <w:pStyle w:val="16"/>
        <w:spacing w:line="360" w:lineRule="auto"/>
        <w:rPr>
          <w:rFonts w:ascii="宋体" w:hAnsi="宋体" w:eastAsia="宋体" w:cs="宋体"/>
          <w:kern w:val="2"/>
          <w:sz w:val="28"/>
          <w:szCs w:val="28"/>
          <w:highlight w:val="none"/>
          <w:lang w:eastAsia="zh-CN" w:bidi="ar-SA"/>
        </w:rPr>
      </w:pPr>
    </w:p>
    <w:p>
      <w:pPr>
        <w:pStyle w:val="16"/>
        <w:spacing w:line="360" w:lineRule="auto"/>
        <w:rPr>
          <w:rFonts w:ascii="宋体" w:hAnsi="宋体" w:eastAsia="宋体" w:cs="宋体"/>
          <w:kern w:val="2"/>
          <w:sz w:val="28"/>
          <w:szCs w:val="28"/>
          <w:highlight w:val="none"/>
          <w:lang w:eastAsia="zh-CN" w:bidi="ar-SA"/>
        </w:rPr>
      </w:pPr>
    </w:p>
    <w:p>
      <w:pPr>
        <w:pStyle w:val="16"/>
        <w:spacing w:line="360" w:lineRule="auto"/>
        <w:rPr>
          <w:rFonts w:ascii="宋体" w:hAnsi="宋体" w:eastAsia="宋体" w:cs="宋体"/>
          <w:kern w:val="2"/>
          <w:sz w:val="28"/>
          <w:szCs w:val="28"/>
          <w:highlight w:val="none"/>
          <w:lang w:eastAsia="zh-CN" w:bidi="ar-SA"/>
        </w:rPr>
      </w:pPr>
    </w:p>
    <w:p>
      <w:pPr>
        <w:pStyle w:val="16"/>
        <w:spacing w:line="360" w:lineRule="auto"/>
        <w:rPr>
          <w:rFonts w:ascii="宋体" w:hAnsi="宋体" w:eastAsia="宋体" w:cs="宋体"/>
          <w:kern w:val="2"/>
          <w:sz w:val="28"/>
          <w:szCs w:val="28"/>
          <w:highlight w:val="none"/>
          <w:lang w:eastAsia="zh-CN" w:bidi="ar-SA"/>
        </w:rPr>
      </w:pPr>
    </w:p>
    <w:p>
      <w:pPr>
        <w:pStyle w:val="16"/>
        <w:spacing w:line="360" w:lineRule="auto"/>
        <w:rPr>
          <w:rFonts w:ascii="宋体" w:hAnsi="宋体" w:eastAsia="宋体" w:cs="宋体"/>
          <w:kern w:val="2"/>
          <w:sz w:val="28"/>
          <w:szCs w:val="28"/>
          <w:highlight w:val="none"/>
          <w:lang w:eastAsia="zh-CN" w:bidi="ar-SA"/>
        </w:rPr>
      </w:pPr>
    </w:p>
    <w:p>
      <w:pPr>
        <w:pStyle w:val="16"/>
        <w:spacing w:line="360" w:lineRule="auto"/>
        <w:rPr>
          <w:rFonts w:ascii="宋体" w:hAnsi="宋体" w:eastAsia="宋体" w:cs="宋体"/>
          <w:kern w:val="2"/>
          <w:sz w:val="28"/>
          <w:szCs w:val="28"/>
          <w:highlight w:val="none"/>
          <w:lang w:eastAsia="zh-CN" w:bidi="ar-SA"/>
        </w:rPr>
      </w:pPr>
    </w:p>
    <w:p>
      <w:pPr>
        <w:pStyle w:val="16"/>
        <w:spacing w:line="360" w:lineRule="auto"/>
        <w:rPr>
          <w:rFonts w:ascii="宋体" w:hAnsi="宋体" w:eastAsia="宋体" w:cs="宋体"/>
          <w:kern w:val="2"/>
          <w:sz w:val="28"/>
          <w:szCs w:val="28"/>
          <w:highlight w:val="none"/>
          <w:lang w:eastAsia="zh-CN" w:bidi="ar-SA"/>
        </w:rPr>
      </w:pPr>
    </w:p>
    <w:p>
      <w:pPr>
        <w:pStyle w:val="16"/>
        <w:spacing w:line="360" w:lineRule="auto"/>
        <w:jc w:val="both"/>
        <w:rPr>
          <w:rFonts w:ascii="宋体" w:hAnsi="宋体" w:eastAsia="宋体" w:cs="宋体"/>
          <w:kern w:val="2"/>
          <w:sz w:val="28"/>
          <w:szCs w:val="28"/>
          <w:highlight w:val="none"/>
          <w:lang w:eastAsia="zh-CN" w:bidi="ar-SA"/>
        </w:rPr>
      </w:pPr>
    </w:p>
    <w:p>
      <w:pPr>
        <w:pStyle w:val="16"/>
        <w:spacing w:line="360" w:lineRule="auto"/>
        <w:rPr>
          <w:rFonts w:ascii="宋体" w:hAnsi="宋体" w:eastAsia="宋体" w:cs="宋体"/>
          <w:kern w:val="2"/>
          <w:sz w:val="28"/>
          <w:szCs w:val="28"/>
          <w:highlight w:val="none"/>
          <w:lang w:eastAsia="zh-CN" w:bidi="ar-SA"/>
        </w:rPr>
      </w:pPr>
      <w:r>
        <w:rPr>
          <w:rFonts w:hint="eastAsia" w:ascii="宋体" w:hAnsi="宋体" w:eastAsia="宋体" w:cs="宋体"/>
          <w:kern w:val="2"/>
          <w:sz w:val="28"/>
          <w:szCs w:val="28"/>
          <w:highlight w:val="none"/>
          <w:lang w:eastAsia="zh-CN" w:bidi="ar-SA"/>
        </w:rPr>
        <w:t>第七章 投标文件格式</w:t>
      </w:r>
      <w:bookmarkEnd w:id="176"/>
      <w:bookmarkEnd w:id="177"/>
      <w:bookmarkEnd w:id="178"/>
    </w:p>
    <w:p>
      <w:pPr>
        <w:pStyle w:val="16"/>
        <w:spacing w:line="360" w:lineRule="auto"/>
        <w:rPr>
          <w:rFonts w:ascii="宋体" w:hAnsi="宋体" w:eastAsia="宋体" w:cs="宋体"/>
          <w:kern w:val="2"/>
          <w:sz w:val="24"/>
          <w:highlight w:val="none"/>
          <w:lang w:eastAsia="zh-CN" w:bidi="ar-SA"/>
        </w:rPr>
      </w:pPr>
    </w:p>
    <w:p>
      <w:pPr>
        <w:spacing w:line="360" w:lineRule="auto"/>
        <w:rPr>
          <w:rFonts w:ascii="宋体" w:hAnsi="宋体" w:eastAsia="宋体" w:cs="宋体"/>
          <w:highlight w:val="none"/>
        </w:rPr>
      </w:pPr>
    </w:p>
    <w:p>
      <w:pPr>
        <w:pStyle w:val="17"/>
        <w:spacing w:line="360" w:lineRule="auto"/>
        <w:rPr>
          <w:rFonts w:ascii="宋体" w:hAnsi="宋体" w:eastAsia="宋体" w:cs="宋体"/>
          <w:sz w:val="24"/>
          <w:szCs w:val="24"/>
          <w:highlight w:val="none"/>
        </w:rPr>
      </w:pPr>
    </w:p>
    <w:p>
      <w:pPr>
        <w:pStyle w:val="18"/>
        <w:spacing w:line="360" w:lineRule="auto"/>
        <w:ind w:firstLine="482"/>
        <w:rPr>
          <w:rFonts w:ascii="宋体" w:hAnsi="宋体" w:cs="宋体"/>
          <w:highlight w:val="none"/>
        </w:rPr>
      </w:pPr>
    </w:p>
    <w:p>
      <w:pPr>
        <w:spacing w:line="360" w:lineRule="auto"/>
        <w:rPr>
          <w:rFonts w:ascii="宋体" w:hAnsi="宋体" w:eastAsia="宋体" w:cs="宋体"/>
          <w:highlight w:val="none"/>
        </w:rPr>
      </w:pPr>
    </w:p>
    <w:p>
      <w:pPr>
        <w:pStyle w:val="17"/>
        <w:spacing w:line="360" w:lineRule="auto"/>
        <w:rPr>
          <w:rFonts w:ascii="宋体" w:hAnsi="宋体" w:eastAsia="宋体" w:cs="宋体"/>
          <w:sz w:val="24"/>
          <w:szCs w:val="24"/>
          <w:highlight w:val="none"/>
        </w:rPr>
      </w:pPr>
    </w:p>
    <w:p>
      <w:pPr>
        <w:pStyle w:val="18"/>
        <w:spacing w:line="360" w:lineRule="auto"/>
        <w:ind w:firstLine="482"/>
        <w:rPr>
          <w:rFonts w:ascii="宋体" w:hAnsi="宋体" w:cs="宋体"/>
          <w:highlight w:val="none"/>
        </w:rPr>
      </w:pPr>
    </w:p>
    <w:p>
      <w:pPr>
        <w:spacing w:line="360" w:lineRule="auto"/>
        <w:rPr>
          <w:rFonts w:ascii="宋体" w:hAnsi="宋体" w:eastAsia="宋体" w:cs="宋体"/>
          <w:highlight w:val="none"/>
        </w:rPr>
      </w:pPr>
    </w:p>
    <w:p>
      <w:pPr>
        <w:pStyle w:val="17"/>
        <w:spacing w:line="360" w:lineRule="auto"/>
        <w:rPr>
          <w:rFonts w:ascii="宋体" w:hAnsi="宋体" w:eastAsia="宋体" w:cs="宋体"/>
          <w:sz w:val="24"/>
          <w:szCs w:val="24"/>
          <w:highlight w:val="none"/>
        </w:rPr>
      </w:pPr>
    </w:p>
    <w:p>
      <w:pPr>
        <w:pStyle w:val="18"/>
        <w:spacing w:line="360" w:lineRule="auto"/>
        <w:ind w:firstLine="482"/>
        <w:rPr>
          <w:rFonts w:ascii="宋体" w:hAnsi="宋体" w:cs="宋体"/>
          <w:highlight w:val="none"/>
        </w:rPr>
      </w:pPr>
    </w:p>
    <w:p>
      <w:pPr>
        <w:spacing w:line="360" w:lineRule="auto"/>
        <w:rPr>
          <w:rFonts w:ascii="宋体" w:hAnsi="宋体" w:eastAsia="宋体" w:cs="宋体"/>
          <w:highlight w:val="none"/>
        </w:rPr>
      </w:pPr>
    </w:p>
    <w:p>
      <w:pPr>
        <w:pStyle w:val="17"/>
        <w:spacing w:line="360" w:lineRule="auto"/>
        <w:rPr>
          <w:rFonts w:ascii="宋体" w:hAnsi="宋体" w:eastAsia="宋体" w:cs="宋体"/>
          <w:sz w:val="24"/>
          <w:szCs w:val="24"/>
          <w:highlight w:val="none"/>
        </w:rPr>
      </w:pPr>
    </w:p>
    <w:p>
      <w:pPr>
        <w:pStyle w:val="18"/>
        <w:spacing w:line="360" w:lineRule="auto"/>
        <w:ind w:firstLine="482"/>
        <w:rPr>
          <w:rFonts w:ascii="宋体" w:hAnsi="宋体" w:cs="宋体"/>
          <w:highlight w:val="none"/>
        </w:rPr>
      </w:pPr>
    </w:p>
    <w:p>
      <w:pPr>
        <w:spacing w:line="360" w:lineRule="auto"/>
        <w:rPr>
          <w:rFonts w:ascii="宋体" w:hAnsi="宋体" w:eastAsia="宋体" w:cs="宋体"/>
          <w:highlight w:val="none"/>
        </w:rPr>
      </w:pPr>
    </w:p>
    <w:p>
      <w:pPr>
        <w:pStyle w:val="17"/>
        <w:spacing w:line="360" w:lineRule="auto"/>
        <w:rPr>
          <w:rFonts w:ascii="宋体" w:hAnsi="宋体" w:eastAsia="宋体" w:cs="宋体"/>
          <w:sz w:val="24"/>
          <w:szCs w:val="24"/>
          <w:highlight w:val="none"/>
        </w:rPr>
      </w:pPr>
    </w:p>
    <w:p>
      <w:pPr>
        <w:pStyle w:val="18"/>
        <w:spacing w:line="360" w:lineRule="auto"/>
        <w:ind w:firstLine="482"/>
        <w:rPr>
          <w:rFonts w:ascii="宋体" w:hAnsi="宋体" w:cs="宋体"/>
          <w:highlight w:val="none"/>
        </w:rPr>
      </w:pPr>
    </w:p>
    <w:p>
      <w:pPr>
        <w:rPr>
          <w:rFonts w:ascii="宋体" w:hAnsi="宋体" w:eastAsia="宋体" w:cs="宋体"/>
          <w:highlight w:val="none"/>
        </w:rPr>
      </w:pPr>
    </w:p>
    <w:p>
      <w:pPr>
        <w:pStyle w:val="12"/>
        <w:rPr>
          <w:rFonts w:ascii="宋体" w:hAnsi="宋体" w:eastAsia="宋体" w:cs="宋体"/>
          <w:highlight w:val="none"/>
        </w:rPr>
      </w:pPr>
    </w:p>
    <w:p>
      <w:pPr>
        <w:pStyle w:val="12"/>
        <w:rPr>
          <w:rFonts w:ascii="宋体" w:hAnsi="宋体" w:eastAsia="宋体" w:cs="宋体"/>
          <w:highlight w:val="none"/>
        </w:rPr>
      </w:pPr>
    </w:p>
    <w:p>
      <w:pPr>
        <w:spacing w:line="360" w:lineRule="auto"/>
        <w:rPr>
          <w:rFonts w:ascii="宋体" w:hAnsi="宋体" w:eastAsia="宋体" w:cs="宋体"/>
          <w:highlight w:val="none"/>
        </w:rPr>
      </w:pPr>
    </w:p>
    <w:p>
      <w:pPr>
        <w:pStyle w:val="17"/>
        <w:spacing w:line="360" w:lineRule="auto"/>
        <w:rPr>
          <w:rFonts w:ascii="宋体" w:hAnsi="宋体" w:eastAsia="宋体" w:cs="宋体"/>
          <w:sz w:val="24"/>
          <w:szCs w:val="24"/>
          <w:highlight w:val="none"/>
        </w:rPr>
      </w:pPr>
    </w:p>
    <w:p>
      <w:pPr>
        <w:pStyle w:val="18"/>
        <w:spacing w:line="360" w:lineRule="auto"/>
        <w:ind w:firstLine="482"/>
        <w:rPr>
          <w:rFonts w:ascii="宋体" w:hAnsi="宋体" w:cs="宋体"/>
          <w:highlight w:val="none"/>
        </w:rPr>
      </w:pPr>
    </w:p>
    <w:p>
      <w:pPr>
        <w:spacing w:line="360" w:lineRule="auto"/>
        <w:rPr>
          <w:rFonts w:ascii="宋体" w:hAnsi="宋体" w:eastAsia="宋体" w:cs="宋体"/>
          <w:highlight w:val="none"/>
        </w:rPr>
      </w:pPr>
    </w:p>
    <w:p>
      <w:pPr>
        <w:pStyle w:val="17"/>
        <w:spacing w:line="360" w:lineRule="auto"/>
        <w:rPr>
          <w:rFonts w:ascii="宋体" w:hAnsi="宋体" w:eastAsia="宋体" w:cs="宋体"/>
          <w:sz w:val="24"/>
          <w:szCs w:val="24"/>
          <w:highlight w:val="none"/>
        </w:rPr>
      </w:pPr>
    </w:p>
    <w:p>
      <w:pPr>
        <w:pStyle w:val="18"/>
        <w:spacing w:line="360" w:lineRule="auto"/>
        <w:ind w:firstLine="482"/>
        <w:rPr>
          <w:rFonts w:ascii="宋体" w:hAnsi="宋体" w:cs="宋体"/>
          <w:highlight w:val="none"/>
        </w:rPr>
      </w:pPr>
    </w:p>
    <w:p>
      <w:pPr>
        <w:spacing w:line="360" w:lineRule="auto"/>
        <w:rPr>
          <w:rFonts w:ascii="宋体" w:hAnsi="宋体" w:eastAsia="宋体" w:cs="宋体"/>
          <w:highlight w:val="none"/>
        </w:rPr>
      </w:pPr>
    </w:p>
    <w:p>
      <w:pPr>
        <w:pStyle w:val="17"/>
        <w:spacing w:line="360" w:lineRule="auto"/>
        <w:rPr>
          <w:rFonts w:ascii="宋体" w:hAnsi="宋体" w:eastAsia="宋体" w:cs="宋体"/>
          <w:sz w:val="24"/>
          <w:szCs w:val="24"/>
          <w:highlight w:val="none"/>
        </w:rPr>
      </w:pPr>
    </w:p>
    <w:p>
      <w:pPr>
        <w:pStyle w:val="18"/>
        <w:spacing w:line="360" w:lineRule="auto"/>
        <w:ind w:firstLine="482"/>
        <w:rPr>
          <w:rFonts w:ascii="宋体" w:hAnsi="宋体" w:cs="宋体"/>
          <w:highlight w:val="none"/>
        </w:rPr>
      </w:pPr>
    </w:p>
    <w:p>
      <w:pPr>
        <w:spacing w:line="360" w:lineRule="auto"/>
        <w:rPr>
          <w:rFonts w:ascii="宋体" w:hAnsi="宋体" w:eastAsia="宋体" w:cs="宋体"/>
          <w:highlight w:val="none"/>
        </w:rPr>
      </w:pPr>
    </w:p>
    <w:p>
      <w:pPr>
        <w:pStyle w:val="17"/>
        <w:spacing w:line="360" w:lineRule="auto"/>
        <w:rPr>
          <w:rFonts w:ascii="宋体" w:hAnsi="宋体" w:eastAsia="宋体" w:cs="宋体"/>
          <w:sz w:val="24"/>
          <w:szCs w:val="24"/>
          <w:highlight w:val="none"/>
        </w:rPr>
      </w:pPr>
    </w:p>
    <w:p>
      <w:pPr>
        <w:spacing w:line="360" w:lineRule="auto"/>
        <w:rPr>
          <w:rFonts w:ascii="宋体" w:hAnsi="宋体" w:eastAsia="宋体" w:cs="宋体"/>
          <w:highlight w:val="none"/>
        </w:rPr>
      </w:pPr>
      <w:bookmarkStart w:id="179" w:name="EB9d870bdb7a1d498e842468ddcd11f267"/>
    </w:p>
    <w:p>
      <w:pPr>
        <w:pStyle w:val="17"/>
        <w:spacing w:line="360" w:lineRule="auto"/>
        <w:rPr>
          <w:rFonts w:ascii="宋体" w:hAnsi="宋体" w:eastAsia="宋体" w:cs="宋体"/>
          <w:sz w:val="24"/>
          <w:szCs w:val="24"/>
          <w:highlight w:val="none"/>
        </w:rPr>
      </w:pPr>
    </w:p>
    <w:p>
      <w:pPr>
        <w:pStyle w:val="66"/>
        <w:spacing w:line="360" w:lineRule="auto"/>
        <w:jc w:val="center"/>
        <w:rPr>
          <w:rFonts w:ascii="宋体" w:hAnsi="宋体" w:eastAsia="宋体" w:cs="宋体"/>
          <w:highlight w:val="none"/>
        </w:rPr>
      </w:pPr>
      <w:r>
        <w:rPr>
          <w:rFonts w:hint="eastAsia" w:ascii="宋体" w:hAnsi="宋体" w:eastAsia="宋体" w:cs="宋体"/>
          <w:highlight w:val="none"/>
        </w:rPr>
        <w:t>目录</w:t>
      </w:r>
    </w:p>
    <w:p>
      <w:pPr>
        <w:pStyle w:val="66"/>
        <w:spacing w:line="360" w:lineRule="auto"/>
        <w:rPr>
          <w:rFonts w:ascii="宋体" w:hAnsi="宋体" w:eastAsia="宋体" w:cs="宋体"/>
          <w:highlight w:val="none"/>
        </w:rPr>
      </w:pPr>
      <w:r>
        <w:rPr>
          <w:rFonts w:hint="eastAsia" w:ascii="宋体" w:hAnsi="宋体" w:eastAsia="宋体" w:cs="宋体"/>
          <w:highlight w:val="none"/>
        </w:rPr>
        <w:t>一、封面</w:t>
      </w:r>
    </w:p>
    <w:p>
      <w:pPr>
        <w:pStyle w:val="66"/>
        <w:spacing w:line="360" w:lineRule="auto"/>
        <w:rPr>
          <w:rFonts w:ascii="宋体" w:hAnsi="宋体" w:eastAsia="宋体" w:cs="宋体"/>
          <w:highlight w:val="none"/>
        </w:rPr>
      </w:pPr>
      <w:r>
        <w:rPr>
          <w:rFonts w:hint="eastAsia" w:ascii="宋体" w:hAnsi="宋体" w:eastAsia="宋体" w:cs="宋体"/>
          <w:highlight w:val="none"/>
        </w:rPr>
        <w:t>二、投标函</w:t>
      </w:r>
    </w:p>
    <w:p>
      <w:pPr>
        <w:pStyle w:val="66"/>
        <w:spacing w:line="360" w:lineRule="auto"/>
        <w:rPr>
          <w:rFonts w:ascii="宋体" w:hAnsi="宋体" w:eastAsia="宋体" w:cs="宋体"/>
          <w:highlight w:val="none"/>
        </w:rPr>
      </w:pPr>
      <w:r>
        <w:rPr>
          <w:rFonts w:hint="eastAsia" w:ascii="宋体" w:hAnsi="宋体" w:eastAsia="宋体" w:cs="宋体"/>
          <w:highlight w:val="none"/>
        </w:rPr>
        <w:t>三、法定代表人授权书</w:t>
      </w:r>
    </w:p>
    <w:p>
      <w:pPr>
        <w:pStyle w:val="66"/>
        <w:spacing w:line="360" w:lineRule="auto"/>
        <w:rPr>
          <w:rFonts w:ascii="宋体" w:hAnsi="宋体" w:eastAsia="宋体" w:cs="宋体"/>
          <w:highlight w:val="none"/>
        </w:rPr>
      </w:pPr>
      <w:r>
        <w:rPr>
          <w:rFonts w:hint="eastAsia" w:ascii="宋体" w:hAnsi="宋体" w:eastAsia="宋体" w:cs="宋体"/>
          <w:highlight w:val="none"/>
        </w:rPr>
        <w:t>四、法人被授权人身份证扫描件</w:t>
      </w:r>
    </w:p>
    <w:p>
      <w:pPr>
        <w:pStyle w:val="66"/>
        <w:spacing w:line="360" w:lineRule="auto"/>
        <w:rPr>
          <w:rFonts w:ascii="宋体" w:hAnsi="宋体" w:eastAsia="宋体" w:cs="宋体"/>
          <w:highlight w:val="none"/>
        </w:rPr>
      </w:pPr>
      <w:r>
        <w:rPr>
          <w:rFonts w:hint="eastAsia" w:ascii="宋体" w:hAnsi="宋体" w:eastAsia="宋体" w:cs="宋体"/>
          <w:highlight w:val="none"/>
        </w:rPr>
        <w:t>五、资格证明材料</w:t>
      </w:r>
    </w:p>
    <w:p>
      <w:pPr>
        <w:pStyle w:val="66"/>
        <w:spacing w:line="360" w:lineRule="auto"/>
        <w:rPr>
          <w:rFonts w:ascii="宋体" w:hAnsi="宋体" w:eastAsia="宋体" w:cs="宋体"/>
          <w:highlight w:val="none"/>
        </w:rPr>
      </w:pPr>
      <w:r>
        <w:rPr>
          <w:rFonts w:hint="eastAsia" w:ascii="宋体" w:hAnsi="宋体" w:eastAsia="宋体" w:cs="宋体"/>
          <w:highlight w:val="none"/>
        </w:rPr>
        <w:t>六、开标一览表</w:t>
      </w:r>
    </w:p>
    <w:p>
      <w:pPr>
        <w:pStyle w:val="66"/>
        <w:spacing w:line="360" w:lineRule="auto"/>
        <w:rPr>
          <w:rFonts w:ascii="宋体" w:hAnsi="宋体" w:eastAsia="宋体" w:cs="宋体"/>
          <w:highlight w:val="none"/>
        </w:rPr>
      </w:pPr>
      <w:r>
        <w:rPr>
          <w:rFonts w:hint="eastAsia" w:ascii="宋体" w:hAnsi="宋体" w:eastAsia="宋体" w:cs="宋体"/>
          <w:highlight w:val="none"/>
        </w:rPr>
        <w:t>七、报价明细表</w:t>
      </w:r>
    </w:p>
    <w:p>
      <w:pPr>
        <w:pStyle w:val="66"/>
        <w:spacing w:line="360" w:lineRule="auto"/>
        <w:rPr>
          <w:rFonts w:ascii="宋体" w:hAnsi="宋体" w:eastAsia="宋体" w:cs="宋体"/>
          <w:highlight w:val="none"/>
        </w:rPr>
      </w:pPr>
      <w:r>
        <w:rPr>
          <w:rFonts w:hint="eastAsia" w:ascii="宋体" w:hAnsi="宋体" w:eastAsia="宋体" w:cs="宋体"/>
          <w:highlight w:val="none"/>
        </w:rPr>
        <w:t>八、中小微企业声明函（投标人）</w:t>
      </w:r>
    </w:p>
    <w:p>
      <w:pPr>
        <w:pStyle w:val="66"/>
        <w:spacing w:line="360" w:lineRule="auto"/>
        <w:rPr>
          <w:rFonts w:ascii="宋体" w:hAnsi="宋体" w:eastAsia="宋体" w:cs="宋体"/>
          <w:highlight w:val="none"/>
        </w:rPr>
      </w:pPr>
      <w:r>
        <w:rPr>
          <w:rFonts w:hint="eastAsia" w:ascii="宋体" w:hAnsi="宋体" w:eastAsia="宋体" w:cs="宋体"/>
          <w:highlight w:val="none"/>
        </w:rPr>
        <w:t>九、残疾人福利性单位声明函</w:t>
      </w:r>
    </w:p>
    <w:p>
      <w:pPr>
        <w:pStyle w:val="66"/>
        <w:spacing w:line="360" w:lineRule="auto"/>
        <w:rPr>
          <w:rFonts w:ascii="宋体" w:hAnsi="宋体" w:eastAsia="宋体" w:cs="宋体"/>
          <w:highlight w:val="none"/>
        </w:rPr>
      </w:pPr>
      <w:r>
        <w:rPr>
          <w:rFonts w:hint="eastAsia" w:ascii="宋体" w:hAnsi="宋体" w:eastAsia="宋体" w:cs="宋体"/>
          <w:highlight w:val="none"/>
        </w:rPr>
        <w:t>十、监狱企业证明文件</w:t>
      </w:r>
    </w:p>
    <w:p>
      <w:pPr>
        <w:pStyle w:val="66"/>
        <w:spacing w:line="360" w:lineRule="auto"/>
        <w:rPr>
          <w:rFonts w:ascii="宋体" w:hAnsi="宋体" w:eastAsia="宋体" w:cs="宋体"/>
          <w:highlight w:val="none"/>
        </w:rPr>
      </w:pPr>
      <w:r>
        <w:rPr>
          <w:rFonts w:hint="eastAsia" w:ascii="宋体" w:hAnsi="宋体" w:eastAsia="宋体" w:cs="宋体"/>
          <w:highlight w:val="none"/>
        </w:rPr>
        <w:t>十一、技术要求响应与偏差表</w:t>
      </w:r>
    </w:p>
    <w:p>
      <w:pPr>
        <w:pStyle w:val="66"/>
        <w:spacing w:line="360" w:lineRule="auto"/>
        <w:rPr>
          <w:rFonts w:ascii="宋体" w:hAnsi="宋体" w:eastAsia="宋体" w:cs="宋体"/>
          <w:highlight w:val="none"/>
        </w:rPr>
      </w:pPr>
      <w:r>
        <w:rPr>
          <w:rFonts w:hint="eastAsia" w:ascii="宋体" w:hAnsi="宋体" w:eastAsia="宋体" w:cs="宋体"/>
          <w:highlight w:val="none"/>
        </w:rPr>
        <w:t>十二、商务要求响应与偏差表</w:t>
      </w:r>
    </w:p>
    <w:p>
      <w:pPr>
        <w:pStyle w:val="66"/>
        <w:spacing w:line="360" w:lineRule="auto"/>
        <w:rPr>
          <w:rFonts w:ascii="宋体" w:hAnsi="宋体" w:eastAsia="宋体" w:cs="宋体"/>
          <w:highlight w:val="none"/>
        </w:rPr>
      </w:pPr>
      <w:r>
        <w:rPr>
          <w:rFonts w:hint="eastAsia" w:ascii="宋体" w:hAnsi="宋体" w:eastAsia="宋体" w:cs="宋体"/>
          <w:highlight w:val="none"/>
        </w:rPr>
        <w:t>十三、节能产品、环境标志产品明细表</w:t>
      </w:r>
    </w:p>
    <w:p>
      <w:pPr>
        <w:pStyle w:val="66"/>
        <w:spacing w:line="360" w:lineRule="auto"/>
        <w:rPr>
          <w:rFonts w:ascii="宋体" w:hAnsi="宋体" w:eastAsia="宋体" w:cs="宋体"/>
          <w:highlight w:val="none"/>
        </w:rPr>
      </w:pPr>
      <w:r>
        <w:rPr>
          <w:rFonts w:hint="eastAsia" w:ascii="宋体" w:hAnsi="宋体" w:eastAsia="宋体" w:cs="宋体"/>
          <w:highlight w:val="none"/>
        </w:rPr>
        <w:t>十四、项目实施方案</w:t>
      </w:r>
    </w:p>
    <w:p>
      <w:pPr>
        <w:pStyle w:val="66"/>
        <w:spacing w:line="360" w:lineRule="auto"/>
        <w:rPr>
          <w:rFonts w:ascii="宋体" w:hAnsi="宋体" w:eastAsia="宋体" w:cs="宋体"/>
          <w:highlight w:val="none"/>
        </w:rPr>
      </w:pPr>
      <w:r>
        <w:rPr>
          <w:rFonts w:hint="eastAsia" w:ascii="宋体" w:hAnsi="宋体" w:eastAsia="宋体" w:cs="宋体"/>
          <w:highlight w:val="none"/>
        </w:rPr>
        <w:t>十五、售后服务计划</w:t>
      </w:r>
    </w:p>
    <w:p>
      <w:pPr>
        <w:pStyle w:val="66"/>
        <w:spacing w:line="360" w:lineRule="auto"/>
        <w:rPr>
          <w:rFonts w:ascii="宋体" w:hAnsi="宋体" w:eastAsia="宋体" w:cs="宋体"/>
          <w:highlight w:val="none"/>
        </w:rPr>
      </w:pPr>
      <w:r>
        <w:rPr>
          <w:rFonts w:hint="eastAsia" w:ascii="宋体" w:hAnsi="宋体" w:eastAsia="宋体" w:cs="宋体"/>
          <w:highlight w:val="none"/>
        </w:rPr>
        <w:t>十六、其他需要提供的资料</w:t>
      </w:r>
    </w:p>
    <w:p>
      <w:pPr>
        <w:pStyle w:val="66"/>
        <w:spacing w:line="360" w:lineRule="auto"/>
        <w:rPr>
          <w:rFonts w:ascii="宋体" w:hAnsi="宋体" w:eastAsia="宋体" w:cs="宋体"/>
          <w:highlight w:val="none"/>
        </w:rPr>
      </w:pPr>
      <w:r>
        <w:rPr>
          <w:rFonts w:hint="eastAsia" w:ascii="宋体" w:hAnsi="宋体" w:eastAsia="宋体" w:cs="宋体"/>
          <w:highlight w:val="none"/>
        </w:rPr>
        <w:t>十七、参与评审打分的证书（证件）一览表</w:t>
      </w:r>
    </w:p>
    <w:p>
      <w:pPr>
        <w:pStyle w:val="66"/>
        <w:spacing w:line="360" w:lineRule="auto"/>
        <w:rPr>
          <w:rFonts w:ascii="宋体" w:hAnsi="宋体" w:eastAsia="宋体" w:cs="宋体"/>
          <w:highlight w:val="none"/>
        </w:rPr>
      </w:pPr>
      <w:r>
        <w:rPr>
          <w:rFonts w:hint="eastAsia" w:ascii="宋体" w:hAnsi="宋体" w:eastAsia="宋体" w:cs="宋体"/>
          <w:highlight w:val="none"/>
        </w:rPr>
        <w:t>十八、参与评审打分的证书（证件）扫描件</w:t>
      </w:r>
    </w:p>
    <w:p>
      <w:pPr>
        <w:pStyle w:val="66"/>
        <w:spacing w:line="360" w:lineRule="auto"/>
        <w:rPr>
          <w:rFonts w:ascii="宋体" w:hAnsi="宋体" w:eastAsia="宋体" w:cs="宋体"/>
          <w:highlight w:val="none"/>
        </w:rPr>
      </w:pPr>
      <w:r>
        <w:rPr>
          <w:rFonts w:hint="eastAsia" w:ascii="宋体" w:hAnsi="宋体" w:eastAsia="宋体" w:cs="宋体"/>
          <w:highlight w:val="none"/>
        </w:rPr>
        <w:t>十九、参与评审打分的合同业绩一览表</w:t>
      </w:r>
    </w:p>
    <w:p>
      <w:pPr>
        <w:pStyle w:val="66"/>
        <w:spacing w:line="360" w:lineRule="auto"/>
        <w:rPr>
          <w:rFonts w:ascii="宋体" w:hAnsi="宋体" w:eastAsia="宋体" w:cs="宋体"/>
          <w:highlight w:val="none"/>
        </w:rPr>
      </w:pPr>
      <w:r>
        <w:rPr>
          <w:rFonts w:hint="eastAsia" w:ascii="宋体" w:hAnsi="宋体" w:eastAsia="宋体" w:cs="宋体"/>
          <w:highlight w:val="none"/>
        </w:rPr>
        <w:t>二十、参与评审打分的合同业绩扫描件</w:t>
      </w:r>
    </w:p>
    <w:p>
      <w:pPr>
        <w:spacing w:line="360" w:lineRule="auto"/>
        <w:rPr>
          <w:rFonts w:ascii="宋体" w:hAnsi="宋体" w:eastAsia="宋体" w:cs="宋体"/>
          <w:highlight w:val="none"/>
        </w:rPr>
      </w:pPr>
    </w:p>
    <w:p>
      <w:pPr>
        <w:pStyle w:val="67"/>
        <w:spacing w:line="360" w:lineRule="auto"/>
        <w:rPr>
          <w:rFonts w:ascii="宋体" w:hAnsi="宋体" w:eastAsia="宋体" w:cs="宋体"/>
          <w:sz w:val="24"/>
          <w:highlight w:val="none"/>
        </w:rPr>
      </w:pPr>
      <w:r>
        <w:rPr>
          <w:rFonts w:hint="eastAsia" w:ascii="宋体" w:hAnsi="宋体" w:eastAsia="宋体" w:cs="宋体"/>
          <w:sz w:val="24"/>
          <w:highlight w:val="none"/>
        </w:rPr>
        <w:br w:type="page"/>
      </w:r>
      <w:bookmarkStart w:id="180" w:name="_Toc256000056"/>
      <w:r>
        <w:rPr>
          <w:rFonts w:hint="eastAsia" w:ascii="宋体" w:hAnsi="宋体" w:eastAsia="宋体" w:cs="宋体"/>
          <w:sz w:val="24"/>
          <w:highlight w:val="none"/>
        </w:rPr>
        <w:t>一、投标文件格式</w:t>
      </w:r>
      <w:bookmarkEnd w:id="180"/>
    </w:p>
    <w:p>
      <w:pPr>
        <w:pStyle w:val="68"/>
        <w:spacing w:line="360" w:lineRule="auto"/>
        <w:rPr>
          <w:rFonts w:ascii="宋体" w:hAnsi="宋体" w:eastAsia="宋体" w:cs="宋体"/>
          <w:sz w:val="24"/>
          <w:highlight w:val="none"/>
        </w:rPr>
      </w:pPr>
      <w:bookmarkStart w:id="181" w:name="_Toc256000057"/>
      <w:r>
        <w:rPr>
          <w:rFonts w:hint="eastAsia" w:ascii="宋体" w:hAnsi="宋体" w:eastAsia="宋体" w:cs="宋体"/>
          <w:sz w:val="24"/>
          <w:highlight w:val="none"/>
        </w:rPr>
        <w:t>一、封面</w:t>
      </w:r>
      <w:bookmarkEnd w:id="181"/>
    </w:p>
    <w:p>
      <w:pPr>
        <w:pStyle w:val="30"/>
        <w:spacing w:line="360" w:lineRule="auto"/>
        <w:rPr>
          <w:rFonts w:ascii="宋体" w:hAnsi="宋体" w:cs="宋体"/>
          <w:kern w:val="0"/>
          <w:sz w:val="24"/>
          <w:szCs w:val="24"/>
          <w:highlight w:val="none"/>
        </w:rPr>
      </w:pPr>
    </w:p>
    <w:p>
      <w:pPr>
        <w:pStyle w:val="69"/>
        <w:spacing w:line="360" w:lineRule="auto"/>
        <w:ind w:firstLine="0"/>
        <w:rPr>
          <w:rFonts w:ascii="宋体" w:hAnsi="宋体" w:eastAsia="宋体" w:cs="宋体"/>
          <w:b/>
          <w:spacing w:val="14"/>
          <w:sz w:val="24"/>
          <w:szCs w:val="24"/>
          <w:highlight w:val="none"/>
        </w:rPr>
      </w:pPr>
    </w:p>
    <w:p>
      <w:pPr>
        <w:pStyle w:val="69"/>
        <w:spacing w:line="360" w:lineRule="auto"/>
        <w:ind w:firstLine="0"/>
        <w:jc w:val="center"/>
        <w:rPr>
          <w:rFonts w:ascii="宋体" w:hAnsi="宋体" w:eastAsia="宋体" w:cs="宋体"/>
          <w:b/>
          <w:spacing w:val="14"/>
          <w:sz w:val="44"/>
          <w:szCs w:val="44"/>
          <w:highlight w:val="none"/>
        </w:rPr>
      </w:pPr>
      <w:r>
        <w:rPr>
          <w:rFonts w:hint="eastAsia" w:ascii="宋体" w:hAnsi="宋体" w:eastAsia="宋体" w:cs="宋体"/>
          <w:b/>
          <w:spacing w:val="14"/>
          <w:sz w:val="44"/>
          <w:szCs w:val="44"/>
          <w:highlight w:val="none"/>
        </w:rPr>
        <w:t>投标文件</w:t>
      </w:r>
    </w:p>
    <w:p>
      <w:pPr>
        <w:pStyle w:val="70"/>
        <w:spacing w:line="360" w:lineRule="auto"/>
        <w:rPr>
          <w:rFonts w:ascii="宋体" w:hAnsi="宋体" w:cs="宋体"/>
          <w:sz w:val="24"/>
          <w:szCs w:val="24"/>
          <w:highlight w:val="none"/>
        </w:rPr>
      </w:pPr>
    </w:p>
    <w:p>
      <w:pPr>
        <w:pStyle w:val="69"/>
        <w:spacing w:line="360" w:lineRule="auto"/>
        <w:ind w:firstLine="0"/>
        <w:rPr>
          <w:rFonts w:ascii="宋体" w:hAnsi="宋体" w:eastAsia="宋体" w:cs="宋体"/>
          <w:spacing w:val="14"/>
          <w:sz w:val="24"/>
          <w:szCs w:val="24"/>
          <w:highlight w:val="none"/>
        </w:rPr>
      </w:pPr>
      <w:r>
        <w:rPr>
          <w:rFonts w:hint="eastAsia" w:ascii="宋体" w:hAnsi="宋体" w:eastAsia="宋体" w:cs="宋体"/>
          <w:spacing w:val="14"/>
          <w:sz w:val="24"/>
          <w:szCs w:val="24"/>
          <w:highlight w:val="none"/>
        </w:rPr>
        <w:t>项目名称：</w:t>
      </w:r>
    </w:p>
    <w:p>
      <w:pPr>
        <w:pStyle w:val="69"/>
        <w:spacing w:line="360" w:lineRule="auto"/>
        <w:ind w:firstLine="0"/>
        <w:rPr>
          <w:rFonts w:ascii="宋体" w:hAnsi="宋体" w:eastAsia="宋体" w:cs="宋体"/>
          <w:spacing w:val="14"/>
          <w:sz w:val="24"/>
          <w:szCs w:val="24"/>
          <w:highlight w:val="none"/>
        </w:rPr>
      </w:pPr>
      <w:r>
        <w:rPr>
          <w:rFonts w:hint="eastAsia" w:ascii="宋体" w:hAnsi="宋体" w:eastAsia="宋体" w:cs="宋体"/>
          <w:spacing w:val="14"/>
          <w:sz w:val="24"/>
          <w:szCs w:val="24"/>
          <w:highlight w:val="none"/>
        </w:rPr>
        <w:t>项目编号：</w:t>
      </w:r>
    </w:p>
    <w:p>
      <w:pPr>
        <w:pStyle w:val="70"/>
        <w:spacing w:line="360" w:lineRule="auto"/>
        <w:rPr>
          <w:rFonts w:ascii="宋体" w:hAnsi="宋体" w:cs="宋体"/>
          <w:sz w:val="24"/>
          <w:szCs w:val="24"/>
          <w:highlight w:val="none"/>
        </w:rPr>
      </w:pPr>
      <w:r>
        <w:rPr>
          <w:rFonts w:hint="eastAsia" w:ascii="宋体" w:hAnsi="宋体" w:cs="宋体"/>
          <w:spacing w:val="14"/>
          <w:sz w:val="24"/>
          <w:szCs w:val="24"/>
          <w:highlight w:val="none"/>
        </w:rPr>
        <w:t>政府采购管理部门备案编号：</w:t>
      </w:r>
    </w:p>
    <w:p>
      <w:pPr>
        <w:pStyle w:val="69"/>
        <w:spacing w:line="360" w:lineRule="auto"/>
        <w:ind w:firstLine="0"/>
        <w:rPr>
          <w:rFonts w:ascii="宋体" w:hAnsi="宋体" w:eastAsia="宋体" w:cs="宋体"/>
          <w:spacing w:val="14"/>
          <w:sz w:val="24"/>
          <w:szCs w:val="24"/>
          <w:highlight w:val="none"/>
        </w:rPr>
      </w:pPr>
    </w:p>
    <w:p>
      <w:pPr>
        <w:pStyle w:val="69"/>
        <w:spacing w:line="360" w:lineRule="auto"/>
        <w:ind w:firstLine="0"/>
        <w:rPr>
          <w:rFonts w:ascii="宋体" w:hAnsi="宋体" w:eastAsia="宋体" w:cs="宋体"/>
          <w:spacing w:val="14"/>
          <w:sz w:val="24"/>
          <w:szCs w:val="24"/>
          <w:highlight w:val="none"/>
        </w:rPr>
      </w:pPr>
    </w:p>
    <w:p>
      <w:pPr>
        <w:pStyle w:val="69"/>
        <w:spacing w:line="360" w:lineRule="auto"/>
        <w:ind w:firstLine="0"/>
        <w:rPr>
          <w:rFonts w:ascii="宋体" w:hAnsi="宋体" w:eastAsia="宋体" w:cs="宋体"/>
          <w:spacing w:val="14"/>
          <w:sz w:val="24"/>
          <w:szCs w:val="24"/>
          <w:highlight w:val="none"/>
        </w:rPr>
      </w:pPr>
    </w:p>
    <w:p>
      <w:pPr>
        <w:pStyle w:val="69"/>
        <w:spacing w:line="360" w:lineRule="auto"/>
        <w:ind w:firstLine="0"/>
        <w:rPr>
          <w:rFonts w:ascii="宋体" w:hAnsi="宋体" w:eastAsia="宋体" w:cs="宋体"/>
          <w:spacing w:val="14"/>
          <w:sz w:val="24"/>
          <w:szCs w:val="24"/>
          <w:highlight w:val="none"/>
        </w:rPr>
      </w:pPr>
    </w:p>
    <w:p>
      <w:pPr>
        <w:pStyle w:val="69"/>
        <w:spacing w:line="360" w:lineRule="auto"/>
        <w:ind w:firstLine="0"/>
        <w:rPr>
          <w:rFonts w:ascii="宋体" w:hAnsi="宋体" w:eastAsia="宋体" w:cs="宋体"/>
          <w:spacing w:val="14"/>
          <w:sz w:val="24"/>
          <w:szCs w:val="24"/>
          <w:highlight w:val="none"/>
        </w:rPr>
      </w:pPr>
    </w:p>
    <w:p>
      <w:pPr>
        <w:pStyle w:val="70"/>
        <w:spacing w:line="360" w:lineRule="auto"/>
        <w:rPr>
          <w:rFonts w:ascii="宋体" w:hAnsi="宋体" w:cs="宋体"/>
          <w:sz w:val="24"/>
          <w:szCs w:val="24"/>
          <w:highlight w:val="none"/>
        </w:rPr>
      </w:pPr>
    </w:p>
    <w:p>
      <w:pPr>
        <w:pStyle w:val="70"/>
        <w:spacing w:line="360" w:lineRule="auto"/>
        <w:rPr>
          <w:rFonts w:ascii="宋体" w:hAnsi="宋体" w:cs="宋体"/>
          <w:sz w:val="24"/>
          <w:szCs w:val="24"/>
          <w:highlight w:val="none"/>
        </w:rPr>
      </w:pPr>
    </w:p>
    <w:p>
      <w:pPr>
        <w:pStyle w:val="69"/>
        <w:spacing w:line="360" w:lineRule="auto"/>
        <w:ind w:firstLine="0"/>
        <w:rPr>
          <w:rFonts w:ascii="宋体" w:hAnsi="宋体" w:eastAsia="宋体" w:cs="宋体"/>
          <w:spacing w:val="14"/>
          <w:sz w:val="24"/>
          <w:szCs w:val="24"/>
          <w:highlight w:val="none"/>
        </w:rPr>
      </w:pPr>
    </w:p>
    <w:p>
      <w:pPr>
        <w:pStyle w:val="69"/>
        <w:spacing w:line="360" w:lineRule="auto"/>
        <w:ind w:firstLine="0"/>
        <w:rPr>
          <w:rFonts w:ascii="宋体" w:hAnsi="宋体" w:eastAsia="宋体" w:cs="宋体"/>
          <w:spacing w:val="14"/>
          <w:sz w:val="24"/>
          <w:szCs w:val="24"/>
          <w:highlight w:val="none"/>
        </w:rPr>
      </w:pPr>
    </w:p>
    <w:p>
      <w:pPr>
        <w:pStyle w:val="69"/>
        <w:spacing w:line="360" w:lineRule="auto"/>
        <w:ind w:firstLine="0"/>
        <w:rPr>
          <w:rFonts w:ascii="宋体" w:hAnsi="宋体" w:eastAsia="宋体" w:cs="宋体"/>
          <w:spacing w:val="14"/>
          <w:sz w:val="24"/>
          <w:szCs w:val="24"/>
          <w:highlight w:val="none"/>
        </w:rPr>
      </w:pPr>
      <w:r>
        <w:rPr>
          <w:rFonts w:hint="eastAsia" w:ascii="宋体" w:hAnsi="宋体" w:eastAsia="宋体" w:cs="宋体"/>
          <w:spacing w:val="14"/>
          <w:sz w:val="24"/>
          <w:szCs w:val="24"/>
          <w:highlight w:val="none"/>
        </w:rPr>
        <w:t>投标人名称：（企业电子章）</w:t>
      </w:r>
    </w:p>
    <w:p>
      <w:pPr>
        <w:pStyle w:val="69"/>
        <w:spacing w:line="360" w:lineRule="auto"/>
        <w:ind w:firstLine="0"/>
        <w:rPr>
          <w:rFonts w:ascii="宋体" w:hAnsi="宋体" w:eastAsia="宋体" w:cs="宋体"/>
          <w:spacing w:val="14"/>
          <w:sz w:val="24"/>
          <w:szCs w:val="24"/>
          <w:highlight w:val="none"/>
        </w:rPr>
      </w:pPr>
      <w:r>
        <w:rPr>
          <w:rFonts w:hint="eastAsia" w:ascii="宋体" w:hAnsi="宋体" w:eastAsia="宋体" w:cs="宋体"/>
          <w:spacing w:val="14"/>
          <w:sz w:val="24"/>
          <w:szCs w:val="24"/>
          <w:highlight w:val="none"/>
        </w:rPr>
        <w:t>日期：</w:t>
      </w:r>
    </w:p>
    <w:p>
      <w:pPr>
        <w:pStyle w:val="72"/>
        <w:spacing w:line="360" w:lineRule="auto"/>
        <w:rPr>
          <w:rFonts w:ascii="宋体" w:hAnsi="宋体" w:eastAsia="宋体" w:cs="宋体"/>
          <w:sz w:val="24"/>
          <w:highlight w:val="none"/>
        </w:rPr>
      </w:pPr>
      <w:r>
        <w:rPr>
          <w:rFonts w:hint="eastAsia" w:ascii="宋体" w:hAnsi="宋体" w:eastAsia="宋体" w:cs="宋体"/>
          <w:sz w:val="24"/>
          <w:highlight w:val="none"/>
        </w:rPr>
        <w:br w:type="page"/>
      </w:r>
      <w:bookmarkStart w:id="182" w:name="_Toc256000058"/>
      <w:r>
        <w:rPr>
          <w:rFonts w:hint="eastAsia" w:ascii="宋体" w:hAnsi="宋体" w:eastAsia="宋体" w:cs="宋体"/>
          <w:sz w:val="24"/>
          <w:highlight w:val="none"/>
        </w:rPr>
        <w:t>二、投标函</w:t>
      </w:r>
      <w:bookmarkEnd w:id="182"/>
    </w:p>
    <w:p>
      <w:pPr>
        <w:pStyle w:val="73"/>
        <w:spacing w:line="360" w:lineRule="auto"/>
        <w:ind w:firstLine="0"/>
        <w:jc w:val="center"/>
        <w:rPr>
          <w:rFonts w:ascii="宋体" w:hAnsi="宋体" w:eastAsia="宋体" w:cs="宋体"/>
          <w:spacing w:val="14"/>
          <w:sz w:val="24"/>
          <w:szCs w:val="24"/>
          <w:highlight w:val="none"/>
        </w:rPr>
      </w:pPr>
      <w:r>
        <w:rPr>
          <w:rFonts w:hint="eastAsia" w:ascii="宋体" w:hAnsi="宋体" w:eastAsia="宋体" w:cs="宋体"/>
          <w:spacing w:val="14"/>
          <w:sz w:val="24"/>
          <w:szCs w:val="24"/>
          <w:highlight w:val="none"/>
        </w:rPr>
        <w:t>投标函</w:t>
      </w:r>
    </w:p>
    <w:p>
      <w:pPr>
        <w:pStyle w:val="73"/>
        <w:spacing w:line="360" w:lineRule="auto"/>
        <w:rPr>
          <w:rFonts w:ascii="宋体" w:hAnsi="宋体" w:eastAsia="宋体" w:cs="宋体"/>
          <w:spacing w:val="14"/>
          <w:sz w:val="24"/>
          <w:szCs w:val="24"/>
          <w:highlight w:val="none"/>
        </w:rPr>
      </w:pPr>
      <w:r>
        <w:rPr>
          <w:rFonts w:hint="eastAsia" w:ascii="宋体" w:hAnsi="宋体" w:eastAsia="宋体" w:cs="宋体"/>
          <w:spacing w:val="14"/>
          <w:sz w:val="24"/>
          <w:szCs w:val="24"/>
          <w:highlight w:val="none"/>
        </w:rPr>
        <w:t>致：</w:t>
      </w:r>
      <w:r>
        <w:rPr>
          <w:rFonts w:hint="eastAsia" w:ascii="宋体" w:hAnsi="宋体" w:eastAsia="宋体" w:cs="宋体"/>
          <w:spacing w:val="14"/>
          <w:sz w:val="24"/>
          <w:szCs w:val="24"/>
          <w:highlight w:val="none"/>
          <w:u w:val="single" w:color="000000"/>
        </w:rPr>
        <w:t>采购人</w:t>
      </w:r>
    </w:p>
    <w:p>
      <w:pPr>
        <w:pStyle w:val="73"/>
        <w:spacing w:line="360" w:lineRule="auto"/>
        <w:rPr>
          <w:rFonts w:ascii="宋体" w:hAnsi="宋体" w:eastAsia="宋体" w:cs="宋体"/>
          <w:spacing w:val="14"/>
          <w:sz w:val="24"/>
          <w:szCs w:val="24"/>
          <w:highlight w:val="none"/>
        </w:rPr>
      </w:pPr>
      <w:r>
        <w:rPr>
          <w:rFonts w:hint="eastAsia" w:ascii="宋体" w:hAnsi="宋体" w:eastAsia="宋体" w:cs="宋体"/>
          <w:spacing w:val="14"/>
          <w:sz w:val="24"/>
          <w:szCs w:val="24"/>
          <w:highlight w:val="none"/>
        </w:rPr>
        <w:t>根据贵方项目编号为的采购公告，我方签字代表经正式授权并代表投标人提交投标文件及相关资料，并对之负法律责任。</w:t>
      </w:r>
    </w:p>
    <w:p>
      <w:pPr>
        <w:pStyle w:val="73"/>
        <w:spacing w:line="360" w:lineRule="auto"/>
        <w:rPr>
          <w:rFonts w:ascii="宋体" w:hAnsi="宋体" w:eastAsia="宋体" w:cs="宋体"/>
          <w:spacing w:val="14"/>
          <w:sz w:val="24"/>
          <w:szCs w:val="24"/>
          <w:highlight w:val="none"/>
        </w:rPr>
      </w:pPr>
      <w:r>
        <w:rPr>
          <w:rFonts w:hint="eastAsia" w:ascii="宋体" w:hAnsi="宋体" w:eastAsia="宋体" w:cs="宋体"/>
          <w:spacing w:val="14"/>
          <w:sz w:val="24"/>
          <w:szCs w:val="24"/>
          <w:highlight w:val="none"/>
        </w:rPr>
        <w:t>据此函，签字代表宣布同意如下：</w:t>
      </w:r>
    </w:p>
    <w:p>
      <w:pPr>
        <w:pStyle w:val="73"/>
        <w:spacing w:line="360" w:lineRule="auto"/>
        <w:rPr>
          <w:rFonts w:ascii="宋体" w:hAnsi="宋体" w:eastAsia="宋体" w:cs="宋体"/>
          <w:spacing w:val="14"/>
          <w:sz w:val="24"/>
          <w:szCs w:val="24"/>
          <w:highlight w:val="none"/>
        </w:rPr>
      </w:pPr>
      <w:r>
        <w:rPr>
          <w:rFonts w:hint="eastAsia" w:ascii="宋体" w:hAnsi="宋体" w:eastAsia="宋体" w:cs="宋体"/>
          <w:spacing w:val="14"/>
          <w:sz w:val="24"/>
          <w:szCs w:val="24"/>
          <w:highlight w:val="none"/>
        </w:rPr>
        <w:t>1、依法依规、诚实守信、公平竞争参加本次采购活动。</w:t>
      </w:r>
    </w:p>
    <w:p>
      <w:pPr>
        <w:pStyle w:val="73"/>
        <w:spacing w:line="360" w:lineRule="auto"/>
        <w:rPr>
          <w:rFonts w:ascii="宋体" w:hAnsi="宋体" w:eastAsia="宋体" w:cs="宋体"/>
          <w:spacing w:val="14"/>
          <w:sz w:val="24"/>
          <w:szCs w:val="24"/>
          <w:highlight w:val="none"/>
        </w:rPr>
      </w:pPr>
      <w:r>
        <w:rPr>
          <w:rFonts w:hint="eastAsia" w:ascii="宋体" w:hAnsi="宋体" w:eastAsia="宋体" w:cs="宋体"/>
          <w:spacing w:val="14"/>
          <w:sz w:val="24"/>
          <w:szCs w:val="24"/>
          <w:highlight w:val="none"/>
        </w:rPr>
        <w:t>2、我方保证投标文件中的所有资料均为真实、准确、完整、有效的，且不具有任何误导性，否则，我方承诺投标文件无效并自愿承担一切法律责任。</w:t>
      </w:r>
    </w:p>
    <w:p>
      <w:pPr>
        <w:pStyle w:val="73"/>
        <w:spacing w:line="360" w:lineRule="auto"/>
        <w:rPr>
          <w:rFonts w:ascii="宋体" w:hAnsi="宋体" w:eastAsia="宋体" w:cs="宋体"/>
          <w:spacing w:val="14"/>
          <w:sz w:val="24"/>
          <w:szCs w:val="24"/>
          <w:highlight w:val="none"/>
        </w:rPr>
      </w:pPr>
      <w:r>
        <w:rPr>
          <w:rFonts w:hint="eastAsia" w:ascii="宋体" w:hAnsi="宋体" w:eastAsia="宋体" w:cs="宋体"/>
          <w:spacing w:val="14"/>
          <w:sz w:val="24"/>
          <w:szCs w:val="24"/>
          <w:highlight w:val="none"/>
        </w:rPr>
        <w:t>3、我方的报价详见开标一览表。</w:t>
      </w:r>
    </w:p>
    <w:p>
      <w:pPr>
        <w:pStyle w:val="73"/>
        <w:spacing w:line="360" w:lineRule="auto"/>
        <w:rPr>
          <w:rFonts w:ascii="宋体" w:hAnsi="宋体" w:eastAsia="宋体" w:cs="宋体"/>
          <w:spacing w:val="14"/>
          <w:sz w:val="24"/>
          <w:szCs w:val="24"/>
          <w:highlight w:val="none"/>
        </w:rPr>
      </w:pPr>
      <w:r>
        <w:rPr>
          <w:rFonts w:hint="eastAsia" w:ascii="宋体" w:hAnsi="宋体" w:eastAsia="宋体" w:cs="宋体"/>
          <w:spacing w:val="14"/>
          <w:sz w:val="24"/>
          <w:szCs w:val="24"/>
          <w:highlight w:val="none"/>
        </w:rPr>
        <w:t>4、我方承诺除服务要求响应与偏差表、商务要求响应与偏差表列出的偏差外，我方响应采购文件的全部要求。</w:t>
      </w:r>
    </w:p>
    <w:p>
      <w:pPr>
        <w:pStyle w:val="73"/>
        <w:spacing w:line="360" w:lineRule="auto"/>
        <w:rPr>
          <w:rFonts w:ascii="宋体" w:hAnsi="宋体" w:eastAsia="宋体" w:cs="宋体"/>
          <w:spacing w:val="14"/>
          <w:sz w:val="24"/>
          <w:szCs w:val="24"/>
          <w:highlight w:val="none"/>
        </w:rPr>
      </w:pPr>
      <w:r>
        <w:rPr>
          <w:rFonts w:hint="eastAsia" w:ascii="宋体" w:hAnsi="宋体" w:eastAsia="宋体" w:cs="宋体"/>
          <w:spacing w:val="14"/>
          <w:sz w:val="24"/>
          <w:szCs w:val="24"/>
          <w:highlight w:val="none"/>
        </w:rPr>
        <w:t>5、我方愿遵守《中华人民共和国政府采购法》及相关的政府采购法律法规，按《中华人民共和国合同法》履行我方的全部责任。</w:t>
      </w:r>
    </w:p>
    <w:p>
      <w:pPr>
        <w:pStyle w:val="73"/>
        <w:spacing w:line="360" w:lineRule="auto"/>
        <w:rPr>
          <w:rFonts w:ascii="宋体" w:hAnsi="宋体" w:eastAsia="宋体" w:cs="宋体"/>
          <w:spacing w:val="14"/>
          <w:sz w:val="24"/>
          <w:szCs w:val="24"/>
          <w:highlight w:val="none"/>
        </w:rPr>
      </w:pPr>
      <w:r>
        <w:rPr>
          <w:rFonts w:hint="eastAsia" w:ascii="宋体" w:hAnsi="宋体" w:eastAsia="宋体" w:cs="宋体"/>
          <w:spacing w:val="14"/>
          <w:sz w:val="24"/>
          <w:szCs w:val="24"/>
          <w:highlight w:val="none"/>
        </w:rPr>
        <w:t>6、我方已认真仔细研究采购文件全部内容，包括修改文件以及全部参考资料和有关附件。我们完全理解并同意放弃对这方面有不明及误解的权力。</w:t>
      </w:r>
    </w:p>
    <w:p>
      <w:pPr>
        <w:pStyle w:val="73"/>
        <w:spacing w:line="360" w:lineRule="auto"/>
        <w:rPr>
          <w:rFonts w:ascii="宋体" w:hAnsi="宋体" w:eastAsia="宋体" w:cs="宋体"/>
          <w:spacing w:val="14"/>
          <w:sz w:val="24"/>
          <w:szCs w:val="24"/>
          <w:highlight w:val="none"/>
        </w:rPr>
      </w:pPr>
      <w:r>
        <w:rPr>
          <w:rFonts w:hint="eastAsia" w:ascii="宋体" w:hAnsi="宋体" w:eastAsia="宋体" w:cs="宋体"/>
          <w:spacing w:val="14"/>
          <w:sz w:val="24"/>
          <w:szCs w:val="24"/>
          <w:highlight w:val="none"/>
        </w:rPr>
        <w:t>7、我方承诺投标文件有效期为提交投标文件截止时间后</w:t>
      </w:r>
      <w:r>
        <w:rPr>
          <w:rFonts w:ascii="宋体" w:hAnsi="宋体" w:eastAsia="宋体" w:cs="宋体"/>
          <w:spacing w:val="14"/>
          <w:sz w:val="24"/>
          <w:szCs w:val="24"/>
          <w:highlight w:val="none"/>
        </w:rPr>
        <w:t>9</w:t>
      </w:r>
      <w:r>
        <w:rPr>
          <w:rFonts w:hint="eastAsia" w:ascii="宋体" w:hAnsi="宋体" w:eastAsia="宋体" w:cs="宋体"/>
          <w:spacing w:val="14"/>
          <w:sz w:val="24"/>
          <w:szCs w:val="24"/>
          <w:highlight w:val="none"/>
        </w:rPr>
        <w:t>0天，并在采购文件规定的有效期内不撤销投标文件。</w:t>
      </w:r>
    </w:p>
    <w:p>
      <w:pPr>
        <w:pStyle w:val="73"/>
        <w:spacing w:line="360" w:lineRule="auto"/>
        <w:rPr>
          <w:rFonts w:ascii="宋体" w:hAnsi="宋体" w:eastAsia="宋体" w:cs="宋体"/>
          <w:spacing w:val="14"/>
          <w:sz w:val="24"/>
          <w:szCs w:val="24"/>
          <w:highlight w:val="none"/>
        </w:rPr>
      </w:pPr>
      <w:r>
        <w:rPr>
          <w:rFonts w:hint="eastAsia" w:ascii="宋体" w:hAnsi="宋体" w:eastAsia="宋体" w:cs="宋体"/>
          <w:spacing w:val="14"/>
          <w:sz w:val="24"/>
          <w:szCs w:val="24"/>
          <w:highlight w:val="none"/>
        </w:rPr>
        <w:t>8、如果我方的行为符合本采购文件规定的磋商保证金不予退还情形的，我方同意不退还我方提交的磋商保证金。</w:t>
      </w:r>
    </w:p>
    <w:p>
      <w:pPr>
        <w:pStyle w:val="73"/>
        <w:spacing w:line="360" w:lineRule="auto"/>
        <w:rPr>
          <w:rFonts w:ascii="宋体" w:hAnsi="宋体" w:eastAsia="宋体" w:cs="宋体"/>
          <w:spacing w:val="14"/>
          <w:sz w:val="24"/>
          <w:szCs w:val="24"/>
          <w:highlight w:val="none"/>
        </w:rPr>
      </w:pPr>
      <w:r>
        <w:rPr>
          <w:rFonts w:hint="eastAsia" w:ascii="宋体" w:hAnsi="宋体" w:eastAsia="宋体" w:cs="宋体"/>
          <w:spacing w:val="14"/>
          <w:sz w:val="24"/>
          <w:szCs w:val="24"/>
          <w:highlight w:val="none"/>
        </w:rPr>
        <w:t>9、我方同意按照贵方的要求提供与采购活动有关的一切数据或资料，理解贵方不一定接受最低报价的投标文件或收到的任何投标文件。</w:t>
      </w:r>
    </w:p>
    <w:p>
      <w:pPr>
        <w:pStyle w:val="73"/>
        <w:spacing w:line="360" w:lineRule="auto"/>
        <w:rPr>
          <w:rFonts w:ascii="宋体" w:hAnsi="宋体" w:eastAsia="宋体" w:cs="宋体"/>
          <w:spacing w:val="14"/>
          <w:sz w:val="24"/>
          <w:szCs w:val="24"/>
          <w:highlight w:val="none"/>
        </w:rPr>
      </w:pPr>
      <w:r>
        <w:rPr>
          <w:rFonts w:hint="eastAsia" w:ascii="宋体" w:hAnsi="宋体" w:eastAsia="宋体" w:cs="宋体"/>
          <w:spacing w:val="14"/>
          <w:sz w:val="24"/>
          <w:szCs w:val="24"/>
          <w:highlight w:val="none"/>
        </w:rPr>
        <w:t>10、我方在此声明，所提交的投标文件及有关资料内容完整、真实和准确，且不存在第二章“投标人须知”第 1.4.3 项规定的任何一种情形。</w:t>
      </w:r>
    </w:p>
    <w:p>
      <w:pPr>
        <w:pStyle w:val="73"/>
        <w:spacing w:line="360" w:lineRule="auto"/>
        <w:rPr>
          <w:rFonts w:ascii="宋体" w:hAnsi="宋体" w:eastAsia="宋体" w:cs="宋体"/>
          <w:bCs/>
          <w:spacing w:val="14"/>
          <w:sz w:val="24"/>
          <w:szCs w:val="24"/>
          <w:highlight w:val="none"/>
        </w:rPr>
      </w:pPr>
      <w:r>
        <w:rPr>
          <w:rFonts w:hint="eastAsia" w:ascii="宋体" w:hAnsi="宋体" w:eastAsia="宋体" w:cs="宋体"/>
          <w:bCs/>
          <w:spacing w:val="14"/>
          <w:sz w:val="24"/>
          <w:szCs w:val="24"/>
          <w:highlight w:val="none"/>
        </w:rPr>
        <w:t>11、如果我方被确定为成交投标人，我方愿意按采购文件的规定交纳履约保证金。我方如无不可抗力，放弃成交资格，或者未履行采购文件、投标文件和合同条款的，一经查实，我方愿意赔偿由此而造成的一切损失，并同意接受按相关法律法规和采购文件的相关要求对我方进行的处罚。</w:t>
      </w:r>
    </w:p>
    <w:p>
      <w:pPr>
        <w:pStyle w:val="73"/>
        <w:spacing w:line="360" w:lineRule="auto"/>
        <w:rPr>
          <w:rFonts w:ascii="宋体" w:hAnsi="宋体" w:eastAsia="宋体" w:cs="宋体"/>
          <w:bCs/>
          <w:spacing w:val="14"/>
          <w:sz w:val="24"/>
          <w:szCs w:val="24"/>
          <w:highlight w:val="none"/>
        </w:rPr>
      </w:pPr>
      <w:r>
        <w:rPr>
          <w:rFonts w:hint="eastAsia" w:ascii="宋体" w:hAnsi="宋体" w:eastAsia="宋体" w:cs="宋体"/>
          <w:bCs/>
          <w:spacing w:val="14"/>
          <w:sz w:val="24"/>
          <w:szCs w:val="24"/>
          <w:highlight w:val="none"/>
        </w:rPr>
        <w:t>12、采购人若需追加采购本项目采购文件所列内容及相关伴随服务的，在不改变合同其他实质性条款的前提下，我方将按相同或更优惠的折扣率保证提供服务。</w:t>
      </w:r>
    </w:p>
    <w:p>
      <w:pPr>
        <w:pStyle w:val="73"/>
        <w:spacing w:line="360" w:lineRule="auto"/>
        <w:rPr>
          <w:rFonts w:ascii="宋体" w:hAnsi="宋体" w:eastAsia="宋体" w:cs="宋体"/>
          <w:bCs/>
          <w:spacing w:val="14"/>
          <w:sz w:val="24"/>
          <w:szCs w:val="24"/>
          <w:highlight w:val="none"/>
        </w:rPr>
      </w:pPr>
      <w:r>
        <w:rPr>
          <w:rFonts w:hint="eastAsia" w:ascii="宋体" w:hAnsi="宋体" w:eastAsia="宋体" w:cs="宋体"/>
          <w:bCs/>
          <w:spacing w:val="14"/>
          <w:sz w:val="24"/>
          <w:szCs w:val="24"/>
          <w:highlight w:val="none"/>
        </w:rPr>
        <w:t>13、我方决不提供虚假资料谋取成交，决不采取不正当手段诋毁、排挤其他投标人，决不与采购人、采购代理机构或者其它投标人恶意串通，决不向采购人、代理机构工作人员和评委进行商业贿赂，决不拒绝相关监管部门的监督检查，不向相关监管部门提供虚假情况，如有违反政府采购法律法规的行为，无条件接受贵方及相关监管部门的依法依规处罚。</w:t>
      </w:r>
    </w:p>
    <w:p>
      <w:pPr>
        <w:pStyle w:val="73"/>
        <w:spacing w:line="360" w:lineRule="auto"/>
        <w:rPr>
          <w:rFonts w:ascii="宋体" w:hAnsi="宋体" w:eastAsia="宋体" w:cs="宋体"/>
          <w:spacing w:val="14"/>
          <w:sz w:val="24"/>
          <w:szCs w:val="24"/>
          <w:highlight w:val="none"/>
        </w:rPr>
      </w:pPr>
      <w:r>
        <w:rPr>
          <w:rFonts w:hint="eastAsia" w:ascii="宋体" w:hAnsi="宋体" w:eastAsia="宋体" w:cs="宋体"/>
          <w:spacing w:val="14"/>
          <w:sz w:val="24"/>
          <w:szCs w:val="24"/>
          <w:highlight w:val="none"/>
        </w:rPr>
        <w:t>14、与本采购活动有关的一切正式函件往来请寄：</w:t>
      </w:r>
    </w:p>
    <w:p>
      <w:pPr>
        <w:pStyle w:val="73"/>
        <w:spacing w:line="360" w:lineRule="auto"/>
        <w:rPr>
          <w:rFonts w:ascii="宋体" w:hAnsi="宋体" w:eastAsia="宋体" w:cs="宋体"/>
          <w:spacing w:val="14"/>
          <w:sz w:val="24"/>
          <w:szCs w:val="24"/>
          <w:highlight w:val="none"/>
        </w:rPr>
      </w:pPr>
      <w:r>
        <w:rPr>
          <w:rFonts w:hint="eastAsia" w:ascii="宋体" w:hAnsi="宋体" w:eastAsia="宋体" w:cs="宋体"/>
          <w:spacing w:val="14"/>
          <w:sz w:val="24"/>
          <w:szCs w:val="24"/>
          <w:highlight w:val="none"/>
        </w:rPr>
        <w:t xml:space="preserve">    地址：                邮政编码：</w:t>
      </w:r>
    </w:p>
    <w:p>
      <w:pPr>
        <w:pStyle w:val="73"/>
        <w:spacing w:line="360" w:lineRule="auto"/>
        <w:rPr>
          <w:rFonts w:ascii="宋体" w:hAnsi="宋体" w:eastAsia="宋体" w:cs="宋体"/>
          <w:spacing w:val="14"/>
          <w:sz w:val="24"/>
          <w:szCs w:val="24"/>
          <w:highlight w:val="none"/>
        </w:rPr>
      </w:pPr>
      <w:r>
        <w:rPr>
          <w:rFonts w:hint="eastAsia" w:ascii="宋体" w:hAnsi="宋体" w:eastAsia="宋体" w:cs="宋体"/>
          <w:spacing w:val="14"/>
          <w:sz w:val="24"/>
          <w:szCs w:val="24"/>
          <w:highlight w:val="none"/>
        </w:rPr>
        <w:t xml:space="preserve">    电话：                传真：             电子信箱：</w:t>
      </w:r>
    </w:p>
    <w:p>
      <w:pPr>
        <w:pStyle w:val="73"/>
        <w:spacing w:line="360" w:lineRule="auto"/>
        <w:ind w:firstLine="0"/>
        <w:rPr>
          <w:rFonts w:ascii="宋体" w:hAnsi="宋体" w:eastAsia="宋体" w:cs="宋体"/>
          <w:spacing w:val="14"/>
          <w:sz w:val="24"/>
          <w:szCs w:val="24"/>
          <w:highlight w:val="none"/>
        </w:rPr>
      </w:pPr>
    </w:p>
    <w:p>
      <w:pPr>
        <w:pStyle w:val="73"/>
        <w:spacing w:line="360" w:lineRule="auto"/>
        <w:ind w:firstLine="0"/>
        <w:rPr>
          <w:rFonts w:ascii="宋体" w:hAnsi="宋体" w:eastAsia="宋体" w:cs="宋体"/>
          <w:spacing w:val="14"/>
          <w:sz w:val="24"/>
          <w:szCs w:val="24"/>
          <w:highlight w:val="none"/>
        </w:rPr>
      </w:pPr>
      <w:r>
        <w:rPr>
          <w:rFonts w:hint="eastAsia" w:ascii="宋体" w:hAnsi="宋体" w:eastAsia="宋体" w:cs="宋体"/>
          <w:spacing w:val="14"/>
          <w:sz w:val="24"/>
          <w:szCs w:val="24"/>
          <w:highlight w:val="none"/>
        </w:rPr>
        <w:t>投标人（企业电子章）：</w:t>
      </w:r>
    </w:p>
    <w:p>
      <w:pPr>
        <w:pStyle w:val="73"/>
        <w:spacing w:line="360" w:lineRule="auto"/>
        <w:ind w:firstLine="0"/>
        <w:rPr>
          <w:rFonts w:ascii="宋体" w:hAnsi="宋体" w:eastAsia="宋体" w:cs="宋体"/>
          <w:spacing w:val="14"/>
          <w:sz w:val="24"/>
          <w:szCs w:val="24"/>
          <w:highlight w:val="none"/>
        </w:rPr>
      </w:pPr>
    </w:p>
    <w:p>
      <w:pPr>
        <w:pStyle w:val="73"/>
        <w:spacing w:line="360" w:lineRule="auto"/>
        <w:ind w:firstLine="0"/>
        <w:rPr>
          <w:rFonts w:ascii="宋体" w:hAnsi="宋体" w:eastAsia="宋体" w:cs="宋体"/>
          <w:spacing w:val="14"/>
          <w:sz w:val="24"/>
          <w:szCs w:val="24"/>
          <w:highlight w:val="none"/>
        </w:rPr>
      </w:pPr>
      <w:r>
        <w:rPr>
          <w:rFonts w:hint="eastAsia" w:ascii="宋体" w:hAnsi="宋体" w:eastAsia="宋体" w:cs="宋体"/>
          <w:spacing w:val="14"/>
          <w:sz w:val="24"/>
          <w:szCs w:val="24"/>
          <w:highlight w:val="none"/>
        </w:rPr>
        <w:t>法定代表人（个人电子章）：</w:t>
      </w:r>
    </w:p>
    <w:p>
      <w:pPr>
        <w:pStyle w:val="73"/>
        <w:spacing w:line="360" w:lineRule="auto"/>
        <w:ind w:firstLine="0"/>
        <w:rPr>
          <w:rFonts w:ascii="宋体" w:hAnsi="宋体" w:eastAsia="宋体" w:cs="宋体"/>
          <w:spacing w:val="14"/>
          <w:sz w:val="24"/>
          <w:szCs w:val="24"/>
          <w:highlight w:val="none"/>
        </w:rPr>
      </w:pPr>
    </w:p>
    <w:p>
      <w:pPr>
        <w:pStyle w:val="73"/>
        <w:spacing w:line="360" w:lineRule="auto"/>
        <w:ind w:firstLine="0"/>
        <w:rPr>
          <w:rFonts w:ascii="宋体" w:hAnsi="宋体" w:eastAsia="宋体" w:cs="宋体"/>
          <w:spacing w:val="14"/>
          <w:sz w:val="24"/>
          <w:szCs w:val="24"/>
          <w:highlight w:val="none"/>
        </w:rPr>
      </w:pPr>
      <w:r>
        <w:rPr>
          <w:rFonts w:hint="eastAsia" w:ascii="宋体" w:hAnsi="宋体" w:eastAsia="宋体" w:cs="宋体"/>
          <w:spacing w:val="14"/>
          <w:sz w:val="24"/>
          <w:szCs w:val="24"/>
          <w:highlight w:val="none"/>
        </w:rPr>
        <w:t>日期：</w:t>
      </w:r>
    </w:p>
    <w:p>
      <w:pPr>
        <w:pStyle w:val="73"/>
        <w:spacing w:line="360" w:lineRule="auto"/>
        <w:rPr>
          <w:rFonts w:ascii="宋体" w:hAnsi="宋体" w:eastAsia="宋体" w:cs="宋体"/>
          <w:spacing w:val="14"/>
          <w:sz w:val="24"/>
          <w:szCs w:val="24"/>
          <w:highlight w:val="none"/>
        </w:rPr>
      </w:pPr>
      <w:r>
        <w:rPr>
          <w:rFonts w:hint="eastAsia" w:ascii="宋体" w:hAnsi="宋体" w:eastAsia="宋体" w:cs="宋体"/>
          <w:spacing w:val="14"/>
          <w:sz w:val="24"/>
          <w:szCs w:val="24"/>
          <w:highlight w:val="none"/>
        </w:rPr>
        <w:t>本投标人承诺：以上地址等信息为邮寄函件的真实有效准确信息，收件人为法定代表人或投标人代表。如我方对往来函件拒收，邮寄方可视为已送达，由此造成的一切后果由本投标人承担。</w:t>
      </w:r>
    </w:p>
    <w:p>
      <w:pPr>
        <w:pStyle w:val="73"/>
        <w:spacing w:line="360" w:lineRule="auto"/>
        <w:rPr>
          <w:rFonts w:ascii="宋体" w:hAnsi="宋体" w:eastAsia="宋体" w:cs="宋体"/>
          <w:spacing w:val="14"/>
          <w:sz w:val="24"/>
          <w:szCs w:val="24"/>
          <w:highlight w:val="none"/>
        </w:rPr>
      </w:pPr>
    </w:p>
    <w:p>
      <w:pPr>
        <w:pStyle w:val="73"/>
        <w:spacing w:line="360" w:lineRule="auto"/>
        <w:rPr>
          <w:rStyle w:val="76"/>
          <w:rFonts w:ascii="宋体" w:hAnsi="宋体" w:eastAsia="宋体" w:cs="宋体"/>
          <w:b w:val="0"/>
          <w:bCs w:val="0"/>
          <w:spacing w:val="14"/>
          <w:sz w:val="24"/>
          <w:szCs w:val="24"/>
          <w:highlight w:val="none"/>
        </w:rPr>
      </w:pPr>
      <w:r>
        <w:rPr>
          <w:rFonts w:hint="eastAsia" w:ascii="宋体" w:hAnsi="宋体" w:eastAsia="宋体" w:cs="宋体"/>
          <w:spacing w:val="14"/>
          <w:sz w:val="24"/>
          <w:szCs w:val="24"/>
          <w:highlight w:val="none"/>
        </w:rPr>
        <w:t>注：除可填报内容外，对本响应函内容的任何实质性修改将被视为非实质性响应，从而导致该投标文件被拒绝。</w:t>
      </w:r>
    </w:p>
    <w:p>
      <w:pPr>
        <w:pStyle w:val="78"/>
        <w:spacing w:line="360" w:lineRule="auto"/>
        <w:rPr>
          <w:rFonts w:ascii="宋体" w:hAnsi="宋体" w:eastAsia="宋体" w:cs="宋体"/>
          <w:sz w:val="24"/>
          <w:highlight w:val="none"/>
        </w:rPr>
      </w:pPr>
      <w:r>
        <w:rPr>
          <w:rFonts w:hint="eastAsia" w:ascii="宋体" w:hAnsi="宋体" w:eastAsia="宋体" w:cs="宋体"/>
          <w:sz w:val="24"/>
          <w:highlight w:val="none"/>
        </w:rPr>
        <w:br w:type="page"/>
      </w:r>
      <w:bookmarkStart w:id="183" w:name="_Toc256000059"/>
      <w:r>
        <w:rPr>
          <w:rFonts w:hint="eastAsia" w:ascii="宋体" w:hAnsi="宋体" w:eastAsia="宋体" w:cs="宋体"/>
          <w:sz w:val="24"/>
          <w:highlight w:val="none"/>
        </w:rPr>
        <w:t>三、法定代表人授权书</w:t>
      </w:r>
      <w:bookmarkEnd w:id="183"/>
    </w:p>
    <w:p>
      <w:pPr>
        <w:pStyle w:val="79"/>
        <w:spacing w:line="360" w:lineRule="auto"/>
        <w:ind w:firstLine="0"/>
        <w:jc w:val="center"/>
        <w:rPr>
          <w:rFonts w:ascii="宋体" w:hAnsi="宋体" w:eastAsia="宋体" w:cs="宋体"/>
          <w:spacing w:val="14"/>
          <w:sz w:val="24"/>
          <w:szCs w:val="24"/>
          <w:highlight w:val="none"/>
        </w:rPr>
      </w:pPr>
      <w:r>
        <w:rPr>
          <w:rFonts w:hint="eastAsia" w:ascii="宋体" w:hAnsi="宋体" w:eastAsia="宋体" w:cs="宋体"/>
          <w:spacing w:val="14"/>
          <w:sz w:val="24"/>
          <w:szCs w:val="24"/>
          <w:highlight w:val="none"/>
        </w:rPr>
        <w:t>法定代表人授权书</w:t>
      </w:r>
    </w:p>
    <w:p>
      <w:pPr>
        <w:pStyle w:val="79"/>
        <w:spacing w:line="360" w:lineRule="auto"/>
        <w:rPr>
          <w:rFonts w:ascii="宋体" w:hAnsi="宋体" w:eastAsia="宋体" w:cs="宋体"/>
          <w:spacing w:val="14"/>
          <w:sz w:val="24"/>
          <w:szCs w:val="24"/>
          <w:highlight w:val="none"/>
        </w:rPr>
      </w:pPr>
      <w:r>
        <w:rPr>
          <w:rFonts w:hint="eastAsia" w:ascii="宋体" w:hAnsi="宋体" w:eastAsia="宋体" w:cs="宋体"/>
          <w:spacing w:val="14"/>
          <w:sz w:val="24"/>
          <w:szCs w:val="24"/>
          <w:highlight w:val="none"/>
        </w:rPr>
        <w:t>本人（姓名）系（投标人名称）的法定代表人，现授权委托本单位在职员工（姓名，职务）（身份证号码：、手机号码：）作为投标人代表以我方的名义参加贵单位组织的项目（项目编号：）的采购活动，并代表我方全权处理一切与之有关的具体事务和签署相关文件，我均予以承认。</w:t>
      </w:r>
    </w:p>
    <w:p>
      <w:pPr>
        <w:pStyle w:val="79"/>
        <w:spacing w:line="360" w:lineRule="auto"/>
        <w:rPr>
          <w:rFonts w:ascii="宋体" w:hAnsi="宋体" w:eastAsia="宋体" w:cs="宋体"/>
          <w:spacing w:val="14"/>
          <w:sz w:val="24"/>
          <w:szCs w:val="24"/>
          <w:highlight w:val="none"/>
        </w:rPr>
      </w:pPr>
      <w:r>
        <w:rPr>
          <w:rFonts w:hint="eastAsia" w:ascii="宋体" w:hAnsi="宋体" w:eastAsia="宋体" w:cs="宋体"/>
          <w:spacing w:val="14"/>
          <w:sz w:val="24"/>
          <w:szCs w:val="24"/>
          <w:highlight w:val="none"/>
        </w:rPr>
        <w:t>代理人无权转让委托权。</w:t>
      </w:r>
    </w:p>
    <w:p>
      <w:pPr>
        <w:pStyle w:val="79"/>
        <w:spacing w:line="360" w:lineRule="auto"/>
        <w:rPr>
          <w:rFonts w:ascii="宋体" w:hAnsi="宋体" w:eastAsia="宋体" w:cs="宋体"/>
          <w:spacing w:val="14"/>
          <w:sz w:val="24"/>
          <w:szCs w:val="24"/>
          <w:highlight w:val="none"/>
        </w:rPr>
      </w:pPr>
      <w:r>
        <w:rPr>
          <w:rFonts w:hint="eastAsia" w:ascii="宋体" w:hAnsi="宋体" w:eastAsia="宋体" w:cs="宋体"/>
          <w:spacing w:val="14"/>
          <w:sz w:val="24"/>
          <w:szCs w:val="24"/>
          <w:highlight w:val="none"/>
        </w:rPr>
        <w:t>本授权书至投标文件有效期结束前始终有效。</w:t>
      </w:r>
    </w:p>
    <w:p>
      <w:pPr>
        <w:pStyle w:val="79"/>
        <w:spacing w:line="360" w:lineRule="auto"/>
        <w:rPr>
          <w:rFonts w:ascii="宋体" w:hAnsi="宋体" w:eastAsia="宋体" w:cs="宋体"/>
          <w:spacing w:val="14"/>
          <w:sz w:val="24"/>
          <w:szCs w:val="24"/>
          <w:highlight w:val="none"/>
        </w:rPr>
      </w:pPr>
      <w:r>
        <w:rPr>
          <w:rFonts w:hint="eastAsia" w:ascii="宋体" w:hAnsi="宋体" w:eastAsia="宋体" w:cs="宋体"/>
          <w:spacing w:val="14"/>
          <w:sz w:val="24"/>
          <w:szCs w:val="24"/>
          <w:highlight w:val="none"/>
        </w:rPr>
        <w:t>特此声明。</w:t>
      </w:r>
    </w:p>
    <w:p>
      <w:pPr>
        <w:pStyle w:val="79"/>
        <w:spacing w:line="360" w:lineRule="auto"/>
        <w:rPr>
          <w:rFonts w:ascii="宋体" w:hAnsi="宋体" w:eastAsia="宋体" w:cs="宋体"/>
          <w:spacing w:val="14"/>
          <w:sz w:val="24"/>
          <w:szCs w:val="24"/>
          <w:highlight w:val="none"/>
        </w:rPr>
      </w:pPr>
    </w:p>
    <w:p>
      <w:pPr>
        <w:pStyle w:val="79"/>
        <w:spacing w:line="360" w:lineRule="auto"/>
        <w:rPr>
          <w:rFonts w:ascii="宋体" w:hAnsi="宋体" w:eastAsia="宋体" w:cs="宋体"/>
          <w:spacing w:val="14"/>
          <w:sz w:val="24"/>
          <w:szCs w:val="24"/>
          <w:highlight w:val="none"/>
        </w:rPr>
      </w:pPr>
    </w:p>
    <w:p>
      <w:pPr>
        <w:pStyle w:val="79"/>
        <w:spacing w:line="360" w:lineRule="auto"/>
        <w:rPr>
          <w:rFonts w:ascii="宋体" w:hAnsi="宋体" w:eastAsia="宋体" w:cs="宋体"/>
          <w:spacing w:val="14"/>
          <w:sz w:val="24"/>
          <w:szCs w:val="24"/>
          <w:highlight w:val="none"/>
        </w:rPr>
      </w:pPr>
      <w:r>
        <w:rPr>
          <w:rFonts w:hint="eastAsia" w:ascii="宋体" w:hAnsi="宋体" w:eastAsia="宋体" w:cs="宋体"/>
          <w:spacing w:val="14"/>
          <w:sz w:val="24"/>
          <w:szCs w:val="24"/>
          <w:highlight w:val="none"/>
        </w:rPr>
        <w:t>投标人（企业电子章）：</w:t>
      </w:r>
    </w:p>
    <w:p>
      <w:pPr>
        <w:pStyle w:val="79"/>
        <w:spacing w:line="360" w:lineRule="auto"/>
        <w:rPr>
          <w:rFonts w:ascii="宋体" w:hAnsi="宋体" w:eastAsia="宋体" w:cs="宋体"/>
          <w:spacing w:val="14"/>
          <w:sz w:val="24"/>
          <w:szCs w:val="24"/>
          <w:highlight w:val="none"/>
        </w:rPr>
      </w:pPr>
    </w:p>
    <w:p>
      <w:pPr>
        <w:pStyle w:val="79"/>
        <w:spacing w:line="360" w:lineRule="auto"/>
        <w:rPr>
          <w:rFonts w:ascii="宋体" w:hAnsi="宋体" w:eastAsia="宋体" w:cs="宋体"/>
          <w:spacing w:val="14"/>
          <w:sz w:val="24"/>
          <w:szCs w:val="24"/>
          <w:highlight w:val="none"/>
        </w:rPr>
      </w:pPr>
      <w:r>
        <w:rPr>
          <w:rFonts w:hint="eastAsia" w:ascii="宋体" w:hAnsi="宋体" w:eastAsia="宋体" w:cs="宋体"/>
          <w:spacing w:val="14"/>
          <w:sz w:val="24"/>
          <w:szCs w:val="24"/>
          <w:highlight w:val="none"/>
        </w:rPr>
        <w:t>法定代表人（个人电子章）：</w:t>
      </w:r>
    </w:p>
    <w:p>
      <w:pPr>
        <w:pStyle w:val="79"/>
        <w:spacing w:line="360" w:lineRule="auto"/>
        <w:rPr>
          <w:rFonts w:ascii="宋体" w:hAnsi="宋体" w:eastAsia="宋体" w:cs="宋体"/>
          <w:spacing w:val="14"/>
          <w:sz w:val="24"/>
          <w:szCs w:val="24"/>
          <w:highlight w:val="none"/>
        </w:rPr>
      </w:pPr>
    </w:p>
    <w:p>
      <w:pPr>
        <w:pStyle w:val="79"/>
        <w:spacing w:line="360" w:lineRule="auto"/>
        <w:rPr>
          <w:rFonts w:ascii="宋体" w:hAnsi="宋体" w:eastAsia="宋体" w:cs="宋体"/>
          <w:spacing w:val="14"/>
          <w:sz w:val="24"/>
          <w:szCs w:val="24"/>
          <w:highlight w:val="none"/>
        </w:rPr>
      </w:pPr>
      <w:r>
        <w:rPr>
          <w:rFonts w:hint="eastAsia" w:ascii="宋体" w:hAnsi="宋体" w:eastAsia="宋体" w:cs="宋体"/>
          <w:spacing w:val="14"/>
          <w:sz w:val="24"/>
          <w:szCs w:val="24"/>
          <w:highlight w:val="none"/>
        </w:rPr>
        <w:t>日期：</w:t>
      </w:r>
    </w:p>
    <w:p>
      <w:pPr>
        <w:pStyle w:val="82"/>
        <w:spacing w:line="360" w:lineRule="auto"/>
        <w:rPr>
          <w:rFonts w:ascii="宋体" w:hAnsi="宋体" w:eastAsia="宋体" w:cs="宋体"/>
          <w:sz w:val="24"/>
          <w:highlight w:val="none"/>
        </w:rPr>
      </w:pPr>
      <w:r>
        <w:rPr>
          <w:rFonts w:hint="eastAsia" w:ascii="宋体" w:hAnsi="宋体" w:eastAsia="宋体" w:cs="宋体"/>
          <w:sz w:val="24"/>
          <w:highlight w:val="none"/>
        </w:rPr>
        <w:br w:type="page"/>
      </w:r>
      <w:bookmarkStart w:id="184" w:name="_Toc256000060"/>
      <w:r>
        <w:rPr>
          <w:rFonts w:hint="eastAsia" w:ascii="宋体" w:hAnsi="宋体" w:eastAsia="宋体" w:cs="宋体"/>
          <w:sz w:val="24"/>
          <w:highlight w:val="none"/>
        </w:rPr>
        <w:t>四、法人被授权人身份证扫描件</w:t>
      </w:r>
      <w:bookmarkEnd w:id="184"/>
    </w:p>
    <w:p>
      <w:pPr>
        <w:pStyle w:val="83"/>
        <w:spacing w:line="360" w:lineRule="auto"/>
        <w:ind w:firstLine="0"/>
        <w:rPr>
          <w:rFonts w:ascii="宋体" w:hAnsi="宋体" w:eastAsia="宋体" w:cs="宋体"/>
          <w:spacing w:val="14"/>
          <w:sz w:val="24"/>
          <w:szCs w:val="24"/>
          <w:highlight w:val="none"/>
        </w:rPr>
      </w:pPr>
      <w:r>
        <w:rPr>
          <w:rFonts w:hint="eastAsia" w:ascii="宋体" w:hAnsi="宋体" w:eastAsia="宋体" w:cs="宋体"/>
          <w:spacing w:val="14"/>
          <w:sz w:val="24"/>
          <w:szCs w:val="24"/>
          <w:highlight w:val="none"/>
        </w:rPr>
        <w:t>1、法定代表人身份证正面和反面扫描件</w:t>
      </w:r>
    </w:p>
    <w:p>
      <w:pPr>
        <w:pStyle w:val="83"/>
        <w:spacing w:line="360" w:lineRule="auto"/>
        <w:rPr>
          <w:rFonts w:ascii="宋体" w:hAnsi="宋体" w:eastAsia="宋体" w:cs="宋体"/>
          <w:spacing w:val="14"/>
          <w:sz w:val="24"/>
          <w:szCs w:val="24"/>
          <w:highlight w:val="none"/>
        </w:rPr>
      </w:pPr>
    </w:p>
    <w:p>
      <w:pPr>
        <w:pStyle w:val="83"/>
        <w:spacing w:line="360" w:lineRule="auto"/>
        <w:rPr>
          <w:rFonts w:ascii="宋体" w:hAnsi="宋体" w:eastAsia="宋体" w:cs="宋体"/>
          <w:spacing w:val="14"/>
          <w:sz w:val="24"/>
          <w:szCs w:val="24"/>
          <w:highlight w:val="none"/>
        </w:rPr>
      </w:pPr>
    </w:p>
    <w:p>
      <w:pPr>
        <w:pStyle w:val="83"/>
        <w:spacing w:line="360" w:lineRule="auto"/>
        <w:rPr>
          <w:rFonts w:ascii="宋体" w:hAnsi="宋体" w:eastAsia="宋体" w:cs="宋体"/>
          <w:spacing w:val="14"/>
          <w:sz w:val="24"/>
          <w:szCs w:val="24"/>
          <w:highlight w:val="none"/>
        </w:rPr>
      </w:pPr>
    </w:p>
    <w:p>
      <w:pPr>
        <w:pStyle w:val="83"/>
        <w:spacing w:line="360" w:lineRule="auto"/>
        <w:rPr>
          <w:rFonts w:ascii="宋体" w:hAnsi="宋体" w:eastAsia="宋体" w:cs="宋体"/>
          <w:spacing w:val="14"/>
          <w:sz w:val="24"/>
          <w:szCs w:val="24"/>
          <w:highlight w:val="none"/>
        </w:rPr>
      </w:pPr>
    </w:p>
    <w:p>
      <w:pPr>
        <w:pStyle w:val="83"/>
        <w:spacing w:line="360" w:lineRule="auto"/>
        <w:rPr>
          <w:rFonts w:ascii="宋体" w:hAnsi="宋体" w:eastAsia="宋体" w:cs="宋体"/>
          <w:spacing w:val="14"/>
          <w:sz w:val="24"/>
          <w:szCs w:val="24"/>
          <w:highlight w:val="none"/>
        </w:rPr>
      </w:pPr>
    </w:p>
    <w:p>
      <w:pPr>
        <w:pStyle w:val="84"/>
        <w:spacing w:line="360" w:lineRule="auto"/>
        <w:rPr>
          <w:rFonts w:ascii="宋体" w:hAnsi="宋体" w:cs="宋体"/>
          <w:spacing w:val="14"/>
          <w:sz w:val="24"/>
          <w:szCs w:val="24"/>
          <w:highlight w:val="none"/>
        </w:rPr>
      </w:pPr>
    </w:p>
    <w:p>
      <w:pPr>
        <w:pStyle w:val="84"/>
        <w:spacing w:line="360" w:lineRule="auto"/>
        <w:rPr>
          <w:rFonts w:ascii="宋体" w:hAnsi="宋体" w:cs="宋体"/>
          <w:spacing w:val="14"/>
          <w:sz w:val="24"/>
          <w:szCs w:val="24"/>
          <w:highlight w:val="none"/>
        </w:rPr>
      </w:pPr>
    </w:p>
    <w:p>
      <w:pPr>
        <w:pStyle w:val="84"/>
        <w:spacing w:line="360" w:lineRule="auto"/>
        <w:rPr>
          <w:rFonts w:ascii="宋体" w:hAnsi="宋体" w:cs="宋体"/>
          <w:spacing w:val="14"/>
          <w:sz w:val="24"/>
          <w:szCs w:val="24"/>
          <w:highlight w:val="none"/>
        </w:rPr>
      </w:pPr>
    </w:p>
    <w:p>
      <w:pPr>
        <w:pStyle w:val="84"/>
        <w:spacing w:line="360" w:lineRule="auto"/>
        <w:rPr>
          <w:rFonts w:ascii="宋体" w:hAnsi="宋体" w:cs="宋体"/>
          <w:spacing w:val="14"/>
          <w:sz w:val="24"/>
          <w:szCs w:val="24"/>
          <w:highlight w:val="none"/>
        </w:rPr>
      </w:pPr>
    </w:p>
    <w:p>
      <w:pPr>
        <w:pStyle w:val="84"/>
        <w:spacing w:line="360" w:lineRule="auto"/>
        <w:rPr>
          <w:rFonts w:ascii="宋体" w:hAnsi="宋体" w:cs="宋体"/>
          <w:spacing w:val="14"/>
          <w:sz w:val="24"/>
          <w:szCs w:val="24"/>
          <w:highlight w:val="none"/>
        </w:rPr>
      </w:pPr>
    </w:p>
    <w:p>
      <w:pPr>
        <w:pStyle w:val="84"/>
        <w:spacing w:line="360" w:lineRule="auto"/>
        <w:rPr>
          <w:rFonts w:ascii="宋体" w:hAnsi="宋体" w:cs="宋体"/>
          <w:spacing w:val="14"/>
          <w:sz w:val="24"/>
          <w:szCs w:val="24"/>
          <w:highlight w:val="none"/>
        </w:rPr>
      </w:pPr>
    </w:p>
    <w:p>
      <w:pPr>
        <w:pStyle w:val="84"/>
        <w:spacing w:line="360" w:lineRule="auto"/>
        <w:rPr>
          <w:rFonts w:ascii="宋体" w:hAnsi="宋体" w:cs="宋体"/>
          <w:spacing w:val="14"/>
          <w:sz w:val="24"/>
          <w:szCs w:val="24"/>
          <w:highlight w:val="none"/>
        </w:rPr>
      </w:pPr>
    </w:p>
    <w:p>
      <w:pPr>
        <w:pStyle w:val="83"/>
        <w:spacing w:line="360" w:lineRule="auto"/>
        <w:rPr>
          <w:rFonts w:ascii="宋体" w:hAnsi="宋体" w:eastAsia="宋体" w:cs="宋体"/>
          <w:spacing w:val="14"/>
          <w:sz w:val="24"/>
          <w:szCs w:val="24"/>
          <w:highlight w:val="none"/>
        </w:rPr>
      </w:pPr>
    </w:p>
    <w:p>
      <w:pPr>
        <w:pStyle w:val="83"/>
        <w:spacing w:line="360" w:lineRule="auto"/>
        <w:ind w:firstLine="0"/>
        <w:rPr>
          <w:rFonts w:ascii="宋体" w:hAnsi="宋体" w:eastAsia="宋体" w:cs="宋体"/>
          <w:spacing w:val="14"/>
          <w:sz w:val="24"/>
          <w:szCs w:val="24"/>
          <w:highlight w:val="none"/>
        </w:rPr>
      </w:pPr>
      <w:r>
        <w:rPr>
          <w:rFonts w:hint="eastAsia" w:ascii="宋体" w:hAnsi="宋体" w:eastAsia="宋体" w:cs="宋体"/>
          <w:spacing w:val="14"/>
          <w:sz w:val="24"/>
          <w:szCs w:val="24"/>
          <w:highlight w:val="none"/>
        </w:rPr>
        <w:t>2、投标人代表（被授权人）身份证正面和反面扫描件</w:t>
      </w:r>
    </w:p>
    <w:p>
      <w:pPr>
        <w:pStyle w:val="85"/>
        <w:spacing w:line="360" w:lineRule="auto"/>
        <w:ind w:firstLine="0"/>
        <w:rPr>
          <w:rFonts w:ascii="宋体" w:hAnsi="宋体" w:eastAsia="宋体" w:cs="宋体"/>
          <w:sz w:val="24"/>
          <w:szCs w:val="24"/>
          <w:highlight w:val="none"/>
        </w:rPr>
      </w:pPr>
    </w:p>
    <w:p>
      <w:pPr>
        <w:pStyle w:val="87"/>
        <w:spacing w:line="360" w:lineRule="auto"/>
        <w:rPr>
          <w:rFonts w:ascii="宋体" w:hAnsi="宋体" w:eastAsia="宋体" w:cs="宋体"/>
          <w:sz w:val="24"/>
          <w:highlight w:val="none"/>
        </w:rPr>
      </w:pPr>
      <w:r>
        <w:rPr>
          <w:rFonts w:hint="eastAsia" w:ascii="宋体" w:hAnsi="宋体" w:eastAsia="宋体" w:cs="宋体"/>
          <w:sz w:val="24"/>
          <w:highlight w:val="none"/>
        </w:rPr>
        <w:br w:type="page"/>
      </w:r>
      <w:bookmarkStart w:id="185" w:name="_Toc256000061"/>
      <w:r>
        <w:rPr>
          <w:rFonts w:hint="eastAsia" w:ascii="宋体" w:hAnsi="宋体" w:eastAsia="宋体" w:cs="宋体"/>
          <w:sz w:val="24"/>
          <w:highlight w:val="none"/>
        </w:rPr>
        <w:t>五、资格证明材料</w:t>
      </w:r>
      <w:bookmarkEnd w:id="185"/>
    </w:p>
    <w:p>
      <w:pPr>
        <w:pStyle w:val="88"/>
        <w:spacing w:line="360" w:lineRule="auto"/>
        <w:ind w:firstLine="0"/>
        <w:jc w:val="center"/>
        <w:rPr>
          <w:rFonts w:ascii="宋体" w:hAnsi="宋体" w:eastAsia="宋体" w:cs="宋体"/>
          <w:sz w:val="24"/>
          <w:szCs w:val="24"/>
          <w:highlight w:val="none"/>
        </w:rPr>
      </w:pPr>
      <w:r>
        <w:rPr>
          <w:rFonts w:hint="eastAsia" w:ascii="宋体" w:hAnsi="宋体" w:eastAsia="宋体" w:cs="宋体"/>
          <w:sz w:val="24"/>
          <w:szCs w:val="24"/>
          <w:highlight w:val="none"/>
        </w:rPr>
        <w:t>资格证明材料</w:t>
      </w:r>
    </w:p>
    <w:p>
      <w:pPr>
        <w:pStyle w:val="88"/>
        <w:spacing w:line="360" w:lineRule="auto"/>
        <w:ind w:firstLine="480" w:firstLineChars="200"/>
        <w:jc w:val="left"/>
        <w:rPr>
          <w:rFonts w:ascii="宋体" w:hAnsi="宋体" w:eastAsia="宋体" w:cs="宋体"/>
          <w:sz w:val="24"/>
          <w:szCs w:val="24"/>
          <w:highlight w:val="none"/>
        </w:rPr>
      </w:pPr>
      <w:r>
        <w:rPr>
          <w:rFonts w:hint="eastAsia" w:ascii="宋体" w:hAnsi="宋体" w:eastAsia="宋体" w:cs="宋体"/>
          <w:sz w:val="24"/>
          <w:szCs w:val="24"/>
          <w:highlight w:val="none"/>
        </w:rPr>
        <w:t>1.营业执照或事业单位法人证书；</w:t>
      </w:r>
    </w:p>
    <w:p>
      <w:pPr>
        <w:pStyle w:val="88"/>
        <w:spacing w:line="360" w:lineRule="auto"/>
        <w:ind w:firstLine="480" w:firstLineChars="200"/>
        <w:jc w:val="left"/>
        <w:rPr>
          <w:rFonts w:ascii="宋体" w:hAnsi="宋体" w:eastAsia="宋体" w:cs="宋体"/>
          <w:sz w:val="24"/>
          <w:szCs w:val="24"/>
          <w:highlight w:val="none"/>
        </w:rPr>
      </w:pPr>
      <w:r>
        <w:rPr>
          <w:rFonts w:hint="eastAsia" w:ascii="宋体" w:hAnsi="宋体" w:eastAsia="宋体" w:cs="宋体"/>
          <w:sz w:val="24"/>
          <w:szCs w:val="24"/>
          <w:highlight w:val="none"/>
        </w:rPr>
        <w:t>2.医疗器械经营许可证或备案凭证或医疗器械生产许可证；</w:t>
      </w:r>
    </w:p>
    <w:p>
      <w:pPr>
        <w:pStyle w:val="88"/>
        <w:spacing w:line="360" w:lineRule="auto"/>
        <w:ind w:firstLine="480" w:firstLineChars="200"/>
        <w:jc w:val="left"/>
        <w:rPr>
          <w:rFonts w:ascii="宋体" w:hAnsi="宋体" w:eastAsia="宋体" w:cs="宋体"/>
          <w:sz w:val="24"/>
          <w:szCs w:val="24"/>
          <w:highlight w:val="none"/>
        </w:rPr>
      </w:pPr>
      <w:r>
        <w:rPr>
          <w:rFonts w:hint="eastAsia" w:ascii="宋体" w:hAnsi="宋体" w:eastAsia="宋体" w:cs="宋体"/>
          <w:sz w:val="24"/>
          <w:szCs w:val="24"/>
          <w:highlight w:val="none"/>
        </w:rPr>
        <w:t>3.所投产品的医疗器械注册证或医疗器械备案凭证；</w:t>
      </w:r>
    </w:p>
    <w:p>
      <w:pPr>
        <w:pStyle w:val="88"/>
        <w:spacing w:line="360" w:lineRule="auto"/>
        <w:ind w:firstLine="480" w:firstLineChars="200"/>
        <w:jc w:val="left"/>
        <w:rPr>
          <w:rFonts w:ascii="宋体" w:hAnsi="宋体" w:eastAsia="宋体" w:cs="宋体"/>
          <w:sz w:val="24"/>
          <w:szCs w:val="24"/>
          <w:highlight w:val="none"/>
        </w:rPr>
      </w:pPr>
      <w:r>
        <w:rPr>
          <w:rFonts w:hint="eastAsia" w:ascii="宋体" w:hAnsi="宋体" w:eastAsia="宋体" w:cs="宋体"/>
          <w:sz w:val="24"/>
          <w:szCs w:val="24"/>
          <w:highlight w:val="none"/>
        </w:rPr>
        <w:t>4.各种承诺函；</w:t>
      </w:r>
    </w:p>
    <w:p>
      <w:pPr>
        <w:pStyle w:val="88"/>
        <w:spacing w:line="360" w:lineRule="auto"/>
        <w:ind w:firstLine="480" w:firstLineChars="200"/>
        <w:jc w:val="left"/>
        <w:rPr>
          <w:rFonts w:ascii="宋体" w:hAnsi="宋体" w:eastAsia="宋体" w:cs="宋体"/>
          <w:sz w:val="24"/>
          <w:szCs w:val="24"/>
          <w:highlight w:val="none"/>
        </w:rPr>
      </w:pPr>
      <w:r>
        <w:rPr>
          <w:rFonts w:hint="eastAsia" w:ascii="宋体" w:hAnsi="宋体" w:eastAsia="宋体" w:cs="宋体"/>
          <w:sz w:val="24"/>
          <w:szCs w:val="24"/>
          <w:highlight w:val="none"/>
        </w:rPr>
        <w:t>5.投标人认为需要提供的其它材料等。</w:t>
      </w:r>
    </w:p>
    <w:p>
      <w:pPr>
        <w:pStyle w:val="88"/>
        <w:spacing w:line="360" w:lineRule="auto"/>
        <w:ind w:firstLine="480" w:firstLineChars="200"/>
        <w:jc w:val="left"/>
        <w:rPr>
          <w:rFonts w:ascii="宋体" w:hAnsi="宋体" w:eastAsia="宋体" w:cs="宋体"/>
          <w:sz w:val="24"/>
          <w:szCs w:val="24"/>
          <w:highlight w:val="none"/>
        </w:rPr>
      </w:pPr>
      <w:r>
        <w:rPr>
          <w:rFonts w:hint="eastAsia" w:ascii="宋体" w:hAnsi="宋体" w:eastAsia="宋体" w:cs="宋体"/>
          <w:sz w:val="24"/>
          <w:szCs w:val="24"/>
          <w:highlight w:val="none"/>
        </w:rPr>
        <w:t>注：在投标文件中附相关证明材料</w:t>
      </w:r>
    </w:p>
    <w:p>
      <w:pPr>
        <w:pStyle w:val="92"/>
        <w:spacing w:line="360" w:lineRule="auto"/>
        <w:rPr>
          <w:rFonts w:ascii="宋体" w:hAnsi="宋体" w:eastAsia="宋体" w:cs="宋体"/>
          <w:color w:val="000000"/>
          <w:sz w:val="24"/>
          <w:szCs w:val="24"/>
          <w:highlight w:val="none"/>
        </w:rPr>
      </w:pPr>
    </w:p>
    <w:p>
      <w:pPr>
        <w:pStyle w:val="93"/>
        <w:spacing w:line="360" w:lineRule="auto"/>
        <w:rPr>
          <w:rFonts w:ascii="宋体" w:hAnsi="宋体" w:eastAsia="宋体" w:cs="宋体"/>
          <w:sz w:val="24"/>
          <w:highlight w:val="none"/>
        </w:rPr>
      </w:pPr>
    </w:p>
    <w:p>
      <w:pPr>
        <w:pStyle w:val="93"/>
        <w:spacing w:line="360" w:lineRule="auto"/>
        <w:rPr>
          <w:rFonts w:ascii="宋体" w:hAnsi="宋体" w:eastAsia="宋体" w:cs="宋体"/>
          <w:sz w:val="24"/>
          <w:highlight w:val="none"/>
        </w:rPr>
      </w:pPr>
    </w:p>
    <w:p>
      <w:pPr>
        <w:pStyle w:val="93"/>
        <w:spacing w:line="360" w:lineRule="auto"/>
        <w:rPr>
          <w:rFonts w:ascii="宋体" w:hAnsi="宋体" w:eastAsia="宋体" w:cs="宋体"/>
          <w:sz w:val="24"/>
          <w:highlight w:val="none"/>
        </w:rPr>
      </w:pPr>
    </w:p>
    <w:p>
      <w:pPr>
        <w:pStyle w:val="93"/>
        <w:spacing w:line="360" w:lineRule="auto"/>
        <w:rPr>
          <w:rFonts w:ascii="宋体" w:hAnsi="宋体" w:eastAsia="宋体" w:cs="宋体"/>
          <w:sz w:val="24"/>
          <w:highlight w:val="none"/>
        </w:rPr>
      </w:pPr>
    </w:p>
    <w:p>
      <w:pPr>
        <w:pStyle w:val="93"/>
        <w:spacing w:line="360" w:lineRule="auto"/>
        <w:rPr>
          <w:rFonts w:ascii="宋体" w:hAnsi="宋体" w:eastAsia="宋体" w:cs="宋体"/>
          <w:sz w:val="24"/>
          <w:highlight w:val="none"/>
        </w:rPr>
      </w:pPr>
    </w:p>
    <w:p>
      <w:pPr>
        <w:pStyle w:val="93"/>
        <w:spacing w:line="360" w:lineRule="auto"/>
        <w:rPr>
          <w:rFonts w:ascii="宋体" w:hAnsi="宋体" w:eastAsia="宋体" w:cs="宋体"/>
          <w:sz w:val="24"/>
          <w:highlight w:val="none"/>
        </w:rPr>
      </w:pPr>
    </w:p>
    <w:p>
      <w:pPr>
        <w:pStyle w:val="93"/>
        <w:spacing w:line="360" w:lineRule="auto"/>
        <w:rPr>
          <w:rFonts w:ascii="宋体" w:hAnsi="宋体" w:eastAsia="宋体" w:cs="宋体"/>
          <w:sz w:val="24"/>
          <w:highlight w:val="none"/>
        </w:rPr>
      </w:pPr>
    </w:p>
    <w:p>
      <w:pPr>
        <w:pStyle w:val="93"/>
        <w:spacing w:line="360" w:lineRule="auto"/>
        <w:rPr>
          <w:rFonts w:ascii="宋体" w:hAnsi="宋体" w:eastAsia="宋体" w:cs="宋体"/>
          <w:sz w:val="24"/>
          <w:highlight w:val="none"/>
        </w:rPr>
      </w:pPr>
    </w:p>
    <w:p>
      <w:pPr>
        <w:pStyle w:val="93"/>
        <w:spacing w:line="360" w:lineRule="auto"/>
        <w:rPr>
          <w:rFonts w:ascii="宋体" w:hAnsi="宋体" w:eastAsia="宋体" w:cs="宋体"/>
          <w:sz w:val="24"/>
          <w:highlight w:val="none"/>
        </w:rPr>
      </w:pPr>
    </w:p>
    <w:p>
      <w:pPr>
        <w:pStyle w:val="93"/>
        <w:spacing w:line="360" w:lineRule="auto"/>
        <w:rPr>
          <w:rFonts w:ascii="宋体" w:hAnsi="宋体" w:eastAsia="宋体" w:cs="宋体"/>
          <w:sz w:val="24"/>
          <w:highlight w:val="none"/>
        </w:rPr>
      </w:pPr>
    </w:p>
    <w:p>
      <w:pPr>
        <w:pStyle w:val="93"/>
        <w:spacing w:line="360" w:lineRule="auto"/>
        <w:rPr>
          <w:rFonts w:ascii="宋体" w:hAnsi="宋体" w:eastAsia="宋体" w:cs="宋体"/>
          <w:sz w:val="24"/>
          <w:highlight w:val="none"/>
        </w:rPr>
      </w:pPr>
    </w:p>
    <w:p>
      <w:pPr>
        <w:pStyle w:val="93"/>
        <w:spacing w:line="360" w:lineRule="auto"/>
        <w:rPr>
          <w:rFonts w:ascii="宋体" w:hAnsi="宋体" w:eastAsia="宋体" w:cs="宋体"/>
          <w:sz w:val="24"/>
          <w:highlight w:val="none"/>
        </w:rPr>
      </w:pPr>
    </w:p>
    <w:p>
      <w:pPr>
        <w:pStyle w:val="93"/>
        <w:spacing w:line="360" w:lineRule="auto"/>
        <w:rPr>
          <w:rFonts w:ascii="宋体" w:hAnsi="宋体" w:eastAsia="宋体" w:cs="宋体"/>
          <w:sz w:val="24"/>
          <w:highlight w:val="none"/>
        </w:rPr>
      </w:pPr>
    </w:p>
    <w:p>
      <w:pPr>
        <w:pStyle w:val="93"/>
        <w:spacing w:line="360" w:lineRule="auto"/>
        <w:rPr>
          <w:rFonts w:ascii="宋体" w:hAnsi="宋体" w:eastAsia="宋体" w:cs="宋体"/>
          <w:sz w:val="24"/>
          <w:highlight w:val="none"/>
        </w:rPr>
      </w:pPr>
    </w:p>
    <w:p>
      <w:pPr>
        <w:pStyle w:val="93"/>
        <w:spacing w:line="360" w:lineRule="auto"/>
        <w:rPr>
          <w:rFonts w:ascii="宋体" w:hAnsi="宋体" w:eastAsia="宋体" w:cs="宋体"/>
          <w:sz w:val="24"/>
          <w:highlight w:val="none"/>
        </w:rPr>
      </w:pPr>
    </w:p>
    <w:p>
      <w:pPr>
        <w:pStyle w:val="93"/>
        <w:spacing w:line="360" w:lineRule="auto"/>
        <w:rPr>
          <w:rFonts w:ascii="宋体" w:hAnsi="宋体" w:eastAsia="宋体" w:cs="宋体"/>
          <w:sz w:val="24"/>
          <w:highlight w:val="none"/>
        </w:rPr>
      </w:pPr>
    </w:p>
    <w:p>
      <w:pPr>
        <w:pStyle w:val="93"/>
        <w:spacing w:line="360" w:lineRule="auto"/>
        <w:rPr>
          <w:rFonts w:ascii="宋体" w:hAnsi="宋体" w:eastAsia="宋体" w:cs="宋体"/>
          <w:sz w:val="24"/>
          <w:highlight w:val="none"/>
        </w:rPr>
      </w:pPr>
    </w:p>
    <w:p>
      <w:pPr>
        <w:pStyle w:val="93"/>
        <w:spacing w:line="360" w:lineRule="auto"/>
        <w:rPr>
          <w:rFonts w:ascii="宋体" w:hAnsi="宋体" w:eastAsia="宋体" w:cs="宋体"/>
          <w:sz w:val="24"/>
          <w:highlight w:val="none"/>
        </w:rPr>
      </w:pPr>
    </w:p>
    <w:p>
      <w:pPr>
        <w:pStyle w:val="93"/>
        <w:spacing w:line="360" w:lineRule="auto"/>
        <w:rPr>
          <w:rFonts w:ascii="宋体" w:hAnsi="宋体" w:eastAsia="宋体" w:cs="宋体"/>
          <w:sz w:val="24"/>
          <w:highlight w:val="none"/>
        </w:rPr>
      </w:pPr>
    </w:p>
    <w:p>
      <w:pPr>
        <w:pStyle w:val="93"/>
        <w:spacing w:line="360" w:lineRule="auto"/>
        <w:rPr>
          <w:rFonts w:ascii="宋体" w:hAnsi="宋体" w:eastAsia="宋体" w:cs="宋体"/>
          <w:sz w:val="24"/>
          <w:highlight w:val="none"/>
        </w:rPr>
      </w:pPr>
    </w:p>
    <w:p>
      <w:pPr>
        <w:pStyle w:val="93"/>
        <w:spacing w:line="360" w:lineRule="auto"/>
        <w:rPr>
          <w:rFonts w:ascii="宋体" w:hAnsi="宋体" w:eastAsia="宋体" w:cs="宋体"/>
          <w:sz w:val="24"/>
          <w:highlight w:val="none"/>
        </w:rPr>
      </w:pPr>
    </w:p>
    <w:p>
      <w:pPr>
        <w:pStyle w:val="93"/>
        <w:spacing w:line="360" w:lineRule="auto"/>
        <w:rPr>
          <w:rFonts w:ascii="宋体" w:hAnsi="宋体" w:eastAsia="宋体" w:cs="宋体"/>
          <w:sz w:val="24"/>
          <w:highlight w:val="none"/>
        </w:rPr>
      </w:pPr>
    </w:p>
    <w:p>
      <w:pPr>
        <w:pStyle w:val="93"/>
        <w:spacing w:line="360" w:lineRule="auto"/>
        <w:rPr>
          <w:rFonts w:ascii="宋体" w:hAnsi="宋体" w:eastAsia="宋体" w:cs="宋体"/>
          <w:sz w:val="24"/>
          <w:highlight w:val="none"/>
        </w:rPr>
      </w:pPr>
    </w:p>
    <w:p>
      <w:pPr>
        <w:pStyle w:val="93"/>
        <w:spacing w:line="360" w:lineRule="auto"/>
        <w:rPr>
          <w:rFonts w:ascii="宋体" w:hAnsi="宋体" w:eastAsia="宋体" w:cs="宋体"/>
          <w:sz w:val="24"/>
          <w:highlight w:val="none"/>
        </w:rPr>
      </w:pPr>
      <w:r>
        <w:rPr>
          <w:rFonts w:hint="eastAsia" w:ascii="宋体" w:hAnsi="宋体" w:eastAsia="宋体" w:cs="宋体"/>
          <w:sz w:val="24"/>
          <w:highlight w:val="none"/>
        </w:rPr>
        <w:t>附件</w:t>
      </w:r>
    </w:p>
    <w:p>
      <w:pPr>
        <w:pStyle w:val="93"/>
        <w:spacing w:line="360" w:lineRule="auto"/>
        <w:jc w:val="center"/>
        <w:rPr>
          <w:rFonts w:ascii="宋体" w:hAnsi="宋体" w:eastAsia="宋体" w:cs="宋体"/>
          <w:sz w:val="24"/>
          <w:highlight w:val="none"/>
        </w:rPr>
      </w:pPr>
      <w:r>
        <w:rPr>
          <w:rFonts w:hint="eastAsia" w:ascii="宋体" w:hAnsi="宋体" w:eastAsia="宋体" w:cs="宋体"/>
          <w:sz w:val="24"/>
          <w:highlight w:val="none"/>
        </w:rPr>
        <w:t>洛阳市政府采购供应商信用承诺函</w:t>
      </w:r>
    </w:p>
    <w:p>
      <w:pPr>
        <w:pStyle w:val="89"/>
        <w:adjustRightInd w:val="0"/>
        <w:snapToGrid w:val="0"/>
        <w:spacing w:line="360" w:lineRule="auto"/>
        <w:rPr>
          <w:rFonts w:ascii="宋体" w:hAnsi="宋体" w:cs="宋体"/>
          <w:color w:val="000000"/>
          <w:sz w:val="24"/>
          <w:szCs w:val="24"/>
          <w:highlight w:val="none"/>
        </w:rPr>
      </w:pPr>
      <w:r>
        <w:rPr>
          <w:rFonts w:hint="eastAsia" w:ascii="宋体" w:hAnsi="宋体" w:cs="宋体"/>
          <w:color w:val="000000"/>
          <w:sz w:val="24"/>
          <w:szCs w:val="24"/>
          <w:highlight w:val="none"/>
        </w:rPr>
        <w:t>致</w:t>
      </w:r>
      <w:r>
        <w:rPr>
          <w:rFonts w:hint="eastAsia" w:ascii="宋体" w:hAnsi="宋体" w:cs="宋体"/>
          <w:color w:val="000000"/>
          <w:sz w:val="24"/>
          <w:szCs w:val="24"/>
          <w:highlight w:val="none"/>
          <w:u w:val="single"/>
        </w:rPr>
        <w:t xml:space="preserve">  （采购人）  </w:t>
      </w:r>
      <w:r>
        <w:rPr>
          <w:rFonts w:hint="eastAsia" w:ascii="宋体" w:hAnsi="宋体" w:cs="宋体"/>
          <w:color w:val="000000"/>
          <w:sz w:val="24"/>
          <w:szCs w:val="24"/>
          <w:highlight w:val="none"/>
        </w:rPr>
        <w:t>：</w:t>
      </w:r>
    </w:p>
    <w:p>
      <w:pPr>
        <w:pStyle w:val="89"/>
        <w:adjustRightInd w:val="0"/>
        <w:snapToGrid w:val="0"/>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单位名称（自然人姓名）：</w:t>
      </w:r>
    </w:p>
    <w:p>
      <w:pPr>
        <w:pStyle w:val="89"/>
        <w:adjustRightInd w:val="0"/>
        <w:snapToGrid w:val="0"/>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统一社会信用代码（身份证号码）：</w:t>
      </w:r>
    </w:p>
    <w:p>
      <w:pPr>
        <w:pStyle w:val="89"/>
        <w:adjustRightInd w:val="0"/>
        <w:snapToGrid w:val="0"/>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法定代表人（负责人）：</w:t>
      </w:r>
    </w:p>
    <w:p>
      <w:pPr>
        <w:pStyle w:val="89"/>
        <w:adjustRightInd w:val="0"/>
        <w:snapToGrid w:val="0"/>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联系地址和电话：</w:t>
      </w:r>
    </w:p>
    <w:p>
      <w:pPr>
        <w:pStyle w:val="89"/>
        <w:adjustRightInd w:val="0"/>
        <w:snapToGrid w:val="0"/>
        <w:spacing w:line="360" w:lineRule="auto"/>
        <w:ind w:firstLine="480" w:firstLineChars="200"/>
        <w:rPr>
          <w:rFonts w:ascii="宋体" w:hAnsi="宋体" w:cs="宋体"/>
          <w:sz w:val="24"/>
          <w:szCs w:val="24"/>
          <w:highlight w:val="none"/>
        </w:rPr>
      </w:pPr>
      <w:r>
        <w:rPr>
          <w:rFonts w:hint="eastAsia" w:ascii="宋体" w:hAnsi="宋体" w:cs="宋体"/>
          <w:color w:val="000000"/>
          <w:sz w:val="24"/>
          <w:szCs w:val="24"/>
          <w:highlight w:val="none"/>
        </w:rPr>
        <w:t>为维护公平、公正、公开的政府采购市场秩序，树立诚实守信的</w:t>
      </w:r>
      <w:r>
        <w:rPr>
          <w:rFonts w:hint="eastAsia" w:ascii="宋体" w:hAnsi="宋体" w:cs="宋体"/>
          <w:sz w:val="24"/>
          <w:szCs w:val="24"/>
          <w:highlight w:val="none"/>
        </w:rPr>
        <w:t>政府采购投标人形象，我单位（本人）自愿作出以下承诺：</w:t>
      </w:r>
    </w:p>
    <w:p>
      <w:pPr>
        <w:pStyle w:val="89"/>
        <w:adjustRightInd w:val="0"/>
        <w:snapToGrid w:val="0"/>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一、我单位（本人）自愿参加本次政府采购活动，严格遵守《中华人民共和国政府采购法》及相关法律法规，依法诚信经营，无条件遵守本次政府采购活动的各项规定。我单位（本人）郑重承诺，我单位（本人）符合《中华人民共和国政府采购法》第二十二条规定和采购文件、本承诺书的条件：</w:t>
      </w:r>
    </w:p>
    <w:p>
      <w:pPr>
        <w:pStyle w:val="89"/>
        <w:adjustRightInd w:val="0"/>
        <w:snapToGrid w:val="0"/>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（一）具有独立承担民事责任的能力；</w:t>
      </w:r>
    </w:p>
    <w:p>
      <w:pPr>
        <w:pStyle w:val="89"/>
        <w:adjustRightInd w:val="0"/>
        <w:snapToGrid w:val="0"/>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（二）具有良好的商业信誉和健全的财务会计制度；</w:t>
      </w:r>
    </w:p>
    <w:p>
      <w:pPr>
        <w:pStyle w:val="89"/>
        <w:adjustRightInd w:val="0"/>
        <w:snapToGrid w:val="0"/>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（三）具有履行合同所必需的设备和专业技术能力；</w:t>
      </w:r>
    </w:p>
    <w:p>
      <w:pPr>
        <w:pStyle w:val="89"/>
        <w:adjustRightInd w:val="0"/>
        <w:snapToGrid w:val="0"/>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（四）有依法缴纳税收和社会保障资金的良好记录；</w:t>
      </w:r>
    </w:p>
    <w:p>
      <w:pPr>
        <w:pStyle w:val="89"/>
        <w:adjustRightInd w:val="0"/>
        <w:snapToGrid w:val="0"/>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（五）参加政府采购活动前三年内，在经营活动中没有重大违法记录；</w:t>
      </w:r>
    </w:p>
    <w:p>
      <w:pPr>
        <w:pStyle w:val="89"/>
        <w:adjustRightInd w:val="0"/>
        <w:snapToGrid w:val="0"/>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（六）未被列入经营异常名录或者严重违法失信名单、失信被执行人、重大税收违法案件当事人名单、政府采购严重违法失信行为记录名单；</w:t>
      </w:r>
    </w:p>
    <w:p>
      <w:pPr>
        <w:pStyle w:val="89"/>
        <w:adjustRightInd w:val="0"/>
        <w:snapToGrid w:val="0"/>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（七）未被相关监管部门作出行政处罚且尚在处罚有效期内；</w:t>
      </w:r>
    </w:p>
    <w:p>
      <w:pPr>
        <w:pStyle w:val="89"/>
        <w:adjustRightInd w:val="0"/>
        <w:snapToGrid w:val="0"/>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（八）未曾作出虚假采购承诺；</w:t>
      </w:r>
    </w:p>
    <w:p>
      <w:pPr>
        <w:pStyle w:val="89"/>
        <w:adjustRightInd w:val="0"/>
        <w:snapToGrid w:val="0"/>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（九）符合法律、行政法规规定的其他条件。</w:t>
      </w:r>
    </w:p>
    <w:p>
      <w:pPr>
        <w:pStyle w:val="89"/>
        <w:adjustRightInd w:val="0"/>
        <w:snapToGrid w:val="0"/>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二、我单位（本人）保证上述承诺事项的真实性。如有弄虚作假或其他违法违规行为，自愿按照规定将违背承诺行为作为失信行为记录到社会信用信息平台，并视同为“提供虚假材料谋取中标、成交”按照《政府采购法》第七十七、七十九条规定，处以采购金额千分之五以上千分之十以下的罚款，列入不良行为记录名单，在一至三年内禁止参加政府采购活动，有违法所得的，并处没收违法所得，情节严重的，由市场监管部门吊销营业执照；构成犯罪的，依法追究刑事责任；给他人造成损失的，并应依照有关民事法律规定承担民事责任。</w:t>
      </w:r>
    </w:p>
    <w:p>
      <w:pPr>
        <w:pStyle w:val="89"/>
        <w:adjustRightInd w:val="0"/>
        <w:snapToGrid w:val="0"/>
        <w:spacing w:line="360" w:lineRule="auto"/>
        <w:rPr>
          <w:rFonts w:ascii="宋体" w:hAnsi="宋体" w:cs="宋体"/>
          <w:color w:val="000000"/>
          <w:sz w:val="24"/>
          <w:szCs w:val="24"/>
          <w:highlight w:val="none"/>
        </w:rPr>
      </w:pPr>
    </w:p>
    <w:p>
      <w:pPr>
        <w:pStyle w:val="89"/>
        <w:adjustRightInd w:val="0"/>
        <w:snapToGrid w:val="0"/>
        <w:spacing w:line="360" w:lineRule="auto"/>
        <w:rPr>
          <w:rFonts w:ascii="宋体" w:hAnsi="宋体" w:cs="宋体"/>
          <w:color w:val="000000"/>
          <w:sz w:val="24"/>
          <w:szCs w:val="24"/>
          <w:highlight w:val="none"/>
        </w:rPr>
      </w:pPr>
      <w:r>
        <w:rPr>
          <w:rFonts w:hint="eastAsia" w:ascii="宋体" w:hAnsi="宋体" w:cs="宋体"/>
          <w:color w:val="000000"/>
          <w:sz w:val="24"/>
          <w:szCs w:val="24"/>
          <w:highlight w:val="none"/>
        </w:rPr>
        <w:t xml:space="preserve">投标人（电子章）： </w:t>
      </w:r>
    </w:p>
    <w:p>
      <w:pPr>
        <w:pStyle w:val="89"/>
        <w:adjustRightInd w:val="0"/>
        <w:snapToGrid w:val="0"/>
        <w:spacing w:line="360" w:lineRule="auto"/>
        <w:rPr>
          <w:rFonts w:ascii="宋体" w:hAnsi="宋体" w:cs="宋体"/>
          <w:color w:val="000000"/>
          <w:sz w:val="24"/>
          <w:szCs w:val="24"/>
          <w:highlight w:val="none"/>
        </w:rPr>
      </w:pPr>
      <w:r>
        <w:rPr>
          <w:rFonts w:hint="eastAsia" w:ascii="宋体" w:hAnsi="宋体" w:cs="宋体"/>
          <w:color w:val="000000"/>
          <w:spacing w:val="-20"/>
          <w:sz w:val="24"/>
          <w:szCs w:val="24"/>
          <w:highlight w:val="none"/>
        </w:rPr>
        <w:t>法定代表人、负责人、本人、或授权代表(签字或电子印章)：</w:t>
      </w:r>
    </w:p>
    <w:p>
      <w:pPr>
        <w:pStyle w:val="89"/>
        <w:adjustRightInd w:val="0"/>
        <w:snapToGrid w:val="0"/>
        <w:spacing w:line="360" w:lineRule="auto"/>
        <w:rPr>
          <w:rFonts w:ascii="宋体" w:hAnsi="宋体" w:cs="宋体"/>
          <w:color w:val="000000"/>
          <w:sz w:val="24"/>
          <w:szCs w:val="24"/>
          <w:highlight w:val="none"/>
        </w:rPr>
      </w:pPr>
      <w:r>
        <w:rPr>
          <w:rFonts w:hint="eastAsia" w:ascii="宋体" w:hAnsi="宋体" w:cs="宋体"/>
          <w:color w:val="000000"/>
          <w:sz w:val="24"/>
          <w:szCs w:val="24"/>
          <w:highlight w:val="none"/>
        </w:rPr>
        <w:t xml:space="preserve">日期：    年 月 日 </w:t>
      </w:r>
    </w:p>
    <w:p>
      <w:pPr>
        <w:pStyle w:val="89"/>
        <w:adjustRightInd w:val="0"/>
        <w:snapToGrid w:val="0"/>
        <w:spacing w:line="360" w:lineRule="auto"/>
        <w:ind w:firstLine="480" w:firstLineChars="200"/>
        <w:rPr>
          <w:rFonts w:ascii="宋体" w:hAnsi="宋体" w:cs="宋体"/>
          <w:bCs/>
          <w:color w:val="000000"/>
          <w:sz w:val="24"/>
          <w:szCs w:val="24"/>
          <w:highlight w:val="none"/>
        </w:rPr>
      </w:pPr>
    </w:p>
    <w:p>
      <w:pPr>
        <w:pStyle w:val="89"/>
        <w:spacing w:line="360" w:lineRule="auto"/>
        <w:rPr>
          <w:rFonts w:ascii="宋体" w:hAnsi="宋体" w:cs="宋体"/>
          <w:sz w:val="24"/>
          <w:szCs w:val="24"/>
          <w:highlight w:val="none"/>
        </w:rPr>
      </w:pPr>
      <w:r>
        <w:rPr>
          <w:rFonts w:hint="eastAsia" w:ascii="宋体" w:hAnsi="宋体" w:cs="宋体"/>
          <w:sz w:val="24"/>
          <w:szCs w:val="24"/>
          <w:highlight w:val="none"/>
        </w:rPr>
        <w:t>注：1.投标人须在投标文件中按此模板提供承诺函，未提供视为未实质性响应招标文件要求，按无效投标处理。</w:t>
      </w:r>
    </w:p>
    <w:p>
      <w:pPr>
        <w:pStyle w:val="35"/>
        <w:spacing w:line="360" w:lineRule="auto"/>
        <w:rPr>
          <w:rFonts w:ascii="宋体" w:hAnsi="宋体" w:cs="宋体"/>
          <w:sz w:val="24"/>
          <w:szCs w:val="24"/>
          <w:highlight w:val="none"/>
        </w:rPr>
      </w:pPr>
      <w:r>
        <w:rPr>
          <w:rFonts w:hint="eastAsia" w:ascii="宋体" w:hAnsi="宋体" w:cs="宋体"/>
          <w:sz w:val="24"/>
          <w:szCs w:val="24"/>
          <w:highlight w:val="none"/>
        </w:rPr>
        <w:t>投标人的法定代表人或者授权代表的签字或盖章应真实、有效，如由授权代表签字或盖章的，应提供“法定代表人授权书”</w:t>
      </w:r>
      <w:r>
        <w:rPr>
          <w:rFonts w:hint="eastAsia" w:ascii="宋体" w:hAnsi="宋体" w:cs="宋体"/>
          <w:color w:val="000000"/>
          <w:sz w:val="24"/>
          <w:szCs w:val="24"/>
          <w:highlight w:val="none"/>
        </w:rPr>
        <w:t>。</w:t>
      </w:r>
    </w:p>
    <w:p>
      <w:pPr>
        <w:pStyle w:val="94"/>
        <w:spacing w:line="360" w:lineRule="auto"/>
        <w:rPr>
          <w:rFonts w:ascii="宋体" w:hAnsi="宋体" w:eastAsia="宋体" w:cs="宋体"/>
          <w:sz w:val="24"/>
          <w:highlight w:val="none"/>
        </w:rPr>
      </w:pPr>
      <w:r>
        <w:rPr>
          <w:rFonts w:hint="eastAsia" w:ascii="宋体" w:hAnsi="宋体" w:eastAsia="宋体" w:cs="宋体"/>
          <w:sz w:val="24"/>
          <w:highlight w:val="none"/>
        </w:rPr>
        <w:br w:type="page"/>
      </w:r>
      <w:bookmarkStart w:id="186" w:name="_Toc256000062"/>
      <w:r>
        <w:rPr>
          <w:rFonts w:hint="eastAsia" w:ascii="宋体" w:hAnsi="宋体" w:eastAsia="宋体" w:cs="宋体"/>
          <w:sz w:val="24"/>
          <w:highlight w:val="none"/>
        </w:rPr>
        <w:t>六、开标一览表</w:t>
      </w:r>
      <w:bookmarkEnd w:id="186"/>
    </w:p>
    <w:p>
      <w:pPr>
        <w:pStyle w:val="95"/>
        <w:widowControl/>
        <w:spacing w:line="360" w:lineRule="auto"/>
        <w:jc w:val="center"/>
        <w:rPr>
          <w:rFonts w:ascii="宋体" w:hAnsi="宋体" w:cs="宋体"/>
          <w:sz w:val="24"/>
          <w:szCs w:val="24"/>
          <w:highlight w:val="none"/>
        </w:rPr>
      </w:pPr>
      <w:r>
        <w:rPr>
          <w:rFonts w:hint="eastAsia" w:ascii="宋体" w:hAnsi="宋体" w:cs="宋体"/>
          <w:kern w:val="0"/>
          <w:sz w:val="24"/>
          <w:szCs w:val="24"/>
          <w:highlight w:val="none"/>
        </w:rPr>
        <w:t>开标一览表</w:t>
      </w:r>
      <w:bookmarkStart w:id="187" w:name="EBa811e9b6370d47b4980fd2916a2a2a5d"/>
    </w:p>
    <w:tbl>
      <w:tblPr>
        <w:tblStyle w:val="19"/>
        <w:tblW w:w="5000" w:type="pct"/>
        <w:tblInd w:w="0" w:type="dxa"/>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Layout w:type="autofit"/>
        <w:tblCellMar>
          <w:top w:w="150" w:type="dxa"/>
          <w:left w:w="150" w:type="dxa"/>
          <w:bottom w:w="150" w:type="dxa"/>
          <w:right w:w="150" w:type="dxa"/>
        </w:tblCellMar>
      </w:tblPr>
      <w:tblGrid>
        <w:gridCol w:w="5098"/>
        <w:gridCol w:w="5101"/>
      </w:tblGrid>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150" w:type="dxa"/>
            <w:left w:w="150" w:type="dxa"/>
            <w:bottom w:w="150" w:type="dxa"/>
            <w:right w:w="150" w:type="dxa"/>
          </w:tblCellMar>
        </w:tblPrEx>
        <w:trPr>
          <w:trHeight w:val="540" w:hRule="atLeast"/>
        </w:trPr>
        <w:tc>
          <w:tcPr>
            <w:tcW w:w="2499" w:type="pct"/>
            <w:tcBorders>
              <w:top w:val="outset" w:color="auto" w:sz="6" w:space="0"/>
              <w:left w:val="outset" w:color="auto" w:sz="6" w:space="0"/>
              <w:bottom w:val="outset" w:color="auto" w:sz="6" w:space="0"/>
              <w:right w:val="outset" w:color="auto" w:sz="6" w:space="0"/>
            </w:tcBorders>
            <w:vAlign w:val="center"/>
          </w:tcPr>
          <w:p>
            <w:pPr>
              <w:pStyle w:val="96"/>
              <w:spacing w:line="360" w:lineRule="auto"/>
              <w:jc w:val="center"/>
              <w:rPr>
                <w:rFonts w:ascii="宋体" w:hAnsi="宋体" w:eastAsia="宋体" w:cs="宋体"/>
                <w:highlight w:val="none"/>
              </w:rPr>
            </w:pPr>
            <w:r>
              <w:rPr>
                <w:rFonts w:hint="eastAsia" w:ascii="宋体" w:hAnsi="宋体" w:eastAsia="宋体" w:cs="宋体"/>
                <w:spacing w:val="30"/>
                <w:highlight w:val="none"/>
              </w:rPr>
              <w:t>投标人总报价（小写）</w:t>
            </w:r>
          </w:p>
        </w:tc>
        <w:tc>
          <w:tcPr>
            <w:tcW w:w="2500" w:type="pct"/>
            <w:tcBorders>
              <w:top w:val="outset" w:color="auto" w:sz="6" w:space="0"/>
              <w:left w:val="outset" w:color="auto" w:sz="6" w:space="0"/>
              <w:bottom w:val="outset" w:color="auto" w:sz="6" w:space="0"/>
              <w:right w:val="outset" w:color="auto" w:sz="6" w:space="0"/>
            </w:tcBorders>
            <w:vAlign w:val="center"/>
          </w:tcPr>
          <w:p>
            <w:pPr>
              <w:pStyle w:val="96"/>
              <w:spacing w:line="360" w:lineRule="auto"/>
              <w:jc w:val="center"/>
              <w:rPr>
                <w:rFonts w:ascii="宋体" w:hAnsi="宋体" w:eastAsia="宋体" w:cs="宋体"/>
                <w:highlight w:val="none"/>
              </w:rPr>
            </w:pPr>
            <w:r>
              <w:rPr>
                <w:rFonts w:hint="eastAsia" w:ascii="宋体" w:hAnsi="宋体" w:eastAsia="宋体" w:cs="宋体"/>
                <w:spacing w:val="30"/>
                <w:highlight w:val="none"/>
              </w:rPr>
              <w:t>元</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150" w:type="dxa"/>
            <w:left w:w="150" w:type="dxa"/>
            <w:bottom w:w="150" w:type="dxa"/>
            <w:right w:w="150" w:type="dxa"/>
          </w:tblCellMar>
        </w:tblPrEx>
        <w:trPr>
          <w:trHeight w:val="540" w:hRule="atLeast"/>
        </w:trPr>
        <w:tc>
          <w:tcPr>
            <w:tcW w:w="2499" w:type="pct"/>
            <w:tcBorders>
              <w:top w:val="outset" w:color="auto" w:sz="6" w:space="0"/>
              <w:left w:val="outset" w:color="auto" w:sz="6" w:space="0"/>
              <w:bottom w:val="outset" w:color="auto" w:sz="6" w:space="0"/>
              <w:right w:val="outset" w:color="auto" w:sz="6" w:space="0"/>
            </w:tcBorders>
            <w:vAlign w:val="center"/>
          </w:tcPr>
          <w:p>
            <w:pPr>
              <w:spacing w:line="360" w:lineRule="auto"/>
              <w:jc w:val="center"/>
              <w:rPr>
                <w:rFonts w:ascii="宋体" w:hAnsi="宋体" w:eastAsia="宋体" w:cs="宋体"/>
                <w:spacing w:val="30"/>
                <w:highlight w:val="none"/>
              </w:rPr>
            </w:pPr>
            <w:r>
              <w:rPr>
                <w:rFonts w:hint="eastAsia" w:ascii="宋体" w:hAnsi="宋体" w:eastAsia="宋体" w:cs="宋体"/>
                <w:spacing w:val="14"/>
                <w:highlight w:val="none"/>
              </w:rPr>
              <w:t>交货期</w:t>
            </w:r>
          </w:p>
        </w:tc>
        <w:tc>
          <w:tcPr>
            <w:tcW w:w="2500" w:type="pct"/>
            <w:tcBorders>
              <w:top w:val="outset" w:color="auto" w:sz="6" w:space="0"/>
              <w:left w:val="outset" w:color="auto" w:sz="6" w:space="0"/>
              <w:bottom w:val="outset" w:color="auto" w:sz="6" w:space="0"/>
              <w:right w:val="outset" w:color="auto" w:sz="6" w:space="0"/>
            </w:tcBorders>
            <w:vAlign w:val="center"/>
          </w:tcPr>
          <w:p>
            <w:pPr>
              <w:pStyle w:val="96"/>
              <w:spacing w:line="360" w:lineRule="auto"/>
              <w:jc w:val="center"/>
              <w:rPr>
                <w:rFonts w:ascii="宋体" w:hAnsi="宋体" w:eastAsia="宋体" w:cs="宋体"/>
                <w:highlight w:val="none"/>
              </w:rPr>
            </w:pP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150" w:type="dxa"/>
            <w:left w:w="150" w:type="dxa"/>
            <w:bottom w:w="150" w:type="dxa"/>
            <w:right w:w="150" w:type="dxa"/>
          </w:tblCellMar>
        </w:tblPrEx>
        <w:trPr>
          <w:trHeight w:val="540" w:hRule="atLeast"/>
        </w:trPr>
        <w:tc>
          <w:tcPr>
            <w:tcW w:w="2499" w:type="pct"/>
            <w:tcBorders>
              <w:top w:val="outset" w:color="auto" w:sz="6" w:space="0"/>
              <w:left w:val="outset" w:color="auto" w:sz="6" w:space="0"/>
              <w:bottom w:val="outset" w:color="auto" w:sz="6" w:space="0"/>
              <w:right w:val="outset" w:color="auto" w:sz="6" w:space="0"/>
            </w:tcBorders>
            <w:vAlign w:val="center"/>
          </w:tcPr>
          <w:p>
            <w:pPr>
              <w:spacing w:line="360" w:lineRule="auto"/>
              <w:jc w:val="center"/>
              <w:rPr>
                <w:rFonts w:ascii="宋体" w:hAnsi="宋体" w:eastAsia="宋体" w:cs="宋体"/>
                <w:spacing w:val="30"/>
                <w:highlight w:val="none"/>
              </w:rPr>
            </w:pPr>
            <w:r>
              <w:rPr>
                <w:rFonts w:hint="eastAsia" w:ascii="宋体" w:hAnsi="宋体" w:eastAsia="宋体" w:cs="宋体"/>
                <w:spacing w:val="14"/>
                <w:highlight w:val="none"/>
              </w:rPr>
              <w:t>合同履行期限</w:t>
            </w:r>
          </w:p>
        </w:tc>
        <w:tc>
          <w:tcPr>
            <w:tcW w:w="2500" w:type="pct"/>
            <w:tcBorders>
              <w:top w:val="outset" w:color="auto" w:sz="6" w:space="0"/>
              <w:left w:val="outset" w:color="auto" w:sz="6" w:space="0"/>
              <w:bottom w:val="outset" w:color="auto" w:sz="6" w:space="0"/>
              <w:right w:val="outset" w:color="auto" w:sz="6" w:space="0"/>
            </w:tcBorders>
            <w:vAlign w:val="center"/>
          </w:tcPr>
          <w:p>
            <w:pPr>
              <w:pStyle w:val="96"/>
              <w:spacing w:line="360" w:lineRule="auto"/>
              <w:jc w:val="center"/>
              <w:rPr>
                <w:rFonts w:ascii="宋体" w:hAnsi="宋体" w:eastAsia="宋体" w:cs="宋体"/>
                <w:highlight w:val="none"/>
              </w:rPr>
            </w:pP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150" w:type="dxa"/>
            <w:left w:w="150" w:type="dxa"/>
            <w:bottom w:w="150" w:type="dxa"/>
            <w:right w:w="150" w:type="dxa"/>
          </w:tblCellMar>
        </w:tblPrEx>
        <w:trPr>
          <w:trHeight w:val="540" w:hRule="atLeast"/>
        </w:trPr>
        <w:tc>
          <w:tcPr>
            <w:tcW w:w="2499" w:type="pct"/>
            <w:tcBorders>
              <w:top w:val="outset" w:color="auto" w:sz="6" w:space="0"/>
              <w:left w:val="outset" w:color="auto" w:sz="6" w:space="0"/>
              <w:bottom w:val="outset" w:color="auto" w:sz="6" w:space="0"/>
              <w:right w:val="outset" w:color="auto" w:sz="6" w:space="0"/>
            </w:tcBorders>
            <w:vAlign w:val="center"/>
          </w:tcPr>
          <w:p>
            <w:pPr>
              <w:spacing w:line="360" w:lineRule="auto"/>
              <w:jc w:val="center"/>
              <w:rPr>
                <w:rFonts w:ascii="宋体" w:hAnsi="宋体" w:eastAsia="宋体" w:cs="宋体"/>
                <w:spacing w:val="30"/>
                <w:highlight w:val="none"/>
              </w:rPr>
            </w:pPr>
            <w:r>
              <w:rPr>
                <w:rFonts w:hint="eastAsia" w:ascii="宋体" w:hAnsi="宋体" w:eastAsia="宋体" w:cs="宋体"/>
                <w:spacing w:val="14"/>
                <w:highlight w:val="none"/>
              </w:rPr>
              <w:t>质量要求</w:t>
            </w:r>
          </w:p>
        </w:tc>
        <w:tc>
          <w:tcPr>
            <w:tcW w:w="2500" w:type="pct"/>
            <w:tcBorders>
              <w:top w:val="outset" w:color="auto" w:sz="6" w:space="0"/>
              <w:left w:val="outset" w:color="auto" w:sz="6" w:space="0"/>
              <w:bottom w:val="outset" w:color="auto" w:sz="6" w:space="0"/>
              <w:right w:val="outset" w:color="auto" w:sz="6" w:space="0"/>
            </w:tcBorders>
            <w:vAlign w:val="center"/>
          </w:tcPr>
          <w:p>
            <w:pPr>
              <w:pStyle w:val="96"/>
              <w:spacing w:line="360" w:lineRule="auto"/>
              <w:jc w:val="center"/>
              <w:rPr>
                <w:rFonts w:ascii="宋体" w:hAnsi="宋体" w:eastAsia="宋体" w:cs="宋体"/>
                <w:highlight w:val="none"/>
              </w:rPr>
            </w:pP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150" w:type="dxa"/>
            <w:left w:w="150" w:type="dxa"/>
            <w:bottom w:w="150" w:type="dxa"/>
            <w:right w:w="150" w:type="dxa"/>
          </w:tblCellMar>
        </w:tblPrEx>
        <w:trPr>
          <w:trHeight w:val="540" w:hRule="atLeast"/>
        </w:trPr>
        <w:tc>
          <w:tcPr>
            <w:tcW w:w="2499" w:type="pct"/>
            <w:tcBorders>
              <w:top w:val="outset" w:color="auto" w:sz="6" w:space="0"/>
              <w:left w:val="outset" w:color="auto" w:sz="6" w:space="0"/>
              <w:bottom w:val="outset" w:color="auto" w:sz="6" w:space="0"/>
              <w:right w:val="outset" w:color="auto" w:sz="6" w:space="0"/>
            </w:tcBorders>
            <w:vAlign w:val="center"/>
          </w:tcPr>
          <w:p>
            <w:pPr>
              <w:spacing w:line="360" w:lineRule="auto"/>
              <w:jc w:val="center"/>
              <w:rPr>
                <w:rFonts w:ascii="宋体" w:hAnsi="宋体" w:eastAsia="宋体" w:cs="宋体"/>
                <w:spacing w:val="30"/>
                <w:highlight w:val="none"/>
              </w:rPr>
            </w:pPr>
            <w:r>
              <w:rPr>
                <w:rFonts w:hint="eastAsia" w:ascii="宋体" w:hAnsi="宋体" w:eastAsia="宋体" w:cs="宋体"/>
                <w:spacing w:val="14"/>
                <w:highlight w:val="none"/>
              </w:rPr>
              <w:t>质保期</w:t>
            </w:r>
          </w:p>
        </w:tc>
        <w:tc>
          <w:tcPr>
            <w:tcW w:w="2500" w:type="pct"/>
            <w:tcBorders>
              <w:top w:val="outset" w:color="auto" w:sz="6" w:space="0"/>
              <w:left w:val="outset" w:color="auto" w:sz="6" w:space="0"/>
              <w:bottom w:val="outset" w:color="auto" w:sz="6" w:space="0"/>
              <w:right w:val="outset" w:color="auto" w:sz="6" w:space="0"/>
            </w:tcBorders>
            <w:vAlign w:val="center"/>
          </w:tcPr>
          <w:p>
            <w:pPr>
              <w:pStyle w:val="96"/>
              <w:spacing w:line="360" w:lineRule="auto"/>
              <w:jc w:val="center"/>
              <w:rPr>
                <w:rFonts w:ascii="宋体" w:hAnsi="宋体" w:eastAsia="宋体" w:cs="宋体"/>
                <w:highlight w:val="none"/>
              </w:rPr>
            </w:pP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150" w:type="dxa"/>
            <w:left w:w="150" w:type="dxa"/>
            <w:bottom w:w="150" w:type="dxa"/>
            <w:right w:w="150" w:type="dxa"/>
          </w:tblCellMar>
        </w:tblPrEx>
        <w:trPr>
          <w:trHeight w:val="540" w:hRule="atLeast"/>
        </w:trPr>
        <w:tc>
          <w:tcPr>
            <w:tcW w:w="2499" w:type="pct"/>
            <w:tcBorders>
              <w:top w:val="outset" w:color="auto" w:sz="6" w:space="0"/>
              <w:left w:val="outset" w:color="auto" w:sz="6" w:space="0"/>
              <w:bottom w:val="outset" w:color="auto" w:sz="6" w:space="0"/>
              <w:right w:val="outset" w:color="auto" w:sz="6" w:space="0"/>
            </w:tcBorders>
            <w:vAlign w:val="center"/>
          </w:tcPr>
          <w:p>
            <w:pPr>
              <w:spacing w:line="360" w:lineRule="auto"/>
              <w:jc w:val="center"/>
              <w:rPr>
                <w:rFonts w:ascii="宋体" w:hAnsi="宋体" w:eastAsia="宋体" w:cs="宋体"/>
                <w:spacing w:val="30"/>
                <w:highlight w:val="none"/>
              </w:rPr>
            </w:pPr>
            <w:r>
              <w:rPr>
                <w:rFonts w:hint="eastAsia" w:ascii="宋体" w:hAnsi="宋体" w:eastAsia="宋体" w:cs="宋体"/>
                <w:spacing w:val="14"/>
                <w:highlight w:val="none"/>
              </w:rPr>
              <w:t>投标有效期</w:t>
            </w:r>
          </w:p>
        </w:tc>
        <w:tc>
          <w:tcPr>
            <w:tcW w:w="2500" w:type="pct"/>
            <w:tcBorders>
              <w:top w:val="outset" w:color="auto" w:sz="6" w:space="0"/>
              <w:left w:val="outset" w:color="auto" w:sz="6" w:space="0"/>
              <w:bottom w:val="outset" w:color="auto" w:sz="6" w:space="0"/>
              <w:right w:val="outset" w:color="auto" w:sz="6" w:space="0"/>
            </w:tcBorders>
            <w:vAlign w:val="center"/>
          </w:tcPr>
          <w:p>
            <w:pPr>
              <w:pStyle w:val="96"/>
              <w:spacing w:line="360" w:lineRule="auto"/>
              <w:jc w:val="center"/>
              <w:rPr>
                <w:rFonts w:ascii="宋体" w:hAnsi="宋体" w:eastAsia="宋体" w:cs="宋体"/>
                <w:highlight w:val="none"/>
              </w:rPr>
            </w:pP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150" w:type="dxa"/>
            <w:left w:w="150" w:type="dxa"/>
            <w:bottom w:w="150" w:type="dxa"/>
            <w:right w:w="150" w:type="dxa"/>
          </w:tblCellMar>
        </w:tblPrEx>
        <w:trPr>
          <w:trHeight w:val="540" w:hRule="atLeast"/>
        </w:trPr>
        <w:tc>
          <w:tcPr>
            <w:tcW w:w="2499" w:type="pct"/>
            <w:tcBorders>
              <w:top w:val="outset" w:color="auto" w:sz="6" w:space="0"/>
              <w:left w:val="outset" w:color="auto" w:sz="6" w:space="0"/>
              <w:bottom w:val="outset" w:color="auto" w:sz="6" w:space="0"/>
              <w:right w:val="outset" w:color="auto" w:sz="6" w:space="0"/>
            </w:tcBorders>
            <w:vAlign w:val="center"/>
          </w:tcPr>
          <w:p>
            <w:pPr>
              <w:spacing w:line="360" w:lineRule="auto"/>
              <w:jc w:val="center"/>
              <w:rPr>
                <w:rFonts w:ascii="宋体" w:hAnsi="宋体" w:eastAsia="宋体" w:cs="宋体"/>
                <w:spacing w:val="30"/>
                <w:highlight w:val="none"/>
              </w:rPr>
            </w:pPr>
            <w:r>
              <w:rPr>
                <w:rFonts w:hint="eastAsia" w:ascii="宋体" w:hAnsi="宋体" w:eastAsia="宋体" w:cs="宋体"/>
                <w:spacing w:val="14"/>
                <w:highlight w:val="none"/>
              </w:rPr>
              <w:t>付款方式</w:t>
            </w:r>
          </w:p>
        </w:tc>
        <w:tc>
          <w:tcPr>
            <w:tcW w:w="2500" w:type="pct"/>
            <w:tcBorders>
              <w:top w:val="outset" w:color="auto" w:sz="6" w:space="0"/>
              <w:left w:val="outset" w:color="auto" w:sz="6" w:space="0"/>
              <w:bottom w:val="outset" w:color="auto" w:sz="6" w:space="0"/>
              <w:right w:val="outset" w:color="auto" w:sz="6" w:space="0"/>
            </w:tcBorders>
            <w:vAlign w:val="center"/>
          </w:tcPr>
          <w:p>
            <w:pPr>
              <w:pStyle w:val="96"/>
              <w:spacing w:line="360" w:lineRule="auto"/>
              <w:jc w:val="center"/>
              <w:rPr>
                <w:rFonts w:ascii="宋体" w:hAnsi="宋体" w:eastAsia="宋体" w:cs="宋体"/>
                <w:highlight w:val="none"/>
              </w:rPr>
            </w:pPr>
          </w:p>
        </w:tc>
      </w:tr>
      <w:bookmarkEnd w:id="187"/>
    </w:tbl>
    <w:p>
      <w:pPr>
        <w:pStyle w:val="95"/>
        <w:spacing w:line="360" w:lineRule="auto"/>
        <w:rPr>
          <w:rFonts w:ascii="宋体" w:hAnsi="宋体" w:cs="宋体"/>
          <w:sz w:val="24"/>
          <w:szCs w:val="24"/>
          <w:highlight w:val="none"/>
        </w:rPr>
      </w:pPr>
    </w:p>
    <w:p>
      <w:pPr>
        <w:pStyle w:val="97"/>
        <w:spacing w:line="360" w:lineRule="auto"/>
        <w:rPr>
          <w:rFonts w:ascii="宋体" w:hAnsi="宋体" w:eastAsia="宋体" w:cs="宋体"/>
          <w:sz w:val="24"/>
          <w:highlight w:val="none"/>
        </w:rPr>
      </w:pPr>
      <w:r>
        <w:rPr>
          <w:rFonts w:hint="eastAsia" w:ascii="宋体" w:hAnsi="宋体" w:eastAsia="宋体" w:cs="宋体"/>
          <w:sz w:val="24"/>
          <w:highlight w:val="none"/>
        </w:rPr>
        <w:br w:type="page"/>
      </w:r>
      <w:bookmarkStart w:id="188" w:name="_Toc256000063"/>
      <w:r>
        <w:rPr>
          <w:rFonts w:hint="eastAsia" w:ascii="宋体" w:hAnsi="宋体" w:eastAsia="宋体" w:cs="宋体"/>
          <w:sz w:val="24"/>
          <w:highlight w:val="none"/>
        </w:rPr>
        <w:t>七、报价明细表</w:t>
      </w:r>
      <w:bookmarkEnd w:id="188"/>
    </w:p>
    <w:p>
      <w:pPr>
        <w:pStyle w:val="98"/>
        <w:spacing w:line="360" w:lineRule="auto"/>
        <w:jc w:val="center"/>
        <w:rPr>
          <w:rFonts w:ascii="宋体" w:hAnsi="宋体" w:cs="宋体"/>
          <w:b/>
          <w:bCs/>
          <w:spacing w:val="14"/>
          <w:kern w:val="0"/>
          <w:sz w:val="24"/>
          <w:szCs w:val="24"/>
          <w:highlight w:val="none"/>
        </w:rPr>
      </w:pPr>
      <w:r>
        <w:rPr>
          <w:rFonts w:hint="eastAsia" w:ascii="宋体" w:hAnsi="宋体" w:cs="宋体"/>
          <w:b/>
          <w:bCs/>
          <w:spacing w:val="14"/>
          <w:kern w:val="0"/>
          <w:sz w:val="24"/>
          <w:szCs w:val="24"/>
          <w:highlight w:val="none"/>
        </w:rPr>
        <w:t>报价明细表（仅供参考）</w:t>
      </w:r>
    </w:p>
    <w:p>
      <w:pPr>
        <w:widowControl/>
        <w:spacing w:line="360" w:lineRule="auto"/>
        <w:jc w:val="left"/>
        <w:rPr>
          <w:rFonts w:ascii="宋体" w:hAnsi="宋体" w:eastAsia="宋体" w:cs="宋体"/>
          <w:highlight w:val="none"/>
        </w:rPr>
      </w:pPr>
      <w:r>
        <w:rPr>
          <w:rFonts w:hint="eastAsia" w:ascii="宋体" w:hAnsi="宋体" w:eastAsia="宋体" w:cs="宋体"/>
          <w:color w:val="000000"/>
          <w:highlight w:val="none"/>
        </w:rPr>
        <w:t>投标单位：</w:t>
      </w:r>
    </w:p>
    <w:p>
      <w:pPr>
        <w:widowControl/>
        <w:spacing w:line="360" w:lineRule="auto"/>
        <w:jc w:val="left"/>
        <w:rPr>
          <w:rFonts w:ascii="宋体" w:hAnsi="宋体" w:eastAsia="宋体" w:cs="宋体"/>
          <w:highlight w:val="none"/>
        </w:rPr>
      </w:pPr>
      <w:r>
        <w:rPr>
          <w:rFonts w:hint="eastAsia" w:ascii="宋体" w:hAnsi="宋体" w:eastAsia="宋体" w:cs="宋体"/>
          <w:color w:val="000000"/>
          <w:highlight w:val="none"/>
        </w:rPr>
        <w:t>招标编号：</w:t>
      </w:r>
    </w:p>
    <w:p>
      <w:pPr>
        <w:widowControl/>
        <w:spacing w:line="360" w:lineRule="auto"/>
        <w:jc w:val="left"/>
        <w:rPr>
          <w:rFonts w:ascii="宋体" w:hAnsi="宋体" w:eastAsia="宋体" w:cs="宋体"/>
          <w:color w:val="000000"/>
          <w:highlight w:val="none"/>
        </w:rPr>
      </w:pPr>
      <w:r>
        <w:rPr>
          <w:rFonts w:hint="eastAsia" w:ascii="宋体" w:hAnsi="宋体" w:eastAsia="宋体" w:cs="宋体"/>
          <w:color w:val="000000"/>
          <w:highlight w:val="none"/>
        </w:rPr>
        <w:t xml:space="preserve">单位：元 </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91"/>
        <w:gridCol w:w="1320"/>
        <w:gridCol w:w="1395"/>
        <w:gridCol w:w="1695"/>
        <w:gridCol w:w="1365"/>
        <w:gridCol w:w="765"/>
        <w:gridCol w:w="995"/>
        <w:gridCol w:w="11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1" w:type="dxa"/>
            <w:vAlign w:val="center"/>
          </w:tcPr>
          <w:p>
            <w:pPr>
              <w:widowControl/>
              <w:spacing w:line="360" w:lineRule="auto"/>
              <w:jc w:val="center"/>
              <w:rPr>
                <w:rFonts w:ascii="宋体" w:hAnsi="宋体" w:eastAsia="宋体" w:cs="宋体"/>
                <w:color w:val="000000"/>
                <w:highlight w:val="none"/>
              </w:rPr>
            </w:pPr>
            <w:r>
              <w:rPr>
                <w:rFonts w:hint="eastAsia" w:ascii="宋体" w:hAnsi="宋体" w:eastAsia="宋体" w:cs="宋体"/>
                <w:color w:val="000000"/>
                <w:highlight w:val="none"/>
              </w:rPr>
              <w:t>序号</w:t>
            </w:r>
          </w:p>
        </w:tc>
        <w:tc>
          <w:tcPr>
            <w:tcW w:w="1320" w:type="dxa"/>
            <w:vAlign w:val="center"/>
          </w:tcPr>
          <w:p>
            <w:pPr>
              <w:widowControl/>
              <w:spacing w:line="360" w:lineRule="auto"/>
              <w:jc w:val="center"/>
              <w:rPr>
                <w:rFonts w:ascii="宋体" w:hAnsi="宋体" w:eastAsia="宋体" w:cs="宋体"/>
                <w:color w:val="000000"/>
                <w:highlight w:val="none"/>
              </w:rPr>
            </w:pPr>
            <w:r>
              <w:rPr>
                <w:rFonts w:hint="eastAsia" w:ascii="宋体" w:hAnsi="宋体" w:eastAsia="宋体" w:cs="宋体"/>
                <w:color w:val="000000"/>
                <w:highlight w:val="none"/>
              </w:rPr>
              <w:t>货物名称</w:t>
            </w:r>
          </w:p>
        </w:tc>
        <w:tc>
          <w:tcPr>
            <w:tcW w:w="1395" w:type="dxa"/>
            <w:vAlign w:val="center"/>
          </w:tcPr>
          <w:p>
            <w:pPr>
              <w:widowControl/>
              <w:spacing w:line="360" w:lineRule="auto"/>
              <w:jc w:val="center"/>
              <w:rPr>
                <w:rFonts w:ascii="宋体" w:hAnsi="宋体" w:eastAsia="宋体" w:cs="宋体"/>
                <w:color w:val="000000"/>
                <w:highlight w:val="none"/>
              </w:rPr>
            </w:pPr>
            <w:r>
              <w:rPr>
                <w:rFonts w:hint="eastAsia" w:ascii="宋体" w:hAnsi="宋体" w:eastAsia="宋体" w:cs="宋体"/>
                <w:color w:val="000000"/>
                <w:highlight w:val="none"/>
              </w:rPr>
              <w:t>品牌及制造商</w:t>
            </w:r>
          </w:p>
        </w:tc>
        <w:tc>
          <w:tcPr>
            <w:tcW w:w="1695" w:type="dxa"/>
            <w:vAlign w:val="center"/>
          </w:tcPr>
          <w:p>
            <w:pPr>
              <w:widowControl/>
              <w:spacing w:line="360" w:lineRule="auto"/>
              <w:jc w:val="center"/>
              <w:rPr>
                <w:rFonts w:ascii="宋体" w:hAnsi="宋体" w:eastAsia="宋体" w:cs="宋体"/>
                <w:color w:val="000000"/>
                <w:highlight w:val="none"/>
              </w:rPr>
            </w:pPr>
            <w:r>
              <w:rPr>
                <w:rFonts w:hint="eastAsia" w:ascii="宋体" w:hAnsi="宋体" w:eastAsia="宋体" w:cs="宋体"/>
                <w:color w:val="000000"/>
                <w:highlight w:val="none"/>
              </w:rPr>
              <w:t>是否属于小型微型（监狱、残疾人福利性单位）企业生产的产品</w:t>
            </w:r>
          </w:p>
        </w:tc>
        <w:tc>
          <w:tcPr>
            <w:tcW w:w="1365" w:type="dxa"/>
            <w:vAlign w:val="center"/>
          </w:tcPr>
          <w:p>
            <w:pPr>
              <w:widowControl/>
              <w:spacing w:line="360" w:lineRule="auto"/>
              <w:jc w:val="center"/>
              <w:rPr>
                <w:rFonts w:ascii="宋体" w:hAnsi="宋体" w:eastAsia="宋体" w:cs="宋体"/>
                <w:color w:val="000000"/>
                <w:highlight w:val="none"/>
              </w:rPr>
            </w:pPr>
            <w:r>
              <w:rPr>
                <w:rFonts w:hint="eastAsia" w:ascii="宋体" w:hAnsi="宋体" w:eastAsia="宋体" w:cs="宋体"/>
                <w:color w:val="000000"/>
                <w:highlight w:val="none"/>
              </w:rPr>
              <w:t>规格型号</w:t>
            </w:r>
          </w:p>
        </w:tc>
        <w:tc>
          <w:tcPr>
            <w:tcW w:w="765" w:type="dxa"/>
            <w:vAlign w:val="center"/>
          </w:tcPr>
          <w:p>
            <w:pPr>
              <w:widowControl/>
              <w:spacing w:line="360" w:lineRule="auto"/>
              <w:jc w:val="center"/>
              <w:rPr>
                <w:rFonts w:ascii="宋体" w:hAnsi="宋体" w:eastAsia="宋体" w:cs="宋体"/>
                <w:color w:val="000000"/>
                <w:highlight w:val="none"/>
              </w:rPr>
            </w:pPr>
            <w:r>
              <w:rPr>
                <w:rFonts w:hint="eastAsia" w:ascii="宋体" w:hAnsi="宋体" w:eastAsia="宋体" w:cs="宋体"/>
                <w:color w:val="000000"/>
                <w:highlight w:val="none"/>
              </w:rPr>
              <w:t>数量</w:t>
            </w:r>
          </w:p>
        </w:tc>
        <w:tc>
          <w:tcPr>
            <w:tcW w:w="995" w:type="dxa"/>
            <w:vAlign w:val="center"/>
          </w:tcPr>
          <w:p>
            <w:pPr>
              <w:widowControl/>
              <w:spacing w:line="360" w:lineRule="auto"/>
              <w:jc w:val="center"/>
              <w:rPr>
                <w:rFonts w:ascii="宋体" w:hAnsi="宋体" w:eastAsia="宋体" w:cs="宋体"/>
                <w:color w:val="000000"/>
                <w:highlight w:val="none"/>
              </w:rPr>
            </w:pPr>
            <w:r>
              <w:rPr>
                <w:rFonts w:hint="eastAsia" w:ascii="宋体" w:hAnsi="宋体" w:eastAsia="宋体" w:cs="宋体"/>
                <w:color w:val="000000"/>
                <w:highlight w:val="none"/>
              </w:rPr>
              <w:t>单价</w:t>
            </w:r>
          </w:p>
        </w:tc>
        <w:tc>
          <w:tcPr>
            <w:tcW w:w="1161" w:type="dxa"/>
            <w:vAlign w:val="center"/>
          </w:tcPr>
          <w:p>
            <w:pPr>
              <w:widowControl/>
              <w:spacing w:line="360" w:lineRule="auto"/>
              <w:jc w:val="center"/>
              <w:rPr>
                <w:rFonts w:ascii="宋体" w:hAnsi="宋体" w:eastAsia="宋体" w:cs="宋体"/>
                <w:color w:val="000000"/>
                <w:highlight w:val="none"/>
              </w:rPr>
            </w:pPr>
            <w:r>
              <w:rPr>
                <w:rFonts w:hint="eastAsia" w:ascii="宋体" w:hAnsi="宋体" w:eastAsia="宋体" w:cs="宋体"/>
                <w:color w:val="000000"/>
                <w:highlight w:val="none"/>
              </w:rPr>
              <w:t>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1" w:type="dxa"/>
            <w:vAlign w:val="center"/>
          </w:tcPr>
          <w:p>
            <w:pPr>
              <w:pStyle w:val="18"/>
              <w:spacing w:line="360" w:lineRule="auto"/>
              <w:ind w:firstLine="482"/>
              <w:jc w:val="center"/>
              <w:rPr>
                <w:rFonts w:ascii="宋体" w:hAnsi="宋体" w:cs="宋体"/>
                <w:color w:val="000000"/>
                <w:highlight w:val="none"/>
              </w:rPr>
            </w:pPr>
          </w:p>
        </w:tc>
        <w:tc>
          <w:tcPr>
            <w:tcW w:w="1320" w:type="dxa"/>
            <w:vAlign w:val="center"/>
          </w:tcPr>
          <w:p>
            <w:pPr>
              <w:pStyle w:val="18"/>
              <w:spacing w:line="360" w:lineRule="auto"/>
              <w:ind w:firstLine="482"/>
              <w:jc w:val="center"/>
              <w:rPr>
                <w:rFonts w:ascii="宋体" w:hAnsi="宋体" w:cs="宋体"/>
                <w:color w:val="000000"/>
                <w:highlight w:val="none"/>
              </w:rPr>
            </w:pPr>
          </w:p>
        </w:tc>
        <w:tc>
          <w:tcPr>
            <w:tcW w:w="1395" w:type="dxa"/>
            <w:vAlign w:val="center"/>
          </w:tcPr>
          <w:p>
            <w:pPr>
              <w:pStyle w:val="18"/>
              <w:spacing w:line="360" w:lineRule="auto"/>
              <w:ind w:firstLine="482"/>
              <w:jc w:val="center"/>
              <w:rPr>
                <w:rFonts w:ascii="宋体" w:hAnsi="宋体" w:cs="宋体"/>
                <w:color w:val="000000"/>
                <w:highlight w:val="none"/>
              </w:rPr>
            </w:pPr>
          </w:p>
        </w:tc>
        <w:tc>
          <w:tcPr>
            <w:tcW w:w="1695" w:type="dxa"/>
            <w:vAlign w:val="center"/>
          </w:tcPr>
          <w:p>
            <w:pPr>
              <w:pStyle w:val="18"/>
              <w:spacing w:line="360" w:lineRule="auto"/>
              <w:ind w:firstLine="482"/>
              <w:jc w:val="center"/>
              <w:rPr>
                <w:rFonts w:ascii="宋体" w:hAnsi="宋体" w:cs="宋体"/>
                <w:color w:val="000000"/>
                <w:highlight w:val="none"/>
              </w:rPr>
            </w:pPr>
          </w:p>
        </w:tc>
        <w:tc>
          <w:tcPr>
            <w:tcW w:w="1365" w:type="dxa"/>
            <w:vAlign w:val="center"/>
          </w:tcPr>
          <w:p>
            <w:pPr>
              <w:pStyle w:val="18"/>
              <w:spacing w:line="360" w:lineRule="auto"/>
              <w:ind w:firstLine="482"/>
              <w:jc w:val="center"/>
              <w:rPr>
                <w:rFonts w:ascii="宋体" w:hAnsi="宋体" w:cs="宋体"/>
                <w:color w:val="000000"/>
                <w:highlight w:val="none"/>
              </w:rPr>
            </w:pPr>
          </w:p>
        </w:tc>
        <w:tc>
          <w:tcPr>
            <w:tcW w:w="765" w:type="dxa"/>
            <w:vAlign w:val="center"/>
          </w:tcPr>
          <w:p>
            <w:pPr>
              <w:pStyle w:val="18"/>
              <w:spacing w:line="360" w:lineRule="auto"/>
              <w:ind w:firstLine="482"/>
              <w:jc w:val="center"/>
              <w:rPr>
                <w:rFonts w:ascii="宋体" w:hAnsi="宋体" w:cs="宋体"/>
                <w:color w:val="000000"/>
                <w:highlight w:val="none"/>
              </w:rPr>
            </w:pPr>
          </w:p>
        </w:tc>
        <w:tc>
          <w:tcPr>
            <w:tcW w:w="995" w:type="dxa"/>
            <w:vAlign w:val="center"/>
          </w:tcPr>
          <w:p>
            <w:pPr>
              <w:pStyle w:val="18"/>
              <w:spacing w:line="360" w:lineRule="auto"/>
              <w:ind w:firstLine="482"/>
              <w:jc w:val="center"/>
              <w:rPr>
                <w:rFonts w:ascii="宋体" w:hAnsi="宋体" w:cs="宋体"/>
                <w:color w:val="000000"/>
                <w:highlight w:val="none"/>
              </w:rPr>
            </w:pPr>
          </w:p>
        </w:tc>
        <w:tc>
          <w:tcPr>
            <w:tcW w:w="1161" w:type="dxa"/>
            <w:vAlign w:val="center"/>
          </w:tcPr>
          <w:p>
            <w:pPr>
              <w:pStyle w:val="18"/>
              <w:spacing w:line="360" w:lineRule="auto"/>
              <w:ind w:firstLine="482"/>
              <w:jc w:val="center"/>
              <w:rPr>
                <w:rFonts w:ascii="宋体" w:hAnsi="宋体" w:cs="宋体"/>
                <w:color w:val="00000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1" w:type="dxa"/>
            <w:vAlign w:val="center"/>
          </w:tcPr>
          <w:p>
            <w:pPr>
              <w:pStyle w:val="18"/>
              <w:spacing w:line="360" w:lineRule="auto"/>
              <w:ind w:firstLine="482"/>
              <w:jc w:val="center"/>
              <w:rPr>
                <w:rFonts w:ascii="宋体" w:hAnsi="宋体" w:cs="宋体"/>
                <w:color w:val="000000"/>
                <w:highlight w:val="none"/>
              </w:rPr>
            </w:pPr>
          </w:p>
        </w:tc>
        <w:tc>
          <w:tcPr>
            <w:tcW w:w="1320" w:type="dxa"/>
            <w:vAlign w:val="center"/>
          </w:tcPr>
          <w:p>
            <w:pPr>
              <w:pStyle w:val="18"/>
              <w:spacing w:line="360" w:lineRule="auto"/>
              <w:ind w:firstLine="482"/>
              <w:jc w:val="center"/>
              <w:rPr>
                <w:rFonts w:ascii="宋体" w:hAnsi="宋体" w:cs="宋体"/>
                <w:color w:val="000000"/>
                <w:highlight w:val="none"/>
              </w:rPr>
            </w:pPr>
          </w:p>
        </w:tc>
        <w:tc>
          <w:tcPr>
            <w:tcW w:w="1395" w:type="dxa"/>
            <w:vAlign w:val="center"/>
          </w:tcPr>
          <w:p>
            <w:pPr>
              <w:pStyle w:val="18"/>
              <w:spacing w:line="360" w:lineRule="auto"/>
              <w:ind w:firstLine="482"/>
              <w:jc w:val="center"/>
              <w:rPr>
                <w:rFonts w:ascii="宋体" w:hAnsi="宋体" w:cs="宋体"/>
                <w:color w:val="000000"/>
                <w:highlight w:val="none"/>
              </w:rPr>
            </w:pPr>
          </w:p>
        </w:tc>
        <w:tc>
          <w:tcPr>
            <w:tcW w:w="1695" w:type="dxa"/>
            <w:vAlign w:val="center"/>
          </w:tcPr>
          <w:p>
            <w:pPr>
              <w:pStyle w:val="18"/>
              <w:spacing w:line="360" w:lineRule="auto"/>
              <w:ind w:firstLine="482"/>
              <w:jc w:val="center"/>
              <w:rPr>
                <w:rFonts w:ascii="宋体" w:hAnsi="宋体" w:cs="宋体"/>
                <w:color w:val="000000"/>
                <w:highlight w:val="none"/>
              </w:rPr>
            </w:pPr>
          </w:p>
        </w:tc>
        <w:tc>
          <w:tcPr>
            <w:tcW w:w="1365" w:type="dxa"/>
            <w:vAlign w:val="center"/>
          </w:tcPr>
          <w:p>
            <w:pPr>
              <w:pStyle w:val="18"/>
              <w:spacing w:line="360" w:lineRule="auto"/>
              <w:ind w:firstLine="482"/>
              <w:jc w:val="center"/>
              <w:rPr>
                <w:rFonts w:ascii="宋体" w:hAnsi="宋体" w:cs="宋体"/>
                <w:color w:val="000000"/>
                <w:highlight w:val="none"/>
              </w:rPr>
            </w:pPr>
          </w:p>
        </w:tc>
        <w:tc>
          <w:tcPr>
            <w:tcW w:w="765" w:type="dxa"/>
            <w:vAlign w:val="center"/>
          </w:tcPr>
          <w:p>
            <w:pPr>
              <w:pStyle w:val="18"/>
              <w:spacing w:line="360" w:lineRule="auto"/>
              <w:ind w:firstLine="482"/>
              <w:jc w:val="center"/>
              <w:rPr>
                <w:rFonts w:ascii="宋体" w:hAnsi="宋体" w:cs="宋体"/>
                <w:color w:val="000000"/>
                <w:highlight w:val="none"/>
              </w:rPr>
            </w:pPr>
          </w:p>
        </w:tc>
        <w:tc>
          <w:tcPr>
            <w:tcW w:w="995" w:type="dxa"/>
            <w:vAlign w:val="center"/>
          </w:tcPr>
          <w:p>
            <w:pPr>
              <w:pStyle w:val="18"/>
              <w:spacing w:line="360" w:lineRule="auto"/>
              <w:ind w:firstLine="482"/>
              <w:jc w:val="center"/>
              <w:rPr>
                <w:rFonts w:ascii="宋体" w:hAnsi="宋体" w:cs="宋体"/>
                <w:color w:val="000000"/>
                <w:highlight w:val="none"/>
              </w:rPr>
            </w:pPr>
          </w:p>
        </w:tc>
        <w:tc>
          <w:tcPr>
            <w:tcW w:w="1161" w:type="dxa"/>
            <w:vAlign w:val="center"/>
          </w:tcPr>
          <w:p>
            <w:pPr>
              <w:pStyle w:val="18"/>
              <w:spacing w:line="360" w:lineRule="auto"/>
              <w:ind w:firstLine="482"/>
              <w:jc w:val="center"/>
              <w:rPr>
                <w:rFonts w:ascii="宋体" w:hAnsi="宋体" w:cs="宋体"/>
                <w:color w:val="00000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1" w:type="dxa"/>
            <w:vAlign w:val="center"/>
          </w:tcPr>
          <w:p>
            <w:pPr>
              <w:pStyle w:val="18"/>
              <w:spacing w:line="360" w:lineRule="auto"/>
              <w:ind w:firstLine="482"/>
              <w:jc w:val="center"/>
              <w:rPr>
                <w:rFonts w:ascii="宋体" w:hAnsi="宋体" w:cs="宋体"/>
                <w:color w:val="000000"/>
                <w:highlight w:val="none"/>
              </w:rPr>
            </w:pPr>
          </w:p>
        </w:tc>
        <w:tc>
          <w:tcPr>
            <w:tcW w:w="1320" w:type="dxa"/>
            <w:vAlign w:val="center"/>
          </w:tcPr>
          <w:p>
            <w:pPr>
              <w:pStyle w:val="18"/>
              <w:spacing w:line="360" w:lineRule="auto"/>
              <w:ind w:firstLine="482"/>
              <w:jc w:val="center"/>
              <w:rPr>
                <w:rFonts w:ascii="宋体" w:hAnsi="宋体" w:cs="宋体"/>
                <w:color w:val="000000"/>
                <w:highlight w:val="none"/>
              </w:rPr>
            </w:pPr>
          </w:p>
        </w:tc>
        <w:tc>
          <w:tcPr>
            <w:tcW w:w="1395" w:type="dxa"/>
            <w:vAlign w:val="center"/>
          </w:tcPr>
          <w:p>
            <w:pPr>
              <w:pStyle w:val="18"/>
              <w:spacing w:line="360" w:lineRule="auto"/>
              <w:ind w:firstLine="482"/>
              <w:jc w:val="center"/>
              <w:rPr>
                <w:rFonts w:ascii="宋体" w:hAnsi="宋体" w:cs="宋体"/>
                <w:color w:val="000000"/>
                <w:highlight w:val="none"/>
              </w:rPr>
            </w:pPr>
          </w:p>
        </w:tc>
        <w:tc>
          <w:tcPr>
            <w:tcW w:w="1695" w:type="dxa"/>
            <w:vAlign w:val="center"/>
          </w:tcPr>
          <w:p>
            <w:pPr>
              <w:pStyle w:val="18"/>
              <w:spacing w:line="360" w:lineRule="auto"/>
              <w:ind w:firstLine="482"/>
              <w:jc w:val="center"/>
              <w:rPr>
                <w:rFonts w:ascii="宋体" w:hAnsi="宋体" w:cs="宋体"/>
                <w:color w:val="000000"/>
                <w:highlight w:val="none"/>
              </w:rPr>
            </w:pPr>
          </w:p>
        </w:tc>
        <w:tc>
          <w:tcPr>
            <w:tcW w:w="1365" w:type="dxa"/>
            <w:vAlign w:val="center"/>
          </w:tcPr>
          <w:p>
            <w:pPr>
              <w:pStyle w:val="18"/>
              <w:spacing w:line="360" w:lineRule="auto"/>
              <w:ind w:firstLine="482"/>
              <w:jc w:val="center"/>
              <w:rPr>
                <w:rFonts w:ascii="宋体" w:hAnsi="宋体" w:cs="宋体"/>
                <w:color w:val="000000"/>
                <w:highlight w:val="none"/>
              </w:rPr>
            </w:pPr>
          </w:p>
        </w:tc>
        <w:tc>
          <w:tcPr>
            <w:tcW w:w="765" w:type="dxa"/>
            <w:vAlign w:val="center"/>
          </w:tcPr>
          <w:p>
            <w:pPr>
              <w:pStyle w:val="18"/>
              <w:spacing w:line="360" w:lineRule="auto"/>
              <w:ind w:firstLine="482"/>
              <w:jc w:val="center"/>
              <w:rPr>
                <w:rFonts w:ascii="宋体" w:hAnsi="宋体" w:cs="宋体"/>
                <w:color w:val="000000"/>
                <w:highlight w:val="none"/>
              </w:rPr>
            </w:pPr>
          </w:p>
        </w:tc>
        <w:tc>
          <w:tcPr>
            <w:tcW w:w="995" w:type="dxa"/>
            <w:vAlign w:val="center"/>
          </w:tcPr>
          <w:p>
            <w:pPr>
              <w:pStyle w:val="18"/>
              <w:spacing w:line="360" w:lineRule="auto"/>
              <w:ind w:firstLine="482"/>
              <w:jc w:val="center"/>
              <w:rPr>
                <w:rFonts w:ascii="宋体" w:hAnsi="宋体" w:cs="宋体"/>
                <w:color w:val="000000"/>
                <w:highlight w:val="none"/>
              </w:rPr>
            </w:pPr>
          </w:p>
        </w:tc>
        <w:tc>
          <w:tcPr>
            <w:tcW w:w="1161" w:type="dxa"/>
            <w:vAlign w:val="center"/>
          </w:tcPr>
          <w:p>
            <w:pPr>
              <w:pStyle w:val="18"/>
              <w:spacing w:line="360" w:lineRule="auto"/>
              <w:ind w:firstLine="482"/>
              <w:jc w:val="center"/>
              <w:rPr>
                <w:rFonts w:ascii="宋体" w:hAnsi="宋体" w:cs="宋体"/>
                <w:color w:val="000000"/>
                <w:highlight w:val="none"/>
              </w:rPr>
            </w:pPr>
          </w:p>
        </w:tc>
      </w:tr>
    </w:tbl>
    <w:p>
      <w:pPr>
        <w:widowControl/>
        <w:spacing w:line="360" w:lineRule="auto"/>
        <w:jc w:val="left"/>
        <w:rPr>
          <w:rFonts w:ascii="宋体" w:hAnsi="宋体" w:eastAsia="宋体" w:cs="宋体"/>
          <w:highlight w:val="none"/>
        </w:rPr>
      </w:pPr>
      <w:r>
        <w:rPr>
          <w:rFonts w:hint="eastAsia" w:ascii="宋体" w:hAnsi="宋体" w:eastAsia="宋体" w:cs="宋体"/>
          <w:color w:val="000000"/>
          <w:highlight w:val="none"/>
        </w:rPr>
        <w:t>投标报价人民币小写：</w:t>
      </w:r>
    </w:p>
    <w:p>
      <w:pPr>
        <w:widowControl/>
        <w:spacing w:line="360" w:lineRule="auto"/>
        <w:jc w:val="left"/>
        <w:rPr>
          <w:rFonts w:ascii="宋体" w:hAnsi="宋体" w:eastAsia="宋体" w:cs="宋体"/>
          <w:color w:val="000000"/>
          <w:highlight w:val="none"/>
        </w:rPr>
      </w:pPr>
      <w:r>
        <w:rPr>
          <w:rFonts w:hint="eastAsia" w:ascii="宋体" w:hAnsi="宋体" w:eastAsia="宋体" w:cs="宋体"/>
          <w:color w:val="000000"/>
          <w:highlight w:val="none"/>
        </w:rPr>
        <w:t>投标报价人民币大写：</w:t>
      </w:r>
    </w:p>
    <w:p>
      <w:pPr>
        <w:pStyle w:val="17"/>
        <w:spacing w:line="360" w:lineRule="auto"/>
        <w:rPr>
          <w:rFonts w:ascii="宋体" w:hAnsi="宋体" w:eastAsia="宋体" w:cs="宋体"/>
          <w:sz w:val="24"/>
          <w:szCs w:val="24"/>
          <w:highlight w:val="none"/>
        </w:rPr>
      </w:pPr>
    </w:p>
    <w:p>
      <w:pPr>
        <w:widowControl/>
        <w:spacing w:line="360" w:lineRule="auto"/>
        <w:jc w:val="left"/>
        <w:rPr>
          <w:rFonts w:ascii="宋体" w:hAnsi="宋体" w:eastAsia="宋体" w:cs="宋体"/>
          <w:highlight w:val="none"/>
        </w:rPr>
      </w:pPr>
      <w:r>
        <w:rPr>
          <w:rFonts w:hint="eastAsia" w:ascii="宋体" w:hAnsi="宋体" w:eastAsia="宋体" w:cs="宋体"/>
          <w:color w:val="000000"/>
          <w:highlight w:val="none"/>
        </w:rPr>
        <w:t xml:space="preserve">投标人(盖单位电子印章) </w:t>
      </w:r>
    </w:p>
    <w:p>
      <w:pPr>
        <w:widowControl/>
        <w:spacing w:line="360" w:lineRule="auto"/>
        <w:jc w:val="left"/>
        <w:rPr>
          <w:rFonts w:ascii="宋体" w:hAnsi="宋体" w:eastAsia="宋体" w:cs="宋体"/>
          <w:highlight w:val="none"/>
        </w:rPr>
      </w:pPr>
      <w:r>
        <w:rPr>
          <w:rFonts w:hint="eastAsia" w:ascii="宋体" w:hAnsi="宋体" w:eastAsia="宋体" w:cs="宋体"/>
          <w:color w:val="000000"/>
          <w:highlight w:val="none"/>
        </w:rPr>
        <w:t>日期：  年  月  日</w:t>
      </w:r>
    </w:p>
    <w:p>
      <w:pPr>
        <w:pStyle w:val="99"/>
        <w:spacing w:line="360" w:lineRule="auto"/>
        <w:rPr>
          <w:rFonts w:ascii="宋体" w:hAnsi="宋体" w:eastAsia="宋体" w:cs="宋体"/>
          <w:sz w:val="24"/>
          <w:highlight w:val="none"/>
        </w:rPr>
      </w:pPr>
      <w:r>
        <w:rPr>
          <w:rFonts w:hint="eastAsia" w:ascii="宋体" w:hAnsi="宋体" w:eastAsia="宋体" w:cs="宋体"/>
          <w:sz w:val="24"/>
          <w:highlight w:val="none"/>
        </w:rPr>
        <w:br w:type="page"/>
      </w:r>
      <w:bookmarkStart w:id="189" w:name="_Toc256000064"/>
      <w:r>
        <w:rPr>
          <w:rFonts w:hint="eastAsia" w:ascii="宋体" w:hAnsi="宋体" w:eastAsia="宋体" w:cs="宋体"/>
          <w:sz w:val="24"/>
          <w:highlight w:val="none"/>
        </w:rPr>
        <w:t>八、中小微企业声明函（投标人）</w:t>
      </w:r>
      <w:bookmarkEnd w:id="189"/>
    </w:p>
    <w:p>
      <w:pPr>
        <w:pStyle w:val="100"/>
        <w:spacing w:after="0" w:line="360" w:lineRule="auto"/>
        <w:rPr>
          <w:b/>
          <w:bCs/>
          <w:sz w:val="24"/>
          <w:szCs w:val="24"/>
          <w:highlight w:val="none"/>
        </w:rPr>
      </w:pPr>
      <w:r>
        <w:rPr>
          <w:rFonts w:hint="eastAsia"/>
          <w:b/>
          <w:bCs/>
          <w:sz w:val="24"/>
          <w:szCs w:val="24"/>
          <w:highlight w:val="none"/>
        </w:rPr>
        <w:t>中小企业声明函（</w:t>
      </w:r>
      <w:r>
        <w:rPr>
          <w:rFonts w:hint="eastAsia"/>
          <w:b/>
          <w:bCs/>
          <w:sz w:val="24"/>
          <w:szCs w:val="24"/>
          <w:highlight w:val="none"/>
          <w:lang w:val="en-US" w:eastAsia="zh-CN"/>
        </w:rPr>
        <w:t>货物</w:t>
      </w:r>
      <w:r>
        <w:rPr>
          <w:rFonts w:hint="eastAsia"/>
          <w:b/>
          <w:bCs/>
          <w:sz w:val="24"/>
          <w:szCs w:val="24"/>
          <w:highlight w:val="none"/>
        </w:rPr>
        <w:t>）</w:t>
      </w:r>
    </w:p>
    <w:p>
      <w:pPr>
        <w:pStyle w:val="101"/>
        <w:spacing w:line="360" w:lineRule="auto"/>
        <w:ind w:firstLine="660"/>
        <w:rPr>
          <w:sz w:val="24"/>
          <w:szCs w:val="24"/>
          <w:highlight w:val="none"/>
        </w:rPr>
      </w:pPr>
      <w:r>
        <w:rPr>
          <w:rFonts w:hint="eastAsia"/>
          <w:sz w:val="24"/>
          <w:szCs w:val="24"/>
          <w:highlight w:val="none"/>
        </w:rPr>
        <w:t>本公司（联合体）郑重声明，根据《政府采购促进中小企业发展管理办法》（财库〔2020〕46号）的规定，本公司（联合体）参加</w:t>
      </w:r>
      <w:r>
        <w:rPr>
          <w:rFonts w:hint="eastAsia"/>
          <w:sz w:val="24"/>
          <w:szCs w:val="24"/>
          <w:highlight w:val="none"/>
          <w:u w:val="single"/>
        </w:rPr>
        <w:t>（单位名称）</w:t>
      </w:r>
      <w:r>
        <w:rPr>
          <w:rFonts w:hint="eastAsia"/>
          <w:sz w:val="24"/>
          <w:szCs w:val="24"/>
          <w:highlight w:val="none"/>
        </w:rPr>
        <w:t>的</w:t>
      </w:r>
      <w:r>
        <w:rPr>
          <w:rFonts w:hint="eastAsia"/>
          <w:sz w:val="24"/>
          <w:szCs w:val="24"/>
          <w:highlight w:val="none"/>
          <w:u w:val="single"/>
        </w:rPr>
        <w:t>（项目名称）</w:t>
      </w:r>
      <w:r>
        <w:rPr>
          <w:rFonts w:hint="eastAsia"/>
          <w:sz w:val="24"/>
          <w:szCs w:val="24"/>
          <w:highlight w:val="none"/>
        </w:rPr>
        <w:t>采购活动,提供的货物全部由符合政策要求的中小企业制造。相关企业（含联合体中的中小企业、签订分包意向协议的中小企业）的具体情况如下：</w:t>
      </w:r>
    </w:p>
    <w:p>
      <w:pPr>
        <w:pStyle w:val="101"/>
        <w:tabs>
          <w:tab w:val="left" w:pos="965"/>
          <w:tab w:val="left" w:pos="1184"/>
          <w:tab w:val="left" w:pos="4147"/>
          <w:tab w:val="left" w:pos="6516"/>
        </w:tabs>
        <w:spacing w:line="360" w:lineRule="auto"/>
        <w:ind w:firstLine="480" w:firstLineChars="200"/>
        <w:rPr>
          <w:sz w:val="24"/>
          <w:szCs w:val="24"/>
          <w:highlight w:val="none"/>
        </w:rPr>
      </w:pPr>
      <w:bookmarkStart w:id="190" w:name="bookmark0"/>
      <w:bookmarkEnd w:id="190"/>
      <w:r>
        <w:rPr>
          <w:rFonts w:hint="eastAsia"/>
          <w:sz w:val="24"/>
          <w:szCs w:val="24"/>
          <w:highlight w:val="none"/>
          <w:lang w:val="en-US" w:eastAsia="zh-CN"/>
        </w:rPr>
        <w:t>1.</w:t>
      </w:r>
      <w:r>
        <w:rPr>
          <w:rFonts w:hint="eastAsia"/>
          <w:sz w:val="24"/>
          <w:szCs w:val="24"/>
          <w:highlight w:val="none"/>
          <w:u w:val="single"/>
        </w:rPr>
        <w:t>（标的名称）</w:t>
      </w:r>
      <w:r>
        <w:rPr>
          <w:rFonts w:hint="eastAsia"/>
          <w:sz w:val="24"/>
          <w:szCs w:val="24"/>
          <w:highlight w:val="none"/>
        </w:rPr>
        <w:t>,属于</w:t>
      </w:r>
      <w:r>
        <w:rPr>
          <w:rFonts w:hint="eastAsia"/>
          <w:sz w:val="24"/>
          <w:szCs w:val="24"/>
          <w:highlight w:val="none"/>
          <w:u w:val="single"/>
        </w:rPr>
        <w:t>（</w:t>
      </w:r>
      <w:r>
        <w:rPr>
          <w:rFonts w:hint="eastAsia"/>
          <w:sz w:val="24"/>
          <w:szCs w:val="24"/>
          <w:highlight w:val="none"/>
          <w:u w:val="single"/>
          <w:lang w:val="en-US" w:eastAsia="zh-CN"/>
        </w:rPr>
        <w:t>采购</w:t>
      </w:r>
      <w:r>
        <w:rPr>
          <w:rFonts w:hint="eastAsia"/>
          <w:sz w:val="24"/>
          <w:szCs w:val="24"/>
          <w:highlight w:val="none"/>
          <w:u w:val="single"/>
          <w:lang w:eastAsia="zh-CN"/>
        </w:rPr>
        <w:t>文件</w:t>
      </w:r>
      <w:r>
        <w:rPr>
          <w:rFonts w:hint="eastAsia"/>
          <w:sz w:val="24"/>
          <w:szCs w:val="24"/>
          <w:highlight w:val="none"/>
          <w:u w:val="single"/>
        </w:rPr>
        <w:t>中明确的所属行业）</w:t>
      </w:r>
      <w:r>
        <w:rPr>
          <w:rFonts w:hint="eastAsia"/>
          <w:sz w:val="24"/>
          <w:szCs w:val="24"/>
          <w:highlight w:val="none"/>
        </w:rPr>
        <w:t>；</w:t>
      </w:r>
      <w:r>
        <w:rPr>
          <w:rFonts w:hint="eastAsia"/>
          <w:sz w:val="24"/>
          <w:szCs w:val="24"/>
          <w:highlight w:val="none"/>
          <w:lang w:val="en-US" w:eastAsia="zh-CN"/>
        </w:rPr>
        <w:t>制造商</w:t>
      </w:r>
      <w:r>
        <w:rPr>
          <w:rFonts w:hint="eastAsia"/>
          <w:sz w:val="24"/>
          <w:szCs w:val="24"/>
          <w:highlight w:val="none"/>
        </w:rPr>
        <w:t>为</w:t>
      </w:r>
      <w:r>
        <w:rPr>
          <w:rFonts w:hint="eastAsia"/>
          <w:sz w:val="24"/>
          <w:szCs w:val="24"/>
          <w:highlight w:val="none"/>
          <w:u w:val="single"/>
        </w:rPr>
        <w:t>（企业名称）</w:t>
      </w:r>
      <w:r>
        <w:rPr>
          <w:rFonts w:hint="eastAsia"/>
          <w:sz w:val="24"/>
          <w:szCs w:val="24"/>
          <w:highlight w:val="none"/>
        </w:rPr>
        <w:t>,从业人员</w:t>
      </w:r>
      <w:r>
        <w:rPr>
          <w:rFonts w:hint="eastAsia"/>
          <w:sz w:val="24"/>
          <w:szCs w:val="24"/>
          <w:highlight w:val="none"/>
          <w:u w:val="single"/>
        </w:rPr>
        <w:tab/>
      </w:r>
      <w:r>
        <w:rPr>
          <w:rFonts w:hint="eastAsia"/>
          <w:sz w:val="24"/>
          <w:szCs w:val="24"/>
          <w:highlight w:val="none"/>
        </w:rPr>
        <w:t>人，营业收入为</w:t>
      </w:r>
      <w:r>
        <w:rPr>
          <w:rFonts w:hint="eastAsia"/>
          <w:sz w:val="24"/>
          <w:szCs w:val="24"/>
          <w:highlight w:val="none"/>
          <w:u w:val="single"/>
        </w:rPr>
        <w:tab/>
      </w:r>
      <w:r>
        <w:rPr>
          <w:rFonts w:hint="eastAsia"/>
          <w:sz w:val="24"/>
          <w:szCs w:val="24"/>
          <w:highlight w:val="none"/>
        </w:rPr>
        <w:t>万元，资产总额为</w:t>
      </w:r>
      <w:r>
        <w:rPr>
          <w:rFonts w:hint="eastAsia"/>
          <w:sz w:val="24"/>
          <w:szCs w:val="24"/>
          <w:highlight w:val="none"/>
          <w:u w:val="single"/>
        </w:rPr>
        <w:tab/>
      </w:r>
      <w:r>
        <w:rPr>
          <w:rFonts w:hint="eastAsia"/>
          <w:sz w:val="24"/>
          <w:szCs w:val="24"/>
          <w:highlight w:val="none"/>
        </w:rPr>
        <w:t>万元</w:t>
      </w:r>
      <w:r>
        <w:rPr>
          <w:rFonts w:hint="eastAsia"/>
          <w:sz w:val="24"/>
          <w:szCs w:val="24"/>
          <w:highlight w:val="none"/>
          <w:lang w:val="en-US" w:eastAsia="zh-CN" w:bidi="en-US"/>
        </w:rPr>
        <w:t>，</w:t>
      </w:r>
      <w:r>
        <w:rPr>
          <w:rFonts w:hint="eastAsia"/>
          <w:sz w:val="24"/>
          <w:szCs w:val="24"/>
          <w:highlight w:val="none"/>
        </w:rPr>
        <w:t>属于</w:t>
      </w:r>
      <w:r>
        <w:rPr>
          <w:rFonts w:hint="eastAsia"/>
          <w:sz w:val="24"/>
          <w:szCs w:val="24"/>
          <w:highlight w:val="none"/>
          <w:u w:val="single"/>
        </w:rPr>
        <w:t>（中型企业、小型企业、微型企业）</w:t>
      </w:r>
      <w:r>
        <w:rPr>
          <w:rFonts w:hint="eastAsia"/>
          <w:sz w:val="24"/>
          <w:szCs w:val="24"/>
          <w:highlight w:val="none"/>
        </w:rPr>
        <w:t>,</w:t>
      </w:r>
    </w:p>
    <w:p>
      <w:pPr>
        <w:pStyle w:val="101"/>
        <w:tabs>
          <w:tab w:val="left" w:pos="958"/>
          <w:tab w:val="left" w:pos="1184"/>
          <w:tab w:val="left" w:pos="4176"/>
          <w:tab w:val="left" w:pos="6494"/>
        </w:tabs>
        <w:spacing w:line="360" w:lineRule="auto"/>
        <w:ind w:firstLine="480" w:firstLineChars="200"/>
        <w:rPr>
          <w:sz w:val="24"/>
          <w:szCs w:val="24"/>
          <w:highlight w:val="none"/>
        </w:rPr>
      </w:pPr>
      <w:bookmarkStart w:id="191" w:name="bookmark1"/>
      <w:bookmarkEnd w:id="191"/>
      <w:r>
        <w:rPr>
          <w:rFonts w:hint="eastAsia"/>
          <w:sz w:val="24"/>
          <w:szCs w:val="24"/>
          <w:highlight w:val="none"/>
          <w:lang w:val="en-US" w:eastAsia="zh-CN"/>
        </w:rPr>
        <w:t>2.</w:t>
      </w:r>
      <w:r>
        <w:rPr>
          <w:rFonts w:hint="eastAsia"/>
          <w:sz w:val="24"/>
          <w:szCs w:val="24"/>
          <w:highlight w:val="none"/>
          <w:u w:val="single"/>
        </w:rPr>
        <w:t>（标的名称）</w:t>
      </w:r>
      <w:r>
        <w:rPr>
          <w:rFonts w:hint="eastAsia"/>
          <w:sz w:val="24"/>
          <w:szCs w:val="24"/>
          <w:highlight w:val="none"/>
        </w:rPr>
        <w:t>,属于</w:t>
      </w:r>
      <w:r>
        <w:rPr>
          <w:rFonts w:hint="eastAsia"/>
          <w:sz w:val="24"/>
          <w:szCs w:val="24"/>
          <w:highlight w:val="none"/>
          <w:u w:val="single"/>
        </w:rPr>
        <w:t>（</w:t>
      </w:r>
      <w:r>
        <w:rPr>
          <w:rFonts w:hint="eastAsia"/>
          <w:sz w:val="24"/>
          <w:szCs w:val="24"/>
          <w:highlight w:val="none"/>
          <w:u w:val="single"/>
          <w:lang w:val="en-US" w:eastAsia="zh-CN"/>
        </w:rPr>
        <w:t>采购</w:t>
      </w:r>
      <w:r>
        <w:rPr>
          <w:rFonts w:hint="eastAsia"/>
          <w:sz w:val="24"/>
          <w:szCs w:val="24"/>
          <w:highlight w:val="none"/>
          <w:u w:val="single"/>
          <w:lang w:eastAsia="zh-CN"/>
        </w:rPr>
        <w:t>文件</w:t>
      </w:r>
      <w:r>
        <w:rPr>
          <w:rFonts w:hint="eastAsia"/>
          <w:sz w:val="24"/>
          <w:szCs w:val="24"/>
          <w:highlight w:val="none"/>
          <w:u w:val="single"/>
        </w:rPr>
        <w:t>中明确的所属行业）</w:t>
      </w:r>
      <w:r>
        <w:rPr>
          <w:rFonts w:hint="eastAsia"/>
          <w:sz w:val="24"/>
          <w:szCs w:val="24"/>
          <w:highlight w:val="none"/>
          <w:lang w:eastAsia="zh-CN"/>
        </w:rPr>
        <w:t>；</w:t>
      </w:r>
      <w:r>
        <w:rPr>
          <w:rFonts w:hint="eastAsia"/>
          <w:sz w:val="24"/>
          <w:szCs w:val="24"/>
          <w:highlight w:val="none"/>
          <w:lang w:val="en-US" w:eastAsia="zh-CN"/>
        </w:rPr>
        <w:t>制造商</w:t>
      </w:r>
      <w:r>
        <w:rPr>
          <w:rFonts w:hint="eastAsia"/>
          <w:sz w:val="24"/>
          <w:szCs w:val="24"/>
          <w:highlight w:val="none"/>
        </w:rPr>
        <w:t>为</w:t>
      </w:r>
      <w:r>
        <w:rPr>
          <w:rFonts w:hint="eastAsia"/>
          <w:sz w:val="24"/>
          <w:szCs w:val="24"/>
          <w:highlight w:val="none"/>
          <w:u w:val="single"/>
        </w:rPr>
        <w:t>（企业名称）</w:t>
      </w:r>
      <w:r>
        <w:rPr>
          <w:rFonts w:hint="eastAsia"/>
          <w:sz w:val="24"/>
          <w:szCs w:val="24"/>
          <w:highlight w:val="none"/>
        </w:rPr>
        <w:t>,从业人员</w:t>
      </w:r>
      <w:r>
        <w:rPr>
          <w:rFonts w:hint="eastAsia"/>
          <w:sz w:val="24"/>
          <w:szCs w:val="24"/>
          <w:highlight w:val="none"/>
          <w:u w:val="single"/>
        </w:rPr>
        <w:tab/>
      </w:r>
      <w:r>
        <w:rPr>
          <w:rFonts w:hint="eastAsia"/>
          <w:sz w:val="24"/>
          <w:szCs w:val="24"/>
          <w:highlight w:val="none"/>
        </w:rPr>
        <w:t>人，营业收入为</w:t>
      </w:r>
      <w:r>
        <w:rPr>
          <w:rFonts w:hint="eastAsia"/>
          <w:sz w:val="24"/>
          <w:szCs w:val="24"/>
          <w:highlight w:val="none"/>
          <w:u w:val="single"/>
        </w:rPr>
        <w:tab/>
      </w:r>
      <w:r>
        <w:rPr>
          <w:rFonts w:hint="eastAsia"/>
          <w:sz w:val="24"/>
          <w:szCs w:val="24"/>
          <w:highlight w:val="none"/>
        </w:rPr>
        <w:t>万元，资产总额为</w:t>
      </w:r>
      <w:r>
        <w:rPr>
          <w:rFonts w:hint="eastAsia"/>
          <w:sz w:val="24"/>
          <w:szCs w:val="24"/>
          <w:highlight w:val="none"/>
          <w:u w:val="single"/>
        </w:rPr>
        <w:tab/>
      </w:r>
      <w:r>
        <w:rPr>
          <w:rFonts w:hint="eastAsia"/>
          <w:sz w:val="24"/>
          <w:szCs w:val="24"/>
          <w:highlight w:val="none"/>
        </w:rPr>
        <w:t>万元，属于</w:t>
      </w:r>
      <w:r>
        <w:rPr>
          <w:rFonts w:hint="eastAsia"/>
          <w:sz w:val="24"/>
          <w:szCs w:val="24"/>
          <w:highlight w:val="none"/>
          <w:u w:val="single"/>
        </w:rPr>
        <w:t>中型企业、小型企业、微型企业）</w:t>
      </w:r>
      <w:r>
        <w:rPr>
          <w:rFonts w:hint="eastAsia"/>
          <w:sz w:val="24"/>
          <w:szCs w:val="24"/>
          <w:highlight w:val="none"/>
        </w:rPr>
        <w:t>；</w:t>
      </w:r>
    </w:p>
    <w:p>
      <w:pPr>
        <w:pStyle w:val="101"/>
        <w:tabs>
          <w:tab w:val="left" w:pos="958"/>
          <w:tab w:val="left" w:pos="1184"/>
          <w:tab w:val="left" w:pos="4176"/>
          <w:tab w:val="left" w:pos="6494"/>
        </w:tabs>
        <w:spacing w:line="360" w:lineRule="auto"/>
        <w:ind w:firstLine="480" w:firstLineChars="200"/>
        <w:rPr>
          <w:sz w:val="24"/>
          <w:szCs w:val="24"/>
          <w:highlight w:val="none"/>
          <w:lang w:val="en-US" w:eastAsia="zh-CN"/>
        </w:rPr>
      </w:pPr>
      <w:r>
        <w:rPr>
          <w:rFonts w:hint="eastAsia"/>
          <w:sz w:val="24"/>
          <w:szCs w:val="24"/>
          <w:highlight w:val="none"/>
          <w:lang w:val="en-US" w:eastAsia="zh-CN"/>
        </w:rPr>
        <w:t>......</w:t>
      </w:r>
    </w:p>
    <w:p>
      <w:pPr>
        <w:pStyle w:val="101"/>
        <w:tabs>
          <w:tab w:val="left" w:leader="dot" w:pos="-1144"/>
        </w:tabs>
        <w:spacing w:line="360" w:lineRule="auto"/>
        <w:ind w:hanging="1720"/>
        <w:rPr>
          <w:sz w:val="24"/>
          <w:szCs w:val="24"/>
          <w:highlight w:val="none"/>
        </w:rPr>
      </w:pPr>
    </w:p>
    <w:p>
      <w:pPr>
        <w:pStyle w:val="101"/>
        <w:spacing w:line="360" w:lineRule="auto"/>
        <w:rPr>
          <w:sz w:val="24"/>
          <w:szCs w:val="24"/>
          <w:highlight w:val="none"/>
        </w:rPr>
      </w:pPr>
      <w:r>
        <w:rPr>
          <w:rFonts w:hint="eastAsia"/>
          <w:sz w:val="24"/>
          <w:szCs w:val="24"/>
          <w:highlight w:val="none"/>
        </w:rPr>
        <w:t>以上企业，不属于大企业的分支机构，不存在控股股东为大企业的情形，也不存在与大企业的负责人为同一人的情形。</w:t>
      </w:r>
    </w:p>
    <w:p>
      <w:pPr>
        <w:pStyle w:val="101"/>
        <w:spacing w:line="360" w:lineRule="auto"/>
        <w:rPr>
          <w:sz w:val="24"/>
          <w:szCs w:val="24"/>
          <w:highlight w:val="none"/>
        </w:rPr>
      </w:pPr>
      <w:r>
        <w:rPr>
          <w:rFonts w:hint="eastAsia"/>
          <w:sz w:val="24"/>
          <w:szCs w:val="24"/>
          <w:highlight w:val="none"/>
        </w:rPr>
        <w:t>本企业对上述声明内容的真实性负责。如有虚假，将依法承担相应责任。</w:t>
      </w:r>
    </w:p>
    <w:p>
      <w:pPr>
        <w:pStyle w:val="101"/>
        <w:spacing w:line="360" w:lineRule="auto"/>
        <w:ind w:firstLine="0"/>
        <w:jc w:val="left"/>
        <w:rPr>
          <w:sz w:val="24"/>
          <w:szCs w:val="24"/>
          <w:highlight w:val="none"/>
        </w:rPr>
      </w:pPr>
      <w:r>
        <w:rPr>
          <w:rFonts w:hint="eastAsia"/>
          <w:sz w:val="24"/>
          <w:szCs w:val="24"/>
          <w:highlight w:val="none"/>
        </w:rPr>
        <w:t>企业名称</w:t>
      </w:r>
      <w:r>
        <w:rPr>
          <w:rFonts w:hint="eastAsia"/>
          <w:spacing w:val="14"/>
          <w:kern w:val="0"/>
          <w:sz w:val="24"/>
          <w:szCs w:val="24"/>
          <w:highlight w:val="none"/>
        </w:rPr>
        <w:t>（企业电子章）</w:t>
      </w:r>
      <w:r>
        <w:rPr>
          <w:rFonts w:hint="eastAsia"/>
          <w:sz w:val="24"/>
          <w:szCs w:val="24"/>
          <w:highlight w:val="none"/>
        </w:rPr>
        <w:t>：</w:t>
      </w:r>
    </w:p>
    <w:p>
      <w:pPr>
        <w:pStyle w:val="101"/>
        <w:spacing w:line="360" w:lineRule="auto"/>
        <w:ind w:firstLine="0"/>
        <w:jc w:val="left"/>
        <w:rPr>
          <w:sz w:val="24"/>
          <w:szCs w:val="24"/>
          <w:highlight w:val="none"/>
        </w:rPr>
      </w:pPr>
      <w:r>
        <w:rPr>
          <w:rFonts w:hint="eastAsia"/>
          <w:sz w:val="24"/>
          <w:szCs w:val="24"/>
          <w:highlight w:val="none"/>
        </w:rPr>
        <w:t>日期：</w:t>
      </w:r>
    </w:p>
    <w:p>
      <w:pPr>
        <w:pStyle w:val="101"/>
        <w:tabs>
          <w:tab w:val="left" w:pos="829"/>
        </w:tabs>
        <w:spacing w:line="360" w:lineRule="auto"/>
        <w:ind w:hanging="1720"/>
        <w:jc w:val="left"/>
        <w:rPr>
          <w:sz w:val="24"/>
          <w:szCs w:val="24"/>
          <w:highlight w:val="none"/>
          <w:lang w:eastAsia="zh-CN"/>
        </w:rPr>
      </w:pPr>
    </w:p>
    <w:p>
      <w:pPr>
        <w:pStyle w:val="54"/>
        <w:spacing w:line="360" w:lineRule="auto"/>
        <w:rPr>
          <w:rFonts w:ascii="宋体" w:hAnsi="宋体" w:cs="宋体"/>
          <w:sz w:val="24"/>
          <w:szCs w:val="24"/>
          <w:highlight w:val="none"/>
        </w:rPr>
      </w:pPr>
      <w:r>
        <w:rPr>
          <w:rFonts w:hint="eastAsia" w:ascii="宋体" w:hAnsi="宋体" w:cs="宋体"/>
          <w:sz w:val="24"/>
          <w:szCs w:val="24"/>
          <w:highlight w:val="none"/>
        </w:rPr>
        <w:t>从业人员、营业收入、资产总额填报上一年度数据,无上一年度数据的新成立企业可不填报.</w:t>
      </w:r>
    </w:p>
    <w:p>
      <w:pPr>
        <w:pStyle w:val="102"/>
        <w:spacing w:line="360" w:lineRule="auto"/>
        <w:rPr>
          <w:rFonts w:ascii="宋体" w:hAnsi="宋体" w:eastAsia="宋体" w:cs="宋体"/>
          <w:sz w:val="24"/>
          <w:highlight w:val="none"/>
        </w:rPr>
      </w:pPr>
      <w:r>
        <w:rPr>
          <w:rFonts w:hint="eastAsia" w:ascii="宋体" w:hAnsi="宋体" w:eastAsia="宋体" w:cs="宋体"/>
          <w:sz w:val="24"/>
          <w:highlight w:val="none"/>
        </w:rPr>
        <w:br w:type="page"/>
      </w:r>
      <w:bookmarkStart w:id="192" w:name="_Toc256000065"/>
      <w:r>
        <w:rPr>
          <w:rFonts w:hint="eastAsia" w:ascii="宋体" w:hAnsi="宋体" w:eastAsia="宋体" w:cs="宋体"/>
          <w:sz w:val="24"/>
          <w:highlight w:val="none"/>
        </w:rPr>
        <w:t>九、残疾人福利性单位声明函</w:t>
      </w:r>
      <w:bookmarkEnd w:id="192"/>
    </w:p>
    <w:p>
      <w:pPr>
        <w:pStyle w:val="103"/>
        <w:spacing w:line="360" w:lineRule="auto"/>
        <w:jc w:val="center"/>
        <w:rPr>
          <w:rFonts w:ascii="宋体" w:hAnsi="宋体" w:cs="宋体"/>
          <w:spacing w:val="14"/>
          <w:kern w:val="0"/>
          <w:sz w:val="24"/>
          <w:szCs w:val="24"/>
          <w:highlight w:val="none"/>
        </w:rPr>
      </w:pPr>
      <w:r>
        <w:rPr>
          <w:rFonts w:hint="eastAsia" w:ascii="宋体" w:hAnsi="宋体" w:cs="宋体"/>
          <w:spacing w:val="14"/>
          <w:kern w:val="0"/>
          <w:sz w:val="24"/>
          <w:szCs w:val="24"/>
          <w:highlight w:val="none"/>
        </w:rPr>
        <w:t>残疾人福利性单位声明函</w:t>
      </w:r>
    </w:p>
    <w:p>
      <w:pPr>
        <w:pStyle w:val="103"/>
        <w:spacing w:line="360" w:lineRule="auto"/>
        <w:jc w:val="center"/>
        <w:rPr>
          <w:rFonts w:ascii="宋体" w:hAnsi="宋体" w:cs="宋体"/>
          <w:spacing w:val="14"/>
          <w:kern w:val="0"/>
          <w:sz w:val="24"/>
          <w:szCs w:val="24"/>
          <w:highlight w:val="none"/>
        </w:rPr>
      </w:pPr>
    </w:p>
    <w:p>
      <w:pPr>
        <w:pStyle w:val="103"/>
        <w:spacing w:line="360" w:lineRule="auto"/>
        <w:ind w:firstLine="420"/>
        <w:rPr>
          <w:rFonts w:ascii="宋体" w:hAnsi="宋体" w:cs="宋体"/>
          <w:spacing w:val="14"/>
          <w:kern w:val="0"/>
          <w:sz w:val="24"/>
          <w:szCs w:val="24"/>
          <w:highlight w:val="none"/>
        </w:rPr>
      </w:pPr>
      <w:r>
        <w:rPr>
          <w:rFonts w:hint="eastAsia" w:ascii="宋体" w:hAnsi="宋体" w:cs="宋体"/>
          <w:spacing w:val="14"/>
          <w:kern w:val="0"/>
          <w:sz w:val="24"/>
          <w:szCs w:val="24"/>
          <w:highlight w:val="none"/>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141号）的规定，本单位为符合条件的残疾人福利性单位，且本单位参加______单位的______项目采购活动提供本单位的服务。</w:t>
      </w:r>
    </w:p>
    <w:p>
      <w:pPr>
        <w:pStyle w:val="103"/>
        <w:spacing w:line="360" w:lineRule="auto"/>
        <w:ind w:firstLine="420"/>
        <w:rPr>
          <w:rFonts w:ascii="宋体" w:hAnsi="宋体" w:cs="宋体"/>
          <w:spacing w:val="14"/>
          <w:kern w:val="0"/>
          <w:sz w:val="24"/>
          <w:szCs w:val="24"/>
          <w:highlight w:val="none"/>
        </w:rPr>
      </w:pPr>
      <w:r>
        <w:rPr>
          <w:rFonts w:hint="eastAsia" w:ascii="宋体" w:hAnsi="宋体" w:cs="宋体"/>
          <w:spacing w:val="14"/>
          <w:kern w:val="0"/>
          <w:sz w:val="24"/>
          <w:szCs w:val="24"/>
          <w:highlight w:val="none"/>
        </w:rPr>
        <w:t>本单位对上述声明的真实性负责。如有虚假，将依法承担相应责任。</w:t>
      </w:r>
    </w:p>
    <w:p>
      <w:pPr>
        <w:pStyle w:val="103"/>
        <w:spacing w:line="360" w:lineRule="auto"/>
        <w:rPr>
          <w:rFonts w:ascii="宋体" w:hAnsi="宋体" w:cs="宋体"/>
          <w:spacing w:val="14"/>
          <w:kern w:val="0"/>
          <w:sz w:val="24"/>
          <w:szCs w:val="24"/>
          <w:highlight w:val="none"/>
        </w:rPr>
      </w:pPr>
    </w:p>
    <w:p>
      <w:pPr>
        <w:pStyle w:val="103"/>
        <w:spacing w:line="360" w:lineRule="auto"/>
        <w:rPr>
          <w:rFonts w:ascii="宋体" w:hAnsi="宋体" w:cs="宋体"/>
          <w:spacing w:val="14"/>
          <w:kern w:val="0"/>
          <w:sz w:val="24"/>
          <w:szCs w:val="24"/>
          <w:highlight w:val="none"/>
        </w:rPr>
      </w:pPr>
    </w:p>
    <w:p>
      <w:pPr>
        <w:pStyle w:val="103"/>
        <w:spacing w:line="360" w:lineRule="auto"/>
        <w:rPr>
          <w:rFonts w:ascii="宋体" w:hAnsi="宋体" w:cs="宋体"/>
          <w:spacing w:val="14"/>
          <w:kern w:val="0"/>
          <w:sz w:val="24"/>
          <w:szCs w:val="24"/>
          <w:highlight w:val="none"/>
        </w:rPr>
      </w:pPr>
      <w:r>
        <w:rPr>
          <w:rFonts w:hint="eastAsia" w:ascii="宋体" w:hAnsi="宋体" w:cs="宋体"/>
          <w:spacing w:val="14"/>
          <w:kern w:val="0"/>
          <w:sz w:val="24"/>
          <w:szCs w:val="24"/>
          <w:highlight w:val="none"/>
        </w:rPr>
        <w:t xml:space="preserve">                                            投标人（企业电子章）：</w:t>
      </w:r>
    </w:p>
    <w:p>
      <w:pPr>
        <w:pStyle w:val="104"/>
        <w:spacing w:line="360" w:lineRule="auto"/>
        <w:rPr>
          <w:rFonts w:ascii="宋体" w:hAnsi="宋体" w:eastAsia="宋体" w:cs="宋体"/>
          <w:sz w:val="24"/>
          <w:highlight w:val="none"/>
        </w:rPr>
      </w:pPr>
      <w:r>
        <w:rPr>
          <w:rFonts w:hint="eastAsia" w:ascii="宋体" w:hAnsi="宋体" w:eastAsia="宋体" w:cs="宋体"/>
          <w:sz w:val="24"/>
          <w:highlight w:val="none"/>
        </w:rPr>
        <w:br w:type="page"/>
      </w:r>
      <w:bookmarkStart w:id="193" w:name="_Toc256000066"/>
      <w:r>
        <w:rPr>
          <w:rFonts w:hint="eastAsia" w:ascii="宋体" w:hAnsi="宋体" w:eastAsia="宋体" w:cs="宋体"/>
          <w:sz w:val="24"/>
          <w:highlight w:val="none"/>
        </w:rPr>
        <w:t>十、监狱企业证明文件</w:t>
      </w:r>
      <w:bookmarkEnd w:id="193"/>
    </w:p>
    <w:p>
      <w:pPr>
        <w:pStyle w:val="105"/>
        <w:spacing w:line="360" w:lineRule="auto"/>
        <w:jc w:val="center"/>
        <w:rPr>
          <w:rFonts w:ascii="宋体" w:hAnsi="宋体" w:cs="宋体"/>
          <w:spacing w:val="14"/>
          <w:kern w:val="0"/>
          <w:sz w:val="24"/>
          <w:szCs w:val="24"/>
          <w:highlight w:val="none"/>
        </w:rPr>
      </w:pPr>
      <w:r>
        <w:rPr>
          <w:rFonts w:hint="eastAsia" w:ascii="宋体" w:hAnsi="宋体" w:cs="宋体"/>
          <w:spacing w:val="14"/>
          <w:kern w:val="0"/>
          <w:sz w:val="24"/>
          <w:szCs w:val="24"/>
          <w:highlight w:val="none"/>
        </w:rPr>
        <w:t>监狱企业证明文件</w:t>
      </w:r>
    </w:p>
    <w:p>
      <w:pPr>
        <w:pStyle w:val="105"/>
        <w:spacing w:line="360" w:lineRule="auto"/>
        <w:jc w:val="center"/>
        <w:rPr>
          <w:rFonts w:ascii="宋体" w:hAnsi="宋体" w:cs="宋体"/>
          <w:spacing w:val="14"/>
          <w:kern w:val="0"/>
          <w:sz w:val="24"/>
          <w:szCs w:val="24"/>
          <w:highlight w:val="none"/>
        </w:rPr>
      </w:pPr>
    </w:p>
    <w:p>
      <w:pPr>
        <w:pStyle w:val="105"/>
        <w:spacing w:line="360" w:lineRule="auto"/>
        <w:ind w:firstLine="420"/>
        <w:rPr>
          <w:rFonts w:ascii="宋体" w:hAnsi="宋体" w:cs="宋体"/>
          <w:spacing w:val="14"/>
          <w:kern w:val="0"/>
          <w:sz w:val="24"/>
          <w:szCs w:val="24"/>
          <w:highlight w:val="none"/>
        </w:rPr>
      </w:pPr>
      <w:r>
        <w:rPr>
          <w:rFonts w:hint="eastAsia" w:ascii="宋体" w:hAnsi="宋体" w:cs="宋体"/>
          <w:spacing w:val="14"/>
          <w:kern w:val="0"/>
          <w:sz w:val="24"/>
          <w:szCs w:val="24"/>
          <w:highlight w:val="none"/>
        </w:rPr>
        <w:t>（监狱企业参加政府采购活动时，应当提供由省级以上监狱管理局、戒毒管理局(含新疆生产建设兵团)出具的属于监狱企业的证明文件。</w:t>
      </w:r>
    </w:p>
    <w:p>
      <w:pPr>
        <w:pStyle w:val="105"/>
        <w:spacing w:line="360" w:lineRule="auto"/>
        <w:rPr>
          <w:rFonts w:ascii="宋体" w:hAnsi="宋体" w:cs="宋体"/>
          <w:spacing w:val="14"/>
          <w:kern w:val="0"/>
          <w:sz w:val="24"/>
          <w:szCs w:val="24"/>
          <w:highlight w:val="none"/>
        </w:rPr>
      </w:pPr>
    </w:p>
    <w:p>
      <w:pPr>
        <w:pStyle w:val="105"/>
        <w:spacing w:line="360" w:lineRule="auto"/>
        <w:rPr>
          <w:rFonts w:ascii="宋体" w:hAnsi="宋体" w:cs="宋体"/>
          <w:spacing w:val="14"/>
          <w:kern w:val="0"/>
          <w:sz w:val="24"/>
          <w:szCs w:val="24"/>
          <w:highlight w:val="none"/>
        </w:rPr>
      </w:pPr>
    </w:p>
    <w:p>
      <w:pPr>
        <w:pStyle w:val="105"/>
        <w:spacing w:line="360" w:lineRule="auto"/>
        <w:rPr>
          <w:rFonts w:ascii="宋体" w:hAnsi="宋体" w:cs="宋体"/>
          <w:spacing w:val="14"/>
          <w:kern w:val="0"/>
          <w:sz w:val="24"/>
          <w:szCs w:val="24"/>
          <w:highlight w:val="none"/>
        </w:rPr>
      </w:pPr>
      <w:r>
        <w:rPr>
          <w:rFonts w:hint="eastAsia" w:ascii="宋体" w:hAnsi="宋体" w:cs="宋体"/>
          <w:spacing w:val="14"/>
          <w:kern w:val="0"/>
          <w:sz w:val="24"/>
          <w:szCs w:val="24"/>
          <w:highlight w:val="none"/>
        </w:rPr>
        <w:t>注：在投标文件中附扫描件</w:t>
      </w:r>
    </w:p>
    <w:p>
      <w:pPr>
        <w:pStyle w:val="106"/>
        <w:spacing w:line="360" w:lineRule="auto"/>
        <w:rPr>
          <w:rFonts w:ascii="宋体" w:hAnsi="宋体" w:eastAsia="宋体" w:cs="宋体"/>
          <w:sz w:val="24"/>
          <w:highlight w:val="none"/>
        </w:rPr>
      </w:pPr>
      <w:r>
        <w:rPr>
          <w:rFonts w:hint="eastAsia" w:ascii="宋体" w:hAnsi="宋体" w:eastAsia="宋体" w:cs="宋体"/>
          <w:sz w:val="24"/>
          <w:highlight w:val="none"/>
        </w:rPr>
        <w:br w:type="page"/>
      </w:r>
      <w:bookmarkStart w:id="194" w:name="_Toc256000067"/>
      <w:r>
        <w:rPr>
          <w:rFonts w:hint="eastAsia" w:ascii="宋体" w:hAnsi="宋体" w:eastAsia="宋体" w:cs="宋体"/>
          <w:sz w:val="24"/>
          <w:highlight w:val="none"/>
        </w:rPr>
        <w:t>十一、技术要求响应与偏差表</w:t>
      </w:r>
      <w:bookmarkEnd w:id="194"/>
    </w:p>
    <w:p>
      <w:pPr>
        <w:pStyle w:val="107"/>
        <w:spacing w:line="360" w:lineRule="auto"/>
        <w:jc w:val="center"/>
        <w:rPr>
          <w:rFonts w:ascii="宋体" w:hAnsi="宋体" w:cs="宋体"/>
          <w:spacing w:val="14"/>
          <w:kern w:val="0"/>
          <w:sz w:val="24"/>
          <w:szCs w:val="24"/>
          <w:highlight w:val="none"/>
        </w:rPr>
      </w:pPr>
      <w:r>
        <w:rPr>
          <w:rFonts w:hint="eastAsia" w:ascii="宋体" w:hAnsi="宋体" w:cs="宋体"/>
          <w:spacing w:val="14"/>
          <w:kern w:val="0"/>
          <w:sz w:val="24"/>
          <w:szCs w:val="24"/>
          <w:highlight w:val="none"/>
        </w:rPr>
        <w:t>技术要求响应与偏差表</w:t>
      </w:r>
    </w:p>
    <w:p>
      <w:pPr>
        <w:pStyle w:val="107"/>
        <w:widowControl/>
        <w:spacing w:line="360" w:lineRule="auto"/>
        <w:jc w:val="center"/>
        <w:rPr>
          <w:rFonts w:ascii="宋体" w:hAnsi="宋体" w:cs="宋体"/>
          <w:spacing w:val="14"/>
          <w:kern w:val="0"/>
          <w:sz w:val="24"/>
          <w:szCs w:val="24"/>
          <w:highlight w:val="none"/>
        </w:rPr>
      </w:pPr>
    </w:p>
    <w:tbl>
      <w:tblPr>
        <w:tblStyle w:val="19"/>
        <w:tblW w:w="92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87"/>
        <w:gridCol w:w="1087"/>
        <w:gridCol w:w="1049"/>
        <w:gridCol w:w="919"/>
        <w:gridCol w:w="787"/>
        <w:gridCol w:w="1968"/>
        <w:gridCol w:w="1312"/>
        <w:gridCol w:w="787"/>
        <w:gridCol w:w="7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7" w:type="dxa"/>
            <w:vMerge w:val="restart"/>
            <w:vAlign w:val="center"/>
          </w:tcPr>
          <w:p>
            <w:pPr>
              <w:pStyle w:val="107"/>
              <w:spacing w:line="360" w:lineRule="auto"/>
              <w:jc w:val="center"/>
              <w:rPr>
                <w:rFonts w:ascii="宋体" w:hAnsi="宋体" w:cs="宋体"/>
                <w:kern w:val="0"/>
                <w:sz w:val="24"/>
                <w:szCs w:val="24"/>
                <w:highlight w:val="none"/>
              </w:rPr>
            </w:pPr>
            <w:r>
              <w:rPr>
                <w:rFonts w:hint="eastAsia" w:ascii="宋体" w:hAnsi="宋体" w:cs="宋体"/>
                <w:kern w:val="0"/>
                <w:sz w:val="24"/>
                <w:szCs w:val="24"/>
                <w:highlight w:val="none"/>
              </w:rPr>
              <w:t>序号</w:t>
            </w:r>
          </w:p>
        </w:tc>
        <w:tc>
          <w:tcPr>
            <w:tcW w:w="1087" w:type="dxa"/>
            <w:vMerge w:val="restart"/>
            <w:vAlign w:val="center"/>
          </w:tcPr>
          <w:p>
            <w:pPr>
              <w:pStyle w:val="107"/>
              <w:spacing w:line="360" w:lineRule="auto"/>
              <w:jc w:val="center"/>
              <w:rPr>
                <w:rFonts w:ascii="宋体" w:hAnsi="宋体" w:cs="宋体"/>
                <w:kern w:val="0"/>
                <w:sz w:val="24"/>
                <w:szCs w:val="24"/>
                <w:highlight w:val="none"/>
              </w:rPr>
            </w:pPr>
            <w:r>
              <w:rPr>
                <w:rFonts w:hint="eastAsia" w:ascii="宋体" w:hAnsi="宋体" w:cs="宋体"/>
                <w:kern w:val="0"/>
                <w:sz w:val="24"/>
                <w:szCs w:val="24"/>
                <w:highlight w:val="none"/>
              </w:rPr>
              <w:t>货物名称</w:t>
            </w:r>
          </w:p>
        </w:tc>
        <w:tc>
          <w:tcPr>
            <w:tcW w:w="1049" w:type="dxa"/>
            <w:vMerge w:val="restart"/>
            <w:vAlign w:val="center"/>
          </w:tcPr>
          <w:p>
            <w:pPr>
              <w:pStyle w:val="107"/>
              <w:spacing w:line="360" w:lineRule="auto"/>
              <w:jc w:val="center"/>
              <w:rPr>
                <w:rFonts w:ascii="宋体" w:hAnsi="宋体" w:cs="宋体"/>
                <w:kern w:val="0"/>
                <w:sz w:val="24"/>
                <w:szCs w:val="24"/>
                <w:highlight w:val="none"/>
              </w:rPr>
            </w:pPr>
            <w:r>
              <w:rPr>
                <w:rFonts w:hint="eastAsia" w:ascii="宋体" w:hAnsi="宋体" w:cs="宋体"/>
                <w:kern w:val="0"/>
                <w:sz w:val="24"/>
                <w:szCs w:val="24"/>
                <w:highlight w:val="none"/>
              </w:rPr>
              <w:t>招标文件技术要求技术参数</w:t>
            </w:r>
          </w:p>
        </w:tc>
        <w:tc>
          <w:tcPr>
            <w:tcW w:w="3674" w:type="dxa"/>
            <w:gridSpan w:val="3"/>
            <w:vAlign w:val="center"/>
          </w:tcPr>
          <w:p>
            <w:pPr>
              <w:pStyle w:val="107"/>
              <w:spacing w:line="360" w:lineRule="auto"/>
              <w:jc w:val="center"/>
              <w:rPr>
                <w:rFonts w:ascii="宋体" w:hAnsi="宋体" w:cs="宋体"/>
                <w:kern w:val="0"/>
                <w:sz w:val="24"/>
                <w:szCs w:val="24"/>
                <w:highlight w:val="none"/>
              </w:rPr>
            </w:pPr>
            <w:r>
              <w:rPr>
                <w:rFonts w:hint="eastAsia" w:ascii="宋体" w:hAnsi="宋体" w:cs="宋体"/>
                <w:kern w:val="0"/>
                <w:sz w:val="24"/>
                <w:szCs w:val="24"/>
                <w:highlight w:val="none"/>
              </w:rPr>
              <w:t>投标产品</w:t>
            </w:r>
          </w:p>
        </w:tc>
        <w:tc>
          <w:tcPr>
            <w:tcW w:w="1312" w:type="dxa"/>
            <w:vMerge w:val="restart"/>
            <w:vAlign w:val="center"/>
          </w:tcPr>
          <w:p>
            <w:pPr>
              <w:pStyle w:val="107"/>
              <w:spacing w:line="360" w:lineRule="auto"/>
              <w:jc w:val="center"/>
              <w:rPr>
                <w:rFonts w:ascii="宋体" w:hAnsi="宋体" w:cs="宋体"/>
                <w:kern w:val="0"/>
                <w:sz w:val="24"/>
                <w:szCs w:val="24"/>
                <w:highlight w:val="none"/>
              </w:rPr>
            </w:pPr>
            <w:r>
              <w:rPr>
                <w:rFonts w:hint="eastAsia" w:ascii="宋体" w:hAnsi="宋体" w:cs="宋体"/>
                <w:kern w:val="0"/>
                <w:sz w:val="24"/>
                <w:szCs w:val="24"/>
                <w:highlight w:val="none"/>
              </w:rPr>
              <w:t>偏差描述</w:t>
            </w:r>
          </w:p>
        </w:tc>
        <w:tc>
          <w:tcPr>
            <w:tcW w:w="787" w:type="dxa"/>
            <w:vMerge w:val="restart"/>
            <w:vAlign w:val="center"/>
          </w:tcPr>
          <w:p>
            <w:pPr>
              <w:pStyle w:val="107"/>
              <w:spacing w:line="360" w:lineRule="auto"/>
              <w:jc w:val="center"/>
              <w:rPr>
                <w:rFonts w:ascii="宋体" w:hAnsi="宋体" w:cs="宋体"/>
                <w:kern w:val="0"/>
                <w:sz w:val="24"/>
                <w:szCs w:val="24"/>
                <w:highlight w:val="none"/>
              </w:rPr>
            </w:pPr>
            <w:r>
              <w:rPr>
                <w:rFonts w:hint="eastAsia" w:ascii="宋体" w:hAnsi="宋体" w:cs="宋体"/>
                <w:kern w:val="0"/>
                <w:sz w:val="24"/>
                <w:szCs w:val="24"/>
                <w:highlight w:val="none"/>
              </w:rPr>
              <w:t>结论</w:t>
            </w:r>
          </w:p>
        </w:tc>
        <w:tc>
          <w:tcPr>
            <w:tcW w:w="787" w:type="dxa"/>
            <w:vMerge w:val="restart"/>
            <w:vAlign w:val="center"/>
          </w:tcPr>
          <w:p>
            <w:pPr>
              <w:pStyle w:val="107"/>
              <w:spacing w:line="360" w:lineRule="auto"/>
              <w:jc w:val="center"/>
              <w:rPr>
                <w:rFonts w:ascii="宋体" w:hAnsi="宋体" w:cs="宋体"/>
                <w:kern w:val="0"/>
                <w:sz w:val="24"/>
                <w:szCs w:val="24"/>
                <w:highlight w:val="none"/>
              </w:rPr>
            </w:pPr>
            <w:r>
              <w:rPr>
                <w:rFonts w:hint="eastAsia" w:ascii="宋体" w:hAnsi="宋体" w:cs="宋体"/>
                <w:spacing w:val="14"/>
                <w:highlight w:val="none"/>
              </w:rPr>
              <w:t>加</w:t>
            </w:r>
            <w:r>
              <w:rPr>
                <w:rFonts w:hint="eastAsia" w:ascii="宋体" w:hAnsi="宋体" w:eastAsia="宋体" w:cs="宋体"/>
                <w:highlight w:val="none"/>
                <w:lang w:val="zh-CN"/>
              </w:rPr>
              <w:t>▲</w:t>
            </w:r>
            <w:r>
              <w:rPr>
                <w:rFonts w:hint="eastAsia" w:ascii="宋体" w:hAnsi="宋体" w:cs="宋体"/>
                <w:spacing w:val="14"/>
                <w:highlight w:val="none"/>
              </w:rPr>
              <w:t>参数及其他所需提供证明材料的参数</w:t>
            </w:r>
            <w:r>
              <w:rPr>
                <w:rFonts w:hint="eastAsia" w:ascii="宋体" w:hAnsi="宋体" w:cs="宋体"/>
                <w:kern w:val="0"/>
                <w:sz w:val="24"/>
                <w:szCs w:val="24"/>
                <w:highlight w:val="none"/>
              </w:rPr>
              <w:t>证明材料所在页码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7" w:type="dxa"/>
            <w:vMerge w:val="continue"/>
            <w:vAlign w:val="center"/>
          </w:tcPr>
          <w:p>
            <w:pPr>
              <w:pStyle w:val="107"/>
              <w:spacing w:line="360" w:lineRule="auto"/>
              <w:jc w:val="center"/>
              <w:rPr>
                <w:rFonts w:ascii="宋体" w:hAnsi="宋体" w:cs="宋体"/>
                <w:kern w:val="0"/>
                <w:sz w:val="24"/>
                <w:szCs w:val="24"/>
                <w:highlight w:val="none"/>
              </w:rPr>
            </w:pPr>
          </w:p>
        </w:tc>
        <w:tc>
          <w:tcPr>
            <w:tcW w:w="1087" w:type="dxa"/>
            <w:vMerge w:val="continue"/>
            <w:vAlign w:val="center"/>
          </w:tcPr>
          <w:p>
            <w:pPr>
              <w:pStyle w:val="107"/>
              <w:spacing w:line="360" w:lineRule="auto"/>
              <w:jc w:val="center"/>
              <w:rPr>
                <w:rFonts w:ascii="宋体" w:hAnsi="宋体" w:cs="宋体"/>
                <w:kern w:val="0"/>
                <w:sz w:val="24"/>
                <w:szCs w:val="24"/>
                <w:highlight w:val="none"/>
              </w:rPr>
            </w:pPr>
          </w:p>
        </w:tc>
        <w:tc>
          <w:tcPr>
            <w:tcW w:w="1049" w:type="dxa"/>
            <w:vMerge w:val="continue"/>
            <w:vAlign w:val="center"/>
          </w:tcPr>
          <w:p>
            <w:pPr>
              <w:pStyle w:val="107"/>
              <w:spacing w:line="360" w:lineRule="auto"/>
              <w:jc w:val="center"/>
              <w:rPr>
                <w:rFonts w:ascii="宋体" w:hAnsi="宋体" w:cs="宋体"/>
                <w:kern w:val="0"/>
                <w:sz w:val="24"/>
                <w:szCs w:val="24"/>
                <w:highlight w:val="none"/>
              </w:rPr>
            </w:pPr>
          </w:p>
        </w:tc>
        <w:tc>
          <w:tcPr>
            <w:tcW w:w="919" w:type="dxa"/>
            <w:vAlign w:val="center"/>
          </w:tcPr>
          <w:p>
            <w:pPr>
              <w:pStyle w:val="107"/>
              <w:spacing w:line="360" w:lineRule="auto"/>
              <w:jc w:val="center"/>
              <w:rPr>
                <w:rFonts w:ascii="宋体" w:hAnsi="宋体" w:cs="宋体"/>
                <w:kern w:val="0"/>
                <w:sz w:val="24"/>
                <w:szCs w:val="24"/>
                <w:highlight w:val="none"/>
              </w:rPr>
            </w:pPr>
            <w:r>
              <w:rPr>
                <w:rFonts w:hint="eastAsia" w:ascii="宋体" w:hAnsi="宋体" w:cs="宋体"/>
                <w:kern w:val="0"/>
                <w:sz w:val="24"/>
                <w:szCs w:val="24"/>
                <w:highlight w:val="none"/>
              </w:rPr>
              <w:t>制造商名称</w:t>
            </w:r>
          </w:p>
        </w:tc>
        <w:tc>
          <w:tcPr>
            <w:tcW w:w="787" w:type="dxa"/>
            <w:vAlign w:val="center"/>
          </w:tcPr>
          <w:p>
            <w:pPr>
              <w:pStyle w:val="107"/>
              <w:spacing w:line="360" w:lineRule="auto"/>
              <w:jc w:val="center"/>
              <w:rPr>
                <w:rFonts w:ascii="宋体" w:hAnsi="宋体" w:cs="宋体"/>
                <w:kern w:val="0"/>
                <w:sz w:val="24"/>
                <w:szCs w:val="24"/>
                <w:highlight w:val="none"/>
              </w:rPr>
            </w:pPr>
            <w:r>
              <w:rPr>
                <w:rFonts w:hint="eastAsia" w:ascii="宋体" w:hAnsi="宋体" w:cs="宋体"/>
                <w:kern w:val="0"/>
                <w:sz w:val="24"/>
                <w:szCs w:val="24"/>
                <w:highlight w:val="none"/>
              </w:rPr>
              <w:t>品牌规格型号</w:t>
            </w:r>
          </w:p>
        </w:tc>
        <w:tc>
          <w:tcPr>
            <w:tcW w:w="1968" w:type="dxa"/>
            <w:vAlign w:val="center"/>
          </w:tcPr>
          <w:p>
            <w:pPr>
              <w:pStyle w:val="107"/>
              <w:spacing w:line="360" w:lineRule="auto"/>
              <w:jc w:val="center"/>
              <w:rPr>
                <w:rFonts w:ascii="宋体" w:hAnsi="宋体" w:cs="宋体"/>
                <w:kern w:val="0"/>
                <w:sz w:val="24"/>
                <w:szCs w:val="24"/>
                <w:highlight w:val="none"/>
              </w:rPr>
            </w:pPr>
            <w:r>
              <w:rPr>
                <w:rFonts w:hint="eastAsia" w:ascii="宋体" w:hAnsi="宋体" w:cs="宋体"/>
                <w:kern w:val="0"/>
                <w:sz w:val="24"/>
                <w:szCs w:val="24"/>
                <w:highlight w:val="none"/>
              </w:rPr>
              <w:t>产品实际技术参数</w:t>
            </w:r>
          </w:p>
        </w:tc>
        <w:tc>
          <w:tcPr>
            <w:tcW w:w="1312" w:type="dxa"/>
            <w:vMerge w:val="continue"/>
            <w:vAlign w:val="center"/>
          </w:tcPr>
          <w:p>
            <w:pPr>
              <w:pStyle w:val="107"/>
              <w:spacing w:line="360" w:lineRule="auto"/>
              <w:jc w:val="center"/>
              <w:rPr>
                <w:rFonts w:ascii="宋体" w:hAnsi="宋体" w:cs="宋体"/>
                <w:kern w:val="0"/>
                <w:sz w:val="24"/>
                <w:szCs w:val="24"/>
                <w:highlight w:val="none"/>
              </w:rPr>
            </w:pPr>
          </w:p>
        </w:tc>
        <w:tc>
          <w:tcPr>
            <w:tcW w:w="787" w:type="dxa"/>
            <w:vMerge w:val="continue"/>
            <w:vAlign w:val="center"/>
          </w:tcPr>
          <w:p>
            <w:pPr>
              <w:pStyle w:val="107"/>
              <w:spacing w:line="360" w:lineRule="auto"/>
              <w:jc w:val="center"/>
              <w:rPr>
                <w:rFonts w:ascii="宋体" w:hAnsi="宋体" w:cs="宋体"/>
                <w:kern w:val="0"/>
                <w:sz w:val="24"/>
                <w:szCs w:val="24"/>
                <w:highlight w:val="none"/>
              </w:rPr>
            </w:pPr>
          </w:p>
        </w:tc>
        <w:tc>
          <w:tcPr>
            <w:tcW w:w="787" w:type="dxa"/>
            <w:vMerge w:val="continue"/>
            <w:vAlign w:val="center"/>
          </w:tcPr>
          <w:p>
            <w:pPr>
              <w:pStyle w:val="107"/>
              <w:spacing w:line="360" w:lineRule="auto"/>
              <w:jc w:val="center"/>
              <w:rPr>
                <w:rFonts w:ascii="宋体" w:hAnsi="宋体" w:cs="宋体"/>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7" w:type="dxa"/>
          </w:tcPr>
          <w:p>
            <w:pPr>
              <w:pStyle w:val="107"/>
              <w:spacing w:line="360" w:lineRule="auto"/>
              <w:rPr>
                <w:rFonts w:ascii="宋体" w:hAnsi="宋体" w:cs="宋体"/>
                <w:kern w:val="0"/>
                <w:sz w:val="24"/>
                <w:szCs w:val="24"/>
                <w:highlight w:val="none"/>
              </w:rPr>
            </w:pPr>
          </w:p>
        </w:tc>
        <w:tc>
          <w:tcPr>
            <w:tcW w:w="1087" w:type="dxa"/>
          </w:tcPr>
          <w:p>
            <w:pPr>
              <w:pStyle w:val="107"/>
              <w:spacing w:line="360" w:lineRule="auto"/>
              <w:rPr>
                <w:rFonts w:ascii="宋体" w:hAnsi="宋体" w:cs="宋体"/>
                <w:kern w:val="0"/>
                <w:sz w:val="24"/>
                <w:szCs w:val="24"/>
                <w:highlight w:val="none"/>
              </w:rPr>
            </w:pPr>
          </w:p>
        </w:tc>
        <w:tc>
          <w:tcPr>
            <w:tcW w:w="1049" w:type="dxa"/>
          </w:tcPr>
          <w:p>
            <w:pPr>
              <w:pStyle w:val="107"/>
              <w:spacing w:line="360" w:lineRule="auto"/>
              <w:rPr>
                <w:rFonts w:ascii="宋体" w:hAnsi="宋体" w:cs="宋体"/>
                <w:kern w:val="0"/>
                <w:sz w:val="24"/>
                <w:szCs w:val="24"/>
                <w:highlight w:val="none"/>
              </w:rPr>
            </w:pPr>
          </w:p>
        </w:tc>
        <w:tc>
          <w:tcPr>
            <w:tcW w:w="919" w:type="dxa"/>
          </w:tcPr>
          <w:p>
            <w:pPr>
              <w:pStyle w:val="107"/>
              <w:spacing w:line="360" w:lineRule="auto"/>
              <w:rPr>
                <w:rFonts w:ascii="宋体" w:hAnsi="宋体" w:cs="宋体"/>
                <w:kern w:val="0"/>
                <w:sz w:val="24"/>
                <w:szCs w:val="24"/>
                <w:highlight w:val="none"/>
              </w:rPr>
            </w:pPr>
          </w:p>
        </w:tc>
        <w:tc>
          <w:tcPr>
            <w:tcW w:w="787" w:type="dxa"/>
          </w:tcPr>
          <w:p>
            <w:pPr>
              <w:pStyle w:val="107"/>
              <w:spacing w:line="360" w:lineRule="auto"/>
              <w:rPr>
                <w:rFonts w:ascii="宋体" w:hAnsi="宋体" w:cs="宋体"/>
                <w:kern w:val="0"/>
                <w:sz w:val="24"/>
                <w:szCs w:val="24"/>
                <w:highlight w:val="none"/>
              </w:rPr>
            </w:pPr>
          </w:p>
        </w:tc>
        <w:tc>
          <w:tcPr>
            <w:tcW w:w="1968" w:type="dxa"/>
          </w:tcPr>
          <w:p>
            <w:pPr>
              <w:pStyle w:val="107"/>
              <w:spacing w:line="360" w:lineRule="auto"/>
              <w:rPr>
                <w:rFonts w:ascii="宋体" w:hAnsi="宋体" w:cs="宋体"/>
                <w:kern w:val="0"/>
                <w:sz w:val="24"/>
                <w:szCs w:val="24"/>
                <w:highlight w:val="none"/>
              </w:rPr>
            </w:pPr>
          </w:p>
        </w:tc>
        <w:tc>
          <w:tcPr>
            <w:tcW w:w="1312" w:type="dxa"/>
          </w:tcPr>
          <w:p>
            <w:pPr>
              <w:pStyle w:val="107"/>
              <w:spacing w:line="360" w:lineRule="auto"/>
              <w:rPr>
                <w:rFonts w:ascii="宋体" w:hAnsi="宋体" w:cs="宋体"/>
                <w:kern w:val="0"/>
                <w:sz w:val="24"/>
                <w:szCs w:val="24"/>
                <w:highlight w:val="none"/>
              </w:rPr>
            </w:pPr>
          </w:p>
        </w:tc>
        <w:tc>
          <w:tcPr>
            <w:tcW w:w="787" w:type="dxa"/>
          </w:tcPr>
          <w:p>
            <w:pPr>
              <w:pStyle w:val="107"/>
              <w:spacing w:line="360" w:lineRule="auto"/>
              <w:rPr>
                <w:rFonts w:ascii="宋体" w:hAnsi="宋体" w:cs="宋体"/>
                <w:kern w:val="0"/>
                <w:sz w:val="24"/>
                <w:szCs w:val="24"/>
                <w:highlight w:val="none"/>
              </w:rPr>
            </w:pPr>
          </w:p>
        </w:tc>
        <w:tc>
          <w:tcPr>
            <w:tcW w:w="787" w:type="dxa"/>
          </w:tcPr>
          <w:p>
            <w:pPr>
              <w:pStyle w:val="107"/>
              <w:spacing w:line="360" w:lineRule="auto"/>
              <w:rPr>
                <w:rFonts w:ascii="宋体" w:hAnsi="宋体" w:cs="宋体"/>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7" w:type="dxa"/>
          </w:tcPr>
          <w:p>
            <w:pPr>
              <w:pStyle w:val="107"/>
              <w:spacing w:line="360" w:lineRule="auto"/>
              <w:rPr>
                <w:rFonts w:ascii="宋体" w:hAnsi="宋体" w:cs="宋体"/>
                <w:kern w:val="0"/>
                <w:sz w:val="24"/>
                <w:szCs w:val="24"/>
                <w:highlight w:val="none"/>
              </w:rPr>
            </w:pPr>
          </w:p>
        </w:tc>
        <w:tc>
          <w:tcPr>
            <w:tcW w:w="1087" w:type="dxa"/>
          </w:tcPr>
          <w:p>
            <w:pPr>
              <w:pStyle w:val="107"/>
              <w:spacing w:line="360" w:lineRule="auto"/>
              <w:rPr>
                <w:rFonts w:ascii="宋体" w:hAnsi="宋体" w:cs="宋体"/>
                <w:kern w:val="0"/>
                <w:sz w:val="24"/>
                <w:szCs w:val="24"/>
                <w:highlight w:val="none"/>
              </w:rPr>
            </w:pPr>
          </w:p>
        </w:tc>
        <w:tc>
          <w:tcPr>
            <w:tcW w:w="1049" w:type="dxa"/>
          </w:tcPr>
          <w:p>
            <w:pPr>
              <w:pStyle w:val="107"/>
              <w:spacing w:line="360" w:lineRule="auto"/>
              <w:rPr>
                <w:rFonts w:ascii="宋体" w:hAnsi="宋体" w:cs="宋体"/>
                <w:kern w:val="0"/>
                <w:sz w:val="24"/>
                <w:szCs w:val="24"/>
                <w:highlight w:val="none"/>
              </w:rPr>
            </w:pPr>
          </w:p>
        </w:tc>
        <w:tc>
          <w:tcPr>
            <w:tcW w:w="919" w:type="dxa"/>
          </w:tcPr>
          <w:p>
            <w:pPr>
              <w:pStyle w:val="107"/>
              <w:spacing w:line="360" w:lineRule="auto"/>
              <w:rPr>
                <w:rFonts w:ascii="宋体" w:hAnsi="宋体" w:cs="宋体"/>
                <w:kern w:val="0"/>
                <w:sz w:val="24"/>
                <w:szCs w:val="24"/>
                <w:highlight w:val="none"/>
              </w:rPr>
            </w:pPr>
          </w:p>
        </w:tc>
        <w:tc>
          <w:tcPr>
            <w:tcW w:w="787" w:type="dxa"/>
          </w:tcPr>
          <w:p>
            <w:pPr>
              <w:pStyle w:val="107"/>
              <w:spacing w:line="360" w:lineRule="auto"/>
              <w:rPr>
                <w:rFonts w:ascii="宋体" w:hAnsi="宋体" w:cs="宋体"/>
                <w:kern w:val="0"/>
                <w:sz w:val="24"/>
                <w:szCs w:val="24"/>
                <w:highlight w:val="none"/>
              </w:rPr>
            </w:pPr>
          </w:p>
        </w:tc>
        <w:tc>
          <w:tcPr>
            <w:tcW w:w="1968" w:type="dxa"/>
          </w:tcPr>
          <w:p>
            <w:pPr>
              <w:pStyle w:val="107"/>
              <w:spacing w:line="360" w:lineRule="auto"/>
              <w:rPr>
                <w:rFonts w:ascii="宋体" w:hAnsi="宋体" w:cs="宋体"/>
                <w:kern w:val="0"/>
                <w:sz w:val="24"/>
                <w:szCs w:val="24"/>
                <w:highlight w:val="none"/>
              </w:rPr>
            </w:pPr>
          </w:p>
        </w:tc>
        <w:tc>
          <w:tcPr>
            <w:tcW w:w="1312" w:type="dxa"/>
          </w:tcPr>
          <w:p>
            <w:pPr>
              <w:pStyle w:val="107"/>
              <w:spacing w:line="360" w:lineRule="auto"/>
              <w:rPr>
                <w:rFonts w:ascii="宋体" w:hAnsi="宋体" w:cs="宋体"/>
                <w:kern w:val="0"/>
                <w:sz w:val="24"/>
                <w:szCs w:val="24"/>
                <w:highlight w:val="none"/>
              </w:rPr>
            </w:pPr>
          </w:p>
        </w:tc>
        <w:tc>
          <w:tcPr>
            <w:tcW w:w="787" w:type="dxa"/>
          </w:tcPr>
          <w:p>
            <w:pPr>
              <w:pStyle w:val="107"/>
              <w:spacing w:line="360" w:lineRule="auto"/>
              <w:rPr>
                <w:rFonts w:ascii="宋体" w:hAnsi="宋体" w:cs="宋体"/>
                <w:kern w:val="0"/>
                <w:sz w:val="24"/>
                <w:szCs w:val="24"/>
                <w:highlight w:val="none"/>
              </w:rPr>
            </w:pPr>
          </w:p>
        </w:tc>
        <w:tc>
          <w:tcPr>
            <w:tcW w:w="787" w:type="dxa"/>
          </w:tcPr>
          <w:p>
            <w:pPr>
              <w:pStyle w:val="107"/>
              <w:spacing w:line="360" w:lineRule="auto"/>
              <w:rPr>
                <w:rFonts w:ascii="宋体" w:hAnsi="宋体" w:cs="宋体"/>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7" w:type="dxa"/>
          </w:tcPr>
          <w:p>
            <w:pPr>
              <w:pStyle w:val="107"/>
              <w:spacing w:line="360" w:lineRule="auto"/>
              <w:rPr>
                <w:rFonts w:ascii="宋体" w:hAnsi="宋体" w:cs="宋体"/>
                <w:kern w:val="0"/>
                <w:sz w:val="24"/>
                <w:szCs w:val="24"/>
                <w:highlight w:val="none"/>
              </w:rPr>
            </w:pPr>
          </w:p>
        </w:tc>
        <w:tc>
          <w:tcPr>
            <w:tcW w:w="1087" w:type="dxa"/>
          </w:tcPr>
          <w:p>
            <w:pPr>
              <w:pStyle w:val="107"/>
              <w:spacing w:line="360" w:lineRule="auto"/>
              <w:rPr>
                <w:rFonts w:ascii="宋体" w:hAnsi="宋体" w:cs="宋体"/>
                <w:kern w:val="0"/>
                <w:sz w:val="24"/>
                <w:szCs w:val="24"/>
                <w:highlight w:val="none"/>
              </w:rPr>
            </w:pPr>
          </w:p>
        </w:tc>
        <w:tc>
          <w:tcPr>
            <w:tcW w:w="1049" w:type="dxa"/>
          </w:tcPr>
          <w:p>
            <w:pPr>
              <w:pStyle w:val="107"/>
              <w:spacing w:line="360" w:lineRule="auto"/>
              <w:rPr>
                <w:rFonts w:ascii="宋体" w:hAnsi="宋体" w:cs="宋体"/>
                <w:kern w:val="0"/>
                <w:sz w:val="24"/>
                <w:szCs w:val="24"/>
                <w:highlight w:val="none"/>
              </w:rPr>
            </w:pPr>
          </w:p>
        </w:tc>
        <w:tc>
          <w:tcPr>
            <w:tcW w:w="919" w:type="dxa"/>
          </w:tcPr>
          <w:p>
            <w:pPr>
              <w:pStyle w:val="107"/>
              <w:spacing w:line="360" w:lineRule="auto"/>
              <w:rPr>
                <w:rFonts w:ascii="宋体" w:hAnsi="宋体" w:cs="宋体"/>
                <w:kern w:val="0"/>
                <w:sz w:val="24"/>
                <w:szCs w:val="24"/>
                <w:highlight w:val="none"/>
              </w:rPr>
            </w:pPr>
          </w:p>
        </w:tc>
        <w:tc>
          <w:tcPr>
            <w:tcW w:w="787" w:type="dxa"/>
          </w:tcPr>
          <w:p>
            <w:pPr>
              <w:pStyle w:val="107"/>
              <w:spacing w:line="360" w:lineRule="auto"/>
              <w:rPr>
                <w:rFonts w:ascii="宋体" w:hAnsi="宋体" w:cs="宋体"/>
                <w:kern w:val="0"/>
                <w:sz w:val="24"/>
                <w:szCs w:val="24"/>
                <w:highlight w:val="none"/>
              </w:rPr>
            </w:pPr>
          </w:p>
        </w:tc>
        <w:tc>
          <w:tcPr>
            <w:tcW w:w="1968" w:type="dxa"/>
          </w:tcPr>
          <w:p>
            <w:pPr>
              <w:pStyle w:val="107"/>
              <w:spacing w:line="360" w:lineRule="auto"/>
              <w:rPr>
                <w:rFonts w:ascii="宋体" w:hAnsi="宋体" w:cs="宋体"/>
                <w:kern w:val="0"/>
                <w:sz w:val="24"/>
                <w:szCs w:val="24"/>
                <w:highlight w:val="none"/>
              </w:rPr>
            </w:pPr>
          </w:p>
        </w:tc>
        <w:tc>
          <w:tcPr>
            <w:tcW w:w="1312" w:type="dxa"/>
          </w:tcPr>
          <w:p>
            <w:pPr>
              <w:pStyle w:val="107"/>
              <w:spacing w:line="360" w:lineRule="auto"/>
              <w:rPr>
                <w:rFonts w:ascii="宋体" w:hAnsi="宋体" w:cs="宋体"/>
                <w:kern w:val="0"/>
                <w:sz w:val="24"/>
                <w:szCs w:val="24"/>
                <w:highlight w:val="none"/>
              </w:rPr>
            </w:pPr>
          </w:p>
        </w:tc>
        <w:tc>
          <w:tcPr>
            <w:tcW w:w="787" w:type="dxa"/>
          </w:tcPr>
          <w:p>
            <w:pPr>
              <w:pStyle w:val="107"/>
              <w:spacing w:line="360" w:lineRule="auto"/>
              <w:rPr>
                <w:rFonts w:ascii="宋体" w:hAnsi="宋体" w:cs="宋体"/>
                <w:kern w:val="0"/>
                <w:sz w:val="24"/>
                <w:szCs w:val="24"/>
                <w:highlight w:val="none"/>
              </w:rPr>
            </w:pPr>
          </w:p>
        </w:tc>
        <w:tc>
          <w:tcPr>
            <w:tcW w:w="787" w:type="dxa"/>
          </w:tcPr>
          <w:p>
            <w:pPr>
              <w:pStyle w:val="107"/>
              <w:spacing w:line="360" w:lineRule="auto"/>
              <w:rPr>
                <w:rFonts w:ascii="宋体" w:hAnsi="宋体" w:cs="宋体"/>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7" w:type="dxa"/>
          </w:tcPr>
          <w:p>
            <w:pPr>
              <w:pStyle w:val="107"/>
              <w:spacing w:line="360" w:lineRule="auto"/>
              <w:rPr>
                <w:rFonts w:ascii="宋体" w:hAnsi="宋体" w:cs="宋体"/>
                <w:kern w:val="0"/>
                <w:sz w:val="24"/>
                <w:szCs w:val="24"/>
                <w:highlight w:val="none"/>
              </w:rPr>
            </w:pPr>
          </w:p>
        </w:tc>
        <w:tc>
          <w:tcPr>
            <w:tcW w:w="1087" w:type="dxa"/>
          </w:tcPr>
          <w:p>
            <w:pPr>
              <w:pStyle w:val="107"/>
              <w:spacing w:line="360" w:lineRule="auto"/>
              <w:rPr>
                <w:rFonts w:ascii="宋体" w:hAnsi="宋体" w:cs="宋体"/>
                <w:kern w:val="0"/>
                <w:sz w:val="24"/>
                <w:szCs w:val="24"/>
                <w:highlight w:val="none"/>
              </w:rPr>
            </w:pPr>
          </w:p>
        </w:tc>
        <w:tc>
          <w:tcPr>
            <w:tcW w:w="1049" w:type="dxa"/>
          </w:tcPr>
          <w:p>
            <w:pPr>
              <w:pStyle w:val="107"/>
              <w:spacing w:line="360" w:lineRule="auto"/>
              <w:rPr>
                <w:rFonts w:ascii="宋体" w:hAnsi="宋体" w:cs="宋体"/>
                <w:kern w:val="0"/>
                <w:sz w:val="24"/>
                <w:szCs w:val="24"/>
                <w:highlight w:val="none"/>
              </w:rPr>
            </w:pPr>
          </w:p>
        </w:tc>
        <w:tc>
          <w:tcPr>
            <w:tcW w:w="919" w:type="dxa"/>
          </w:tcPr>
          <w:p>
            <w:pPr>
              <w:pStyle w:val="107"/>
              <w:spacing w:line="360" w:lineRule="auto"/>
              <w:rPr>
                <w:rFonts w:ascii="宋体" w:hAnsi="宋体" w:cs="宋体"/>
                <w:kern w:val="0"/>
                <w:sz w:val="24"/>
                <w:szCs w:val="24"/>
                <w:highlight w:val="none"/>
              </w:rPr>
            </w:pPr>
          </w:p>
        </w:tc>
        <w:tc>
          <w:tcPr>
            <w:tcW w:w="787" w:type="dxa"/>
          </w:tcPr>
          <w:p>
            <w:pPr>
              <w:pStyle w:val="107"/>
              <w:spacing w:line="360" w:lineRule="auto"/>
              <w:rPr>
                <w:rFonts w:ascii="宋体" w:hAnsi="宋体" w:cs="宋体"/>
                <w:kern w:val="0"/>
                <w:sz w:val="24"/>
                <w:szCs w:val="24"/>
                <w:highlight w:val="none"/>
              </w:rPr>
            </w:pPr>
          </w:p>
        </w:tc>
        <w:tc>
          <w:tcPr>
            <w:tcW w:w="1968" w:type="dxa"/>
          </w:tcPr>
          <w:p>
            <w:pPr>
              <w:pStyle w:val="107"/>
              <w:spacing w:line="360" w:lineRule="auto"/>
              <w:rPr>
                <w:rFonts w:ascii="宋体" w:hAnsi="宋体" w:cs="宋体"/>
                <w:kern w:val="0"/>
                <w:sz w:val="24"/>
                <w:szCs w:val="24"/>
                <w:highlight w:val="none"/>
              </w:rPr>
            </w:pPr>
          </w:p>
        </w:tc>
        <w:tc>
          <w:tcPr>
            <w:tcW w:w="1312" w:type="dxa"/>
          </w:tcPr>
          <w:p>
            <w:pPr>
              <w:pStyle w:val="107"/>
              <w:spacing w:line="360" w:lineRule="auto"/>
              <w:rPr>
                <w:rFonts w:ascii="宋体" w:hAnsi="宋体" w:cs="宋体"/>
                <w:kern w:val="0"/>
                <w:sz w:val="24"/>
                <w:szCs w:val="24"/>
                <w:highlight w:val="none"/>
              </w:rPr>
            </w:pPr>
          </w:p>
        </w:tc>
        <w:tc>
          <w:tcPr>
            <w:tcW w:w="787" w:type="dxa"/>
          </w:tcPr>
          <w:p>
            <w:pPr>
              <w:pStyle w:val="107"/>
              <w:spacing w:line="360" w:lineRule="auto"/>
              <w:rPr>
                <w:rFonts w:ascii="宋体" w:hAnsi="宋体" w:cs="宋体"/>
                <w:kern w:val="0"/>
                <w:sz w:val="24"/>
                <w:szCs w:val="24"/>
                <w:highlight w:val="none"/>
              </w:rPr>
            </w:pPr>
          </w:p>
        </w:tc>
        <w:tc>
          <w:tcPr>
            <w:tcW w:w="787" w:type="dxa"/>
          </w:tcPr>
          <w:p>
            <w:pPr>
              <w:pStyle w:val="107"/>
              <w:spacing w:line="360" w:lineRule="auto"/>
              <w:rPr>
                <w:rFonts w:ascii="宋体" w:hAnsi="宋体" w:cs="宋体"/>
                <w:kern w:val="0"/>
                <w:sz w:val="24"/>
                <w:szCs w:val="24"/>
                <w:highlight w:val="none"/>
              </w:rPr>
            </w:pPr>
          </w:p>
        </w:tc>
      </w:tr>
    </w:tbl>
    <w:p>
      <w:pPr>
        <w:pStyle w:val="107"/>
        <w:widowControl/>
        <w:spacing w:line="360" w:lineRule="auto"/>
        <w:rPr>
          <w:rFonts w:ascii="宋体" w:hAnsi="宋体" w:cs="宋体"/>
          <w:spacing w:val="14"/>
          <w:kern w:val="0"/>
          <w:sz w:val="24"/>
          <w:szCs w:val="24"/>
          <w:highlight w:val="none"/>
        </w:rPr>
      </w:pPr>
      <w:r>
        <w:rPr>
          <w:rFonts w:hint="eastAsia" w:ascii="宋体" w:hAnsi="宋体" w:cs="宋体"/>
          <w:spacing w:val="14"/>
          <w:kern w:val="0"/>
          <w:sz w:val="24"/>
          <w:szCs w:val="24"/>
          <w:highlight w:val="none"/>
        </w:rPr>
        <w:t>投标人（企业电子章）：</w:t>
      </w:r>
    </w:p>
    <w:p>
      <w:pPr>
        <w:pStyle w:val="107"/>
        <w:widowControl/>
        <w:spacing w:line="360" w:lineRule="auto"/>
        <w:rPr>
          <w:rFonts w:ascii="宋体" w:hAnsi="宋体" w:cs="宋体"/>
          <w:spacing w:val="14"/>
          <w:kern w:val="0"/>
          <w:sz w:val="24"/>
          <w:szCs w:val="24"/>
          <w:highlight w:val="none"/>
        </w:rPr>
      </w:pPr>
    </w:p>
    <w:p>
      <w:pPr>
        <w:pStyle w:val="107"/>
        <w:widowControl/>
        <w:spacing w:line="360" w:lineRule="auto"/>
        <w:rPr>
          <w:rFonts w:ascii="宋体" w:hAnsi="宋体" w:cs="宋体"/>
          <w:spacing w:val="14"/>
          <w:kern w:val="0"/>
          <w:sz w:val="24"/>
          <w:szCs w:val="24"/>
          <w:highlight w:val="none"/>
        </w:rPr>
      </w:pPr>
      <w:r>
        <w:rPr>
          <w:rFonts w:hint="eastAsia" w:ascii="宋体" w:hAnsi="宋体" w:cs="宋体"/>
          <w:spacing w:val="14"/>
          <w:kern w:val="0"/>
          <w:sz w:val="24"/>
          <w:szCs w:val="24"/>
          <w:highlight w:val="none"/>
        </w:rPr>
        <w:t>注：</w:t>
      </w:r>
    </w:p>
    <w:p>
      <w:pPr>
        <w:pStyle w:val="107"/>
        <w:widowControl/>
        <w:spacing w:line="360" w:lineRule="auto"/>
        <w:ind w:firstLine="482"/>
        <w:rPr>
          <w:rFonts w:ascii="宋体" w:hAnsi="宋体" w:cs="宋体"/>
          <w:spacing w:val="14"/>
          <w:kern w:val="0"/>
          <w:sz w:val="24"/>
          <w:szCs w:val="24"/>
          <w:highlight w:val="none"/>
        </w:rPr>
      </w:pPr>
      <w:r>
        <w:rPr>
          <w:rFonts w:hint="eastAsia" w:ascii="宋体" w:hAnsi="宋体" w:cs="宋体"/>
          <w:spacing w:val="14"/>
          <w:kern w:val="0"/>
          <w:sz w:val="24"/>
          <w:szCs w:val="24"/>
          <w:highlight w:val="none"/>
        </w:rPr>
        <w:t>1、投标人应根据招标要求逐条逐项表述说明投标响应情况。</w:t>
      </w:r>
    </w:p>
    <w:p>
      <w:pPr>
        <w:pStyle w:val="107"/>
        <w:widowControl/>
        <w:spacing w:line="360" w:lineRule="auto"/>
        <w:ind w:firstLine="482"/>
        <w:rPr>
          <w:rFonts w:ascii="宋体" w:hAnsi="宋体" w:cs="宋体"/>
          <w:spacing w:val="14"/>
          <w:kern w:val="0"/>
          <w:sz w:val="24"/>
          <w:szCs w:val="24"/>
          <w:highlight w:val="none"/>
        </w:rPr>
      </w:pPr>
      <w:r>
        <w:rPr>
          <w:rFonts w:hint="eastAsia" w:ascii="宋体" w:hAnsi="宋体" w:cs="宋体"/>
          <w:spacing w:val="14"/>
          <w:kern w:val="0"/>
          <w:sz w:val="24"/>
          <w:szCs w:val="24"/>
          <w:highlight w:val="none"/>
        </w:rPr>
        <w:t>2、投标人提交的投标文件中的技术参数与招标文件的技术要求、技术参数不同时，应逐条逐项如实填列在偏离表中。投标人不如实填写偏离情况、存在弄虚作假行为的，将依法承担相应的法律责任。</w:t>
      </w:r>
    </w:p>
    <w:p>
      <w:pPr>
        <w:pStyle w:val="107"/>
        <w:widowControl/>
        <w:spacing w:line="360" w:lineRule="auto"/>
        <w:ind w:firstLine="482"/>
        <w:rPr>
          <w:rFonts w:ascii="宋体" w:hAnsi="宋体" w:cs="宋体"/>
          <w:spacing w:val="14"/>
          <w:kern w:val="0"/>
          <w:sz w:val="24"/>
          <w:szCs w:val="24"/>
          <w:highlight w:val="none"/>
        </w:rPr>
      </w:pPr>
      <w:r>
        <w:rPr>
          <w:rFonts w:hint="eastAsia" w:ascii="宋体" w:hAnsi="宋体" w:cs="宋体"/>
          <w:spacing w:val="14"/>
          <w:kern w:val="0"/>
          <w:sz w:val="24"/>
          <w:szCs w:val="24"/>
          <w:highlight w:val="none"/>
        </w:rPr>
        <w:t>3、投标人应结合所投产品说明或描述其实际技术参数和性能。如果完全复制粘贴本招标文件《招标货物清单及技术要求》之技术参数和性能描述，或者只注明“符合”、“满足”等类似无具体内容的表述，因此而产生的不利于投标人的评审风险由投标人自行承担。</w:t>
      </w:r>
      <w:r>
        <w:rPr>
          <w:rFonts w:hint="eastAsia" w:ascii="宋体" w:hAnsi="宋体" w:cs="宋体"/>
          <w:b/>
          <w:bCs/>
          <w:spacing w:val="14"/>
          <w:kern w:val="0"/>
          <w:sz w:val="24"/>
          <w:szCs w:val="24"/>
          <w:highlight w:val="none"/>
        </w:rPr>
        <w:t>提供的证明材料若不一致时以检验报告和注册证为准。</w:t>
      </w:r>
    </w:p>
    <w:p>
      <w:pPr>
        <w:pStyle w:val="107"/>
        <w:widowControl/>
        <w:spacing w:line="360" w:lineRule="auto"/>
        <w:ind w:firstLine="420"/>
        <w:rPr>
          <w:rFonts w:ascii="宋体" w:hAnsi="宋体" w:cs="宋体"/>
          <w:b/>
          <w:bCs/>
          <w:kern w:val="0"/>
          <w:sz w:val="24"/>
          <w:szCs w:val="24"/>
          <w:highlight w:val="none"/>
        </w:rPr>
      </w:pPr>
      <w:r>
        <w:rPr>
          <w:rFonts w:hint="eastAsia" w:ascii="宋体" w:hAnsi="宋体" w:cs="宋体"/>
          <w:spacing w:val="14"/>
          <w:kern w:val="0"/>
          <w:sz w:val="24"/>
          <w:szCs w:val="24"/>
          <w:highlight w:val="none"/>
        </w:rPr>
        <w:t>4、投标人可根据需要自行增减表格行数。</w:t>
      </w:r>
    </w:p>
    <w:p>
      <w:pPr>
        <w:pStyle w:val="108"/>
        <w:spacing w:line="360" w:lineRule="auto"/>
        <w:rPr>
          <w:rFonts w:ascii="宋体" w:hAnsi="宋体" w:eastAsia="宋体" w:cs="宋体"/>
          <w:sz w:val="24"/>
          <w:highlight w:val="none"/>
        </w:rPr>
      </w:pPr>
      <w:r>
        <w:rPr>
          <w:rFonts w:hint="eastAsia" w:ascii="宋体" w:hAnsi="宋体" w:eastAsia="宋体" w:cs="宋体"/>
          <w:sz w:val="24"/>
          <w:highlight w:val="none"/>
        </w:rPr>
        <w:br w:type="page"/>
      </w:r>
      <w:bookmarkStart w:id="195" w:name="_Toc256000068"/>
    </w:p>
    <w:p>
      <w:pPr>
        <w:pStyle w:val="108"/>
        <w:spacing w:line="360" w:lineRule="auto"/>
        <w:jc w:val="center"/>
        <w:rPr>
          <w:rFonts w:ascii="宋体" w:hAnsi="宋体" w:eastAsia="宋体" w:cs="宋体"/>
          <w:sz w:val="24"/>
          <w:highlight w:val="none"/>
        </w:rPr>
      </w:pPr>
      <w:r>
        <w:rPr>
          <w:rFonts w:hint="eastAsia" w:ascii="宋体" w:hAnsi="宋体" w:eastAsia="宋体" w:cs="宋体"/>
          <w:sz w:val="24"/>
          <w:highlight w:val="none"/>
        </w:rPr>
        <w:t>证明资料</w:t>
      </w:r>
    </w:p>
    <w:p>
      <w:pPr>
        <w:pStyle w:val="108"/>
        <w:spacing w:line="360" w:lineRule="auto"/>
        <w:rPr>
          <w:rFonts w:ascii="宋体" w:hAnsi="宋体" w:eastAsia="宋体" w:cs="宋体"/>
          <w:sz w:val="24"/>
          <w:highlight w:val="none"/>
        </w:rPr>
      </w:pPr>
    </w:p>
    <w:p>
      <w:pPr>
        <w:pStyle w:val="108"/>
        <w:spacing w:line="360" w:lineRule="auto"/>
        <w:rPr>
          <w:rFonts w:ascii="宋体" w:hAnsi="宋体" w:eastAsia="宋体" w:cs="宋体"/>
          <w:sz w:val="24"/>
          <w:highlight w:val="none"/>
        </w:rPr>
      </w:pPr>
    </w:p>
    <w:p>
      <w:pPr>
        <w:pStyle w:val="108"/>
        <w:spacing w:line="360" w:lineRule="auto"/>
        <w:rPr>
          <w:rFonts w:ascii="宋体" w:hAnsi="宋体" w:eastAsia="宋体" w:cs="宋体"/>
          <w:sz w:val="24"/>
          <w:highlight w:val="none"/>
        </w:rPr>
      </w:pPr>
    </w:p>
    <w:p>
      <w:pPr>
        <w:pStyle w:val="108"/>
        <w:spacing w:line="360" w:lineRule="auto"/>
        <w:rPr>
          <w:rFonts w:ascii="宋体" w:hAnsi="宋体" w:eastAsia="宋体" w:cs="宋体"/>
          <w:sz w:val="24"/>
          <w:highlight w:val="none"/>
        </w:rPr>
      </w:pPr>
    </w:p>
    <w:p>
      <w:pPr>
        <w:pStyle w:val="108"/>
        <w:spacing w:line="360" w:lineRule="auto"/>
        <w:rPr>
          <w:rFonts w:ascii="宋体" w:hAnsi="宋体" w:eastAsia="宋体" w:cs="宋体"/>
          <w:sz w:val="24"/>
          <w:highlight w:val="none"/>
        </w:rPr>
      </w:pPr>
    </w:p>
    <w:p>
      <w:pPr>
        <w:pStyle w:val="108"/>
        <w:spacing w:line="360" w:lineRule="auto"/>
        <w:rPr>
          <w:rFonts w:ascii="宋体" w:hAnsi="宋体" w:eastAsia="宋体" w:cs="宋体"/>
          <w:sz w:val="24"/>
          <w:highlight w:val="none"/>
        </w:rPr>
      </w:pPr>
    </w:p>
    <w:p>
      <w:pPr>
        <w:pStyle w:val="108"/>
        <w:spacing w:line="360" w:lineRule="auto"/>
        <w:rPr>
          <w:rFonts w:ascii="宋体" w:hAnsi="宋体" w:eastAsia="宋体" w:cs="宋体"/>
          <w:sz w:val="24"/>
          <w:highlight w:val="none"/>
        </w:rPr>
      </w:pPr>
    </w:p>
    <w:p>
      <w:pPr>
        <w:pStyle w:val="108"/>
        <w:spacing w:line="360" w:lineRule="auto"/>
        <w:rPr>
          <w:rFonts w:ascii="宋体" w:hAnsi="宋体" w:eastAsia="宋体" w:cs="宋体"/>
          <w:sz w:val="24"/>
          <w:highlight w:val="none"/>
        </w:rPr>
      </w:pPr>
    </w:p>
    <w:p>
      <w:pPr>
        <w:pStyle w:val="108"/>
        <w:spacing w:line="360" w:lineRule="auto"/>
        <w:rPr>
          <w:rFonts w:ascii="宋体" w:hAnsi="宋体" w:eastAsia="宋体" w:cs="宋体"/>
          <w:sz w:val="24"/>
          <w:highlight w:val="none"/>
        </w:rPr>
      </w:pPr>
    </w:p>
    <w:p>
      <w:pPr>
        <w:pStyle w:val="108"/>
        <w:spacing w:line="360" w:lineRule="auto"/>
        <w:rPr>
          <w:rFonts w:ascii="宋体" w:hAnsi="宋体" w:eastAsia="宋体" w:cs="宋体"/>
          <w:sz w:val="24"/>
          <w:highlight w:val="none"/>
        </w:rPr>
      </w:pPr>
    </w:p>
    <w:p>
      <w:pPr>
        <w:pStyle w:val="108"/>
        <w:spacing w:line="360" w:lineRule="auto"/>
        <w:rPr>
          <w:rFonts w:ascii="宋体" w:hAnsi="宋体" w:eastAsia="宋体" w:cs="宋体"/>
          <w:sz w:val="24"/>
          <w:highlight w:val="none"/>
        </w:rPr>
      </w:pPr>
    </w:p>
    <w:p>
      <w:pPr>
        <w:pStyle w:val="108"/>
        <w:spacing w:line="360" w:lineRule="auto"/>
        <w:rPr>
          <w:rFonts w:ascii="宋体" w:hAnsi="宋体" w:eastAsia="宋体" w:cs="宋体"/>
          <w:sz w:val="24"/>
          <w:highlight w:val="none"/>
        </w:rPr>
      </w:pPr>
    </w:p>
    <w:p>
      <w:pPr>
        <w:pStyle w:val="108"/>
        <w:spacing w:line="360" w:lineRule="auto"/>
        <w:rPr>
          <w:rFonts w:ascii="宋体" w:hAnsi="宋体" w:eastAsia="宋体" w:cs="宋体"/>
          <w:sz w:val="24"/>
          <w:highlight w:val="none"/>
        </w:rPr>
      </w:pPr>
    </w:p>
    <w:p>
      <w:pPr>
        <w:pStyle w:val="108"/>
        <w:spacing w:line="360" w:lineRule="auto"/>
        <w:rPr>
          <w:rFonts w:ascii="宋体" w:hAnsi="宋体" w:eastAsia="宋体" w:cs="宋体"/>
          <w:sz w:val="24"/>
          <w:highlight w:val="none"/>
        </w:rPr>
      </w:pPr>
    </w:p>
    <w:p>
      <w:pPr>
        <w:pStyle w:val="108"/>
        <w:spacing w:line="360" w:lineRule="auto"/>
        <w:rPr>
          <w:rFonts w:ascii="宋体" w:hAnsi="宋体" w:eastAsia="宋体" w:cs="宋体"/>
          <w:sz w:val="24"/>
          <w:highlight w:val="none"/>
        </w:rPr>
      </w:pPr>
    </w:p>
    <w:p>
      <w:pPr>
        <w:pStyle w:val="108"/>
        <w:spacing w:line="360" w:lineRule="auto"/>
        <w:rPr>
          <w:rFonts w:ascii="宋体" w:hAnsi="宋体" w:eastAsia="宋体" w:cs="宋体"/>
          <w:sz w:val="24"/>
          <w:highlight w:val="none"/>
        </w:rPr>
      </w:pPr>
    </w:p>
    <w:p>
      <w:pPr>
        <w:pStyle w:val="108"/>
        <w:spacing w:line="360" w:lineRule="auto"/>
        <w:rPr>
          <w:rFonts w:ascii="宋体" w:hAnsi="宋体" w:eastAsia="宋体" w:cs="宋体"/>
          <w:sz w:val="24"/>
          <w:highlight w:val="none"/>
        </w:rPr>
      </w:pPr>
    </w:p>
    <w:p>
      <w:pPr>
        <w:pStyle w:val="108"/>
        <w:spacing w:line="360" w:lineRule="auto"/>
        <w:rPr>
          <w:rFonts w:ascii="宋体" w:hAnsi="宋体" w:eastAsia="宋体" w:cs="宋体"/>
          <w:sz w:val="24"/>
          <w:highlight w:val="none"/>
        </w:rPr>
      </w:pPr>
    </w:p>
    <w:p>
      <w:pPr>
        <w:pStyle w:val="108"/>
        <w:spacing w:line="360" w:lineRule="auto"/>
        <w:rPr>
          <w:rFonts w:ascii="宋体" w:hAnsi="宋体" w:eastAsia="宋体" w:cs="宋体"/>
          <w:sz w:val="24"/>
          <w:highlight w:val="none"/>
        </w:rPr>
      </w:pPr>
    </w:p>
    <w:p>
      <w:pPr>
        <w:pStyle w:val="108"/>
        <w:spacing w:line="360" w:lineRule="auto"/>
        <w:rPr>
          <w:rFonts w:ascii="宋体" w:hAnsi="宋体" w:eastAsia="宋体" w:cs="宋体"/>
          <w:sz w:val="24"/>
          <w:highlight w:val="none"/>
        </w:rPr>
      </w:pPr>
    </w:p>
    <w:p>
      <w:pPr>
        <w:pStyle w:val="108"/>
        <w:spacing w:line="360" w:lineRule="auto"/>
        <w:rPr>
          <w:rFonts w:ascii="宋体" w:hAnsi="宋体" w:eastAsia="宋体" w:cs="宋体"/>
          <w:sz w:val="24"/>
          <w:highlight w:val="none"/>
        </w:rPr>
      </w:pPr>
    </w:p>
    <w:p>
      <w:pPr>
        <w:pStyle w:val="108"/>
        <w:spacing w:line="360" w:lineRule="auto"/>
        <w:rPr>
          <w:rFonts w:ascii="宋体" w:hAnsi="宋体" w:eastAsia="宋体" w:cs="宋体"/>
          <w:sz w:val="24"/>
          <w:highlight w:val="none"/>
        </w:rPr>
      </w:pPr>
    </w:p>
    <w:p>
      <w:pPr>
        <w:pStyle w:val="108"/>
        <w:spacing w:line="360" w:lineRule="auto"/>
        <w:rPr>
          <w:rFonts w:ascii="宋体" w:hAnsi="宋体" w:eastAsia="宋体" w:cs="宋体"/>
          <w:sz w:val="24"/>
          <w:highlight w:val="none"/>
        </w:rPr>
      </w:pPr>
    </w:p>
    <w:p>
      <w:pPr>
        <w:pStyle w:val="108"/>
        <w:spacing w:line="360" w:lineRule="auto"/>
        <w:rPr>
          <w:rFonts w:ascii="宋体" w:hAnsi="宋体" w:eastAsia="宋体" w:cs="宋体"/>
          <w:sz w:val="24"/>
          <w:highlight w:val="none"/>
        </w:rPr>
      </w:pPr>
    </w:p>
    <w:p>
      <w:pPr>
        <w:pStyle w:val="108"/>
        <w:spacing w:line="360" w:lineRule="auto"/>
        <w:rPr>
          <w:rFonts w:ascii="宋体" w:hAnsi="宋体" w:eastAsia="宋体" w:cs="宋体"/>
          <w:sz w:val="24"/>
          <w:highlight w:val="none"/>
        </w:rPr>
      </w:pPr>
    </w:p>
    <w:p>
      <w:pPr>
        <w:pStyle w:val="108"/>
        <w:spacing w:line="360" w:lineRule="auto"/>
        <w:rPr>
          <w:rFonts w:ascii="宋体" w:hAnsi="宋体" w:eastAsia="宋体" w:cs="宋体"/>
          <w:sz w:val="24"/>
          <w:highlight w:val="none"/>
        </w:rPr>
      </w:pPr>
    </w:p>
    <w:p>
      <w:pPr>
        <w:pStyle w:val="108"/>
        <w:spacing w:line="360" w:lineRule="auto"/>
        <w:rPr>
          <w:rFonts w:ascii="宋体" w:hAnsi="宋体" w:eastAsia="宋体" w:cs="宋体"/>
          <w:sz w:val="24"/>
          <w:highlight w:val="none"/>
        </w:rPr>
      </w:pPr>
    </w:p>
    <w:p>
      <w:pPr>
        <w:pStyle w:val="108"/>
        <w:spacing w:line="360" w:lineRule="auto"/>
        <w:rPr>
          <w:rFonts w:ascii="宋体" w:hAnsi="宋体" w:eastAsia="宋体" w:cs="宋体"/>
          <w:sz w:val="24"/>
          <w:highlight w:val="none"/>
        </w:rPr>
      </w:pPr>
    </w:p>
    <w:p>
      <w:pPr>
        <w:pStyle w:val="108"/>
        <w:spacing w:line="360" w:lineRule="auto"/>
        <w:rPr>
          <w:rFonts w:ascii="宋体" w:hAnsi="宋体" w:eastAsia="宋体" w:cs="宋体"/>
          <w:sz w:val="24"/>
          <w:highlight w:val="none"/>
        </w:rPr>
      </w:pPr>
    </w:p>
    <w:p>
      <w:pPr>
        <w:pStyle w:val="108"/>
        <w:spacing w:line="360" w:lineRule="auto"/>
        <w:rPr>
          <w:rFonts w:ascii="宋体" w:hAnsi="宋体" w:eastAsia="宋体" w:cs="宋体"/>
          <w:sz w:val="24"/>
          <w:highlight w:val="none"/>
        </w:rPr>
      </w:pPr>
    </w:p>
    <w:p>
      <w:pPr>
        <w:pStyle w:val="108"/>
        <w:spacing w:line="360" w:lineRule="auto"/>
        <w:rPr>
          <w:rFonts w:ascii="宋体" w:hAnsi="宋体" w:eastAsia="宋体" w:cs="宋体"/>
          <w:sz w:val="24"/>
          <w:highlight w:val="none"/>
        </w:rPr>
      </w:pPr>
    </w:p>
    <w:p>
      <w:pPr>
        <w:pStyle w:val="108"/>
        <w:spacing w:line="360" w:lineRule="auto"/>
        <w:rPr>
          <w:rFonts w:ascii="宋体" w:hAnsi="宋体" w:eastAsia="宋体" w:cs="宋体"/>
          <w:sz w:val="24"/>
          <w:highlight w:val="none"/>
        </w:rPr>
      </w:pPr>
      <w:r>
        <w:rPr>
          <w:rFonts w:hint="eastAsia" w:ascii="宋体" w:hAnsi="宋体" w:eastAsia="宋体" w:cs="宋体"/>
          <w:sz w:val="24"/>
          <w:highlight w:val="none"/>
        </w:rPr>
        <w:t>十二、商务要求响应与偏差表</w:t>
      </w:r>
      <w:bookmarkEnd w:id="195"/>
    </w:p>
    <w:p>
      <w:pPr>
        <w:pStyle w:val="109"/>
        <w:spacing w:line="360" w:lineRule="auto"/>
        <w:jc w:val="center"/>
        <w:rPr>
          <w:rFonts w:ascii="宋体" w:hAnsi="宋体" w:cs="宋体"/>
          <w:spacing w:val="14"/>
          <w:kern w:val="0"/>
          <w:sz w:val="24"/>
          <w:szCs w:val="24"/>
          <w:highlight w:val="none"/>
        </w:rPr>
      </w:pPr>
      <w:r>
        <w:rPr>
          <w:rFonts w:hint="eastAsia" w:ascii="宋体" w:hAnsi="宋体" w:cs="宋体"/>
          <w:spacing w:val="14"/>
          <w:kern w:val="0"/>
          <w:sz w:val="24"/>
          <w:szCs w:val="24"/>
          <w:highlight w:val="none"/>
        </w:rPr>
        <w:t>商务要求响应与偏差表</w:t>
      </w:r>
    </w:p>
    <w:p>
      <w:pPr>
        <w:pStyle w:val="109"/>
        <w:widowControl/>
        <w:spacing w:line="360" w:lineRule="auto"/>
        <w:jc w:val="center"/>
        <w:rPr>
          <w:rFonts w:ascii="宋体" w:hAnsi="宋体" w:cs="宋体"/>
          <w:kern w:val="0"/>
          <w:sz w:val="24"/>
          <w:szCs w:val="24"/>
          <w:highlight w:val="none"/>
        </w:rPr>
      </w:pPr>
    </w:p>
    <w:tbl>
      <w:tblPr>
        <w:tblStyle w:val="19"/>
        <w:tblW w:w="90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3"/>
        <w:gridCol w:w="3742"/>
        <w:gridCol w:w="3260"/>
        <w:gridCol w:w="11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833" w:type="dxa"/>
            <w:vAlign w:val="center"/>
          </w:tcPr>
          <w:p>
            <w:pPr>
              <w:pStyle w:val="109"/>
              <w:widowControl/>
              <w:spacing w:line="360" w:lineRule="auto"/>
              <w:jc w:val="center"/>
              <w:rPr>
                <w:rFonts w:ascii="宋体" w:hAnsi="宋体" w:cs="宋体"/>
                <w:kern w:val="0"/>
                <w:sz w:val="24"/>
                <w:szCs w:val="24"/>
                <w:highlight w:val="none"/>
              </w:rPr>
            </w:pPr>
            <w:r>
              <w:rPr>
                <w:rFonts w:hint="eastAsia" w:ascii="宋体" w:hAnsi="宋体" w:cs="宋体"/>
                <w:kern w:val="0"/>
                <w:sz w:val="24"/>
                <w:szCs w:val="24"/>
                <w:highlight w:val="none"/>
              </w:rPr>
              <w:t>序号</w:t>
            </w:r>
          </w:p>
        </w:tc>
        <w:tc>
          <w:tcPr>
            <w:tcW w:w="3742" w:type="dxa"/>
            <w:vAlign w:val="center"/>
          </w:tcPr>
          <w:p>
            <w:pPr>
              <w:pStyle w:val="109"/>
              <w:widowControl/>
              <w:spacing w:line="360" w:lineRule="auto"/>
              <w:jc w:val="center"/>
              <w:rPr>
                <w:rFonts w:ascii="宋体" w:hAnsi="宋体" w:cs="宋体"/>
                <w:kern w:val="0"/>
                <w:sz w:val="24"/>
                <w:szCs w:val="24"/>
                <w:highlight w:val="none"/>
              </w:rPr>
            </w:pPr>
            <w:r>
              <w:rPr>
                <w:rFonts w:hint="eastAsia" w:ascii="宋体" w:hAnsi="宋体" w:cs="宋体"/>
                <w:kern w:val="0"/>
                <w:sz w:val="24"/>
                <w:szCs w:val="24"/>
                <w:highlight w:val="none"/>
              </w:rPr>
              <w:t>招标文件商务要求</w:t>
            </w:r>
          </w:p>
        </w:tc>
        <w:tc>
          <w:tcPr>
            <w:tcW w:w="3260" w:type="dxa"/>
            <w:vAlign w:val="center"/>
          </w:tcPr>
          <w:p>
            <w:pPr>
              <w:pStyle w:val="109"/>
              <w:widowControl/>
              <w:spacing w:line="360" w:lineRule="auto"/>
              <w:jc w:val="center"/>
              <w:rPr>
                <w:rFonts w:ascii="宋体" w:hAnsi="宋体" w:cs="宋体"/>
                <w:kern w:val="0"/>
                <w:sz w:val="24"/>
                <w:szCs w:val="24"/>
                <w:highlight w:val="none"/>
              </w:rPr>
            </w:pPr>
            <w:r>
              <w:rPr>
                <w:rFonts w:hint="eastAsia" w:ascii="宋体" w:hAnsi="宋体" w:cs="宋体"/>
                <w:kern w:val="0"/>
                <w:sz w:val="24"/>
                <w:szCs w:val="24"/>
                <w:highlight w:val="none"/>
              </w:rPr>
              <w:t>投标人响应具体内容</w:t>
            </w:r>
          </w:p>
        </w:tc>
        <w:tc>
          <w:tcPr>
            <w:tcW w:w="1199" w:type="dxa"/>
            <w:vAlign w:val="center"/>
          </w:tcPr>
          <w:p>
            <w:pPr>
              <w:pStyle w:val="109"/>
              <w:widowControl/>
              <w:spacing w:line="360" w:lineRule="auto"/>
              <w:jc w:val="center"/>
              <w:rPr>
                <w:rFonts w:ascii="宋体" w:hAnsi="宋体" w:cs="宋体"/>
                <w:kern w:val="0"/>
                <w:sz w:val="24"/>
                <w:szCs w:val="24"/>
                <w:highlight w:val="none"/>
              </w:rPr>
            </w:pPr>
            <w:r>
              <w:rPr>
                <w:rFonts w:hint="eastAsia" w:ascii="宋体" w:hAnsi="宋体" w:cs="宋体"/>
                <w:kern w:val="0"/>
                <w:sz w:val="24"/>
                <w:szCs w:val="24"/>
                <w:highlight w:val="none"/>
              </w:rPr>
              <w:t>偏差说明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833" w:type="dxa"/>
            <w:vAlign w:val="center"/>
          </w:tcPr>
          <w:p>
            <w:pPr>
              <w:pStyle w:val="109"/>
              <w:widowControl/>
              <w:spacing w:line="360" w:lineRule="auto"/>
              <w:jc w:val="center"/>
              <w:rPr>
                <w:rFonts w:ascii="宋体" w:hAnsi="宋体" w:cs="宋体"/>
                <w:kern w:val="0"/>
                <w:sz w:val="24"/>
                <w:szCs w:val="24"/>
                <w:highlight w:val="none"/>
              </w:rPr>
            </w:pPr>
          </w:p>
        </w:tc>
        <w:tc>
          <w:tcPr>
            <w:tcW w:w="3742" w:type="dxa"/>
            <w:vAlign w:val="center"/>
          </w:tcPr>
          <w:p>
            <w:pPr>
              <w:pStyle w:val="109"/>
              <w:widowControl/>
              <w:spacing w:line="360" w:lineRule="auto"/>
              <w:jc w:val="left"/>
              <w:rPr>
                <w:rFonts w:ascii="宋体" w:hAnsi="宋体" w:cs="宋体"/>
                <w:kern w:val="0"/>
                <w:sz w:val="24"/>
                <w:szCs w:val="24"/>
                <w:highlight w:val="none"/>
              </w:rPr>
            </w:pPr>
          </w:p>
        </w:tc>
        <w:tc>
          <w:tcPr>
            <w:tcW w:w="3260" w:type="dxa"/>
            <w:vAlign w:val="center"/>
          </w:tcPr>
          <w:p>
            <w:pPr>
              <w:pStyle w:val="109"/>
              <w:widowControl/>
              <w:spacing w:line="360" w:lineRule="auto"/>
              <w:jc w:val="left"/>
              <w:rPr>
                <w:rFonts w:ascii="宋体" w:hAnsi="宋体" w:cs="宋体"/>
                <w:kern w:val="0"/>
                <w:sz w:val="24"/>
                <w:szCs w:val="24"/>
                <w:highlight w:val="none"/>
              </w:rPr>
            </w:pPr>
          </w:p>
        </w:tc>
        <w:tc>
          <w:tcPr>
            <w:tcW w:w="1199" w:type="dxa"/>
            <w:vAlign w:val="center"/>
          </w:tcPr>
          <w:p>
            <w:pPr>
              <w:pStyle w:val="109"/>
              <w:widowControl/>
              <w:spacing w:line="360" w:lineRule="auto"/>
              <w:jc w:val="left"/>
              <w:rPr>
                <w:rFonts w:ascii="宋体" w:hAnsi="宋体" w:cs="宋体"/>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833" w:type="dxa"/>
            <w:vAlign w:val="center"/>
          </w:tcPr>
          <w:p>
            <w:pPr>
              <w:pStyle w:val="109"/>
              <w:widowControl/>
              <w:spacing w:line="360" w:lineRule="auto"/>
              <w:jc w:val="center"/>
              <w:rPr>
                <w:rFonts w:ascii="宋体" w:hAnsi="宋体" w:cs="宋体"/>
                <w:kern w:val="0"/>
                <w:sz w:val="24"/>
                <w:szCs w:val="24"/>
                <w:highlight w:val="none"/>
              </w:rPr>
            </w:pPr>
          </w:p>
        </w:tc>
        <w:tc>
          <w:tcPr>
            <w:tcW w:w="3742" w:type="dxa"/>
            <w:vAlign w:val="center"/>
          </w:tcPr>
          <w:p>
            <w:pPr>
              <w:pStyle w:val="109"/>
              <w:widowControl/>
              <w:spacing w:line="360" w:lineRule="auto"/>
              <w:jc w:val="left"/>
              <w:rPr>
                <w:rFonts w:ascii="宋体" w:hAnsi="宋体" w:cs="宋体"/>
                <w:kern w:val="0"/>
                <w:sz w:val="24"/>
                <w:szCs w:val="24"/>
                <w:highlight w:val="none"/>
              </w:rPr>
            </w:pPr>
          </w:p>
        </w:tc>
        <w:tc>
          <w:tcPr>
            <w:tcW w:w="3260" w:type="dxa"/>
            <w:vAlign w:val="center"/>
          </w:tcPr>
          <w:p>
            <w:pPr>
              <w:pStyle w:val="109"/>
              <w:widowControl/>
              <w:spacing w:line="360" w:lineRule="auto"/>
              <w:jc w:val="left"/>
              <w:rPr>
                <w:rFonts w:ascii="宋体" w:hAnsi="宋体" w:cs="宋体"/>
                <w:kern w:val="0"/>
                <w:sz w:val="24"/>
                <w:szCs w:val="24"/>
                <w:highlight w:val="none"/>
              </w:rPr>
            </w:pPr>
          </w:p>
        </w:tc>
        <w:tc>
          <w:tcPr>
            <w:tcW w:w="1199" w:type="dxa"/>
            <w:vAlign w:val="center"/>
          </w:tcPr>
          <w:p>
            <w:pPr>
              <w:pStyle w:val="109"/>
              <w:widowControl/>
              <w:spacing w:line="360" w:lineRule="auto"/>
              <w:jc w:val="left"/>
              <w:rPr>
                <w:rFonts w:ascii="宋体" w:hAnsi="宋体" w:cs="宋体"/>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833" w:type="dxa"/>
            <w:vAlign w:val="center"/>
          </w:tcPr>
          <w:p>
            <w:pPr>
              <w:pStyle w:val="109"/>
              <w:widowControl/>
              <w:spacing w:line="360" w:lineRule="auto"/>
              <w:jc w:val="center"/>
              <w:rPr>
                <w:rFonts w:ascii="宋体" w:hAnsi="宋体" w:cs="宋体"/>
                <w:kern w:val="0"/>
                <w:sz w:val="24"/>
                <w:szCs w:val="24"/>
                <w:highlight w:val="none"/>
              </w:rPr>
            </w:pPr>
          </w:p>
        </w:tc>
        <w:tc>
          <w:tcPr>
            <w:tcW w:w="3742" w:type="dxa"/>
            <w:vAlign w:val="center"/>
          </w:tcPr>
          <w:p>
            <w:pPr>
              <w:pStyle w:val="109"/>
              <w:widowControl/>
              <w:spacing w:line="360" w:lineRule="auto"/>
              <w:jc w:val="left"/>
              <w:rPr>
                <w:rFonts w:ascii="宋体" w:hAnsi="宋体" w:cs="宋体"/>
                <w:kern w:val="0"/>
                <w:sz w:val="24"/>
                <w:szCs w:val="24"/>
                <w:highlight w:val="none"/>
              </w:rPr>
            </w:pPr>
          </w:p>
        </w:tc>
        <w:tc>
          <w:tcPr>
            <w:tcW w:w="3260" w:type="dxa"/>
            <w:vAlign w:val="center"/>
          </w:tcPr>
          <w:p>
            <w:pPr>
              <w:pStyle w:val="109"/>
              <w:widowControl/>
              <w:spacing w:line="360" w:lineRule="auto"/>
              <w:jc w:val="left"/>
              <w:rPr>
                <w:rFonts w:ascii="宋体" w:hAnsi="宋体" w:cs="宋体"/>
                <w:kern w:val="0"/>
                <w:sz w:val="24"/>
                <w:szCs w:val="24"/>
                <w:highlight w:val="none"/>
              </w:rPr>
            </w:pPr>
          </w:p>
        </w:tc>
        <w:tc>
          <w:tcPr>
            <w:tcW w:w="1199" w:type="dxa"/>
            <w:vAlign w:val="center"/>
          </w:tcPr>
          <w:p>
            <w:pPr>
              <w:pStyle w:val="109"/>
              <w:widowControl/>
              <w:spacing w:line="360" w:lineRule="auto"/>
              <w:jc w:val="left"/>
              <w:rPr>
                <w:rFonts w:ascii="宋体" w:hAnsi="宋体" w:cs="宋体"/>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2" w:hRule="atLeast"/>
          <w:jc w:val="center"/>
        </w:trPr>
        <w:tc>
          <w:tcPr>
            <w:tcW w:w="833" w:type="dxa"/>
            <w:vAlign w:val="center"/>
          </w:tcPr>
          <w:p>
            <w:pPr>
              <w:pStyle w:val="109"/>
              <w:widowControl/>
              <w:spacing w:line="360" w:lineRule="auto"/>
              <w:jc w:val="center"/>
              <w:rPr>
                <w:rFonts w:ascii="宋体" w:hAnsi="宋体" w:cs="宋体"/>
                <w:kern w:val="0"/>
                <w:sz w:val="24"/>
                <w:szCs w:val="24"/>
                <w:highlight w:val="none"/>
              </w:rPr>
            </w:pPr>
          </w:p>
        </w:tc>
        <w:tc>
          <w:tcPr>
            <w:tcW w:w="3742" w:type="dxa"/>
            <w:vAlign w:val="center"/>
          </w:tcPr>
          <w:p>
            <w:pPr>
              <w:pStyle w:val="109"/>
              <w:widowControl/>
              <w:spacing w:line="360" w:lineRule="auto"/>
              <w:jc w:val="left"/>
              <w:rPr>
                <w:rFonts w:ascii="宋体" w:hAnsi="宋体" w:cs="宋体"/>
                <w:kern w:val="0"/>
                <w:sz w:val="24"/>
                <w:szCs w:val="24"/>
                <w:highlight w:val="none"/>
              </w:rPr>
            </w:pPr>
          </w:p>
        </w:tc>
        <w:tc>
          <w:tcPr>
            <w:tcW w:w="3260" w:type="dxa"/>
            <w:vAlign w:val="center"/>
          </w:tcPr>
          <w:p>
            <w:pPr>
              <w:pStyle w:val="109"/>
              <w:widowControl/>
              <w:spacing w:line="360" w:lineRule="auto"/>
              <w:jc w:val="left"/>
              <w:rPr>
                <w:rFonts w:ascii="宋体" w:hAnsi="宋体" w:cs="宋体"/>
                <w:kern w:val="0"/>
                <w:sz w:val="24"/>
                <w:szCs w:val="24"/>
                <w:highlight w:val="none"/>
              </w:rPr>
            </w:pPr>
          </w:p>
        </w:tc>
        <w:tc>
          <w:tcPr>
            <w:tcW w:w="1199" w:type="dxa"/>
            <w:vAlign w:val="center"/>
          </w:tcPr>
          <w:p>
            <w:pPr>
              <w:pStyle w:val="109"/>
              <w:widowControl/>
              <w:spacing w:line="360" w:lineRule="auto"/>
              <w:jc w:val="left"/>
              <w:rPr>
                <w:rFonts w:ascii="宋体" w:hAnsi="宋体" w:cs="宋体"/>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2" w:hRule="atLeast"/>
          <w:jc w:val="center"/>
        </w:trPr>
        <w:tc>
          <w:tcPr>
            <w:tcW w:w="833" w:type="dxa"/>
            <w:vAlign w:val="center"/>
          </w:tcPr>
          <w:p>
            <w:pPr>
              <w:pStyle w:val="109"/>
              <w:widowControl/>
              <w:spacing w:line="360" w:lineRule="auto"/>
              <w:jc w:val="center"/>
              <w:rPr>
                <w:rFonts w:ascii="宋体" w:hAnsi="宋体" w:cs="宋体"/>
                <w:kern w:val="0"/>
                <w:sz w:val="24"/>
                <w:szCs w:val="24"/>
                <w:highlight w:val="none"/>
              </w:rPr>
            </w:pPr>
          </w:p>
        </w:tc>
        <w:tc>
          <w:tcPr>
            <w:tcW w:w="3742" w:type="dxa"/>
            <w:vAlign w:val="center"/>
          </w:tcPr>
          <w:p>
            <w:pPr>
              <w:pStyle w:val="109"/>
              <w:widowControl/>
              <w:spacing w:line="360" w:lineRule="auto"/>
              <w:jc w:val="left"/>
              <w:rPr>
                <w:rFonts w:ascii="宋体" w:hAnsi="宋体" w:cs="宋体"/>
                <w:kern w:val="0"/>
                <w:sz w:val="24"/>
                <w:szCs w:val="24"/>
                <w:highlight w:val="none"/>
              </w:rPr>
            </w:pPr>
          </w:p>
        </w:tc>
        <w:tc>
          <w:tcPr>
            <w:tcW w:w="3260" w:type="dxa"/>
            <w:vAlign w:val="center"/>
          </w:tcPr>
          <w:p>
            <w:pPr>
              <w:pStyle w:val="109"/>
              <w:widowControl/>
              <w:spacing w:line="360" w:lineRule="auto"/>
              <w:jc w:val="left"/>
              <w:rPr>
                <w:rFonts w:ascii="宋体" w:hAnsi="宋体" w:cs="宋体"/>
                <w:kern w:val="0"/>
                <w:sz w:val="24"/>
                <w:szCs w:val="24"/>
                <w:highlight w:val="none"/>
              </w:rPr>
            </w:pPr>
          </w:p>
        </w:tc>
        <w:tc>
          <w:tcPr>
            <w:tcW w:w="1199" w:type="dxa"/>
            <w:vAlign w:val="center"/>
          </w:tcPr>
          <w:p>
            <w:pPr>
              <w:pStyle w:val="109"/>
              <w:widowControl/>
              <w:spacing w:line="360" w:lineRule="auto"/>
              <w:jc w:val="left"/>
              <w:rPr>
                <w:rFonts w:ascii="宋体" w:hAnsi="宋体" w:cs="宋体"/>
                <w:kern w:val="0"/>
                <w:sz w:val="24"/>
                <w:szCs w:val="24"/>
                <w:highlight w:val="none"/>
              </w:rPr>
            </w:pPr>
          </w:p>
        </w:tc>
      </w:tr>
    </w:tbl>
    <w:p>
      <w:pPr>
        <w:pStyle w:val="109"/>
        <w:widowControl/>
        <w:spacing w:line="360" w:lineRule="auto"/>
        <w:rPr>
          <w:rFonts w:ascii="宋体" w:hAnsi="宋体" w:cs="宋体"/>
          <w:kern w:val="0"/>
          <w:sz w:val="24"/>
          <w:szCs w:val="24"/>
          <w:highlight w:val="none"/>
        </w:rPr>
      </w:pPr>
    </w:p>
    <w:p>
      <w:pPr>
        <w:pStyle w:val="109"/>
        <w:widowControl/>
        <w:spacing w:line="360" w:lineRule="auto"/>
        <w:rPr>
          <w:rFonts w:ascii="宋体" w:hAnsi="宋体" w:cs="宋体"/>
          <w:kern w:val="0"/>
          <w:sz w:val="24"/>
          <w:szCs w:val="24"/>
          <w:highlight w:val="none"/>
        </w:rPr>
      </w:pPr>
      <w:r>
        <w:rPr>
          <w:rFonts w:hint="eastAsia" w:ascii="宋体" w:hAnsi="宋体" w:cs="宋体"/>
          <w:kern w:val="0"/>
          <w:sz w:val="24"/>
          <w:szCs w:val="24"/>
          <w:highlight w:val="none"/>
        </w:rPr>
        <w:t>投标人保证：除本表列出的商务偏差外，投标人响应招标文件的全部商务要求。</w:t>
      </w:r>
    </w:p>
    <w:p>
      <w:pPr>
        <w:pStyle w:val="109"/>
        <w:widowControl/>
        <w:spacing w:line="360" w:lineRule="auto"/>
        <w:rPr>
          <w:rFonts w:ascii="宋体" w:hAnsi="宋体" w:cs="宋体"/>
          <w:kern w:val="0"/>
          <w:sz w:val="24"/>
          <w:szCs w:val="24"/>
          <w:highlight w:val="none"/>
        </w:rPr>
      </w:pPr>
    </w:p>
    <w:p>
      <w:pPr>
        <w:pStyle w:val="109"/>
        <w:widowControl/>
        <w:spacing w:line="360" w:lineRule="auto"/>
        <w:rPr>
          <w:rFonts w:ascii="宋体" w:hAnsi="宋体" w:cs="宋体"/>
          <w:kern w:val="0"/>
          <w:sz w:val="24"/>
          <w:szCs w:val="24"/>
          <w:highlight w:val="none"/>
        </w:rPr>
      </w:pPr>
      <w:r>
        <w:rPr>
          <w:rFonts w:hint="eastAsia" w:ascii="宋体" w:hAnsi="宋体" w:cs="宋体"/>
          <w:kern w:val="0"/>
          <w:sz w:val="24"/>
          <w:szCs w:val="24"/>
          <w:highlight w:val="none"/>
        </w:rPr>
        <w:t>投标人（企业电子章）：</w:t>
      </w:r>
    </w:p>
    <w:p>
      <w:pPr>
        <w:pStyle w:val="109"/>
        <w:widowControl/>
        <w:spacing w:line="360" w:lineRule="auto"/>
        <w:rPr>
          <w:rFonts w:ascii="宋体" w:hAnsi="宋体" w:cs="宋体"/>
          <w:kern w:val="0"/>
          <w:sz w:val="24"/>
          <w:szCs w:val="24"/>
          <w:highlight w:val="none"/>
        </w:rPr>
      </w:pPr>
    </w:p>
    <w:p>
      <w:pPr>
        <w:pStyle w:val="109"/>
        <w:widowControl/>
        <w:spacing w:line="360" w:lineRule="auto"/>
        <w:rPr>
          <w:rFonts w:ascii="宋体" w:hAnsi="宋体" w:cs="宋体"/>
          <w:kern w:val="0"/>
          <w:sz w:val="24"/>
          <w:szCs w:val="24"/>
          <w:highlight w:val="none"/>
        </w:rPr>
      </w:pPr>
      <w:r>
        <w:rPr>
          <w:rFonts w:hint="eastAsia" w:ascii="宋体" w:hAnsi="宋体" w:cs="宋体"/>
          <w:kern w:val="0"/>
          <w:sz w:val="24"/>
          <w:szCs w:val="24"/>
          <w:highlight w:val="none"/>
        </w:rPr>
        <w:t>注：投标人可根据需要自行增减表格行数。</w:t>
      </w:r>
    </w:p>
    <w:p>
      <w:pPr>
        <w:pStyle w:val="110"/>
        <w:spacing w:line="360" w:lineRule="auto"/>
        <w:rPr>
          <w:rFonts w:ascii="宋体" w:hAnsi="宋体" w:eastAsia="宋体" w:cs="宋体"/>
          <w:sz w:val="24"/>
          <w:highlight w:val="none"/>
        </w:rPr>
      </w:pPr>
      <w:r>
        <w:rPr>
          <w:rFonts w:hint="eastAsia" w:ascii="宋体" w:hAnsi="宋体" w:eastAsia="宋体" w:cs="宋体"/>
          <w:sz w:val="24"/>
          <w:highlight w:val="none"/>
        </w:rPr>
        <w:br w:type="page"/>
      </w:r>
      <w:bookmarkStart w:id="196" w:name="_Toc256000069"/>
      <w:r>
        <w:rPr>
          <w:rFonts w:hint="eastAsia" w:ascii="宋体" w:hAnsi="宋体" w:eastAsia="宋体" w:cs="宋体"/>
          <w:sz w:val="24"/>
          <w:highlight w:val="none"/>
        </w:rPr>
        <w:t>十三、节能产品、环境标志产品明细表</w:t>
      </w:r>
      <w:bookmarkEnd w:id="196"/>
    </w:p>
    <w:p>
      <w:pPr>
        <w:pStyle w:val="111"/>
        <w:spacing w:line="360" w:lineRule="auto"/>
        <w:jc w:val="center"/>
        <w:rPr>
          <w:rFonts w:ascii="宋体" w:hAnsi="宋体" w:cs="宋体"/>
          <w:sz w:val="24"/>
          <w:szCs w:val="24"/>
          <w:highlight w:val="none"/>
        </w:rPr>
      </w:pPr>
      <w:r>
        <w:rPr>
          <w:rFonts w:hint="eastAsia" w:ascii="宋体" w:hAnsi="宋体" w:cs="宋体"/>
          <w:spacing w:val="14"/>
          <w:sz w:val="24"/>
          <w:szCs w:val="24"/>
          <w:highlight w:val="none"/>
        </w:rPr>
        <w:t>节能产品、环境标志产品明细表</w:t>
      </w:r>
    </w:p>
    <w:tbl>
      <w:tblPr>
        <w:tblStyle w:val="19"/>
        <w:tblW w:w="82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0"/>
        <w:gridCol w:w="1124"/>
        <w:gridCol w:w="1375"/>
        <w:gridCol w:w="1874"/>
        <w:gridCol w:w="1749"/>
        <w:gridCol w:w="17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jc w:val="center"/>
        </w:trPr>
        <w:tc>
          <w:tcPr>
            <w:tcW w:w="450" w:type="dxa"/>
            <w:vAlign w:val="center"/>
          </w:tcPr>
          <w:p>
            <w:pPr>
              <w:pStyle w:val="111"/>
              <w:widowControl/>
              <w:spacing w:line="360" w:lineRule="auto"/>
              <w:jc w:val="center"/>
              <w:rPr>
                <w:rFonts w:ascii="宋体" w:hAnsi="宋体" w:cs="宋体"/>
                <w:kern w:val="0"/>
                <w:sz w:val="24"/>
                <w:szCs w:val="24"/>
                <w:highlight w:val="none"/>
                <w:lang w:val="zh-CN"/>
              </w:rPr>
            </w:pPr>
            <w:r>
              <w:rPr>
                <w:rFonts w:hint="eastAsia" w:ascii="宋体" w:hAnsi="宋体" w:cs="宋体"/>
                <w:kern w:val="0"/>
                <w:sz w:val="24"/>
                <w:szCs w:val="24"/>
                <w:highlight w:val="none"/>
                <w:lang w:val="zh-CN"/>
              </w:rPr>
              <w:t>序号</w:t>
            </w:r>
          </w:p>
        </w:tc>
        <w:tc>
          <w:tcPr>
            <w:tcW w:w="1124" w:type="dxa"/>
            <w:vAlign w:val="center"/>
          </w:tcPr>
          <w:p>
            <w:pPr>
              <w:pStyle w:val="111"/>
              <w:widowControl/>
              <w:spacing w:line="360" w:lineRule="auto"/>
              <w:jc w:val="center"/>
              <w:rPr>
                <w:rFonts w:ascii="宋体" w:hAnsi="宋体" w:cs="宋体"/>
                <w:kern w:val="0"/>
                <w:sz w:val="24"/>
                <w:szCs w:val="24"/>
                <w:highlight w:val="none"/>
                <w:lang w:val="zh-CN"/>
              </w:rPr>
            </w:pPr>
            <w:r>
              <w:rPr>
                <w:rFonts w:hint="eastAsia" w:ascii="宋体" w:hAnsi="宋体" w:cs="宋体"/>
                <w:kern w:val="0"/>
                <w:sz w:val="24"/>
                <w:szCs w:val="24"/>
                <w:highlight w:val="none"/>
                <w:lang w:val="zh-CN"/>
              </w:rPr>
              <w:t>货物名称</w:t>
            </w:r>
          </w:p>
        </w:tc>
        <w:tc>
          <w:tcPr>
            <w:tcW w:w="1375" w:type="dxa"/>
            <w:vAlign w:val="center"/>
          </w:tcPr>
          <w:p>
            <w:pPr>
              <w:pStyle w:val="111"/>
              <w:widowControl/>
              <w:spacing w:line="360" w:lineRule="auto"/>
              <w:jc w:val="center"/>
              <w:rPr>
                <w:rFonts w:ascii="宋体" w:hAnsi="宋体" w:cs="宋体"/>
                <w:kern w:val="0"/>
                <w:sz w:val="24"/>
                <w:szCs w:val="24"/>
                <w:highlight w:val="none"/>
                <w:lang w:val="zh-CN"/>
              </w:rPr>
            </w:pPr>
            <w:r>
              <w:rPr>
                <w:rFonts w:hint="eastAsia" w:ascii="宋体" w:hAnsi="宋体" w:cs="宋体"/>
                <w:kern w:val="0"/>
                <w:sz w:val="24"/>
                <w:szCs w:val="24"/>
                <w:highlight w:val="none"/>
                <w:lang w:val="zh-CN"/>
              </w:rPr>
              <w:t>品牌及制造商</w:t>
            </w:r>
          </w:p>
        </w:tc>
        <w:tc>
          <w:tcPr>
            <w:tcW w:w="1874" w:type="dxa"/>
            <w:vAlign w:val="center"/>
          </w:tcPr>
          <w:p>
            <w:pPr>
              <w:pStyle w:val="111"/>
              <w:widowControl/>
              <w:spacing w:line="360" w:lineRule="auto"/>
              <w:jc w:val="center"/>
              <w:rPr>
                <w:rFonts w:ascii="宋体" w:hAnsi="宋体" w:cs="宋体"/>
                <w:kern w:val="0"/>
                <w:sz w:val="24"/>
                <w:szCs w:val="24"/>
                <w:highlight w:val="none"/>
                <w:lang w:val="zh-CN"/>
              </w:rPr>
            </w:pPr>
            <w:r>
              <w:rPr>
                <w:rFonts w:hint="eastAsia" w:ascii="宋体" w:hAnsi="宋体" w:cs="宋体"/>
                <w:kern w:val="0"/>
                <w:sz w:val="24"/>
                <w:szCs w:val="24"/>
                <w:highlight w:val="none"/>
                <w:lang w:val="zh-CN"/>
              </w:rPr>
              <w:t>规格型号</w:t>
            </w:r>
          </w:p>
        </w:tc>
        <w:tc>
          <w:tcPr>
            <w:tcW w:w="1749" w:type="dxa"/>
            <w:vAlign w:val="center"/>
          </w:tcPr>
          <w:p>
            <w:pPr>
              <w:pStyle w:val="111"/>
              <w:spacing w:line="360" w:lineRule="auto"/>
              <w:jc w:val="center"/>
              <w:rPr>
                <w:rFonts w:ascii="宋体" w:hAnsi="宋体" w:cs="宋体"/>
                <w:sz w:val="24"/>
                <w:szCs w:val="24"/>
                <w:highlight w:val="none"/>
              </w:rPr>
            </w:pPr>
            <w:r>
              <w:rPr>
                <w:rFonts w:hint="eastAsia" w:ascii="宋体" w:hAnsi="宋体" w:cs="宋体"/>
                <w:sz w:val="24"/>
                <w:szCs w:val="24"/>
                <w:highlight w:val="none"/>
              </w:rPr>
              <w:t>中国节能产品认证证书编号</w:t>
            </w:r>
          </w:p>
        </w:tc>
        <w:tc>
          <w:tcPr>
            <w:tcW w:w="1721" w:type="dxa"/>
            <w:vAlign w:val="center"/>
          </w:tcPr>
          <w:p>
            <w:pPr>
              <w:pStyle w:val="111"/>
              <w:widowControl/>
              <w:spacing w:line="360" w:lineRule="auto"/>
              <w:jc w:val="center"/>
              <w:rPr>
                <w:rFonts w:ascii="宋体" w:hAnsi="宋体" w:cs="宋体"/>
                <w:strike/>
                <w:kern w:val="0"/>
                <w:sz w:val="24"/>
                <w:szCs w:val="24"/>
                <w:highlight w:val="none"/>
                <w:lang w:val="zh-CN"/>
              </w:rPr>
            </w:pPr>
            <w:r>
              <w:rPr>
                <w:rFonts w:hint="eastAsia" w:ascii="宋体" w:hAnsi="宋体" w:cs="宋体"/>
                <w:kern w:val="0"/>
                <w:sz w:val="24"/>
                <w:szCs w:val="24"/>
                <w:highlight w:val="none"/>
                <w:lang w:val="zh-CN"/>
              </w:rPr>
              <w:t>中国节能产品认证证书有效截止日期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450" w:type="dxa"/>
            <w:vAlign w:val="center"/>
          </w:tcPr>
          <w:p>
            <w:pPr>
              <w:pStyle w:val="111"/>
              <w:widowControl/>
              <w:spacing w:line="360" w:lineRule="auto"/>
              <w:jc w:val="left"/>
              <w:rPr>
                <w:rFonts w:ascii="宋体" w:hAnsi="宋体" w:cs="宋体"/>
                <w:kern w:val="0"/>
                <w:sz w:val="24"/>
                <w:szCs w:val="24"/>
                <w:highlight w:val="none"/>
                <w:lang w:val="zh-CN"/>
              </w:rPr>
            </w:pPr>
          </w:p>
        </w:tc>
        <w:tc>
          <w:tcPr>
            <w:tcW w:w="1124" w:type="dxa"/>
            <w:vAlign w:val="center"/>
          </w:tcPr>
          <w:p>
            <w:pPr>
              <w:pStyle w:val="111"/>
              <w:widowControl/>
              <w:spacing w:line="360" w:lineRule="auto"/>
              <w:ind w:firstLine="482"/>
              <w:jc w:val="left"/>
              <w:rPr>
                <w:rFonts w:ascii="宋体" w:hAnsi="宋体" w:cs="宋体"/>
                <w:kern w:val="0"/>
                <w:sz w:val="24"/>
                <w:szCs w:val="24"/>
                <w:highlight w:val="none"/>
                <w:lang w:val="zh-CN"/>
              </w:rPr>
            </w:pPr>
          </w:p>
        </w:tc>
        <w:tc>
          <w:tcPr>
            <w:tcW w:w="1375" w:type="dxa"/>
            <w:vAlign w:val="center"/>
          </w:tcPr>
          <w:p>
            <w:pPr>
              <w:pStyle w:val="111"/>
              <w:widowControl/>
              <w:spacing w:line="360" w:lineRule="auto"/>
              <w:ind w:firstLine="482"/>
              <w:jc w:val="left"/>
              <w:rPr>
                <w:rFonts w:ascii="宋体" w:hAnsi="宋体" w:cs="宋体"/>
                <w:kern w:val="0"/>
                <w:sz w:val="24"/>
                <w:szCs w:val="24"/>
                <w:highlight w:val="none"/>
                <w:lang w:val="zh-CN"/>
              </w:rPr>
            </w:pPr>
          </w:p>
        </w:tc>
        <w:tc>
          <w:tcPr>
            <w:tcW w:w="1874" w:type="dxa"/>
            <w:vAlign w:val="center"/>
          </w:tcPr>
          <w:p>
            <w:pPr>
              <w:pStyle w:val="111"/>
              <w:widowControl/>
              <w:spacing w:line="360" w:lineRule="auto"/>
              <w:ind w:firstLine="482"/>
              <w:jc w:val="left"/>
              <w:rPr>
                <w:rFonts w:ascii="宋体" w:hAnsi="宋体" w:cs="宋体"/>
                <w:kern w:val="0"/>
                <w:sz w:val="24"/>
                <w:szCs w:val="24"/>
                <w:highlight w:val="none"/>
                <w:lang w:val="zh-CN"/>
              </w:rPr>
            </w:pPr>
          </w:p>
        </w:tc>
        <w:tc>
          <w:tcPr>
            <w:tcW w:w="1749" w:type="dxa"/>
            <w:vAlign w:val="center"/>
          </w:tcPr>
          <w:p>
            <w:pPr>
              <w:pStyle w:val="111"/>
              <w:widowControl/>
              <w:spacing w:line="360" w:lineRule="auto"/>
              <w:ind w:firstLine="482"/>
              <w:jc w:val="left"/>
              <w:rPr>
                <w:rFonts w:ascii="宋体" w:hAnsi="宋体" w:cs="宋体"/>
                <w:kern w:val="0"/>
                <w:sz w:val="24"/>
                <w:szCs w:val="24"/>
                <w:highlight w:val="none"/>
                <w:lang w:val="zh-CN"/>
              </w:rPr>
            </w:pPr>
          </w:p>
        </w:tc>
        <w:tc>
          <w:tcPr>
            <w:tcW w:w="1721" w:type="dxa"/>
            <w:vAlign w:val="center"/>
          </w:tcPr>
          <w:p>
            <w:pPr>
              <w:pStyle w:val="111"/>
              <w:widowControl/>
              <w:spacing w:line="360" w:lineRule="auto"/>
              <w:ind w:firstLine="482"/>
              <w:jc w:val="left"/>
              <w:rPr>
                <w:rFonts w:ascii="宋体" w:hAnsi="宋体" w:cs="宋体"/>
                <w:kern w:val="0"/>
                <w:sz w:val="24"/>
                <w:szCs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450" w:type="dxa"/>
          </w:tcPr>
          <w:p>
            <w:pPr>
              <w:pStyle w:val="111"/>
              <w:widowControl/>
              <w:spacing w:line="360" w:lineRule="auto"/>
              <w:jc w:val="left"/>
              <w:rPr>
                <w:rFonts w:ascii="宋体" w:hAnsi="宋体" w:cs="宋体"/>
                <w:kern w:val="0"/>
                <w:sz w:val="24"/>
                <w:szCs w:val="24"/>
                <w:highlight w:val="none"/>
                <w:lang w:val="zh-CN"/>
              </w:rPr>
            </w:pPr>
          </w:p>
        </w:tc>
        <w:tc>
          <w:tcPr>
            <w:tcW w:w="1124" w:type="dxa"/>
          </w:tcPr>
          <w:p>
            <w:pPr>
              <w:pStyle w:val="111"/>
              <w:widowControl/>
              <w:spacing w:line="360" w:lineRule="auto"/>
              <w:ind w:firstLine="482"/>
              <w:jc w:val="left"/>
              <w:rPr>
                <w:rFonts w:ascii="宋体" w:hAnsi="宋体" w:cs="宋体"/>
                <w:kern w:val="0"/>
                <w:sz w:val="24"/>
                <w:szCs w:val="24"/>
                <w:highlight w:val="none"/>
                <w:lang w:val="zh-CN"/>
              </w:rPr>
            </w:pPr>
          </w:p>
        </w:tc>
        <w:tc>
          <w:tcPr>
            <w:tcW w:w="1375" w:type="dxa"/>
          </w:tcPr>
          <w:p>
            <w:pPr>
              <w:pStyle w:val="111"/>
              <w:widowControl/>
              <w:spacing w:line="360" w:lineRule="auto"/>
              <w:ind w:firstLine="482"/>
              <w:jc w:val="left"/>
              <w:rPr>
                <w:rFonts w:ascii="宋体" w:hAnsi="宋体" w:cs="宋体"/>
                <w:kern w:val="0"/>
                <w:sz w:val="24"/>
                <w:szCs w:val="24"/>
                <w:highlight w:val="none"/>
                <w:lang w:val="zh-CN"/>
              </w:rPr>
            </w:pPr>
          </w:p>
        </w:tc>
        <w:tc>
          <w:tcPr>
            <w:tcW w:w="1874" w:type="dxa"/>
          </w:tcPr>
          <w:p>
            <w:pPr>
              <w:pStyle w:val="111"/>
              <w:widowControl/>
              <w:spacing w:line="360" w:lineRule="auto"/>
              <w:ind w:firstLine="482"/>
              <w:jc w:val="left"/>
              <w:rPr>
                <w:rFonts w:ascii="宋体" w:hAnsi="宋体" w:cs="宋体"/>
                <w:kern w:val="0"/>
                <w:sz w:val="24"/>
                <w:szCs w:val="24"/>
                <w:highlight w:val="none"/>
                <w:lang w:val="zh-CN"/>
              </w:rPr>
            </w:pPr>
          </w:p>
        </w:tc>
        <w:tc>
          <w:tcPr>
            <w:tcW w:w="1749" w:type="dxa"/>
          </w:tcPr>
          <w:p>
            <w:pPr>
              <w:pStyle w:val="111"/>
              <w:widowControl/>
              <w:spacing w:line="360" w:lineRule="auto"/>
              <w:ind w:firstLine="482"/>
              <w:jc w:val="left"/>
              <w:rPr>
                <w:rFonts w:ascii="宋体" w:hAnsi="宋体" w:cs="宋体"/>
                <w:kern w:val="0"/>
                <w:sz w:val="24"/>
                <w:szCs w:val="24"/>
                <w:highlight w:val="none"/>
                <w:lang w:val="zh-CN"/>
              </w:rPr>
            </w:pPr>
          </w:p>
        </w:tc>
        <w:tc>
          <w:tcPr>
            <w:tcW w:w="1721" w:type="dxa"/>
          </w:tcPr>
          <w:p>
            <w:pPr>
              <w:pStyle w:val="111"/>
              <w:widowControl/>
              <w:spacing w:line="360" w:lineRule="auto"/>
              <w:ind w:firstLine="482"/>
              <w:jc w:val="left"/>
              <w:rPr>
                <w:rFonts w:ascii="宋体" w:hAnsi="宋体" w:cs="宋体"/>
                <w:kern w:val="0"/>
                <w:sz w:val="24"/>
                <w:szCs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jc w:val="center"/>
        </w:trPr>
        <w:tc>
          <w:tcPr>
            <w:tcW w:w="450" w:type="dxa"/>
          </w:tcPr>
          <w:p>
            <w:pPr>
              <w:pStyle w:val="111"/>
              <w:widowControl/>
              <w:spacing w:line="360" w:lineRule="auto"/>
              <w:jc w:val="left"/>
              <w:rPr>
                <w:rFonts w:ascii="宋体" w:hAnsi="宋体" w:cs="宋体"/>
                <w:kern w:val="0"/>
                <w:sz w:val="24"/>
                <w:szCs w:val="24"/>
                <w:highlight w:val="none"/>
                <w:lang w:val="zh-CN"/>
              </w:rPr>
            </w:pPr>
          </w:p>
        </w:tc>
        <w:tc>
          <w:tcPr>
            <w:tcW w:w="1124" w:type="dxa"/>
          </w:tcPr>
          <w:p>
            <w:pPr>
              <w:pStyle w:val="111"/>
              <w:widowControl/>
              <w:spacing w:line="360" w:lineRule="auto"/>
              <w:ind w:firstLine="482"/>
              <w:jc w:val="left"/>
              <w:rPr>
                <w:rFonts w:ascii="宋体" w:hAnsi="宋体" w:cs="宋体"/>
                <w:kern w:val="0"/>
                <w:sz w:val="24"/>
                <w:szCs w:val="24"/>
                <w:highlight w:val="none"/>
                <w:lang w:val="zh-CN"/>
              </w:rPr>
            </w:pPr>
          </w:p>
        </w:tc>
        <w:tc>
          <w:tcPr>
            <w:tcW w:w="1375" w:type="dxa"/>
          </w:tcPr>
          <w:p>
            <w:pPr>
              <w:pStyle w:val="111"/>
              <w:widowControl/>
              <w:spacing w:line="360" w:lineRule="auto"/>
              <w:ind w:firstLine="482"/>
              <w:jc w:val="left"/>
              <w:rPr>
                <w:rFonts w:ascii="宋体" w:hAnsi="宋体" w:cs="宋体"/>
                <w:kern w:val="0"/>
                <w:sz w:val="24"/>
                <w:szCs w:val="24"/>
                <w:highlight w:val="none"/>
                <w:lang w:val="zh-CN"/>
              </w:rPr>
            </w:pPr>
          </w:p>
        </w:tc>
        <w:tc>
          <w:tcPr>
            <w:tcW w:w="1874" w:type="dxa"/>
          </w:tcPr>
          <w:p>
            <w:pPr>
              <w:pStyle w:val="111"/>
              <w:widowControl/>
              <w:spacing w:line="360" w:lineRule="auto"/>
              <w:ind w:firstLine="482"/>
              <w:jc w:val="left"/>
              <w:rPr>
                <w:rFonts w:ascii="宋体" w:hAnsi="宋体" w:cs="宋体"/>
                <w:kern w:val="0"/>
                <w:sz w:val="24"/>
                <w:szCs w:val="24"/>
                <w:highlight w:val="none"/>
                <w:lang w:val="zh-CN"/>
              </w:rPr>
            </w:pPr>
          </w:p>
        </w:tc>
        <w:tc>
          <w:tcPr>
            <w:tcW w:w="1749" w:type="dxa"/>
          </w:tcPr>
          <w:p>
            <w:pPr>
              <w:pStyle w:val="111"/>
              <w:widowControl/>
              <w:spacing w:line="360" w:lineRule="auto"/>
              <w:ind w:firstLine="482"/>
              <w:jc w:val="left"/>
              <w:rPr>
                <w:rFonts w:ascii="宋体" w:hAnsi="宋体" w:cs="宋体"/>
                <w:kern w:val="0"/>
                <w:sz w:val="24"/>
                <w:szCs w:val="24"/>
                <w:highlight w:val="none"/>
                <w:lang w:val="zh-CN"/>
              </w:rPr>
            </w:pPr>
          </w:p>
        </w:tc>
        <w:tc>
          <w:tcPr>
            <w:tcW w:w="1721" w:type="dxa"/>
          </w:tcPr>
          <w:p>
            <w:pPr>
              <w:pStyle w:val="111"/>
              <w:widowControl/>
              <w:spacing w:line="360" w:lineRule="auto"/>
              <w:ind w:firstLine="482"/>
              <w:jc w:val="left"/>
              <w:rPr>
                <w:rFonts w:ascii="宋体" w:hAnsi="宋体" w:cs="宋体"/>
                <w:kern w:val="0"/>
                <w:sz w:val="24"/>
                <w:szCs w:val="24"/>
                <w:highlight w:val="none"/>
                <w:lang w:val="zh-CN"/>
              </w:rPr>
            </w:pPr>
          </w:p>
        </w:tc>
      </w:tr>
    </w:tbl>
    <w:p>
      <w:pPr>
        <w:pStyle w:val="111"/>
        <w:widowControl/>
        <w:spacing w:line="360" w:lineRule="auto"/>
        <w:rPr>
          <w:rFonts w:ascii="宋体" w:hAnsi="宋体" w:cs="宋体"/>
          <w:kern w:val="0"/>
          <w:sz w:val="24"/>
          <w:szCs w:val="24"/>
          <w:highlight w:val="none"/>
          <w:lang w:val="zh-CN"/>
        </w:rPr>
      </w:pPr>
    </w:p>
    <w:tbl>
      <w:tblPr>
        <w:tblStyle w:val="19"/>
        <w:tblW w:w="85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0"/>
        <w:gridCol w:w="1292"/>
        <w:gridCol w:w="1371"/>
        <w:gridCol w:w="1930"/>
        <w:gridCol w:w="1801"/>
        <w:gridCol w:w="17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jc w:val="center"/>
        </w:trPr>
        <w:tc>
          <w:tcPr>
            <w:tcW w:w="390" w:type="dxa"/>
            <w:vAlign w:val="center"/>
          </w:tcPr>
          <w:p>
            <w:pPr>
              <w:pStyle w:val="111"/>
              <w:widowControl/>
              <w:spacing w:line="360" w:lineRule="auto"/>
              <w:jc w:val="center"/>
              <w:rPr>
                <w:rFonts w:ascii="宋体" w:hAnsi="宋体" w:cs="宋体"/>
                <w:kern w:val="0"/>
                <w:sz w:val="24"/>
                <w:szCs w:val="24"/>
                <w:highlight w:val="none"/>
                <w:lang w:val="zh-CN"/>
              </w:rPr>
            </w:pPr>
            <w:r>
              <w:rPr>
                <w:rFonts w:hint="eastAsia" w:ascii="宋体" w:hAnsi="宋体" w:cs="宋体"/>
                <w:kern w:val="0"/>
                <w:sz w:val="24"/>
                <w:szCs w:val="24"/>
                <w:highlight w:val="none"/>
                <w:lang w:val="zh-CN"/>
              </w:rPr>
              <w:t>序号</w:t>
            </w:r>
          </w:p>
        </w:tc>
        <w:tc>
          <w:tcPr>
            <w:tcW w:w="1292" w:type="dxa"/>
            <w:vAlign w:val="center"/>
          </w:tcPr>
          <w:p>
            <w:pPr>
              <w:pStyle w:val="111"/>
              <w:widowControl/>
              <w:spacing w:line="360" w:lineRule="auto"/>
              <w:jc w:val="center"/>
              <w:rPr>
                <w:rFonts w:ascii="宋体" w:hAnsi="宋体" w:cs="宋体"/>
                <w:kern w:val="0"/>
                <w:sz w:val="24"/>
                <w:szCs w:val="24"/>
                <w:highlight w:val="none"/>
                <w:lang w:val="zh-CN"/>
              </w:rPr>
            </w:pPr>
            <w:r>
              <w:rPr>
                <w:rFonts w:hint="eastAsia" w:ascii="宋体" w:hAnsi="宋体" w:cs="宋体"/>
                <w:kern w:val="0"/>
                <w:sz w:val="24"/>
                <w:szCs w:val="24"/>
                <w:highlight w:val="none"/>
                <w:lang w:val="zh-CN"/>
              </w:rPr>
              <w:t>货物名称</w:t>
            </w:r>
          </w:p>
        </w:tc>
        <w:tc>
          <w:tcPr>
            <w:tcW w:w="1371" w:type="dxa"/>
            <w:vAlign w:val="center"/>
          </w:tcPr>
          <w:p>
            <w:pPr>
              <w:pStyle w:val="111"/>
              <w:widowControl/>
              <w:spacing w:line="360" w:lineRule="auto"/>
              <w:jc w:val="center"/>
              <w:rPr>
                <w:rFonts w:ascii="宋体" w:hAnsi="宋体" w:cs="宋体"/>
                <w:kern w:val="0"/>
                <w:sz w:val="24"/>
                <w:szCs w:val="24"/>
                <w:highlight w:val="none"/>
                <w:lang w:val="zh-CN"/>
              </w:rPr>
            </w:pPr>
            <w:r>
              <w:rPr>
                <w:rFonts w:hint="eastAsia" w:ascii="宋体" w:hAnsi="宋体" w:cs="宋体"/>
                <w:kern w:val="0"/>
                <w:sz w:val="24"/>
                <w:szCs w:val="24"/>
                <w:highlight w:val="none"/>
                <w:lang w:val="zh-CN"/>
              </w:rPr>
              <w:t>品牌及制造商</w:t>
            </w:r>
          </w:p>
        </w:tc>
        <w:tc>
          <w:tcPr>
            <w:tcW w:w="1930" w:type="dxa"/>
            <w:vAlign w:val="center"/>
          </w:tcPr>
          <w:p>
            <w:pPr>
              <w:pStyle w:val="111"/>
              <w:widowControl/>
              <w:spacing w:line="360" w:lineRule="auto"/>
              <w:jc w:val="center"/>
              <w:rPr>
                <w:rFonts w:ascii="宋体" w:hAnsi="宋体" w:cs="宋体"/>
                <w:kern w:val="0"/>
                <w:sz w:val="24"/>
                <w:szCs w:val="24"/>
                <w:highlight w:val="none"/>
                <w:lang w:val="zh-CN"/>
              </w:rPr>
            </w:pPr>
            <w:r>
              <w:rPr>
                <w:rFonts w:hint="eastAsia" w:ascii="宋体" w:hAnsi="宋体" w:cs="宋体"/>
                <w:kern w:val="0"/>
                <w:sz w:val="24"/>
                <w:szCs w:val="24"/>
                <w:highlight w:val="none"/>
                <w:lang w:val="zh-CN"/>
              </w:rPr>
              <w:t>规格型号</w:t>
            </w:r>
          </w:p>
        </w:tc>
        <w:tc>
          <w:tcPr>
            <w:tcW w:w="1801" w:type="dxa"/>
            <w:vAlign w:val="center"/>
          </w:tcPr>
          <w:p>
            <w:pPr>
              <w:pStyle w:val="111"/>
              <w:spacing w:line="360" w:lineRule="auto"/>
              <w:jc w:val="center"/>
              <w:rPr>
                <w:rFonts w:ascii="宋体" w:hAnsi="宋体" w:cs="宋体"/>
                <w:sz w:val="24"/>
                <w:szCs w:val="24"/>
                <w:highlight w:val="none"/>
              </w:rPr>
            </w:pPr>
            <w:r>
              <w:rPr>
                <w:rFonts w:hint="eastAsia" w:ascii="宋体" w:hAnsi="宋体" w:cs="宋体"/>
                <w:sz w:val="24"/>
                <w:szCs w:val="24"/>
                <w:highlight w:val="none"/>
              </w:rPr>
              <w:t>中国环境标志认证证书编号</w:t>
            </w:r>
          </w:p>
        </w:tc>
        <w:tc>
          <w:tcPr>
            <w:tcW w:w="1790" w:type="dxa"/>
            <w:vAlign w:val="center"/>
          </w:tcPr>
          <w:p>
            <w:pPr>
              <w:pStyle w:val="111"/>
              <w:widowControl/>
              <w:spacing w:line="360" w:lineRule="auto"/>
              <w:jc w:val="center"/>
              <w:rPr>
                <w:rFonts w:ascii="宋体" w:hAnsi="宋体" w:cs="宋体"/>
                <w:strike/>
                <w:kern w:val="0"/>
                <w:sz w:val="24"/>
                <w:szCs w:val="24"/>
                <w:highlight w:val="none"/>
                <w:lang w:val="zh-CN"/>
              </w:rPr>
            </w:pPr>
            <w:r>
              <w:rPr>
                <w:rFonts w:hint="eastAsia" w:ascii="宋体" w:hAnsi="宋体" w:cs="宋体"/>
                <w:kern w:val="0"/>
                <w:sz w:val="24"/>
                <w:szCs w:val="24"/>
                <w:highlight w:val="none"/>
                <w:lang w:val="zh-CN"/>
              </w:rPr>
              <w:t>中国环境标志认证证书有效截止日期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390" w:type="dxa"/>
            <w:vAlign w:val="center"/>
          </w:tcPr>
          <w:p>
            <w:pPr>
              <w:pStyle w:val="111"/>
              <w:widowControl/>
              <w:spacing w:line="360" w:lineRule="auto"/>
              <w:jc w:val="left"/>
              <w:rPr>
                <w:rFonts w:ascii="宋体" w:hAnsi="宋体" w:cs="宋体"/>
                <w:kern w:val="0"/>
                <w:sz w:val="24"/>
                <w:szCs w:val="24"/>
                <w:highlight w:val="none"/>
                <w:lang w:val="zh-CN"/>
              </w:rPr>
            </w:pPr>
          </w:p>
        </w:tc>
        <w:tc>
          <w:tcPr>
            <w:tcW w:w="1292" w:type="dxa"/>
            <w:vAlign w:val="center"/>
          </w:tcPr>
          <w:p>
            <w:pPr>
              <w:pStyle w:val="111"/>
              <w:widowControl/>
              <w:spacing w:line="360" w:lineRule="auto"/>
              <w:ind w:firstLine="482"/>
              <w:jc w:val="left"/>
              <w:rPr>
                <w:rFonts w:ascii="宋体" w:hAnsi="宋体" w:cs="宋体"/>
                <w:kern w:val="0"/>
                <w:sz w:val="24"/>
                <w:szCs w:val="24"/>
                <w:highlight w:val="none"/>
                <w:lang w:val="zh-CN"/>
              </w:rPr>
            </w:pPr>
          </w:p>
        </w:tc>
        <w:tc>
          <w:tcPr>
            <w:tcW w:w="1371" w:type="dxa"/>
            <w:vAlign w:val="center"/>
          </w:tcPr>
          <w:p>
            <w:pPr>
              <w:pStyle w:val="111"/>
              <w:widowControl/>
              <w:spacing w:line="360" w:lineRule="auto"/>
              <w:ind w:firstLine="482"/>
              <w:jc w:val="left"/>
              <w:rPr>
                <w:rFonts w:ascii="宋体" w:hAnsi="宋体" w:cs="宋体"/>
                <w:kern w:val="0"/>
                <w:sz w:val="24"/>
                <w:szCs w:val="24"/>
                <w:highlight w:val="none"/>
                <w:lang w:val="zh-CN"/>
              </w:rPr>
            </w:pPr>
          </w:p>
        </w:tc>
        <w:tc>
          <w:tcPr>
            <w:tcW w:w="1930" w:type="dxa"/>
            <w:vAlign w:val="center"/>
          </w:tcPr>
          <w:p>
            <w:pPr>
              <w:pStyle w:val="111"/>
              <w:widowControl/>
              <w:spacing w:line="360" w:lineRule="auto"/>
              <w:ind w:firstLine="482"/>
              <w:jc w:val="left"/>
              <w:rPr>
                <w:rFonts w:ascii="宋体" w:hAnsi="宋体" w:cs="宋体"/>
                <w:kern w:val="0"/>
                <w:sz w:val="24"/>
                <w:szCs w:val="24"/>
                <w:highlight w:val="none"/>
                <w:lang w:val="zh-CN"/>
              </w:rPr>
            </w:pPr>
          </w:p>
        </w:tc>
        <w:tc>
          <w:tcPr>
            <w:tcW w:w="1801" w:type="dxa"/>
            <w:vAlign w:val="center"/>
          </w:tcPr>
          <w:p>
            <w:pPr>
              <w:pStyle w:val="111"/>
              <w:widowControl/>
              <w:spacing w:line="360" w:lineRule="auto"/>
              <w:ind w:firstLine="482"/>
              <w:jc w:val="left"/>
              <w:rPr>
                <w:rFonts w:ascii="宋体" w:hAnsi="宋体" w:cs="宋体"/>
                <w:kern w:val="0"/>
                <w:sz w:val="24"/>
                <w:szCs w:val="24"/>
                <w:highlight w:val="none"/>
                <w:lang w:val="zh-CN"/>
              </w:rPr>
            </w:pPr>
          </w:p>
        </w:tc>
        <w:tc>
          <w:tcPr>
            <w:tcW w:w="1790" w:type="dxa"/>
            <w:vAlign w:val="center"/>
          </w:tcPr>
          <w:p>
            <w:pPr>
              <w:pStyle w:val="111"/>
              <w:widowControl/>
              <w:spacing w:line="360" w:lineRule="auto"/>
              <w:ind w:firstLine="482"/>
              <w:jc w:val="left"/>
              <w:rPr>
                <w:rFonts w:ascii="宋体" w:hAnsi="宋体" w:cs="宋体"/>
                <w:kern w:val="0"/>
                <w:sz w:val="24"/>
                <w:szCs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390" w:type="dxa"/>
            <w:vAlign w:val="center"/>
          </w:tcPr>
          <w:p>
            <w:pPr>
              <w:pStyle w:val="111"/>
              <w:widowControl/>
              <w:spacing w:line="360" w:lineRule="auto"/>
              <w:jc w:val="left"/>
              <w:rPr>
                <w:rFonts w:ascii="宋体" w:hAnsi="宋体" w:cs="宋体"/>
                <w:kern w:val="0"/>
                <w:sz w:val="24"/>
                <w:szCs w:val="24"/>
                <w:highlight w:val="none"/>
                <w:lang w:val="zh-CN"/>
              </w:rPr>
            </w:pPr>
          </w:p>
        </w:tc>
        <w:tc>
          <w:tcPr>
            <w:tcW w:w="1292" w:type="dxa"/>
            <w:vAlign w:val="center"/>
          </w:tcPr>
          <w:p>
            <w:pPr>
              <w:pStyle w:val="111"/>
              <w:widowControl/>
              <w:spacing w:line="360" w:lineRule="auto"/>
              <w:ind w:firstLine="482"/>
              <w:jc w:val="left"/>
              <w:rPr>
                <w:rFonts w:ascii="宋体" w:hAnsi="宋体" w:cs="宋体"/>
                <w:kern w:val="0"/>
                <w:sz w:val="24"/>
                <w:szCs w:val="24"/>
                <w:highlight w:val="none"/>
                <w:lang w:val="zh-CN"/>
              </w:rPr>
            </w:pPr>
          </w:p>
        </w:tc>
        <w:tc>
          <w:tcPr>
            <w:tcW w:w="1371" w:type="dxa"/>
            <w:vAlign w:val="center"/>
          </w:tcPr>
          <w:p>
            <w:pPr>
              <w:pStyle w:val="111"/>
              <w:widowControl/>
              <w:spacing w:line="360" w:lineRule="auto"/>
              <w:ind w:firstLine="482"/>
              <w:jc w:val="left"/>
              <w:rPr>
                <w:rFonts w:ascii="宋体" w:hAnsi="宋体" w:cs="宋体"/>
                <w:kern w:val="0"/>
                <w:sz w:val="24"/>
                <w:szCs w:val="24"/>
                <w:highlight w:val="none"/>
                <w:lang w:val="zh-CN"/>
              </w:rPr>
            </w:pPr>
          </w:p>
        </w:tc>
        <w:tc>
          <w:tcPr>
            <w:tcW w:w="1930" w:type="dxa"/>
            <w:vAlign w:val="center"/>
          </w:tcPr>
          <w:p>
            <w:pPr>
              <w:pStyle w:val="111"/>
              <w:widowControl/>
              <w:spacing w:line="360" w:lineRule="auto"/>
              <w:ind w:firstLine="482"/>
              <w:jc w:val="left"/>
              <w:rPr>
                <w:rFonts w:ascii="宋体" w:hAnsi="宋体" w:cs="宋体"/>
                <w:kern w:val="0"/>
                <w:sz w:val="24"/>
                <w:szCs w:val="24"/>
                <w:highlight w:val="none"/>
                <w:lang w:val="zh-CN"/>
              </w:rPr>
            </w:pPr>
          </w:p>
        </w:tc>
        <w:tc>
          <w:tcPr>
            <w:tcW w:w="1801" w:type="dxa"/>
            <w:vAlign w:val="center"/>
          </w:tcPr>
          <w:p>
            <w:pPr>
              <w:pStyle w:val="111"/>
              <w:widowControl/>
              <w:spacing w:line="360" w:lineRule="auto"/>
              <w:ind w:firstLine="482"/>
              <w:jc w:val="left"/>
              <w:rPr>
                <w:rFonts w:ascii="宋体" w:hAnsi="宋体" w:cs="宋体"/>
                <w:kern w:val="0"/>
                <w:sz w:val="24"/>
                <w:szCs w:val="24"/>
                <w:highlight w:val="none"/>
                <w:lang w:val="zh-CN"/>
              </w:rPr>
            </w:pPr>
          </w:p>
        </w:tc>
        <w:tc>
          <w:tcPr>
            <w:tcW w:w="1790" w:type="dxa"/>
            <w:vAlign w:val="center"/>
          </w:tcPr>
          <w:p>
            <w:pPr>
              <w:pStyle w:val="111"/>
              <w:widowControl/>
              <w:spacing w:line="360" w:lineRule="auto"/>
              <w:ind w:firstLine="482"/>
              <w:jc w:val="left"/>
              <w:rPr>
                <w:rFonts w:ascii="宋体" w:hAnsi="宋体" w:cs="宋体"/>
                <w:kern w:val="0"/>
                <w:sz w:val="24"/>
                <w:szCs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jc w:val="center"/>
        </w:trPr>
        <w:tc>
          <w:tcPr>
            <w:tcW w:w="390" w:type="dxa"/>
            <w:vAlign w:val="center"/>
          </w:tcPr>
          <w:p>
            <w:pPr>
              <w:pStyle w:val="111"/>
              <w:widowControl/>
              <w:spacing w:line="360" w:lineRule="auto"/>
              <w:jc w:val="left"/>
              <w:rPr>
                <w:rFonts w:ascii="宋体" w:hAnsi="宋体" w:cs="宋体"/>
                <w:kern w:val="0"/>
                <w:sz w:val="24"/>
                <w:szCs w:val="24"/>
                <w:highlight w:val="none"/>
                <w:lang w:val="zh-CN"/>
              </w:rPr>
            </w:pPr>
          </w:p>
        </w:tc>
        <w:tc>
          <w:tcPr>
            <w:tcW w:w="1292" w:type="dxa"/>
            <w:vAlign w:val="center"/>
          </w:tcPr>
          <w:p>
            <w:pPr>
              <w:pStyle w:val="111"/>
              <w:widowControl/>
              <w:spacing w:line="360" w:lineRule="auto"/>
              <w:ind w:firstLine="482"/>
              <w:jc w:val="left"/>
              <w:rPr>
                <w:rFonts w:ascii="宋体" w:hAnsi="宋体" w:cs="宋体"/>
                <w:kern w:val="0"/>
                <w:sz w:val="24"/>
                <w:szCs w:val="24"/>
                <w:highlight w:val="none"/>
                <w:lang w:val="zh-CN"/>
              </w:rPr>
            </w:pPr>
          </w:p>
        </w:tc>
        <w:tc>
          <w:tcPr>
            <w:tcW w:w="1371" w:type="dxa"/>
            <w:vAlign w:val="center"/>
          </w:tcPr>
          <w:p>
            <w:pPr>
              <w:pStyle w:val="111"/>
              <w:widowControl/>
              <w:spacing w:line="360" w:lineRule="auto"/>
              <w:ind w:firstLine="482"/>
              <w:jc w:val="left"/>
              <w:rPr>
                <w:rFonts w:ascii="宋体" w:hAnsi="宋体" w:cs="宋体"/>
                <w:kern w:val="0"/>
                <w:sz w:val="24"/>
                <w:szCs w:val="24"/>
                <w:highlight w:val="none"/>
                <w:lang w:val="zh-CN"/>
              </w:rPr>
            </w:pPr>
          </w:p>
        </w:tc>
        <w:tc>
          <w:tcPr>
            <w:tcW w:w="1930" w:type="dxa"/>
            <w:vAlign w:val="center"/>
          </w:tcPr>
          <w:p>
            <w:pPr>
              <w:pStyle w:val="111"/>
              <w:widowControl/>
              <w:spacing w:line="360" w:lineRule="auto"/>
              <w:ind w:firstLine="482"/>
              <w:jc w:val="left"/>
              <w:rPr>
                <w:rFonts w:ascii="宋体" w:hAnsi="宋体" w:cs="宋体"/>
                <w:kern w:val="0"/>
                <w:sz w:val="24"/>
                <w:szCs w:val="24"/>
                <w:highlight w:val="none"/>
                <w:lang w:val="zh-CN"/>
              </w:rPr>
            </w:pPr>
          </w:p>
        </w:tc>
        <w:tc>
          <w:tcPr>
            <w:tcW w:w="1801" w:type="dxa"/>
            <w:vAlign w:val="center"/>
          </w:tcPr>
          <w:p>
            <w:pPr>
              <w:pStyle w:val="111"/>
              <w:widowControl/>
              <w:spacing w:line="360" w:lineRule="auto"/>
              <w:ind w:firstLine="482"/>
              <w:jc w:val="left"/>
              <w:rPr>
                <w:rFonts w:ascii="宋体" w:hAnsi="宋体" w:cs="宋体"/>
                <w:kern w:val="0"/>
                <w:sz w:val="24"/>
                <w:szCs w:val="24"/>
                <w:highlight w:val="none"/>
                <w:lang w:val="zh-CN"/>
              </w:rPr>
            </w:pPr>
          </w:p>
        </w:tc>
        <w:tc>
          <w:tcPr>
            <w:tcW w:w="1790" w:type="dxa"/>
            <w:vAlign w:val="center"/>
          </w:tcPr>
          <w:p>
            <w:pPr>
              <w:pStyle w:val="111"/>
              <w:widowControl/>
              <w:spacing w:line="360" w:lineRule="auto"/>
              <w:ind w:firstLine="482"/>
              <w:jc w:val="left"/>
              <w:rPr>
                <w:rFonts w:ascii="宋体" w:hAnsi="宋体" w:cs="宋体"/>
                <w:kern w:val="0"/>
                <w:sz w:val="24"/>
                <w:szCs w:val="24"/>
                <w:highlight w:val="none"/>
                <w:lang w:val="zh-CN"/>
              </w:rPr>
            </w:pPr>
          </w:p>
        </w:tc>
      </w:tr>
    </w:tbl>
    <w:p>
      <w:pPr>
        <w:pStyle w:val="111"/>
        <w:widowControl/>
        <w:spacing w:line="360" w:lineRule="auto"/>
        <w:jc w:val="left"/>
        <w:rPr>
          <w:rFonts w:ascii="宋体" w:hAnsi="宋体" w:cs="宋体"/>
          <w:kern w:val="0"/>
          <w:sz w:val="24"/>
          <w:szCs w:val="24"/>
          <w:highlight w:val="none"/>
          <w:lang w:val="zh-CN"/>
        </w:rPr>
      </w:pPr>
      <w:r>
        <w:rPr>
          <w:rFonts w:hint="eastAsia" w:ascii="宋体" w:hAnsi="宋体" w:cs="宋体"/>
          <w:kern w:val="0"/>
          <w:sz w:val="24"/>
          <w:szCs w:val="24"/>
          <w:highlight w:val="none"/>
          <w:lang w:val="zh-CN"/>
        </w:rPr>
        <w:t>投标人（企业电子章）：</w:t>
      </w:r>
    </w:p>
    <w:p>
      <w:pPr>
        <w:pStyle w:val="111"/>
        <w:widowControl/>
        <w:spacing w:line="360" w:lineRule="auto"/>
        <w:jc w:val="left"/>
        <w:rPr>
          <w:rFonts w:ascii="宋体" w:hAnsi="宋体" w:cs="宋体"/>
          <w:bCs/>
          <w:kern w:val="0"/>
          <w:sz w:val="24"/>
          <w:szCs w:val="24"/>
          <w:highlight w:val="none"/>
          <w:lang w:val="zh-CN"/>
        </w:rPr>
      </w:pPr>
      <w:r>
        <w:rPr>
          <w:rFonts w:hint="eastAsia" w:ascii="宋体" w:hAnsi="宋体" w:cs="宋体"/>
          <w:bCs/>
          <w:kern w:val="0"/>
          <w:sz w:val="24"/>
          <w:szCs w:val="24"/>
          <w:highlight w:val="none"/>
          <w:lang w:val="zh-CN"/>
        </w:rPr>
        <w:t>注：</w:t>
      </w:r>
    </w:p>
    <w:p>
      <w:pPr>
        <w:pStyle w:val="111"/>
        <w:widowControl/>
        <w:spacing w:line="360" w:lineRule="auto"/>
        <w:jc w:val="left"/>
        <w:rPr>
          <w:rFonts w:ascii="宋体" w:hAnsi="宋体" w:cs="宋体"/>
          <w:bCs/>
          <w:kern w:val="0"/>
          <w:sz w:val="24"/>
          <w:szCs w:val="24"/>
          <w:highlight w:val="none"/>
          <w:lang w:val="zh-CN"/>
        </w:rPr>
      </w:pPr>
      <w:r>
        <w:rPr>
          <w:rFonts w:hint="eastAsia" w:ascii="宋体" w:hAnsi="宋体" w:cs="宋体"/>
          <w:bCs/>
          <w:kern w:val="0"/>
          <w:sz w:val="24"/>
          <w:szCs w:val="24"/>
          <w:highlight w:val="none"/>
          <w:lang w:val="zh-CN"/>
        </w:rPr>
        <w:t>1、投标人提供的产品属于节能产品、环境标志产品的，应提供相关证明资料(上述节能产品、环境标志产品认证证书复印件)，并如实填写本表，未按此要求提供证明资料或填写本表的，评审时不予认可、不予加分。</w:t>
      </w:r>
    </w:p>
    <w:p>
      <w:pPr>
        <w:pStyle w:val="111"/>
        <w:widowControl/>
        <w:spacing w:line="360" w:lineRule="auto"/>
        <w:jc w:val="left"/>
        <w:rPr>
          <w:rFonts w:ascii="宋体" w:hAnsi="宋体" w:cs="宋体"/>
          <w:bCs/>
          <w:kern w:val="0"/>
          <w:sz w:val="24"/>
          <w:szCs w:val="24"/>
          <w:highlight w:val="none"/>
          <w:lang w:val="zh-CN"/>
        </w:rPr>
      </w:pPr>
      <w:r>
        <w:rPr>
          <w:rFonts w:hint="eastAsia" w:ascii="宋体" w:hAnsi="宋体" w:cs="宋体"/>
          <w:bCs/>
          <w:kern w:val="0"/>
          <w:sz w:val="24"/>
          <w:szCs w:val="24"/>
          <w:highlight w:val="none"/>
          <w:lang w:val="zh-CN"/>
        </w:rPr>
        <w:t>2、证书应是由《市场监管总局关于发布参与实施政府采购节能产品、环境标志产品认证机构名录的公告》的认证机构出具的、处于有效期之内的。</w:t>
      </w:r>
    </w:p>
    <w:p>
      <w:pPr>
        <w:pStyle w:val="111"/>
        <w:widowControl/>
        <w:spacing w:line="360" w:lineRule="auto"/>
        <w:jc w:val="left"/>
        <w:rPr>
          <w:rFonts w:ascii="宋体" w:hAnsi="宋体" w:cs="宋体"/>
          <w:bCs/>
          <w:kern w:val="0"/>
          <w:sz w:val="24"/>
          <w:szCs w:val="24"/>
          <w:highlight w:val="none"/>
          <w:lang w:val="zh-CN"/>
        </w:rPr>
      </w:pPr>
      <w:r>
        <w:rPr>
          <w:rFonts w:hint="eastAsia" w:ascii="宋体" w:hAnsi="宋体" w:cs="宋体"/>
          <w:bCs/>
          <w:kern w:val="0"/>
          <w:sz w:val="24"/>
          <w:szCs w:val="24"/>
          <w:highlight w:val="none"/>
          <w:lang w:val="zh-CN"/>
        </w:rPr>
        <w:t>3、投标人可根据需要自行增减表格行数。</w:t>
      </w:r>
    </w:p>
    <w:p>
      <w:pPr>
        <w:pStyle w:val="111"/>
        <w:widowControl/>
        <w:spacing w:line="360" w:lineRule="auto"/>
        <w:jc w:val="left"/>
        <w:rPr>
          <w:rFonts w:ascii="宋体" w:hAnsi="宋体" w:cs="宋体"/>
          <w:bCs/>
          <w:kern w:val="0"/>
          <w:sz w:val="24"/>
          <w:szCs w:val="24"/>
          <w:highlight w:val="none"/>
          <w:lang w:val="zh-CN"/>
        </w:rPr>
      </w:pPr>
      <w:r>
        <w:rPr>
          <w:rFonts w:hint="eastAsia" w:ascii="宋体" w:hAnsi="宋体" w:cs="宋体"/>
          <w:bCs/>
          <w:kern w:val="0"/>
          <w:sz w:val="24"/>
          <w:szCs w:val="24"/>
          <w:highlight w:val="none"/>
          <w:lang w:val="zh-CN"/>
        </w:rPr>
        <w:t>4、相关证明资料附后。</w:t>
      </w:r>
    </w:p>
    <w:p>
      <w:pPr>
        <w:pStyle w:val="111"/>
        <w:widowControl/>
        <w:spacing w:line="360" w:lineRule="auto"/>
        <w:jc w:val="left"/>
        <w:rPr>
          <w:rFonts w:ascii="宋体" w:hAnsi="宋体" w:cs="宋体"/>
          <w:bCs/>
          <w:kern w:val="0"/>
          <w:sz w:val="24"/>
          <w:szCs w:val="24"/>
          <w:highlight w:val="none"/>
          <w:lang w:val="zh-CN"/>
        </w:rPr>
      </w:pPr>
      <w:r>
        <w:rPr>
          <w:rFonts w:hint="eastAsia" w:ascii="宋体" w:hAnsi="宋体" w:cs="宋体"/>
          <w:bCs/>
          <w:kern w:val="0"/>
          <w:sz w:val="24"/>
          <w:szCs w:val="24"/>
          <w:highlight w:val="none"/>
          <w:lang w:val="zh-CN"/>
        </w:rPr>
        <w:t>附：</w:t>
      </w:r>
    </w:p>
    <w:p>
      <w:pPr>
        <w:pStyle w:val="111"/>
        <w:widowControl/>
        <w:spacing w:line="360" w:lineRule="auto"/>
        <w:jc w:val="left"/>
        <w:rPr>
          <w:rFonts w:ascii="宋体" w:hAnsi="宋体" w:cs="宋体"/>
          <w:spacing w:val="14"/>
          <w:kern w:val="0"/>
          <w:sz w:val="24"/>
          <w:szCs w:val="24"/>
          <w:highlight w:val="none"/>
          <w:lang w:val="zh-CN"/>
        </w:rPr>
      </w:pPr>
      <w:r>
        <w:rPr>
          <w:rFonts w:hint="eastAsia" w:ascii="宋体" w:hAnsi="宋体" w:cs="宋体"/>
          <w:bCs/>
          <w:kern w:val="0"/>
          <w:sz w:val="24"/>
          <w:szCs w:val="24"/>
          <w:highlight w:val="none"/>
          <w:lang w:val="zh-CN"/>
        </w:rPr>
        <w:t>1、投标产品的《中国节能产品认证证书》</w:t>
      </w:r>
      <w:r>
        <w:rPr>
          <w:rFonts w:hint="eastAsia" w:ascii="宋体" w:hAnsi="宋体" w:cs="宋体"/>
          <w:spacing w:val="14"/>
          <w:kern w:val="0"/>
          <w:sz w:val="24"/>
          <w:szCs w:val="24"/>
          <w:highlight w:val="none"/>
          <w:lang w:val="zh-CN"/>
        </w:rPr>
        <w:t>（应明显标画出对应的产品型号）</w:t>
      </w:r>
    </w:p>
    <w:p>
      <w:pPr>
        <w:pStyle w:val="111"/>
        <w:spacing w:line="360" w:lineRule="auto"/>
        <w:jc w:val="left"/>
        <w:rPr>
          <w:rFonts w:ascii="宋体" w:hAnsi="宋体" w:cs="宋体"/>
          <w:sz w:val="24"/>
          <w:szCs w:val="24"/>
          <w:highlight w:val="none"/>
        </w:rPr>
      </w:pPr>
      <w:r>
        <w:rPr>
          <w:rFonts w:hint="eastAsia" w:ascii="宋体" w:hAnsi="宋体" w:cs="宋体"/>
          <w:bCs/>
          <w:sz w:val="24"/>
          <w:szCs w:val="24"/>
          <w:highlight w:val="none"/>
        </w:rPr>
        <w:t>2、投标产品的《中国环境标志产品认证证书》</w:t>
      </w:r>
      <w:r>
        <w:rPr>
          <w:rFonts w:hint="eastAsia" w:ascii="宋体" w:hAnsi="宋体" w:cs="宋体"/>
          <w:spacing w:val="14"/>
          <w:sz w:val="24"/>
          <w:szCs w:val="24"/>
          <w:highlight w:val="none"/>
        </w:rPr>
        <w:t>（应明显标画出对应的产品型号）</w:t>
      </w:r>
    </w:p>
    <w:p>
      <w:pPr>
        <w:pStyle w:val="112"/>
        <w:widowControl/>
        <w:spacing w:line="360" w:lineRule="auto"/>
        <w:rPr>
          <w:rFonts w:ascii="宋体" w:hAnsi="宋体" w:cs="宋体"/>
          <w:bCs/>
          <w:spacing w:val="10"/>
          <w:kern w:val="0"/>
          <w:sz w:val="24"/>
          <w:szCs w:val="24"/>
          <w:highlight w:val="none"/>
        </w:rPr>
      </w:pPr>
      <w:r>
        <w:rPr>
          <w:rFonts w:hint="eastAsia" w:ascii="宋体" w:hAnsi="宋体" w:cs="宋体"/>
          <w:sz w:val="24"/>
          <w:szCs w:val="24"/>
          <w:highlight w:val="none"/>
        </w:rPr>
        <w:br w:type="page"/>
      </w:r>
    </w:p>
    <w:p>
      <w:pPr>
        <w:pStyle w:val="113"/>
        <w:spacing w:line="360" w:lineRule="auto"/>
        <w:rPr>
          <w:rFonts w:ascii="宋体" w:hAnsi="宋体" w:eastAsia="宋体" w:cs="宋体"/>
          <w:sz w:val="24"/>
          <w:highlight w:val="none"/>
        </w:rPr>
      </w:pPr>
      <w:bookmarkStart w:id="197" w:name="_Toc256000071"/>
      <w:r>
        <w:rPr>
          <w:rFonts w:hint="eastAsia" w:ascii="宋体" w:hAnsi="宋体" w:eastAsia="宋体" w:cs="宋体"/>
          <w:sz w:val="24"/>
          <w:highlight w:val="none"/>
        </w:rPr>
        <w:t>十四、项目实施方案</w:t>
      </w:r>
      <w:bookmarkEnd w:id="197"/>
    </w:p>
    <w:p>
      <w:pPr>
        <w:pStyle w:val="114"/>
        <w:spacing w:line="360" w:lineRule="auto"/>
        <w:jc w:val="center"/>
        <w:rPr>
          <w:rFonts w:ascii="宋体" w:hAnsi="宋体" w:cs="宋体"/>
          <w:bCs/>
          <w:spacing w:val="10"/>
          <w:kern w:val="0"/>
          <w:sz w:val="24"/>
          <w:szCs w:val="24"/>
          <w:highlight w:val="none"/>
        </w:rPr>
      </w:pPr>
      <w:r>
        <w:rPr>
          <w:rFonts w:hint="eastAsia" w:ascii="宋体" w:hAnsi="宋体" w:cs="宋体"/>
          <w:bCs/>
          <w:spacing w:val="10"/>
          <w:kern w:val="0"/>
          <w:sz w:val="24"/>
          <w:szCs w:val="24"/>
          <w:highlight w:val="none"/>
        </w:rPr>
        <w:t>项目实施方案</w:t>
      </w:r>
    </w:p>
    <w:p>
      <w:pPr>
        <w:pStyle w:val="114"/>
        <w:spacing w:line="360" w:lineRule="auto"/>
        <w:jc w:val="center"/>
        <w:rPr>
          <w:rFonts w:ascii="宋体" w:hAnsi="宋体" w:cs="宋体"/>
          <w:bCs/>
          <w:spacing w:val="10"/>
          <w:kern w:val="0"/>
          <w:sz w:val="24"/>
          <w:szCs w:val="24"/>
          <w:highlight w:val="none"/>
        </w:rPr>
      </w:pPr>
    </w:p>
    <w:p>
      <w:pPr>
        <w:pStyle w:val="114"/>
        <w:spacing w:line="360" w:lineRule="auto"/>
        <w:ind w:firstLine="420"/>
        <w:rPr>
          <w:rFonts w:ascii="宋体" w:hAnsi="宋体" w:cs="宋体"/>
          <w:bCs/>
          <w:spacing w:val="10"/>
          <w:kern w:val="0"/>
          <w:sz w:val="24"/>
          <w:szCs w:val="24"/>
          <w:highlight w:val="none"/>
        </w:rPr>
      </w:pPr>
      <w:r>
        <w:rPr>
          <w:rFonts w:hint="eastAsia" w:ascii="宋体" w:hAnsi="宋体" w:cs="宋体"/>
          <w:bCs/>
          <w:spacing w:val="10"/>
          <w:kern w:val="0"/>
          <w:sz w:val="24"/>
          <w:szCs w:val="24"/>
          <w:highlight w:val="none"/>
        </w:rPr>
        <w:t>投标人根据招标项目要求及自身情况自行填报。</w:t>
      </w:r>
    </w:p>
    <w:p>
      <w:pPr>
        <w:pStyle w:val="114"/>
        <w:spacing w:line="360" w:lineRule="auto"/>
        <w:rPr>
          <w:rFonts w:ascii="宋体" w:hAnsi="宋体" w:cs="宋体"/>
          <w:bCs/>
          <w:spacing w:val="10"/>
          <w:kern w:val="0"/>
          <w:sz w:val="24"/>
          <w:szCs w:val="24"/>
          <w:highlight w:val="none"/>
        </w:rPr>
      </w:pPr>
    </w:p>
    <w:p>
      <w:pPr>
        <w:pStyle w:val="114"/>
        <w:spacing w:line="360" w:lineRule="auto"/>
        <w:rPr>
          <w:rFonts w:ascii="宋体" w:hAnsi="宋体" w:cs="宋体"/>
          <w:bCs/>
          <w:spacing w:val="10"/>
          <w:kern w:val="0"/>
          <w:sz w:val="24"/>
          <w:szCs w:val="24"/>
          <w:highlight w:val="none"/>
        </w:rPr>
      </w:pPr>
    </w:p>
    <w:p>
      <w:pPr>
        <w:pStyle w:val="114"/>
        <w:spacing w:line="360" w:lineRule="auto"/>
        <w:rPr>
          <w:rFonts w:ascii="宋体" w:hAnsi="宋体" w:cs="宋体"/>
          <w:kern w:val="0"/>
          <w:sz w:val="24"/>
          <w:szCs w:val="24"/>
          <w:highlight w:val="none"/>
        </w:rPr>
      </w:pPr>
      <w:r>
        <w:rPr>
          <w:rFonts w:hint="eastAsia" w:ascii="宋体" w:hAnsi="宋体" w:cs="宋体"/>
          <w:bCs/>
          <w:spacing w:val="10"/>
          <w:kern w:val="0"/>
          <w:sz w:val="24"/>
          <w:szCs w:val="24"/>
          <w:highlight w:val="none"/>
        </w:rPr>
        <w:t>投标人（企业电子章）：</w:t>
      </w:r>
    </w:p>
    <w:p>
      <w:pPr>
        <w:pStyle w:val="115"/>
        <w:spacing w:line="360" w:lineRule="auto"/>
        <w:rPr>
          <w:rFonts w:ascii="宋体" w:hAnsi="宋体" w:eastAsia="宋体" w:cs="宋体"/>
          <w:sz w:val="24"/>
          <w:highlight w:val="none"/>
        </w:rPr>
      </w:pPr>
      <w:r>
        <w:rPr>
          <w:rFonts w:hint="eastAsia" w:ascii="宋体" w:hAnsi="宋体" w:eastAsia="宋体" w:cs="宋体"/>
          <w:sz w:val="24"/>
          <w:highlight w:val="none"/>
        </w:rPr>
        <w:br w:type="page"/>
      </w:r>
      <w:bookmarkStart w:id="198" w:name="_Toc256000072"/>
      <w:r>
        <w:rPr>
          <w:rFonts w:hint="eastAsia" w:ascii="宋体" w:hAnsi="宋体" w:eastAsia="宋体" w:cs="宋体"/>
          <w:sz w:val="24"/>
          <w:highlight w:val="none"/>
        </w:rPr>
        <w:t>十五、售后服务计划</w:t>
      </w:r>
      <w:bookmarkEnd w:id="198"/>
    </w:p>
    <w:p>
      <w:pPr>
        <w:pStyle w:val="116"/>
        <w:spacing w:line="360" w:lineRule="auto"/>
        <w:jc w:val="center"/>
        <w:rPr>
          <w:rFonts w:ascii="宋体" w:hAnsi="宋体" w:cs="宋体"/>
          <w:bCs/>
          <w:spacing w:val="10"/>
          <w:kern w:val="0"/>
          <w:sz w:val="24"/>
          <w:szCs w:val="24"/>
          <w:highlight w:val="none"/>
        </w:rPr>
      </w:pPr>
      <w:r>
        <w:rPr>
          <w:rFonts w:hint="eastAsia" w:ascii="宋体" w:hAnsi="宋体" w:cs="宋体"/>
          <w:bCs/>
          <w:spacing w:val="10"/>
          <w:kern w:val="0"/>
          <w:sz w:val="24"/>
          <w:szCs w:val="24"/>
          <w:highlight w:val="none"/>
        </w:rPr>
        <w:t>售后服务计划</w:t>
      </w:r>
    </w:p>
    <w:p>
      <w:pPr>
        <w:pStyle w:val="116"/>
        <w:spacing w:line="360" w:lineRule="auto"/>
        <w:jc w:val="center"/>
        <w:rPr>
          <w:rFonts w:ascii="宋体" w:hAnsi="宋体" w:cs="宋体"/>
          <w:bCs/>
          <w:spacing w:val="10"/>
          <w:kern w:val="0"/>
          <w:sz w:val="24"/>
          <w:szCs w:val="24"/>
          <w:highlight w:val="none"/>
        </w:rPr>
      </w:pPr>
    </w:p>
    <w:p>
      <w:pPr>
        <w:pStyle w:val="116"/>
        <w:spacing w:line="360" w:lineRule="auto"/>
        <w:ind w:firstLine="420"/>
        <w:rPr>
          <w:rFonts w:ascii="宋体" w:hAnsi="宋体" w:cs="宋体"/>
          <w:bCs/>
          <w:spacing w:val="10"/>
          <w:kern w:val="0"/>
          <w:sz w:val="24"/>
          <w:szCs w:val="24"/>
          <w:highlight w:val="none"/>
        </w:rPr>
      </w:pPr>
      <w:r>
        <w:rPr>
          <w:rFonts w:hint="eastAsia" w:ascii="宋体" w:hAnsi="宋体" w:cs="宋体"/>
          <w:bCs/>
          <w:spacing w:val="10"/>
          <w:kern w:val="0"/>
          <w:sz w:val="24"/>
          <w:szCs w:val="24"/>
          <w:highlight w:val="none"/>
        </w:rPr>
        <w:t>1、详细说明售后服务的内容、形式、质保期，解决质量或操作问题的响应时间、应急问题解决时间等。</w:t>
      </w:r>
    </w:p>
    <w:p>
      <w:pPr>
        <w:pStyle w:val="116"/>
        <w:spacing w:line="360" w:lineRule="auto"/>
        <w:ind w:firstLine="420"/>
        <w:rPr>
          <w:rFonts w:ascii="宋体" w:hAnsi="宋体" w:cs="宋体"/>
          <w:bCs/>
          <w:spacing w:val="10"/>
          <w:kern w:val="0"/>
          <w:sz w:val="24"/>
          <w:szCs w:val="24"/>
          <w:highlight w:val="none"/>
        </w:rPr>
      </w:pPr>
      <w:r>
        <w:rPr>
          <w:rFonts w:hint="eastAsia" w:ascii="宋体" w:hAnsi="宋体" w:cs="宋体"/>
          <w:bCs/>
          <w:spacing w:val="10"/>
          <w:kern w:val="0"/>
          <w:sz w:val="24"/>
          <w:szCs w:val="24"/>
          <w:highlight w:val="none"/>
        </w:rPr>
        <w:t>2、售后维修单位名称、地点、联系方式。</w:t>
      </w:r>
    </w:p>
    <w:p>
      <w:pPr>
        <w:pStyle w:val="116"/>
        <w:spacing w:line="360" w:lineRule="auto"/>
        <w:ind w:firstLine="420"/>
        <w:rPr>
          <w:rFonts w:ascii="宋体" w:hAnsi="宋体" w:cs="宋体"/>
          <w:bCs/>
          <w:spacing w:val="10"/>
          <w:kern w:val="0"/>
          <w:sz w:val="24"/>
          <w:szCs w:val="24"/>
          <w:highlight w:val="none"/>
        </w:rPr>
      </w:pPr>
      <w:r>
        <w:rPr>
          <w:rFonts w:hint="eastAsia" w:ascii="宋体" w:hAnsi="宋体" w:cs="宋体"/>
          <w:bCs/>
          <w:spacing w:val="10"/>
          <w:kern w:val="0"/>
          <w:sz w:val="24"/>
          <w:szCs w:val="24"/>
          <w:highlight w:val="none"/>
        </w:rPr>
        <w:t>3、售后维修技术设备和人员等情况。</w:t>
      </w:r>
    </w:p>
    <w:p>
      <w:pPr>
        <w:pStyle w:val="116"/>
        <w:spacing w:line="360" w:lineRule="auto"/>
        <w:ind w:firstLine="420"/>
        <w:rPr>
          <w:rFonts w:ascii="宋体" w:hAnsi="宋体" w:cs="宋体"/>
          <w:bCs/>
          <w:spacing w:val="10"/>
          <w:kern w:val="0"/>
          <w:sz w:val="24"/>
          <w:szCs w:val="24"/>
          <w:highlight w:val="none"/>
        </w:rPr>
      </w:pPr>
      <w:r>
        <w:rPr>
          <w:rFonts w:hint="eastAsia" w:ascii="宋体" w:hAnsi="宋体" w:cs="宋体"/>
          <w:bCs/>
          <w:spacing w:val="10"/>
          <w:kern w:val="0"/>
          <w:sz w:val="24"/>
          <w:szCs w:val="24"/>
          <w:highlight w:val="none"/>
        </w:rPr>
        <w:t>4、技术培训、质量保证措施。</w:t>
      </w:r>
    </w:p>
    <w:p>
      <w:pPr>
        <w:pStyle w:val="116"/>
        <w:spacing w:line="360" w:lineRule="auto"/>
        <w:ind w:firstLine="420"/>
        <w:rPr>
          <w:rFonts w:ascii="宋体" w:hAnsi="宋体" w:cs="宋体"/>
          <w:bCs/>
          <w:spacing w:val="10"/>
          <w:kern w:val="0"/>
          <w:sz w:val="24"/>
          <w:szCs w:val="24"/>
          <w:highlight w:val="none"/>
        </w:rPr>
      </w:pPr>
      <w:r>
        <w:rPr>
          <w:rFonts w:hint="eastAsia" w:ascii="宋体" w:hAnsi="宋体" w:cs="宋体"/>
          <w:bCs/>
          <w:spacing w:val="10"/>
          <w:kern w:val="0"/>
          <w:sz w:val="24"/>
          <w:szCs w:val="24"/>
          <w:highlight w:val="none"/>
        </w:rPr>
        <w:t>5、为本次招标项目所提供的其他相关免费物品或服务。</w:t>
      </w:r>
    </w:p>
    <w:p>
      <w:pPr>
        <w:pStyle w:val="116"/>
        <w:spacing w:line="360" w:lineRule="auto"/>
        <w:ind w:firstLine="420"/>
        <w:rPr>
          <w:rFonts w:ascii="宋体" w:hAnsi="宋体" w:cs="宋体"/>
          <w:bCs/>
          <w:spacing w:val="10"/>
          <w:kern w:val="0"/>
          <w:sz w:val="24"/>
          <w:szCs w:val="24"/>
          <w:highlight w:val="none"/>
        </w:rPr>
      </w:pPr>
      <w:r>
        <w:rPr>
          <w:rFonts w:hint="eastAsia" w:ascii="宋体" w:hAnsi="宋体" w:cs="宋体"/>
          <w:bCs/>
          <w:spacing w:val="10"/>
          <w:kern w:val="0"/>
          <w:sz w:val="24"/>
          <w:szCs w:val="24"/>
          <w:highlight w:val="none"/>
        </w:rPr>
        <w:t>6、提供原厂标准的易损件、消耗材料价格清单及折扣率，保修期届满后维修的价格清单及折扣率。</w:t>
      </w:r>
    </w:p>
    <w:p>
      <w:pPr>
        <w:pStyle w:val="116"/>
        <w:spacing w:line="360" w:lineRule="auto"/>
        <w:ind w:firstLine="420"/>
        <w:rPr>
          <w:rFonts w:ascii="宋体" w:hAnsi="宋体" w:cs="宋体"/>
          <w:bCs/>
          <w:spacing w:val="10"/>
          <w:kern w:val="0"/>
          <w:sz w:val="24"/>
          <w:szCs w:val="24"/>
          <w:highlight w:val="none"/>
        </w:rPr>
      </w:pPr>
      <w:r>
        <w:rPr>
          <w:rFonts w:hint="eastAsia" w:ascii="宋体" w:hAnsi="宋体" w:cs="宋体"/>
          <w:bCs/>
          <w:spacing w:val="10"/>
          <w:kern w:val="0"/>
          <w:sz w:val="24"/>
          <w:szCs w:val="24"/>
          <w:highlight w:val="none"/>
        </w:rPr>
        <w:t>7、投标人认为需要说明的其他服务承诺。</w:t>
      </w:r>
    </w:p>
    <w:p>
      <w:pPr>
        <w:pStyle w:val="116"/>
        <w:spacing w:line="360" w:lineRule="auto"/>
        <w:rPr>
          <w:rFonts w:ascii="宋体" w:hAnsi="宋体" w:cs="宋体"/>
          <w:bCs/>
          <w:spacing w:val="10"/>
          <w:kern w:val="0"/>
          <w:sz w:val="24"/>
          <w:szCs w:val="24"/>
          <w:highlight w:val="none"/>
        </w:rPr>
      </w:pPr>
    </w:p>
    <w:p>
      <w:pPr>
        <w:pStyle w:val="116"/>
        <w:spacing w:line="360" w:lineRule="auto"/>
        <w:rPr>
          <w:rFonts w:ascii="宋体" w:hAnsi="宋体" w:cs="宋体"/>
          <w:bCs/>
          <w:spacing w:val="10"/>
          <w:kern w:val="0"/>
          <w:sz w:val="24"/>
          <w:szCs w:val="24"/>
          <w:highlight w:val="none"/>
        </w:rPr>
      </w:pPr>
    </w:p>
    <w:p>
      <w:pPr>
        <w:pStyle w:val="116"/>
        <w:spacing w:line="360" w:lineRule="auto"/>
        <w:rPr>
          <w:rFonts w:ascii="宋体" w:hAnsi="宋体" w:cs="宋体"/>
          <w:bCs/>
          <w:spacing w:val="10"/>
          <w:kern w:val="0"/>
          <w:sz w:val="24"/>
          <w:szCs w:val="24"/>
          <w:highlight w:val="none"/>
        </w:rPr>
      </w:pPr>
    </w:p>
    <w:p>
      <w:pPr>
        <w:pStyle w:val="116"/>
        <w:spacing w:line="360" w:lineRule="auto"/>
        <w:rPr>
          <w:rFonts w:ascii="宋体" w:hAnsi="宋体" w:cs="宋体"/>
          <w:bCs/>
          <w:spacing w:val="10"/>
          <w:kern w:val="0"/>
          <w:sz w:val="24"/>
          <w:szCs w:val="24"/>
          <w:highlight w:val="none"/>
        </w:rPr>
      </w:pPr>
    </w:p>
    <w:p>
      <w:pPr>
        <w:pStyle w:val="116"/>
        <w:spacing w:line="360" w:lineRule="auto"/>
        <w:rPr>
          <w:rFonts w:ascii="宋体" w:hAnsi="宋体" w:cs="宋体"/>
          <w:bCs/>
          <w:spacing w:val="10"/>
          <w:kern w:val="0"/>
          <w:sz w:val="24"/>
          <w:szCs w:val="24"/>
          <w:highlight w:val="none"/>
        </w:rPr>
      </w:pPr>
    </w:p>
    <w:p>
      <w:pPr>
        <w:pStyle w:val="116"/>
        <w:spacing w:line="360" w:lineRule="auto"/>
        <w:rPr>
          <w:rFonts w:ascii="宋体" w:hAnsi="宋体" w:cs="宋体"/>
          <w:bCs/>
          <w:spacing w:val="10"/>
          <w:kern w:val="0"/>
          <w:sz w:val="24"/>
          <w:szCs w:val="24"/>
          <w:highlight w:val="none"/>
        </w:rPr>
      </w:pPr>
    </w:p>
    <w:p>
      <w:pPr>
        <w:pStyle w:val="116"/>
        <w:spacing w:line="360" w:lineRule="auto"/>
        <w:rPr>
          <w:rFonts w:ascii="宋体" w:hAnsi="宋体" w:cs="宋体"/>
          <w:bCs/>
          <w:spacing w:val="10"/>
          <w:kern w:val="0"/>
          <w:sz w:val="24"/>
          <w:szCs w:val="24"/>
          <w:highlight w:val="none"/>
        </w:rPr>
      </w:pPr>
    </w:p>
    <w:p>
      <w:pPr>
        <w:pStyle w:val="116"/>
        <w:spacing w:line="360" w:lineRule="auto"/>
        <w:rPr>
          <w:rFonts w:ascii="宋体" w:hAnsi="宋体" w:cs="宋体"/>
          <w:bCs/>
          <w:spacing w:val="10"/>
          <w:kern w:val="0"/>
          <w:sz w:val="24"/>
          <w:szCs w:val="24"/>
          <w:highlight w:val="none"/>
        </w:rPr>
      </w:pPr>
    </w:p>
    <w:p>
      <w:pPr>
        <w:pStyle w:val="116"/>
        <w:spacing w:line="360" w:lineRule="auto"/>
        <w:rPr>
          <w:rFonts w:ascii="宋体" w:hAnsi="宋体" w:cs="宋体"/>
          <w:bCs/>
          <w:spacing w:val="10"/>
          <w:kern w:val="0"/>
          <w:sz w:val="24"/>
          <w:szCs w:val="24"/>
          <w:highlight w:val="none"/>
        </w:rPr>
      </w:pPr>
    </w:p>
    <w:p>
      <w:pPr>
        <w:pStyle w:val="116"/>
        <w:spacing w:line="360" w:lineRule="auto"/>
        <w:rPr>
          <w:rFonts w:ascii="宋体" w:hAnsi="宋体" w:cs="宋体"/>
          <w:bCs/>
          <w:spacing w:val="10"/>
          <w:kern w:val="0"/>
          <w:sz w:val="24"/>
          <w:szCs w:val="24"/>
          <w:highlight w:val="none"/>
        </w:rPr>
      </w:pPr>
    </w:p>
    <w:p>
      <w:pPr>
        <w:pStyle w:val="116"/>
        <w:spacing w:line="360" w:lineRule="auto"/>
        <w:rPr>
          <w:rFonts w:ascii="宋体" w:hAnsi="宋体" w:cs="宋体"/>
          <w:bCs/>
          <w:spacing w:val="10"/>
          <w:kern w:val="0"/>
          <w:sz w:val="24"/>
          <w:szCs w:val="24"/>
          <w:highlight w:val="none"/>
        </w:rPr>
      </w:pPr>
    </w:p>
    <w:p>
      <w:pPr>
        <w:pStyle w:val="116"/>
        <w:spacing w:line="360" w:lineRule="auto"/>
        <w:rPr>
          <w:rFonts w:ascii="宋体" w:hAnsi="宋体" w:cs="宋体"/>
          <w:bCs/>
          <w:spacing w:val="10"/>
          <w:kern w:val="0"/>
          <w:sz w:val="24"/>
          <w:szCs w:val="24"/>
          <w:highlight w:val="none"/>
        </w:rPr>
      </w:pPr>
    </w:p>
    <w:p>
      <w:pPr>
        <w:pStyle w:val="116"/>
        <w:spacing w:line="360" w:lineRule="auto"/>
        <w:rPr>
          <w:rFonts w:ascii="宋体" w:hAnsi="宋体" w:cs="宋体"/>
          <w:bCs/>
          <w:spacing w:val="10"/>
          <w:kern w:val="0"/>
          <w:sz w:val="24"/>
          <w:szCs w:val="24"/>
          <w:highlight w:val="none"/>
        </w:rPr>
      </w:pPr>
    </w:p>
    <w:p>
      <w:pPr>
        <w:pStyle w:val="116"/>
        <w:spacing w:line="360" w:lineRule="auto"/>
        <w:rPr>
          <w:rFonts w:ascii="宋体" w:hAnsi="宋体" w:cs="宋体"/>
          <w:bCs/>
          <w:spacing w:val="10"/>
          <w:kern w:val="0"/>
          <w:sz w:val="24"/>
          <w:szCs w:val="24"/>
          <w:highlight w:val="none"/>
        </w:rPr>
      </w:pPr>
    </w:p>
    <w:p>
      <w:pPr>
        <w:pStyle w:val="116"/>
        <w:spacing w:line="360" w:lineRule="auto"/>
        <w:rPr>
          <w:rFonts w:ascii="宋体" w:hAnsi="宋体" w:cs="宋体"/>
          <w:bCs/>
          <w:spacing w:val="10"/>
          <w:kern w:val="0"/>
          <w:sz w:val="24"/>
          <w:szCs w:val="24"/>
          <w:highlight w:val="none"/>
        </w:rPr>
      </w:pPr>
    </w:p>
    <w:p>
      <w:pPr>
        <w:pStyle w:val="116"/>
        <w:spacing w:line="360" w:lineRule="auto"/>
        <w:rPr>
          <w:rFonts w:ascii="宋体" w:hAnsi="宋体" w:cs="宋体"/>
          <w:bCs/>
          <w:spacing w:val="10"/>
          <w:kern w:val="0"/>
          <w:sz w:val="24"/>
          <w:szCs w:val="24"/>
          <w:highlight w:val="none"/>
        </w:rPr>
      </w:pPr>
    </w:p>
    <w:p>
      <w:pPr>
        <w:pStyle w:val="116"/>
        <w:spacing w:line="360" w:lineRule="auto"/>
        <w:rPr>
          <w:rFonts w:ascii="宋体" w:hAnsi="宋体" w:cs="宋体"/>
          <w:bCs/>
          <w:spacing w:val="10"/>
          <w:kern w:val="0"/>
          <w:sz w:val="24"/>
          <w:szCs w:val="24"/>
          <w:highlight w:val="none"/>
        </w:rPr>
      </w:pPr>
    </w:p>
    <w:p>
      <w:pPr>
        <w:pStyle w:val="116"/>
        <w:spacing w:line="360" w:lineRule="auto"/>
        <w:rPr>
          <w:rFonts w:ascii="宋体" w:hAnsi="宋体" w:cs="宋体"/>
          <w:bCs/>
          <w:spacing w:val="10"/>
          <w:kern w:val="0"/>
          <w:sz w:val="24"/>
          <w:szCs w:val="24"/>
          <w:highlight w:val="none"/>
        </w:rPr>
      </w:pPr>
    </w:p>
    <w:p>
      <w:pPr>
        <w:pStyle w:val="116"/>
        <w:spacing w:line="360" w:lineRule="auto"/>
        <w:rPr>
          <w:rFonts w:ascii="宋体" w:hAnsi="宋体" w:cs="宋体"/>
          <w:bCs/>
          <w:spacing w:val="10"/>
          <w:kern w:val="0"/>
          <w:sz w:val="24"/>
          <w:szCs w:val="24"/>
          <w:highlight w:val="none"/>
        </w:rPr>
      </w:pPr>
    </w:p>
    <w:p>
      <w:pPr>
        <w:pStyle w:val="116"/>
        <w:spacing w:line="360" w:lineRule="auto"/>
        <w:rPr>
          <w:rFonts w:ascii="宋体" w:hAnsi="宋体" w:cs="宋体"/>
          <w:bCs/>
          <w:spacing w:val="10"/>
          <w:kern w:val="0"/>
          <w:sz w:val="24"/>
          <w:szCs w:val="24"/>
          <w:highlight w:val="none"/>
        </w:rPr>
      </w:pPr>
    </w:p>
    <w:p>
      <w:pPr>
        <w:pStyle w:val="116"/>
        <w:spacing w:line="360" w:lineRule="auto"/>
        <w:ind w:firstLine="420"/>
        <w:jc w:val="center"/>
        <w:rPr>
          <w:rFonts w:ascii="宋体" w:hAnsi="宋体" w:cs="宋体"/>
          <w:b/>
          <w:spacing w:val="10"/>
          <w:kern w:val="0"/>
          <w:sz w:val="24"/>
          <w:szCs w:val="24"/>
          <w:highlight w:val="none"/>
        </w:rPr>
      </w:pPr>
      <w:r>
        <w:rPr>
          <w:rFonts w:hint="eastAsia" w:ascii="宋体" w:hAnsi="宋体" w:cs="宋体"/>
          <w:b/>
          <w:spacing w:val="10"/>
          <w:kern w:val="0"/>
          <w:sz w:val="24"/>
          <w:szCs w:val="24"/>
          <w:highlight w:val="none"/>
        </w:rPr>
        <w:t>1、备品、备件报价一览表</w:t>
      </w:r>
    </w:p>
    <w:p>
      <w:pPr>
        <w:spacing w:line="360" w:lineRule="auto"/>
        <w:rPr>
          <w:rFonts w:ascii="宋体" w:hAnsi="宋体" w:eastAsia="宋体" w:cs="宋体"/>
          <w:highlight w:val="none"/>
        </w:rPr>
      </w:pPr>
    </w:p>
    <w:tbl>
      <w:tblPr>
        <w:tblStyle w:val="117"/>
        <w:tblW w:w="9371" w:type="dxa"/>
        <w:tblInd w:w="1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76"/>
        <w:gridCol w:w="2542"/>
        <w:gridCol w:w="1230"/>
        <w:gridCol w:w="913"/>
        <w:gridCol w:w="1257"/>
        <w:gridCol w:w="1258"/>
        <w:gridCol w:w="129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1" w:hRule="atLeast"/>
        </w:trPr>
        <w:tc>
          <w:tcPr>
            <w:tcW w:w="876" w:type="dxa"/>
            <w:tcBorders>
              <w:top w:val="single" w:color="000000" w:sz="12" w:space="0"/>
              <w:left w:val="single" w:color="000000" w:sz="12" w:space="0"/>
            </w:tcBorders>
            <w:vAlign w:val="center"/>
          </w:tcPr>
          <w:p>
            <w:pPr>
              <w:pStyle w:val="45"/>
              <w:spacing w:line="360" w:lineRule="auto"/>
              <w:jc w:val="center"/>
              <w:rPr>
                <w:sz w:val="24"/>
                <w:szCs w:val="24"/>
                <w:highlight w:val="none"/>
              </w:rPr>
            </w:pPr>
            <w:r>
              <w:rPr>
                <w:rFonts w:hint="eastAsia"/>
                <w:spacing w:val="-10"/>
                <w:sz w:val="24"/>
                <w:szCs w:val="24"/>
                <w:highlight w:val="none"/>
              </w:rPr>
              <w:t>序号</w:t>
            </w:r>
          </w:p>
        </w:tc>
        <w:tc>
          <w:tcPr>
            <w:tcW w:w="2542" w:type="dxa"/>
            <w:tcBorders>
              <w:top w:val="single" w:color="000000" w:sz="12" w:space="0"/>
            </w:tcBorders>
            <w:vAlign w:val="center"/>
          </w:tcPr>
          <w:p>
            <w:pPr>
              <w:pStyle w:val="45"/>
              <w:spacing w:line="360" w:lineRule="auto"/>
              <w:jc w:val="center"/>
              <w:rPr>
                <w:sz w:val="24"/>
                <w:szCs w:val="24"/>
                <w:highlight w:val="none"/>
              </w:rPr>
            </w:pPr>
            <w:r>
              <w:rPr>
                <w:rFonts w:hint="eastAsia"/>
                <w:spacing w:val="-11"/>
                <w:sz w:val="24"/>
                <w:szCs w:val="24"/>
                <w:highlight w:val="none"/>
              </w:rPr>
              <w:t>名称</w:t>
            </w:r>
          </w:p>
        </w:tc>
        <w:tc>
          <w:tcPr>
            <w:tcW w:w="1230" w:type="dxa"/>
            <w:tcBorders>
              <w:top w:val="single" w:color="000000" w:sz="12" w:space="0"/>
            </w:tcBorders>
            <w:vAlign w:val="center"/>
          </w:tcPr>
          <w:p>
            <w:pPr>
              <w:pStyle w:val="45"/>
              <w:spacing w:line="360" w:lineRule="auto"/>
              <w:jc w:val="center"/>
              <w:rPr>
                <w:sz w:val="24"/>
                <w:szCs w:val="24"/>
                <w:highlight w:val="none"/>
              </w:rPr>
            </w:pPr>
            <w:r>
              <w:rPr>
                <w:rFonts w:hint="eastAsia"/>
                <w:spacing w:val="-12"/>
                <w:sz w:val="24"/>
                <w:szCs w:val="24"/>
                <w:highlight w:val="none"/>
              </w:rPr>
              <w:t>型号</w:t>
            </w:r>
          </w:p>
        </w:tc>
        <w:tc>
          <w:tcPr>
            <w:tcW w:w="913" w:type="dxa"/>
            <w:tcBorders>
              <w:top w:val="single" w:color="000000" w:sz="12" w:space="0"/>
            </w:tcBorders>
            <w:vAlign w:val="center"/>
          </w:tcPr>
          <w:p>
            <w:pPr>
              <w:pStyle w:val="45"/>
              <w:spacing w:line="360" w:lineRule="auto"/>
              <w:jc w:val="center"/>
              <w:rPr>
                <w:sz w:val="24"/>
                <w:szCs w:val="24"/>
                <w:highlight w:val="none"/>
              </w:rPr>
            </w:pPr>
            <w:r>
              <w:rPr>
                <w:rFonts w:hint="eastAsia"/>
                <w:spacing w:val="-10"/>
                <w:sz w:val="24"/>
                <w:szCs w:val="24"/>
                <w:highlight w:val="none"/>
              </w:rPr>
              <w:t>单位</w:t>
            </w:r>
          </w:p>
        </w:tc>
        <w:tc>
          <w:tcPr>
            <w:tcW w:w="1257" w:type="dxa"/>
            <w:tcBorders>
              <w:top w:val="single" w:color="000000" w:sz="12" w:space="0"/>
            </w:tcBorders>
            <w:vAlign w:val="center"/>
          </w:tcPr>
          <w:p>
            <w:pPr>
              <w:pStyle w:val="45"/>
              <w:spacing w:line="360" w:lineRule="auto"/>
              <w:jc w:val="center"/>
              <w:rPr>
                <w:sz w:val="24"/>
                <w:szCs w:val="24"/>
                <w:highlight w:val="none"/>
              </w:rPr>
            </w:pPr>
            <w:r>
              <w:rPr>
                <w:rFonts w:hint="eastAsia"/>
                <w:spacing w:val="-10"/>
                <w:sz w:val="24"/>
                <w:szCs w:val="24"/>
                <w:highlight w:val="none"/>
              </w:rPr>
              <w:t>单价</w:t>
            </w:r>
          </w:p>
        </w:tc>
        <w:tc>
          <w:tcPr>
            <w:tcW w:w="1258" w:type="dxa"/>
            <w:tcBorders>
              <w:top w:val="single" w:color="000000" w:sz="12" w:space="0"/>
            </w:tcBorders>
            <w:vAlign w:val="center"/>
          </w:tcPr>
          <w:p>
            <w:pPr>
              <w:pStyle w:val="45"/>
              <w:spacing w:line="360" w:lineRule="auto"/>
              <w:jc w:val="center"/>
              <w:rPr>
                <w:sz w:val="24"/>
                <w:szCs w:val="24"/>
                <w:highlight w:val="none"/>
              </w:rPr>
            </w:pPr>
            <w:r>
              <w:rPr>
                <w:rFonts w:hint="eastAsia"/>
                <w:spacing w:val="-14"/>
                <w:sz w:val="24"/>
                <w:szCs w:val="24"/>
                <w:highlight w:val="none"/>
              </w:rPr>
              <w:t>品牌</w:t>
            </w:r>
          </w:p>
        </w:tc>
        <w:tc>
          <w:tcPr>
            <w:tcW w:w="1295" w:type="dxa"/>
            <w:tcBorders>
              <w:top w:val="single" w:color="000000" w:sz="12" w:space="0"/>
              <w:right w:val="single" w:color="000000" w:sz="12" w:space="0"/>
            </w:tcBorders>
            <w:vAlign w:val="center"/>
          </w:tcPr>
          <w:p>
            <w:pPr>
              <w:pStyle w:val="45"/>
              <w:spacing w:line="360" w:lineRule="auto"/>
              <w:jc w:val="center"/>
              <w:rPr>
                <w:sz w:val="24"/>
                <w:szCs w:val="24"/>
                <w:highlight w:val="none"/>
              </w:rPr>
            </w:pPr>
            <w:r>
              <w:rPr>
                <w:rFonts w:hint="eastAsia"/>
                <w:spacing w:val="-5"/>
                <w:sz w:val="24"/>
                <w:szCs w:val="24"/>
                <w:highlight w:val="none"/>
              </w:rPr>
              <w:t>产地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14" w:hRule="atLeast"/>
        </w:trPr>
        <w:tc>
          <w:tcPr>
            <w:tcW w:w="876" w:type="dxa"/>
            <w:tcBorders>
              <w:left w:val="single" w:color="000000" w:sz="12" w:space="0"/>
            </w:tcBorders>
            <w:vAlign w:val="center"/>
          </w:tcPr>
          <w:p>
            <w:pPr>
              <w:pStyle w:val="45"/>
              <w:spacing w:line="360" w:lineRule="auto"/>
              <w:jc w:val="center"/>
              <w:rPr>
                <w:sz w:val="24"/>
                <w:szCs w:val="24"/>
                <w:highlight w:val="none"/>
              </w:rPr>
            </w:pPr>
            <w:r>
              <w:rPr>
                <w:rFonts w:hint="eastAsia"/>
                <w:position w:val="-4"/>
                <w:sz w:val="24"/>
                <w:szCs w:val="24"/>
                <w:highlight w:val="none"/>
              </w:rPr>
              <w:t>一</w:t>
            </w:r>
          </w:p>
        </w:tc>
        <w:tc>
          <w:tcPr>
            <w:tcW w:w="2542" w:type="dxa"/>
            <w:vAlign w:val="center"/>
          </w:tcPr>
          <w:p>
            <w:pPr>
              <w:pStyle w:val="45"/>
              <w:spacing w:line="360" w:lineRule="auto"/>
              <w:jc w:val="center"/>
              <w:rPr>
                <w:spacing w:val="-11"/>
                <w:sz w:val="24"/>
                <w:szCs w:val="24"/>
                <w:highlight w:val="none"/>
              </w:rPr>
            </w:pPr>
            <w:r>
              <w:rPr>
                <w:rFonts w:hint="eastAsia"/>
                <w:spacing w:val="-11"/>
                <w:sz w:val="24"/>
                <w:szCs w:val="24"/>
                <w:highlight w:val="none"/>
              </w:rPr>
              <w:t>随机备品备件</w:t>
            </w:r>
          </w:p>
        </w:tc>
        <w:tc>
          <w:tcPr>
            <w:tcW w:w="1230" w:type="dxa"/>
            <w:vAlign w:val="center"/>
          </w:tcPr>
          <w:p>
            <w:pPr>
              <w:spacing w:line="360" w:lineRule="auto"/>
              <w:jc w:val="center"/>
              <w:rPr>
                <w:rFonts w:ascii="宋体" w:hAnsi="宋体" w:eastAsia="宋体" w:cs="宋体"/>
                <w:highlight w:val="none"/>
              </w:rPr>
            </w:pPr>
          </w:p>
        </w:tc>
        <w:tc>
          <w:tcPr>
            <w:tcW w:w="913" w:type="dxa"/>
            <w:vAlign w:val="center"/>
          </w:tcPr>
          <w:p>
            <w:pPr>
              <w:spacing w:line="360" w:lineRule="auto"/>
              <w:jc w:val="center"/>
              <w:rPr>
                <w:rFonts w:ascii="宋体" w:hAnsi="宋体" w:eastAsia="宋体" w:cs="宋体"/>
                <w:highlight w:val="none"/>
              </w:rPr>
            </w:pPr>
          </w:p>
        </w:tc>
        <w:tc>
          <w:tcPr>
            <w:tcW w:w="1257" w:type="dxa"/>
            <w:vAlign w:val="center"/>
          </w:tcPr>
          <w:p>
            <w:pPr>
              <w:spacing w:line="360" w:lineRule="auto"/>
              <w:jc w:val="center"/>
              <w:rPr>
                <w:rFonts w:ascii="宋体" w:hAnsi="宋体" w:eastAsia="宋体" w:cs="宋体"/>
                <w:highlight w:val="none"/>
              </w:rPr>
            </w:pPr>
          </w:p>
        </w:tc>
        <w:tc>
          <w:tcPr>
            <w:tcW w:w="1258" w:type="dxa"/>
            <w:vAlign w:val="center"/>
          </w:tcPr>
          <w:p>
            <w:pPr>
              <w:spacing w:line="360" w:lineRule="auto"/>
              <w:jc w:val="center"/>
              <w:rPr>
                <w:rFonts w:ascii="宋体" w:hAnsi="宋体" w:eastAsia="宋体" w:cs="宋体"/>
                <w:highlight w:val="none"/>
              </w:rPr>
            </w:pPr>
          </w:p>
        </w:tc>
        <w:tc>
          <w:tcPr>
            <w:tcW w:w="1295" w:type="dxa"/>
            <w:tcBorders>
              <w:right w:val="single" w:color="000000" w:sz="12" w:space="0"/>
            </w:tcBorders>
            <w:vAlign w:val="center"/>
          </w:tcPr>
          <w:p>
            <w:pPr>
              <w:spacing w:line="360" w:lineRule="auto"/>
              <w:jc w:val="center"/>
              <w:rPr>
                <w:rFonts w:ascii="宋体" w:hAnsi="宋体" w:eastAsia="宋体" w:cs="宋体"/>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8" w:hRule="atLeast"/>
        </w:trPr>
        <w:tc>
          <w:tcPr>
            <w:tcW w:w="876" w:type="dxa"/>
            <w:tcBorders>
              <w:left w:val="single" w:color="000000" w:sz="12" w:space="0"/>
            </w:tcBorders>
            <w:vAlign w:val="center"/>
          </w:tcPr>
          <w:p>
            <w:pPr>
              <w:pStyle w:val="45"/>
              <w:spacing w:line="360" w:lineRule="auto"/>
              <w:jc w:val="center"/>
              <w:rPr>
                <w:sz w:val="24"/>
                <w:szCs w:val="24"/>
                <w:highlight w:val="none"/>
              </w:rPr>
            </w:pPr>
            <w:r>
              <w:rPr>
                <w:rFonts w:hint="eastAsia"/>
                <w:sz w:val="24"/>
                <w:szCs w:val="24"/>
                <w:highlight w:val="none"/>
              </w:rPr>
              <w:t>1</w:t>
            </w:r>
          </w:p>
        </w:tc>
        <w:tc>
          <w:tcPr>
            <w:tcW w:w="2542" w:type="dxa"/>
            <w:vAlign w:val="center"/>
          </w:tcPr>
          <w:p>
            <w:pPr>
              <w:spacing w:line="360" w:lineRule="auto"/>
              <w:jc w:val="center"/>
              <w:rPr>
                <w:rFonts w:ascii="宋体" w:hAnsi="宋体" w:eastAsia="宋体" w:cs="宋体"/>
                <w:spacing w:val="-11"/>
                <w:highlight w:val="none"/>
                <w:lang w:eastAsia="en-US"/>
              </w:rPr>
            </w:pPr>
          </w:p>
        </w:tc>
        <w:tc>
          <w:tcPr>
            <w:tcW w:w="1230" w:type="dxa"/>
            <w:vAlign w:val="center"/>
          </w:tcPr>
          <w:p>
            <w:pPr>
              <w:spacing w:line="360" w:lineRule="auto"/>
              <w:jc w:val="center"/>
              <w:rPr>
                <w:rFonts w:ascii="宋体" w:hAnsi="宋体" w:eastAsia="宋体" w:cs="宋体"/>
                <w:highlight w:val="none"/>
              </w:rPr>
            </w:pPr>
          </w:p>
        </w:tc>
        <w:tc>
          <w:tcPr>
            <w:tcW w:w="913" w:type="dxa"/>
            <w:vAlign w:val="center"/>
          </w:tcPr>
          <w:p>
            <w:pPr>
              <w:spacing w:line="360" w:lineRule="auto"/>
              <w:jc w:val="center"/>
              <w:rPr>
                <w:rFonts w:ascii="宋体" w:hAnsi="宋体" w:eastAsia="宋体" w:cs="宋体"/>
                <w:highlight w:val="none"/>
              </w:rPr>
            </w:pPr>
          </w:p>
        </w:tc>
        <w:tc>
          <w:tcPr>
            <w:tcW w:w="1257" w:type="dxa"/>
            <w:vAlign w:val="center"/>
          </w:tcPr>
          <w:p>
            <w:pPr>
              <w:spacing w:line="360" w:lineRule="auto"/>
              <w:jc w:val="center"/>
              <w:rPr>
                <w:rFonts w:ascii="宋体" w:hAnsi="宋体" w:eastAsia="宋体" w:cs="宋体"/>
                <w:highlight w:val="none"/>
              </w:rPr>
            </w:pPr>
          </w:p>
        </w:tc>
        <w:tc>
          <w:tcPr>
            <w:tcW w:w="1258" w:type="dxa"/>
            <w:vAlign w:val="center"/>
          </w:tcPr>
          <w:p>
            <w:pPr>
              <w:spacing w:line="360" w:lineRule="auto"/>
              <w:jc w:val="center"/>
              <w:rPr>
                <w:rFonts w:ascii="宋体" w:hAnsi="宋体" w:eastAsia="宋体" w:cs="宋体"/>
                <w:highlight w:val="none"/>
              </w:rPr>
            </w:pPr>
          </w:p>
        </w:tc>
        <w:tc>
          <w:tcPr>
            <w:tcW w:w="1295" w:type="dxa"/>
            <w:tcBorders>
              <w:right w:val="single" w:color="000000" w:sz="12" w:space="0"/>
            </w:tcBorders>
            <w:vAlign w:val="center"/>
          </w:tcPr>
          <w:p>
            <w:pPr>
              <w:spacing w:line="360" w:lineRule="auto"/>
              <w:jc w:val="center"/>
              <w:rPr>
                <w:rFonts w:ascii="宋体" w:hAnsi="宋体" w:eastAsia="宋体" w:cs="宋体"/>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14" w:hRule="atLeast"/>
        </w:trPr>
        <w:tc>
          <w:tcPr>
            <w:tcW w:w="876" w:type="dxa"/>
            <w:tcBorders>
              <w:left w:val="single" w:color="000000" w:sz="12" w:space="0"/>
            </w:tcBorders>
            <w:vAlign w:val="center"/>
          </w:tcPr>
          <w:p>
            <w:pPr>
              <w:pStyle w:val="45"/>
              <w:spacing w:line="360" w:lineRule="auto"/>
              <w:jc w:val="center"/>
              <w:rPr>
                <w:sz w:val="24"/>
                <w:szCs w:val="24"/>
                <w:highlight w:val="none"/>
              </w:rPr>
            </w:pPr>
            <w:r>
              <w:rPr>
                <w:rFonts w:hint="eastAsia"/>
                <w:sz w:val="24"/>
                <w:szCs w:val="24"/>
                <w:highlight w:val="none"/>
              </w:rPr>
              <w:t>2</w:t>
            </w:r>
          </w:p>
        </w:tc>
        <w:tc>
          <w:tcPr>
            <w:tcW w:w="2542" w:type="dxa"/>
            <w:vAlign w:val="center"/>
          </w:tcPr>
          <w:p>
            <w:pPr>
              <w:spacing w:line="360" w:lineRule="auto"/>
              <w:jc w:val="center"/>
              <w:rPr>
                <w:rFonts w:ascii="宋体" w:hAnsi="宋体" w:eastAsia="宋体" w:cs="宋体"/>
                <w:spacing w:val="-11"/>
                <w:highlight w:val="none"/>
                <w:lang w:eastAsia="en-US"/>
              </w:rPr>
            </w:pPr>
          </w:p>
        </w:tc>
        <w:tc>
          <w:tcPr>
            <w:tcW w:w="1230" w:type="dxa"/>
            <w:vAlign w:val="center"/>
          </w:tcPr>
          <w:p>
            <w:pPr>
              <w:spacing w:line="360" w:lineRule="auto"/>
              <w:jc w:val="center"/>
              <w:rPr>
                <w:rFonts w:ascii="宋体" w:hAnsi="宋体" w:eastAsia="宋体" w:cs="宋体"/>
                <w:highlight w:val="none"/>
              </w:rPr>
            </w:pPr>
          </w:p>
        </w:tc>
        <w:tc>
          <w:tcPr>
            <w:tcW w:w="913" w:type="dxa"/>
            <w:vAlign w:val="center"/>
          </w:tcPr>
          <w:p>
            <w:pPr>
              <w:spacing w:line="360" w:lineRule="auto"/>
              <w:jc w:val="center"/>
              <w:rPr>
                <w:rFonts w:ascii="宋体" w:hAnsi="宋体" w:eastAsia="宋体" w:cs="宋体"/>
                <w:highlight w:val="none"/>
              </w:rPr>
            </w:pPr>
          </w:p>
        </w:tc>
        <w:tc>
          <w:tcPr>
            <w:tcW w:w="1257" w:type="dxa"/>
            <w:vAlign w:val="center"/>
          </w:tcPr>
          <w:p>
            <w:pPr>
              <w:spacing w:line="360" w:lineRule="auto"/>
              <w:jc w:val="center"/>
              <w:rPr>
                <w:rFonts w:ascii="宋体" w:hAnsi="宋体" w:eastAsia="宋体" w:cs="宋体"/>
                <w:highlight w:val="none"/>
              </w:rPr>
            </w:pPr>
          </w:p>
        </w:tc>
        <w:tc>
          <w:tcPr>
            <w:tcW w:w="1258" w:type="dxa"/>
            <w:vAlign w:val="center"/>
          </w:tcPr>
          <w:p>
            <w:pPr>
              <w:spacing w:line="360" w:lineRule="auto"/>
              <w:jc w:val="center"/>
              <w:rPr>
                <w:rFonts w:ascii="宋体" w:hAnsi="宋体" w:eastAsia="宋体" w:cs="宋体"/>
                <w:highlight w:val="none"/>
              </w:rPr>
            </w:pPr>
          </w:p>
        </w:tc>
        <w:tc>
          <w:tcPr>
            <w:tcW w:w="1295" w:type="dxa"/>
            <w:tcBorders>
              <w:right w:val="single" w:color="000000" w:sz="12" w:space="0"/>
            </w:tcBorders>
            <w:vAlign w:val="center"/>
          </w:tcPr>
          <w:p>
            <w:pPr>
              <w:spacing w:line="360" w:lineRule="auto"/>
              <w:jc w:val="center"/>
              <w:rPr>
                <w:rFonts w:ascii="宋体" w:hAnsi="宋体" w:eastAsia="宋体" w:cs="宋体"/>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8" w:hRule="atLeast"/>
        </w:trPr>
        <w:tc>
          <w:tcPr>
            <w:tcW w:w="876" w:type="dxa"/>
            <w:tcBorders>
              <w:left w:val="single" w:color="000000" w:sz="12" w:space="0"/>
            </w:tcBorders>
            <w:vAlign w:val="center"/>
          </w:tcPr>
          <w:p>
            <w:pPr>
              <w:pStyle w:val="45"/>
              <w:spacing w:line="360" w:lineRule="auto"/>
              <w:jc w:val="center"/>
              <w:rPr>
                <w:sz w:val="24"/>
                <w:szCs w:val="24"/>
                <w:highlight w:val="none"/>
              </w:rPr>
            </w:pPr>
            <w:r>
              <w:rPr>
                <w:rFonts w:hint="eastAsia"/>
                <w:sz w:val="24"/>
                <w:szCs w:val="24"/>
                <w:highlight w:val="none"/>
              </w:rPr>
              <w:t>3</w:t>
            </w:r>
          </w:p>
        </w:tc>
        <w:tc>
          <w:tcPr>
            <w:tcW w:w="2542" w:type="dxa"/>
            <w:vAlign w:val="center"/>
          </w:tcPr>
          <w:p>
            <w:pPr>
              <w:spacing w:line="360" w:lineRule="auto"/>
              <w:jc w:val="center"/>
              <w:rPr>
                <w:rFonts w:ascii="宋体" w:hAnsi="宋体" w:eastAsia="宋体" w:cs="宋体"/>
                <w:spacing w:val="-11"/>
                <w:highlight w:val="none"/>
                <w:lang w:eastAsia="en-US"/>
              </w:rPr>
            </w:pPr>
          </w:p>
        </w:tc>
        <w:tc>
          <w:tcPr>
            <w:tcW w:w="1230" w:type="dxa"/>
            <w:vAlign w:val="center"/>
          </w:tcPr>
          <w:p>
            <w:pPr>
              <w:spacing w:line="360" w:lineRule="auto"/>
              <w:jc w:val="center"/>
              <w:rPr>
                <w:rFonts w:ascii="宋体" w:hAnsi="宋体" w:eastAsia="宋体" w:cs="宋体"/>
                <w:highlight w:val="none"/>
              </w:rPr>
            </w:pPr>
          </w:p>
        </w:tc>
        <w:tc>
          <w:tcPr>
            <w:tcW w:w="913" w:type="dxa"/>
            <w:vAlign w:val="center"/>
          </w:tcPr>
          <w:p>
            <w:pPr>
              <w:spacing w:line="360" w:lineRule="auto"/>
              <w:jc w:val="center"/>
              <w:rPr>
                <w:rFonts w:ascii="宋体" w:hAnsi="宋体" w:eastAsia="宋体" w:cs="宋体"/>
                <w:highlight w:val="none"/>
              </w:rPr>
            </w:pPr>
          </w:p>
        </w:tc>
        <w:tc>
          <w:tcPr>
            <w:tcW w:w="1257" w:type="dxa"/>
            <w:vAlign w:val="center"/>
          </w:tcPr>
          <w:p>
            <w:pPr>
              <w:spacing w:line="360" w:lineRule="auto"/>
              <w:jc w:val="center"/>
              <w:rPr>
                <w:rFonts w:ascii="宋体" w:hAnsi="宋体" w:eastAsia="宋体" w:cs="宋体"/>
                <w:highlight w:val="none"/>
              </w:rPr>
            </w:pPr>
          </w:p>
        </w:tc>
        <w:tc>
          <w:tcPr>
            <w:tcW w:w="1258" w:type="dxa"/>
            <w:vAlign w:val="center"/>
          </w:tcPr>
          <w:p>
            <w:pPr>
              <w:spacing w:line="360" w:lineRule="auto"/>
              <w:jc w:val="center"/>
              <w:rPr>
                <w:rFonts w:ascii="宋体" w:hAnsi="宋体" w:eastAsia="宋体" w:cs="宋体"/>
                <w:highlight w:val="none"/>
              </w:rPr>
            </w:pPr>
          </w:p>
        </w:tc>
        <w:tc>
          <w:tcPr>
            <w:tcW w:w="1295" w:type="dxa"/>
            <w:tcBorders>
              <w:right w:val="single" w:color="000000" w:sz="12" w:space="0"/>
            </w:tcBorders>
            <w:vAlign w:val="center"/>
          </w:tcPr>
          <w:p>
            <w:pPr>
              <w:spacing w:line="360" w:lineRule="auto"/>
              <w:jc w:val="center"/>
              <w:rPr>
                <w:rFonts w:ascii="宋体" w:hAnsi="宋体" w:eastAsia="宋体" w:cs="宋体"/>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14" w:hRule="atLeast"/>
        </w:trPr>
        <w:tc>
          <w:tcPr>
            <w:tcW w:w="876" w:type="dxa"/>
            <w:tcBorders>
              <w:left w:val="single" w:color="000000" w:sz="12" w:space="0"/>
            </w:tcBorders>
            <w:vAlign w:val="center"/>
          </w:tcPr>
          <w:p>
            <w:pPr>
              <w:pStyle w:val="45"/>
              <w:spacing w:line="360" w:lineRule="auto"/>
              <w:jc w:val="center"/>
              <w:rPr>
                <w:sz w:val="24"/>
                <w:szCs w:val="24"/>
                <w:highlight w:val="none"/>
              </w:rPr>
            </w:pPr>
            <w:r>
              <w:rPr>
                <w:rFonts w:hint="eastAsia"/>
                <w:sz w:val="24"/>
                <w:szCs w:val="24"/>
                <w:highlight w:val="none"/>
              </w:rPr>
              <w:t>4</w:t>
            </w:r>
          </w:p>
        </w:tc>
        <w:tc>
          <w:tcPr>
            <w:tcW w:w="2542" w:type="dxa"/>
            <w:vAlign w:val="center"/>
          </w:tcPr>
          <w:p>
            <w:pPr>
              <w:spacing w:line="360" w:lineRule="auto"/>
              <w:jc w:val="center"/>
              <w:rPr>
                <w:rFonts w:ascii="宋体" w:hAnsi="宋体" w:eastAsia="宋体" w:cs="宋体"/>
                <w:spacing w:val="-11"/>
                <w:highlight w:val="none"/>
                <w:lang w:eastAsia="en-US"/>
              </w:rPr>
            </w:pPr>
          </w:p>
        </w:tc>
        <w:tc>
          <w:tcPr>
            <w:tcW w:w="1230" w:type="dxa"/>
            <w:vAlign w:val="center"/>
          </w:tcPr>
          <w:p>
            <w:pPr>
              <w:spacing w:line="360" w:lineRule="auto"/>
              <w:jc w:val="center"/>
              <w:rPr>
                <w:rFonts w:ascii="宋体" w:hAnsi="宋体" w:eastAsia="宋体" w:cs="宋体"/>
                <w:highlight w:val="none"/>
              </w:rPr>
            </w:pPr>
          </w:p>
        </w:tc>
        <w:tc>
          <w:tcPr>
            <w:tcW w:w="913" w:type="dxa"/>
            <w:vAlign w:val="center"/>
          </w:tcPr>
          <w:p>
            <w:pPr>
              <w:spacing w:line="360" w:lineRule="auto"/>
              <w:jc w:val="center"/>
              <w:rPr>
                <w:rFonts w:ascii="宋体" w:hAnsi="宋体" w:eastAsia="宋体" w:cs="宋体"/>
                <w:highlight w:val="none"/>
              </w:rPr>
            </w:pPr>
          </w:p>
        </w:tc>
        <w:tc>
          <w:tcPr>
            <w:tcW w:w="1257" w:type="dxa"/>
            <w:vAlign w:val="center"/>
          </w:tcPr>
          <w:p>
            <w:pPr>
              <w:spacing w:line="360" w:lineRule="auto"/>
              <w:jc w:val="center"/>
              <w:rPr>
                <w:rFonts w:ascii="宋体" w:hAnsi="宋体" w:eastAsia="宋体" w:cs="宋体"/>
                <w:highlight w:val="none"/>
              </w:rPr>
            </w:pPr>
          </w:p>
        </w:tc>
        <w:tc>
          <w:tcPr>
            <w:tcW w:w="1258" w:type="dxa"/>
            <w:vAlign w:val="center"/>
          </w:tcPr>
          <w:p>
            <w:pPr>
              <w:spacing w:line="360" w:lineRule="auto"/>
              <w:jc w:val="center"/>
              <w:rPr>
                <w:rFonts w:ascii="宋体" w:hAnsi="宋体" w:eastAsia="宋体" w:cs="宋体"/>
                <w:highlight w:val="none"/>
              </w:rPr>
            </w:pPr>
          </w:p>
        </w:tc>
        <w:tc>
          <w:tcPr>
            <w:tcW w:w="1295" w:type="dxa"/>
            <w:tcBorders>
              <w:right w:val="single" w:color="000000" w:sz="12" w:space="0"/>
            </w:tcBorders>
            <w:vAlign w:val="center"/>
          </w:tcPr>
          <w:p>
            <w:pPr>
              <w:spacing w:line="360" w:lineRule="auto"/>
              <w:jc w:val="center"/>
              <w:rPr>
                <w:rFonts w:ascii="宋体" w:hAnsi="宋体" w:eastAsia="宋体" w:cs="宋体"/>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9" w:hRule="atLeast"/>
        </w:trPr>
        <w:tc>
          <w:tcPr>
            <w:tcW w:w="876" w:type="dxa"/>
            <w:tcBorders>
              <w:left w:val="single" w:color="000000" w:sz="12" w:space="0"/>
            </w:tcBorders>
            <w:vAlign w:val="center"/>
          </w:tcPr>
          <w:p>
            <w:pPr>
              <w:pStyle w:val="45"/>
              <w:spacing w:line="360" w:lineRule="auto"/>
              <w:jc w:val="center"/>
              <w:rPr>
                <w:sz w:val="24"/>
                <w:szCs w:val="24"/>
                <w:highlight w:val="none"/>
              </w:rPr>
            </w:pPr>
            <w:r>
              <w:rPr>
                <w:rFonts w:hint="eastAsia"/>
                <w:position w:val="2"/>
                <w:sz w:val="24"/>
                <w:szCs w:val="24"/>
                <w:highlight w:val="none"/>
              </w:rPr>
              <w:t>…</w:t>
            </w:r>
          </w:p>
        </w:tc>
        <w:tc>
          <w:tcPr>
            <w:tcW w:w="2542" w:type="dxa"/>
            <w:vAlign w:val="center"/>
          </w:tcPr>
          <w:p>
            <w:pPr>
              <w:spacing w:line="360" w:lineRule="auto"/>
              <w:jc w:val="center"/>
              <w:rPr>
                <w:rFonts w:ascii="宋体" w:hAnsi="宋体" w:eastAsia="宋体" w:cs="宋体"/>
                <w:spacing w:val="-11"/>
                <w:highlight w:val="none"/>
                <w:lang w:eastAsia="en-US"/>
              </w:rPr>
            </w:pPr>
          </w:p>
        </w:tc>
        <w:tc>
          <w:tcPr>
            <w:tcW w:w="1230" w:type="dxa"/>
            <w:vAlign w:val="center"/>
          </w:tcPr>
          <w:p>
            <w:pPr>
              <w:spacing w:line="360" w:lineRule="auto"/>
              <w:jc w:val="center"/>
              <w:rPr>
                <w:rFonts w:ascii="宋体" w:hAnsi="宋体" w:eastAsia="宋体" w:cs="宋体"/>
                <w:highlight w:val="none"/>
              </w:rPr>
            </w:pPr>
          </w:p>
        </w:tc>
        <w:tc>
          <w:tcPr>
            <w:tcW w:w="913" w:type="dxa"/>
            <w:vAlign w:val="center"/>
          </w:tcPr>
          <w:p>
            <w:pPr>
              <w:spacing w:line="360" w:lineRule="auto"/>
              <w:jc w:val="center"/>
              <w:rPr>
                <w:rFonts w:ascii="宋体" w:hAnsi="宋体" w:eastAsia="宋体" w:cs="宋体"/>
                <w:highlight w:val="none"/>
              </w:rPr>
            </w:pPr>
          </w:p>
        </w:tc>
        <w:tc>
          <w:tcPr>
            <w:tcW w:w="1257" w:type="dxa"/>
            <w:vAlign w:val="center"/>
          </w:tcPr>
          <w:p>
            <w:pPr>
              <w:spacing w:line="360" w:lineRule="auto"/>
              <w:jc w:val="center"/>
              <w:rPr>
                <w:rFonts w:ascii="宋体" w:hAnsi="宋体" w:eastAsia="宋体" w:cs="宋体"/>
                <w:highlight w:val="none"/>
              </w:rPr>
            </w:pPr>
          </w:p>
        </w:tc>
        <w:tc>
          <w:tcPr>
            <w:tcW w:w="1258" w:type="dxa"/>
            <w:vAlign w:val="center"/>
          </w:tcPr>
          <w:p>
            <w:pPr>
              <w:spacing w:line="360" w:lineRule="auto"/>
              <w:jc w:val="center"/>
              <w:rPr>
                <w:rFonts w:ascii="宋体" w:hAnsi="宋体" w:eastAsia="宋体" w:cs="宋体"/>
                <w:highlight w:val="none"/>
              </w:rPr>
            </w:pPr>
          </w:p>
        </w:tc>
        <w:tc>
          <w:tcPr>
            <w:tcW w:w="1295" w:type="dxa"/>
            <w:tcBorders>
              <w:right w:val="single" w:color="000000" w:sz="12" w:space="0"/>
            </w:tcBorders>
            <w:vAlign w:val="center"/>
          </w:tcPr>
          <w:p>
            <w:pPr>
              <w:spacing w:line="360" w:lineRule="auto"/>
              <w:jc w:val="center"/>
              <w:rPr>
                <w:rFonts w:ascii="宋体" w:hAnsi="宋体" w:eastAsia="宋体" w:cs="宋体"/>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13" w:hRule="atLeast"/>
        </w:trPr>
        <w:tc>
          <w:tcPr>
            <w:tcW w:w="876" w:type="dxa"/>
            <w:tcBorders>
              <w:left w:val="single" w:color="000000" w:sz="12" w:space="0"/>
            </w:tcBorders>
            <w:vAlign w:val="center"/>
          </w:tcPr>
          <w:p>
            <w:pPr>
              <w:spacing w:line="360" w:lineRule="auto"/>
              <w:jc w:val="center"/>
              <w:rPr>
                <w:rFonts w:ascii="宋体" w:hAnsi="宋体" w:eastAsia="宋体" w:cs="宋体"/>
                <w:highlight w:val="none"/>
              </w:rPr>
            </w:pPr>
          </w:p>
        </w:tc>
        <w:tc>
          <w:tcPr>
            <w:tcW w:w="2542" w:type="dxa"/>
            <w:vAlign w:val="center"/>
          </w:tcPr>
          <w:p>
            <w:pPr>
              <w:pStyle w:val="45"/>
              <w:spacing w:line="360" w:lineRule="auto"/>
              <w:jc w:val="center"/>
              <w:rPr>
                <w:spacing w:val="-11"/>
                <w:sz w:val="24"/>
                <w:szCs w:val="24"/>
                <w:highlight w:val="none"/>
              </w:rPr>
            </w:pPr>
            <w:r>
              <w:rPr>
                <w:rFonts w:hint="eastAsia"/>
                <w:spacing w:val="-11"/>
                <w:sz w:val="24"/>
                <w:szCs w:val="24"/>
                <w:highlight w:val="none"/>
              </w:rPr>
              <w:t>小计</w:t>
            </w:r>
          </w:p>
        </w:tc>
        <w:tc>
          <w:tcPr>
            <w:tcW w:w="1230" w:type="dxa"/>
            <w:vAlign w:val="center"/>
          </w:tcPr>
          <w:p>
            <w:pPr>
              <w:spacing w:line="360" w:lineRule="auto"/>
              <w:jc w:val="center"/>
              <w:rPr>
                <w:rFonts w:ascii="宋体" w:hAnsi="宋体" w:eastAsia="宋体" w:cs="宋体"/>
                <w:highlight w:val="none"/>
              </w:rPr>
            </w:pPr>
          </w:p>
        </w:tc>
        <w:tc>
          <w:tcPr>
            <w:tcW w:w="913" w:type="dxa"/>
            <w:vAlign w:val="center"/>
          </w:tcPr>
          <w:p>
            <w:pPr>
              <w:spacing w:line="360" w:lineRule="auto"/>
              <w:jc w:val="center"/>
              <w:rPr>
                <w:rFonts w:ascii="宋体" w:hAnsi="宋体" w:eastAsia="宋体" w:cs="宋体"/>
                <w:highlight w:val="none"/>
              </w:rPr>
            </w:pPr>
          </w:p>
        </w:tc>
        <w:tc>
          <w:tcPr>
            <w:tcW w:w="1257" w:type="dxa"/>
            <w:vAlign w:val="center"/>
          </w:tcPr>
          <w:p>
            <w:pPr>
              <w:spacing w:line="360" w:lineRule="auto"/>
              <w:jc w:val="center"/>
              <w:rPr>
                <w:rFonts w:ascii="宋体" w:hAnsi="宋体" w:eastAsia="宋体" w:cs="宋体"/>
                <w:highlight w:val="none"/>
              </w:rPr>
            </w:pPr>
          </w:p>
        </w:tc>
        <w:tc>
          <w:tcPr>
            <w:tcW w:w="1258" w:type="dxa"/>
            <w:vAlign w:val="center"/>
          </w:tcPr>
          <w:p>
            <w:pPr>
              <w:spacing w:line="360" w:lineRule="auto"/>
              <w:jc w:val="center"/>
              <w:rPr>
                <w:rFonts w:ascii="宋体" w:hAnsi="宋体" w:eastAsia="宋体" w:cs="宋体"/>
                <w:highlight w:val="none"/>
              </w:rPr>
            </w:pPr>
          </w:p>
        </w:tc>
        <w:tc>
          <w:tcPr>
            <w:tcW w:w="1295" w:type="dxa"/>
            <w:tcBorders>
              <w:right w:val="single" w:color="000000" w:sz="12" w:space="0"/>
            </w:tcBorders>
            <w:vAlign w:val="center"/>
          </w:tcPr>
          <w:p>
            <w:pPr>
              <w:spacing w:line="360" w:lineRule="auto"/>
              <w:jc w:val="center"/>
              <w:rPr>
                <w:rFonts w:ascii="宋体" w:hAnsi="宋体" w:eastAsia="宋体" w:cs="宋体"/>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14" w:hRule="atLeast"/>
        </w:trPr>
        <w:tc>
          <w:tcPr>
            <w:tcW w:w="876" w:type="dxa"/>
            <w:tcBorders>
              <w:left w:val="single" w:color="000000" w:sz="12" w:space="0"/>
            </w:tcBorders>
            <w:vAlign w:val="center"/>
          </w:tcPr>
          <w:p>
            <w:pPr>
              <w:pStyle w:val="45"/>
              <w:spacing w:line="360" w:lineRule="auto"/>
              <w:jc w:val="center"/>
              <w:rPr>
                <w:sz w:val="24"/>
                <w:szCs w:val="24"/>
                <w:highlight w:val="none"/>
              </w:rPr>
            </w:pPr>
            <w:r>
              <w:rPr>
                <w:rFonts w:hint="eastAsia"/>
                <w:sz w:val="24"/>
                <w:szCs w:val="24"/>
                <w:highlight w:val="none"/>
              </w:rPr>
              <w:t>二</w:t>
            </w:r>
          </w:p>
        </w:tc>
        <w:tc>
          <w:tcPr>
            <w:tcW w:w="2542" w:type="dxa"/>
            <w:vAlign w:val="center"/>
          </w:tcPr>
          <w:p>
            <w:pPr>
              <w:pStyle w:val="45"/>
              <w:spacing w:line="360" w:lineRule="auto"/>
              <w:jc w:val="center"/>
              <w:rPr>
                <w:spacing w:val="-11"/>
                <w:sz w:val="24"/>
                <w:szCs w:val="24"/>
                <w:highlight w:val="none"/>
                <w:lang w:eastAsia="zh-CN"/>
              </w:rPr>
            </w:pPr>
            <w:r>
              <w:rPr>
                <w:rFonts w:hint="eastAsia"/>
                <w:spacing w:val="-11"/>
                <w:sz w:val="24"/>
                <w:szCs w:val="24"/>
                <w:highlight w:val="none"/>
                <w:lang w:eastAsia="zh-CN"/>
              </w:rPr>
              <w:t>质保期正常运行备品备件</w:t>
            </w:r>
          </w:p>
        </w:tc>
        <w:tc>
          <w:tcPr>
            <w:tcW w:w="1230" w:type="dxa"/>
            <w:vAlign w:val="center"/>
          </w:tcPr>
          <w:p>
            <w:pPr>
              <w:spacing w:line="360" w:lineRule="auto"/>
              <w:jc w:val="center"/>
              <w:rPr>
                <w:rFonts w:ascii="宋体" w:hAnsi="宋体" w:eastAsia="宋体" w:cs="宋体"/>
                <w:highlight w:val="none"/>
              </w:rPr>
            </w:pPr>
          </w:p>
        </w:tc>
        <w:tc>
          <w:tcPr>
            <w:tcW w:w="913" w:type="dxa"/>
            <w:vAlign w:val="center"/>
          </w:tcPr>
          <w:p>
            <w:pPr>
              <w:spacing w:line="360" w:lineRule="auto"/>
              <w:jc w:val="center"/>
              <w:rPr>
                <w:rFonts w:ascii="宋体" w:hAnsi="宋体" w:eastAsia="宋体" w:cs="宋体"/>
                <w:highlight w:val="none"/>
              </w:rPr>
            </w:pPr>
          </w:p>
        </w:tc>
        <w:tc>
          <w:tcPr>
            <w:tcW w:w="1257" w:type="dxa"/>
            <w:vAlign w:val="center"/>
          </w:tcPr>
          <w:p>
            <w:pPr>
              <w:spacing w:line="360" w:lineRule="auto"/>
              <w:jc w:val="center"/>
              <w:rPr>
                <w:rFonts w:ascii="宋体" w:hAnsi="宋体" w:eastAsia="宋体" w:cs="宋体"/>
                <w:highlight w:val="none"/>
              </w:rPr>
            </w:pPr>
          </w:p>
        </w:tc>
        <w:tc>
          <w:tcPr>
            <w:tcW w:w="1258" w:type="dxa"/>
            <w:vAlign w:val="center"/>
          </w:tcPr>
          <w:p>
            <w:pPr>
              <w:spacing w:line="360" w:lineRule="auto"/>
              <w:jc w:val="center"/>
              <w:rPr>
                <w:rFonts w:ascii="宋体" w:hAnsi="宋体" w:eastAsia="宋体" w:cs="宋体"/>
                <w:highlight w:val="none"/>
              </w:rPr>
            </w:pPr>
          </w:p>
        </w:tc>
        <w:tc>
          <w:tcPr>
            <w:tcW w:w="1295" w:type="dxa"/>
            <w:tcBorders>
              <w:right w:val="single" w:color="000000" w:sz="12" w:space="0"/>
            </w:tcBorders>
            <w:vAlign w:val="center"/>
          </w:tcPr>
          <w:p>
            <w:pPr>
              <w:spacing w:line="360" w:lineRule="auto"/>
              <w:jc w:val="center"/>
              <w:rPr>
                <w:rFonts w:ascii="宋体" w:hAnsi="宋体" w:eastAsia="宋体" w:cs="宋体"/>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74" w:hRule="atLeast"/>
        </w:trPr>
        <w:tc>
          <w:tcPr>
            <w:tcW w:w="876" w:type="dxa"/>
            <w:tcBorders>
              <w:left w:val="single" w:color="000000" w:sz="12" w:space="0"/>
            </w:tcBorders>
            <w:vAlign w:val="center"/>
          </w:tcPr>
          <w:p>
            <w:pPr>
              <w:pStyle w:val="45"/>
              <w:spacing w:line="360" w:lineRule="auto"/>
              <w:jc w:val="center"/>
              <w:rPr>
                <w:sz w:val="24"/>
                <w:szCs w:val="24"/>
                <w:highlight w:val="none"/>
              </w:rPr>
            </w:pPr>
            <w:r>
              <w:rPr>
                <w:rFonts w:hint="eastAsia"/>
                <w:sz w:val="24"/>
                <w:szCs w:val="24"/>
                <w:highlight w:val="none"/>
              </w:rPr>
              <w:t>1</w:t>
            </w:r>
          </w:p>
        </w:tc>
        <w:tc>
          <w:tcPr>
            <w:tcW w:w="2542" w:type="dxa"/>
            <w:vAlign w:val="center"/>
          </w:tcPr>
          <w:p>
            <w:pPr>
              <w:spacing w:line="360" w:lineRule="auto"/>
              <w:jc w:val="center"/>
              <w:rPr>
                <w:rFonts w:ascii="宋体" w:hAnsi="宋体" w:eastAsia="宋体" w:cs="宋体"/>
                <w:spacing w:val="-11"/>
                <w:highlight w:val="none"/>
                <w:lang w:eastAsia="en-US"/>
              </w:rPr>
            </w:pPr>
          </w:p>
        </w:tc>
        <w:tc>
          <w:tcPr>
            <w:tcW w:w="1230" w:type="dxa"/>
            <w:vAlign w:val="center"/>
          </w:tcPr>
          <w:p>
            <w:pPr>
              <w:spacing w:line="360" w:lineRule="auto"/>
              <w:jc w:val="center"/>
              <w:rPr>
                <w:rFonts w:ascii="宋体" w:hAnsi="宋体" w:eastAsia="宋体" w:cs="宋体"/>
                <w:highlight w:val="none"/>
              </w:rPr>
            </w:pPr>
          </w:p>
        </w:tc>
        <w:tc>
          <w:tcPr>
            <w:tcW w:w="913" w:type="dxa"/>
            <w:vAlign w:val="center"/>
          </w:tcPr>
          <w:p>
            <w:pPr>
              <w:spacing w:line="360" w:lineRule="auto"/>
              <w:jc w:val="center"/>
              <w:rPr>
                <w:rFonts w:ascii="宋体" w:hAnsi="宋体" w:eastAsia="宋体" w:cs="宋体"/>
                <w:highlight w:val="none"/>
              </w:rPr>
            </w:pPr>
          </w:p>
        </w:tc>
        <w:tc>
          <w:tcPr>
            <w:tcW w:w="1257" w:type="dxa"/>
            <w:vAlign w:val="center"/>
          </w:tcPr>
          <w:p>
            <w:pPr>
              <w:spacing w:line="360" w:lineRule="auto"/>
              <w:jc w:val="center"/>
              <w:rPr>
                <w:rFonts w:ascii="宋体" w:hAnsi="宋体" w:eastAsia="宋体" w:cs="宋体"/>
                <w:highlight w:val="none"/>
              </w:rPr>
            </w:pPr>
          </w:p>
        </w:tc>
        <w:tc>
          <w:tcPr>
            <w:tcW w:w="1258" w:type="dxa"/>
            <w:vAlign w:val="center"/>
          </w:tcPr>
          <w:p>
            <w:pPr>
              <w:spacing w:line="360" w:lineRule="auto"/>
              <w:jc w:val="center"/>
              <w:rPr>
                <w:rFonts w:ascii="宋体" w:hAnsi="宋体" w:eastAsia="宋体" w:cs="宋体"/>
                <w:highlight w:val="none"/>
              </w:rPr>
            </w:pPr>
          </w:p>
        </w:tc>
        <w:tc>
          <w:tcPr>
            <w:tcW w:w="1295" w:type="dxa"/>
            <w:tcBorders>
              <w:right w:val="single" w:color="000000" w:sz="12" w:space="0"/>
            </w:tcBorders>
            <w:vAlign w:val="center"/>
          </w:tcPr>
          <w:p>
            <w:pPr>
              <w:spacing w:line="360" w:lineRule="auto"/>
              <w:jc w:val="center"/>
              <w:rPr>
                <w:rFonts w:ascii="宋体" w:hAnsi="宋体" w:eastAsia="宋体" w:cs="宋体"/>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59" w:hRule="atLeast"/>
        </w:trPr>
        <w:tc>
          <w:tcPr>
            <w:tcW w:w="876" w:type="dxa"/>
            <w:tcBorders>
              <w:left w:val="single" w:color="000000" w:sz="12" w:space="0"/>
            </w:tcBorders>
            <w:vAlign w:val="center"/>
          </w:tcPr>
          <w:p>
            <w:pPr>
              <w:pStyle w:val="45"/>
              <w:spacing w:line="360" w:lineRule="auto"/>
              <w:jc w:val="center"/>
              <w:rPr>
                <w:sz w:val="24"/>
                <w:szCs w:val="24"/>
                <w:highlight w:val="none"/>
              </w:rPr>
            </w:pPr>
            <w:r>
              <w:rPr>
                <w:rFonts w:hint="eastAsia"/>
                <w:sz w:val="24"/>
                <w:szCs w:val="24"/>
                <w:highlight w:val="none"/>
              </w:rPr>
              <w:t>2</w:t>
            </w:r>
          </w:p>
        </w:tc>
        <w:tc>
          <w:tcPr>
            <w:tcW w:w="2542" w:type="dxa"/>
            <w:vAlign w:val="center"/>
          </w:tcPr>
          <w:p>
            <w:pPr>
              <w:spacing w:line="360" w:lineRule="auto"/>
              <w:jc w:val="center"/>
              <w:rPr>
                <w:rFonts w:ascii="宋体" w:hAnsi="宋体" w:eastAsia="宋体" w:cs="宋体"/>
                <w:highlight w:val="none"/>
              </w:rPr>
            </w:pPr>
          </w:p>
        </w:tc>
        <w:tc>
          <w:tcPr>
            <w:tcW w:w="1230" w:type="dxa"/>
            <w:vAlign w:val="center"/>
          </w:tcPr>
          <w:p>
            <w:pPr>
              <w:spacing w:line="360" w:lineRule="auto"/>
              <w:jc w:val="center"/>
              <w:rPr>
                <w:rFonts w:ascii="宋体" w:hAnsi="宋体" w:eastAsia="宋体" w:cs="宋体"/>
                <w:highlight w:val="none"/>
              </w:rPr>
            </w:pPr>
          </w:p>
        </w:tc>
        <w:tc>
          <w:tcPr>
            <w:tcW w:w="913" w:type="dxa"/>
            <w:vAlign w:val="center"/>
          </w:tcPr>
          <w:p>
            <w:pPr>
              <w:spacing w:line="360" w:lineRule="auto"/>
              <w:jc w:val="center"/>
              <w:rPr>
                <w:rFonts w:ascii="宋体" w:hAnsi="宋体" w:eastAsia="宋体" w:cs="宋体"/>
                <w:highlight w:val="none"/>
              </w:rPr>
            </w:pPr>
          </w:p>
        </w:tc>
        <w:tc>
          <w:tcPr>
            <w:tcW w:w="1257" w:type="dxa"/>
            <w:vAlign w:val="center"/>
          </w:tcPr>
          <w:p>
            <w:pPr>
              <w:spacing w:line="360" w:lineRule="auto"/>
              <w:jc w:val="center"/>
              <w:rPr>
                <w:rFonts w:ascii="宋体" w:hAnsi="宋体" w:eastAsia="宋体" w:cs="宋体"/>
                <w:highlight w:val="none"/>
              </w:rPr>
            </w:pPr>
          </w:p>
        </w:tc>
        <w:tc>
          <w:tcPr>
            <w:tcW w:w="1258" w:type="dxa"/>
            <w:vAlign w:val="center"/>
          </w:tcPr>
          <w:p>
            <w:pPr>
              <w:spacing w:line="360" w:lineRule="auto"/>
              <w:jc w:val="center"/>
              <w:rPr>
                <w:rFonts w:ascii="宋体" w:hAnsi="宋体" w:eastAsia="宋体" w:cs="宋体"/>
                <w:highlight w:val="none"/>
              </w:rPr>
            </w:pPr>
          </w:p>
        </w:tc>
        <w:tc>
          <w:tcPr>
            <w:tcW w:w="1295" w:type="dxa"/>
            <w:tcBorders>
              <w:right w:val="single" w:color="000000" w:sz="12" w:space="0"/>
            </w:tcBorders>
            <w:vAlign w:val="center"/>
          </w:tcPr>
          <w:p>
            <w:pPr>
              <w:spacing w:line="360" w:lineRule="auto"/>
              <w:jc w:val="center"/>
              <w:rPr>
                <w:rFonts w:ascii="宋体" w:hAnsi="宋体" w:eastAsia="宋体" w:cs="宋体"/>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58" w:hRule="atLeast"/>
        </w:trPr>
        <w:tc>
          <w:tcPr>
            <w:tcW w:w="876" w:type="dxa"/>
            <w:tcBorders>
              <w:left w:val="single" w:color="000000" w:sz="12" w:space="0"/>
            </w:tcBorders>
            <w:vAlign w:val="center"/>
          </w:tcPr>
          <w:p>
            <w:pPr>
              <w:pStyle w:val="45"/>
              <w:spacing w:line="360" w:lineRule="auto"/>
              <w:jc w:val="center"/>
              <w:rPr>
                <w:sz w:val="24"/>
                <w:szCs w:val="24"/>
                <w:highlight w:val="none"/>
              </w:rPr>
            </w:pPr>
            <w:r>
              <w:rPr>
                <w:rFonts w:hint="eastAsia"/>
                <w:sz w:val="24"/>
                <w:szCs w:val="24"/>
                <w:highlight w:val="none"/>
              </w:rPr>
              <w:t>3</w:t>
            </w:r>
          </w:p>
        </w:tc>
        <w:tc>
          <w:tcPr>
            <w:tcW w:w="2542" w:type="dxa"/>
            <w:vAlign w:val="center"/>
          </w:tcPr>
          <w:p>
            <w:pPr>
              <w:spacing w:line="360" w:lineRule="auto"/>
              <w:jc w:val="center"/>
              <w:rPr>
                <w:rFonts w:ascii="宋体" w:hAnsi="宋体" w:eastAsia="宋体" w:cs="宋体"/>
                <w:highlight w:val="none"/>
              </w:rPr>
            </w:pPr>
          </w:p>
        </w:tc>
        <w:tc>
          <w:tcPr>
            <w:tcW w:w="1230" w:type="dxa"/>
            <w:vAlign w:val="center"/>
          </w:tcPr>
          <w:p>
            <w:pPr>
              <w:spacing w:line="360" w:lineRule="auto"/>
              <w:jc w:val="center"/>
              <w:rPr>
                <w:rFonts w:ascii="宋体" w:hAnsi="宋体" w:eastAsia="宋体" w:cs="宋体"/>
                <w:highlight w:val="none"/>
              </w:rPr>
            </w:pPr>
          </w:p>
        </w:tc>
        <w:tc>
          <w:tcPr>
            <w:tcW w:w="913" w:type="dxa"/>
            <w:vAlign w:val="center"/>
          </w:tcPr>
          <w:p>
            <w:pPr>
              <w:spacing w:line="360" w:lineRule="auto"/>
              <w:jc w:val="center"/>
              <w:rPr>
                <w:rFonts w:ascii="宋体" w:hAnsi="宋体" w:eastAsia="宋体" w:cs="宋体"/>
                <w:highlight w:val="none"/>
              </w:rPr>
            </w:pPr>
          </w:p>
        </w:tc>
        <w:tc>
          <w:tcPr>
            <w:tcW w:w="1257" w:type="dxa"/>
            <w:vAlign w:val="center"/>
          </w:tcPr>
          <w:p>
            <w:pPr>
              <w:spacing w:line="360" w:lineRule="auto"/>
              <w:jc w:val="center"/>
              <w:rPr>
                <w:rFonts w:ascii="宋体" w:hAnsi="宋体" w:eastAsia="宋体" w:cs="宋体"/>
                <w:highlight w:val="none"/>
              </w:rPr>
            </w:pPr>
          </w:p>
        </w:tc>
        <w:tc>
          <w:tcPr>
            <w:tcW w:w="1258" w:type="dxa"/>
            <w:vAlign w:val="center"/>
          </w:tcPr>
          <w:p>
            <w:pPr>
              <w:spacing w:line="360" w:lineRule="auto"/>
              <w:jc w:val="center"/>
              <w:rPr>
                <w:rFonts w:ascii="宋体" w:hAnsi="宋体" w:eastAsia="宋体" w:cs="宋体"/>
                <w:highlight w:val="none"/>
              </w:rPr>
            </w:pPr>
          </w:p>
        </w:tc>
        <w:tc>
          <w:tcPr>
            <w:tcW w:w="1295" w:type="dxa"/>
            <w:tcBorders>
              <w:right w:val="single" w:color="000000" w:sz="12" w:space="0"/>
            </w:tcBorders>
            <w:vAlign w:val="center"/>
          </w:tcPr>
          <w:p>
            <w:pPr>
              <w:spacing w:line="360" w:lineRule="auto"/>
              <w:jc w:val="center"/>
              <w:rPr>
                <w:rFonts w:ascii="宋体" w:hAnsi="宋体" w:eastAsia="宋体" w:cs="宋体"/>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58" w:hRule="atLeast"/>
        </w:trPr>
        <w:tc>
          <w:tcPr>
            <w:tcW w:w="876" w:type="dxa"/>
            <w:tcBorders>
              <w:left w:val="single" w:color="000000" w:sz="12" w:space="0"/>
            </w:tcBorders>
            <w:vAlign w:val="center"/>
          </w:tcPr>
          <w:p>
            <w:pPr>
              <w:pStyle w:val="45"/>
              <w:spacing w:line="360" w:lineRule="auto"/>
              <w:jc w:val="center"/>
              <w:rPr>
                <w:sz w:val="24"/>
                <w:szCs w:val="24"/>
                <w:highlight w:val="none"/>
              </w:rPr>
            </w:pPr>
            <w:r>
              <w:rPr>
                <w:rFonts w:hint="eastAsia"/>
                <w:sz w:val="24"/>
                <w:szCs w:val="24"/>
                <w:highlight w:val="none"/>
              </w:rPr>
              <w:t>4</w:t>
            </w:r>
          </w:p>
        </w:tc>
        <w:tc>
          <w:tcPr>
            <w:tcW w:w="2542" w:type="dxa"/>
            <w:vAlign w:val="center"/>
          </w:tcPr>
          <w:p>
            <w:pPr>
              <w:spacing w:line="360" w:lineRule="auto"/>
              <w:jc w:val="center"/>
              <w:rPr>
                <w:rFonts w:ascii="宋体" w:hAnsi="宋体" w:eastAsia="宋体" w:cs="宋体"/>
                <w:highlight w:val="none"/>
              </w:rPr>
            </w:pPr>
          </w:p>
        </w:tc>
        <w:tc>
          <w:tcPr>
            <w:tcW w:w="1230" w:type="dxa"/>
            <w:vAlign w:val="center"/>
          </w:tcPr>
          <w:p>
            <w:pPr>
              <w:spacing w:line="360" w:lineRule="auto"/>
              <w:jc w:val="center"/>
              <w:rPr>
                <w:rFonts w:ascii="宋体" w:hAnsi="宋体" w:eastAsia="宋体" w:cs="宋体"/>
                <w:highlight w:val="none"/>
              </w:rPr>
            </w:pPr>
          </w:p>
        </w:tc>
        <w:tc>
          <w:tcPr>
            <w:tcW w:w="913" w:type="dxa"/>
            <w:vAlign w:val="center"/>
          </w:tcPr>
          <w:p>
            <w:pPr>
              <w:spacing w:line="360" w:lineRule="auto"/>
              <w:jc w:val="center"/>
              <w:rPr>
                <w:rFonts w:ascii="宋体" w:hAnsi="宋体" w:eastAsia="宋体" w:cs="宋体"/>
                <w:highlight w:val="none"/>
              </w:rPr>
            </w:pPr>
          </w:p>
        </w:tc>
        <w:tc>
          <w:tcPr>
            <w:tcW w:w="1257" w:type="dxa"/>
            <w:vAlign w:val="center"/>
          </w:tcPr>
          <w:p>
            <w:pPr>
              <w:spacing w:line="360" w:lineRule="auto"/>
              <w:jc w:val="center"/>
              <w:rPr>
                <w:rFonts w:ascii="宋体" w:hAnsi="宋体" w:eastAsia="宋体" w:cs="宋体"/>
                <w:highlight w:val="none"/>
              </w:rPr>
            </w:pPr>
          </w:p>
        </w:tc>
        <w:tc>
          <w:tcPr>
            <w:tcW w:w="1258" w:type="dxa"/>
            <w:vAlign w:val="center"/>
          </w:tcPr>
          <w:p>
            <w:pPr>
              <w:spacing w:line="360" w:lineRule="auto"/>
              <w:jc w:val="center"/>
              <w:rPr>
                <w:rFonts w:ascii="宋体" w:hAnsi="宋体" w:eastAsia="宋体" w:cs="宋体"/>
                <w:highlight w:val="none"/>
              </w:rPr>
            </w:pPr>
          </w:p>
        </w:tc>
        <w:tc>
          <w:tcPr>
            <w:tcW w:w="1295" w:type="dxa"/>
            <w:tcBorders>
              <w:right w:val="single" w:color="000000" w:sz="12" w:space="0"/>
            </w:tcBorders>
            <w:vAlign w:val="center"/>
          </w:tcPr>
          <w:p>
            <w:pPr>
              <w:spacing w:line="360" w:lineRule="auto"/>
              <w:jc w:val="center"/>
              <w:rPr>
                <w:rFonts w:ascii="宋体" w:hAnsi="宋体" w:eastAsia="宋体" w:cs="宋体"/>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59" w:hRule="atLeast"/>
        </w:trPr>
        <w:tc>
          <w:tcPr>
            <w:tcW w:w="876" w:type="dxa"/>
            <w:tcBorders>
              <w:left w:val="single" w:color="000000" w:sz="12" w:space="0"/>
            </w:tcBorders>
            <w:vAlign w:val="center"/>
          </w:tcPr>
          <w:p>
            <w:pPr>
              <w:pStyle w:val="45"/>
              <w:spacing w:line="360" w:lineRule="auto"/>
              <w:jc w:val="center"/>
              <w:rPr>
                <w:sz w:val="24"/>
                <w:szCs w:val="24"/>
                <w:highlight w:val="none"/>
              </w:rPr>
            </w:pPr>
            <w:r>
              <w:rPr>
                <w:rFonts w:hint="eastAsia"/>
                <w:sz w:val="24"/>
                <w:szCs w:val="24"/>
                <w:highlight w:val="none"/>
              </w:rPr>
              <w:t>5</w:t>
            </w:r>
          </w:p>
        </w:tc>
        <w:tc>
          <w:tcPr>
            <w:tcW w:w="2542" w:type="dxa"/>
            <w:vAlign w:val="center"/>
          </w:tcPr>
          <w:p>
            <w:pPr>
              <w:spacing w:line="360" w:lineRule="auto"/>
              <w:jc w:val="center"/>
              <w:rPr>
                <w:rFonts w:ascii="宋体" w:hAnsi="宋体" w:eastAsia="宋体" w:cs="宋体"/>
                <w:highlight w:val="none"/>
              </w:rPr>
            </w:pPr>
          </w:p>
        </w:tc>
        <w:tc>
          <w:tcPr>
            <w:tcW w:w="1230" w:type="dxa"/>
            <w:vAlign w:val="center"/>
          </w:tcPr>
          <w:p>
            <w:pPr>
              <w:spacing w:line="360" w:lineRule="auto"/>
              <w:jc w:val="center"/>
              <w:rPr>
                <w:rFonts w:ascii="宋体" w:hAnsi="宋体" w:eastAsia="宋体" w:cs="宋体"/>
                <w:highlight w:val="none"/>
              </w:rPr>
            </w:pPr>
          </w:p>
        </w:tc>
        <w:tc>
          <w:tcPr>
            <w:tcW w:w="913" w:type="dxa"/>
            <w:vAlign w:val="center"/>
          </w:tcPr>
          <w:p>
            <w:pPr>
              <w:spacing w:line="360" w:lineRule="auto"/>
              <w:jc w:val="center"/>
              <w:rPr>
                <w:rFonts w:ascii="宋体" w:hAnsi="宋体" w:eastAsia="宋体" w:cs="宋体"/>
                <w:highlight w:val="none"/>
              </w:rPr>
            </w:pPr>
          </w:p>
        </w:tc>
        <w:tc>
          <w:tcPr>
            <w:tcW w:w="1257" w:type="dxa"/>
            <w:vAlign w:val="center"/>
          </w:tcPr>
          <w:p>
            <w:pPr>
              <w:spacing w:line="360" w:lineRule="auto"/>
              <w:jc w:val="center"/>
              <w:rPr>
                <w:rFonts w:ascii="宋体" w:hAnsi="宋体" w:eastAsia="宋体" w:cs="宋体"/>
                <w:highlight w:val="none"/>
              </w:rPr>
            </w:pPr>
          </w:p>
        </w:tc>
        <w:tc>
          <w:tcPr>
            <w:tcW w:w="1258" w:type="dxa"/>
            <w:vAlign w:val="center"/>
          </w:tcPr>
          <w:p>
            <w:pPr>
              <w:spacing w:line="360" w:lineRule="auto"/>
              <w:jc w:val="center"/>
              <w:rPr>
                <w:rFonts w:ascii="宋体" w:hAnsi="宋体" w:eastAsia="宋体" w:cs="宋体"/>
                <w:highlight w:val="none"/>
              </w:rPr>
            </w:pPr>
          </w:p>
        </w:tc>
        <w:tc>
          <w:tcPr>
            <w:tcW w:w="1295" w:type="dxa"/>
            <w:tcBorders>
              <w:right w:val="single" w:color="000000" w:sz="12" w:space="0"/>
            </w:tcBorders>
            <w:vAlign w:val="center"/>
          </w:tcPr>
          <w:p>
            <w:pPr>
              <w:spacing w:line="360" w:lineRule="auto"/>
              <w:jc w:val="center"/>
              <w:rPr>
                <w:rFonts w:ascii="宋体" w:hAnsi="宋体" w:eastAsia="宋体" w:cs="宋体"/>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96" w:hRule="atLeast"/>
        </w:trPr>
        <w:tc>
          <w:tcPr>
            <w:tcW w:w="876" w:type="dxa"/>
            <w:tcBorders>
              <w:left w:val="single" w:color="000000" w:sz="12" w:space="0"/>
              <w:bottom w:val="single" w:color="000000" w:sz="12" w:space="0"/>
            </w:tcBorders>
            <w:vAlign w:val="center"/>
          </w:tcPr>
          <w:p>
            <w:pPr>
              <w:pStyle w:val="45"/>
              <w:spacing w:line="360" w:lineRule="auto"/>
              <w:jc w:val="center"/>
              <w:rPr>
                <w:sz w:val="24"/>
                <w:szCs w:val="24"/>
                <w:highlight w:val="none"/>
              </w:rPr>
            </w:pPr>
            <w:r>
              <w:rPr>
                <w:rFonts w:hint="eastAsia"/>
                <w:spacing w:val="-13"/>
                <w:position w:val="2"/>
                <w:sz w:val="24"/>
                <w:szCs w:val="24"/>
                <w:highlight w:val="none"/>
              </w:rPr>
              <w:t>……</w:t>
            </w:r>
          </w:p>
        </w:tc>
        <w:tc>
          <w:tcPr>
            <w:tcW w:w="2542" w:type="dxa"/>
            <w:tcBorders>
              <w:bottom w:val="single" w:color="000000" w:sz="12" w:space="0"/>
            </w:tcBorders>
            <w:vAlign w:val="center"/>
          </w:tcPr>
          <w:p>
            <w:pPr>
              <w:spacing w:line="360" w:lineRule="auto"/>
              <w:jc w:val="center"/>
              <w:rPr>
                <w:rFonts w:ascii="宋体" w:hAnsi="宋体" w:eastAsia="宋体" w:cs="宋体"/>
                <w:highlight w:val="none"/>
              </w:rPr>
            </w:pPr>
          </w:p>
        </w:tc>
        <w:tc>
          <w:tcPr>
            <w:tcW w:w="1230" w:type="dxa"/>
            <w:tcBorders>
              <w:bottom w:val="single" w:color="000000" w:sz="12" w:space="0"/>
            </w:tcBorders>
            <w:vAlign w:val="center"/>
          </w:tcPr>
          <w:p>
            <w:pPr>
              <w:spacing w:line="360" w:lineRule="auto"/>
              <w:jc w:val="center"/>
              <w:rPr>
                <w:rFonts w:ascii="宋体" w:hAnsi="宋体" w:eastAsia="宋体" w:cs="宋体"/>
                <w:highlight w:val="none"/>
              </w:rPr>
            </w:pPr>
          </w:p>
        </w:tc>
        <w:tc>
          <w:tcPr>
            <w:tcW w:w="913" w:type="dxa"/>
            <w:tcBorders>
              <w:bottom w:val="single" w:color="000000" w:sz="12" w:space="0"/>
            </w:tcBorders>
            <w:vAlign w:val="center"/>
          </w:tcPr>
          <w:p>
            <w:pPr>
              <w:spacing w:line="360" w:lineRule="auto"/>
              <w:jc w:val="center"/>
              <w:rPr>
                <w:rFonts w:ascii="宋体" w:hAnsi="宋体" w:eastAsia="宋体" w:cs="宋体"/>
                <w:highlight w:val="none"/>
              </w:rPr>
            </w:pPr>
          </w:p>
        </w:tc>
        <w:tc>
          <w:tcPr>
            <w:tcW w:w="1257" w:type="dxa"/>
            <w:tcBorders>
              <w:bottom w:val="single" w:color="000000" w:sz="12" w:space="0"/>
            </w:tcBorders>
            <w:vAlign w:val="center"/>
          </w:tcPr>
          <w:p>
            <w:pPr>
              <w:spacing w:line="360" w:lineRule="auto"/>
              <w:jc w:val="center"/>
              <w:rPr>
                <w:rFonts w:ascii="宋体" w:hAnsi="宋体" w:eastAsia="宋体" w:cs="宋体"/>
                <w:highlight w:val="none"/>
              </w:rPr>
            </w:pPr>
          </w:p>
        </w:tc>
        <w:tc>
          <w:tcPr>
            <w:tcW w:w="1258" w:type="dxa"/>
            <w:tcBorders>
              <w:bottom w:val="single" w:color="000000" w:sz="12" w:space="0"/>
            </w:tcBorders>
            <w:vAlign w:val="center"/>
          </w:tcPr>
          <w:p>
            <w:pPr>
              <w:spacing w:line="360" w:lineRule="auto"/>
              <w:jc w:val="center"/>
              <w:rPr>
                <w:rFonts w:ascii="宋体" w:hAnsi="宋体" w:eastAsia="宋体" w:cs="宋体"/>
                <w:highlight w:val="none"/>
              </w:rPr>
            </w:pPr>
          </w:p>
        </w:tc>
        <w:tc>
          <w:tcPr>
            <w:tcW w:w="1295" w:type="dxa"/>
            <w:tcBorders>
              <w:bottom w:val="single" w:color="000000" w:sz="12" w:space="0"/>
              <w:right w:val="single" w:color="000000" w:sz="12" w:space="0"/>
            </w:tcBorders>
            <w:vAlign w:val="center"/>
          </w:tcPr>
          <w:p>
            <w:pPr>
              <w:spacing w:line="360" w:lineRule="auto"/>
              <w:jc w:val="center"/>
              <w:rPr>
                <w:rFonts w:ascii="宋体" w:hAnsi="宋体" w:eastAsia="宋体" w:cs="宋体"/>
                <w:highlight w:val="none"/>
              </w:rPr>
            </w:pPr>
          </w:p>
        </w:tc>
      </w:tr>
    </w:tbl>
    <w:p>
      <w:pPr>
        <w:pStyle w:val="2"/>
        <w:spacing w:line="360" w:lineRule="auto"/>
        <w:rPr>
          <w:rFonts w:ascii="宋体" w:hAnsi="宋体" w:eastAsia="宋体" w:cs="宋体"/>
          <w:sz w:val="24"/>
          <w:szCs w:val="24"/>
          <w:highlight w:val="none"/>
        </w:rPr>
      </w:pPr>
    </w:p>
    <w:p>
      <w:pPr>
        <w:pStyle w:val="116"/>
        <w:spacing w:line="360" w:lineRule="auto"/>
        <w:rPr>
          <w:rFonts w:ascii="宋体" w:hAnsi="宋体" w:cs="宋体"/>
          <w:bCs/>
          <w:spacing w:val="10"/>
          <w:kern w:val="0"/>
          <w:sz w:val="24"/>
          <w:szCs w:val="24"/>
          <w:highlight w:val="none"/>
        </w:rPr>
      </w:pPr>
      <w:r>
        <w:rPr>
          <w:rFonts w:hint="eastAsia" w:ascii="宋体" w:hAnsi="宋体" w:cs="宋体"/>
          <w:bCs/>
          <w:spacing w:val="10"/>
          <w:kern w:val="0"/>
          <w:sz w:val="24"/>
          <w:szCs w:val="24"/>
          <w:highlight w:val="none"/>
        </w:rPr>
        <w:t>说明：各投标人应提供合理的备品备件品种、数量及真实、合理的价格。</w:t>
      </w:r>
    </w:p>
    <w:p>
      <w:pPr>
        <w:pStyle w:val="116"/>
        <w:spacing w:line="360" w:lineRule="auto"/>
        <w:rPr>
          <w:rFonts w:ascii="宋体" w:hAnsi="宋体" w:cs="宋体"/>
          <w:kern w:val="0"/>
          <w:sz w:val="24"/>
          <w:szCs w:val="24"/>
          <w:highlight w:val="none"/>
        </w:rPr>
      </w:pPr>
      <w:r>
        <w:rPr>
          <w:rFonts w:hint="eastAsia" w:ascii="宋体" w:hAnsi="宋体" w:cs="宋体"/>
          <w:bCs/>
          <w:spacing w:val="10"/>
          <w:kern w:val="0"/>
          <w:sz w:val="24"/>
          <w:szCs w:val="24"/>
          <w:highlight w:val="none"/>
        </w:rPr>
        <w:t>投标人（企业电子章）：</w:t>
      </w:r>
    </w:p>
    <w:p>
      <w:pPr>
        <w:spacing w:line="360" w:lineRule="auto"/>
        <w:jc w:val="center"/>
        <w:rPr>
          <w:rFonts w:ascii="宋体" w:hAnsi="宋体" w:eastAsia="宋体" w:cs="宋体"/>
          <w:b/>
          <w:spacing w:val="10"/>
          <w:highlight w:val="none"/>
        </w:rPr>
      </w:pPr>
      <w:r>
        <w:rPr>
          <w:rFonts w:hint="eastAsia" w:ascii="宋体" w:hAnsi="宋体" w:eastAsia="宋体" w:cs="宋体"/>
          <w:highlight w:val="none"/>
        </w:rPr>
        <w:br w:type="page"/>
      </w:r>
      <w:bookmarkStart w:id="199" w:name="_Toc256000073"/>
      <w:r>
        <w:rPr>
          <w:rFonts w:hint="eastAsia" w:ascii="宋体" w:hAnsi="宋体" w:eastAsia="宋体" w:cs="宋体"/>
          <w:b/>
          <w:spacing w:val="10"/>
          <w:highlight w:val="none"/>
        </w:rPr>
        <w:t>2、易损件报价一览表</w:t>
      </w:r>
    </w:p>
    <w:p>
      <w:pPr>
        <w:spacing w:line="360" w:lineRule="auto"/>
        <w:rPr>
          <w:rFonts w:ascii="宋体" w:hAnsi="宋体" w:eastAsia="宋体" w:cs="宋体"/>
          <w:highlight w:val="none"/>
        </w:rPr>
      </w:pPr>
    </w:p>
    <w:tbl>
      <w:tblPr>
        <w:tblStyle w:val="117"/>
        <w:tblW w:w="8350" w:type="dxa"/>
        <w:tblInd w:w="472"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102"/>
        <w:gridCol w:w="2248"/>
        <w:gridCol w:w="1844"/>
        <w:gridCol w:w="1559"/>
        <w:gridCol w:w="159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2" w:hRule="atLeast"/>
        </w:trPr>
        <w:tc>
          <w:tcPr>
            <w:tcW w:w="1102" w:type="dxa"/>
          </w:tcPr>
          <w:p>
            <w:pPr>
              <w:pStyle w:val="45"/>
              <w:spacing w:line="360" w:lineRule="auto"/>
              <w:jc w:val="center"/>
              <w:rPr>
                <w:sz w:val="24"/>
                <w:szCs w:val="24"/>
                <w:highlight w:val="none"/>
              </w:rPr>
            </w:pPr>
            <w:r>
              <w:rPr>
                <w:rFonts w:hint="eastAsia"/>
                <w:spacing w:val="-2"/>
                <w:sz w:val="24"/>
                <w:szCs w:val="24"/>
                <w:highlight w:val="none"/>
              </w:rPr>
              <w:t>序号</w:t>
            </w:r>
          </w:p>
        </w:tc>
        <w:tc>
          <w:tcPr>
            <w:tcW w:w="2248" w:type="dxa"/>
          </w:tcPr>
          <w:p>
            <w:pPr>
              <w:pStyle w:val="45"/>
              <w:spacing w:line="360" w:lineRule="auto"/>
              <w:jc w:val="center"/>
              <w:rPr>
                <w:sz w:val="24"/>
                <w:szCs w:val="24"/>
                <w:highlight w:val="none"/>
              </w:rPr>
            </w:pPr>
            <w:r>
              <w:rPr>
                <w:rFonts w:hint="eastAsia"/>
                <w:spacing w:val="-3"/>
                <w:sz w:val="24"/>
                <w:szCs w:val="24"/>
                <w:highlight w:val="none"/>
              </w:rPr>
              <w:t>货物名称</w:t>
            </w:r>
          </w:p>
        </w:tc>
        <w:tc>
          <w:tcPr>
            <w:tcW w:w="1844" w:type="dxa"/>
          </w:tcPr>
          <w:p>
            <w:pPr>
              <w:pStyle w:val="45"/>
              <w:spacing w:line="360" w:lineRule="auto"/>
              <w:jc w:val="center"/>
              <w:rPr>
                <w:sz w:val="24"/>
                <w:szCs w:val="24"/>
                <w:highlight w:val="none"/>
              </w:rPr>
            </w:pPr>
            <w:r>
              <w:rPr>
                <w:rFonts w:hint="eastAsia"/>
                <w:spacing w:val="-4"/>
                <w:sz w:val="24"/>
                <w:szCs w:val="24"/>
                <w:highlight w:val="none"/>
              </w:rPr>
              <w:t>品牌及制造商</w:t>
            </w:r>
          </w:p>
        </w:tc>
        <w:tc>
          <w:tcPr>
            <w:tcW w:w="1559" w:type="dxa"/>
          </w:tcPr>
          <w:p>
            <w:pPr>
              <w:pStyle w:val="45"/>
              <w:spacing w:line="360" w:lineRule="auto"/>
              <w:jc w:val="center"/>
              <w:rPr>
                <w:sz w:val="24"/>
                <w:szCs w:val="24"/>
                <w:highlight w:val="none"/>
              </w:rPr>
            </w:pPr>
            <w:r>
              <w:rPr>
                <w:rFonts w:hint="eastAsia"/>
                <w:spacing w:val="-2"/>
                <w:sz w:val="24"/>
                <w:szCs w:val="24"/>
                <w:highlight w:val="none"/>
              </w:rPr>
              <w:t>规格型号</w:t>
            </w:r>
          </w:p>
        </w:tc>
        <w:tc>
          <w:tcPr>
            <w:tcW w:w="1597" w:type="dxa"/>
          </w:tcPr>
          <w:p>
            <w:pPr>
              <w:pStyle w:val="45"/>
              <w:spacing w:line="360" w:lineRule="auto"/>
              <w:jc w:val="center"/>
              <w:rPr>
                <w:sz w:val="24"/>
                <w:szCs w:val="24"/>
                <w:highlight w:val="none"/>
              </w:rPr>
            </w:pPr>
            <w:r>
              <w:rPr>
                <w:rFonts w:hint="eastAsia"/>
                <w:spacing w:val="-12"/>
                <w:sz w:val="24"/>
                <w:szCs w:val="24"/>
                <w:highlight w:val="none"/>
              </w:rPr>
              <w:t>单价（元）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4" w:hRule="atLeast"/>
        </w:trPr>
        <w:tc>
          <w:tcPr>
            <w:tcW w:w="1102" w:type="dxa"/>
          </w:tcPr>
          <w:p>
            <w:pPr>
              <w:pStyle w:val="45"/>
              <w:spacing w:line="360" w:lineRule="auto"/>
              <w:jc w:val="center"/>
              <w:rPr>
                <w:sz w:val="24"/>
                <w:szCs w:val="24"/>
                <w:highlight w:val="none"/>
              </w:rPr>
            </w:pPr>
            <w:r>
              <w:rPr>
                <w:rFonts w:hint="eastAsia"/>
                <w:sz w:val="24"/>
                <w:szCs w:val="24"/>
                <w:highlight w:val="none"/>
              </w:rPr>
              <w:t>1</w:t>
            </w:r>
          </w:p>
        </w:tc>
        <w:tc>
          <w:tcPr>
            <w:tcW w:w="2248" w:type="dxa"/>
          </w:tcPr>
          <w:p>
            <w:pPr>
              <w:spacing w:line="360" w:lineRule="auto"/>
              <w:jc w:val="center"/>
              <w:rPr>
                <w:rFonts w:ascii="宋体" w:hAnsi="宋体" w:eastAsia="宋体" w:cs="宋体"/>
                <w:highlight w:val="none"/>
              </w:rPr>
            </w:pPr>
          </w:p>
        </w:tc>
        <w:tc>
          <w:tcPr>
            <w:tcW w:w="1844" w:type="dxa"/>
          </w:tcPr>
          <w:p>
            <w:pPr>
              <w:spacing w:line="360" w:lineRule="auto"/>
              <w:jc w:val="center"/>
              <w:rPr>
                <w:rFonts w:ascii="宋体" w:hAnsi="宋体" w:eastAsia="宋体" w:cs="宋体"/>
                <w:highlight w:val="none"/>
              </w:rPr>
            </w:pPr>
          </w:p>
        </w:tc>
        <w:tc>
          <w:tcPr>
            <w:tcW w:w="1559" w:type="dxa"/>
          </w:tcPr>
          <w:p>
            <w:pPr>
              <w:spacing w:line="360" w:lineRule="auto"/>
              <w:jc w:val="center"/>
              <w:rPr>
                <w:rFonts w:ascii="宋体" w:hAnsi="宋体" w:eastAsia="宋体" w:cs="宋体"/>
                <w:highlight w:val="none"/>
              </w:rPr>
            </w:pPr>
          </w:p>
        </w:tc>
        <w:tc>
          <w:tcPr>
            <w:tcW w:w="1597" w:type="dxa"/>
          </w:tcPr>
          <w:p>
            <w:pPr>
              <w:spacing w:line="360" w:lineRule="auto"/>
              <w:jc w:val="center"/>
              <w:rPr>
                <w:rFonts w:ascii="宋体" w:hAnsi="宋体" w:eastAsia="宋体" w:cs="宋体"/>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4" w:hRule="atLeast"/>
        </w:trPr>
        <w:tc>
          <w:tcPr>
            <w:tcW w:w="1102" w:type="dxa"/>
          </w:tcPr>
          <w:p>
            <w:pPr>
              <w:pStyle w:val="45"/>
              <w:spacing w:line="360" w:lineRule="auto"/>
              <w:jc w:val="center"/>
              <w:rPr>
                <w:sz w:val="24"/>
                <w:szCs w:val="24"/>
                <w:highlight w:val="none"/>
              </w:rPr>
            </w:pPr>
            <w:r>
              <w:rPr>
                <w:rFonts w:hint="eastAsia"/>
                <w:sz w:val="24"/>
                <w:szCs w:val="24"/>
                <w:highlight w:val="none"/>
              </w:rPr>
              <w:t>2</w:t>
            </w:r>
          </w:p>
        </w:tc>
        <w:tc>
          <w:tcPr>
            <w:tcW w:w="2248" w:type="dxa"/>
          </w:tcPr>
          <w:p>
            <w:pPr>
              <w:spacing w:line="360" w:lineRule="auto"/>
              <w:jc w:val="center"/>
              <w:rPr>
                <w:rFonts w:ascii="宋体" w:hAnsi="宋体" w:eastAsia="宋体" w:cs="宋体"/>
                <w:highlight w:val="none"/>
              </w:rPr>
            </w:pPr>
          </w:p>
        </w:tc>
        <w:tc>
          <w:tcPr>
            <w:tcW w:w="1844" w:type="dxa"/>
          </w:tcPr>
          <w:p>
            <w:pPr>
              <w:spacing w:line="360" w:lineRule="auto"/>
              <w:jc w:val="center"/>
              <w:rPr>
                <w:rFonts w:ascii="宋体" w:hAnsi="宋体" w:eastAsia="宋体" w:cs="宋体"/>
                <w:highlight w:val="none"/>
              </w:rPr>
            </w:pPr>
          </w:p>
        </w:tc>
        <w:tc>
          <w:tcPr>
            <w:tcW w:w="1559" w:type="dxa"/>
          </w:tcPr>
          <w:p>
            <w:pPr>
              <w:spacing w:line="360" w:lineRule="auto"/>
              <w:jc w:val="center"/>
              <w:rPr>
                <w:rFonts w:ascii="宋体" w:hAnsi="宋体" w:eastAsia="宋体" w:cs="宋体"/>
                <w:highlight w:val="none"/>
              </w:rPr>
            </w:pPr>
          </w:p>
        </w:tc>
        <w:tc>
          <w:tcPr>
            <w:tcW w:w="1597" w:type="dxa"/>
          </w:tcPr>
          <w:p>
            <w:pPr>
              <w:spacing w:line="360" w:lineRule="auto"/>
              <w:jc w:val="center"/>
              <w:rPr>
                <w:rFonts w:ascii="宋体" w:hAnsi="宋体" w:eastAsia="宋体" w:cs="宋体"/>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4" w:hRule="atLeast"/>
        </w:trPr>
        <w:tc>
          <w:tcPr>
            <w:tcW w:w="1102" w:type="dxa"/>
          </w:tcPr>
          <w:p>
            <w:pPr>
              <w:spacing w:line="360" w:lineRule="auto"/>
              <w:jc w:val="center"/>
              <w:rPr>
                <w:rFonts w:ascii="宋体" w:hAnsi="宋体" w:eastAsia="宋体" w:cs="宋体"/>
                <w:highlight w:val="none"/>
              </w:rPr>
            </w:pPr>
          </w:p>
        </w:tc>
        <w:tc>
          <w:tcPr>
            <w:tcW w:w="2248" w:type="dxa"/>
          </w:tcPr>
          <w:p>
            <w:pPr>
              <w:spacing w:line="360" w:lineRule="auto"/>
              <w:jc w:val="center"/>
              <w:rPr>
                <w:rFonts w:ascii="宋体" w:hAnsi="宋体" w:eastAsia="宋体" w:cs="宋体"/>
                <w:highlight w:val="none"/>
              </w:rPr>
            </w:pPr>
          </w:p>
        </w:tc>
        <w:tc>
          <w:tcPr>
            <w:tcW w:w="1844" w:type="dxa"/>
          </w:tcPr>
          <w:p>
            <w:pPr>
              <w:spacing w:line="360" w:lineRule="auto"/>
              <w:jc w:val="center"/>
              <w:rPr>
                <w:rFonts w:ascii="宋体" w:hAnsi="宋体" w:eastAsia="宋体" w:cs="宋体"/>
                <w:highlight w:val="none"/>
              </w:rPr>
            </w:pPr>
          </w:p>
        </w:tc>
        <w:tc>
          <w:tcPr>
            <w:tcW w:w="1559" w:type="dxa"/>
          </w:tcPr>
          <w:p>
            <w:pPr>
              <w:spacing w:line="360" w:lineRule="auto"/>
              <w:jc w:val="center"/>
              <w:rPr>
                <w:rFonts w:ascii="宋体" w:hAnsi="宋体" w:eastAsia="宋体" w:cs="宋体"/>
                <w:highlight w:val="none"/>
              </w:rPr>
            </w:pPr>
          </w:p>
        </w:tc>
        <w:tc>
          <w:tcPr>
            <w:tcW w:w="1597" w:type="dxa"/>
          </w:tcPr>
          <w:p>
            <w:pPr>
              <w:spacing w:line="360" w:lineRule="auto"/>
              <w:jc w:val="center"/>
              <w:rPr>
                <w:rFonts w:ascii="宋体" w:hAnsi="宋体" w:eastAsia="宋体" w:cs="宋体"/>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4" w:hRule="atLeast"/>
        </w:trPr>
        <w:tc>
          <w:tcPr>
            <w:tcW w:w="1102" w:type="dxa"/>
          </w:tcPr>
          <w:p>
            <w:pPr>
              <w:spacing w:line="360" w:lineRule="auto"/>
              <w:jc w:val="center"/>
              <w:rPr>
                <w:rFonts w:ascii="宋体" w:hAnsi="宋体" w:eastAsia="宋体" w:cs="宋体"/>
                <w:highlight w:val="none"/>
              </w:rPr>
            </w:pPr>
          </w:p>
        </w:tc>
        <w:tc>
          <w:tcPr>
            <w:tcW w:w="2248" w:type="dxa"/>
          </w:tcPr>
          <w:p>
            <w:pPr>
              <w:spacing w:line="360" w:lineRule="auto"/>
              <w:jc w:val="center"/>
              <w:rPr>
                <w:rFonts w:ascii="宋体" w:hAnsi="宋体" w:eastAsia="宋体" w:cs="宋体"/>
                <w:highlight w:val="none"/>
              </w:rPr>
            </w:pPr>
          </w:p>
        </w:tc>
        <w:tc>
          <w:tcPr>
            <w:tcW w:w="1844" w:type="dxa"/>
          </w:tcPr>
          <w:p>
            <w:pPr>
              <w:spacing w:line="360" w:lineRule="auto"/>
              <w:jc w:val="center"/>
              <w:rPr>
                <w:rFonts w:ascii="宋体" w:hAnsi="宋体" w:eastAsia="宋体" w:cs="宋体"/>
                <w:highlight w:val="none"/>
              </w:rPr>
            </w:pPr>
          </w:p>
        </w:tc>
        <w:tc>
          <w:tcPr>
            <w:tcW w:w="1559" w:type="dxa"/>
          </w:tcPr>
          <w:p>
            <w:pPr>
              <w:spacing w:line="360" w:lineRule="auto"/>
              <w:jc w:val="center"/>
              <w:rPr>
                <w:rFonts w:ascii="宋体" w:hAnsi="宋体" w:eastAsia="宋体" w:cs="宋体"/>
                <w:highlight w:val="none"/>
              </w:rPr>
            </w:pPr>
          </w:p>
        </w:tc>
        <w:tc>
          <w:tcPr>
            <w:tcW w:w="1597" w:type="dxa"/>
          </w:tcPr>
          <w:p>
            <w:pPr>
              <w:spacing w:line="360" w:lineRule="auto"/>
              <w:jc w:val="center"/>
              <w:rPr>
                <w:rFonts w:ascii="宋体" w:hAnsi="宋体" w:eastAsia="宋体" w:cs="宋体"/>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4" w:hRule="atLeast"/>
        </w:trPr>
        <w:tc>
          <w:tcPr>
            <w:tcW w:w="1102" w:type="dxa"/>
          </w:tcPr>
          <w:p>
            <w:pPr>
              <w:spacing w:line="360" w:lineRule="auto"/>
              <w:jc w:val="center"/>
              <w:rPr>
                <w:rFonts w:ascii="宋体" w:hAnsi="宋体" w:eastAsia="宋体" w:cs="宋体"/>
                <w:highlight w:val="none"/>
              </w:rPr>
            </w:pPr>
          </w:p>
        </w:tc>
        <w:tc>
          <w:tcPr>
            <w:tcW w:w="2248" w:type="dxa"/>
          </w:tcPr>
          <w:p>
            <w:pPr>
              <w:spacing w:line="360" w:lineRule="auto"/>
              <w:jc w:val="center"/>
              <w:rPr>
                <w:rFonts w:ascii="宋体" w:hAnsi="宋体" w:eastAsia="宋体" w:cs="宋体"/>
                <w:highlight w:val="none"/>
              </w:rPr>
            </w:pPr>
          </w:p>
        </w:tc>
        <w:tc>
          <w:tcPr>
            <w:tcW w:w="1844" w:type="dxa"/>
          </w:tcPr>
          <w:p>
            <w:pPr>
              <w:spacing w:line="360" w:lineRule="auto"/>
              <w:jc w:val="center"/>
              <w:rPr>
                <w:rFonts w:ascii="宋体" w:hAnsi="宋体" w:eastAsia="宋体" w:cs="宋体"/>
                <w:highlight w:val="none"/>
              </w:rPr>
            </w:pPr>
          </w:p>
        </w:tc>
        <w:tc>
          <w:tcPr>
            <w:tcW w:w="1559" w:type="dxa"/>
          </w:tcPr>
          <w:p>
            <w:pPr>
              <w:spacing w:line="360" w:lineRule="auto"/>
              <w:jc w:val="center"/>
              <w:rPr>
                <w:rFonts w:ascii="宋体" w:hAnsi="宋体" w:eastAsia="宋体" w:cs="宋体"/>
                <w:highlight w:val="none"/>
              </w:rPr>
            </w:pPr>
          </w:p>
        </w:tc>
        <w:tc>
          <w:tcPr>
            <w:tcW w:w="1597" w:type="dxa"/>
          </w:tcPr>
          <w:p>
            <w:pPr>
              <w:spacing w:line="360" w:lineRule="auto"/>
              <w:jc w:val="center"/>
              <w:rPr>
                <w:rFonts w:ascii="宋体" w:hAnsi="宋体" w:eastAsia="宋体" w:cs="宋体"/>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4" w:hRule="atLeast"/>
        </w:trPr>
        <w:tc>
          <w:tcPr>
            <w:tcW w:w="1102" w:type="dxa"/>
          </w:tcPr>
          <w:p>
            <w:pPr>
              <w:spacing w:line="360" w:lineRule="auto"/>
              <w:jc w:val="center"/>
              <w:rPr>
                <w:rFonts w:ascii="宋体" w:hAnsi="宋体" w:eastAsia="宋体" w:cs="宋体"/>
                <w:highlight w:val="none"/>
              </w:rPr>
            </w:pPr>
          </w:p>
        </w:tc>
        <w:tc>
          <w:tcPr>
            <w:tcW w:w="2248" w:type="dxa"/>
          </w:tcPr>
          <w:p>
            <w:pPr>
              <w:spacing w:line="360" w:lineRule="auto"/>
              <w:jc w:val="center"/>
              <w:rPr>
                <w:rFonts w:ascii="宋体" w:hAnsi="宋体" w:eastAsia="宋体" w:cs="宋体"/>
                <w:highlight w:val="none"/>
              </w:rPr>
            </w:pPr>
          </w:p>
        </w:tc>
        <w:tc>
          <w:tcPr>
            <w:tcW w:w="1844" w:type="dxa"/>
          </w:tcPr>
          <w:p>
            <w:pPr>
              <w:spacing w:line="360" w:lineRule="auto"/>
              <w:jc w:val="center"/>
              <w:rPr>
                <w:rFonts w:ascii="宋体" w:hAnsi="宋体" w:eastAsia="宋体" w:cs="宋体"/>
                <w:highlight w:val="none"/>
              </w:rPr>
            </w:pPr>
          </w:p>
        </w:tc>
        <w:tc>
          <w:tcPr>
            <w:tcW w:w="1559" w:type="dxa"/>
          </w:tcPr>
          <w:p>
            <w:pPr>
              <w:spacing w:line="360" w:lineRule="auto"/>
              <w:jc w:val="center"/>
              <w:rPr>
                <w:rFonts w:ascii="宋体" w:hAnsi="宋体" w:eastAsia="宋体" w:cs="宋体"/>
                <w:highlight w:val="none"/>
              </w:rPr>
            </w:pPr>
          </w:p>
        </w:tc>
        <w:tc>
          <w:tcPr>
            <w:tcW w:w="1597" w:type="dxa"/>
          </w:tcPr>
          <w:p>
            <w:pPr>
              <w:spacing w:line="360" w:lineRule="auto"/>
              <w:jc w:val="center"/>
              <w:rPr>
                <w:rFonts w:ascii="宋体" w:hAnsi="宋体" w:eastAsia="宋体" w:cs="宋体"/>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4" w:hRule="atLeast"/>
        </w:trPr>
        <w:tc>
          <w:tcPr>
            <w:tcW w:w="1102" w:type="dxa"/>
          </w:tcPr>
          <w:p>
            <w:pPr>
              <w:spacing w:line="360" w:lineRule="auto"/>
              <w:jc w:val="center"/>
              <w:rPr>
                <w:rFonts w:ascii="宋体" w:hAnsi="宋体" w:eastAsia="宋体" w:cs="宋体"/>
                <w:highlight w:val="none"/>
              </w:rPr>
            </w:pPr>
          </w:p>
        </w:tc>
        <w:tc>
          <w:tcPr>
            <w:tcW w:w="2248" w:type="dxa"/>
          </w:tcPr>
          <w:p>
            <w:pPr>
              <w:spacing w:line="360" w:lineRule="auto"/>
              <w:jc w:val="center"/>
              <w:rPr>
                <w:rFonts w:ascii="宋体" w:hAnsi="宋体" w:eastAsia="宋体" w:cs="宋体"/>
                <w:highlight w:val="none"/>
              </w:rPr>
            </w:pPr>
          </w:p>
        </w:tc>
        <w:tc>
          <w:tcPr>
            <w:tcW w:w="1844" w:type="dxa"/>
          </w:tcPr>
          <w:p>
            <w:pPr>
              <w:spacing w:line="360" w:lineRule="auto"/>
              <w:jc w:val="center"/>
              <w:rPr>
                <w:rFonts w:ascii="宋体" w:hAnsi="宋体" w:eastAsia="宋体" w:cs="宋体"/>
                <w:highlight w:val="none"/>
              </w:rPr>
            </w:pPr>
          </w:p>
        </w:tc>
        <w:tc>
          <w:tcPr>
            <w:tcW w:w="1559" w:type="dxa"/>
          </w:tcPr>
          <w:p>
            <w:pPr>
              <w:spacing w:line="360" w:lineRule="auto"/>
              <w:jc w:val="center"/>
              <w:rPr>
                <w:rFonts w:ascii="宋体" w:hAnsi="宋体" w:eastAsia="宋体" w:cs="宋体"/>
                <w:highlight w:val="none"/>
              </w:rPr>
            </w:pPr>
          </w:p>
        </w:tc>
        <w:tc>
          <w:tcPr>
            <w:tcW w:w="1597" w:type="dxa"/>
          </w:tcPr>
          <w:p>
            <w:pPr>
              <w:spacing w:line="360" w:lineRule="auto"/>
              <w:jc w:val="center"/>
              <w:rPr>
                <w:rFonts w:ascii="宋体" w:hAnsi="宋体" w:eastAsia="宋体" w:cs="宋体"/>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4" w:hRule="atLeast"/>
        </w:trPr>
        <w:tc>
          <w:tcPr>
            <w:tcW w:w="1102" w:type="dxa"/>
          </w:tcPr>
          <w:p>
            <w:pPr>
              <w:spacing w:line="360" w:lineRule="auto"/>
              <w:jc w:val="center"/>
              <w:rPr>
                <w:rFonts w:ascii="宋体" w:hAnsi="宋体" w:eastAsia="宋体" w:cs="宋体"/>
                <w:highlight w:val="none"/>
              </w:rPr>
            </w:pPr>
          </w:p>
        </w:tc>
        <w:tc>
          <w:tcPr>
            <w:tcW w:w="2248" w:type="dxa"/>
          </w:tcPr>
          <w:p>
            <w:pPr>
              <w:spacing w:line="360" w:lineRule="auto"/>
              <w:jc w:val="center"/>
              <w:rPr>
                <w:rFonts w:ascii="宋体" w:hAnsi="宋体" w:eastAsia="宋体" w:cs="宋体"/>
                <w:highlight w:val="none"/>
              </w:rPr>
            </w:pPr>
          </w:p>
        </w:tc>
        <w:tc>
          <w:tcPr>
            <w:tcW w:w="1844" w:type="dxa"/>
          </w:tcPr>
          <w:p>
            <w:pPr>
              <w:spacing w:line="360" w:lineRule="auto"/>
              <w:jc w:val="center"/>
              <w:rPr>
                <w:rFonts w:ascii="宋体" w:hAnsi="宋体" w:eastAsia="宋体" w:cs="宋体"/>
                <w:highlight w:val="none"/>
              </w:rPr>
            </w:pPr>
          </w:p>
        </w:tc>
        <w:tc>
          <w:tcPr>
            <w:tcW w:w="1559" w:type="dxa"/>
          </w:tcPr>
          <w:p>
            <w:pPr>
              <w:spacing w:line="360" w:lineRule="auto"/>
              <w:jc w:val="center"/>
              <w:rPr>
                <w:rFonts w:ascii="宋体" w:hAnsi="宋体" w:eastAsia="宋体" w:cs="宋体"/>
                <w:highlight w:val="none"/>
              </w:rPr>
            </w:pPr>
          </w:p>
        </w:tc>
        <w:tc>
          <w:tcPr>
            <w:tcW w:w="1597" w:type="dxa"/>
          </w:tcPr>
          <w:p>
            <w:pPr>
              <w:spacing w:line="360" w:lineRule="auto"/>
              <w:jc w:val="center"/>
              <w:rPr>
                <w:rFonts w:ascii="宋体" w:hAnsi="宋体" w:eastAsia="宋体" w:cs="宋体"/>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4" w:hRule="atLeast"/>
        </w:trPr>
        <w:tc>
          <w:tcPr>
            <w:tcW w:w="1102" w:type="dxa"/>
          </w:tcPr>
          <w:p>
            <w:pPr>
              <w:spacing w:line="360" w:lineRule="auto"/>
              <w:jc w:val="center"/>
              <w:rPr>
                <w:rFonts w:ascii="宋体" w:hAnsi="宋体" w:eastAsia="宋体" w:cs="宋体"/>
                <w:highlight w:val="none"/>
              </w:rPr>
            </w:pPr>
          </w:p>
        </w:tc>
        <w:tc>
          <w:tcPr>
            <w:tcW w:w="2248" w:type="dxa"/>
          </w:tcPr>
          <w:p>
            <w:pPr>
              <w:spacing w:line="360" w:lineRule="auto"/>
              <w:jc w:val="center"/>
              <w:rPr>
                <w:rFonts w:ascii="宋体" w:hAnsi="宋体" w:eastAsia="宋体" w:cs="宋体"/>
                <w:highlight w:val="none"/>
              </w:rPr>
            </w:pPr>
          </w:p>
        </w:tc>
        <w:tc>
          <w:tcPr>
            <w:tcW w:w="1844" w:type="dxa"/>
          </w:tcPr>
          <w:p>
            <w:pPr>
              <w:spacing w:line="360" w:lineRule="auto"/>
              <w:jc w:val="center"/>
              <w:rPr>
                <w:rFonts w:ascii="宋体" w:hAnsi="宋体" w:eastAsia="宋体" w:cs="宋体"/>
                <w:highlight w:val="none"/>
              </w:rPr>
            </w:pPr>
          </w:p>
        </w:tc>
        <w:tc>
          <w:tcPr>
            <w:tcW w:w="1559" w:type="dxa"/>
          </w:tcPr>
          <w:p>
            <w:pPr>
              <w:spacing w:line="360" w:lineRule="auto"/>
              <w:jc w:val="center"/>
              <w:rPr>
                <w:rFonts w:ascii="宋体" w:hAnsi="宋体" w:eastAsia="宋体" w:cs="宋体"/>
                <w:highlight w:val="none"/>
              </w:rPr>
            </w:pPr>
          </w:p>
        </w:tc>
        <w:tc>
          <w:tcPr>
            <w:tcW w:w="1597" w:type="dxa"/>
          </w:tcPr>
          <w:p>
            <w:pPr>
              <w:spacing w:line="360" w:lineRule="auto"/>
              <w:jc w:val="center"/>
              <w:rPr>
                <w:rFonts w:ascii="宋体" w:hAnsi="宋体" w:eastAsia="宋体" w:cs="宋体"/>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2" w:hRule="atLeast"/>
        </w:trPr>
        <w:tc>
          <w:tcPr>
            <w:tcW w:w="1102" w:type="dxa"/>
          </w:tcPr>
          <w:p>
            <w:pPr>
              <w:spacing w:line="360" w:lineRule="auto"/>
              <w:jc w:val="center"/>
              <w:rPr>
                <w:rFonts w:ascii="宋体" w:hAnsi="宋体" w:eastAsia="宋体" w:cs="宋体"/>
                <w:highlight w:val="none"/>
              </w:rPr>
            </w:pPr>
          </w:p>
        </w:tc>
        <w:tc>
          <w:tcPr>
            <w:tcW w:w="2248" w:type="dxa"/>
          </w:tcPr>
          <w:p>
            <w:pPr>
              <w:spacing w:line="360" w:lineRule="auto"/>
              <w:jc w:val="center"/>
              <w:rPr>
                <w:rFonts w:ascii="宋体" w:hAnsi="宋体" w:eastAsia="宋体" w:cs="宋体"/>
                <w:highlight w:val="none"/>
              </w:rPr>
            </w:pPr>
          </w:p>
        </w:tc>
        <w:tc>
          <w:tcPr>
            <w:tcW w:w="1844" w:type="dxa"/>
          </w:tcPr>
          <w:p>
            <w:pPr>
              <w:spacing w:line="360" w:lineRule="auto"/>
              <w:jc w:val="center"/>
              <w:rPr>
                <w:rFonts w:ascii="宋体" w:hAnsi="宋体" w:eastAsia="宋体" w:cs="宋体"/>
                <w:highlight w:val="none"/>
              </w:rPr>
            </w:pPr>
          </w:p>
        </w:tc>
        <w:tc>
          <w:tcPr>
            <w:tcW w:w="1559" w:type="dxa"/>
          </w:tcPr>
          <w:p>
            <w:pPr>
              <w:spacing w:line="360" w:lineRule="auto"/>
              <w:jc w:val="center"/>
              <w:rPr>
                <w:rFonts w:ascii="宋体" w:hAnsi="宋体" w:eastAsia="宋体" w:cs="宋体"/>
                <w:highlight w:val="none"/>
              </w:rPr>
            </w:pPr>
          </w:p>
        </w:tc>
        <w:tc>
          <w:tcPr>
            <w:tcW w:w="1597" w:type="dxa"/>
          </w:tcPr>
          <w:p>
            <w:pPr>
              <w:spacing w:line="360" w:lineRule="auto"/>
              <w:jc w:val="center"/>
              <w:rPr>
                <w:rFonts w:ascii="宋体" w:hAnsi="宋体" w:eastAsia="宋体" w:cs="宋体"/>
                <w:highlight w:val="none"/>
              </w:rPr>
            </w:pPr>
          </w:p>
        </w:tc>
      </w:tr>
    </w:tbl>
    <w:p>
      <w:pPr>
        <w:pStyle w:val="2"/>
        <w:spacing w:line="360" w:lineRule="auto"/>
        <w:rPr>
          <w:rFonts w:ascii="宋体" w:hAnsi="宋体" w:eastAsia="宋体" w:cs="宋体"/>
          <w:sz w:val="24"/>
          <w:szCs w:val="24"/>
          <w:highlight w:val="none"/>
        </w:rPr>
      </w:pPr>
    </w:p>
    <w:p>
      <w:pPr>
        <w:pStyle w:val="118"/>
        <w:spacing w:line="360" w:lineRule="auto"/>
        <w:jc w:val="left"/>
        <w:rPr>
          <w:rFonts w:ascii="宋体" w:hAnsi="宋体" w:cs="宋体"/>
          <w:bCs/>
          <w:spacing w:val="10"/>
          <w:kern w:val="0"/>
          <w:sz w:val="24"/>
          <w:szCs w:val="24"/>
          <w:highlight w:val="none"/>
        </w:rPr>
      </w:pPr>
      <w:r>
        <w:rPr>
          <w:rFonts w:hint="eastAsia" w:ascii="宋体" w:hAnsi="宋体" w:cs="宋体"/>
          <w:bCs/>
          <w:spacing w:val="10"/>
          <w:kern w:val="0"/>
          <w:sz w:val="24"/>
          <w:szCs w:val="24"/>
          <w:highlight w:val="none"/>
        </w:rPr>
        <w:t>注：投标人可根据产品需要自行填报易损件报价。</w:t>
      </w:r>
    </w:p>
    <w:p>
      <w:pPr>
        <w:pStyle w:val="118"/>
        <w:spacing w:line="360" w:lineRule="auto"/>
        <w:jc w:val="left"/>
        <w:rPr>
          <w:rFonts w:ascii="宋体" w:hAnsi="宋体" w:cs="宋体"/>
          <w:bCs/>
          <w:spacing w:val="10"/>
          <w:kern w:val="0"/>
          <w:sz w:val="24"/>
          <w:szCs w:val="24"/>
          <w:highlight w:val="none"/>
        </w:rPr>
      </w:pPr>
      <w:r>
        <w:rPr>
          <w:rFonts w:hint="eastAsia" w:ascii="宋体" w:hAnsi="宋体" w:cs="宋体"/>
          <w:bCs/>
          <w:spacing w:val="10"/>
          <w:kern w:val="0"/>
          <w:sz w:val="24"/>
          <w:szCs w:val="24"/>
          <w:highlight w:val="none"/>
        </w:rPr>
        <w:t>投标人（企业电子章）：</w:t>
      </w:r>
    </w:p>
    <w:p>
      <w:pPr>
        <w:pStyle w:val="118"/>
        <w:spacing w:line="360" w:lineRule="auto"/>
        <w:jc w:val="left"/>
        <w:rPr>
          <w:rFonts w:ascii="宋体" w:hAnsi="宋体" w:cs="宋体"/>
          <w:bCs/>
          <w:spacing w:val="10"/>
          <w:kern w:val="0"/>
          <w:sz w:val="24"/>
          <w:szCs w:val="24"/>
          <w:highlight w:val="none"/>
        </w:rPr>
      </w:pPr>
    </w:p>
    <w:p>
      <w:pPr>
        <w:pStyle w:val="118"/>
        <w:spacing w:line="360" w:lineRule="auto"/>
        <w:jc w:val="left"/>
        <w:rPr>
          <w:rFonts w:ascii="宋体" w:hAnsi="宋体" w:cs="宋体"/>
          <w:bCs/>
          <w:spacing w:val="10"/>
          <w:kern w:val="0"/>
          <w:sz w:val="24"/>
          <w:szCs w:val="24"/>
          <w:highlight w:val="none"/>
        </w:rPr>
      </w:pPr>
    </w:p>
    <w:p>
      <w:pPr>
        <w:pStyle w:val="118"/>
        <w:spacing w:line="360" w:lineRule="auto"/>
        <w:jc w:val="left"/>
        <w:rPr>
          <w:rFonts w:ascii="宋体" w:hAnsi="宋体" w:cs="宋体"/>
          <w:bCs/>
          <w:spacing w:val="10"/>
          <w:kern w:val="0"/>
          <w:sz w:val="24"/>
          <w:szCs w:val="24"/>
          <w:highlight w:val="none"/>
        </w:rPr>
      </w:pPr>
    </w:p>
    <w:p>
      <w:pPr>
        <w:pStyle w:val="118"/>
        <w:spacing w:line="360" w:lineRule="auto"/>
        <w:jc w:val="left"/>
        <w:rPr>
          <w:rFonts w:ascii="宋体" w:hAnsi="宋体" w:cs="宋体"/>
          <w:bCs/>
          <w:spacing w:val="10"/>
          <w:kern w:val="0"/>
          <w:sz w:val="24"/>
          <w:szCs w:val="24"/>
          <w:highlight w:val="none"/>
        </w:rPr>
      </w:pPr>
    </w:p>
    <w:p>
      <w:pPr>
        <w:pStyle w:val="118"/>
        <w:spacing w:line="360" w:lineRule="auto"/>
        <w:jc w:val="left"/>
        <w:rPr>
          <w:rFonts w:ascii="宋体" w:hAnsi="宋体" w:cs="宋体"/>
          <w:bCs/>
          <w:spacing w:val="10"/>
          <w:kern w:val="0"/>
          <w:sz w:val="24"/>
          <w:szCs w:val="24"/>
          <w:highlight w:val="none"/>
        </w:rPr>
      </w:pPr>
    </w:p>
    <w:p>
      <w:pPr>
        <w:pStyle w:val="118"/>
        <w:spacing w:line="360" w:lineRule="auto"/>
        <w:jc w:val="left"/>
        <w:rPr>
          <w:rFonts w:ascii="宋体" w:hAnsi="宋体" w:cs="宋体"/>
          <w:bCs/>
          <w:spacing w:val="10"/>
          <w:kern w:val="0"/>
          <w:sz w:val="24"/>
          <w:szCs w:val="24"/>
          <w:highlight w:val="none"/>
        </w:rPr>
      </w:pPr>
    </w:p>
    <w:p>
      <w:pPr>
        <w:pStyle w:val="118"/>
        <w:spacing w:line="360" w:lineRule="auto"/>
        <w:jc w:val="left"/>
        <w:rPr>
          <w:rFonts w:ascii="宋体" w:hAnsi="宋体" w:cs="宋体"/>
          <w:bCs/>
          <w:spacing w:val="10"/>
          <w:kern w:val="0"/>
          <w:sz w:val="24"/>
          <w:szCs w:val="24"/>
          <w:highlight w:val="none"/>
        </w:rPr>
      </w:pPr>
    </w:p>
    <w:p>
      <w:pPr>
        <w:pStyle w:val="118"/>
        <w:spacing w:line="360" w:lineRule="auto"/>
        <w:jc w:val="left"/>
        <w:rPr>
          <w:rFonts w:ascii="宋体" w:hAnsi="宋体" w:cs="宋体"/>
          <w:bCs/>
          <w:spacing w:val="10"/>
          <w:kern w:val="0"/>
          <w:sz w:val="24"/>
          <w:szCs w:val="24"/>
          <w:highlight w:val="none"/>
        </w:rPr>
      </w:pPr>
    </w:p>
    <w:p>
      <w:pPr>
        <w:pStyle w:val="118"/>
        <w:spacing w:line="360" w:lineRule="auto"/>
        <w:jc w:val="left"/>
        <w:rPr>
          <w:rFonts w:ascii="宋体" w:hAnsi="宋体" w:cs="宋体"/>
          <w:bCs/>
          <w:spacing w:val="10"/>
          <w:kern w:val="0"/>
          <w:sz w:val="24"/>
          <w:szCs w:val="24"/>
          <w:highlight w:val="none"/>
        </w:rPr>
      </w:pPr>
    </w:p>
    <w:p>
      <w:pPr>
        <w:pStyle w:val="118"/>
        <w:spacing w:line="360" w:lineRule="auto"/>
        <w:jc w:val="left"/>
        <w:rPr>
          <w:rFonts w:ascii="宋体" w:hAnsi="宋体" w:cs="宋体"/>
          <w:bCs/>
          <w:spacing w:val="10"/>
          <w:kern w:val="0"/>
          <w:sz w:val="24"/>
          <w:szCs w:val="24"/>
          <w:highlight w:val="none"/>
        </w:rPr>
      </w:pPr>
    </w:p>
    <w:p>
      <w:pPr>
        <w:pStyle w:val="118"/>
        <w:spacing w:line="360" w:lineRule="auto"/>
        <w:jc w:val="left"/>
        <w:rPr>
          <w:rFonts w:ascii="宋体" w:hAnsi="宋体" w:cs="宋体"/>
          <w:bCs/>
          <w:spacing w:val="10"/>
          <w:kern w:val="0"/>
          <w:sz w:val="24"/>
          <w:szCs w:val="24"/>
          <w:highlight w:val="none"/>
        </w:rPr>
      </w:pPr>
    </w:p>
    <w:p>
      <w:pPr>
        <w:pStyle w:val="118"/>
        <w:spacing w:line="360" w:lineRule="auto"/>
        <w:jc w:val="left"/>
        <w:rPr>
          <w:rFonts w:ascii="宋体" w:hAnsi="宋体" w:cs="宋体"/>
          <w:bCs/>
          <w:spacing w:val="10"/>
          <w:kern w:val="0"/>
          <w:sz w:val="24"/>
          <w:szCs w:val="24"/>
          <w:highlight w:val="none"/>
        </w:rPr>
      </w:pPr>
    </w:p>
    <w:p>
      <w:pPr>
        <w:pStyle w:val="118"/>
        <w:spacing w:line="360" w:lineRule="auto"/>
        <w:jc w:val="left"/>
        <w:rPr>
          <w:rFonts w:ascii="宋体" w:hAnsi="宋体" w:cs="宋体"/>
          <w:bCs/>
          <w:spacing w:val="10"/>
          <w:kern w:val="0"/>
          <w:sz w:val="24"/>
          <w:szCs w:val="24"/>
          <w:highlight w:val="none"/>
        </w:rPr>
      </w:pPr>
    </w:p>
    <w:p>
      <w:pPr>
        <w:pStyle w:val="118"/>
        <w:spacing w:line="360" w:lineRule="auto"/>
        <w:jc w:val="left"/>
        <w:rPr>
          <w:rFonts w:ascii="宋体" w:hAnsi="宋体" w:cs="宋体"/>
          <w:bCs/>
          <w:spacing w:val="10"/>
          <w:kern w:val="0"/>
          <w:sz w:val="24"/>
          <w:szCs w:val="24"/>
          <w:highlight w:val="none"/>
        </w:rPr>
      </w:pPr>
    </w:p>
    <w:p>
      <w:pPr>
        <w:pStyle w:val="118"/>
        <w:spacing w:line="360" w:lineRule="auto"/>
        <w:jc w:val="left"/>
        <w:rPr>
          <w:rFonts w:ascii="宋体" w:hAnsi="宋体" w:cs="宋体"/>
          <w:bCs/>
          <w:spacing w:val="10"/>
          <w:kern w:val="0"/>
          <w:sz w:val="24"/>
          <w:szCs w:val="24"/>
          <w:highlight w:val="none"/>
        </w:rPr>
      </w:pPr>
    </w:p>
    <w:p>
      <w:pPr>
        <w:spacing w:line="360" w:lineRule="auto"/>
        <w:jc w:val="center"/>
        <w:rPr>
          <w:rFonts w:ascii="宋体" w:hAnsi="宋体" w:eastAsia="宋体" w:cs="宋体"/>
          <w:b/>
          <w:spacing w:val="10"/>
          <w:highlight w:val="none"/>
        </w:rPr>
      </w:pPr>
      <w:r>
        <w:rPr>
          <w:rFonts w:hint="eastAsia" w:ascii="宋体" w:hAnsi="宋体" w:eastAsia="宋体" w:cs="宋体"/>
          <w:b/>
          <w:spacing w:val="10"/>
          <w:highlight w:val="none"/>
        </w:rPr>
        <w:t>3.备品备件易损件折扣率表</w:t>
      </w:r>
    </w:p>
    <w:p>
      <w:pPr>
        <w:pStyle w:val="99"/>
        <w:rPr>
          <w:rFonts w:ascii="仿宋" w:hAnsi="仿宋" w:eastAsia="仿宋"/>
          <w:bCs/>
          <w:color w:val="0000FF"/>
          <w:sz w:val="28"/>
          <w:szCs w:val="28"/>
          <w:highlight w:val="none"/>
        </w:rPr>
      </w:pPr>
    </w:p>
    <w:tbl>
      <w:tblPr>
        <w:tblStyle w:val="117"/>
        <w:tblW w:w="4967"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0" w:type="dxa"/>
          <w:bottom w:w="0" w:type="dxa"/>
          <w:right w:w="0" w:type="dxa"/>
        </w:tblCellMar>
      </w:tblPr>
      <w:tblGrid>
        <w:gridCol w:w="675"/>
        <w:gridCol w:w="1352"/>
        <w:gridCol w:w="1633"/>
        <w:gridCol w:w="1142"/>
        <w:gridCol w:w="992"/>
        <w:gridCol w:w="1014"/>
        <w:gridCol w:w="1014"/>
        <w:gridCol w:w="1014"/>
        <w:gridCol w:w="10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05" w:hRule="atLeast"/>
          <w:jc w:val="center"/>
        </w:trPr>
        <w:tc>
          <w:tcPr>
            <w:tcW w:w="343" w:type="pct"/>
            <w:vAlign w:val="center"/>
          </w:tcPr>
          <w:p>
            <w:pPr>
              <w:spacing w:before="68" w:line="185" w:lineRule="auto"/>
              <w:ind w:firstLine="119"/>
              <w:jc w:val="left"/>
              <w:rPr>
                <w:rFonts w:ascii="宋体" w:hAnsi="宋体" w:eastAsia="宋体" w:cs="宋体"/>
                <w:sz w:val="21"/>
                <w:szCs w:val="21"/>
                <w:highlight w:val="none"/>
              </w:rPr>
            </w:pPr>
            <w:r>
              <w:rPr>
                <w:rFonts w:hint="eastAsia" w:ascii="宋体" w:hAnsi="宋体" w:eastAsia="宋体" w:cs="宋体"/>
                <w:spacing w:val="-4"/>
                <w:sz w:val="21"/>
                <w:szCs w:val="21"/>
                <w:highlight w:val="none"/>
              </w:rPr>
              <w:t>序号</w:t>
            </w:r>
          </w:p>
        </w:tc>
        <w:tc>
          <w:tcPr>
            <w:tcW w:w="686" w:type="pct"/>
            <w:vAlign w:val="center"/>
          </w:tcPr>
          <w:p>
            <w:pPr>
              <w:spacing w:before="68" w:line="185" w:lineRule="auto"/>
              <w:ind w:firstLine="116"/>
              <w:jc w:val="center"/>
              <w:rPr>
                <w:rFonts w:ascii="宋体" w:hAnsi="宋体" w:eastAsia="宋体" w:cs="宋体"/>
                <w:sz w:val="21"/>
                <w:szCs w:val="21"/>
                <w:highlight w:val="none"/>
              </w:rPr>
            </w:pPr>
            <w:r>
              <w:rPr>
                <w:rFonts w:hint="eastAsia" w:ascii="宋体" w:hAnsi="宋体" w:eastAsia="宋体" w:cs="宋体"/>
                <w:spacing w:val="-4"/>
                <w:sz w:val="21"/>
                <w:szCs w:val="21"/>
                <w:highlight w:val="none"/>
              </w:rPr>
              <w:t>货物名称</w:t>
            </w:r>
          </w:p>
        </w:tc>
        <w:tc>
          <w:tcPr>
            <w:tcW w:w="828" w:type="pct"/>
            <w:vAlign w:val="center"/>
          </w:tcPr>
          <w:p>
            <w:pPr>
              <w:spacing w:before="68" w:line="185" w:lineRule="auto"/>
              <w:ind w:firstLine="139"/>
              <w:jc w:val="center"/>
              <w:rPr>
                <w:rFonts w:ascii="宋体" w:hAnsi="宋体" w:eastAsia="宋体" w:cs="宋体"/>
                <w:sz w:val="21"/>
                <w:szCs w:val="21"/>
                <w:highlight w:val="none"/>
              </w:rPr>
            </w:pPr>
            <w:r>
              <w:rPr>
                <w:rFonts w:hint="eastAsia" w:ascii="宋体" w:hAnsi="宋体" w:eastAsia="宋体" w:cs="宋体"/>
                <w:spacing w:val="-5"/>
                <w:sz w:val="21"/>
                <w:szCs w:val="21"/>
                <w:highlight w:val="none"/>
              </w:rPr>
              <w:t>品牌及制造商</w:t>
            </w:r>
          </w:p>
        </w:tc>
        <w:tc>
          <w:tcPr>
            <w:tcW w:w="579" w:type="pct"/>
            <w:vAlign w:val="center"/>
          </w:tcPr>
          <w:p>
            <w:pPr>
              <w:spacing w:before="68" w:line="185" w:lineRule="auto"/>
              <w:ind w:firstLine="120"/>
              <w:jc w:val="center"/>
              <w:rPr>
                <w:rFonts w:ascii="宋体" w:hAnsi="宋体" w:eastAsia="宋体" w:cs="宋体"/>
                <w:sz w:val="21"/>
                <w:szCs w:val="21"/>
                <w:highlight w:val="none"/>
              </w:rPr>
            </w:pPr>
            <w:r>
              <w:rPr>
                <w:rFonts w:hint="eastAsia" w:ascii="宋体" w:hAnsi="宋体" w:eastAsia="宋体" w:cs="宋体"/>
                <w:spacing w:val="-3"/>
                <w:sz w:val="21"/>
                <w:szCs w:val="21"/>
                <w:highlight w:val="none"/>
              </w:rPr>
              <w:t>规格型号</w:t>
            </w:r>
          </w:p>
        </w:tc>
        <w:tc>
          <w:tcPr>
            <w:tcW w:w="503" w:type="pct"/>
            <w:vAlign w:val="center"/>
          </w:tcPr>
          <w:p>
            <w:pPr>
              <w:spacing w:line="204" w:lineRule="auto"/>
              <w:jc w:val="center"/>
              <w:rPr>
                <w:rFonts w:ascii="宋体" w:hAnsi="宋体" w:eastAsia="宋体" w:cs="宋体"/>
                <w:sz w:val="21"/>
                <w:szCs w:val="21"/>
                <w:highlight w:val="none"/>
              </w:rPr>
            </w:pPr>
            <w:r>
              <w:rPr>
                <w:rFonts w:hint="eastAsia" w:ascii="宋体" w:hAnsi="宋体" w:eastAsia="宋体" w:cs="宋体"/>
                <w:spacing w:val="-4"/>
                <w:sz w:val="21"/>
                <w:szCs w:val="21"/>
                <w:highlight w:val="none"/>
              </w:rPr>
              <w:t>原价（元）</w:t>
            </w:r>
          </w:p>
        </w:tc>
        <w:tc>
          <w:tcPr>
            <w:tcW w:w="514" w:type="pct"/>
            <w:vAlign w:val="center"/>
          </w:tcPr>
          <w:p>
            <w:pPr>
              <w:spacing w:line="204" w:lineRule="auto"/>
              <w:ind w:firstLine="125"/>
              <w:jc w:val="center"/>
              <w:rPr>
                <w:rFonts w:ascii="宋体" w:hAnsi="宋体" w:eastAsia="宋体" w:cs="宋体"/>
                <w:sz w:val="21"/>
                <w:szCs w:val="21"/>
                <w:highlight w:val="none"/>
              </w:rPr>
            </w:pPr>
            <w:r>
              <w:rPr>
                <w:rFonts w:hint="eastAsia" w:ascii="宋体" w:hAnsi="宋体" w:eastAsia="宋体" w:cs="宋体"/>
                <w:spacing w:val="-6"/>
                <w:position w:val="20"/>
                <w:sz w:val="21"/>
                <w:szCs w:val="21"/>
                <w:highlight w:val="none"/>
              </w:rPr>
              <w:t>折扣率（%）</w:t>
            </w:r>
          </w:p>
        </w:tc>
        <w:tc>
          <w:tcPr>
            <w:tcW w:w="514" w:type="pct"/>
            <w:vAlign w:val="center"/>
          </w:tcPr>
          <w:p>
            <w:pPr>
              <w:spacing w:before="68" w:line="185" w:lineRule="auto"/>
              <w:jc w:val="center"/>
              <w:rPr>
                <w:rFonts w:ascii="宋体" w:hAnsi="宋体" w:eastAsia="宋体" w:cs="宋体"/>
                <w:spacing w:val="-6"/>
                <w:position w:val="20"/>
                <w:sz w:val="21"/>
                <w:szCs w:val="21"/>
                <w:highlight w:val="none"/>
              </w:rPr>
            </w:pPr>
            <w:r>
              <w:rPr>
                <w:rFonts w:hint="eastAsia" w:ascii="宋体" w:hAnsi="宋体" w:eastAsia="宋体" w:cs="宋体"/>
                <w:spacing w:val="-6"/>
                <w:position w:val="20"/>
                <w:sz w:val="21"/>
                <w:szCs w:val="21"/>
                <w:highlight w:val="none"/>
              </w:rPr>
              <w:t>折扣后金额（元）</w:t>
            </w:r>
          </w:p>
        </w:tc>
        <w:tc>
          <w:tcPr>
            <w:tcW w:w="514" w:type="pct"/>
            <w:vAlign w:val="center"/>
          </w:tcPr>
          <w:p>
            <w:pPr>
              <w:spacing w:before="68" w:line="185" w:lineRule="auto"/>
              <w:jc w:val="center"/>
              <w:rPr>
                <w:rFonts w:ascii="宋体" w:hAnsi="宋体" w:eastAsia="宋体" w:cs="宋体"/>
                <w:spacing w:val="-6"/>
                <w:position w:val="20"/>
                <w:sz w:val="21"/>
                <w:szCs w:val="21"/>
                <w:highlight w:val="none"/>
              </w:rPr>
            </w:pPr>
            <w:r>
              <w:rPr>
                <w:rFonts w:hint="eastAsia" w:ascii="宋体" w:hAnsi="宋体" w:eastAsia="宋体" w:cs="宋体"/>
                <w:spacing w:val="-6"/>
                <w:position w:val="20"/>
                <w:sz w:val="21"/>
                <w:szCs w:val="21"/>
                <w:highlight w:val="none"/>
              </w:rPr>
              <w:t>质保期</w:t>
            </w:r>
          </w:p>
        </w:tc>
        <w:tc>
          <w:tcPr>
            <w:tcW w:w="514" w:type="pct"/>
            <w:vAlign w:val="center"/>
          </w:tcPr>
          <w:p>
            <w:pPr>
              <w:spacing w:before="68" w:line="185" w:lineRule="auto"/>
              <w:jc w:val="center"/>
              <w:rPr>
                <w:rFonts w:ascii="宋体" w:hAnsi="宋体" w:eastAsia="宋体" w:cs="宋体"/>
                <w:spacing w:val="-6"/>
                <w:position w:val="20"/>
                <w:sz w:val="21"/>
                <w:szCs w:val="21"/>
                <w:highlight w:val="none"/>
              </w:rPr>
            </w:pPr>
            <w:r>
              <w:rPr>
                <w:rFonts w:hint="eastAsia" w:ascii="宋体" w:hAnsi="宋体" w:eastAsia="宋体" w:cs="宋体"/>
                <w:spacing w:val="-6"/>
                <w:position w:val="20"/>
                <w:sz w:val="21"/>
                <w:szCs w:val="21"/>
                <w:highlight w:val="none"/>
              </w:rPr>
              <w:t>备注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3" w:hRule="atLeast"/>
          <w:jc w:val="center"/>
        </w:trPr>
        <w:tc>
          <w:tcPr>
            <w:tcW w:w="343" w:type="pct"/>
          </w:tcPr>
          <w:p>
            <w:pPr>
              <w:rPr>
                <w:rFonts w:ascii="宋体" w:hAnsi="宋体" w:eastAsia="宋体" w:cs="宋体"/>
                <w:sz w:val="21"/>
                <w:szCs w:val="21"/>
                <w:highlight w:val="none"/>
              </w:rPr>
            </w:pPr>
          </w:p>
        </w:tc>
        <w:tc>
          <w:tcPr>
            <w:tcW w:w="686" w:type="pct"/>
          </w:tcPr>
          <w:p>
            <w:pPr>
              <w:rPr>
                <w:rFonts w:ascii="宋体" w:hAnsi="宋体" w:eastAsia="宋体" w:cs="宋体"/>
                <w:sz w:val="21"/>
                <w:szCs w:val="21"/>
                <w:highlight w:val="none"/>
              </w:rPr>
            </w:pPr>
          </w:p>
        </w:tc>
        <w:tc>
          <w:tcPr>
            <w:tcW w:w="828" w:type="pct"/>
          </w:tcPr>
          <w:p>
            <w:pPr>
              <w:rPr>
                <w:rFonts w:ascii="宋体" w:hAnsi="宋体" w:eastAsia="宋体" w:cs="宋体"/>
                <w:sz w:val="21"/>
                <w:szCs w:val="21"/>
                <w:highlight w:val="none"/>
              </w:rPr>
            </w:pPr>
          </w:p>
        </w:tc>
        <w:tc>
          <w:tcPr>
            <w:tcW w:w="579" w:type="pct"/>
          </w:tcPr>
          <w:p>
            <w:pPr>
              <w:rPr>
                <w:rFonts w:ascii="宋体" w:hAnsi="宋体" w:eastAsia="宋体" w:cs="宋体"/>
                <w:sz w:val="21"/>
                <w:szCs w:val="21"/>
                <w:highlight w:val="none"/>
              </w:rPr>
            </w:pPr>
          </w:p>
        </w:tc>
        <w:tc>
          <w:tcPr>
            <w:tcW w:w="503" w:type="pct"/>
          </w:tcPr>
          <w:p>
            <w:pPr>
              <w:rPr>
                <w:rFonts w:ascii="宋体" w:hAnsi="宋体" w:eastAsia="宋体" w:cs="宋体"/>
                <w:sz w:val="21"/>
                <w:szCs w:val="21"/>
                <w:highlight w:val="none"/>
              </w:rPr>
            </w:pPr>
          </w:p>
        </w:tc>
        <w:tc>
          <w:tcPr>
            <w:tcW w:w="514" w:type="pct"/>
          </w:tcPr>
          <w:p>
            <w:pPr>
              <w:rPr>
                <w:rFonts w:ascii="宋体" w:hAnsi="宋体" w:eastAsia="宋体" w:cs="宋体"/>
                <w:sz w:val="21"/>
                <w:szCs w:val="21"/>
                <w:highlight w:val="none"/>
              </w:rPr>
            </w:pPr>
          </w:p>
        </w:tc>
        <w:tc>
          <w:tcPr>
            <w:tcW w:w="514" w:type="pct"/>
          </w:tcPr>
          <w:p>
            <w:pPr>
              <w:rPr>
                <w:rFonts w:ascii="宋体" w:hAnsi="宋体" w:eastAsia="宋体" w:cs="宋体"/>
                <w:sz w:val="21"/>
                <w:szCs w:val="21"/>
                <w:highlight w:val="none"/>
              </w:rPr>
            </w:pPr>
          </w:p>
        </w:tc>
        <w:tc>
          <w:tcPr>
            <w:tcW w:w="514" w:type="pct"/>
          </w:tcPr>
          <w:p>
            <w:pPr>
              <w:rPr>
                <w:rFonts w:ascii="宋体" w:hAnsi="宋体" w:eastAsia="宋体" w:cs="宋体"/>
                <w:sz w:val="21"/>
                <w:szCs w:val="21"/>
                <w:highlight w:val="none"/>
              </w:rPr>
            </w:pPr>
          </w:p>
        </w:tc>
        <w:tc>
          <w:tcPr>
            <w:tcW w:w="514" w:type="pct"/>
          </w:tcPr>
          <w:p>
            <w:pPr>
              <w:rPr>
                <w:rFonts w:ascii="宋体" w:hAnsi="宋体" w:eastAsia="宋体" w:cs="宋体"/>
                <w:sz w:val="21"/>
                <w:szCs w:val="21"/>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4" w:hRule="atLeast"/>
          <w:jc w:val="center"/>
        </w:trPr>
        <w:tc>
          <w:tcPr>
            <w:tcW w:w="343" w:type="pct"/>
          </w:tcPr>
          <w:p>
            <w:pPr>
              <w:rPr>
                <w:rFonts w:ascii="宋体" w:hAnsi="宋体" w:eastAsia="宋体" w:cs="宋体"/>
                <w:sz w:val="21"/>
                <w:szCs w:val="21"/>
                <w:highlight w:val="none"/>
              </w:rPr>
            </w:pPr>
          </w:p>
        </w:tc>
        <w:tc>
          <w:tcPr>
            <w:tcW w:w="686" w:type="pct"/>
          </w:tcPr>
          <w:p>
            <w:pPr>
              <w:rPr>
                <w:rFonts w:ascii="宋体" w:hAnsi="宋体" w:eastAsia="宋体" w:cs="宋体"/>
                <w:sz w:val="21"/>
                <w:szCs w:val="21"/>
                <w:highlight w:val="none"/>
              </w:rPr>
            </w:pPr>
          </w:p>
        </w:tc>
        <w:tc>
          <w:tcPr>
            <w:tcW w:w="828" w:type="pct"/>
          </w:tcPr>
          <w:p>
            <w:pPr>
              <w:rPr>
                <w:rFonts w:ascii="宋体" w:hAnsi="宋体" w:eastAsia="宋体" w:cs="宋体"/>
                <w:sz w:val="21"/>
                <w:szCs w:val="21"/>
                <w:highlight w:val="none"/>
              </w:rPr>
            </w:pPr>
          </w:p>
        </w:tc>
        <w:tc>
          <w:tcPr>
            <w:tcW w:w="579" w:type="pct"/>
          </w:tcPr>
          <w:p>
            <w:pPr>
              <w:rPr>
                <w:rFonts w:ascii="宋体" w:hAnsi="宋体" w:eastAsia="宋体" w:cs="宋体"/>
                <w:sz w:val="21"/>
                <w:szCs w:val="21"/>
                <w:highlight w:val="none"/>
              </w:rPr>
            </w:pPr>
          </w:p>
        </w:tc>
        <w:tc>
          <w:tcPr>
            <w:tcW w:w="503" w:type="pct"/>
          </w:tcPr>
          <w:p>
            <w:pPr>
              <w:rPr>
                <w:rFonts w:ascii="宋体" w:hAnsi="宋体" w:eastAsia="宋体" w:cs="宋体"/>
                <w:sz w:val="21"/>
                <w:szCs w:val="21"/>
                <w:highlight w:val="none"/>
              </w:rPr>
            </w:pPr>
          </w:p>
        </w:tc>
        <w:tc>
          <w:tcPr>
            <w:tcW w:w="514" w:type="pct"/>
          </w:tcPr>
          <w:p>
            <w:pPr>
              <w:rPr>
                <w:rFonts w:ascii="宋体" w:hAnsi="宋体" w:eastAsia="宋体" w:cs="宋体"/>
                <w:sz w:val="21"/>
                <w:szCs w:val="21"/>
                <w:highlight w:val="none"/>
              </w:rPr>
            </w:pPr>
          </w:p>
        </w:tc>
        <w:tc>
          <w:tcPr>
            <w:tcW w:w="514" w:type="pct"/>
          </w:tcPr>
          <w:p>
            <w:pPr>
              <w:rPr>
                <w:rFonts w:ascii="宋体" w:hAnsi="宋体" w:eastAsia="宋体" w:cs="宋体"/>
                <w:sz w:val="21"/>
                <w:szCs w:val="21"/>
                <w:highlight w:val="none"/>
              </w:rPr>
            </w:pPr>
          </w:p>
        </w:tc>
        <w:tc>
          <w:tcPr>
            <w:tcW w:w="514" w:type="pct"/>
          </w:tcPr>
          <w:p>
            <w:pPr>
              <w:rPr>
                <w:rFonts w:ascii="宋体" w:hAnsi="宋体" w:eastAsia="宋体" w:cs="宋体"/>
                <w:sz w:val="21"/>
                <w:szCs w:val="21"/>
                <w:highlight w:val="none"/>
              </w:rPr>
            </w:pPr>
          </w:p>
        </w:tc>
        <w:tc>
          <w:tcPr>
            <w:tcW w:w="514" w:type="pct"/>
          </w:tcPr>
          <w:p>
            <w:pPr>
              <w:rPr>
                <w:rFonts w:ascii="宋体" w:hAnsi="宋体" w:eastAsia="宋体" w:cs="宋体"/>
                <w:sz w:val="21"/>
                <w:szCs w:val="21"/>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4" w:hRule="atLeast"/>
          <w:jc w:val="center"/>
        </w:trPr>
        <w:tc>
          <w:tcPr>
            <w:tcW w:w="343" w:type="pct"/>
          </w:tcPr>
          <w:p>
            <w:pPr>
              <w:rPr>
                <w:rFonts w:ascii="宋体" w:hAnsi="宋体" w:eastAsia="宋体" w:cs="宋体"/>
                <w:sz w:val="21"/>
                <w:szCs w:val="21"/>
                <w:highlight w:val="none"/>
              </w:rPr>
            </w:pPr>
          </w:p>
        </w:tc>
        <w:tc>
          <w:tcPr>
            <w:tcW w:w="686" w:type="pct"/>
          </w:tcPr>
          <w:p>
            <w:pPr>
              <w:rPr>
                <w:rFonts w:ascii="宋体" w:hAnsi="宋体" w:eastAsia="宋体" w:cs="宋体"/>
                <w:sz w:val="21"/>
                <w:szCs w:val="21"/>
                <w:highlight w:val="none"/>
              </w:rPr>
            </w:pPr>
          </w:p>
        </w:tc>
        <w:tc>
          <w:tcPr>
            <w:tcW w:w="828" w:type="pct"/>
          </w:tcPr>
          <w:p>
            <w:pPr>
              <w:rPr>
                <w:rFonts w:ascii="宋体" w:hAnsi="宋体" w:eastAsia="宋体" w:cs="宋体"/>
                <w:sz w:val="21"/>
                <w:szCs w:val="21"/>
                <w:highlight w:val="none"/>
              </w:rPr>
            </w:pPr>
          </w:p>
        </w:tc>
        <w:tc>
          <w:tcPr>
            <w:tcW w:w="579" w:type="pct"/>
          </w:tcPr>
          <w:p>
            <w:pPr>
              <w:rPr>
                <w:rFonts w:ascii="宋体" w:hAnsi="宋体" w:eastAsia="宋体" w:cs="宋体"/>
                <w:sz w:val="21"/>
                <w:szCs w:val="21"/>
                <w:highlight w:val="none"/>
              </w:rPr>
            </w:pPr>
          </w:p>
        </w:tc>
        <w:tc>
          <w:tcPr>
            <w:tcW w:w="503" w:type="pct"/>
          </w:tcPr>
          <w:p>
            <w:pPr>
              <w:rPr>
                <w:rFonts w:ascii="宋体" w:hAnsi="宋体" w:eastAsia="宋体" w:cs="宋体"/>
                <w:sz w:val="21"/>
                <w:szCs w:val="21"/>
                <w:highlight w:val="none"/>
              </w:rPr>
            </w:pPr>
          </w:p>
        </w:tc>
        <w:tc>
          <w:tcPr>
            <w:tcW w:w="514" w:type="pct"/>
          </w:tcPr>
          <w:p>
            <w:pPr>
              <w:rPr>
                <w:rFonts w:ascii="宋体" w:hAnsi="宋体" w:eastAsia="宋体" w:cs="宋体"/>
                <w:sz w:val="21"/>
                <w:szCs w:val="21"/>
                <w:highlight w:val="none"/>
              </w:rPr>
            </w:pPr>
          </w:p>
        </w:tc>
        <w:tc>
          <w:tcPr>
            <w:tcW w:w="514" w:type="pct"/>
          </w:tcPr>
          <w:p>
            <w:pPr>
              <w:rPr>
                <w:rFonts w:ascii="宋体" w:hAnsi="宋体" w:eastAsia="宋体" w:cs="宋体"/>
                <w:sz w:val="21"/>
                <w:szCs w:val="21"/>
                <w:highlight w:val="none"/>
              </w:rPr>
            </w:pPr>
          </w:p>
        </w:tc>
        <w:tc>
          <w:tcPr>
            <w:tcW w:w="514" w:type="pct"/>
          </w:tcPr>
          <w:p>
            <w:pPr>
              <w:rPr>
                <w:rFonts w:ascii="宋体" w:hAnsi="宋体" w:eastAsia="宋体" w:cs="宋体"/>
                <w:sz w:val="21"/>
                <w:szCs w:val="21"/>
                <w:highlight w:val="none"/>
              </w:rPr>
            </w:pPr>
          </w:p>
        </w:tc>
        <w:tc>
          <w:tcPr>
            <w:tcW w:w="514" w:type="pct"/>
          </w:tcPr>
          <w:p>
            <w:pPr>
              <w:rPr>
                <w:rFonts w:ascii="宋体" w:hAnsi="宋体" w:eastAsia="宋体" w:cs="宋体"/>
                <w:sz w:val="21"/>
                <w:szCs w:val="21"/>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4" w:hRule="atLeast"/>
          <w:jc w:val="center"/>
        </w:trPr>
        <w:tc>
          <w:tcPr>
            <w:tcW w:w="343" w:type="pct"/>
          </w:tcPr>
          <w:p>
            <w:pPr>
              <w:rPr>
                <w:rFonts w:ascii="宋体" w:hAnsi="宋体" w:eastAsia="宋体" w:cs="宋体"/>
                <w:sz w:val="21"/>
                <w:szCs w:val="21"/>
                <w:highlight w:val="none"/>
              </w:rPr>
            </w:pPr>
          </w:p>
        </w:tc>
        <w:tc>
          <w:tcPr>
            <w:tcW w:w="686" w:type="pct"/>
          </w:tcPr>
          <w:p>
            <w:pPr>
              <w:rPr>
                <w:rFonts w:ascii="宋体" w:hAnsi="宋体" w:eastAsia="宋体" w:cs="宋体"/>
                <w:sz w:val="21"/>
                <w:szCs w:val="21"/>
                <w:highlight w:val="none"/>
              </w:rPr>
            </w:pPr>
          </w:p>
        </w:tc>
        <w:tc>
          <w:tcPr>
            <w:tcW w:w="828" w:type="pct"/>
          </w:tcPr>
          <w:p>
            <w:pPr>
              <w:rPr>
                <w:rFonts w:ascii="宋体" w:hAnsi="宋体" w:eastAsia="宋体" w:cs="宋体"/>
                <w:sz w:val="21"/>
                <w:szCs w:val="21"/>
                <w:highlight w:val="none"/>
              </w:rPr>
            </w:pPr>
          </w:p>
        </w:tc>
        <w:tc>
          <w:tcPr>
            <w:tcW w:w="579" w:type="pct"/>
          </w:tcPr>
          <w:p>
            <w:pPr>
              <w:rPr>
                <w:rFonts w:ascii="宋体" w:hAnsi="宋体" w:eastAsia="宋体" w:cs="宋体"/>
                <w:sz w:val="21"/>
                <w:szCs w:val="21"/>
                <w:highlight w:val="none"/>
              </w:rPr>
            </w:pPr>
          </w:p>
        </w:tc>
        <w:tc>
          <w:tcPr>
            <w:tcW w:w="503" w:type="pct"/>
          </w:tcPr>
          <w:p>
            <w:pPr>
              <w:rPr>
                <w:rFonts w:ascii="宋体" w:hAnsi="宋体" w:eastAsia="宋体" w:cs="宋体"/>
                <w:sz w:val="21"/>
                <w:szCs w:val="21"/>
                <w:highlight w:val="none"/>
              </w:rPr>
            </w:pPr>
          </w:p>
        </w:tc>
        <w:tc>
          <w:tcPr>
            <w:tcW w:w="514" w:type="pct"/>
          </w:tcPr>
          <w:p>
            <w:pPr>
              <w:rPr>
                <w:rFonts w:ascii="宋体" w:hAnsi="宋体" w:eastAsia="宋体" w:cs="宋体"/>
                <w:sz w:val="21"/>
                <w:szCs w:val="21"/>
                <w:highlight w:val="none"/>
              </w:rPr>
            </w:pPr>
          </w:p>
        </w:tc>
        <w:tc>
          <w:tcPr>
            <w:tcW w:w="514" w:type="pct"/>
          </w:tcPr>
          <w:p>
            <w:pPr>
              <w:rPr>
                <w:rFonts w:ascii="宋体" w:hAnsi="宋体" w:eastAsia="宋体" w:cs="宋体"/>
                <w:sz w:val="21"/>
                <w:szCs w:val="21"/>
                <w:highlight w:val="none"/>
              </w:rPr>
            </w:pPr>
          </w:p>
        </w:tc>
        <w:tc>
          <w:tcPr>
            <w:tcW w:w="514" w:type="pct"/>
          </w:tcPr>
          <w:p>
            <w:pPr>
              <w:rPr>
                <w:rFonts w:ascii="宋体" w:hAnsi="宋体" w:eastAsia="宋体" w:cs="宋体"/>
                <w:sz w:val="21"/>
                <w:szCs w:val="21"/>
                <w:highlight w:val="none"/>
              </w:rPr>
            </w:pPr>
          </w:p>
        </w:tc>
        <w:tc>
          <w:tcPr>
            <w:tcW w:w="514" w:type="pct"/>
          </w:tcPr>
          <w:p>
            <w:pPr>
              <w:rPr>
                <w:rFonts w:ascii="宋体" w:hAnsi="宋体" w:eastAsia="宋体" w:cs="宋体"/>
                <w:sz w:val="21"/>
                <w:szCs w:val="21"/>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4" w:hRule="atLeast"/>
          <w:jc w:val="center"/>
        </w:trPr>
        <w:tc>
          <w:tcPr>
            <w:tcW w:w="343" w:type="pct"/>
          </w:tcPr>
          <w:p>
            <w:pPr>
              <w:rPr>
                <w:rFonts w:ascii="宋体" w:hAnsi="宋体" w:eastAsia="宋体" w:cs="宋体"/>
                <w:sz w:val="21"/>
                <w:szCs w:val="21"/>
                <w:highlight w:val="none"/>
              </w:rPr>
            </w:pPr>
          </w:p>
        </w:tc>
        <w:tc>
          <w:tcPr>
            <w:tcW w:w="686" w:type="pct"/>
          </w:tcPr>
          <w:p>
            <w:pPr>
              <w:rPr>
                <w:rFonts w:ascii="宋体" w:hAnsi="宋体" w:eastAsia="宋体" w:cs="宋体"/>
                <w:sz w:val="21"/>
                <w:szCs w:val="21"/>
                <w:highlight w:val="none"/>
              </w:rPr>
            </w:pPr>
          </w:p>
        </w:tc>
        <w:tc>
          <w:tcPr>
            <w:tcW w:w="828" w:type="pct"/>
          </w:tcPr>
          <w:p>
            <w:pPr>
              <w:rPr>
                <w:rFonts w:ascii="宋体" w:hAnsi="宋体" w:eastAsia="宋体" w:cs="宋体"/>
                <w:sz w:val="21"/>
                <w:szCs w:val="21"/>
                <w:highlight w:val="none"/>
              </w:rPr>
            </w:pPr>
          </w:p>
        </w:tc>
        <w:tc>
          <w:tcPr>
            <w:tcW w:w="579" w:type="pct"/>
          </w:tcPr>
          <w:p>
            <w:pPr>
              <w:rPr>
                <w:rFonts w:ascii="宋体" w:hAnsi="宋体" w:eastAsia="宋体" w:cs="宋体"/>
                <w:sz w:val="21"/>
                <w:szCs w:val="21"/>
                <w:highlight w:val="none"/>
              </w:rPr>
            </w:pPr>
          </w:p>
        </w:tc>
        <w:tc>
          <w:tcPr>
            <w:tcW w:w="503" w:type="pct"/>
          </w:tcPr>
          <w:p>
            <w:pPr>
              <w:rPr>
                <w:rFonts w:ascii="宋体" w:hAnsi="宋体" w:eastAsia="宋体" w:cs="宋体"/>
                <w:sz w:val="21"/>
                <w:szCs w:val="21"/>
                <w:highlight w:val="none"/>
              </w:rPr>
            </w:pPr>
          </w:p>
        </w:tc>
        <w:tc>
          <w:tcPr>
            <w:tcW w:w="514" w:type="pct"/>
          </w:tcPr>
          <w:p>
            <w:pPr>
              <w:rPr>
                <w:rFonts w:ascii="宋体" w:hAnsi="宋体" w:eastAsia="宋体" w:cs="宋体"/>
                <w:sz w:val="21"/>
                <w:szCs w:val="21"/>
                <w:highlight w:val="none"/>
              </w:rPr>
            </w:pPr>
          </w:p>
        </w:tc>
        <w:tc>
          <w:tcPr>
            <w:tcW w:w="514" w:type="pct"/>
          </w:tcPr>
          <w:p>
            <w:pPr>
              <w:rPr>
                <w:rFonts w:ascii="宋体" w:hAnsi="宋体" w:eastAsia="宋体" w:cs="宋体"/>
                <w:sz w:val="21"/>
                <w:szCs w:val="21"/>
                <w:highlight w:val="none"/>
              </w:rPr>
            </w:pPr>
          </w:p>
        </w:tc>
        <w:tc>
          <w:tcPr>
            <w:tcW w:w="514" w:type="pct"/>
          </w:tcPr>
          <w:p>
            <w:pPr>
              <w:rPr>
                <w:rFonts w:ascii="宋体" w:hAnsi="宋体" w:eastAsia="宋体" w:cs="宋体"/>
                <w:sz w:val="21"/>
                <w:szCs w:val="21"/>
                <w:highlight w:val="none"/>
              </w:rPr>
            </w:pPr>
          </w:p>
        </w:tc>
        <w:tc>
          <w:tcPr>
            <w:tcW w:w="514" w:type="pct"/>
          </w:tcPr>
          <w:p>
            <w:pPr>
              <w:rPr>
                <w:rFonts w:ascii="宋体" w:hAnsi="宋体" w:eastAsia="宋体" w:cs="宋体"/>
                <w:sz w:val="21"/>
                <w:szCs w:val="21"/>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4" w:hRule="atLeast"/>
          <w:jc w:val="center"/>
        </w:trPr>
        <w:tc>
          <w:tcPr>
            <w:tcW w:w="343" w:type="pct"/>
          </w:tcPr>
          <w:p>
            <w:pPr>
              <w:rPr>
                <w:rFonts w:ascii="宋体" w:hAnsi="宋体" w:eastAsia="宋体" w:cs="宋体"/>
                <w:sz w:val="21"/>
                <w:szCs w:val="21"/>
                <w:highlight w:val="none"/>
              </w:rPr>
            </w:pPr>
          </w:p>
        </w:tc>
        <w:tc>
          <w:tcPr>
            <w:tcW w:w="686" w:type="pct"/>
          </w:tcPr>
          <w:p>
            <w:pPr>
              <w:rPr>
                <w:rFonts w:ascii="宋体" w:hAnsi="宋体" w:eastAsia="宋体" w:cs="宋体"/>
                <w:sz w:val="21"/>
                <w:szCs w:val="21"/>
                <w:highlight w:val="none"/>
              </w:rPr>
            </w:pPr>
          </w:p>
        </w:tc>
        <w:tc>
          <w:tcPr>
            <w:tcW w:w="828" w:type="pct"/>
          </w:tcPr>
          <w:p>
            <w:pPr>
              <w:rPr>
                <w:rFonts w:ascii="宋体" w:hAnsi="宋体" w:eastAsia="宋体" w:cs="宋体"/>
                <w:sz w:val="21"/>
                <w:szCs w:val="21"/>
                <w:highlight w:val="none"/>
              </w:rPr>
            </w:pPr>
          </w:p>
        </w:tc>
        <w:tc>
          <w:tcPr>
            <w:tcW w:w="579" w:type="pct"/>
          </w:tcPr>
          <w:p>
            <w:pPr>
              <w:rPr>
                <w:rFonts w:ascii="宋体" w:hAnsi="宋体" w:eastAsia="宋体" w:cs="宋体"/>
                <w:sz w:val="21"/>
                <w:szCs w:val="21"/>
                <w:highlight w:val="none"/>
              </w:rPr>
            </w:pPr>
          </w:p>
        </w:tc>
        <w:tc>
          <w:tcPr>
            <w:tcW w:w="503" w:type="pct"/>
          </w:tcPr>
          <w:p>
            <w:pPr>
              <w:rPr>
                <w:rFonts w:ascii="宋体" w:hAnsi="宋体" w:eastAsia="宋体" w:cs="宋体"/>
                <w:sz w:val="21"/>
                <w:szCs w:val="21"/>
                <w:highlight w:val="none"/>
              </w:rPr>
            </w:pPr>
          </w:p>
        </w:tc>
        <w:tc>
          <w:tcPr>
            <w:tcW w:w="514" w:type="pct"/>
          </w:tcPr>
          <w:p>
            <w:pPr>
              <w:rPr>
                <w:rFonts w:ascii="宋体" w:hAnsi="宋体" w:eastAsia="宋体" w:cs="宋体"/>
                <w:sz w:val="21"/>
                <w:szCs w:val="21"/>
                <w:highlight w:val="none"/>
              </w:rPr>
            </w:pPr>
          </w:p>
        </w:tc>
        <w:tc>
          <w:tcPr>
            <w:tcW w:w="514" w:type="pct"/>
          </w:tcPr>
          <w:p>
            <w:pPr>
              <w:rPr>
                <w:rFonts w:ascii="宋体" w:hAnsi="宋体" w:eastAsia="宋体" w:cs="宋体"/>
                <w:sz w:val="21"/>
                <w:szCs w:val="21"/>
                <w:highlight w:val="none"/>
              </w:rPr>
            </w:pPr>
          </w:p>
        </w:tc>
        <w:tc>
          <w:tcPr>
            <w:tcW w:w="514" w:type="pct"/>
          </w:tcPr>
          <w:p>
            <w:pPr>
              <w:rPr>
                <w:rFonts w:ascii="宋体" w:hAnsi="宋体" w:eastAsia="宋体" w:cs="宋体"/>
                <w:sz w:val="21"/>
                <w:szCs w:val="21"/>
                <w:highlight w:val="none"/>
              </w:rPr>
            </w:pPr>
          </w:p>
        </w:tc>
        <w:tc>
          <w:tcPr>
            <w:tcW w:w="514" w:type="pct"/>
          </w:tcPr>
          <w:p>
            <w:pPr>
              <w:rPr>
                <w:rFonts w:ascii="宋体" w:hAnsi="宋体" w:eastAsia="宋体" w:cs="宋体"/>
                <w:sz w:val="21"/>
                <w:szCs w:val="21"/>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3" w:hRule="atLeast"/>
          <w:jc w:val="center"/>
        </w:trPr>
        <w:tc>
          <w:tcPr>
            <w:tcW w:w="343" w:type="pct"/>
          </w:tcPr>
          <w:p>
            <w:pPr>
              <w:rPr>
                <w:rFonts w:ascii="宋体" w:hAnsi="宋体" w:eastAsia="宋体" w:cs="宋体"/>
                <w:sz w:val="21"/>
                <w:szCs w:val="21"/>
                <w:highlight w:val="none"/>
              </w:rPr>
            </w:pPr>
          </w:p>
        </w:tc>
        <w:tc>
          <w:tcPr>
            <w:tcW w:w="686" w:type="pct"/>
          </w:tcPr>
          <w:p>
            <w:pPr>
              <w:rPr>
                <w:rFonts w:ascii="宋体" w:hAnsi="宋体" w:eastAsia="宋体" w:cs="宋体"/>
                <w:sz w:val="21"/>
                <w:szCs w:val="21"/>
                <w:highlight w:val="none"/>
              </w:rPr>
            </w:pPr>
          </w:p>
        </w:tc>
        <w:tc>
          <w:tcPr>
            <w:tcW w:w="828" w:type="pct"/>
          </w:tcPr>
          <w:p>
            <w:pPr>
              <w:rPr>
                <w:rFonts w:ascii="宋体" w:hAnsi="宋体" w:eastAsia="宋体" w:cs="宋体"/>
                <w:sz w:val="21"/>
                <w:szCs w:val="21"/>
                <w:highlight w:val="none"/>
              </w:rPr>
            </w:pPr>
          </w:p>
        </w:tc>
        <w:tc>
          <w:tcPr>
            <w:tcW w:w="579" w:type="pct"/>
          </w:tcPr>
          <w:p>
            <w:pPr>
              <w:rPr>
                <w:rFonts w:ascii="宋体" w:hAnsi="宋体" w:eastAsia="宋体" w:cs="宋体"/>
                <w:sz w:val="21"/>
                <w:szCs w:val="21"/>
                <w:highlight w:val="none"/>
              </w:rPr>
            </w:pPr>
          </w:p>
        </w:tc>
        <w:tc>
          <w:tcPr>
            <w:tcW w:w="503" w:type="pct"/>
          </w:tcPr>
          <w:p>
            <w:pPr>
              <w:rPr>
                <w:rFonts w:ascii="宋体" w:hAnsi="宋体" w:eastAsia="宋体" w:cs="宋体"/>
                <w:sz w:val="21"/>
                <w:szCs w:val="21"/>
                <w:highlight w:val="none"/>
              </w:rPr>
            </w:pPr>
          </w:p>
        </w:tc>
        <w:tc>
          <w:tcPr>
            <w:tcW w:w="514" w:type="pct"/>
          </w:tcPr>
          <w:p>
            <w:pPr>
              <w:rPr>
                <w:rFonts w:ascii="宋体" w:hAnsi="宋体" w:eastAsia="宋体" w:cs="宋体"/>
                <w:sz w:val="21"/>
                <w:szCs w:val="21"/>
                <w:highlight w:val="none"/>
              </w:rPr>
            </w:pPr>
          </w:p>
        </w:tc>
        <w:tc>
          <w:tcPr>
            <w:tcW w:w="514" w:type="pct"/>
          </w:tcPr>
          <w:p>
            <w:pPr>
              <w:rPr>
                <w:rFonts w:ascii="宋体" w:hAnsi="宋体" w:eastAsia="宋体" w:cs="宋体"/>
                <w:sz w:val="21"/>
                <w:szCs w:val="21"/>
                <w:highlight w:val="none"/>
              </w:rPr>
            </w:pPr>
          </w:p>
        </w:tc>
        <w:tc>
          <w:tcPr>
            <w:tcW w:w="514" w:type="pct"/>
          </w:tcPr>
          <w:p>
            <w:pPr>
              <w:rPr>
                <w:rFonts w:ascii="宋体" w:hAnsi="宋体" w:eastAsia="宋体" w:cs="宋体"/>
                <w:sz w:val="21"/>
                <w:szCs w:val="21"/>
                <w:highlight w:val="none"/>
              </w:rPr>
            </w:pPr>
          </w:p>
        </w:tc>
        <w:tc>
          <w:tcPr>
            <w:tcW w:w="514" w:type="pct"/>
          </w:tcPr>
          <w:p>
            <w:pPr>
              <w:rPr>
                <w:rFonts w:ascii="宋体" w:hAnsi="宋体" w:eastAsia="宋体" w:cs="宋体"/>
                <w:sz w:val="21"/>
                <w:szCs w:val="21"/>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4" w:hRule="atLeast"/>
          <w:jc w:val="center"/>
        </w:trPr>
        <w:tc>
          <w:tcPr>
            <w:tcW w:w="343" w:type="pct"/>
          </w:tcPr>
          <w:p>
            <w:pPr>
              <w:rPr>
                <w:rFonts w:ascii="宋体" w:hAnsi="宋体" w:eastAsia="宋体" w:cs="宋体"/>
                <w:sz w:val="21"/>
                <w:szCs w:val="21"/>
                <w:highlight w:val="none"/>
              </w:rPr>
            </w:pPr>
          </w:p>
        </w:tc>
        <w:tc>
          <w:tcPr>
            <w:tcW w:w="686" w:type="pct"/>
          </w:tcPr>
          <w:p>
            <w:pPr>
              <w:rPr>
                <w:rFonts w:ascii="宋体" w:hAnsi="宋体" w:eastAsia="宋体" w:cs="宋体"/>
                <w:sz w:val="21"/>
                <w:szCs w:val="21"/>
                <w:highlight w:val="none"/>
              </w:rPr>
            </w:pPr>
          </w:p>
        </w:tc>
        <w:tc>
          <w:tcPr>
            <w:tcW w:w="828" w:type="pct"/>
          </w:tcPr>
          <w:p>
            <w:pPr>
              <w:rPr>
                <w:rFonts w:ascii="宋体" w:hAnsi="宋体" w:eastAsia="宋体" w:cs="宋体"/>
                <w:sz w:val="21"/>
                <w:szCs w:val="21"/>
                <w:highlight w:val="none"/>
              </w:rPr>
            </w:pPr>
          </w:p>
        </w:tc>
        <w:tc>
          <w:tcPr>
            <w:tcW w:w="579" w:type="pct"/>
          </w:tcPr>
          <w:p>
            <w:pPr>
              <w:rPr>
                <w:rFonts w:ascii="宋体" w:hAnsi="宋体" w:eastAsia="宋体" w:cs="宋体"/>
                <w:sz w:val="21"/>
                <w:szCs w:val="21"/>
                <w:highlight w:val="none"/>
              </w:rPr>
            </w:pPr>
          </w:p>
        </w:tc>
        <w:tc>
          <w:tcPr>
            <w:tcW w:w="503" w:type="pct"/>
          </w:tcPr>
          <w:p>
            <w:pPr>
              <w:rPr>
                <w:rFonts w:ascii="宋体" w:hAnsi="宋体" w:eastAsia="宋体" w:cs="宋体"/>
                <w:sz w:val="21"/>
                <w:szCs w:val="21"/>
                <w:highlight w:val="none"/>
              </w:rPr>
            </w:pPr>
          </w:p>
        </w:tc>
        <w:tc>
          <w:tcPr>
            <w:tcW w:w="514" w:type="pct"/>
          </w:tcPr>
          <w:p>
            <w:pPr>
              <w:rPr>
                <w:rFonts w:ascii="宋体" w:hAnsi="宋体" w:eastAsia="宋体" w:cs="宋体"/>
                <w:sz w:val="21"/>
                <w:szCs w:val="21"/>
                <w:highlight w:val="none"/>
              </w:rPr>
            </w:pPr>
          </w:p>
        </w:tc>
        <w:tc>
          <w:tcPr>
            <w:tcW w:w="514" w:type="pct"/>
          </w:tcPr>
          <w:p>
            <w:pPr>
              <w:rPr>
                <w:rFonts w:ascii="宋体" w:hAnsi="宋体" w:eastAsia="宋体" w:cs="宋体"/>
                <w:sz w:val="21"/>
                <w:szCs w:val="21"/>
                <w:highlight w:val="none"/>
              </w:rPr>
            </w:pPr>
          </w:p>
        </w:tc>
        <w:tc>
          <w:tcPr>
            <w:tcW w:w="514" w:type="pct"/>
          </w:tcPr>
          <w:p>
            <w:pPr>
              <w:rPr>
                <w:rFonts w:ascii="宋体" w:hAnsi="宋体" w:eastAsia="宋体" w:cs="宋体"/>
                <w:sz w:val="21"/>
                <w:szCs w:val="21"/>
                <w:highlight w:val="none"/>
              </w:rPr>
            </w:pPr>
          </w:p>
        </w:tc>
        <w:tc>
          <w:tcPr>
            <w:tcW w:w="514" w:type="pct"/>
          </w:tcPr>
          <w:p>
            <w:pPr>
              <w:rPr>
                <w:rFonts w:ascii="宋体" w:hAnsi="宋体" w:eastAsia="宋体" w:cs="宋体"/>
                <w:sz w:val="21"/>
                <w:szCs w:val="21"/>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4" w:hRule="atLeast"/>
          <w:jc w:val="center"/>
        </w:trPr>
        <w:tc>
          <w:tcPr>
            <w:tcW w:w="343" w:type="pct"/>
          </w:tcPr>
          <w:p>
            <w:pPr>
              <w:rPr>
                <w:rFonts w:ascii="宋体" w:hAnsi="宋体" w:eastAsia="宋体" w:cs="宋体"/>
                <w:sz w:val="21"/>
                <w:szCs w:val="21"/>
                <w:highlight w:val="none"/>
              </w:rPr>
            </w:pPr>
          </w:p>
        </w:tc>
        <w:tc>
          <w:tcPr>
            <w:tcW w:w="686" w:type="pct"/>
          </w:tcPr>
          <w:p>
            <w:pPr>
              <w:rPr>
                <w:rFonts w:ascii="宋体" w:hAnsi="宋体" w:eastAsia="宋体" w:cs="宋体"/>
                <w:sz w:val="21"/>
                <w:szCs w:val="21"/>
                <w:highlight w:val="none"/>
              </w:rPr>
            </w:pPr>
          </w:p>
        </w:tc>
        <w:tc>
          <w:tcPr>
            <w:tcW w:w="828" w:type="pct"/>
          </w:tcPr>
          <w:p>
            <w:pPr>
              <w:rPr>
                <w:rFonts w:ascii="宋体" w:hAnsi="宋体" w:eastAsia="宋体" w:cs="宋体"/>
                <w:sz w:val="21"/>
                <w:szCs w:val="21"/>
                <w:highlight w:val="none"/>
              </w:rPr>
            </w:pPr>
          </w:p>
        </w:tc>
        <w:tc>
          <w:tcPr>
            <w:tcW w:w="579" w:type="pct"/>
          </w:tcPr>
          <w:p>
            <w:pPr>
              <w:rPr>
                <w:rFonts w:ascii="宋体" w:hAnsi="宋体" w:eastAsia="宋体" w:cs="宋体"/>
                <w:sz w:val="21"/>
                <w:szCs w:val="21"/>
                <w:highlight w:val="none"/>
              </w:rPr>
            </w:pPr>
          </w:p>
        </w:tc>
        <w:tc>
          <w:tcPr>
            <w:tcW w:w="503" w:type="pct"/>
          </w:tcPr>
          <w:p>
            <w:pPr>
              <w:rPr>
                <w:rFonts w:ascii="宋体" w:hAnsi="宋体" w:eastAsia="宋体" w:cs="宋体"/>
                <w:sz w:val="21"/>
                <w:szCs w:val="21"/>
                <w:highlight w:val="none"/>
              </w:rPr>
            </w:pPr>
          </w:p>
        </w:tc>
        <w:tc>
          <w:tcPr>
            <w:tcW w:w="514" w:type="pct"/>
          </w:tcPr>
          <w:p>
            <w:pPr>
              <w:rPr>
                <w:rFonts w:ascii="宋体" w:hAnsi="宋体" w:eastAsia="宋体" w:cs="宋体"/>
                <w:sz w:val="21"/>
                <w:szCs w:val="21"/>
                <w:highlight w:val="none"/>
              </w:rPr>
            </w:pPr>
          </w:p>
        </w:tc>
        <w:tc>
          <w:tcPr>
            <w:tcW w:w="514" w:type="pct"/>
          </w:tcPr>
          <w:p>
            <w:pPr>
              <w:rPr>
                <w:rFonts w:ascii="宋体" w:hAnsi="宋体" w:eastAsia="宋体" w:cs="宋体"/>
                <w:sz w:val="21"/>
                <w:szCs w:val="21"/>
                <w:highlight w:val="none"/>
              </w:rPr>
            </w:pPr>
          </w:p>
        </w:tc>
        <w:tc>
          <w:tcPr>
            <w:tcW w:w="514" w:type="pct"/>
          </w:tcPr>
          <w:p>
            <w:pPr>
              <w:rPr>
                <w:rFonts w:ascii="宋体" w:hAnsi="宋体" w:eastAsia="宋体" w:cs="宋体"/>
                <w:sz w:val="21"/>
                <w:szCs w:val="21"/>
                <w:highlight w:val="none"/>
              </w:rPr>
            </w:pPr>
          </w:p>
        </w:tc>
        <w:tc>
          <w:tcPr>
            <w:tcW w:w="514" w:type="pct"/>
          </w:tcPr>
          <w:p>
            <w:pPr>
              <w:rPr>
                <w:rFonts w:ascii="宋体" w:hAnsi="宋体" w:eastAsia="宋体" w:cs="宋体"/>
                <w:sz w:val="21"/>
                <w:szCs w:val="21"/>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08" w:hRule="atLeast"/>
          <w:jc w:val="center"/>
        </w:trPr>
        <w:tc>
          <w:tcPr>
            <w:tcW w:w="343" w:type="pct"/>
          </w:tcPr>
          <w:p>
            <w:pPr>
              <w:rPr>
                <w:rFonts w:ascii="宋体" w:hAnsi="宋体" w:eastAsia="宋体" w:cs="宋体"/>
                <w:sz w:val="21"/>
                <w:szCs w:val="21"/>
                <w:highlight w:val="none"/>
              </w:rPr>
            </w:pPr>
          </w:p>
        </w:tc>
        <w:tc>
          <w:tcPr>
            <w:tcW w:w="686" w:type="pct"/>
          </w:tcPr>
          <w:p>
            <w:pPr>
              <w:rPr>
                <w:rFonts w:ascii="宋体" w:hAnsi="宋体" w:eastAsia="宋体" w:cs="宋体"/>
                <w:sz w:val="21"/>
                <w:szCs w:val="21"/>
                <w:highlight w:val="none"/>
              </w:rPr>
            </w:pPr>
          </w:p>
        </w:tc>
        <w:tc>
          <w:tcPr>
            <w:tcW w:w="828" w:type="pct"/>
          </w:tcPr>
          <w:p>
            <w:pPr>
              <w:rPr>
                <w:rFonts w:ascii="宋体" w:hAnsi="宋体" w:eastAsia="宋体" w:cs="宋体"/>
                <w:sz w:val="21"/>
                <w:szCs w:val="21"/>
                <w:highlight w:val="none"/>
              </w:rPr>
            </w:pPr>
          </w:p>
        </w:tc>
        <w:tc>
          <w:tcPr>
            <w:tcW w:w="579" w:type="pct"/>
          </w:tcPr>
          <w:p>
            <w:pPr>
              <w:rPr>
                <w:rFonts w:ascii="宋体" w:hAnsi="宋体" w:eastAsia="宋体" w:cs="宋体"/>
                <w:sz w:val="21"/>
                <w:szCs w:val="21"/>
                <w:highlight w:val="none"/>
              </w:rPr>
            </w:pPr>
          </w:p>
        </w:tc>
        <w:tc>
          <w:tcPr>
            <w:tcW w:w="503" w:type="pct"/>
          </w:tcPr>
          <w:p>
            <w:pPr>
              <w:rPr>
                <w:rFonts w:ascii="宋体" w:hAnsi="宋体" w:eastAsia="宋体" w:cs="宋体"/>
                <w:sz w:val="21"/>
                <w:szCs w:val="21"/>
                <w:highlight w:val="none"/>
              </w:rPr>
            </w:pPr>
          </w:p>
        </w:tc>
        <w:tc>
          <w:tcPr>
            <w:tcW w:w="514" w:type="pct"/>
          </w:tcPr>
          <w:p>
            <w:pPr>
              <w:rPr>
                <w:rFonts w:ascii="宋体" w:hAnsi="宋体" w:eastAsia="宋体" w:cs="宋体"/>
                <w:sz w:val="21"/>
                <w:szCs w:val="21"/>
                <w:highlight w:val="none"/>
              </w:rPr>
            </w:pPr>
          </w:p>
        </w:tc>
        <w:tc>
          <w:tcPr>
            <w:tcW w:w="514" w:type="pct"/>
          </w:tcPr>
          <w:p>
            <w:pPr>
              <w:rPr>
                <w:rFonts w:ascii="宋体" w:hAnsi="宋体" w:eastAsia="宋体" w:cs="宋体"/>
                <w:sz w:val="21"/>
                <w:szCs w:val="21"/>
                <w:highlight w:val="none"/>
              </w:rPr>
            </w:pPr>
          </w:p>
        </w:tc>
        <w:tc>
          <w:tcPr>
            <w:tcW w:w="514" w:type="pct"/>
          </w:tcPr>
          <w:p>
            <w:pPr>
              <w:rPr>
                <w:rFonts w:ascii="宋体" w:hAnsi="宋体" w:eastAsia="宋体" w:cs="宋体"/>
                <w:sz w:val="21"/>
                <w:szCs w:val="21"/>
                <w:highlight w:val="none"/>
              </w:rPr>
            </w:pPr>
          </w:p>
        </w:tc>
        <w:tc>
          <w:tcPr>
            <w:tcW w:w="514" w:type="pct"/>
          </w:tcPr>
          <w:p>
            <w:pPr>
              <w:rPr>
                <w:rFonts w:ascii="宋体" w:hAnsi="宋体" w:eastAsia="宋体" w:cs="宋体"/>
                <w:sz w:val="21"/>
                <w:szCs w:val="21"/>
                <w:highlight w:val="none"/>
              </w:rPr>
            </w:pPr>
          </w:p>
        </w:tc>
      </w:tr>
    </w:tbl>
    <w:p>
      <w:pPr>
        <w:pStyle w:val="7"/>
        <w:ind w:firstLine="0"/>
        <w:rPr>
          <w:rFonts w:ascii="仿宋" w:hAnsi="仿宋" w:eastAsia="仿宋" w:cs="仿宋"/>
          <w:color w:val="0000FF"/>
          <w:sz w:val="21"/>
          <w:szCs w:val="21"/>
          <w:highlight w:val="none"/>
        </w:rPr>
      </w:pPr>
      <w:r>
        <w:rPr>
          <w:rFonts w:hint="eastAsia" w:ascii="仿宋" w:hAnsi="仿宋" w:eastAsia="仿宋" w:cs="仿宋"/>
          <w:color w:val="0000FF"/>
          <w:sz w:val="21"/>
          <w:szCs w:val="21"/>
          <w:highlight w:val="none"/>
        </w:rPr>
        <w:t xml:space="preserve">           </w:t>
      </w:r>
    </w:p>
    <w:p>
      <w:pPr>
        <w:pStyle w:val="118"/>
        <w:spacing w:line="360" w:lineRule="auto"/>
        <w:jc w:val="left"/>
        <w:rPr>
          <w:rFonts w:ascii="宋体" w:hAnsi="宋体" w:cs="宋体"/>
          <w:bCs/>
          <w:spacing w:val="10"/>
          <w:kern w:val="0"/>
          <w:sz w:val="24"/>
          <w:szCs w:val="24"/>
          <w:highlight w:val="none"/>
        </w:rPr>
      </w:pPr>
      <w:r>
        <w:rPr>
          <w:rFonts w:hint="eastAsia" w:ascii="宋体" w:hAnsi="宋体" w:cs="宋体"/>
          <w:bCs/>
          <w:spacing w:val="10"/>
          <w:kern w:val="0"/>
          <w:sz w:val="24"/>
          <w:szCs w:val="24"/>
          <w:highlight w:val="none"/>
        </w:rPr>
        <w:t>投标人（企业电子章）：</w:t>
      </w:r>
    </w:p>
    <w:p>
      <w:pPr>
        <w:pStyle w:val="7"/>
        <w:ind w:firstLine="4410" w:firstLineChars="2100"/>
        <w:rPr>
          <w:rFonts w:ascii="宋体" w:hAnsi="宋体" w:eastAsia="宋体" w:cs="宋体"/>
          <w:color w:val="0000FF"/>
          <w:sz w:val="21"/>
          <w:szCs w:val="21"/>
          <w:highlight w:val="none"/>
        </w:rPr>
      </w:pPr>
    </w:p>
    <w:p>
      <w:pPr>
        <w:pStyle w:val="7"/>
        <w:ind w:firstLine="4410" w:firstLineChars="2100"/>
        <w:rPr>
          <w:rFonts w:ascii="宋体" w:hAnsi="宋体" w:eastAsia="宋体" w:cs="宋体"/>
          <w:color w:val="0000FF"/>
          <w:sz w:val="21"/>
          <w:szCs w:val="21"/>
          <w:highlight w:val="none"/>
        </w:rPr>
      </w:pPr>
    </w:p>
    <w:p>
      <w:pPr>
        <w:pStyle w:val="7"/>
        <w:ind w:firstLine="4410" w:firstLineChars="2100"/>
        <w:rPr>
          <w:rFonts w:ascii="宋体" w:hAnsi="宋体" w:eastAsia="宋体" w:cs="宋体"/>
          <w:color w:val="0000FF"/>
          <w:sz w:val="21"/>
          <w:szCs w:val="21"/>
          <w:highlight w:val="none"/>
        </w:rPr>
      </w:pPr>
    </w:p>
    <w:p>
      <w:pPr>
        <w:pStyle w:val="7"/>
        <w:ind w:firstLine="4410" w:firstLineChars="2100"/>
        <w:rPr>
          <w:rFonts w:ascii="宋体" w:hAnsi="宋体" w:eastAsia="宋体" w:cs="宋体"/>
          <w:color w:val="0000FF"/>
          <w:sz w:val="21"/>
          <w:szCs w:val="21"/>
          <w:highlight w:val="none"/>
        </w:rPr>
      </w:pPr>
    </w:p>
    <w:p>
      <w:pPr>
        <w:pStyle w:val="7"/>
        <w:ind w:firstLine="4410" w:firstLineChars="2100"/>
        <w:rPr>
          <w:rFonts w:ascii="宋体" w:hAnsi="宋体" w:eastAsia="宋体" w:cs="宋体"/>
          <w:color w:val="0000FF"/>
          <w:sz w:val="21"/>
          <w:szCs w:val="21"/>
          <w:highlight w:val="none"/>
        </w:rPr>
      </w:pPr>
    </w:p>
    <w:p>
      <w:pPr>
        <w:pStyle w:val="7"/>
        <w:ind w:firstLine="4410" w:firstLineChars="2100"/>
        <w:rPr>
          <w:rFonts w:ascii="宋体" w:hAnsi="宋体" w:eastAsia="宋体" w:cs="宋体"/>
          <w:color w:val="0000FF"/>
          <w:sz w:val="21"/>
          <w:szCs w:val="21"/>
          <w:highlight w:val="none"/>
        </w:rPr>
      </w:pPr>
    </w:p>
    <w:p>
      <w:pPr>
        <w:pStyle w:val="7"/>
        <w:ind w:firstLine="4410" w:firstLineChars="2100"/>
        <w:rPr>
          <w:rFonts w:ascii="宋体" w:hAnsi="宋体" w:eastAsia="宋体" w:cs="宋体"/>
          <w:color w:val="0000FF"/>
          <w:sz w:val="21"/>
          <w:szCs w:val="21"/>
          <w:highlight w:val="none"/>
        </w:rPr>
      </w:pPr>
    </w:p>
    <w:p>
      <w:pPr>
        <w:pStyle w:val="7"/>
        <w:ind w:firstLine="4410" w:firstLineChars="2100"/>
        <w:rPr>
          <w:rFonts w:ascii="宋体" w:hAnsi="宋体" w:eastAsia="宋体" w:cs="宋体"/>
          <w:color w:val="0000FF"/>
          <w:sz w:val="21"/>
          <w:szCs w:val="21"/>
          <w:highlight w:val="none"/>
        </w:rPr>
      </w:pPr>
    </w:p>
    <w:p>
      <w:pPr>
        <w:pStyle w:val="7"/>
        <w:ind w:firstLine="4410" w:firstLineChars="2100"/>
        <w:rPr>
          <w:rFonts w:ascii="宋体" w:hAnsi="宋体" w:eastAsia="宋体" w:cs="宋体"/>
          <w:color w:val="0000FF"/>
          <w:sz w:val="21"/>
          <w:szCs w:val="21"/>
          <w:highlight w:val="none"/>
        </w:rPr>
      </w:pPr>
    </w:p>
    <w:p>
      <w:pPr>
        <w:pStyle w:val="7"/>
        <w:ind w:firstLine="4410" w:firstLineChars="2100"/>
        <w:rPr>
          <w:rFonts w:ascii="宋体" w:hAnsi="宋体" w:eastAsia="宋体" w:cs="宋体"/>
          <w:color w:val="0000FF"/>
          <w:sz w:val="21"/>
          <w:szCs w:val="21"/>
          <w:highlight w:val="none"/>
        </w:rPr>
      </w:pPr>
    </w:p>
    <w:p>
      <w:pPr>
        <w:pStyle w:val="7"/>
        <w:ind w:firstLine="4410" w:firstLineChars="2100"/>
        <w:rPr>
          <w:rFonts w:ascii="宋体" w:hAnsi="宋体" w:eastAsia="宋体" w:cs="宋体"/>
          <w:color w:val="0000FF"/>
          <w:sz w:val="21"/>
          <w:szCs w:val="21"/>
          <w:highlight w:val="none"/>
        </w:rPr>
      </w:pPr>
    </w:p>
    <w:p>
      <w:pPr>
        <w:pStyle w:val="7"/>
        <w:ind w:firstLine="4410" w:firstLineChars="2100"/>
        <w:rPr>
          <w:rFonts w:ascii="宋体" w:hAnsi="宋体" w:eastAsia="宋体" w:cs="宋体"/>
          <w:color w:val="0000FF"/>
          <w:sz w:val="21"/>
          <w:szCs w:val="21"/>
          <w:highlight w:val="none"/>
        </w:rPr>
      </w:pPr>
    </w:p>
    <w:p>
      <w:pPr>
        <w:pStyle w:val="7"/>
        <w:ind w:firstLine="4410" w:firstLineChars="2100"/>
        <w:rPr>
          <w:rFonts w:ascii="宋体" w:hAnsi="宋体" w:eastAsia="宋体" w:cs="宋体"/>
          <w:color w:val="0000FF"/>
          <w:sz w:val="21"/>
          <w:szCs w:val="21"/>
          <w:highlight w:val="none"/>
        </w:rPr>
      </w:pPr>
    </w:p>
    <w:p>
      <w:pPr>
        <w:pStyle w:val="7"/>
        <w:ind w:firstLine="4410" w:firstLineChars="2100"/>
        <w:rPr>
          <w:rFonts w:ascii="宋体" w:hAnsi="宋体" w:eastAsia="宋体" w:cs="宋体"/>
          <w:color w:val="0000FF"/>
          <w:sz w:val="21"/>
          <w:szCs w:val="21"/>
          <w:highlight w:val="none"/>
        </w:rPr>
      </w:pPr>
    </w:p>
    <w:p>
      <w:pPr>
        <w:pStyle w:val="7"/>
        <w:ind w:firstLine="4410" w:firstLineChars="2100"/>
        <w:rPr>
          <w:rFonts w:ascii="宋体" w:hAnsi="宋体" w:eastAsia="宋体" w:cs="宋体"/>
          <w:color w:val="0000FF"/>
          <w:sz w:val="21"/>
          <w:szCs w:val="21"/>
          <w:highlight w:val="none"/>
        </w:rPr>
      </w:pPr>
    </w:p>
    <w:p>
      <w:pPr>
        <w:pStyle w:val="7"/>
        <w:ind w:firstLine="4410" w:firstLineChars="2100"/>
        <w:rPr>
          <w:rFonts w:ascii="宋体" w:hAnsi="宋体" w:eastAsia="宋体" w:cs="宋体"/>
          <w:color w:val="0000FF"/>
          <w:sz w:val="21"/>
          <w:szCs w:val="21"/>
          <w:highlight w:val="none"/>
        </w:rPr>
      </w:pPr>
    </w:p>
    <w:p>
      <w:pPr>
        <w:pStyle w:val="7"/>
        <w:ind w:firstLine="4410" w:firstLineChars="2100"/>
        <w:rPr>
          <w:rFonts w:ascii="宋体" w:hAnsi="宋体" w:eastAsia="宋体" w:cs="宋体"/>
          <w:color w:val="0000FF"/>
          <w:sz w:val="21"/>
          <w:szCs w:val="21"/>
          <w:highlight w:val="none"/>
        </w:rPr>
      </w:pPr>
    </w:p>
    <w:p>
      <w:pPr>
        <w:pStyle w:val="7"/>
        <w:ind w:firstLine="4410" w:firstLineChars="2100"/>
        <w:rPr>
          <w:rFonts w:ascii="宋体" w:hAnsi="宋体" w:eastAsia="宋体" w:cs="宋体"/>
          <w:color w:val="0000FF"/>
          <w:sz w:val="21"/>
          <w:szCs w:val="21"/>
          <w:highlight w:val="none"/>
        </w:rPr>
      </w:pPr>
    </w:p>
    <w:p>
      <w:pPr>
        <w:pStyle w:val="7"/>
        <w:ind w:firstLine="4410" w:firstLineChars="2100"/>
        <w:rPr>
          <w:rFonts w:ascii="宋体" w:hAnsi="宋体" w:eastAsia="宋体" w:cs="宋体"/>
          <w:color w:val="0000FF"/>
          <w:sz w:val="21"/>
          <w:szCs w:val="21"/>
          <w:highlight w:val="none"/>
        </w:rPr>
      </w:pPr>
    </w:p>
    <w:p>
      <w:pPr>
        <w:pStyle w:val="7"/>
        <w:ind w:firstLine="4410" w:firstLineChars="2100"/>
        <w:rPr>
          <w:rFonts w:ascii="宋体" w:hAnsi="宋体" w:eastAsia="宋体" w:cs="宋体"/>
          <w:color w:val="0000FF"/>
          <w:sz w:val="21"/>
          <w:szCs w:val="21"/>
          <w:highlight w:val="none"/>
        </w:rPr>
      </w:pPr>
    </w:p>
    <w:p>
      <w:pPr>
        <w:pStyle w:val="7"/>
        <w:ind w:firstLine="4410" w:firstLineChars="2100"/>
        <w:rPr>
          <w:rFonts w:ascii="宋体" w:hAnsi="宋体" w:eastAsia="宋体" w:cs="宋体"/>
          <w:color w:val="0000FF"/>
          <w:sz w:val="21"/>
          <w:szCs w:val="21"/>
          <w:highlight w:val="none"/>
        </w:rPr>
      </w:pPr>
    </w:p>
    <w:p>
      <w:pPr>
        <w:pStyle w:val="7"/>
        <w:ind w:firstLine="4410" w:firstLineChars="2100"/>
        <w:rPr>
          <w:rFonts w:ascii="宋体" w:hAnsi="宋体" w:eastAsia="宋体" w:cs="宋体"/>
          <w:color w:val="0000FF"/>
          <w:sz w:val="21"/>
          <w:szCs w:val="21"/>
          <w:highlight w:val="none"/>
        </w:rPr>
      </w:pPr>
    </w:p>
    <w:p>
      <w:pPr>
        <w:pStyle w:val="7"/>
        <w:ind w:firstLine="4410" w:firstLineChars="2100"/>
        <w:rPr>
          <w:rFonts w:ascii="宋体" w:hAnsi="宋体" w:eastAsia="宋体" w:cs="宋体"/>
          <w:color w:val="0000FF"/>
          <w:sz w:val="21"/>
          <w:szCs w:val="21"/>
          <w:highlight w:val="none"/>
        </w:rPr>
      </w:pPr>
      <w:r>
        <w:rPr>
          <w:rFonts w:hint="eastAsia" w:ascii="宋体" w:hAnsi="宋体" w:eastAsia="宋体" w:cs="宋体"/>
          <w:color w:val="0000FF"/>
          <w:sz w:val="21"/>
          <w:szCs w:val="21"/>
          <w:highlight w:val="none"/>
        </w:rPr>
        <w:t xml:space="preserve">         </w:t>
      </w:r>
    </w:p>
    <w:p>
      <w:pPr>
        <w:spacing w:line="360" w:lineRule="auto"/>
        <w:jc w:val="center"/>
        <w:rPr>
          <w:rFonts w:ascii="宋体" w:hAnsi="宋体" w:eastAsia="宋体" w:cs="宋体"/>
          <w:b/>
          <w:spacing w:val="10"/>
          <w:highlight w:val="none"/>
        </w:rPr>
      </w:pPr>
      <w:r>
        <w:rPr>
          <w:rFonts w:hint="eastAsia" w:ascii="宋体" w:hAnsi="宋体" w:eastAsia="宋体" w:cs="宋体"/>
          <w:b/>
          <w:spacing w:val="10"/>
          <w:highlight w:val="none"/>
        </w:rPr>
        <w:t>4.产品配置清单</w:t>
      </w:r>
    </w:p>
    <w:p>
      <w:pPr>
        <w:pStyle w:val="12"/>
        <w:rPr>
          <w:highlight w:val="none"/>
        </w:rPr>
      </w:pPr>
    </w:p>
    <w:tbl>
      <w:tblPr>
        <w:tblStyle w:val="117"/>
        <w:tblW w:w="9882"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952"/>
        <w:gridCol w:w="855"/>
        <w:gridCol w:w="1365"/>
        <w:gridCol w:w="1229"/>
        <w:gridCol w:w="1095"/>
        <w:gridCol w:w="1019"/>
        <w:gridCol w:w="1140"/>
        <w:gridCol w:w="1200"/>
        <w:gridCol w:w="10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37" w:hRule="atLeast"/>
        </w:trPr>
        <w:tc>
          <w:tcPr>
            <w:tcW w:w="952" w:type="dxa"/>
          </w:tcPr>
          <w:p>
            <w:pPr>
              <w:pStyle w:val="45"/>
              <w:spacing w:line="360" w:lineRule="auto"/>
              <w:jc w:val="center"/>
              <w:rPr>
                <w:sz w:val="24"/>
                <w:szCs w:val="24"/>
                <w:highlight w:val="none"/>
              </w:rPr>
            </w:pPr>
            <w:r>
              <w:rPr>
                <w:rFonts w:hint="eastAsia"/>
                <w:spacing w:val="-10"/>
                <w:sz w:val="24"/>
                <w:szCs w:val="24"/>
                <w:highlight w:val="none"/>
              </w:rPr>
              <w:t>序号</w:t>
            </w:r>
          </w:p>
        </w:tc>
        <w:tc>
          <w:tcPr>
            <w:tcW w:w="855" w:type="dxa"/>
          </w:tcPr>
          <w:p>
            <w:pPr>
              <w:pStyle w:val="45"/>
              <w:spacing w:line="360" w:lineRule="auto"/>
              <w:jc w:val="center"/>
              <w:rPr>
                <w:sz w:val="24"/>
                <w:szCs w:val="24"/>
                <w:highlight w:val="none"/>
              </w:rPr>
            </w:pPr>
            <w:r>
              <w:rPr>
                <w:rFonts w:hint="eastAsia"/>
                <w:spacing w:val="28"/>
                <w:sz w:val="24"/>
                <w:szCs w:val="24"/>
                <w:highlight w:val="none"/>
              </w:rPr>
              <w:t>名称</w:t>
            </w:r>
          </w:p>
        </w:tc>
        <w:tc>
          <w:tcPr>
            <w:tcW w:w="1365" w:type="dxa"/>
          </w:tcPr>
          <w:p>
            <w:pPr>
              <w:pStyle w:val="45"/>
              <w:spacing w:line="360" w:lineRule="auto"/>
              <w:jc w:val="center"/>
              <w:rPr>
                <w:sz w:val="24"/>
                <w:szCs w:val="24"/>
                <w:highlight w:val="none"/>
              </w:rPr>
            </w:pPr>
            <w:r>
              <w:rPr>
                <w:rFonts w:hint="eastAsia"/>
                <w:spacing w:val="-19"/>
                <w:sz w:val="24"/>
                <w:szCs w:val="24"/>
                <w:highlight w:val="none"/>
              </w:rPr>
              <w:t>规格型号</w:t>
            </w:r>
          </w:p>
        </w:tc>
        <w:tc>
          <w:tcPr>
            <w:tcW w:w="1229" w:type="dxa"/>
          </w:tcPr>
          <w:p>
            <w:pPr>
              <w:pStyle w:val="45"/>
              <w:spacing w:line="360" w:lineRule="auto"/>
              <w:jc w:val="center"/>
              <w:rPr>
                <w:sz w:val="24"/>
                <w:szCs w:val="24"/>
                <w:highlight w:val="none"/>
              </w:rPr>
            </w:pPr>
            <w:r>
              <w:rPr>
                <w:rFonts w:hint="eastAsia"/>
                <w:spacing w:val="-16"/>
                <w:sz w:val="24"/>
                <w:szCs w:val="24"/>
                <w:highlight w:val="none"/>
              </w:rPr>
              <w:t>制造商</w:t>
            </w:r>
          </w:p>
        </w:tc>
        <w:tc>
          <w:tcPr>
            <w:tcW w:w="1095" w:type="dxa"/>
          </w:tcPr>
          <w:p>
            <w:pPr>
              <w:pStyle w:val="45"/>
              <w:spacing w:line="360" w:lineRule="auto"/>
              <w:jc w:val="center"/>
              <w:rPr>
                <w:sz w:val="24"/>
                <w:szCs w:val="24"/>
                <w:highlight w:val="none"/>
              </w:rPr>
            </w:pPr>
            <w:r>
              <w:rPr>
                <w:rFonts w:hint="eastAsia"/>
                <w:spacing w:val="-10"/>
                <w:sz w:val="24"/>
                <w:szCs w:val="24"/>
                <w:highlight w:val="none"/>
              </w:rPr>
              <w:t>单位</w:t>
            </w:r>
          </w:p>
        </w:tc>
        <w:tc>
          <w:tcPr>
            <w:tcW w:w="1019" w:type="dxa"/>
          </w:tcPr>
          <w:p>
            <w:pPr>
              <w:pStyle w:val="45"/>
              <w:spacing w:line="360" w:lineRule="auto"/>
              <w:jc w:val="center"/>
              <w:rPr>
                <w:sz w:val="24"/>
                <w:szCs w:val="24"/>
                <w:highlight w:val="none"/>
              </w:rPr>
            </w:pPr>
            <w:r>
              <w:rPr>
                <w:rFonts w:hint="eastAsia"/>
                <w:spacing w:val="-10"/>
                <w:sz w:val="24"/>
                <w:szCs w:val="24"/>
                <w:highlight w:val="none"/>
              </w:rPr>
              <w:t>数量</w:t>
            </w:r>
          </w:p>
        </w:tc>
        <w:tc>
          <w:tcPr>
            <w:tcW w:w="1140" w:type="dxa"/>
          </w:tcPr>
          <w:p>
            <w:pPr>
              <w:pStyle w:val="45"/>
              <w:spacing w:line="360" w:lineRule="auto"/>
              <w:jc w:val="center"/>
              <w:rPr>
                <w:sz w:val="24"/>
                <w:szCs w:val="24"/>
                <w:highlight w:val="none"/>
              </w:rPr>
            </w:pPr>
            <w:r>
              <w:rPr>
                <w:rFonts w:hint="eastAsia"/>
                <w:spacing w:val="-17"/>
                <w:sz w:val="24"/>
                <w:szCs w:val="24"/>
                <w:highlight w:val="none"/>
              </w:rPr>
              <w:t>单价(元)</w:t>
            </w:r>
          </w:p>
        </w:tc>
        <w:tc>
          <w:tcPr>
            <w:tcW w:w="1200" w:type="dxa"/>
          </w:tcPr>
          <w:p>
            <w:pPr>
              <w:pStyle w:val="45"/>
              <w:spacing w:line="360" w:lineRule="auto"/>
              <w:jc w:val="center"/>
              <w:rPr>
                <w:sz w:val="24"/>
                <w:szCs w:val="24"/>
                <w:highlight w:val="none"/>
              </w:rPr>
            </w:pPr>
            <w:r>
              <w:rPr>
                <w:rFonts w:hint="eastAsia"/>
                <w:spacing w:val="-17"/>
                <w:sz w:val="24"/>
                <w:szCs w:val="24"/>
                <w:highlight w:val="none"/>
              </w:rPr>
              <w:t>合价(元)</w:t>
            </w:r>
          </w:p>
        </w:tc>
        <w:tc>
          <w:tcPr>
            <w:tcW w:w="1027" w:type="dxa"/>
          </w:tcPr>
          <w:p>
            <w:pPr>
              <w:pStyle w:val="45"/>
              <w:spacing w:line="360" w:lineRule="auto"/>
              <w:jc w:val="center"/>
              <w:rPr>
                <w:sz w:val="24"/>
                <w:szCs w:val="24"/>
                <w:highlight w:val="none"/>
              </w:rPr>
            </w:pPr>
            <w:r>
              <w:rPr>
                <w:rFonts w:hint="eastAsia"/>
                <w:spacing w:val="-11"/>
                <w:sz w:val="24"/>
                <w:szCs w:val="24"/>
                <w:highlight w:val="none"/>
              </w:rPr>
              <w:t>备注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9" w:hRule="atLeast"/>
        </w:trPr>
        <w:tc>
          <w:tcPr>
            <w:tcW w:w="952" w:type="dxa"/>
          </w:tcPr>
          <w:p>
            <w:pPr>
              <w:spacing w:line="360" w:lineRule="auto"/>
              <w:jc w:val="center"/>
              <w:rPr>
                <w:rFonts w:ascii="宋体" w:hAnsi="宋体" w:eastAsia="宋体" w:cs="宋体"/>
                <w:highlight w:val="none"/>
              </w:rPr>
            </w:pPr>
          </w:p>
        </w:tc>
        <w:tc>
          <w:tcPr>
            <w:tcW w:w="855" w:type="dxa"/>
          </w:tcPr>
          <w:p>
            <w:pPr>
              <w:spacing w:line="360" w:lineRule="auto"/>
              <w:jc w:val="center"/>
              <w:rPr>
                <w:rFonts w:ascii="宋体" w:hAnsi="宋体" w:eastAsia="宋体" w:cs="宋体"/>
                <w:highlight w:val="none"/>
              </w:rPr>
            </w:pPr>
          </w:p>
        </w:tc>
        <w:tc>
          <w:tcPr>
            <w:tcW w:w="1365" w:type="dxa"/>
          </w:tcPr>
          <w:p>
            <w:pPr>
              <w:spacing w:line="360" w:lineRule="auto"/>
              <w:jc w:val="center"/>
              <w:rPr>
                <w:rFonts w:ascii="宋体" w:hAnsi="宋体" w:eastAsia="宋体" w:cs="宋体"/>
                <w:highlight w:val="none"/>
              </w:rPr>
            </w:pPr>
          </w:p>
        </w:tc>
        <w:tc>
          <w:tcPr>
            <w:tcW w:w="1229" w:type="dxa"/>
          </w:tcPr>
          <w:p>
            <w:pPr>
              <w:spacing w:line="360" w:lineRule="auto"/>
              <w:jc w:val="center"/>
              <w:rPr>
                <w:rFonts w:ascii="宋体" w:hAnsi="宋体" w:eastAsia="宋体" w:cs="宋体"/>
                <w:highlight w:val="none"/>
              </w:rPr>
            </w:pPr>
          </w:p>
        </w:tc>
        <w:tc>
          <w:tcPr>
            <w:tcW w:w="1095" w:type="dxa"/>
          </w:tcPr>
          <w:p>
            <w:pPr>
              <w:spacing w:line="360" w:lineRule="auto"/>
              <w:jc w:val="center"/>
              <w:rPr>
                <w:rFonts w:ascii="宋体" w:hAnsi="宋体" w:eastAsia="宋体" w:cs="宋体"/>
                <w:highlight w:val="none"/>
              </w:rPr>
            </w:pPr>
          </w:p>
        </w:tc>
        <w:tc>
          <w:tcPr>
            <w:tcW w:w="1019" w:type="dxa"/>
          </w:tcPr>
          <w:p>
            <w:pPr>
              <w:spacing w:line="360" w:lineRule="auto"/>
              <w:jc w:val="center"/>
              <w:rPr>
                <w:rFonts w:ascii="宋体" w:hAnsi="宋体" w:eastAsia="宋体" w:cs="宋体"/>
                <w:highlight w:val="none"/>
              </w:rPr>
            </w:pPr>
          </w:p>
        </w:tc>
        <w:tc>
          <w:tcPr>
            <w:tcW w:w="1140" w:type="dxa"/>
          </w:tcPr>
          <w:p>
            <w:pPr>
              <w:spacing w:line="360" w:lineRule="auto"/>
              <w:jc w:val="center"/>
              <w:rPr>
                <w:rFonts w:ascii="宋体" w:hAnsi="宋体" w:eastAsia="宋体" w:cs="宋体"/>
                <w:highlight w:val="none"/>
              </w:rPr>
            </w:pPr>
          </w:p>
        </w:tc>
        <w:tc>
          <w:tcPr>
            <w:tcW w:w="1200" w:type="dxa"/>
          </w:tcPr>
          <w:p>
            <w:pPr>
              <w:spacing w:line="360" w:lineRule="auto"/>
              <w:jc w:val="center"/>
              <w:rPr>
                <w:rFonts w:ascii="宋体" w:hAnsi="宋体" w:eastAsia="宋体" w:cs="宋体"/>
                <w:highlight w:val="none"/>
              </w:rPr>
            </w:pPr>
          </w:p>
        </w:tc>
        <w:tc>
          <w:tcPr>
            <w:tcW w:w="1027" w:type="dxa"/>
          </w:tcPr>
          <w:p>
            <w:pPr>
              <w:spacing w:line="360" w:lineRule="auto"/>
              <w:jc w:val="center"/>
              <w:rPr>
                <w:rFonts w:ascii="宋体" w:hAnsi="宋体" w:eastAsia="宋体" w:cs="宋体"/>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44" w:hRule="atLeast"/>
        </w:trPr>
        <w:tc>
          <w:tcPr>
            <w:tcW w:w="952" w:type="dxa"/>
          </w:tcPr>
          <w:p>
            <w:pPr>
              <w:spacing w:line="360" w:lineRule="auto"/>
              <w:jc w:val="center"/>
              <w:rPr>
                <w:rFonts w:ascii="宋体" w:hAnsi="宋体" w:eastAsia="宋体" w:cs="宋体"/>
                <w:highlight w:val="none"/>
              </w:rPr>
            </w:pPr>
          </w:p>
        </w:tc>
        <w:tc>
          <w:tcPr>
            <w:tcW w:w="855" w:type="dxa"/>
          </w:tcPr>
          <w:p>
            <w:pPr>
              <w:spacing w:line="360" w:lineRule="auto"/>
              <w:jc w:val="center"/>
              <w:rPr>
                <w:rFonts w:ascii="宋体" w:hAnsi="宋体" w:eastAsia="宋体" w:cs="宋体"/>
                <w:highlight w:val="none"/>
              </w:rPr>
            </w:pPr>
          </w:p>
        </w:tc>
        <w:tc>
          <w:tcPr>
            <w:tcW w:w="1365" w:type="dxa"/>
          </w:tcPr>
          <w:p>
            <w:pPr>
              <w:spacing w:line="360" w:lineRule="auto"/>
              <w:jc w:val="center"/>
              <w:rPr>
                <w:rFonts w:ascii="宋体" w:hAnsi="宋体" w:eastAsia="宋体" w:cs="宋体"/>
                <w:highlight w:val="none"/>
              </w:rPr>
            </w:pPr>
          </w:p>
        </w:tc>
        <w:tc>
          <w:tcPr>
            <w:tcW w:w="1229" w:type="dxa"/>
          </w:tcPr>
          <w:p>
            <w:pPr>
              <w:spacing w:line="360" w:lineRule="auto"/>
              <w:jc w:val="center"/>
              <w:rPr>
                <w:rFonts w:ascii="宋体" w:hAnsi="宋体" w:eastAsia="宋体" w:cs="宋体"/>
                <w:highlight w:val="none"/>
              </w:rPr>
            </w:pPr>
          </w:p>
        </w:tc>
        <w:tc>
          <w:tcPr>
            <w:tcW w:w="1095" w:type="dxa"/>
          </w:tcPr>
          <w:p>
            <w:pPr>
              <w:spacing w:line="360" w:lineRule="auto"/>
              <w:jc w:val="center"/>
              <w:rPr>
                <w:rFonts w:ascii="宋体" w:hAnsi="宋体" w:eastAsia="宋体" w:cs="宋体"/>
                <w:highlight w:val="none"/>
              </w:rPr>
            </w:pPr>
          </w:p>
        </w:tc>
        <w:tc>
          <w:tcPr>
            <w:tcW w:w="1019" w:type="dxa"/>
          </w:tcPr>
          <w:p>
            <w:pPr>
              <w:spacing w:line="360" w:lineRule="auto"/>
              <w:jc w:val="center"/>
              <w:rPr>
                <w:rFonts w:ascii="宋体" w:hAnsi="宋体" w:eastAsia="宋体" w:cs="宋体"/>
                <w:highlight w:val="none"/>
              </w:rPr>
            </w:pPr>
          </w:p>
        </w:tc>
        <w:tc>
          <w:tcPr>
            <w:tcW w:w="1140" w:type="dxa"/>
          </w:tcPr>
          <w:p>
            <w:pPr>
              <w:spacing w:line="360" w:lineRule="auto"/>
              <w:jc w:val="center"/>
              <w:rPr>
                <w:rFonts w:ascii="宋体" w:hAnsi="宋体" w:eastAsia="宋体" w:cs="宋体"/>
                <w:highlight w:val="none"/>
              </w:rPr>
            </w:pPr>
          </w:p>
        </w:tc>
        <w:tc>
          <w:tcPr>
            <w:tcW w:w="1200" w:type="dxa"/>
          </w:tcPr>
          <w:p>
            <w:pPr>
              <w:spacing w:line="360" w:lineRule="auto"/>
              <w:jc w:val="center"/>
              <w:rPr>
                <w:rFonts w:ascii="宋体" w:hAnsi="宋体" w:eastAsia="宋体" w:cs="宋体"/>
                <w:highlight w:val="none"/>
              </w:rPr>
            </w:pPr>
          </w:p>
        </w:tc>
        <w:tc>
          <w:tcPr>
            <w:tcW w:w="1027" w:type="dxa"/>
          </w:tcPr>
          <w:p>
            <w:pPr>
              <w:spacing w:line="360" w:lineRule="auto"/>
              <w:jc w:val="center"/>
              <w:rPr>
                <w:rFonts w:ascii="宋体" w:hAnsi="宋体" w:eastAsia="宋体" w:cs="宋体"/>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9" w:hRule="atLeast"/>
        </w:trPr>
        <w:tc>
          <w:tcPr>
            <w:tcW w:w="952" w:type="dxa"/>
          </w:tcPr>
          <w:p>
            <w:pPr>
              <w:spacing w:line="360" w:lineRule="auto"/>
              <w:jc w:val="center"/>
              <w:rPr>
                <w:rFonts w:ascii="宋体" w:hAnsi="宋体" w:eastAsia="宋体" w:cs="宋体"/>
                <w:highlight w:val="none"/>
              </w:rPr>
            </w:pPr>
          </w:p>
        </w:tc>
        <w:tc>
          <w:tcPr>
            <w:tcW w:w="855" w:type="dxa"/>
          </w:tcPr>
          <w:p>
            <w:pPr>
              <w:spacing w:line="360" w:lineRule="auto"/>
              <w:jc w:val="center"/>
              <w:rPr>
                <w:rFonts w:ascii="宋体" w:hAnsi="宋体" w:eastAsia="宋体" w:cs="宋体"/>
                <w:highlight w:val="none"/>
              </w:rPr>
            </w:pPr>
          </w:p>
        </w:tc>
        <w:tc>
          <w:tcPr>
            <w:tcW w:w="1365" w:type="dxa"/>
          </w:tcPr>
          <w:p>
            <w:pPr>
              <w:spacing w:line="360" w:lineRule="auto"/>
              <w:jc w:val="center"/>
              <w:rPr>
                <w:rFonts w:ascii="宋体" w:hAnsi="宋体" w:eastAsia="宋体" w:cs="宋体"/>
                <w:highlight w:val="none"/>
              </w:rPr>
            </w:pPr>
          </w:p>
        </w:tc>
        <w:tc>
          <w:tcPr>
            <w:tcW w:w="1229" w:type="dxa"/>
          </w:tcPr>
          <w:p>
            <w:pPr>
              <w:spacing w:line="360" w:lineRule="auto"/>
              <w:jc w:val="center"/>
              <w:rPr>
                <w:rFonts w:ascii="宋体" w:hAnsi="宋体" w:eastAsia="宋体" w:cs="宋体"/>
                <w:highlight w:val="none"/>
              </w:rPr>
            </w:pPr>
          </w:p>
        </w:tc>
        <w:tc>
          <w:tcPr>
            <w:tcW w:w="1095" w:type="dxa"/>
          </w:tcPr>
          <w:p>
            <w:pPr>
              <w:spacing w:line="360" w:lineRule="auto"/>
              <w:jc w:val="center"/>
              <w:rPr>
                <w:rFonts w:ascii="宋体" w:hAnsi="宋体" w:eastAsia="宋体" w:cs="宋体"/>
                <w:highlight w:val="none"/>
              </w:rPr>
            </w:pPr>
          </w:p>
        </w:tc>
        <w:tc>
          <w:tcPr>
            <w:tcW w:w="1019" w:type="dxa"/>
          </w:tcPr>
          <w:p>
            <w:pPr>
              <w:spacing w:line="360" w:lineRule="auto"/>
              <w:jc w:val="center"/>
              <w:rPr>
                <w:rFonts w:ascii="宋体" w:hAnsi="宋体" w:eastAsia="宋体" w:cs="宋体"/>
                <w:highlight w:val="none"/>
              </w:rPr>
            </w:pPr>
          </w:p>
        </w:tc>
        <w:tc>
          <w:tcPr>
            <w:tcW w:w="1140" w:type="dxa"/>
          </w:tcPr>
          <w:p>
            <w:pPr>
              <w:spacing w:line="360" w:lineRule="auto"/>
              <w:jc w:val="center"/>
              <w:rPr>
                <w:rFonts w:ascii="宋体" w:hAnsi="宋体" w:eastAsia="宋体" w:cs="宋体"/>
                <w:highlight w:val="none"/>
              </w:rPr>
            </w:pPr>
          </w:p>
        </w:tc>
        <w:tc>
          <w:tcPr>
            <w:tcW w:w="1200" w:type="dxa"/>
          </w:tcPr>
          <w:p>
            <w:pPr>
              <w:spacing w:line="360" w:lineRule="auto"/>
              <w:jc w:val="center"/>
              <w:rPr>
                <w:rFonts w:ascii="宋体" w:hAnsi="宋体" w:eastAsia="宋体" w:cs="宋体"/>
                <w:highlight w:val="none"/>
              </w:rPr>
            </w:pPr>
          </w:p>
        </w:tc>
        <w:tc>
          <w:tcPr>
            <w:tcW w:w="1027" w:type="dxa"/>
          </w:tcPr>
          <w:p>
            <w:pPr>
              <w:spacing w:line="360" w:lineRule="auto"/>
              <w:jc w:val="center"/>
              <w:rPr>
                <w:rFonts w:ascii="宋体" w:hAnsi="宋体" w:eastAsia="宋体" w:cs="宋体"/>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9" w:hRule="atLeast"/>
        </w:trPr>
        <w:tc>
          <w:tcPr>
            <w:tcW w:w="952" w:type="dxa"/>
          </w:tcPr>
          <w:p>
            <w:pPr>
              <w:spacing w:line="360" w:lineRule="auto"/>
              <w:jc w:val="center"/>
              <w:rPr>
                <w:rFonts w:ascii="宋体" w:hAnsi="宋体" w:eastAsia="宋体" w:cs="宋体"/>
                <w:highlight w:val="none"/>
              </w:rPr>
            </w:pPr>
          </w:p>
        </w:tc>
        <w:tc>
          <w:tcPr>
            <w:tcW w:w="855" w:type="dxa"/>
          </w:tcPr>
          <w:p>
            <w:pPr>
              <w:spacing w:line="360" w:lineRule="auto"/>
              <w:jc w:val="center"/>
              <w:rPr>
                <w:rFonts w:ascii="宋体" w:hAnsi="宋体" w:eastAsia="宋体" w:cs="宋体"/>
                <w:highlight w:val="none"/>
              </w:rPr>
            </w:pPr>
          </w:p>
        </w:tc>
        <w:tc>
          <w:tcPr>
            <w:tcW w:w="1365" w:type="dxa"/>
          </w:tcPr>
          <w:p>
            <w:pPr>
              <w:spacing w:line="360" w:lineRule="auto"/>
              <w:jc w:val="center"/>
              <w:rPr>
                <w:rFonts w:ascii="宋体" w:hAnsi="宋体" w:eastAsia="宋体" w:cs="宋体"/>
                <w:highlight w:val="none"/>
              </w:rPr>
            </w:pPr>
          </w:p>
        </w:tc>
        <w:tc>
          <w:tcPr>
            <w:tcW w:w="1229" w:type="dxa"/>
          </w:tcPr>
          <w:p>
            <w:pPr>
              <w:spacing w:line="360" w:lineRule="auto"/>
              <w:jc w:val="center"/>
              <w:rPr>
                <w:rFonts w:ascii="宋体" w:hAnsi="宋体" w:eastAsia="宋体" w:cs="宋体"/>
                <w:highlight w:val="none"/>
              </w:rPr>
            </w:pPr>
          </w:p>
        </w:tc>
        <w:tc>
          <w:tcPr>
            <w:tcW w:w="1095" w:type="dxa"/>
          </w:tcPr>
          <w:p>
            <w:pPr>
              <w:spacing w:line="360" w:lineRule="auto"/>
              <w:jc w:val="center"/>
              <w:rPr>
                <w:rFonts w:ascii="宋体" w:hAnsi="宋体" w:eastAsia="宋体" w:cs="宋体"/>
                <w:highlight w:val="none"/>
              </w:rPr>
            </w:pPr>
          </w:p>
        </w:tc>
        <w:tc>
          <w:tcPr>
            <w:tcW w:w="1019" w:type="dxa"/>
          </w:tcPr>
          <w:p>
            <w:pPr>
              <w:spacing w:line="360" w:lineRule="auto"/>
              <w:jc w:val="center"/>
              <w:rPr>
                <w:rFonts w:ascii="宋体" w:hAnsi="宋体" w:eastAsia="宋体" w:cs="宋体"/>
                <w:highlight w:val="none"/>
              </w:rPr>
            </w:pPr>
          </w:p>
        </w:tc>
        <w:tc>
          <w:tcPr>
            <w:tcW w:w="1140" w:type="dxa"/>
          </w:tcPr>
          <w:p>
            <w:pPr>
              <w:spacing w:line="360" w:lineRule="auto"/>
              <w:jc w:val="center"/>
              <w:rPr>
                <w:rFonts w:ascii="宋体" w:hAnsi="宋体" w:eastAsia="宋体" w:cs="宋体"/>
                <w:highlight w:val="none"/>
              </w:rPr>
            </w:pPr>
          </w:p>
        </w:tc>
        <w:tc>
          <w:tcPr>
            <w:tcW w:w="1200" w:type="dxa"/>
          </w:tcPr>
          <w:p>
            <w:pPr>
              <w:spacing w:line="360" w:lineRule="auto"/>
              <w:jc w:val="center"/>
              <w:rPr>
                <w:rFonts w:ascii="宋体" w:hAnsi="宋体" w:eastAsia="宋体" w:cs="宋体"/>
                <w:highlight w:val="none"/>
              </w:rPr>
            </w:pPr>
          </w:p>
        </w:tc>
        <w:tc>
          <w:tcPr>
            <w:tcW w:w="1027" w:type="dxa"/>
          </w:tcPr>
          <w:p>
            <w:pPr>
              <w:spacing w:line="360" w:lineRule="auto"/>
              <w:jc w:val="center"/>
              <w:rPr>
                <w:rFonts w:ascii="宋体" w:hAnsi="宋体" w:eastAsia="宋体" w:cs="宋体"/>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44" w:hRule="atLeast"/>
        </w:trPr>
        <w:tc>
          <w:tcPr>
            <w:tcW w:w="952" w:type="dxa"/>
          </w:tcPr>
          <w:p>
            <w:pPr>
              <w:spacing w:line="360" w:lineRule="auto"/>
              <w:jc w:val="center"/>
              <w:rPr>
                <w:rFonts w:ascii="宋体" w:hAnsi="宋体" w:eastAsia="宋体" w:cs="宋体"/>
                <w:highlight w:val="none"/>
              </w:rPr>
            </w:pPr>
          </w:p>
        </w:tc>
        <w:tc>
          <w:tcPr>
            <w:tcW w:w="855" w:type="dxa"/>
          </w:tcPr>
          <w:p>
            <w:pPr>
              <w:spacing w:line="360" w:lineRule="auto"/>
              <w:jc w:val="center"/>
              <w:rPr>
                <w:rFonts w:ascii="宋体" w:hAnsi="宋体" w:eastAsia="宋体" w:cs="宋体"/>
                <w:highlight w:val="none"/>
              </w:rPr>
            </w:pPr>
          </w:p>
        </w:tc>
        <w:tc>
          <w:tcPr>
            <w:tcW w:w="1365" w:type="dxa"/>
          </w:tcPr>
          <w:p>
            <w:pPr>
              <w:spacing w:line="360" w:lineRule="auto"/>
              <w:jc w:val="center"/>
              <w:rPr>
                <w:rFonts w:ascii="宋体" w:hAnsi="宋体" w:eastAsia="宋体" w:cs="宋体"/>
                <w:highlight w:val="none"/>
              </w:rPr>
            </w:pPr>
          </w:p>
        </w:tc>
        <w:tc>
          <w:tcPr>
            <w:tcW w:w="1229" w:type="dxa"/>
          </w:tcPr>
          <w:p>
            <w:pPr>
              <w:spacing w:line="360" w:lineRule="auto"/>
              <w:jc w:val="center"/>
              <w:rPr>
                <w:rFonts w:ascii="宋体" w:hAnsi="宋体" w:eastAsia="宋体" w:cs="宋体"/>
                <w:highlight w:val="none"/>
              </w:rPr>
            </w:pPr>
          </w:p>
        </w:tc>
        <w:tc>
          <w:tcPr>
            <w:tcW w:w="1095" w:type="dxa"/>
          </w:tcPr>
          <w:p>
            <w:pPr>
              <w:spacing w:line="360" w:lineRule="auto"/>
              <w:jc w:val="center"/>
              <w:rPr>
                <w:rFonts w:ascii="宋体" w:hAnsi="宋体" w:eastAsia="宋体" w:cs="宋体"/>
                <w:highlight w:val="none"/>
              </w:rPr>
            </w:pPr>
          </w:p>
        </w:tc>
        <w:tc>
          <w:tcPr>
            <w:tcW w:w="1019" w:type="dxa"/>
          </w:tcPr>
          <w:p>
            <w:pPr>
              <w:spacing w:line="360" w:lineRule="auto"/>
              <w:jc w:val="center"/>
              <w:rPr>
                <w:rFonts w:ascii="宋体" w:hAnsi="宋体" w:eastAsia="宋体" w:cs="宋体"/>
                <w:highlight w:val="none"/>
              </w:rPr>
            </w:pPr>
          </w:p>
        </w:tc>
        <w:tc>
          <w:tcPr>
            <w:tcW w:w="1140" w:type="dxa"/>
          </w:tcPr>
          <w:p>
            <w:pPr>
              <w:spacing w:line="360" w:lineRule="auto"/>
              <w:jc w:val="center"/>
              <w:rPr>
                <w:rFonts w:ascii="宋体" w:hAnsi="宋体" w:eastAsia="宋体" w:cs="宋体"/>
                <w:highlight w:val="none"/>
              </w:rPr>
            </w:pPr>
          </w:p>
        </w:tc>
        <w:tc>
          <w:tcPr>
            <w:tcW w:w="1200" w:type="dxa"/>
          </w:tcPr>
          <w:p>
            <w:pPr>
              <w:spacing w:line="360" w:lineRule="auto"/>
              <w:jc w:val="center"/>
              <w:rPr>
                <w:rFonts w:ascii="宋体" w:hAnsi="宋体" w:eastAsia="宋体" w:cs="宋体"/>
                <w:highlight w:val="none"/>
              </w:rPr>
            </w:pPr>
          </w:p>
        </w:tc>
        <w:tc>
          <w:tcPr>
            <w:tcW w:w="1027" w:type="dxa"/>
          </w:tcPr>
          <w:p>
            <w:pPr>
              <w:spacing w:line="360" w:lineRule="auto"/>
              <w:jc w:val="center"/>
              <w:rPr>
                <w:rFonts w:ascii="宋体" w:hAnsi="宋体" w:eastAsia="宋体" w:cs="宋体"/>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9" w:hRule="atLeast"/>
        </w:trPr>
        <w:tc>
          <w:tcPr>
            <w:tcW w:w="952" w:type="dxa"/>
          </w:tcPr>
          <w:p>
            <w:pPr>
              <w:spacing w:line="360" w:lineRule="auto"/>
              <w:jc w:val="center"/>
              <w:rPr>
                <w:rFonts w:ascii="宋体" w:hAnsi="宋体" w:eastAsia="宋体" w:cs="宋体"/>
                <w:highlight w:val="none"/>
              </w:rPr>
            </w:pPr>
          </w:p>
        </w:tc>
        <w:tc>
          <w:tcPr>
            <w:tcW w:w="855" w:type="dxa"/>
          </w:tcPr>
          <w:p>
            <w:pPr>
              <w:spacing w:line="360" w:lineRule="auto"/>
              <w:jc w:val="center"/>
              <w:rPr>
                <w:rFonts w:ascii="宋体" w:hAnsi="宋体" w:eastAsia="宋体" w:cs="宋体"/>
                <w:highlight w:val="none"/>
              </w:rPr>
            </w:pPr>
          </w:p>
        </w:tc>
        <w:tc>
          <w:tcPr>
            <w:tcW w:w="1365" w:type="dxa"/>
          </w:tcPr>
          <w:p>
            <w:pPr>
              <w:spacing w:line="360" w:lineRule="auto"/>
              <w:jc w:val="center"/>
              <w:rPr>
                <w:rFonts w:ascii="宋体" w:hAnsi="宋体" w:eastAsia="宋体" w:cs="宋体"/>
                <w:highlight w:val="none"/>
              </w:rPr>
            </w:pPr>
          </w:p>
        </w:tc>
        <w:tc>
          <w:tcPr>
            <w:tcW w:w="1229" w:type="dxa"/>
          </w:tcPr>
          <w:p>
            <w:pPr>
              <w:spacing w:line="360" w:lineRule="auto"/>
              <w:jc w:val="center"/>
              <w:rPr>
                <w:rFonts w:ascii="宋体" w:hAnsi="宋体" w:eastAsia="宋体" w:cs="宋体"/>
                <w:highlight w:val="none"/>
              </w:rPr>
            </w:pPr>
          </w:p>
        </w:tc>
        <w:tc>
          <w:tcPr>
            <w:tcW w:w="1095" w:type="dxa"/>
          </w:tcPr>
          <w:p>
            <w:pPr>
              <w:spacing w:line="360" w:lineRule="auto"/>
              <w:jc w:val="center"/>
              <w:rPr>
                <w:rFonts w:ascii="宋体" w:hAnsi="宋体" w:eastAsia="宋体" w:cs="宋体"/>
                <w:highlight w:val="none"/>
              </w:rPr>
            </w:pPr>
          </w:p>
        </w:tc>
        <w:tc>
          <w:tcPr>
            <w:tcW w:w="1019" w:type="dxa"/>
          </w:tcPr>
          <w:p>
            <w:pPr>
              <w:spacing w:line="360" w:lineRule="auto"/>
              <w:jc w:val="center"/>
              <w:rPr>
                <w:rFonts w:ascii="宋体" w:hAnsi="宋体" w:eastAsia="宋体" w:cs="宋体"/>
                <w:highlight w:val="none"/>
              </w:rPr>
            </w:pPr>
          </w:p>
        </w:tc>
        <w:tc>
          <w:tcPr>
            <w:tcW w:w="1140" w:type="dxa"/>
          </w:tcPr>
          <w:p>
            <w:pPr>
              <w:spacing w:line="360" w:lineRule="auto"/>
              <w:jc w:val="center"/>
              <w:rPr>
                <w:rFonts w:ascii="宋体" w:hAnsi="宋体" w:eastAsia="宋体" w:cs="宋体"/>
                <w:highlight w:val="none"/>
              </w:rPr>
            </w:pPr>
          </w:p>
        </w:tc>
        <w:tc>
          <w:tcPr>
            <w:tcW w:w="1200" w:type="dxa"/>
          </w:tcPr>
          <w:p>
            <w:pPr>
              <w:spacing w:line="360" w:lineRule="auto"/>
              <w:jc w:val="center"/>
              <w:rPr>
                <w:rFonts w:ascii="宋体" w:hAnsi="宋体" w:eastAsia="宋体" w:cs="宋体"/>
                <w:highlight w:val="none"/>
              </w:rPr>
            </w:pPr>
          </w:p>
        </w:tc>
        <w:tc>
          <w:tcPr>
            <w:tcW w:w="1027" w:type="dxa"/>
          </w:tcPr>
          <w:p>
            <w:pPr>
              <w:spacing w:line="360" w:lineRule="auto"/>
              <w:jc w:val="center"/>
              <w:rPr>
                <w:rFonts w:ascii="宋体" w:hAnsi="宋体" w:eastAsia="宋体" w:cs="宋体"/>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30" w:hRule="atLeast"/>
        </w:trPr>
        <w:tc>
          <w:tcPr>
            <w:tcW w:w="952" w:type="dxa"/>
          </w:tcPr>
          <w:p>
            <w:pPr>
              <w:spacing w:line="360" w:lineRule="auto"/>
              <w:jc w:val="center"/>
              <w:rPr>
                <w:rFonts w:ascii="宋体" w:hAnsi="宋体" w:eastAsia="宋体" w:cs="宋体"/>
                <w:highlight w:val="none"/>
              </w:rPr>
            </w:pPr>
          </w:p>
        </w:tc>
        <w:tc>
          <w:tcPr>
            <w:tcW w:w="855" w:type="dxa"/>
          </w:tcPr>
          <w:p>
            <w:pPr>
              <w:spacing w:line="360" w:lineRule="auto"/>
              <w:jc w:val="center"/>
              <w:rPr>
                <w:rFonts w:ascii="宋体" w:hAnsi="宋体" w:eastAsia="宋体" w:cs="宋体"/>
                <w:highlight w:val="none"/>
              </w:rPr>
            </w:pPr>
          </w:p>
        </w:tc>
        <w:tc>
          <w:tcPr>
            <w:tcW w:w="1365" w:type="dxa"/>
          </w:tcPr>
          <w:p>
            <w:pPr>
              <w:spacing w:line="360" w:lineRule="auto"/>
              <w:jc w:val="center"/>
              <w:rPr>
                <w:rFonts w:ascii="宋体" w:hAnsi="宋体" w:eastAsia="宋体" w:cs="宋体"/>
                <w:highlight w:val="none"/>
              </w:rPr>
            </w:pPr>
          </w:p>
        </w:tc>
        <w:tc>
          <w:tcPr>
            <w:tcW w:w="1229" w:type="dxa"/>
          </w:tcPr>
          <w:p>
            <w:pPr>
              <w:spacing w:line="360" w:lineRule="auto"/>
              <w:jc w:val="center"/>
              <w:rPr>
                <w:rFonts w:ascii="宋体" w:hAnsi="宋体" w:eastAsia="宋体" w:cs="宋体"/>
                <w:highlight w:val="none"/>
              </w:rPr>
            </w:pPr>
          </w:p>
        </w:tc>
        <w:tc>
          <w:tcPr>
            <w:tcW w:w="1095" w:type="dxa"/>
          </w:tcPr>
          <w:p>
            <w:pPr>
              <w:spacing w:line="360" w:lineRule="auto"/>
              <w:jc w:val="center"/>
              <w:rPr>
                <w:rFonts w:ascii="宋体" w:hAnsi="宋体" w:eastAsia="宋体" w:cs="宋体"/>
                <w:highlight w:val="none"/>
              </w:rPr>
            </w:pPr>
          </w:p>
        </w:tc>
        <w:tc>
          <w:tcPr>
            <w:tcW w:w="1019" w:type="dxa"/>
          </w:tcPr>
          <w:p>
            <w:pPr>
              <w:spacing w:line="360" w:lineRule="auto"/>
              <w:jc w:val="center"/>
              <w:rPr>
                <w:rFonts w:ascii="宋体" w:hAnsi="宋体" w:eastAsia="宋体" w:cs="宋体"/>
                <w:highlight w:val="none"/>
              </w:rPr>
            </w:pPr>
          </w:p>
        </w:tc>
        <w:tc>
          <w:tcPr>
            <w:tcW w:w="1140" w:type="dxa"/>
          </w:tcPr>
          <w:p>
            <w:pPr>
              <w:spacing w:line="360" w:lineRule="auto"/>
              <w:jc w:val="center"/>
              <w:rPr>
                <w:rFonts w:ascii="宋体" w:hAnsi="宋体" w:eastAsia="宋体" w:cs="宋体"/>
                <w:highlight w:val="none"/>
              </w:rPr>
            </w:pPr>
          </w:p>
        </w:tc>
        <w:tc>
          <w:tcPr>
            <w:tcW w:w="1200" w:type="dxa"/>
          </w:tcPr>
          <w:p>
            <w:pPr>
              <w:spacing w:line="360" w:lineRule="auto"/>
              <w:jc w:val="center"/>
              <w:rPr>
                <w:rFonts w:ascii="宋体" w:hAnsi="宋体" w:eastAsia="宋体" w:cs="宋体"/>
                <w:highlight w:val="none"/>
              </w:rPr>
            </w:pPr>
          </w:p>
        </w:tc>
        <w:tc>
          <w:tcPr>
            <w:tcW w:w="1027" w:type="dxa"/>
          </w:tcPr>
          <w:p>
            <w:pPr>
              <w:spacing w:line="360" w:lineRule="auto"/>
              <w:jc w:val="center"/>
              <w:rPr>
                <w:rFonts w:ascii="宋体" w:hAnsi="宋体" w:eastAsia="宋体" w:cs="宋体"/>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44" w:hRule="atLeast"/>
        </w:trPr>
        <w:tc>
          <w:tcPr>
            <w:tcW w:w="952" w:type="dxa"/>
          </w:tcPr>
          <w:p>
            <w:pPr>
              <w:spacing w:line="360" w:lineRule="auto"/>
              <w:jc w:val="center"/>
              <w:rPr>
                <w:rFonts w:ascii="宋体" w:hAnsi="宋体" w:eastAsia="宋体" w:cs="宋体"/>
                <w:highlight w:val="none"/>
              </w:rPr>
            </w:pPr>
          </w:p>
        </w:tc>
        <w:tc>
          <w:tcPr>
            <w:tcW w:w="855" w:type="dxa"/>
          </w:tcPr>
          <w:p>
            <w:pPr>
              <w:spacing w:line="360" w:lineRule="auto"/>
              <w:jc w:val="center"/>
              <w:rPr>
                <w:rFonts w:ascii="宋体" w:hAnsi="宋体" w:eastAsia="宋体" w:cs="宋体"/>
                <w:highlight w:val="none"/>
              </w:rPr>
            </w:pPr>
          </w:p>
        </w:tc>
        <w:tc>
          <w:tcPr>
            <w:tcW w:w="1365" w:type="dxa"/>
          </w:tcPr>
          <w:p>
            <w:pPr>
              <w:spacing w:line="360" w:lineRule="auto"/>
              <w:jc w:val="center"/>
              <w:rPr>
                <w:rFonts w:ascii="宋体" w:hAnsi="宋体" w:eastAsia="宋体" w:cs="宋体"/>
                <w:highlight w:val="none"/>
              </w:rPr>
            </w:pPr>
          </w:p>
        </w:tc>
        <w:tc>
          <w:tcPr>
            <w:tcW w:w="1229" w:type="dxa"/>
          </w:tcPr>
          <w:p>
            <w:pPr>
              <w:spacing w:line="360" w:lineRule="auto"/>
              <w:jc w:val="center"/>
              <w:rPr>
                <w:rFonts w:ascii="宋体" w:hAnsi="宋体" w:eastAsia="宋体" w:cs="宋体"/>
                <w:highlight w:val="none"/>
              </w:rPr>
            </w:pPr>
          </w:p>
        </w:tc>
        <w:tc>
          <w:tcPr>
            <w:tcW w:w="1095" w:type="dxa"/>
          </w:tcPr>
          <w:p>
            <w:pPr>
              <w:spacing w:line="360" w:lineRule="auto"/>
              <w:jc w:val="center"/>
              <w:rPr>
                <w:rFonts w:ascii="宋体" w:hAnsi="宋体" w:eastAsia="宋体" w:cs="宋体"/>
                <w:highlight w:val="none"/>
              </w:rPr>
            </w:pPr>
          </w:p>
        </w:tc>
        <w:tc>
          <w:tcPr>
            <w:tcW w:w="1019" w:type="dxa"/>
          </w:tcPr>
          <w:p>
            <w:pPr>
              <w:spacing w:line="360" w:lineRule="auto"/>
              <w:jc w:val="center"/>
              <w:rPr>
                <w:rFonts w:ascii="宋体" w:hAnsi="宋体" w:eastAsia="宋体" w:cs="宋体"/>
                <w:highlight w:val="none"/>
              </w:rPr>
            </w:pPr>
          </w:p>
        </w:tc>
        <w:tc>
          <w:tcPr>
            <w:tcW w:w="1140" w:type="dxa"/>
          </w:tcPr>
          <w:p>
            <w:pPr>
              <w:spacing w:line="360" w:lineRule="auto"/>
              <w:jc w:val="center"/>
              <w:rPr>
                <w:rFonts w:ascii="宋体" w:hAnsi="宋体" w:eastAsia="宋体" w:cs="宋体"/>
                <w:highlight w:val="none"/>
              </w:rPr>
            </w:pPr>
          </w:p>
        </w:tc>
        <w:tc>
          <w:tcPr>
            <w:tcW w:w="1200" w:type="dxa"/>
          </w:tcPr>
          <w:p>
            <w:pPr>
              <w:spacing w:line="360" w:lineRule="auto"/>
              <w:jc w:val="center"/>
              <w:rPr>
                <w:rFonts w:ascii="宋体" w:hAnsi="宋体" w:eastAsia="宋体" w:cs="宋体"/>
                <w:highlight w:val="none"/>
              </w:rPr>
            </w:pPr>
          </w:p>
        </w:tc>
        <w:tc>
          <w:tcPr>
            <w:tcW w:w="1027" w:type="dxa"/>
          </w:tcPr>
          <w:p>
            <w:pPr>
              <w:spacing w:line="360" w:lineRule="auto"/>
              <w:jc w:val="center"/>
              <w:rPr>
                <w:rFonts w:ascii="宋体" w:hAnsi="宋体" w:eastAsia="宋体" w:cs="宋体"/>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9" w:hRule="atLeast"/>
        </w:trPr>
        <w:tc>
          <w:tcPr>
            <w:tcW w:w="952" w:type="dxa"/>
          </w:tcPr>
          <w:p>
            <w:pPr>
              <w:spacing w:line="360" w:lineRule="auto"/>
              <w:jc w:val="center"/>
              <w:rPr>
                <w:rFonts w:ascii="宋体" w:hAnsi="宋体" w:eastAsia="宋体" w:cs="宋体"/>
                <w:highlight w:val="none"/>
              </w:rPr>
            </w:pPr>
          </w:p>
        </w:tc>
        <w:tc>
          <w:tcPr>
            <w:tcW w:w="855" w:type="dxa"/>
          </w:tcPr>
          <w:p>
            <w:pPr>
              <w:spacing w:line="360" w:lineRule="auto"/>
              <w:jc w:val="center"/>
              <w:rPr>
                <w:rFonts w:ascii="宋体" w:hAnsi="宋体" w:eastAsia="宋体" w:cs="宋体"/>
                <w:highlight w:val="none"/>
              </w:rPr>
            </w:pPr>
          </w:p>
        </w:tc>
        <w:tc>
          <w:tcPr>
            <w:tcW w:w="1365" w:type="dxa"/>
          </w:tcPr>
          <w:p>
            <w:pPr>
              <w:spacing w:line="360" w:lineRule="auto"/>
              <w:jc w:val="center"/>
              <w:rPr>
                <w:rFonts w:ascii="宋体" w:hAnsi="宋体" w:eastAsia="宋体" w:cs="宋体"/>
                <w:highlight w:val="none"/>
              </w:rPr>
            </w:pPr>
          </w:p>
        </w:tc>
        <w:tc>
          <w:tcPr>
            <w:tcW w:w="1229" w:type="dxa"/>
          </w:tcPr>
          <w:p>
            <w:pPr>
              <w:spacing w:line="360" w:lineRule="auto"/>
              <w:jc w:val="center"/>
              <w:rPr>
                <w:rFonts w:ascii="宋体" w:hAnsi="宋体" w:eastAsia="宋体" w:cs="宋体"/>
                <w:highlight w:val="none"/>
              </w:rPr>
            </w:pPr>
          </w:p>
        </w:tc>
        <w:tc>
          <w:tcPr>
            <w:tcW w:w="1095" w:type="dxa"/>
          </w:tcPr>
          <w:p>
            <w:pPr>
              <w:spacing w:line="360" w:lineRule="auto"/>
              <w:jc w:val="center"/>
              <w:rPr>
                <w:rFonts w:ascii="宋体" w:hAnsi="宋体" w:eastAsia="宋体" w:cs="宋体"/>
                <w:highlight w:val="none"/>
              </w:rPr>
            </w:pPr>
          </w:p>
        </w:tc>
        <w:tc>
          <w:tcPr>
            <w:tcW w:w="1019" w:type="dxa"/>
          </w:tcPr>
          <w:p>
            <w:pPr>
              <w:spacing w:line="360" w:lineRule="auto"/>
              <w:jc w:val="center"/>
              <w:rPr>
                <w:rFonts w:ascii="宋体" w:hAnsi="宋体" w:eastAsia="宋体" w:cs="宋体"/>
                <w:highlight w:val="none"/>
              </w:rPr>
            </w:pPr>
          </w:p>
        </w:tc>
        <w:tc>
          <w:tcPr>
            <w:tcW w:w="1140" w:type="dxa"/>
          </w:tcPr>
          <w:p>
            <w:pPr>
              <w:spacing w:line="360" w:lineRule="auto"/>
              <w:jc w:val="center"/>
              <w:rPr>
                <w:rFonts w:ascii="宋体" w:hAnsi="宋体" w:eastAsia="宋体" w:cs="宋体"/>
                <w:highlight w:val="none"/>
              </w:rPr>
            </w:pPr>
          </w:p>
        </w:tc>
        <w:tc>
          <w:tcPr>
            <w:tcW w:w="1200" w:type="dxa"/>
          </w:tcPr>
          <w:p>
            <w:pPr>
              <w:spacing w:line="360" w:lineRule="auto"/>
              <w:jc w:val="center"/>
              <w:rPr>
                <w:rFonts w:ascii="宋体" w:hAnsi="宋体" w:eastAsia="宋体" w:cs="宋体"/>
                <w:highlight w:val="none"/>
              </w:rPr>
            </w:pPr>
          </w:p>
        </w:tc>
        <w:tc>
          <w:tcPr>
            <w:tcW w:w="1027" w:type="dxa"/>
          </w:tcPr>
          <w:p>
            <w:pPr>
              <w:spacing w:line="360" w:lineRule="auto"/>
              <w:jc w:val="center"/>
              <w:rPr>
                <w:rFonts w:ascii="宋体" w:hAnsi="宋体" w:eastAsia="宋体" w:cs="宋体"/>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37" w:hRule="atLeast"/>
        </w:trPr>
        <w:tc>
          <w:tcPr>
            <w:tcW w:w="952" w:type="dxa"/>
          </w:tcPr>
          <w:p>
            <w:pPr>
              <w:spacing w:line="360" w:lineRule="auto"/>
              <w:jc w:val="center"/>
              <w:rPr>
                <w:rFonts w:ascii="宋体" w:hAnsi="宋体" w:eastAsia="宋体" w:cs="宋体"/>
                <w:highlight w:val="none"/>
              </w:rPr>
            </w:pPr>
          </w:p>
        </w:tc>
        <w:tc>
          <w:tcPr>
            <w:tcW w:w="855" w:type="dxa"/>
          </w:tcPr>
          <w:p>
            <w:pPr>
              <w:spacing w:line="360" w:lineRule="auto"/>
              <w:jc w:val="center"/>
              <w:rPr>
                <w:rFonts w:ascii="宋体" w:hAnsi="宋体" w:eastAsia="宋体" w:cs="宋体"/>
                <w:highlight w:val="none"/>
              </w:rPr>
            </w:pPr>
          </w:p>
        </w:tc>
        <w:tc>
          <w:tcPr>
            <w:tcW w:w="1365" w:type="dxa"/>
          </w:tcPr>
          <w:p>
            <w:pPr>
              <w:spacing w:line="360" w:lineRule="auto"/>
              <w:jc w:val="center"/>
              <w:rPr>
                <w:rFonts w:ascii="宋体" w:hAnsi="宋体" w:eastAsia="宋体" w:cs="宋体"/>
                <w:highlight w:val="none"/>
              </w:rPr>
            </w:pPr>
          </w:p>
        </w:tc>
        <w:tc>
          <w:tcPr>
            <w:tcW w:w="1229" w:type="dxa"/>
          </w:tcPr>
          <w:p>
            <w:pPr>
              <w:spacing w:line="360" w:lineRule="auto"/>
              <w:jc w:val="center"/>
              <w:rPr>
                <w:rFonts w:ascii="宋体" w:hAnsi="宋体" w:eastAsia="宋体" w:cs="宋体"/>
                <w:highlight w:val="none"/>
              </w:rPr>
            </w:pPr>
          </w:p>
        </w:tc>
        <w:tc>
          <w:tcPr>
            <w:tcW w:w="1095" w:type="dxa"/>
          </w:tcPr>
          <w:p>
            <w:pPr>
              <w:spacing w:line="360" w:lineRule="auto"/>
              <w:jc w:val="center"/>
              <w:rPr>
                <w:rFonts w:ascii="宋体" w:hAnsi="宋体" w:eastAsia="宋体" w:cs="宋体"/>
                <w:highlight w:val="none"/>
              </w:rPr>
            </w:pPr>
          </w:p>
        </w:tc>
        <w:tc>
          <w:tcPr>
            <w:tcW w:w="1019" w:type="dxa"/>
          </w:tcPr>
          <w:p>
            <w:pPr>
              <w:spacing w:line="360" w:lineRule="auto"/>
              <w:jc w:val="center"/>
              <w:rPr>
                <w:rFonts w:ascii="宋体" w:hAnsi="宋体" w:eastAsia="宋体" w:cs="宋体"/>
                <w:highlight w:val="none"/>
              </w:rPr>
            </w:pPr>
          </w:p>
        </w:tc>
        <w:tc>
          <w:tcPr>
            <w:tcW w:w="1140" w:type="dxa"/>
          </w:tcPr>
          <w:p>
            <w:pPr>
              <w:spacing w:line="360" w:lineRule="auto"/>
              <w:jc w:val="center"/>
              <w:rPr>
                <w:rFonts w:ascii="宋体" w:hAnsi="宋体" w:eastAsia="宋体" w:cs="宋体"/>
                <w:highlight w:val="none"/>
              </w:rPr>
            </w:pPr>
          </w:p>
        </w:tc>
        <w:tc>
          <w:tcPr>
            <w:tcW w:w="1200" w:type="dxa"/>
          </w:tcPr>
          <w:p>
            <w:pPr>
              <w:spacing w:line="360" w:lineRule="auto"/>
              <w:jc w:val="center"/>
              <w:rPr>
                <w:rFonts w:ascii="宋体" w:hAnsi="宋体" w:eastAsia="宋体" w:cs="宋体"/>
                <w:highlight w:val="none"/>
              </w:rPr>
            </w:pPr>
          </w:p>
        </w:tc>
        <w:tc>
          <w:tcPr>
            <w:tcW w:w="1027" w:type="dxa"/>
          </w:tcPr>
          <w:p>
            <w:pPr>
              <w:spacing w:line="360" w:lineRule="auto"/>
              <w:jc w:val="center"/>
              <w:rPr>
                <w:rFonts w:ascii="宋体" w:hAnsi="宋体" w:eastAsia="宋体" w:cs="宋体"/>
                <w:highlight w:val="none"/>
              </w:rPr>
            </w:pPr>
          </w:p>
        </w:tc>
      </w:tr>
    </w:tbl>
    <w:p>
      <w:pPr>
        <w:pStyle w:val="2"/>
        <w:spacing w:line="360" w:lineRule="auto"/>
        <w:rPr>
          <w:rFonts w:ascii="宋体" w:hAnsi="宋体" w:eastAsia="宋体" w:cs="宋体"/>
          <w:sz w:val="24"/>
          <w:szCs w:val="24"/>
          <w:highlight w:val="none"/>
        </w:rPr>
      </w:pPr>
    </w:p>
    <w:p>
      <w:pPr>
        <w:pStyle w:val="118"/>
        <w:spacing w:line="360" w:lineRule="auto"/>
        <w:jc w:val="left"/>
        <w:rPr>
          <w:rFonts w:ascii="宋体" w:hAnsi="宋体" w:cs="宋体"/>
          <w:bCs/>
          <w:spacing w:val="10"/>
          <w:kern w:val="0"/>
          <w:sz w:val="24"/>
          <w:szCs w:val="24"/>
          <w:highlight w:val="none"/>
        </w:rPr>
      </w:pPr>
      <w:r>
        <w:rPr>
          <w:rFonts w:hint="eastAsia" w:ascii="宋体" w:hAnsi="宋体" w:cs="宋体"/>
          <w:bCs/>
          <w:spacing w:val="10"/>
          <w:kern w:val="0"/>
          <w:sz w:val="24"/>
          <w:szCs w:val="24"/>
          <w:highlight w:val="none"/>
        </w:rPr>
        <w:t>注：投标人可根据产品需要自行填报。</w:t>
      </w:r>
    </w:p>
    <w:p>
      <w:pPr>
        <w:spacing w:line="360" w:lineRule="auto"/>
        <w:rPr>
          <w:rFonts w:ascii="宋体" w:hAnsi="宋体" w:eastAsia="宋体" w:cs="宋体"/>
          <w:highlight w:val="none"/>
        </w:rPr>
      </w:pPr>
    </w:p>
    <w:p>
      <w:pPr>
        <w:pStyle w:val="118"/>
        <w:spacing w:line="360" w:lineRule="auto"/>
        <w:jc w:val="left"/>
        <w:rPr>
          <w:rFonts w:ascii="宋体" w:hAnsi="宋体" w:cs="宋体"/>
          <w:bCs/>
          <w:spacing w:val="10"/>
          <w:kern w:val="0"/>
          <w:sz w:val="24"/>
          <w:szCs w:val="24"/>
          <w:highlight w:val="none"/>
        </w:rPr>
      </w:pPr>
      <w:r>
        <w:rPr>
          <w:rFonts w:hint="eastAsia" w:ascii="宋体" w:hAnsi="宋体" w:cs="宋体"/>
          <w:bCs/>
          <w:spacing w:val="10"/>
          <w:kern w:val="0"/>
          <w:sz w:val="24"/>
          <w:szCs w:val="24"/>
          <w:highlight w:val="none"/>
        </w:rPr>
        <w:t>投标人（企业电子章）：</w:t>
      </w:r>
    </w:p>
    <w:p>
      <w:pPr>
        <w:pStyle w:val="12"/>
        <w:spacing w:line="360" w:lineRule="auto"/>
        <w:rPr>
          <w:rFonts w:ascii="宋体" w:hAnsi="宋体" w:eastAsia="宋体" w:cs="宋体"/>
          <w:highlight w:val="none"/>
        </w:rPr>
        <w:sectPr>
          <w:pgSz w:w="11910" w:h="16845"/>
          <w:pgMar w:top="990" w:right="915" w:bottom="857" w:left="1096" w:header="705" w:footer="683" w:gutter="0"/>
          <w:cols w:space="720" w:num="1"/>
        </w:sectPr>
      </w:pPr>
    </w:p>
    <w:p>
      <w:pPr>
        <w:pStyle w:val="119"/>
        <w:spacing w:line="360" w:lineRule="auto"/>
        <w:rPr>
          <w:rFonts w:ascii="宋体" w:hAnsi="宋体" w:eastAsia="宋体" w:cs="宋体"/>
          <w:sz w:val="24"/>
          <w:highlight w:val="none"/>
        </w:rPr>
      </w:pPr>
      <w:r>
        <w:rPr>
          <w:rFonts w:hint="eastAsia" w:ascii="宋体" w:hAnsi="宋体" w:eastAsia="宋体" w:cs="宋体"/>
          <w:sz w:val="24"/>
          <w:highlight w:val="none"/>
        </w:rPr>
        <w:t>十六、其他需要提供的资料</w:t>
      </w:r>
      <w:bookmarkEnd w:id="199"/>
    </w:p>
    <w:p>
      <w:pPr>
        <w:pStyle w:val="118"/>
        <w:spacing w:line="360" w:lineRule="auto"/>
        <w:jc w:val="center"/>
        <w:rPr>
          <w:rFonts w:ascii="宋体" w:hAnsi="宋体" w:cs="宋体"/>
          <w:bCs/>
          <w:spacing w:val="10"/>
          <w:kern w:val="0"/>
          <w:sz w:val="24"/>
          <w:szCs w:val="24"/>
          <w:highlight w:val="none"/>
        </w:rPr>
      </w:pPr>
      <w:r>
        <w:rPr>
          <w:rFonts w:hint="eastAsia" w:ascii="宋体" w:hAnsi="宋体" w:cs="宋体"/>
          <w:bCs/>
          <w:spacing w:val="10"/>
          <w:kern w:val="0"/>
          <w:sz w:val="24"/>
          <w:szCs w:val="24"/>
          <w:highlight w:val="none"/>
        </w:rPr>
        <w:t>其他需要提供的资料</w:t>
      </w:r>
    </w:p>
    <w:p>
      <w:pPr>
        <w:pStyle w:val="45"/>
        <w:spacing w:line="360" w:lineRule="auto"/>
        <w:jc w:val="center"/>
        <w:rPr>
          <w:b/>
          <w:bCs/>
          <w:spacing w:val="14"/>
          <w:sz w:val="24"/>
          <w:szCs w:val="24"/>
          <w:highlight w:val="none"/>
          <w:lang w:eastAsia="zh-CN"/>
        </w:rPr>
      </w:pPr>
      <w:r>
        <w:rPr>
          <w:rFonts w:hint="eastAsia"/>
          <w:b/>
          <w:bCs/>
          <w:spacing w:val="14"/>
          <w:sz w:val="24"/>
          <w:szCs w:val="24"/>
          <w:highlight w:val="none"/>
          <w:lang w:eastAsia="zh-CN"/>
        </w:rPr>
        <w:t>1、质保期及售后服务承诺</w:t>
      </w:r>
    </w:p>
    <w:p>
      <w:pPr>
        <w:pStyle w:val="120"/>
        <w:widowControl/>
        <w:spacing w:line="360" w:lineRule="auto"/>
        <w:rPr>
          <w:rFonts w:ascii="宋体" w:hAnsi="宋体" w:cs="宋体"/>
          <w:kern w:val="0"/>
          <w:sz w:val="24"/>
          <w:szCs w:val="24"/>
          <w:highlight w:val="none"/>
        </w:rPr>
      </w:pPr>
    </w:p>
    <w:p>
      <w:pPr>
        <w:pStyle w:val="120"/>
        <w:widowControl/>
        <w:spacing w:line="360" w:lineRule="auto"/>
        <w:rPr>
          <w:rFonts w:ascii="宋体" w:hAnsi="宋体" w:cs="宋体"/>
          <w:kern w:val="0"/>
          <w:sz w:val="24"/>
          <w:szCs w:val="24"/>
          <w:highlight w:val="none"/>
        </w:rPr>
      </w:pPr>
      <w:r>
        <w:rPr>
          <w:rFonts w:hint="eastAsia" w:ascii="宋体" w:hAnsi="宋体" w:cs="宋体"/>
          <w:kern w:val="0"/>
          <w:sz w:val="24"/>
          <w:szCs w:val="24"/>
          <w:highlight w:val="none"/>
        </w:rPr>
        <w:t>投标人根据企业自身情况对招标文件中的</w:t>
      </w:r>
      <w:r>
        <w:rPr>
          <w:rFonts w:hint="eastAsia" w:ascii="宋体" w:hAnsi="宋体" w:cs="宋体"/>
          <w:b/>
          <w:bCs/>
          <w:spacing w:val="14"/>
          <w:sz w:val="24"/>
          <w:szCs w:val="24"/>
          <w:highlight w:val="none"/>
        </w:rPr>
        <w:t>质保期及售后服务要求进行相应承诺</w:t>
      </w:r>
    </w:p>
    <w:p>
      <w:pPr>
        <w:pStyle w:val="120"/>
        <w:widowControl/>
        <w:spacing w:line="360" w:lineRule="auto"/>
        <w:rPr>
          <w:rFonts w:ascii="宋体" w:hAnsi="宋体" w:cs="宋体"/>
          <w:kern w:val="0"/>
          <w:sz w:val="24"/>
          <w:szCs w:val="24"/>
          <w:highlight w:val="none"/>
        </w:rPr>
      </w:pPr>
    </w:p>
    <w:p>
      <w:pPr>
        <w:pStyle w:val="120"/>
        <w:widowControl/>
        <w:spacing w:line="360" w:lineRule="auto"/>
        <w:rPr>
          <w:rFonts w:ascii="宋体" w:hAnsi="宋体" w:cs="宋体"/>
          <w:kern w:val="0"/>
          <w:sz w:val="24"/>
          <w:szCs w:val="24"/>
          <w:highlight w:val="none"/>
        </w:rPr>
      </w:pPr>
      <w:r>
        <w:rPr>
          <w:rFonts w:hint="eastAsia" w:ascii="宋体" w:hAnsi="宋体" w:cs="宋体"/>
          <w:kern w:val="0"/>
          <w:sz w:val="24"/>
          <w:szCs w:val="24"/>
          <w:highlight w:val="none"/>
        </w:rPr>
        <w:t>投标人（企业电子章）：</w:t>
      </w:r>
    </w:p>
    <w:p>
      <w:pPr>
        <w:widowControl/>
        <w:spacing w:line="360" w:lineRule="auto"/>
        <w:jc w:val="left"/>
        <w:rPr>
          <w:rFonts w:ascii="宋体" w:hAnsi="宋体" w:eastAsia="宋体" w:cs="宋体"/>
          <w:highlight w:val="none"/>
        </w:rPr>
      </w:pPr>
      <w:r>
        <w:rPr>
          <w:rFonts w:hint="eastAsia" w:ascii="宋体" w:hAnsi="宋体" w:eastAsia="宋体" w:cs="宋体"/>
          <w:color w:val="000000"/>
          <w:highlight w:val="none"/>
        </w:rPr>
        <w:t>日期：  年  月  日</w:t>
      </w:r>
    </w:p>
    <w:p>
      <w:pPr>
        <w:pStyle w:val="118"/>
        <w:spacing w:line="360" w:lineRule="auto"/>
        <w:rPr>
          <w:rFonts w:ascii="宋体" w:hAnsi="宋体" w:cs="宋体"/>
          <w:spacing w:val="14"/>
          <w:kern w:val="0"/>
          <w:sz w:val="24"/>
          <w:szCs w:val="24"/>
          <w:highlight w:val="none"/>
        </w:rPr>
      </w:pPr>
    </w:p>
    <w:p>
      <w:pPr>
        <w:pStyle w:val="118"/>
        <w:spacing w:line="360" w:lineRule="auto"/>
        <w:rPr>
          <w:rFonts w:ascii="宋体" w:hAnsi="宋体" w:cs="宋体"/>
          <w:spacing w:val="14"/>
          <w:kern w:val="0"/>
          <w:sz w:val="24"/>
          <w:szCs w:val="24"/>
          <w:highlight w:val="none"/>
        </w:rPr>
      </w:pPr>
    </w:p>
    <w:p>
      <w:pPr>
        <w:pStyle w:val="118"/>
        <w:spacing w:line="360" w:lineRule="auto"/>
        <w:rPr>
          <w:rFonts w:ascii="宋体" w:hAnsi="宋体" w:cs="宋体"/>
          <w:spacing w:val="14"/>
          <w:kern w:val="0"/>
          <w:sz w:val="24"/>
          <w:szCs w:val="24"/>
          <w:highlight w:val="none"/>
        </w:rPr>
      </w:pPr>
    </w:p>
    <w:p>
      <w:pPr>
        <w:pStyle w:val="118"/>
        <w:spacing w:line="360" w:lineRule="auto"/>
        <w:rPr>
          <w:rFonts w:ascii="宋体" w:hAnsi="宋体" w:cs="宋体"/>
          <w:spacing w:val="14"/>
          <w:kern w:val="0"/>
          <w:sz w:val="24"/>
          <w:szCs w:val="24"/>
          <w:highlight w:val="none"/>
        </w:rPr>
      </w:pPr>
    </w:p>
    <w:p>
      <w:pPr>
        <w:pStyle w:val="118"/>
        <w:spacing w:line="360" w:lineRule="auto"/>
        <w:rPr>
          <w:rFonts w:ascii="宋体" w:hAnsi="宋体" w:cs="宋体"/>
          <w:spacing w:val="14"/>
          <w:kern w:val="0"/>
          <w:sz w:val="24"/>
          <w:szCs w:val="24"/>
          <w:highlight w:val="none"/>
        </w:rPr>
      </w:pPr>
    </w:p>
    <w:p>
      <w:pPr>
        <w:pStyle w:val="118"/>
        <w:spacing w:line="360" w:lineRule="auto"/>
        <w:rPr>
          <w:rFonts w:ascii="宋体" w:hAnsi="宋体" w:cs="宋体"/>
          <w:spacing w:val="14"/>
          <w:kern w:val="0"/>
          <w:sz w:val="24"/>
          <w:szCs w:val="24"/>
          <w:highlight w:val="none"/>
        </w:rPr>
      </w:pPr>
    </w:p>
    <w:p>
      <w:pPr>
        <w:pStyle w:val="118"/>
        <w:spacing w:line="360" w:lineRule="auto"/>
        <w:rPr>
          <w:rFonts w:ascii="宋体" w:hAnsi="宋体" w:cs="宋体"/>
          <w:spacing w:val="14"/>
          <w:kern w:val="0"/>
          <w:sz w:val="24"/>
          <w:szCs w:val="24"/>
          <w:highlight w:val="none"/>
        </w:rPr>
      </w:pPr>
    </w:p>
    <w:p>
      <w:pPr>
        <w:pStyle w:val="118"/>
        <w:spacing w:line="360" w:lineRule="auto"/>
        <w:rPr>
          <w:rFonts w:ascii="宋体" w:hAnsi="宋体" w:cs="宋体"/>
          <w:spacing w:val="14"/>
          <w:kern w:val="0"/>
          <w:sz w:val="24"/>
          <w:szCs w:val="24"/>
          <w:highlight w:val="none"/>
        </w:rPr>
      </w:pPr>
    </w:p>
    <w:p>
      <w:pPr>
        <w:pStyle w:val="118"/>
        <w:spacing w:line="360" w:lineRule="auto"/>
        <w:rPr>
          <w:rFonts w:ascii="宋体" w:hAnsi="宋体" w:cs="宋体"/>
          <w:spacing w:val="14"/>
          <w:kern w:val="0"/>
          <w:sz w:val="24"/>
          <w:szCs w:val="24"/>
          <w:highlight w:val="none"/>
        </w:rPr>
      </w:pPr>
    </w:p>
    <w:p>
      <w:pPr>
        <w:pStyle w:val="118"/>
        <w:spacing w:line="360" w:lineRule="auto"/>
        <w:rPr>
          <w:rFonts w:ascii="宋体" w:hAnsi="宋体" w:cs="宋体"/>
          <w:spacing w:val="14"/>
          <w:kern w:val="0"/>
          <w:sz w:val="24"/>
          <w:szCs w:val="24"/>
          <w:highlight w:val="none"/>
        </w:rPr>
      </w:pPr>
    </w:p>
    <w:p>
      <w:pPr>
        <w:pStyle w:val="118"/>
        <w:spacing w:line="360" w:lineRule="auto"/>
        <w:rPr>
          <w:rFonts w:ascii="宋体" w:hAnsi="宋体" w:cs="宋体"/>
          <w:spacing w:val="14"/>
          <w:kern w:val="0"/>
          <w:sz w:val="24"/>
          <w:szCs w:val="24"/>
          <w:highlight w:val="none"/>
        </w:rPr>
      </w:pPr>
    </w:p>
    <w:p>
      <w:pPr>
        <w:pStyle w:val="118"/>
        <w:spacing w:line="360" w:lineRule="auto"/>
        <w:rPr>
          <w:rFonts w:ascii="宋体" w:hAnsi="宋体" w:cs="宋体"/>
          <w:spacing w:val="14"/>
          <w:kern w:val="0"/>
          <w:sz w:val="24"/>
          <w:szCs w:val="24"/>
          <w:highlight w:val="none"/>
        </w:rPr>
      </w:pPr>
    </w:p>
    <w:p>
      <w:pPr>
        <w:pStyle w:val="118"/>
        <w:spacing w:line="360" w:lineRule="auto"/>
        <w:jc w:val="center"/>
        <w:rPr>
          <w:rFonts w:ascii="宋体" w:hAnsi="宋体" w:cs="宋体"/>
          <w:b/>
          <w:kern w:val="0"/>
          <w:sz w:val="24"/>
          <w:szCs w:val="24"/>
          <w:highlight w:val="none"/>
        </w:rPr>
      </w:pPr>
      <w:r>
        <w:rPr>
          <w:rFonts w:hint="eastAsia" w:ascii="宋体" w:hAnsi="宋体" w:cs="宋体"/>
          <w:b/>
          <w:spacing w:val="10"/>
          <w:kern w:val="0"/>
          <w:sz w:val="24"/>
          <w:szCs w:val="24"/>
          <w:highlight w:val="none"/>
        </w:rPr>
        <w:t>2、投标人根据招标项目要求及自身情况自行填报其他承诺或内容。</w:t>
      </w:r>
    </w:p>
    <w:p>
      <w:pPr>
        <w:pStyle w:val="118"/>
        <w:spacing w:line="360" w:lineRule="auto"/>
        <w:rPr>
          <w:rFonts w:ascii="宋体" w:hAnsi="宋体" w:cs="宋体"/>
          <w:kern w:val="0"/>
          <w:sz w:val="24"/>
          <w:szCs w:val="24"/>
          <w:highlight w:val="none"/>
        </w:rPr>
      </w:pPr>
    </w:p>
    <w:p>
      <w:pPr>
        <w:pStyle w:val="121"/>
        <w:spacing w:line="360" w:lineRule="auto"/>
        <w:rPr>
          <w:rFonts w:ascii="宋体" w:hAnsi="宋体" w:eastAsia="宋体" w:cs="宋体"/>
          <w:sz w:val="28"/>
          <w:szCs w:val="28"/>
          <w:highlight w:val="none"/>
        </w:rPr>
      </w:pPr>
      <w:r>
        <w:rPr>
          <w:rFonts w:hint="eastAsia" w:ascii="宋体" w:hAnsi="宋体" w:eastAsia="宋体" w:cs="宋体"/>
          <w:sz w:val="24"/>
          <w:highlight w:val="none"/>
        </w:rPr>
        <w:br w:type="page"/>
      </w:r>
      <w:bookmarkStart w:id="200" w:name="_Toc256000074"/>
      <w:r>
        <w:rPr>
          <w:rFonts w:hint="eastAsia" w:ascii="宋体" w:hAnsi="宋体" w:eastAsia="宋体" w:cs="宋体"/>
          <w:sz w:val="24"/>
          <w:highlight w:val="none"/>
        </w:rPr>
        <w:t>十七、参与评审打分的证书（证件）一览表</w:t>
      </w:r>
      <w:bookmarkEnd w:id="200"/>
    </w:p>
    <w:p>
      <w:pPr>
        <w:pStyle w:val="120"/>
        <w:widowControl/>
        <w:spacing w:line="360" w:lineRule="auto"/>
        <w:jc w:val="center"/>
        <w:rPr>
          <w:rFonts w:ascii="宋体" w:hAnsi="宋体" w:cs="宋体"/>
          <w:kern w:val="0"/>
          <w:sz w:val="24"/>
          <w:szCs w:val="24"/>
          <w:highlight w:val="none"/>
        </w:rPr>
      </w:pPr>
      <w:r>
        <w:rPr>
          <w:rFonts w:hint="eastAsia" w:ascii="宋体" w:hAnsi="宋体" w:cs="宋体"/>
          <w:kern w:val="0"/>
          <w:sz w:val="24"/>
          <w:szCs w:val="24"/>
          <w:highlight w:val="none"/>
        </w:rPr>
        <w:t>参与评审打分的证书（证件）一览表</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4"/>
        <w:gridCol w:w="2409"/>
        <w:gridCol w:w="2410"/>
        <w:gridCol w:w="2410"/>
        <w:gridCol w:w="13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774" w:type="dxa"/>
            <w:vAlign w:val="center"/>
          </w:tcPr>
          <w:p>
            <w:pPr>
              <w:pStyle w:val="120"/>
              <w:widowControl/>
              <w:spacing w:line="360" w:lineRule="auto"/>
              <w:rPr>
                <w:rFonts w:ascii="宋体" w:hAnsi="宋体" w:cs="宋体"/>
                <w:bCs/>
                <w:kern w:val="0"/>
                <w:sz w:val="24"/>
                <w:szCs w:val="24"/>
                <w:highlight w:val="none"/>
              </w:rPr>
            </w:pPr>
            <w:r>
              <w:rPr>
                <w:rFonts w:hint="eastAsia" w:ascii="宋体" w:hAnsi="宋体" w:cs="宋体"/>
                <w:bCs/>
                <w:kern w:val="0"/>
                <w:sz w:val="24"/>
                <w:szCs w:val="24"/>
                <w:highlight w:val="none"/>
              </w:rPr>
              <w:t>序号</w:t>
            </w:r>
          </w:p>
        </w:tc>
        <w:tc>
          <w:tcPr>
            <w:tcW w:w="2409" w:type="dxa"/>
            <w:vAlign w:val="center"/>
          </w:tcPr>
          <w:p>
            <w:pPr>
              <w:pStyle w:val="120"/>
              <w:widowControl/>
              <w:spacing w:line="360" w:lineRule="auto"/>
              <w:rPr>
                <w:rFonts w:ascii="宋体" w:hAnsi="宋体" w:cs="宋体"/>
                <w:bCs/>
                <w:kern w:val="0"/>
                <w:sz w:val="24"/>
                <w:szCs w:val="24"/>
                <w:highlight w:val="none"/>
              </w:rPr>
            </w:pPr>
            <w:r>
              <w:rPr>
                <w:rFonts w:hint="eastAsia" w:ascii="宋体" w:hAnsi="宋体" w:cs="宋体"/>
                <w:bCs/>
                <w:kern w:val="0"/>
                <w:sz w:val="24"/>
                <w:szCs w:val="24"/>
                <w:highlight w:val="none"/>
              </w:rPr>
              <w:t>证书（证件）名称</w:t>
            </w:r>
          </w:p>
        </w:tc>
        <w:tc>
          <w:tcPr>
            <w:tcW w:w="2410" w:type="dxa"/>
            <w:vAlign w:val="center"/>
          </w:tcPr>
          <w:p>
            <w:pPr>
              <w:pStyle w:val="120"/>
              <w:widowControl/>
              <w:spacing w:line="360" w:lineRule="auto"/>
              <w:rPr>
                <w:rFonts w:ascii="宋体" w:hAnsi="宋体" w:cs="宋体"/>
                <w:bCs/>
                <w:kern w:val="0"/>
                <w:sz w:val="24"/>
                <w:szCs w:val="24"/>
                <w:highlight w:val="none"/>
              </w:rPr>
            </w:pPr>
            <w:r>
              <w:rPr>
                <w:rFonts w:hint="eastAsia" w:ascii="宋体" w:hAnsi="宋体" w:cs="宋体"/>
                <w:bCs/>
                <w:kern w:val="0"/>
                <w:sz w:val="24"/>
                <w:szCs w:val="24"/>
                <w:highlight w:val="none"/>
              </w:rPr>
              <w:t>持证单位（人）</w:t>
            </w:r>
          </w:p>
        </w:tc>
        <w:tc>
          <w:tcPr>
            <w:tcW w:w="2410" w:type="dxa"/>
            <w:vAlign w:val="center"/>
          </w:tcPr>
          <w:p>
            <w:pPr>
              <w:pStyle w:val="120"/>
              <w:widowControl/>
              <w:spacing w:line="360" w:lineRule="auto"/>
              <w:rPr>
                <w:rFonts w:ascii="宋体" w:hAnsi="宋体" w:cs="宋体"/>
                <w:bCs/>
                <w:kern w:val="0"/>
                <w:sz w:val="24"/>
                <w:szCs w:val="24"/>
                <w:highlight w:val="none"/>
              </w:rPr>
            </w:pPr>
            <w:r>
              <w:rPr>
                <w:rFonts w:hint="eastAsia" w:ascii="宋体" w:hAnsi="宋体" w:cs="宋体"/>
                <w:bCs/>
                <w:kern w:val="0"/>
                <w:sz w:val="24"/>
                <w:szCs w:val="24"/>
                <w:highlight w:val="none"/>
              </w:rPr>
              <w:t>发证机构</w:t>
            </w:r>
          </w:p>
        </w:tc>
        <w:tc>
          <w:tcPr>
            <w:tcW w:w="1367" w:type="dxa"/>
            <w:vAlign w:val="center"/>
          </w:tcPr>
          <w:p>
            <w:pPr>
              <w:pStyle w:val="120"/>
              <w:widowControl/>
              <w:spacing w:line="360" w:lineRule="auto"/>
              <w:rPr>
                <w:rFonts w:ascii="宋体" w:hAnsi="宋体" w:cs="宋体"/>
                <w:bCs/>
                <w:kern w:val="0"/>
                <w:sz w:val="24"/>
                <w:szCs w:val="24"/>
                <w:highlight w:val="none"/>
              </w:rPr>
            </w:pPr>
            <w:r>
              <w:rPr>
                <w:rFonts w:hint="eastAsia" w:ascii="宋体" w:hAnsi="宋体" w:cs="宋体"/>
                <w:bCs/>
                <w:kern w:val="0"/>
                <w:sz w:val="24"/>
                <w:szCs w:val="24"/>
                <w:highlight w:val="none"/>
              </w:rPr>
              <w:t>发证日期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774" w:type="dxa"/>
            <w:vAlign w:val="center"/>
          </w:tcPr>
          <w:p>
            <w:pPr>
              <w:pStyle w:val="120"/>
              <w:widowControl/>
              <w:spacing w:line="360" w:lineRule="auto"/>
              <w:jc w:val="center"/>
              <w:rPr>
                <w:rFonts w:ascii="宋体" w:hAnsi="宋体" w:cs="宋体"/>
                <w:bCs/>
                <w:w w:val="90"/>
                <w:kern w:val="0"/>
                <w:sz w:val="24"/>
                <w:szCs w:val="24"/>
                <w:highlight w:val="none"/>
              </w:rPr>
            </w:pPr>
          </w:p>
        </w:tc>
        <w:tc>
          <w:tcPr>
            <w:tcW w:w="2409" w:type="dxa"/>
            <w:vAlign w:val="center"/>
          </w:tcPr>
          <w:p>
            <w:pPr>
              <w:pStyle w:val="120"/>
              <w:widowControl/>
              <w:spacing w:line="360" w:lineRule="auto"/>
              <w:rPr>
                <w:rFonts w:ascii="宋体" w:hAnsi="宋体" w:cs="宋体"/>
                <w:bCs/>
                <w:w w:val="90"/>
                <w:kern w:val="0"/>
                <w:sz w:val="24"/>
                <w:szCs w:val="24"/>
                <w:highlight w:val="none"/>
              </w:rPr>
            </w:pPr>
          </w:p>
        </w:tc>
        <w:tc>
          <w:tcPr>
            <w:tcW w:w="2410" w:type="dxa"/>
            <w:vAlign w:val="center"/>
          </w:tcPr>
          <w:p>
            <w:pPr>
              <w:pStyle w:val="120"/>
              <w:widowControl/>
              <w:spacing w:line="360" w:lineRule="auto"/>
              <w:rPr>
                <w:rFonts w:ascii="宋体" w:hAnsi="宋体" w:cs="宋体"/>
                <w:bCs/>
                <w:w w:val="90"/>
                <w:kern w:val="0"/>
                <w:sz w:val="24"/>
                <w:szCs w:val="24"/>
                <w:highlight w:val="none"/>
              </w:rPr>
            </w:pPr>
          </w:p>
        </w:tc>
        <w:tc>
          <w:tcPr>
            <w:tcW w:w="2410" w:type="dxa"/>
            <w:vAlign w:val="center"/>
          </w:tcPr>
          <w:p>
            <w:pPr>
              <w:pStyle w:val="120"/>
              <w:widowControl/>
              <w:spacing w:line="360" w:lineRule="auto"/>
              <w:rPr>
                <w:rFonts w:ascii="宋体" w:hAnsi="宋体" w:cs="宋体"/>
                <w:bCs/>
                <w:w w:val="90"/>
                <w:kern w:val="0"/>
                <w:sz w:val="24"/>
                <w:szCs w:val="24"/>
                <w:highlight w:val="none"/>
              </w:rPr>
            </w:pPr>
          </w:p>
        </w:tc>
        <w:tc>
          <w:tcPr>
            <w:tcW w:w="1367" w:type="dxa"/>
            <w:vAlign w:val="center"/>
          </w:tcPr>
          <w:p>
            <w:pPr>
              <w:pStyle w:val="120"/>
              <w:widowControl/>
              <w:spacing w:line="360" w:lineRule="auto"/>
              <w:rPr>
                <w:rFonts w:ascii="宋体" w:hAnsi="宋体" w:cs="宋体"/>
                <w:bCs/>
                <w:w w:val="90"/>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774" w:type="dxa"/>
            <w:vAlign w:val="center"/>
          </w:tcPr>
          <w:p>
            <w:pPr>
              <w:pStyle w:val="120"/>
              <w:widowControl/>
              <w:spacing w:line="360" w:lineRule="auto"/>
              <w:jc w:val="center"/>
              <w:rPr>
                <w:rFonts w:ascii="宋体" w:hAnsi="宋体" w:cs="宋体"/>
                <w:bCs/>
                <w:w w:val="90"/>
                <w:kern w:val="0"/>
                <w:sz w:val="24"/>
                <w:szCs w:val="24"/>
                <w:highlight w:val="none"/>
              </w:rPr>
            </w:pPr>
          </w:p>
        </w:tc>
        <w:tc>
          <w:tcPr>
            <w:tcW w:w="2409" w:type="dxa"/>
            <w:vAlign w:val="center"/>
          </w:tcPr>
          <w:p>
            <w:pPr>
              <w:pStyle w:val="120"/>
              <w:widowControl/>
              <w:spacing w:line="360" w:lineRule="auto"/>
              <w:rPr>
                <w:rFonts w:ascii="宋体" w:hAnsi="宋体" w:cs="宋体"/>
                <w:bCs/>
                <w:w w:val="90"/>
                <w:kern w:val="0"/>
                <w:sz w:val="24"/>
                <w:szCs w:val="24"/>
                <w:highlight w:val="none"/>
              </w:rPr>
            </w:pPr>
          </w:p>
        </w:tc>
        <w:tc>
          <w:tcPr>
            <w:tcW w:w="2410" w:type="dxa"/>
            <w:vAlign w:val="center"/>
          </w:tcPr>
          <w:p>
            <w:pPr>
              <w:pStyle w:val="120"/>
              <w:widowControl/>
              <w:spacing w:line="360" w:lineRule="auto"/>
              <w:rPr>
                <w:rFonts w:ascii="宋体" w:hAnsi="宋体" w:cs="宋体"/>
                <w:bCs/>
                <w:w w:val="90"/>
                <w:kern w:val="0"/>
                <w:sz w:val="24"/>
                <w:szCs w:val="24"/>
                <w:highlight w:val="none"/>
              </w:rPr>
            </w:pPr>
          </w:p>
        </w:tc>
        <w:tc>
          <w:tcPr>
            <w:tcW w:w="2410" w:type="dxa"/>
            <w:vAlign w:val="center"/>
          </w:tcPr>
          <w:p>
            <w:pPr>
              <w:pStyle w:val="120"/>
              <w:widowControl/>
              <w:spacing w:line="360" w:lineRule="auto"/>
              <w:rPr>
                <w:rFonts w:ascii="宋体" w:hAnsi="宋体" w:cs="宋体"/>
                <w:bCs/>
                <w:w w:val="90"/>
                <w:kern w:val="0"/>
                <w:sz w:val="24"/>
                <w:szCs w:val="24"/>
                <w:highlight w:val="none"/>
              </w:rPr>
            </w:pPr>
          </w:p>
        </w:tc>
        <w:tc>
          <w:tcPr>
            <w:tcW w:w="1367" w:type="dxa"/>
            <w:vAlign w:val="center"/>
          </w:tcPr>
          <w:p>
            <w:pPr>
              <w:pStyle w:val="120"/>
              <w:widowControl/>
              <w:spacing w:line="360" w:lineRule="auto"/>
              <w:rPr>
                <w:rFonts w:ascii="宋体" w:hAnsi="宋体" w:cs="宋体"/>
                <w:bCs/>
                <w:w w:val="90"/>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774" w:type="dxa"/>
            <w:vAlign w:val="center"/>
          </w:tcPr>
          <w:p>
            <w:pPr>
              <w:pStyle w:val="120"/>
              <w:widowControl/>
              <w:spacing w:line="360" w:lineRule="auto"/>
              <w:jc w:val="center"/>
              <w:rPr>
                <w:rFonts w:ascii="宋体" w:hAnsi="宋体" w:cs="宋体"/>
                <w:bCs/>
                <w:w w:val="90"/>
                <w:kern w:val="0"/>
                <w:sz w:val="24"/>
                <w:szCs w:val="24"/>
                <w:highlight w:val="none"/>
              </w:rPr>
            </w:pPr>
          </w:p>
        </w:tc>
        <w:tc>
          <w:tcPr>
            <w:tcW w:w="2409" w:type="dxa"/>
            <w:vAlign w:val="center"/>
          </w:tcPr>
          <w:p>
            <w:pPr>
              <w:pStyle w:val="120"/>
              <w:widowControl/>
              <w:spacing w:line="360" w:lineRule="auto"/>
              <w:rPr>
                <w:rFonts w:ascii="宋体" w:hAnsi="宋体" w:cs="宋体"/>
                <w:bCs/>
                <w:w w:val="90"/>
                <w:kern w:val="0"/>
                <w:sz w:val="24"/>
                <w:szCs w:val="24"/>
                <w:highlight w:val="none"/>
              </w:rPr>
            </w:pPr>
          </w:p>
        </w:tc>
        <w:tc>
          <w:tcPr>
            <w:tcW w:w="2410" w:type="dxa"/>
            <w:vAlign w:val="center"/>
          </w:tcPr>
          <w:p>
            <w:pPr>
              <w:pStyle w:val="120"/>
              <w:widowControl/>
              <w:spacing w:line="360" w:lineRule="auto"/>
              <w:rPr>
                <w:rFonts w:ascii="宋体" w:hAnsi="宋体" w:cs="宋体"/>
                <w:bCs/>
                <w:w w:val="90"/>
                <w:kern w:val="0"/>
                <w:sz w:val="24"/>
                <w:szCs w:val="24"/>
                <w:highlight w:val="none"/>
              </w:rPr>
            </w:pPr>
          </w:p>
        </w:tc>
        <w:tc>
          <w:tcPr>
            <w:tcW w:w="2410" w:type="dxa"/>
            <w:vAlign w:val="center"/>
          </w:tcPr>
          <w:p>
            <w:pPr>
              <w:pStyle w:val="120"/>
              <w:widowControl/>
              <w:spacing w:line="360" w:lineRule="auto"/>
              <w:rPr>
                <w:rFonts w:ascii="宋体" w:hAnsi="宋体" w:cs="宋体"/>
                <w:bCs/>
                <w:w w:val="90"/>
                <w:kern w:val="0"/>
                <w:sz w:val="24"/>
                <w:szCs w:val="24"/>
                <w:highlight w:val="none"/>
              </w:rPr>
            </w:pPr>
          </w:p>
        </w:tc>
        <w:tc>
          <w:tcPr>
            <w:tcW w:w="1367" w:type="dxa"/>
            <w:vAlign w:val="center"/>
          </w:tcPr>
          <w:p>
            <w:pPr>
              <w:pStyle w:val="120"/>
              <w:widowControl/>
              <w:spacing w:line="360" w:lineRule="auto"/>
              <w:rPr>
                <w:rFonts w:ascii="宋体" w:hAnsi="宋体" w:cs="宋体"/>
                <w:bCs/>
                <w:w w:val="90"/>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774" w:type="dxa"/>
            <w:vAlign w:val="center"/>
          </w:tcPr>
          <w:p>
            <w:pPr>
              <w:pStyle w:val="120"/>
              <w:widowControl/>
              <w:spacing w:line="360" w:lineRule="auto"/>
              <w:jc w:val="center"/>
              <w:rPr>
                <w:rFonts w:ascii="宋体" w:hAnsi="宋体" w:cs="宋体"/>
                <w:bCs/>
                <w:w w:val="90"/>
                <w:kern w:val="0"/>
                <w:sz w:val="24"/>
                <w:szCs w:val="24"/>
                <w:highlight w:val="none"/>
              </w:rPr>
            </w:pPr>
          </w:p>
        </w:tc>
        <w:tc>
          <w:tcPr>
            <w:tcW w:w="2409" w:type="dxa"/>
            <w:vAlign w:val="center"/>
          </w:tcPr>
          <w:p>
            <w:pPr>
              <w:pStyle w:val="120"/>
              <w:widowControl/>
              <w:spacing w:line="360" w:lineRule="auto"/>
              <w:rPr>
                <w:rFonts w:ascii="宋体" w:hAnsi="宋体" w:cs="宋体"/>
                <w:bCs/>
                <w:w w:val="90"/>
                <w:kern w:val="0"/>
                <w:sz w:val="24"/>
                <w:szCs w:val="24"/>
                <w:highlight w:val="none"/>
              </w:rPr>
            </w:pPr>
          </w:p>
        </w:tc>
        <w:tc>
          <w:tcPr>
            <w:tcW w:w="2410" w:type="dxa"/>
            <w:vAlign w:val="center"/>
          </w:tcPr>
          <w:p>
            <w:pPr>
              <w:pStyle w:val="120"/>
              <w:widowControl/>
              <w:spacing w:line="360" w:lineRule="auto"/>
              <w:rPr>
                <w:rFonts w:ascii="宋体" w:hAnsi="宋体" w:cs="宋体"/>
                <w:bCs/>
                <w:w w:val="90"/>
                <w:kern w:val="0"/>
                <w:sz w:val="24"/>
                <w:szCs w:val="24"/>
                <w:highlight w:val="none"/>
              </w:rPr>
            </w:pPr>
          </w:p>
        </w:tc>
        <w:tc>
          <w:tcPr>
            <w:tcW w:w="2410" w:type="dxa"/>
            <w:vAlign w:val="center"/>
          </w:tcPr>
          <w:p>
            <w:pPr>
              <w:pStyle w:val="120"/>
              <w:widowControl/>
              <w:spacing w:line="360" w:lineRule="auto"/>
              <w:rPr>
                <w:rFonts w:ascii="宋体" w:hAnsi="宋体" w:cs="宋体"/>
                <w:bCs/>
                <w:w w:val="90"/>
                <w:kern w:val="0"/>
                <w:sz w:val="24"/>
                <w:szCs w:val="24"/>
                <w:highlight w:val="none"/>
              </w:rPr>
            </w:pPr>
          </w:p>
        </w:tc>
        <w:tc>
          <w:tcPr>
            <w:tcW w:w="1367" w:type="dxa"/>
            <w:vAlign w:val="center"/>
          </w:tcPr>
          <w:p>
            <w:pPr>
              <w:pStyle w:val="120"/>
              <w:widowControl/>
              <w:spacing w:line="360" w:lineRule="auto"/>
              <w:rPr>
                <w:rFonts w:ascii="宋体" w:hAnsi="宋体" w:cs="宋体"/>
                <w:bCs/>
                <w:w w:val="90"/>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774" w:type="dxa"/>
            <w:vAlign w:val="center"/>
          </w:tcPr>
          <w:p>
            <w:pPr>
              <w:pStyle w:val="120"/>
              <w:widowControl/>
              <w:spacing w:line="360" w:lineRule="auto"/>
              <w:jc w:val="center"/>
              <w:rPr>
                <w:rFonts w:ascii="宋体" w:hAnsi="宋体" w:cs="宋体"/>
                <w:bCs/>
                <w:w w:val="90"/>
                <w:kern w:val="0"/>
                <w:sz w:val="24"/>
                <w:szCs w:val="24"/>
                <w:highlight w:val="none"/>
              </w:rPr>
            </w:pPr>
          </w:p>
        </w:tc>
        <w:tc>
          <w:tcPr>
            <w:tcW w:w="2409" w:type="dxa"/>
            <w:vAlign w:val="center"/>
          </w:tcPr>
          <w:p>
            <w:pPr>
              <w:pStyle w:val="120"/>
              <w:widowControl/>
              <w:spacing w:line="360" w:lineRule="auto"/>
              <w:rPr>
                <w:rFonts w:ascii="宋体" w:hAnsi="宋体" w:cs="宋体"/>
                <w:bCs/>
                <w:w w:val="90"/>
                <w:kern w:val="0"/>
                <w:sz w:val="24"/>
                <w:szCs w:val="24"/>
                <w:highlight w:val="none"/>
              </w:rPr>
            </w:pPr>
          </w:p>
        </w:tc>
        <w:tc>
          <w:tcPr>
            <w:tcW w:w="2410" w:type="dxa"/>
            <w:vAlign w:val="center"/>
          </w:tcPr>
          <w:p>
            <w:pPr>
              <w:pStyle w:val="120"/>
              <w:widowControl/>
              <w:spacing w:line="360" w:lineRule="auto"/>
              <w:rPr>
                <w:rFonts w:ascii="宋体" w:hAnsi="宋体" w:cs="宋体"/>
                <w:bCs/>
                <w:w w:val="90"/>
                <w:kern w:val="0"/>
                <w:sz w:val="24"/>
                <w:szCs w:val="24"/>
                <w:highlight w:val="none"/>
              </w:rPr>
            </w:pPr>
          </w:p>
        </w:tc>
        <w:tc>
          <w:tcPr>
            <w:tcW w:w="2410" w:type="dxa"/>
            <w:vAlign w:val="center"/>
          </w:tcPr>
          <w:p>
            <w:pPr>
              <w:pStyle w:val="120"/>
              <w:widowControl/>
              <w:spacing w:line="360" w:lineRule="auto"/>
              <w:rPr>
                <w:rFonts w:ascii="宋体" w:hAnsi="宋体" w:cs="宋体"/>
                <w:bCs/>
                <w:w w:val="90"/>
                <w:kern w:val="0"/>
                <w:sz w:val="24"/>
                <w:szCs w:val="24"/>
                <w:highlight w:val="none"/>
              </w:rPr>
            </w:pPr>
          </w:p>
        </w:tc>
        <w:tc>
          <w:tcPr>
            <w:tcW w:w="1367" w:type="dxa"/>
            <w:vAlign w:val="center"/>
          </w:tcPr>
          <w:p>
            <w:pPr>
              <w:pStyle w:val="120"/>
              <w:widowControl/>
              <w:spacing w:line="360" w:lineRule="auto"/>
              <w:rPr>
                <w:rFonts w:ascii="宋体" w:hAnsi="宋体" w:cs="宋体"/>
                <w:bCs/>
                <w:w w:val="90"/>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774" w:type="dxa"/>
            <w:vAlign w:val="center"/>
          </w:tcPr>
          <w:p>
            <w:pPr>
              <w:pStyle w:val="120"/>
              <w:widowControl/>
              <w:spacing w:line="360" w:lineRule="auto"/>
              <w:jc w:val="center"/>
              <w:rPr>
                <w:rFonts w:ascii="宋体" w:hAnsi="宋体" w:cs="宋体"/>
                <w:bCs/>
                <w:w w:val="90"/>
                <w:kern w:val="0"/>
                <w:sz w:val="24"/>
                <w:szCs w:val="24"/>
                <w:highlight w:val="none"/>
              </w:rPr>
            </w:pPr>
          </w:p>
        </w:tc>
        <w:tc>
          <w:tcPr>
            <w:tcW w:w="2409" w:type="dxa"/>
            <w:vAlign w:val="center"/>
          </w:tcPr>
          <w:p>
            <w:pPr>
              <w:pStyle w:val="120"/>
              <w:widowControl/>
              <w:spacing w:line="360" w:lineRule="auto"/>
              <w:rPr>
                <w:rFonts w:ascii="宋体" w:hAnsi="宋体" w:cs="宋体"/>
                <w:bCs/>
                <w:w w:val="90"/>
                <w:kern w:val="0"/>
                <w:sz w:val="24"/>
                <w:szCs w:val="24"/>
                <w:highlight w:val="none"/>
              </w:rPr>
            </w:pPr>
          </w:p>
        </w:tc>
        <w:tc>
          <w:tcPr>
            <w:tcW w:w="2410" w:type="dxa"/>
            <w:vAlign w:val="center"/>
          </w:tcPr>
          <w:p>
            <w:pPr>
              <w:pStyle w:val="120"/>
              <w:widowControl/>
              <w:spacing w:line="360" w:lineRule="auto"/>
              <w:rPr>
                <w:rFonts w:ascii="宋体" w:hAnsi="宋体" w:cs="宋体"/>
                <w:bCs/>
                <w:w w:val="90"/>
                <w:kern w:val="0"/>
                <w:sz w:val="24"/>
                <w:szCs w:val="24"/>
                <w:highlight w:val="none"/>
              </w:rPr>
            </w:pPr>
          </w:p>
        </w:tc>
        <w:tc>
          <w:tcPr>
            <w:tcW w:w="2410" w:type="dxa"/>
            <w:vAlign w:val="center"/>
          </w:tcPr>
          <w:p>
            <w:pPr>
              <w:pStyle w:val="120"/>
              <w:widowControl/>
              <w:spacing w:line="360" w:lineRule="auto"/>
              <w:rPr>
                <w:rFonts w:ascii="宋体" w:hAnsi="宋体" w:cs="宋体"/>
                <w:bCs/>
                <w:w w:val="90"/>
                <w:kern w:val="0"/>
                <w:sz w:val="24"/>
                <w:szCs w:val="24"/>
                <w:highlight w:val="none"/>
              </w:rPr>
            </w:pPr>
          </w:p>
        </w:tc>
        <w:tc>
          <w:tcPr>
            <w:tcW w:w="1367" w:type="dxa"/>
            <w:vAlign w:val="center"/>
          </w:tcPr>
          <w:p>
            <w:pPr>
              <w:pStyle w:val="120"/>
              <w:widowControl/>
              <w:spacing w:line="360" w:lineRule="auto"/>
              <w:rPr>
                <w:rFonts w:ascii="宋体" w:hAnsi="宋体" w:cs="宋体"/>
                <w:bCs/>
                <w:w w:val="90"/>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774" w:type="dxa"/>
            <w:vAlign w:val="center"/>
          </w:tcPr>
          <w:p>
            <w:pPr>
              <w:pStyle w:val="120"/>
              <w:widowControl/>
              <w:spacing w:line="360" w:lineRule="auto"/>
              <w:jc w:val="center"/>
              <w:rPr>
                <w:rFonts w:ascii="宋体" w:hAnsi="宋体" w:cs="宋体"/>
                <w:bCs/>
                <w:w w:val="90"/>
                <w:kern w:val="0"/>
                <w:sz w:val="24"/>
                <w:szCs w:val="24"/>
                <w:highlight w:val="none"/>
              </w:rPr>
            </w:pPr>
          </w:p>
        </w:tc>
        <w:tc>
          <w:tcPr>
            <w:tcW w:w="2409" w:type="dxa"/>
            <w:vAlign w:val="center"/>
          </w:tcPr>
          <w:p>
            <w:pPr>
              <w:pStyle w:val="120"/>
              <w:widowControl/>
              <w:spacing w:line="360" w:lineRule="auto"/>
              <w:rPr>
                <w:rFonts w:ascii="宋体" w:hAnsi="宋体" w:cs="宋体"/>
                <w:bCs/>
                <w:w w:val="90"/>
                <w:kern w:val="0"/>
                <w:sz w:val="24"/>
                <w:szCs w:val="24"/>
                <w:highlight w:val="none"/>
              </w:rPr>
            </w:pPr>
          </w:p>
        </w:tc>
        <w:tc>
          <w:tcPr>
            <w:tcW w:w="2410" w:type="dxa"/>
            <w:vAlign w:val="center"/>
          </w:tcPr>
          <w:p>
            <w:pPr>
              <w:pStyle w:val="120"/>
              <w:widowControl/>
              <w:spacing w:line="360" w:lineRule="auto"/>
              <w:rPr>
                <w:rFonts w:ascii="宋体" w:hAnsi="宋体" w:cs="宋体"/>
                <w:bCs/>
                <w:w w:val="90"/>
                <w:kern w:val="0"/>
                <w:sz w:val="24"/>
                <w:szCs w:val="24"/>
                <w:highlight w:val="none"/>
              </w:rPr>
            </w:pPr>
          </w:p>
        </w:tc>
        <w:tc>
          <w:tcPr>
            <w:tcW w:w="2410" w:type="dxa"/>
            <w:vAlign w:val="center"/>
          </w:tcPr>
          <w:p>
            <w:pPr>
              <w:pStyle w:val="120"/>
              <w:widowControl/>
              <w:spacing w:line="360" w:lineRule="auto"/>
              <w:rPr>
                <w:rFonts w:ascii="宋体" w:hAnsi="宋体" w:cs="宋体"/>
                <w:bCs/>
                <w:w w:val="90"/>
                <w:kern w:val="0"/>
                <w:sz w:val="24"/>
                <w:szCs w:val="24"/>
                <w:highlight w:val="none"/>
              </w:rPr>
            </w:pPr>
          </w:p>
        </w:tc>
        <w:tc>
          <w:tcPr>
            <w:tcW w:w="1367" w:type="dxa"/>
            <w:vAlign w:val="center"/>
          </w:tcPr>
          <w:p>
            <w:pPr>
              <w:pStyle w:val="120"/>
              <w:widowControl/>
              <w:spacing w:line="360" w:lineRule="auto"/>
              <w:rPr>
                <w:rFonts w:ascii="宋体" w:hAnsi="宋体" w:cs="宋体"/>
                <w:bCs/>
                <w:w w:val="90"/>
                <w:kern w:val="0"/>
                <w:sz w:val="24"/>
                <w:szCs w:val="24"/>
                <w:highlight w:val="none"/>
              </w:rPr>
            </w:pPr>
          </w:p>
        </w:tc>
      </w:tr>
    </w:tbl>
    <w:p>
      <w:pPr>
        <w:pStyle w:val="120"/>
        <w:widowControl/>
        <w:spacing w:line="360" w:lineRule="auto"/>
        <w:rPr>
          <w:rFonts w:ascii="宋体" w:hAnsi="宋体" w:cs="宋体"/>
          <w:kern w:val="0"/>
          <w:sz w:val="24"/>
          <w:szCs w:val="24"/>
          <w:highlight w:val="none"/>
        </w:rPr>
      </w:pPr>
      <w:r>
        <w:rPr>
          <w:rFonts w:hint="eastAsia" w:ascii="宋体" w:hAnsi="宋体" w:cs="宋体"/>
          <w:kern w:val="0"/>
          <w:sz w:val="24"/>
          <w:szCs w:val="24"/>
          <w:highlight w:val="none"/>
        </w:rPr>
        <w:t>投标人（企业电子章）：</w:t>
      </w:r>
    </w:p>
    <w:p>
      <w:pPr>
        <w:pStyle w:val="120"/>
        <w:widowControl/>
        <w:spacing w:line="360" w:lineRule="auto"/>
        <w:ind w:firstLine="482"/>
        <w:rPr>
          <w:rFonts w:ascii="宋体" w:hAnsi="宋体" w:cs="宋体"/>
          <w:kern w:val="0"/>
          <w:sz w:val="24"/>
          <w:szCs w:val="24"/>
          <w:highlight w:val="none"/>
        </w:rPr>
      </w:pPr>
    </w:p>
    <w:p>
      <w:pPr>
        <w:pStyle w:val="120"/>
        <w:widowControl/>
        <w:spacing w:line="360" w:lineRule="auto"/>
        <w:rPr>
          <w:rFonts w:ascii="宋体" w:hAnsi="宋体" w:cs="宋体"/>
          <w:bCs/>
          <w:spacing w:val="10"/>
          <w:kern w:val="0"/>
          <w:sz w:val="24"/>
          <w:szCs w:val="24"/>
          <w:highlight w:val="none"/>
        </w:rPr>
      </w:pPr>
      <w:r>
        <w:rPr>
          <w:rFonts w:hint="eastAsia" w:ascii="宋体" w:hAnsi="宋体" w:cs="宋体"/>
          <w:bCs/>
          <w:spacing w:val="10"/>
          <w:kern w:val="0"/>
          <w:sz w:val="24"/>
          <w:szCs w:val="24"/>
          <w:highlight w:val="none"/>
        </w:rPr>
        <w:t>注：1.投标人可根据需要自行增减表格行数。</w:t>
      </w:r>
    </w:p>
    <w:p>
      <w:pPr>
        <w:pStyle w:val="120"/>
        <w:widowControl/>
        <w:spacing w:line="360" w:lineRule="auto"/>
        <w:ind w:firstLine="420"/>
        <w:rPr>
          <w:rFonts w:ascii="宋体" w:hAnsi="宋体" w:cs="宋体"/>
          <w:bCs/>
          <w:spacing w:val="10"/>
          <w:kern w:val="0"/>
          <w:sz w:val="24"/>
          <w:szCs w:val="24"/>
          <w:highlight w:val="none"/>
        </w:rPr>
      </w:pPr>
      <w:r>
        <w:rPr>
          <w:rFonts w:hint="eastAsia" w:ascii="宋体" w:hAnsi="宋体" w:cs="宋体"/>
          <w:bCs/>
          <w:spacing w:val="10"/>
          <w:kern w:val="0"/>
          <w:sz w:val="24"/>
          <w:szCs w:val="24"/>
          <w:highlight w:val="none"/>
        </w:rPr>
        <w:t>2.</w:t>
      </w:r>
      <w:r>
        <w:rPr>
          <w:rFonts w:hint="eastAsia" w:ascii="宋体" w:hAnsi="宋体" w:cs="宋体"/>
          <w:kern w:val="0"/>
          <w:sz w:val="24"/>
          <w:szCs w:val="24"/>
          <w:highlight w:val="none"/>
        </w:rPr>
        <w:t>投标人对所报相关内容的真实性负责，采购代理机构有权将相关内容进行公示，因弄虚作假导致的后果由投标人自行承担。</w:t>
      </w:r>
    </w:p>
    <w:p>
      <w:pPr>
        <w:pStyle w:val="120"/>
        <w:widowControl/>
        <w:spacing w:line="360" w:lineRule="auto"/>
        <w:ind w:firstLine="482"/>
        <w:rPr>
          <w:rFonts w:ascii="宋体" w:hAnsi="宋体" w:cs="宋体"/>
          <w:kern w:val="0"/>
          <w:sz w:val="24"/>
          <w:szCs w:val="24"/>
          <w:highlight w:val="none"/>
        </w:rPr>
      </w:pPr>
    </w:p>
    <w:p>
      <w:pPr>
        <w:pStyle w:val="122"/>
        <w:spacing w:line="360" w:lineRule="auto"/>
        <w:rPr>
          <w:rFonts w:ascii="宋体" w:hAnsi="宋体" w:eastAsia="宋体" w:cs="宋体"/>
          <w:sz w:val="28"/>
          <w:szCs w:val="28"/>
          <w:highlight w:val="none"/>
        </w:rPr>
      </w:pPr>
      <w:r>
        <w:rPr>
          <w:rFonts w:hint="eastAsia" w:ascii="宋体" w:hAnsi="宋体" w:eastAsia="宋体" w:cs="宋体"/>
          <w:sz w:val="24"/>
          <w:highlight w:val="none"/>
        </w:rPr>
        <w:br w:type="page"/>
      </w:r>
      <w:bookmarkStart w:id="201" w:name="_Toc256000075"/>
      <w:r>
        <w:rPr>
          <w:rFonts w:hint="eastAsia" w:ascii="宋体" w:hAnsi="宋体" w:eastAsia="宋体" w:cs="宋体"/>
          <w:sz w:val="24"/>
          <w:highlight w:val="none"/>
        </w:rPr>
        <w:t>十八、参与评审打分的证书（证件）扫描件</w:t>
      </w:r>
      <w:bookmarkEnd w:id="201"/>
    </w:p>
    <w:p>
      <w:pPr>
        <w:pStyle w:val="123"/>
        <w:spacing w:line="360" w:lineRule="auto"/>
        <w:jc w:val="center"/>
        <w:rPr>
          <w:rFonts w:ascii="宋体" w:hAnsi="宋体" w:eastAsia="宋体" w:cs="宋体"/>
          <w:sz w:val="24"/>
          <w:highlight w:val="none"/>
        </w:rPr>
      </w:pPr>
      <w:r>
        <w:rPr>
          <w:rFonts w:hint="eastAsia" w:ascii="宋体" w:hAnsi="宋体" w:eastAsia="宋体" w:cs="宋体"/>
          <w:sz w:val="24"/>
          <w:highlight w:val="none"/>
        </w:rPr>
        <w:t>参与评审打分的证书（证件）扫描件</w:t>
      </w:r>
      <w:bookmarkStart w:id="202" w:name="_Toc256000076"/>
    </w:p>
    <w:p>
      <w:pPr>
        <w:pStyle w:val="123"/>
        <w:spacing w:line="360" w:lineRule="auto"/>
        <w:jc w:val="center"/>
        <w:rPr>
          <w:rFonts w:ascii="宋体" w:hAnsi="宋体" w:eastAsia="宋体" w:cs="宋体"/>
          <w:sz w:val="24"/>
          <w:highlight w:val="none"/>
        </w:rPr>
      </w:pPr>
    </w:p>
    <w:p>
      <w:pPr>
        <w:pStyle w:val="123"/>
        <w:spacing w:line="360" w:lineRule="auto"/>
        <w:jc w:val="center"/>
        <w:rPr>
          <w:rFonts w:ascii="宋体" w:hAnsi="宋体" w:eastAsia="宋体" w:cs="宋体"/>
          <w:sz w:val="24"/>
          <w:highlight w:val="none"/>
        </w:rPr>
      </w:pPr>
    </w:p>
    <w:p>
      <w:pPr>
        <w:pStyle w:val="123"/>
        <w:spacing w:line="360" w:lineRule="auto"/>
        <w:jc w:val="center"/>
        <w:rPr>
          <w:rFonts w:ascii="宋体" w:hAnsi="宋体" w:eastAsia="宋体" w:cs="宋体"/>
          <w:sz w:val="24"/>
          <w:highlight w:val="none"/>
        </w:rPr>
      </w:pPr>
    </w:p>
    <w:p>
      <w:pPr>
        <w:pStyle w:val="123"/>
        <w:spacing w:line="360" w:lineRule="auto"/>
        <w:jc w:val="center"/>
        <w:rPr>
          <w:rFonts w:ascii="宋体" w:hAnsi="宋体" w:eastAsia="宋体" w:cs="宋体"/>
          <w:sz w:val="24"/>
          <w:highlight w:val="none"/>
        </w:rPr>
      </w:pPr>
    </w:p>
    <w:p>
      <w:pPr>
        <w:pStyle w:val="123"/>
        <w:spacing w:line="360" w:lineRule="auto"/>
        <w:jc w:val="center"/>
        <w:rPr>
          <w:rFonts w:ascii="宋体" w:hAnsi="宋体" w:eastAsia="宋体" w:cs="宋体"/>
          <w:sz w:val="24"/>
          <w:highlight w:val="none"/>
        </w:rPr>
      </w:pPr>
    </w:p>
    <w:p>
      <w:pPr>
        <w:pStyle w:val="123"/>
        <w:spacing w:line="360" w:lineRule="auto"/>
        <w:jc w:val="center"/>
        <w:rPr>
          <w:rFonts w:ascii="宋体" w:hAnsi="宋体" w:eastAsia="宋体" w:cs="宋体"/>
          <w:sz w:val="24"/>
          <w:highlight w:val="none"/>
        </w:rPr>
      </w:pPr>
    </w:p>
    <w:p>
      <w:pPr>
        <w:pStyle w:val="123"/>
        <w:spacing w:line="360" w:lineRule="auto"/>
        <w:jc w:val="center"/>
        <w:rPr>
          <w:rFonts w:ascii="宋体" w:hAnsi="宋体" w:eastAsia="宋体" w:cs="宋体"/>
          <w:sz w:val="24"/>
          <w:highlight w:val="none"/>
        </w:rPr>
      </w:pPr>
    </w:p>
    <w:p>
      <w:pPr>
        <w:pStyle w:val="123"/>
        <w:spacing w:line="360" w:lineRule="auto"/>
        <w:jc w:val="center"/>
        <w:rPr>
          <w:rFonts w:ascii="宋体" w:hAnsi="宋体" w:eastAsia="宋体" w:cs="宋体"/>
          <w:sz w:val="24"/>
          <w:highlight w:val="none"/>
        </w:rPr>
      </w:pPr>
    </w:p>
    <w:p>
      <w:pPr>
        <w:pStyle w:val="123"/>
        <w:spacing w:line="360" w:lineRule="auto"/>
        <w:jc w:val="center"/>
        <w:rPr>
          <w:rFonts w:ascii="宋体" w:hAnsi="宋体" w:eastAsia="宋体" w:cs="宋体"/>
          <w:sz w:val="24"/>
          <w:highlight w:val="none"/>
        </w:rPr>
      </w:pPr>
    </w:p>
    <w:p>
      <w:pPr>
        <w:pStyle w:val="123"/>
        <w:spacing w:line="360" w:lineRule="auto"/>
        <w:jc w:val="center"/>
        <w:rPr>
          <w:rFonts w:ascii="宋体" w:hAnsi="宋体" w:eastAsia="宋体" w:cs="宋体"/>
          <w:sz w:val="24"/>
          <w:highlight w:val="none"/>
        </w:rPr>
      </w:pPr>
    </w:p>
    <w:p>
      <w:pPr>
        <w:pStyle w:val="123"/>
        <w:spacing w:line="360" w:lineRule="auto"/>
        <w:jc w:val="center"/>
        <w:rPr>
          <w:rFonts w:ascii="宋体" w:hAnsi="宋体" w:eastAsia="宋体" w:cs="宋体"/>
          <w:sz w:val="24"/>
          <w:highlight w:val="none"/>
        </w:rPr>
      </w:pPr>
    </w:p>
    <w:p>
      <w:pPr>
        <w:pStyle w:val="123"/>
        <w:spacing w:line="360" w:lineRule="auto"/>
        <w:jc w:val="center"/>
        <w:rPr>
          <w:rFonts w:ascii="宋体" w:hAnsi="宋体" w:eastAsia="宋体" w:cs="宋体"/>
          <w:sz w:val="24"/>
          <w:highlight w:val="none"/>
        </w:rPr>
      </w:pPr>
    </w:p>
    <w:p>
      <w:pPr>
        <w:pStyle w:val="123"/>
        <w:spacing w:line="360" w:lineRule="auto"/>
        <w:jc w:val="center"/>
        <w:rPr>
          <w:rFonts w:ascii="宋体" w:hAnsi="宋体" w:eastAsia="宋体" w:cs="宋体"/>
          <w:sz w:val="24"/>
          <w:highlight w:val="none"/>
        </w:rPr>
      </w:pPr>
    </w:p>
    <w:p>
      <w:pPr>
        <w:pStyle w:val="123"/>
        <w:spacing w:line="360" w:lineRule="auto"/>
        <w:jc w:val="center"/>
        <w:rPr>
          <w:rFonts w:ascii="宋体" w:hAnsi="宋体" w:eastAsia="宋体" w:cs="宋体"/>
          <w:sz w:val="24"/>
          <w:highlight w:val="none"/>
        </w:rPr>
      </w:pPr>
    </w:p>
    <w:p>
      <w:pPr>
        <w:pStyle w:val="123"/>
        <w:spacing w:line="360" w:lineRule="auto"/>
        <w:jc w:val="center"/>
        <w:rPr>
          <w:rFonts w:ascii="宋体" w:hAnsi="宋体" w:eastAsia="宋体" w:cs="宋体"/>
          <w:sz w:val="24"/>
          <w:highlight w:val="none"/>
        </w:rPr>
      </w:pPr>
    </w:p>
    <w:p>
      <w:pPr>
        <w:pStyle w:val="123"/>
        <w:spacing w:line="360" w:lineRule="auto"/>
        <w:jc w:val="center"/>
        <w:rPr>
          <w:rFonts w:ascii="宋体" w:hAnsi="宋体" w:eastAsia="宋体" w:cs="宋体"/>
          <w:sz w:val="24"/>
          <w:highlight w:val="none"/>
        </w:rPr>
      </w:pPr>
    </w:p>
    <w:p>
      <w:pPr>
        <w:pStyle w:val="123"/>
        <w:spacing w:line="360" w:lineRule="auto"/>
        <w:jc w:val="center"/>
        <w:rPr>
          <w:rFonts w:ascii="宋体" w:hAnsi="宋体" w:eastAsia="宋体" w:cs="宋体"/>
          <w:sz w:val="24"/>
          <w:highlight w:val="none"/>
        </w:rPr>
      </w:pPr>
    </w:p>
    <w:p>
      <w:pPr>
        <w:pStyle w:val="123"/>
        <w:spacing w:line="360" w:lineRule="auto"/>
        <w:jc w:val="center"/>
        <w:rPr>
          <w:rFonts w:ascii="宋体" w:hAnsi="宋体" w:eastAsia="宋体" w:cs="宋体"/>
          <w:sz w:val="24"/>
          <w:highlight w:val="none"/>
        </w:rPr>
      </w:pPr>
    </w:p>
    <w:p>
      <w:pPr>
        <w:pStyle w:val="123"/>
        <w:spacing w:line="360" w:lineRule="auto"/>
        <w:jc w:val="both"/>
        <w:rPr>
          <w:rFonts w:ascii="宋体" w:hAnsi="宋体" w:eastAsia="宋体" w:cs="宋体"/>
          <w:sz w:val="24"/>
          <w:highlight w:val="none"/>
        </w:rPr>
      </w:pPr>
      <w:r>
        <w:rPr>
          <w:rFonts w:hint="eastAsia" w:ascii="宋体" w:hAnsi="宋体" w:eastAsia="宋体" w:cs="宋体"/>
          <w:sz w:val="24"/>
          <w:highlight w:val="none"/>
        </w:rPr>
        <w:t>十九、参与评审打分的合同业绩一览表</w:t>
      </w:r>
      <w:bookmarkEnd w:id="202"/>
    </w:p>
    <w:p>
      <w:pPr>
        <w:pStyle w:val="124"/>
        <w:widowControl/>
        <w:spacing w:line="360" w:lineRule="auto"/>
        <w:jc w:val="center"/>
        <w:rPr>
          <w:rFonts w:ascii="宋体" w:hAnsi="宋体" w:cs="宋体"/>
          <w:kern w:val="0"/>
          <w:sz w:val="24"/>
          <w:szCs w:val="24"/>
          <w:highlight w:val="none"/>
        </w:rPr>
      </w:pPr>
      <w:r>
        <w:rPr>
          <w:rFonts w:hint="eastAsia" w:ascii="宋体" w:hAnsi="宋体" w:cs="宋体"/>
          <w:kern w:val="0"/>
          <w:sz w:val="24"/>
          <w:szCs w:val="24"/>
          <w:highlight w:val="none"/>
        </w:rPr>
        <w:t>参与评审打分的合同业绩一览表</w:t>
      </w:r>
    </w:p>
    <w:tbl>
      <w:tblPr>
        <w:tblStyle w:val="19"/>
        <w:tblW w:w="91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3"/>
        <w:gridCol w:w="2339"/>
        <w:gridCol w:w="2552"/>
        <w:gridCol w:w="2126"/>
        <w:gridCol w:w="12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873" w:type="dxa"/>
            <w:vAlign w:val="center"/>
          </w:tcPr>
          <w:p>
            <w:pPr>
              <w:pStyle w:val="124"/>
              <w:widowControl/>
              <w:spacing w:line="360" w:lineRule="auto"/>
              <w:rPr>
                <w:rFonts w:ascii="宋体" w:hAnsi="宋体" w:cs="宋体"/>
                <w:bCs/>
                <w:kern w:val="0"/>
                <w:sz w:val="24"/>
                <w:szCs w:val="24"/>
                <w:highlight w:val="none"/>
              </w:rPr>
            </w:pPr>
            <w:r>
              <w:rPr>
                <w:rFonts w:hint="eastAsia" w:ascii="宋体" w:hAnsi="宋体" w:cs="宋体"/>
                <w:bCs/>
                <w:kern w:val="0"/>
                <w:sz w:val="24"/>
                <w:szCs w:val="24"/>
                <w:highlight w:val="none"/>
              </w:rPr>
              <w:t>序号</w:t>
            </w:r>
          </w:p>
        </w:tc>
        <w:tc>
          <w:tcPr>
            <w:tcW w:w="2339" w:type="dxa"/>
            <w:vAlign w:val="center"/>
          </w:tcPr>
          <w:p>
            <w:pPr>
              <w:pStyle w:val="124"/>
              <w:widowControl/>
              <w:spacing w:line="360" w:lineRule="auto"/>
              <w:rPr>
                <w:rFonts w:ascii="宋体" w:hAnsi="宋体" w:cs="宋体"/>
                <w:bCs/>
                <w:kern w:val="0"/>
                <w:sz w:val="24"/>
                <w:szCs w:val="24"/>
                <w:highlight w:val="none"/>
              </w:rPr>
            </w:pPr>
            <w:r>
              <w:rPr>
                <w:rFonts w:hint="eastAsia" w:ascii="宋体" w:hAnsi="宋体" w:cs="宋体"/>
                <w:bCs/>
                <w:kern w:val="0"/>
                <w:sz w:val="24"/>
                <w:szCs w:val="24"/>
                <w:highlight w:val="none"/>
              </w:rPr>
              <w:t>项目名称</w:t>
            </w:r>
          </w:p>
        </w:tc>
        <w:tc>
          <w:tcPr>
            <w:tcW w:w="2552" w:type="dxa"/>
            <w:vAlign w:val="center"/>
          </w:tcPr>
          <w:p>
            <w:pPr>
              <w:pStyle w:val="124"/>
              <w:widowControl/>
              <w:spacing w:line="360" w:lineRule="auto"/>
              <w:rPr>
                <w:rFonts w:ascii="宋体" w:hAnsi="宋体" w:cs="宋体"/>
                <w:bCs/>
                <w:kern w:val="0"/>
                <w:sz w:val="24"/>
                <w:szCs w:val="24"/>
                <w:highlight w:val="none"/>
              </w:rPr>
            </w:pPr>
            <w:r>
              <w:rPr>
                <w:rFonts w:hint="eastAsia" w:ascii="宋体" w:hAnsi="宋体" w:cs="宋体"/>
                <w:bCs/>
                <w:kern w:val="0"/>
                <w:sz w:val="24"/>
                <w:szCs w:val="24"/>
                <w:highlight w:val="none"/>
              </w:rPr>
              <w:t>采购单位（甲方）名称、联系人、联系方式</w:t>
            </w:r>
          </w:p>
        </w:tc>
        <w:tc>
          <w:tcPr>
            <w:tcW w:w="2126" w:type="dxa"/>
            <w:vAlign w:val="center"/>
          </w:tcPr>
          <w:p>
            <w:pPr>
              <w:pStyle w:val="124"/>
              <w:widowControl/>
              <w:spacing w:line="360" w:lineRule="auto"/>
              <w:rPr>
                <w:rFonts w:ascii="宋体" w:hAnsi="宋体" w:cs="宋体"/>
                <w:bCs/>
                <w:kern w:val="0"/>
                <w:sz w:val="24"/>
                <w:szCs w:val="24"/>
                <w:highlight w:val="none"/>
              </w:rPr>
            </w:pPr>
            <w:r>
              <w:rPr>
                <w:rFonts w:hint="eastAsia" w:ascii="宋体" w:hAnsi="宋体" w:cs="宋体"/>
                <w:bCs/>
                <w:kern w:val="0"/>
                <w:sz w:val="24"/>
                <w:szCs w:val="24"/>
                <w:highlight w:val="none"/>
              </w:rPr>
              <w:t>合同金额（元）</w:t>
            </w:r>
          </w:p>
        </w:tc>
        <w:tc>
          <w:tcPr>
            <w:tcW w:w="1255" w:type="dxa"/>
            <w:vAlign w:val="center"/>
          </w:tcPr>
          <w:p>
            <w:pPr>
              <w:pStyle w:val="124"/>
              <w:widowControl/>
              <w:spacing w:line="360" w:lineRule="auto"/>
              <w:rPr>
                <w:rFonts w:ascii="宋体" w:hAnsi="宋体" w:cs="宋体"/>
                <w:bCs/>
                <w:kern w:val="0"/>
                <w:sz w:val="24"/>
                <w:szCs w:val="24"/>
                <w:highlight w:val="none"/>
              </w:rPr>
            </w:pPr>
            <w:r>
              <w:rPr>
                <w:rFonts w:hint="eastAsia" w:ascii="宋体" w:hAnsi="宋体" w:cs="宋体"/>
                <w:bCs/>
                <w:kern w:val="0"/>
                <w:sz w:val="24"/>
                <w:szCs w:val="24"/>
                <w:highlight w:val="none"/>
              </w:rPr>
              <w:t>签订时间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873" w:type="dxa"/>
            <w:vAlign w:val="center"/>
          </w:tcPr>
          <w:p>
            <w:pPr>
              <w:pStyle w:val="124"/>
              <w:widowControl/>
              <w:spacing w:line="360" w:lineRule="auto"/>
              <w:jc w:val="center"/>
              <w:rPr>
                <w:rFonts w:ascii="宋体" w:hAnsi="宋体" w:cs="宋体"/>
                <w:bCs/>
                <w:w w:val="90"/>
                <w:kern w:val="0"/>
                <w:sz w:val="24"/>
                <w:szCs w:val="24"/>
                <w:highlight w:val="none"/>
              </w:rPr>
            </w:pPr>
          </w:p>
        </w:tc>
        <w:tc>
          <w:tcPr>
            <w:tcW w:w="2339" w:type="dxa"/>
            <w:vAlign w:val="center"/>
          </w:tcPr>
          <w:p>
            <w:pPr>
              <w:pStyle w:val="124"/>
              <w:widowControl/>
              <w:spacing w:line="360" w:lineRule="auto"/>
              <w:jc w:val="left"/>
              <w:rPr>
                <w:rFonts w:ascii="宋体" w:hAnsi="宋体" w:cs="宋体"/>
                <w:bCs/>
                <w:w w:val="90"/>
                <w:kern w:val="0"/>
                <w:sz w:val="24"/>
                <w:szCs w:val="24"/>
                <w:highlight w:val="none"/>
              </w:rPr>
            </w:pPr>
          </w:p>
        </w:tc>
        <w:tc>
          <w:tcPr>
            <w:tcW w:w="2552" w:type="dxa"/>
            <w:vAlign w:val="center"/>
          </w:tcPr>
          <w:p>
            <w:pPr>
              <w:pStyle w:val="124"/>
              <w:widowControl/>
              <w:spacing w:line="360" w:lineRule="auto"/>
              <w:jc w:val="left"/>
              <w:rPr>
                <w:rFonts w:ascii="宋体" w:hAnsi="宋体" w:cs="宋体"/>
                <w:bCs/>
                <w:w w:val="90"/>
                <w:kern w:val="0"/>
                <w:sz w:val="24"/>
                <w:szCs w:val="24"/>
                <w:highlight w:val="none"/>
              </w:rPr>
            </w:pPr>
          </w:p>
        </w:tc>
        <w:tc>
          <w:tcPr>
            <w:tcW w:w="2126" w:type="dxa"/>
            <w:vAlign w:val="center"/>
          </w:tcPr>
          <w:p>
            <w:pPr>
              <w:pStyle w:val="124"/>
              <w:widowControl/>
              <w:spacing w:line="360" w:lineRule="auto"/>
              <w:jc w:val="left"/>
              <w:rPr>
                <w:rFonts w:ascii="宋体" w:hAnsi="宋体" w:cs="宋体"/>
                <w:bCs/>
                <w:kern w:val="0"/>
                <w:sz w:val="24"/>
                <w:szCs w:val="24"/>
                <w:highlight w:val="none"/>
              </w:rPr>
            </w:pPr>
          </w:p>
        </w:tc>
        <w:tc>
          <w:tcPr>
            <w:tcW w:w="1255" w:type="dxa"/>
            <w:vAlign w:val="center"/>
          </w:tcPr>
          <w:p>
            <w:pPr>
              <w:pStyle w:val="124"/>
              <w:widowControl/>
              <w:spacing w:line="360" w:lineRule="auto"/>
              <w:jc w:val="left"/>
              <w:rPr>
                <w:rFonts w:ascii="宋体" w:hAnsi="宋体" w:cs="宋体"/>
                <w:bCs/>
                <w:w w:val="90"/>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873" w:type="dxa"/>
            <w:vAlign w:val="center"/>
          </w:tcPr>
          <w:p>
            <w:pPr>
              <w:pStyle w:val="124"/>
              <w:widowControl/>
              <w:spacing w:line="360" w:lineRule="auto"/>
              <w:jc w:val="center"/>
              <w:rPr>
                <w:rFonts w:ascii="宋体" w:hAnsi="宋体" w:cs="宋体"/>
                <w:bCs/>
                <w:w w:val="90"/>
                <w:kern w:val="0"/>
                <w:sz w:val="24"/>
                <w:szCs w:val="24"/>
                <w:highlight w:val="none"/>
              </w:rPr>
            </w:pPr>
          </w:p>
        </w:tc>
        <w:tc>
          <w:tcPr>
            <w:tcW w:w="2339" w:type="dxa"/>
            <w:vAlign w:val="center"/>
          </w:tcPr>
          <w:p>
            <w:pPr>
              <w:pStyle w:val="124"/>
              <w:widowControl/>
              <w:spacing w:line="360" w:lineRule="auto"/>
              <w:jc w:val="left"/>
              <w:rPr>
                <w:rFonts w:ascii="宋体" w:hAnsi="宋体" w:cs="宋体"/>
                <w:bCs/>
                <w:w w:val="90"/>
                <w:kern w:val="0"/>
                <w:sz w:val="24"/>
                <w:szCs w:val="24"/>
                <w:highlight w:val="none"/>
              </w:rPr>
            </w:pPr>
          </w:p>
        </w:tc>
        <w:tc>
          <w:tcPr>
            <w:tcW w:w="2552" w:type="dxa"/>
            <w:vAlign w:val="center"/>
          </w:tcPr>
          <w:p>
            <w:pPr>
              <w:pStyle w:val="124"/>
              <w:widowControl/>
              <w:spacing w:line="360" w:lineRule="auto"/>
              <w:jc w:val="left"/>
              <w:rPr>
                <w:rFonts w:ascii="宋体" w:hAnsi="宋体" w:cs="宋体"/>
                <w:bCs/>
                <w:w w:val="90"/>
                <w:kern w:val="0"/>
                <w:sz w:val="24"/>
                <w:szCs w:val="24"/>
                <w:highlight w:val="none"/>
              </w:rPr>
            </w:pPr>
          </w:p>
        </w:tc>
        <w:tc>
          <w:tcPr>
            <w:tcW w:w="2126" w:type="dxa"/>
            <w:vAlign w:val="center"/>
          </w:tcPr>
          <w:p>
            <w:pPr>
              <w:pStyle w:val="124"/>
              <w:widowControl/>
              <w:spacing w:line="360" w:lineRule="auto"/>
              <w:jc w:val="left"/>
              <w:rPr>
                <w:rFonts w:ascii="宋体" w:hAnsi="宋体" w:cs="宋体"/>
                <w:bCs/>
                <w:w w:val="90"/>
                <w:kern w:val="0"/>
                <w:sz w:val="24"/>
                <w:szCs w:val="24"/>
                <w:highlight w:val="none"/>
              </w:rPr>
            </w:pPr>
          </w:p>
        </w:tc>
        <w:tc>
          <w:tcPr>
            <w:tcW w:w="1255" w:type="dxa"/>
            <w:vAlign w:val="center"/>
          </w:tcPr>
          <w:p>
            <w:pPr>
              <w:pStyle w:val="124"/>
              <w:widowControl/>
              <w:spacing w:line="360" w:lineRule="auto"/>
              <w:jc w:val="left"/>
              <w:rPr>
                <w:rFonts w:ascii="宋体" w:hAnsi="宋体" w:cs="宋体"/>
                <w:bCs/>
                <w:w w:val="90"/>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873" w:type="dxa"/>
            <w:vAlign w:val="center"/>
          </w:tcPr>
          <w:p>
            <w:pPr>
              <w:pStyle w:val="124"/>
              <w:widowControl/>
              <w:spacing w:line="360" w:lineRule="auto"/>
              <w:jc w:val="center"/>
              <w:rPr>
                <w:rFonts w:ascii="宋体" w:hAnsi="宋体" w:cs="宋体"/>
                <w:bCs/>
                <w:w w:val="90"/>
                <w:kern w:val="0"/>
                <w:sz w:val="24"/>
                <w:szCs w:val="24"/>
                <w:highlight w:val="none"/>
              </w:rPr>
            </w:pPr>
          </w:p>
        </w:tc>
        <w:tc>
          <w:tcPr>
            <w:tcW w:w="2339" w:type="dxa"/>
            <w:vAlign w:val="center"/>
          </w:tcPr>
          <w:p>
            <w:pPr>
              <w:pStyle w:val="124"/>
              <w:widowControl/>
              <w:spacing w:line="360" w:lineRule="auto"/>
              <w:jc w:val="left"/>
              <w:rPr>
                <w:rFonts w:ascii="宋体" w:hAnsi="宋体" w:cs="宋体"/>
                <w:bCs/>
                <w:w w:val="90"/>
                <w:kern w:val="0"/>
                <w:sz w:val="24"/>
                <w:szCs w:val="24"/>
                <w:highlight w:val="none"/>
              </w:rPr>
            </w:pPr>
          </w:p>
        </w:tc>
        <w:tc>
          <w:tcPr>
            <w:tcW w:w="2552" w:type="dxa"/>
            <w:vAlign w:val="center"/>
          </w:tcPr>
          <w:p>
            <w:pPr>
              <w:pStyle w:val="124"/>
              <w:widowControl/>
              <w:spacing w:line="360" w:lineRule="auto"/>
              <w:jc w:val="left"/>
              <w:rPr>
                <w:rFonts w:ascii="宋体" w:hAnsi="宋体" w:cs="宋体"/>
                <w:bCs/>
                <w:w w:val="90"/>
                <w:kern w:val="0"/>
                <w:sz w:val="24"/>
                <w:szCs w:val="24"/>
                <w:highlight w:val="none"/>
              </w:rPr>
            </w:pPr>
          </w:p>
        </w:tc>
        <w:tc>
          <w:tcPr>
            <w:tcW w:w="2126" w:type="dxa"/>
            <w:vAlign w:val="center"/>
          </w:tcPr>
          <w:p>
            <w:pPr>
              <w:pStyle w:val="124"/>
              <w:widowControl/>
              <w:spacing w:line="360" w:lineRule="auto"/>
              <w:jc w:val="left"/>
              <w:rPr>
                <w:rFonts w:ascii="宋体" w:hAnsi="宋体" w:cs="宋体"/>
                <w:bCs/>
                <w:w w:val="90"/>
                <w:kern w:val="0"/>
                <w:sz w:val="24"/>
                <w:szCs w:val="24"/>
                <w:highlight w:val="none"/>
              </w:rPr>
            </w:pPr>
          </w:p>
        </w:tc>
        <w:tc>
          <w:tcPr>
            <w:tcW w:w="1255" w:type="dxa"/>
            <w:vAlign w:val="center"/>
          </w:tcPr>
          <w:p>
            <w:pPr>
              <w:pStyle w:val="124"/>
              <w:widowControl/>
              <w:spacing w:line="360" w:lineRule="auto"/>
              <w:jc w:val="left"/>
              <w:rPr>
                <w:rFonts w:ascii="宋体" w:hAnsi="宋体" w:cs="宋体"/>
                <w:bCs/>
                <w:w w:val="90"/>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873" w:type="dxa"/>
            <w:vAlign w:val="center"/>
          </w:tcPr>
          <w:p>
            <w:pPr>
              <w:pStyle w:val="124"/>
              <w:widowControl/>
              <w:spacing w:line="360" w:lineRule="auto"/>
              <w:jc w:val="center"/>
              <w:rPr>
                <w:rFonts w:ascii="宋体" w:hAnsi="宋体" w:cs="宋体"/>
                <w:bCs/>
                <w:w w:val="90"/>
                <w:kern w:val="0"/>
                <w:sz w:val="24"/>
                <w:szCs w:val="24"/>
                <w:highlight w:val="none"/>
              </w:rPr>
            </w:pPr>
          </w:p>
        </w:tc>
        <w:tc>
          <w:tcPr>
            <w:tcW w:w="2339" w:type="dxa"/>
            <w:vAlign w:val="center"/>
          </w:tcPr>
          <w:p>
            <w:pPr>
              <w:pStyle w:val="124"/>
              <w:widowControl/>
              <w:spacing w:line="360" w:lineRule="auto"/>
              <w:jc w:val="left"/>
              <w:rPr>
                <w:rFonts w:ascii="宋体" w:hAnsi="宋体" w:cs="宋体"/>
                <w:bCs/>
                <w:w w:val="90"/>
                <w:kern w:val="0"/>
                <w:sz w:val="24"/>
                <w:szCs w:val="24"/>
                <w:highlight w:val="none"/>
              </w:rPr>
            </w:pPr>
          </w:p>
        </w:tc>
        <w:tc>
          <w:tcPr>
            <w:tcW w:w="2552" w:type="dxa"/>
            <w:vAlign w:val="center"/>
          </w:tcPr>
          <w:p>
            <w:pPr>
              <w:pStyle w:val="124"/>
              <w:widowControl/>
              <w:spacing w:line="360" w:lineRule="auto"/>
              <w:jc w:val="left"/>
              <w:rPr>
                <w:rFonts w:ascii="宋体" w:hAnsi="宋体" w:cs="宋体"/>
                <w:bCs/>
                <w:w w:val="90"/>
                <w:kern w:val="0"/>
                <w:sz w:val="24"/>
                <w:szCs w:val="24"/>
                <w:highlight w:val="none"/>
              </w:rPr>
            </w:pPr>
          </w:p>
        </w:tc>
        <w:tc>
          <w:tcPr>
            <w:tcW w:w="2126" w:type="dxa"/>
            <w:vAlign w:val="center"/>
          </w:tcPr>
          <w:p>
            <w:pPr>
              <w:pStyle w:val="124"/>
              <w:widowControl/>
              <w:spacing w:line="360" w:lineRule="auto"/>
              <w:jc w:val="left"/>
              <w:rPr>
                <w:rFonts w:ascii="宋体" w:hAnsi="宋体" w:cs="宋体"/>
                <w:bCs/>
                <w:w w:val="90"/>
                <w:kern w:val="0"/>
                <w:sz w:val="24"/>
                <w:szCs w:val="24"/>
                <w:highlight w:val="none"/>
              </w:rPr>
            </w:pPr>
          </w:p>
        </w:tc>
        <w:tc>
          <w:tcPr>
            <w:tcW w:w="1255" w:type="dxa"/>
            <w:vAlign w:val="center"/>
          </w:tcPr>
          <w:p>
            <w:pPr>
              <w:pStyle w:val="124"/>
              <w:widowControl/>
              <w:spacing w:line="360" w:lineRule="auto"/>
              <w:jc w:val="left"/>
              <w:rPr>
                <w:rFonts w:ascii="宋体" w:hAnsi="宋体" w:cs="宋体"/>
                <w:bCs/>
                <w:w w:val="90"/>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873" w:type="dxa"/>
            <w:vAlign w:val="center"/>
          </w:tcPr>
          <w:p>
            <w:pPr>
              <w:pStyle w:val="124"/>
              <w:widowControl/>
              <w:spacing w:line="360" w:lineRule="auto"/>
              <w:jc w:val="center"/>
              <w:rPr>
                <w:rFonts w:ascii="宋体" w:hAnsi="宋体" w:cs="宋体"/>
                <w:bCs/>
                <w:w w:val="90"/>
                <w:kern w:val="0"/>
                <w:sz w:val="24"/>
                <w:szCs w:val="24"/>
                <w:highlight w:val="none"/>
              </w:rPr>
            </w:pPr>
          </w:p>
        </w:tc>
        <w:tc>
          <w:tcPr>
            <w:tcW w:w="2339" w:type="dxa"/>
            <w:vAlign w:val="center"/>
          </w:tcPr>
          <w:p>
            <w:pPr>
              <w:pStyle w:val="124"/>
              <w:widowControl/>
              <w:spacing w:line="360" w:lineRule="auto"/>
              <w:jc w:val="left"/>
              <w:rPr>
                <w:rFonts w:ascii="宋体" w:hAnsi="宋体" w:cs="宋体"/>
                <w:bCs/>
                <w:w w:val="90"/>
                <w:kern w:val="0"/>
                <w:sz w:val="24"/>
                <w:szCs w:val="24"/>
                <w:highlight w:val="none"/>
              </w:rPr>
            </w:pPr>
          </w:p>
        </w:tc>
        <w:tc>
          <w:tcPr>
            <w:tcW w:w="2552" w:type="dxa"/>
            <w:vAlign w:val="center"/>
          </w:tcPr>
          <w:p>
            <w:pPr>
              <w:pStyle w:val="124"/>
              <w:widowControl/>
              <w:spacing w:line="360" w:lineRule="auto"/>
              <w:jc w:val="left"/>
              <w:rPr>
                <w:rFonts w:ascii="宋体" w:hAnsi="宋体" w:cs="宋体"/>
                <w:bCs/>
                <w:w w:val="90"/>
                <w:kern w:val="0"/>
                <w:sz w:val="24"/>
                <w:szCs w:val="24"/>
                <w:highlight w:val="none"/>
              </w:rPr>
            </w:pPr>
          </w:p>
        </w:tc>
        <w:tc>
          <w:tcPr>
            <w:tcW w:w="2126" w:type="dxa"/>
            <w:vAlign w:val="center"/>
          </w:tcPr>
          <w:p>
            <w:pPr>
              <w:pStyle w:val="124"/>
              <w:widowControl/>
              <w:spacing w:line="360" w:lineRule="auto"/>
              <w:jc w:val="left"/>
              <w:rPr>
                <w:rFonts w:ascii="宋体" w:hAnsi="宋体" w:cs="宋体"/>
                <w:bCs/>
                <w:w w:val="90"/>
                <w:kern w:val="0"/>
                <w:sz w:val="24"/>
                <w:szCs w:val="24"/>
                <w:highlight w:val="none"/>
              </w:rPr>
            </w:pPr>
          </w:p>
        </w:tc>
        <w:tc>
          <w:tcPr>
            <w:tcW w:w="1255" w:type="dxa"/>
            <w:vAlign w:val="center"/>
          </w:tcPr>
          <w:p>
            <w:pPr>
              <w:pStyle w:val="124"/>
              <w:widowControl/>
              <w:spacing w:line="360" w:lineRule="auto"/>
              <w:jc w:val="left"/>
              <w:rPr>
                <w:rFonts w:ascii="宋体" w:hAnsi="宋体" w:cs="宋体"/>
                <w:bCs/>
                <w:w w:val="90"/>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873" w:type="dxa"/>
            <w:vAlign w:val="center"/>
          </w:tcPr>
          <w:p>
            <w:pPr>
              <w:pStyle w:val="124"/>
              <w:widowControl/>
              <w:spacing w:line="360" w:lineRule="auto"/>
              <w:jc w:val="center"/>
              <w:rPr>
                <w:rFonts w:ascii="宋体" w:hAnsi="宋体" w:cs="宋体"/>
                <w:bCs/>
                <w:w w:val="90"/>
                <w:kern w:val="0"/>
                <w:sz w:val="24"/>
                <w:szCs w:val="24"/>
                <w:highlight w:val="none"/>
              </w:rPr>
            </w:pPr>
          </w:p>
        </w:tc>
        <w:tc>
          <w:tcPr>
            <w:tcW w:w="2339" w:type="dxa"/>
            <w:vAlign w:val="center"/>
          </w:tcPr>
          <w:p>
            <w:pPr>
              <w:pStyle w:val="124"/>
              <w:widowControl/>
              <w:spacing w:line="360" w:lineRule="auto"/>
              <w:jc w:val="left"/>
              <w:rPr>
                <w:rFonts w:ascii="宋体" w:hAnsi="宋体" w:cs="宋体"/>
                <w:bCs/>
                <w:w w:val="90"/>
                <w:kern w:val="0"/>
                <w:sz w:val="24"/>
                <w:szCs w:val="24"/>
                <w:highlight w:val="none"/>
              </w:rPr>
            </w:pPr>
          </w:p>
        </w:tc>
        <w:tc>
          <w:tcPr>
            <w:tcW w:w="2552" w:type="dxa"/>
            <w:vAlign w:val="center"/>
          </w:tcPr>
          <w:p>
            <w:pPr>
              <w:pStyle w:val="124"/>
              <w:widowControl/>
              <w:spacing w:line="360" w:lineRule="auto"/>
              <w:jc w:val="left"/>
              <w:rPr>
                <w:rFonts w:ascii="宋体" w:hAnsi="宋体" w:cs="宋体"/>
                <w:bCs/>
                <w:w w:val="90"/>
                <w:kern w:val="0"/>
                <w:sz w:val="24"/>
                <w:szCs w:val="24"/>
                <w:highlight w:val="none"/>
              </w:rPr>
            </w:pPr>
          </w:p>
        </w:tc>
        <w:tc>
          <w:tcPr>
            <w:tcW w:w="2126" w:type="dxa"/>
            <w:vAlign w:val="center"/>
          </w:tcPr>
          <w:p>
            <w:pPr>
              <w:pStyle w:val="124"/>
              <w:widowControl/>
              <w:spacing w:line="360" w:lineRule="auto"/>
              <w:jc w:val="left"/>
              <w:rPr>
                <w:rFonts w:ascii="宋体" w:hAnsi="宋体" w:cs="宋体"/>
                <w:bCs/>
                <w:w w:val="90"/>
                <w:kern w:val="0"/>
                <w:sz w:val="24"/>
                <w:szCs w:val="24"/>
                <w:highlight w:val="none"/>
              </w:rPr>
            </w:pPr>
          </w:p>
        </w:tc>
        <w:tc>
          <w:tcPr>
            <w:tcW w:w="1255" w:type="dxa"/>
            <w:vAlign w:val="center"/>
          </w:tcPr>
          <w:p>
            <w:pPr>
              <w:pStyle w:val="124"/>
              <w:widowControl/>
              <w:spacing w:line="360" w:lineRule="auto"/>
              <w:jc w:val="left"/>
              <w:rPr>
                <w:rFonts w:ascii="宋体" w:hAnsi="宋体" w:cs="宋体"/>
                <w:bCs/>
                <w:w w:val="90"/>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873" w:type="dxa"/>
            <w:vAlign w:val="center"/>
          </w:tcPr>
          <w:p>
            <w:pPr>
              <w:pStyle w:val="124"/>
              <w:widowControl/>
              <w:spacing w:line="360" w:lineRule="auto"/>
              <w:jc w:val="center"/>
              <w:rPr>
                <w:rFonts w:ascii="宋体" w:hAnsi="宋体" w:cs="宋体"/>
                <w:bCs/>
                <w:w w:val="90"/>
                <w:kern w:val="0"/>
                <w:sz w:val="24"/>
                <w:szCs w:val="24"/>
                <w:highlight w:val="none"/>
              </w:rPr>
            </w:pPr>
          </w:p>
        </w:tc>
        <w:tc>
          <w:tcPr>
            <w:tcW w:w="2339" w:type="dxa"/>
            <w:vAlign w:val="center"/>
          </w:tcPr>
          <w:p>
            <w:pPr>
              <w:pStyle w:val="124"/>
              <w:widowControl/>
              <w:spacing w:line="360" w:lineRule="auto"/>
              <w:jc w:val="left"/>
              <w:rPr>
                <w:rFonts w:ascii="宋体" w:hAnsi="宋体" w:cs="宋体"/>
                <w:bCs/>
                <w:w w:val="90"/>
                <w:kern w:val="0"/>
                <w:sz w:val="24"/>
                <w:szCs w:val="24"/>
                <w:highlight w:val="none"/>
              </w:rPr>
            </w:pPr>
          </w:p>
        </w:tc>
        <w:tc>
          <w:tcPr>
            <w:tcW w:w="2552" w:type="dxa"/>
            <w:vAlign w:val="center"/>
          </w:tcPr>
          <w:p>
            <w:pPr>
              <w:pStyle w:val="124"/>
              <w:widowControl/>
              <w:spacing w:line="360" w:lineRule="auto"/>
              <w:jc w:val="left"/>
              <w:rPr>
                <w:rFonts w:ascii="宋体" w:hAnsi="宋体" w:cs="宋体"/>
                <w:bCs/>
                <w:w w:val="90"/>
                <w:kern w:val="0"/>
                <w:sz w:val="24"/>
                <w:szCs w:val="24"/>
                <w:highlight w:val="none"/>
              </w:rPr>
            </w:pPr>
          </w:p>
        </w:tc>
        <w:tc>
          <w:tcPr>
            <w:tcW w:w="2126" w:type="dxa"/>
            <w:vAlign w:val="center"/>
          </w:tcPr>
          <w:p>
            <w:pPr>
              <w:pStyle w:val="124"/>
              <w:widowControl/>
              <w:spacing w:line="360" w:lineRule="auto"/>
              <w:jc w:val="left"/>
              <w:rPr>
                <w:rFonts w:ascii="宋体" w:hAnsi="宋体" w:cs="宋体"/>
                <w:bCs/>
                <w:w w:val="90"/>
                <w:kern w:val="0"/>
                <w:sz w:val="24"/>
                <w:szCs w:val="24"/>
                <w:highlight w:val="none"/>
              </w:rPr>
            </w:pPr>
          </w:p>
        </w:tc>
        <w:tc>
          <w:tcPr>
            <w:tcW w:w="1255" w:type="dxa"/>
            <w:vAlign w:val="center"/>
          </w:tcPr>
          <w:p>
            <w:pPr>
              <w:pStyle w:val="124"/>
              <w:widowControl/>
              <w:spacing w:line="360" w:lineRule="auto"/>
              <w:jc w:val="left"/>
              <w:rPr>
                <w:rFonts w:ascii="宋体" w:hAnsi="宋体" w:cs="宋体"/>
                <w:bCs/>
                <w:w w:val="90"/>
                <w:kern w:val="0"/>
                <w:sz w:val="24"/>
                <w:szCs w:val="24"/>
                <w:highlight w:val="none"/>
              </w:rPr>
            </w:pPr>
          </w:p>
        </w:tc>
      </w:tr>
    </w:tbl>
    <w:p>
      <w:pPr>
        <w:pStyle w:val="124"/>
        <w:widowControl/>
        <w:spacing w:line="360" w:lineRule="auto"/>
        <w:rPr>
          <w:rFonts w:ascii="宋体" w:hAnsi="宋体" w:cs="宋体"/>
          <w:kern w:val="0"/>
          <w:sz w:val="24"/>
          <w:szCs w:val="24"/>
          <w:highlight w:val="none"/>
        </w:rPr>
      </w:pPr>
      <w:r>
        <w:rPr>
          <w:rFonts w:hint="eastAsia" w:ascii="宋体" w:hAnsi="宋体" w:cs="宋体"/>
          <w:kern w:val="0"/>
          <w:sz w:val="24"/>
          <w:szCs w:val="24"/>
          <w:highlight w:val="none"/>
        </w:rPr>
        <w:t>投标人（企业电子章）：</w:t>
      </w:r>
    </w:p>
    <w:p>
      <w:pPr>
        <w:pStyle w:val="124"/>
        <w:widowControl/>
        <w:spacing w:line="360" w:lineRule="auto"/>
        <w:rPr>
          <w:rFonts w:ascii="宋体" w:hAnsi="宋体" w:cs="宋体"/>
          <w:kern w:val="0"/>
          <w:sz w:val="24"/>
          <w:szCs w:val="24"/>
          <w:highlight w:val="none"/>
        </w:rPr>
      </w:pPr>
    </w:p>
    <w:p>
      <w:pPr>
        <w:pStyle w:val="124"/>
        <w:widowControl/>
        <w:spacing w:line="360" w:lineRule="auto"/>
        <w:rPr>
          <w:rFonts w:ascii="宋体" w:hAnsi="宋体" w:cs="宋体"/>
          <w:kern w:val="0"/>
          <w:sz w:val="24"/>
          <w:szCs w:val="24"/>
          <w:highlight w:val="none"/>
        </w:rPr>
      </w:pPr>
    </w:p>
    <w:p>
      <w:pPr>
        <w:pStyle w:val="124"/>
        <w:widowControl/>
        <w:spacing w:line="360" w:lineRule="auto"/>
        <w:rPr>
          <w:rFonts w:ascii="宋体" w:hAnsi="宋体" w:cs="宋体"/>
          <w:bCs/>
          <w:spacing w:val="10"/>
          <w:kern w:val="0"/>
          <w:sz w:val="24"/>
          <w:szCs w:val="24"/>
          <w:highlight w:val="none"/>
        </w:rPr>
      </w:pPr>
      <w:r>
        <w:rPr>
          <w:rFonts w:hint="eastAsia" w:ascii="宋体" w:hAnsi="宋体" w:cs="宋体"/>
          <w:bCs/>
          <w:spacing w:val="10"/>
          <w:kern w:val="0"/>
          <w:sz w:val="24"/>
          <w:szCs w:val="24"/>
          <w:highlight w:val="none"/>
        </w:rPr>
        <w:t>注：1.投标人可根据需要自行增减表格行数。</w:t>
      </w:r>
    </w:p>
    <w:p>
      <w:pPr>
        <w:pStyle w:val="124"/>
        <w:widowControl/>
        <w:spacing w:line="360" w:lineRule="auto"/>
        <w:ind w:firstLine="420"/>
        <w:rPr>
          <w:rFonts w:ascii="宋体" w:hAnsi="宋体" w:cs="宋体"/>
          <w:bCs/>
          <w:spacing w:val="10"/>
          <w:kern w:val="0"/>
          <w:sz w:val="24"/>
          <w:szCs w:val="24"/>
          <w:highlight w:val="none"/>
        </w:rPr>
      </w:pPr>
      <w:r>
        <w:rPr>
          <w:rFonts w:hint="eastAsia" w:ascii="宋体" w:hAnsi="宋体" w:cs="宋体"/>
          <w:bCs/>
          <w:spacing w:val="10"/>
          <w:kern w:val="0"/>
          <w:sz w:val="24"/>
          <w:szCs w:val="24"/>
          <w:highlight w:val="none"/>
        </w:rPr>
        <w:t>2.</w:t>
      </w:r>
      <w:r>
        <w:rPr>
          <w:rFonts w:hint="eastAsia" w:ascii="宋体" w:hAnsi="宋体" w:cs="宋体"/>
          <w:kern w:val="0"/>
          <w:sz w:val="24"/>
          <w:szCs w:val="24"/>
          <w:highlight w:val="none"/>
        </w:rPr>
        <w:t>投标人对所报相关内容的真实性负责，采购代理机构有权将相关内容进行公示，因弄虚作假导致的后果由投标人自行承担。</w:t>
      </w:r>
    </w:p>
    <w:p>
      <w:pPr>
        <w:pStyle w:val="125"/>
        <w:spacing w:line="360" w:lineRule="auto"/>
        <w:rPr>
          <w:rFonts w:ascii="宋体" w:hAnsi="宋体" w:eastAsia="宋体" w:cs="宋体"/>
          <w:sz w:val="28"/>
          <w:szCs w:val="28"/>
          <w:highlight w:val="none"/>
        </w:rPr>
      </w:pPr>
      <w:bookmarkStart w:id="204" w:name="_GoBack"/>
      <w:bookmarkEnd w:id="204"/>
      <w:r>
        <w:rPr>
          <w:rFonts w:hint="eastAsia" w:ascii="宋体" w:hAnsi="宋体" w:eastAsia="宋体" w:cs="宋体"/>
          <w:sz w:val="24"/>
          <w:highlight w:val="none"/>
        </w:rPr>
        <w:br w:type="page"/>
      </w:r>
      <w:bookmarkStart w:id="203" w:name="_Toc256000077"/>
      <w:r>
        <w:rPr>
          <w:rFonts w:hint="eastAsia" w:ascii="宋体" w:hAnsi="宋体" w:eastAsia="宋体" w:cs="宋体"/>
          <w:sz w:val="24"/>
          <w:highlight w:val="none"/>
        </w:rPr>
        <w:t>二十、参与评审打分的合同业绩扫描件</w:t>
      </w:r>
      <w:bookmarkEnd w:id="203"/>
    </w:p>
    <w:bookmarkEnd w:id="179"/>
    <w:p>
      <w:pPr>
        <w:pStyle w:val="125"/>
        <w:spacing w:line="360" w:lineRule="auto"/>
        <w:jc w:val="center"/>
        <w:rPr>
          <w:rFonts w:ascii="宋体" w:hAnsi="宋体" w:eastAsia="宋体" w:cs="宋体"/>
          <w:sz w:val="24"/>
          <w:highlight w:val="none"/>
        </w:rPr>
      </w:pPr>
      <w:r>
        <w:rPr>
          <w:rFonts w:hint="eastAsia" w:ascii="宋体" w:hAnsi="宋体" w:eastAsia="宋体" w:cs="宋体"/>
          <w:sz w:val="24"/>
          <w:highlight w:val="none"/>
        </w:rPr>
        <w:t>参与评审打分的合同业绩扫描件</w:t>
      </w:r>
    </w:p>
    <w:p>
      <w:pPr>
        <w:spacing w:line="360" w:lineRule="auto"/>
        <w:rPr>
          <w:rFonts w:ascii="宋体" w:hAnsi="宋体" w:eastAsia="宋体" w:cs="宋体"/>
          <w:color w:val="000080"/>
          <w:highlight w:val="none"/>
        </w:rPr>
      </w:pPr>
    </w:p>
    <w:p>
      <w:pPr>
        <w:spacing w:line="360" w:lineRule="auto"/>
        <w:rPr>
          <w:rFonts w:ascii="宋体" w:hAnsi="宋体" w:eastAsia="宋体" w:cs="宋体"/>
          <w:highlight w:val="none"/>
        </w:rPr>
      </w:pPr>
    </w:p>
    <w:p>
      <w:pPr>
        <w:spacing w:line="360" w:lineRule="auto"/>
        <w:rPr>
          <w:rFonts w:ascii="宋体" w:hAnsi="宋体" w:eastAsia="宋体" w:cs="宋体"/>
          <w:highlight w:val="none"/>
        </w:rPr>
      </w:pPr>
    </w:p>
    <w:p>
      <w:pPr>
        <w:spacing w:line="360" w:lineRule="auto"/>
        <w:rPr>
          <w:rFonts w:ascii="宋体" w:hAnsi="宋体" w:eastAsia="宋体" w:cs="宋体"/>
          <w:highlight w:val="none"/>
        </w:rPr>
      </w:pPr>
    </w:p>
    <w:p>
      <w:pPr>
        <w:spacing w:line="360" w:lineRule="auto"/>
        <w:rPr>
          <w:rFonts w:ascii="宋体" w:hAnsi="宋体" w:eastAsia="宋体" w:cs="宋体"/>
          <w:highlight w:val="none"/>
        </w:rPr>
      </w:pPr>
    </w:p>
    <w:p>
      <w:pPr>
        <w:spacing w:line="360" w:lineRule="auto"/>
        <w:rPr>
          <w:rFonts w:ascii="宋体" w:hAnsi="宋体" w:eastAsia="宋体" w:cs="宋体"/>
          <w:highlight w:val="none"/>
        </w:rPr>
      </w:pPr>
    </w:p>
    <w:p>
      <w:pPr>
        <w:rPr>
          <w:highlight w:val="none"/>
        </w:rPr>
      </w:pPr>
    </w:p>
    <w:sectPr>
      <w:headerReference r:id="rId6" w:type="first"/>
      <w:footerReference r:id="rId9" w:type="first"/>
      <w:headerReference r:id="rId5" w:type="default"/>
      <w:footerReference r:id="rId7" w:type="default"/>
      <w:footerReference r:id="rId8" w:type="even"/>
      <w:pgSz w:w="11906" w:h="16838"/>
      <w:pgMar w:top="1418" w:right="1417" w:bottom="1418" w:left="1418" w:header="680" w:footer="680" w:gutter="0"/>
      <w:cols w:space="720" w:num="1"/>
      <w:docGrid w:type="linesAndChars" w:linePitch="466" w:charSpace="-639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Calibri Light">
    <w:altName w:val="Segoe Print"/>
    <w:panose1 w:val="020F0302020204030204"/>
    <w:charset w:val="00"/>
    <w:family w:val="swiss"/>
    <w:pitch w:val="default"/>
    <w:sig w:usb0="00000000" w:usb1="00000000"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0000000000000000000"/>
    <w:charset w:val="00"/>
    <w:family w:val="roman"/>
    <w:pitch w:val="default"/>
    <w:sig w:usb0="00000000" w:usb1="00000000" w:usb2="00000000" w:usb3="00000000" w:csb0="00000000" w:csb1="00000000"/>
  </w:font>
  <w:font w:name="Cambria">
    <w:panose1 w:val="02040503050406030204"/>
    <w:charset w:val="00"/>
    <w:family w:val="roman"/>
    <w:pitch w:val="default"/>
    <w:sig w:usb0="A00002EF" w:usb1="4000004B" w:usb2="00000000" w:usb3="00000000" w:csb0="2000009F" w:csb1="00000000"/>
  </w:font>
  <w:font w:name="MingLiU">
    <w:altName w:val="Microsoft JhengHei UI"/>
    <w:panose1 w:val="02010609000101010101"/>
    <w:charset w:val="88"/>
    <w:family w:val="modern"/>
    <w:pitch w:val="default"/>
    <w:sig w:usb0="00000000" w:usb1="00000000" w:usb2="00000016" w:usb3="00000000" w:csb0="00100001" w:csb1="00000000"/>
  </w:font>
  <w:font w:name="仿宋">
    <w:panose1 w:val="02010609060101010101"/>
    <w:charset w:val="86"/>
    <w:family w:val="modern"/>
    <w:pitch w:val="default"/>
    <w:sig w:usb0="800002BF" w:usb1="38CF7CFA" w:usb2="00000016" w:usb3="00000000" w:csb0="00040001" w:csb1="00000000"/>
  </w:font>
  <w:font w:name="??">
    <w:altName w:val="Times New Roman"/>
    <w:panose1 w:val="00000000000000000000"/>
    <w:charset w:val="00"/>
    <w:family w:val="roman"/>
    <w:pitch w:val="default"/>
    <w:sig w:usb0="00000000" w:usb1="00000000" w:usb2="00000000" w:usb3="00000000" w:csb0="00040001" w:csb1="00000000"/>
  </w:font>
  <w:font w:name="楷体">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Segoe UI">
    <w:panose1 w:val="020B0502040204020203"/>
    <w:charset w:val="00"/>
    <w:family w:val="auto"/>
    <w:pitch w:val="default"/>
    <w:sig w:usb0="E4002EFF" w:usb1="C000E47F" w:usb2="00000009" w:usb3="00000000" w:csb0="200001FF" w:csb1="00000000"/>
  </w:font>
  <w:font w:name="Segoe Print">
    <w:panose1 w:val="02000600000000000000"/>
    <w:charset w:val="00"/>
    <w:family w:val="auto"/>
    <w:pitch w:val="default"/>
    <w:sig w:usb0="0000028F" w:usb1="00000000" w:usb2="00000000" w:usb3="00000000" w:csb0="2000009F" w:csb1="47010000"/>
  </w:font>
  <w:font w:name="Microsoft JhengHei UI">
    <w:panose1 w:val="020B0604030504040204"/>
    <w:charset w:val="88"/>
    <w:family w:val="auto"/>
    <w:pitch w:val="default"/>
    <w:sig w:usb0="000002A7" w:usb1="28CF44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LQ8m0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y0PJtKwIAAFUEAAAOAAAAAAAAAAEAIAAAAB8BAABkcnMvZTJvRG9jLnhtbFBLBQYAAAAABgAG&#10;AFkBAAC8BQ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fldChar w:fldCharType="begin"/>
                          </w:r>
                          <w:r>
                            <w:instrText xml:space="preserve"> PAGE  \* MERGEFORMAT </w:instrText>
                          </w:r>
                          <w:r>
                            <w:fldChar w:fldCharType="separate"/>
                          </w:r>
                          <w:r>
                            <w:t>111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q/o+UsAgAAV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yr+j5SwCAABVBAAADgAAAAAAAAABACAAAAAfAQAAZHJzL2Uyb0RvYy54bWxQSwUGAAAAAAYA&#10;BgBZAQAAvQU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111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margin" w:xAlign="center" w:y="1"/>
      <w:rPr>
        <w:rStyle w:val="22"/>
      </w:rPr>
    </w:pPr>
    <w:r>
      <w:fldChar w:fldCharType="begin"/>
    </w:r>
    <w:r>
      <w:rPr>
        <w:rStyle w:val="22"/>
      </w:rPr>
      <w:instrText xml:space="preserve">PAGE  </w:instrText>
    </w:r>
    <w:r>
      <w:fldChar w:fldCharType="end"/>
    </w:r>
  </w:p>
  <w:p>
    <w:pPr>
      <w:pStyle w:val="1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right="360"/>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215" w:lineRule="auto"/>
      <w:ind w:left="332"/>
      <w:rPr>
        <w:rFonts w:ascii="楷体" w:hAnsi="楷体" w:eastAsia="楷体" w:cs="楷体"/>
        <w:sz w:val="21"/>
        <w:szCs w:val="21"/>
      </w:rPr>
    </w:pPr>
    <w:r>
      <mc:AlternateContent>
        <mc:Choice Requires="wps">
          <w:drawing>
            <wp:anchor distT="0" distB="0" distL="114300" distR="114300" simplePos="0" relativeHeight="251659264" behindDoc="0" locked="0" layoutInCell="0" allowOverlap="1">
              <wp:simplePos x="0" y="0"/>
              <wp:positionH relativeFrom="page">
                <wp:posOffset>887095</wp:posOffset>
              </wp:positionH>
              <wp:positionV relativeFrom="page">
                <wp:posOffset>619760</wp:posOffset>
              </wp:positionV>
              <wp:extent cx="5913120" cy="9525"/>
              <wp:effectExtent l="0" t="0" r="0" b="0"/>
              <wp:wrapNone/>
              <wp:docPr id="5" name="任意多边形 5"/>
              <wp:cNvGraphicFramePr/>
              <a:graphic xmlns:a="http://schemas.openxmlformats.org/drawingml/2006/main">
                <a:graphicData uri="http://schemas.microsoft.com/office/word/2010/wordprocessingShape">
                  <wps:wsp>
                    <wps:cNvSpPr/>
                    <wps:spPr>
                      <a:xfrm>
                        <a:off x="0" y="0"/>
                        <a:ext cx="5913120" cy="9525"/>
                      </a:xfrm>
                      <a:custGeom>
                        <a:avLst/>
                        <a:gdLst/>
                        <a:ahLst/>
                        <a:cxnLst/>
                        <a:rect l="0" t="0" r="0" b="0"/>
                        <a:pathLst>
                          <a:path w="9312" h="15">
                            <a:moveTo>
                              <a:pt x="0" y="15"/>
                            </a:moveTo>
                            <a:lnTo>
                              <a:pt x="9311" y="15"/>
                            </a:lnTo>
                            <a:lnTo>
                              <a:pt x="9311" y="0"/>
                            </a:lnTo>
                            <a:lnTo>
                              <a:pt x="0" y="0"/>
                            </a:lnTo>
                            <a:lnTo>
                              <a:pt x="0" y="15"/>
                            </a:lnTo>
                            <a:close/>
                          </a:path>
                        </a:pathLst>
                      </a:custGeom>
                      <a:solidFill>
                        <a:srgbClr val="000000"/>
                      </a:solidFill>
                      <a:ln>
                        <a:noFill/>
                      </a:ln>
                    </wps:spPr>
                    <wps:bodyPr upright="1"/>
                  </wps:wsp>
                </a:graphicData>
              </a:graphic>
            </wp:anchor>
          </w:drawing>
        </mc:Choice>
        <mc:Fallback>
          <w:pict>
            <v:shape id="_x0000_s1026" o:spid="_x0000_s1026" o:spt="100" style="position:absolute;left:0pt;margin-left:69.85pt;margin-top:48.8pt;height:0.75pt;width:465.6pt;mso-position-horizontal-relative:page;mso-position-vertical-relative:page;z-index:251659264;mso-width-relative:page;mso-height-relative:page;" fillcolor="#000000" filled="t" stroked="f" coordsize="9312,15" o:allowincell="f" o:gfxdata="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M7o8GTWAAAACgEAAA8A&#10;AAAAAAAAAQAgAAAAIgAAAGRycy9kb3ducmV2LnhtbFBLAQIUABQAAAAIAIdO4kDIZ+L+GQIAAJ0E&#10;AAAOAAAAAAAAAAEAIAAAACUBAABkcnMvZTJvRG9jLnhtbFBLBQYAAAAABgAGAFkBAACwBQAAAAA=&#10;" path="m0,15l9311,15,9311,0,0,0,0,15xe">
              <v:fill on="t" focussize="0,0"/>
              <v:stroke on="f"/>
              <v:imagedata o:title=""/>
              <o:lock v:ext="edit" aspectratio="f"/>
            </v:shape>
          </w:pict>
        </mc:Fallback>
      </mc:AlternateContent>
    </w:r>
    <w:r>
      <w:rPr>
        <w:rFonts w:ascii="楷体" w:hAnsi="楷体" w:eastAsia="楷体" w:cs="楷体"/>
        <w:sz w:val="21"/>
        <w:szCs w:val="21"/>
      </w:rPr>
      <w:t>公开 公平 公正 诚信</w:t>
    </w:r>
    <w:r>
      <w:rPr>
        <w:rFonts w:hint="eastAsia" w:ascii="楷体" w:hAnsi="楷体" w:eastAsia="楷体" w:cs="楷体"/>
        <w:sz w:val="21"/>
        <w:szCs w:val="21"/>
      </w:rPr>
      <w:t xml:space="preserve">                                       河南平业建设工程技术咨询有限公司</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both"/>
      <w:rPr>
        <w:rFonts w:eastAsia="楷体_GB2312"/>
        <w:sz w:val="21"/>
        <w:shd w:val="pct10" w:color="auto" w:fill="FFFFFF"/>
      </w:rPr>
    </w:pPr>
    <w:r>
      <w:rPr>
        <w:rFonts w:hint="eastAsia" w:eastAsia="楷体_GB2312"/>
        <w:sz w:val="21"/>
        <w:highlight w:val="white"/>
        <w:shd w:val="pct10" w:color="auto" w:fill="FFFFFF"/>
      </w:rPr>
      <w:t>公开 公平 公正 诚信                               河南平业建设工程技术咨询有限公司</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both"/>
      <w:rPr>
        <w:rFonts w:eastAsia="楷体_GB2312"/>
        <w:sz w:val="21"/>
        <w:shd w:val="pct10" w:color="auto" w:fill="FFFFFF"/>
      </w:rPr>
    </w:pPr>
    <w:r>
      <w:rPr>
        <w:rFonts w:hint="eastAsia" w:eastAsia="楷体_GB2312"/>
        <w:sz w:val="21"/>
        <w:highlight w:val="white"/>
        <w:shd w:val="pct10" w:color="auto" w:fill="FFFFFF"/>
      </w:rPr>
      <w:t>公开公平公正诚信洛阳市政府采购中心招标文件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A2213E9"/>
    <w:multiLevelType w:val="multilevel"/>
    <w:tmpl w:val="2A2213E9"/>
    <w:lvl w:ilvl="0" w:tentative="0">
      <w:start w:val="1"/>
      <w:numFmt w:val="decimal"/>
      <w:lvlText w:val="%1."/>
      <w:lvlJc w:val="left"/>
      <w:pPr>
        <w:ind w:left="0" w:firstLine="0"/>
      </w:pPr>
      <w:rPr>
        <w:rFonts w:hint="eastAsia"/>
      </w:rPr>
    </w:lvl>
    <w:lvl w:ilvl="1" w:tentative="0">
      <w:start w:val="1"/>
      <w:numFmt w:val="decimalZero"/>
      <w:suff w:val="space"/>
      <w:lvlText w:val="%1.%2  "/>
      <w:lvlJc w:val="left"/>
      <w:pPr>
        <w:ind w:left="5670" w:firstLine="0"/>
      </w:pPr>
      <w:rPr>
        <w:rFonts w:hint="eastAsia"/>
        <w:b w:val="0"/>
      </w:rPr>
    </w:lvl>
    <w:lvl w:ilvl="2" w:tentative="0">
      <w:start w:val="1"/>
      <w:numFmt w:val="decimal"/>
      <w:pStyle w:val="5"/>
      <w:lvlText w:val="%1.%2.%3"/>
      <w:lvlJc w:val="left"/>
      <w:pPr>
        <w:ind w:left="142" w:firstLine="0"/>
      </w:pPr>
      <w:rPr>
        <w:rFonts w:hint="eastAsia"/>
      </w:rPr>
    </w:lvl>
    <w:lvl w:ilvl="3" w:tentative="0">
      <w:start w:val="1"/>
      <w:numFmt w:val="decimal"/>
      <w:lvlText w:val="%1.%2.%3.%4"/>
      <w:lvlJc w:val="left"/>
      <w:pPr>
        <w:ind w:left="0" w:firstLine="0"/>
      </w:pPr>
      <w:rPr>
        <w:rFonts w:hint="eastAsia"/>
      </w:rPr>
    </w:lvl>
    <w:lvl w:ilvl="4" w:tentative="0">
      <w:start w:val="1"/>
      <w:numFmt w:val="decimal"/>
      <w:lvlText w:val="%1.%2.%3.%4.%5"/>
      <w:lvlJc w:val="left"/>
      <w:pPr>
        <w:ind w:left="0" w:firstLine="0"/>
      </w:pPr>
      <w:rPr>
        <w:rFonts w:hint="eastAsia"/>
      </w:rPr>
    </w:lvl>
    <w:lvl w:ilvl="5" w:tentative="0">
      <w:start w:val="1"/>
      <w:numFmt w:val="decimal"/>
      <w:lvlText w:val="%1.%2.%3.%4.%5.%6"/>
      <w:lvlJc w:val="left"/>
      <w:pPr>
        <w:ind w:left="0" w:firstLine="0"/>
      </w:pPr>
      <w:rPr>
        <w:rFonts w:hint="eastAsia"/>
      </w:rPr>
    </w:lvl>
    <w:lvl w:ilvl="6" w:tentative="0">
      <w:start w:val="1"/>
      <w:numFmt w:val="decimal"/>
      <w:lvlText w:val="%1.%2.%3.%4.%5.%6.%7"/>
      <w:lvlJc w:val="left"/>
      <w:pPr>
        <w:ind w:left="0" w:firstLine="0"/>
      </w:pPr>
      <w:rPr>
        <w:rFonts w:hint="eastAsia"/>
      </w:rPr>
    </w:lvl>
    <w:lvl w:ilvl="7" w:tentative="0">
      <w:start w:val="1"/>
      <w:numFmt w:val="decimal"/>
      <w:lvlText w:val="%1.%2.%3.%4.%5.%6.%7.%8"/>
      <w:lvlJc w:val="left"/>
      <w:pPr>
        <w:ind w:left="0" w:firstLine="0"/>
      </w:pPr>
      <w:rPr>
        <w:rFonts w:hint="eastAsia"/>
      </w:rPr>
    </w:lvl>
    <w:lvl w:ilvl="8" w:tentative="0">
      <w:start w:val="1"/>
      <w:numFmt w:val="decimal"/>
      <w:lvlText w:val="%1.%2.%3.%4.%5.%6.%7.%8.%9"/>
      <w:lvlJc w:val="left"/>
      <w:pPr>
        <w:ind w:left="0" w:firstLine="0"/>
      </w:pPr>
      <w:rPr>
        <w:rFonts w:hint="eastAsia"/>
      </w:rPr>
    </w:lvl>
  </w:abstractNum>
  <w:abstractNum w:abstractNumId="1">
    <w:nsid w:val="732F2F6A"/>
    <w:multiLevelType w:val="multilevel"/>
    <w:tmpl w:val="732F2F6A"/>
    <w:lvl w:ilvl="0" w:tentative="0">
      <w:start w:val="2"/>
      <w:numFmt w:val="chineseCounting"/>
      <w:suff w:val="nothing"/>
      <w:lvlText w:val="%1、"/>
      <w:lvlJc w:val="left"/>
      <w:rPr>
        <w:rFonts w:hint="eastAsia"/>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2">
    <w:nsid w:val="732F2F6B"/>
    <w:multiLevelType w:val="multilevel"/>
    <w:tmpl w:val="732F2F6B"/>
    <w:lvl w:ilvl="0" w:tentative="0">
      <w:start w:val="9"/>
      <w:numFmt w:val="decimal"/>
      <w:suff w:val="nothing"/>
      <w:lvlText w:val="%1、"/>
      <w:lvlJc w:val="left"/>
    </w:lvl>
    <w:lvl w:ilvl="1" w:tentative="0">
      <w:start w:val="3"/>
      <w:numFmt w:val="decimal"/>
      <w:lvlText w:val="%2、"/>
      <w:lvlJc w:val="left"/>
      <w:pPr>
        <w:ind w:left="780" w:hanging="360"/>
      </w:pPr>
      <w:rPr>
        <w:rFonts w:hint="default"/>
      </w:rPr>
    </w:lvl>
    <w:lvl w:ilvl="2" w:tentative="0">
      <w:start w:val="2"/>
      <w:numFmt w:val="decimal"/>
      <w:lvlText w:val="%3、"/>
      <w:lvlJc w:val="left"/>
      <w:pPr>
        <w:ind w:left="1200" w:hanging="360"/>
      </w:pPr>
      <w:rPr>
        <w:rFonts w:hint="default"/>
      </w:r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732F2F6C"/>
    <w:multiLevelType w:val="singleLevel"/>
    <w:tmpl w:val="732F2F6C"/>
    <w:lvl w:ilvl="0" w:tentative="0">
      <w:start w:val="3"/>
      <w:numFmt w:val="decimal"/>
      <w:suff w:val="nothing"/>
      <w:lvlText w:val="%1、"/>
      <w:lvlJc w:val="left"/>
    </w:lvl>
  </w:abstractNum>
  <w:abstractNum w:abstractNumId="4">
    <w:nsid w:val="732F2F6D"/>
    <w:multiLevelType w:val="singleLevel"/>
    <w:tmpl w:val="732F2F6D"/>
    <w:lvl w:ilvl="0" w:tentative="0">
      <w:start w:val="2"/>
      <w:numFmt w:val="decimal"/>
      <w:lvlText w:val="%1."/>
      <w:lvlJc w:val="left"/>
      <w:pPr>
        <w:tabs>
          <w:tab w:val="left" w:pos="312"/>
        </w:tabs>
      </w:pPr>
    </w:lvl>
  </w:abstractNum>
  <w:abstractNum w:abstractNumId="5">
    <w:nsid w:val="7957F9EE"/>
    <w:multiLevelType w:val="singleLevel"/>
    <w:tmpl w:val="7957F9EE"/>
    <w:lvl w:ilvl="0" w:tentative="0">
      <w:start w:val="1"/>
      <w:numFmt w:val="decimal"/>
      <w:suff w:val="space"/>
      <w:lvlText w:val="%1."/>
      <w:lvlJc w:val="left"/>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IxZWQyZDgyYzgwOTQ1Nzk1ODI2NmI1NjkyYjUxZWEifQ=="/>
  </w:docVars>
  <w:rsids>
    <w:rsidRoot w:val="54677CBB"/>
    <w:rsid w:val="002E6606"/>
    <w:rsid w:val="002F01BC"/>
    <w:rsid w:val="003562CE"/>
    <w:rsid w:val="00422969"/>
    <w:rsid w:val="009273CB"/>
    <w:rsid w:val="00B03BCF"/>
    <w:rsid w:val="00B607EB"/>
    <w:rsid w:val="00B80A70"/>
    <w:rsid w:val="00C6391B"/>
    <w:rsid w:val="00F71390"/>
    <w:rsid w:val="011C44BE"/>
    <w:rsid w:val="015A37FF"/>
    <w:rsid w:val="031D354D"/>
    <w:rsid w:val="034D4E02"/>
    <w:rsid w:val="041D47D5"/>
    <w:rsid w:val="04CE1F73"/>
    <w:rsid w:val="054C6674"/>
    <w:rsid w:val="05FA2654"/>
    <w:rsid w:val="063127B9"/>
    <w:rsid w:val="080812F8"/>
    <w:rsid w:val="08204893"/>
    <w:rsid w:val="08C6368D"/>
    <w:rsid w:val="09A03EDE"/>
    <w:rsid w:val="09F94F8E"/>
    <w:rsid w:val="0A621193"/>
    <w:rsid w:val="0A84735B"/>
    <w:rsid w:val="0B155FFE"/>
    <w:rsid w:val="0B5F56D3"/>
    <w:rsid w:val="0BC24D12"/>
    <w:rsid w:val="0BC814CA"/>
    <w:rsid w:val="0C4B5C57"/>
    <w:rsid w:val="0C89628F"/>
    <w:rsid w:val="0D374B59"/>
    <w:rsid w:val="0E9B4C74"/>
    <w:rsid w:val="0F2050E8"/>
    <w:rsid w:val="106F16EB"/>
    <w:rsid w:val="1088747A"/>
    <w:rsid w:val="10E072B6"/>
    <w:rsid w:val="11FC1ECD"/>
    <w:rsid w:val="12282CC2"/>
    <w:rsid w:val="12313A47"/>
    <w:rsid w:val="14597B89"/>
    <w:rsid w:val="14860174"/>
    <w:rsid w:val="15567B46"/>
    <w:rsid w:val="15E45152"/>
    <w:rsid w:val="173170B2"/>
    <w:rsid w:val="17EB6307"/>
    <w:rsid w:val="18BC5468"/>
    <w:rsid w:val="18F10180"/>
    <w:rsid w:val="19A15E6A"/>
    <w:rsid w:val="1A2972F9"/>
    <w:rsid w:val="1A931D2F"/>
    <w:rsid w:val="1B1464DA"/>
    <w:rsid w:val="1B6C00C4"/>
    <w:rsid w:val="1B8D0118"/>
    <w:rsid w:val="1BF400B9"/>
    <w:rsid w:val="1DBB0E8E"/>
    <w:rsid w:val="1E026A6D"/>
    <w:rsid w:val="1E2D4FCF"/>
    <w:rsid w:val="1F882CFB"/>
    <w:rsid w:val="22D95913"/>
    <w:rsid w:val="23580F2E"/>
    <w:rsid w:val="23A67516"/>
    <w:rsid w:val="24AC2FA0"/>
    <w:rsid w:val="251946ED"/>
    <w:rsid w:val="26A34BB6"/>
    <w:rsid w:val="26FB67A0"/>
    <w:rsid w:val="272E2055"/>
    <w:rsid w:val="288E4399"/>
    <w:rsid w:val="28DF17A9"/>
    <w:rsid w:val="29292C60"/>
    <w:rsid w:val="29E96D83"/>
    <w:rsid w:val="2A8F18DF"/>
    <w:rsid w:val="2B1E0CAF"/>
    <w:rsid w:val="2DDF4725"/>
    <w:rsid w:val="2E627104"/>
    <w:rsid w:val="2EDA4EED"/>
    <w:rsid w:val="2EEE2738"/>
    <w:rsid w:val="305C1C69"/>
    <w:rsid w:val="30FC38B6"/>
    <w:rsid w:val="32145201"/>
    <w:rsid w:val="327D69E4"/>
    <w:rsid w:val="32917FB8"/>
    <w:rsid w:val="350063BA"/>
    <w:rsid w:val="359F479A"/>
    <w:rsid w:val="35D813B6"/>
    <w:rsid w:val="39335925"/>
    <w:rsid w:val="3B207BEC"/>
    <w:rsid w:val="3BA46741"/>
    <w:rsid w:val="3BCD7047"/>
    <w:rsid w:val="3E8333FC"/>
    <w:rsid w:val="3ECA4304"/>
    <w:rsid w:val="3F0D4E6A"/>
    <w:rsid w:val="3F7B0495"/>
    <w:rsid w:val="3FE0432D"/>
    <w:rsid w:val="41AF045B"/>
    <w:rsid w:val="423F17DF"/>
    <w:rsid w:val="42AD499A"/>
    <w:rsid w:val="42B671D5"/>
    <w:rsid w:val="435272F0"/>
    <w:rsid w:val="44D33FA5"/>
    <w:rsid w:val="460B1DDD"/>
    <w:rsid w:val="47293DA5"/>
    <w:rsid w:val="47AF44AD"/>
    <w:rsid w:val="4A1C2405"/>
    <w:rsid w:val="4A3635D8"/>
    <w:rsid w:val="4D5A62DB"/>
    <w:rsid w:val="5008501A"/>
    <w:rsid w:val="50242014"/>
    <w:rsid w:val="52922E04"/>
    <w:rsid w:val="53095C1D"/>
    <w:rsid w:val="543A1E06"/>
    <w:rsid w:val="54677CBB"/>
    <w:rsid w:val="54D35E51"/>
    <w:rsid w:val="54E9162F"/>
    <w:rsid w:val="55115B0E"/>
    <w:rsid w:val="55A27C63"/>
    <w:rsid w:val="580736EB"/>
    <w:rsid w:val="59723DF0"/>
    <w:rsid w:val="5991071A"/>
    <w:rsid w:val="59C81C62"/>
    <w:rsid w:val="5A19426B"/>
    <w:rsid w:val="5A224CE0"/>
    <w:rsid w:val="5A6F2600"/>
    <w:rsid w:val="5B1213E7"/>
    <w:rsid w:val="5B366D2B"/>
    <w:rsid w:val="5B892FA1"/>
    <w:rsid w:val="5C8400C2"/>
    <w:rsid w:val="5CD94CA7"/>
    <w:rsid w:val="5F50673D"/>
    <w:rsid w:val="5FCC621C"/>
    <w:rsid w:val="60D777F7"/>
    <w:rsid w:val="61572388"/>
    <w:rsid w:val="62DF4A59"/>
    <w:rsid w:val="664F1741"/>
    <w:rsid w:val="6764746E"/>
    <w:rsid w:val="677C0D94"/>
    <w:rsid w:val="690D7691"/>
    <w:rsid w:val="6A1077D5"/>
    <w:rsid w:val="6C2E004A"/>
    <w:rsid w:val="6D4C5898"/>
    <w:rsid w:val="6E3E5EF6"/>
    <w:rsid w:val="70F93B28"/>
    <w:rsid w:val="71A1305C"/>
    <w:rsid w:val="72556843"/>
    <w:rsid w:val="728E7B4A"/>
    <w:rsid w:val="72C36EB5"/>
    <w:rsid w:val="742F4960"/>
    <w:rsid w:val="749B1FF5"/>
    <w:rsid w:val="74BA691F"/>
    <w:rsid w:val="76737527"/>
    <w:rsid w:val="76D3001D"/>
    <w:rsid w:val="76D812DE"/>
    <w:rsid w:val="76E9529A"/>
    <w:rsid w:val="77B61738"/>
    <w:rsid w:val="78670BA0"/>
    <w:rsid w:val="79444A09"/>
    <w:rsid w:val="79E955B1"/>
    <w:rsid w:val="7AD75604"/>
    <w:rsid w:val="7CAF571A"/>
    <w:rsid w:val="7D940447"/>
    <w:rsid w:val="7E355268"/>
    <w:rsid w:val="7E5B1C31"/>
    <w:rsid w:val="7EEF36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99"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Times New Roman" w:cs="Times New Roman"/>
      <w:sz w:val="24"/>
      <w:szCs w:val="24"/>
      <w:lang w:val="en-US" w:eastAsia="zh-CN" w:bidi="ar-SA"/>
    </w:rPr>
  </w:style>
  <w:style w:type="paragraph" w:styleId="4">
    <w:name w:val="heading 2"/>
    <w:basedOn w:val="5"/>
    <w:next w:val="1"/>
    <w:autoRedefine/>
    <w:unhideWhenUsed/>
    <w:qFormat/>
    <w:uiPriority w:val="9"/>
    <w:pPr>
      <w:keepNext/>
      <w:keepLines/>
      <w:spacing w:before="260" w:after="260" w:line="415" w:lineRule="auto"/>
      <w:outlineLvl w:val="1"/>
    </w:pPr>
    <w:rPr>
      <w:rFonts w:ascii="Calibri Light" w:hAnsi="Calibri Light" w:eastAsia="宋体" w:cs="Times New Roman"/>
      <w:b/>
      <w:bCs/>
      <w:sz w:val="32"/>
      <w:szCs w:val="32"/>
    </w:rPr>
  </w:style>
  <w:style w:type="paragraph" w:styleId="5">
    <w:name w:val="heading 3"/>
    <w:basedOn w:val="1"/>
    <w:next w:val="1"/>
    <w:autoRedefine/>
    <w:qFormat/>
    <w:uiPriority w:val="0"/>
    <w:pPr>
      <w:numPr>
        <w:ilvl w:val="2"/>
        <w:numId w:val="1"/>
      </w:numPr>
      <w:snapToGrid w:val="0"/>
      <w:spacing w:line="312" w:lineRule="auto"/>
      <w:jc w:val="left"/>
      <w:outlineLvl w:val="2"/>
    </w:pPr>
    <w:rPr>
      <w:rFonts w:ascii="微软雅黑" w:hAnsi="微软雅黑" w:eastAsia="微软雅黑" w:cs="Arial"/>
    </w:rPr>
  </w:style>
  <w:style w:type="paragraph" w:styleId="6">
    <w:name w:val="heading 4"/>
    <w:basedOn w:val="1"/>
    <w:next w:val="1"/>
    <w:autoRedefine/>
    <w:qFormat/>
    <w:uiPriority w:val="0"/>
    <w:pPr>
      <w:outlineLvl w:val="3"/>
    </w:pPr>
    <w:rPr>
      <w:sz w:val="28"/>
    </w:rPr>
  </w:style>
  <w:style w:type="character" w:default="1" w:styleId="21">
    <w:name w:val="Default Paragraph Font"/>
    <w:autoRedefine/>
    <w:semiHidden/>
    <w:unhideWhenUsed/>
    <w:qFormat/>
    <w:uiPriority w:val="1"/>
  </w:style>
  <w:style w:type="table" w:default="1" w:styleId="19">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next w:val="3"/>
    <w:autoRedefine/>
    <w:qFormat/>
    <w:uiPriority w:val="0"/>
    <w:rPr>
      <w:rFonts w:eastAsia="仿宋_GB2312"/>
      <w:kern w:val="2"/>
      <w:sz w:val="28"/>
      <w:szCs w:val="30"/>
    </w:rPr>
  </w:style>
  <w:style w:type="paragraph" w:customStyle="1" w:styleId="3">
    <w:name w:val="Default"/>
    <w:next w:val="1"/>
    <w:autoRedefine/>
    <w:qFormat/>
    <w:uiPriority w:val="0"/>
    <w:pPr>
      <w:widowControl w:val="0"/>
      <w:autoSpaceDE w:val="0"/>
      <w:autoSpaceDN w:val="0"/>
      <w:adjustRightInd w:val="0"/>
    </w:pPr>
    <w:rPr>
      <w:rFonts w:ascii="宋体" w:hAnsi="Calibri" w:eastAsia="宋体" w:cs="Times New Roman"/>
      <w:color w:val="000000"/>
      <w:sz w:val="24"/>
      <w:szCs w:val="24"/>
      <w:lang w:val="en-US" w:eastAsia="zh-CN" w:bidi="ar-SA"/>
    </w:rPr>
  </w:style>
  <w:style w:type="paragraph" w:styleId="7">
    <w:name w:val="Normal Indent"/>
    <w:basedOn w:val="1"/>
    <w:autoRedefine/>
    <w:qFormat/>
    <w:uiPriority w:val="0"/>
    <w:pPr>
      <w:ind w:firstLine="420"/>
    </w:pPr>
    <w:rPr>
      <w:rFonts w:eastAsia="仿宋_GB2312"/>
      <w:kern w:val="2"/>
      <w:sz w:val="30"/>
      <w:szCs w:val="30"/>
    </w:rPr>
  </w:style>
  <w:style w:type="paragraph" w:styleId="8">
    <w:name w:val="annotation text"/>
    <w:basedOn w:val="1"/>
    <w:autoRedefine/>
    <w:qFormat/>
    <w:uiPriority w:val="0"/>
    <w:pPr>
      <w:adjustRightInd w:val="0"/>
      <w:spacing w:line="360" w:lineRule="atLeast"/>
      <w:jc w:val="left"/>
      <w:textAlignment w:val="baseline"/>
    </w:pPr>
    <w:rPr>
      <w:spacing w:val="4"/>
    </w:rPr>
  </w:style>
  <w:style w:type="paragraph" w:styleId="9">
    <w:name w:val="Body Text Indent"/>
    <w:basedOn w:val="1"/>
    <w:next w:val="10"/>
    <w:autoRedefine/>
    <w:qFormat/>
    <w:uiPriority w:val="0"/>
    <w:pPr>
      <w:spacing w:line="400" w:lineRule="atLeast"/>
    </w:pPr>
    <w:rPr>
      <w:b/>
    </w:rPr>
  </w:style>
  <w:style w:type="paragraph" w:styleId="10">
    <w:name w:val="envelope return"/>
    <w:basedOn w:val="1"/>
    <w:autoRedefine/>
    <w:qFormat/>
    <w:uiPriority w:val="0"/>
    <w:pPr>
      <w:snapToGrid w:val="0"/>
    </w:pPr>
    <w:rPr>
      <w:rFonts w:ascii="Arial" w:hAnsi="Arial"/>
    </w:rPr>
  </w:style>
  <w:style w:type="paragraph" w:styleId="11">
    <w:name w:val="Date"/>
    <w:basedOn w:val="1"/>
    <w:next w:val="1"/>
    <w:autoRedefine/>
    <w:qFormat/>
    <w:uiPriority w:val="0"/>
    <w:pPr>
      <w:adjustRightInd w:val="0"/>
      <w:spacing w:line="360" w:lineRule="atLeast"/>
      <w:textAlignment w:val="baseline"/>
    </w:pPr>
    <w:rPr>
      <w:sz w:val="28"/>
      <w:szCs w:val="20"/>
    </w:rPr>
  </w:style>
  <w:style w:type="paragraph" w:styleId="12">
    <w:name w:val="Body Text Indent 2"/>
    <w:basedOn w:val="1"/>
    <w:autoRedefine/>
    <w:qFormat/>
    <w:uiPriority w:val="99"/>
    <w:pPr>
      <w:ind w:firstLine="480" w:firstLineChars="200"/>
    </w:pPr>
    <w:rPr>
      <w:rFonts w:ascii="仿宋_GB2312" w:eastAsia="仿宋_GB2312"/>
    </w:rPr>
  </w:style>
  <w:style w:type="paragraph" w:styleId="13">
    <w:name w:val="footer"/>
    <w:basedOn w:val="1"/>
    <w:autoRedefine/>
    <w:qFormat/>
    <w:uiPriority w:val="99"/>
    <w:pPr>
      <w:tabs>
        <w:tab w:val="center" w:pos="4153"/>
        <w:tab w:val="right" w:pos="8306"/>
      </w:tabs>
      <w:snapToGrid w:val="0"/>
      <w:jc w:val="left"/>
    </w:pPr>
    <w:rPr>
      <w:rFonts w:ascii="仿宋_GB2312" w:eastAsia="仿宋_GB2312"/>
      <w:kern w:val="2"/>
      <w:sz w:val="18"/>
      <w:szCs w:val="18"/>
    </w:rPr>
  </w:style>
  <w:style w:type="paragraph" w:styleId="14">
    <w:name w:val="header"/>
    <w:basedOn w:val="1"/>
    <w:autoRedefine/>
    <w:qFormat/>
    <w:uiPriority w:val="99"/>
    <w:pPr>
      <w:pBdr>
        <w:bottom w:val="single" w:color="auto" w:sz="6" w:space="1"/>
      </w:pBdr>
      <w:tabs>
        <w:tab w:val="center" w:pos="4153"/>
        <w:tab w:val="right" w:pos="8306"/>
      </w:tabs>
      <w:snapToGrid w:val="0"/>
      <w:jc w:val="center"/>
    </w:pPr>
    <w:rPr>
      <w:rFonts w:ascii="仿宋_GB2312" w:eastAsia="仿宋_GB2312"/>
      <w:kern w:val="2"/>
      <w:sz w:val="18"/>
      <w:szCs w:val="18"/>
    </w:rPr>
  </w:style>
  <w:style w:type="paragraph" w:styleId="15">
    <w:name w:val="toc 1"/>
    <w:basedOn w:val="1"/>
    <w:next w:val="1"/>
    <w:autoRedefine/>
    <w:qFormat/>
    <w:uiPriority w:val="39"/>
    <w:pPr>
      <w:spacing w:before="120" w:after="120"/>
      <w:jc w:val="left"/>
    </w:pPr>
    <w:rPr>
      <w:rFonts w:ascii="Calibri" w:hAnsi="Calibri" w:eastAsia="微软雅黑" w:cs="Calibri"/>
      <w:b/>
      <w:bCs/>
      <w:caps/>
      <w:spacing w:val="20"/>
    </w:rPr>
  </w:style>
  <w:style w:type="paragraph" w:styleId="16">
    <w:name w:val="Title"/>
    <w:basedOn w:val="1"/>
    <w:next w:val="1"/>
    <w:autoRedefine/>
    <w:qFormat/>
    <w:uiPriority w:val="0"/>
    <w:pPr>
      <w:widowControl/>
      <w:jc w:val="center"/>
      <w:outlineLvl w:val="0"/>
    </w:pPr>
    <w:rPr>
      <w:rFonts w:ascii="Cambria" w:hAnsi="Cambria" w:eastAsia="微软雅黑"/>
      <w:b/>
      <w:bCs/>
      <w:kern w:val="28"/>
      <w:sz w:val="44"/>
      <w:lang w:eastAsia="en-US" w:bidi="en-US"/>
    </w:rPr>
  </w:style>
  <w:style w:type="paragraph" w:styleId="17">
    <w:name w:val="Body Text First Indent"/>
    <w:basedOn w:val="2"/>
    <w:next w:val="18"/>
    <w:autoRedefine/>
    <w:qFormat/>
    <w:uiPriority w:val="0"/>
    <w:pPr>
      <w:ind w:firstLine="420"/>
    </w:pPr>
    <w:rPr>
      <w:sz w:val="32"/>
    </w:rPr>
  </w:style>
  <w:style w:type="paragraph" w:styleId="18">
    <w:name w:val="Body Text First Indent 2"/>
    <w:basedOn w:val="9"/>
    <w:next w:val="1"/>
    <w:autoRedefine/>
    <w:qFormat/>
    <w:uiPriority w:val="0"/>
    <w:pPr>
      <w:ind w:firstLine="420" w:firstLineChars="200"/>
    </w:pPr>
    <w:rPr>
      <w:rFonts w:eastAsia="宋体"/>
    </w:rPr>
  </w:style>
  <w:style w:type="table" w:styleId="20">
    <w:name w:val="Table Grid"/>
    <w:basedOn w:val="19"/>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page number"/>
    <w:autoRedefine/>
    <w:qFormat/>
    <w:uiPriority w:val="0"/>
  </w:style>
  <w:style w:type="character" w:styleId="23">
    <w:name w:val="FollowedHyperlink"/>
    <w:basedOn w:val="21"/>
    <w:autoRedefine/>
    <w:qFormat/>
    <w:uiPriority w:val="0"/>
    <w:rPr>
      <w:color w:val="333333"/>
      <w:u w:val="none"/>
    </w:rPr>
  </w:style>
  <w:style w:type="character" w:styleId="24">
    <w:name w:val="Hyperlink"/>
    <w:basedOn w:val="21"/>
    <w:autoRedefine/>
    <w:qFormat/>
    <w:uiPriority w:val="0"/>
    <w:rPr>
      <w:color w:val="333333"/>
      <w:u w:val="none"/>
    </w:rPr>
  </w:style>
  <w:style w:type="paragraph" w:customStyle="1" w:styleId="25">
    <w:name w:val="*正文_0"/>
    <w:basedOn w:val="26"/>
    <w:next w:val="26"/>
    <w:autoRedefine/>
    <w:qFormat/>
    <w:uiPriority w:val="0"/>
    <w:pPr>
      <w:widowControl/>
      <w:ind w:firstLine="482"/>
    </w:pPr>
    <w:rPr>
      <w:rFonts w:ascii="微软雅黑" w:hAnsi="微软雅黑" w:eastAsia="微软雅黑"/>
      <w:kern w:val="0"/>
      <w:szCs w:val="20"/>
    </w:rPr>
  </w:style>
  <w:style w:type="paragraph" w:customStyle="1" w:styleId="26">
    <w:name w:val="正文_0"/>
    <w:next w:val="27"/>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7">
    <w:name w:val="样式 样式 首行缩进:  2 字符 行距: 1.5 倍行距 + 首行缩进:  2 字符1"/>
    <w:basedOn w:val="26"/>
    <w:autoRedefine/>
    <w:qFormat/>
    <w:uiPriority w:val="0"/>
    <w:pPr>
      <w:widowControl/>
      <w:adjustRightInd w:val="0"/>
      <w:snapToGrid w:val="0"/>
      <w:spacing w:beforeLines="100" w:afterLines="100"/>
      <w:ind w:firstLine="664" w:firstLineChars="200"/>
    </w:pPr>
    <w:rPr>
      <w:rFonts w:ascii="宋体" w:hAnsi="宋体" w:cs="宋体"/>
      <w:spacing w:val="6"/>
      <w:kern w:val="0"/>
      <w:sz w:val="32"/>
      <w:szCs w:val="32"/>
    </w:rPr>
  </w:style>
  <w:style w:type="paragraph" w:customStyle="1" w:styleId="28">
    <w:name w:val="*正文_1"/>
    <w:basedOn w:val="29"/>
    <w:next w:val="29"/>
    <w:autoRedefine/>
    <w:qFormat/>
    <w:uiPriority w:val="0"/>
    <w:pPr>
      <w:widowControl/>
      <w:ind w:firstLine="482"/>
    </w:pPr>
    <w:rPr>
      <w:rFonts w:ascii="微软雅黑" w:hAnsi="微软雅黑" w:eastAsia="微软雅黑"/>
      <w:kern w:val="0"/>
      <w:szCs w:val="20"/>
    </w:rPr>
  </w:style>
  <w:style w:type="paragraph" w:customStyle="1" w:styleId="29">
    <w:name w:val="正文_1_0_0"/>
    <w:basedOn w:val="30"/>
    <w:next w:val="37"/>
    <w:qFormat/>
    <w:uiPriority w:val="0"/>
  </w:style>
  <w:style w:type="paragraph" w:customStyle="1" w:styleId="30">
    <w:name w:val="正文_2"/>
    <w:next w:val="31"/>
    <w:qFormat/>
    <w:uiPriority w:val="0"/>
    <w:pPr>
      <w:widowControl w:val="0"/>
      <w:jc w:val="both"/>
    </w:pPr>
    <w:rPr>
      <w:rFonts w:ascii="Calibri" w:hAnsi="Calibri" w:eastAsia="宋体" w:cs="Times New Roman"/>
      <w:kern w:val="2"/>
      <w:sz w:val="21"/>
      <w:szCs w:val="22"/>
      <w:lang w:val="en-US" w:eastAsia="zh-CN" w:bidi="ar-SA"/>
    </w:rPr>
  </w:style>
  <w:style w:type="paragraph" w:customStyle="1" w:styleId="31">
    <w:name w:val="Default_2"/>
    <w:next w:val="32"/>
    <w:autoRedefine/>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32">
    <w:name w:val="明显引用1"/>
    <w:basedOn w:val="33"/>
    <w:next w:val="33"/>
    <w:qFormat/>
    <w:uiPriority w:val="0"/>
    <w:pPr>
      <w:pBdr>
        <w:bottom w:val="single" w:color="4F81BD" w:sz="4" w:space="4"/>
      </w:pBdr>
      <w:spacing w:before="200" w:after="280"/>
      <w:ind w:left="936" w:right="936"/>
    </w:pPr>
    <w:rPr>
      <w:b/>
      <w:bCs/>
      <w:i/>
      <w:iCs/>
      <w:color w:val="4F81BD"/>
    </w:rPr>
  </w:style>
  <w:style w:type="paragraph" w:customStyle="1" w:styleId="33">
    <w:name w:val="正文_1"/>
    <w:next w:val="34"/>
    <w:qFormat/>
    <w:uiPriority w:val="0"/>
    <w:pPr>
      <w:widowControl w:val="0"/>
      <w:jc w:val="both"/>
    </w:pPr>
    <w:rPr>
      <w:rFonts w:ascii="Calibri" w:hAnsi="Calibri" w:eastAsia="宋体" w:cs="Times New Roman"/>
      <w:kern w:val="2"/>
      <w:sz w:val="21"/>
      <w:szCs w:val="22"/>
      <w:lang w:val="en-US" w:eastAsia="zh-CN" w:bidi="ar-SA"/>
    </w:rPr>
  </w:style>
  <w:style w:type="paragraph" w:customStyle="1" w:styleId="34">
    <w:name w:val="正文文本_1"/>
    <w:basedOn w:val="33"/>
    <w:next w:val="35"/>
    <w:unhideWhenUsed/>
    <w:qFormat/>
    <w:uiPriority w:val="0"/>
    <w:pPr>
      <w:widowControl/>
      <w:adjustRightInd w:val="0"/>
      <w:spacing w:after="60" w:line="360" w:lineRule="atLeast"/>
      <w:ind w:left="72" w:leftChars="30" w:right="30" w:rightChars="30" w:firstLine="200" w:firstLineChars="200"/>
      <w:jc w:val="center"/>
    </w:pPr>
    <w:rPr>
      <w:kern w:val="0"/>
      <w:sz w:val="20"/>
      <w:szCs w:val="20"/>
    </w:rPr>
  </w:style>
  <w:style w:type="paragraph" w:customStyle="1" w:styleId="35">
    <w:name w:val="正文_3"/>
    <w:next w:val="36"/>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36">
    <w:name w:val="正文首行缩进_1"/>
    <w:basedOn w:val="34"/>
    <w:unhideWhenUsed/>
    <w:qFormat/>
    <w:uiPriority w:val="0"/>
    <w:pPr>
      <w:spacing w:line="312" w:lineRule="auto"/>
      <w:ind w:firstLine="420"/>
    </w:pPr>
    <w:rPr>
      <w:rFonts w:ascii="Times New Roman" w:hAnsi="Times New Roman"/>
      <w:szCs w:val="24"/>
    </w:rPr>
  </w:style>
  <w:style w:type="paragraph" w:customStyle="1" w:styleId="37">
    <w:name w:val="Default_1_0"/>
    <w:next w:val="38"/>
    <w:qFormat/>
    <w:uiPriority w:val="0"/>
    <w:pPr>
      <w:widowControl w:val="0"/>
      <w:autoSpaceDE w:val="0"/>
      <w:autoSpaceDN w:val="0"/>
      <w:adjustRightInd w:val="0"/>
    </w:pPr>
    <w:rPr>
      <w:rFonts w:ascii="Calibri" w:hAnsi="Calibri" w:eastAsia="宋体" w:cs="Times New Roman"/>
      <w:color w:val="000000"/>
      <w:sz w:val="24"/>
      <w:szCs w:val="24"/>
      <w:lang w:val="en-US" w:eastAsia="zh-CN" w:bidi="ar-SA"/>
    </w:rPr>
  </w:style>
  <w:style w:type="paragraph" w:customStyle="1" w:styleId="38">
    <w:name w:val="正文_1_1"/>
    <w:next w:val="39"/>
    <w:qFormat/>
    <w:uiPriority w:val="0"/>
    <w:pPr>
      <w:widowControl w:val="0"/>
      <w:jc w:val="both"/>
    </w:pPr>
    <w:rPr>
      <w:rFonts w:ascii="Calibri" w:hAnsi="Calibri" w:eastAsia="宋体" w:cs="Times New Roman"/>
      <w:kern w:val="2"/>
      <w:sz w:val="21"/>
      <w:szCs w:val="22"/>
      <w:lang w:val="en-US" w:eastAsia="zh-CN" w:bidi="ar-SA"/>
    </w:rPr>
  </w:style>
  <w:style w:type="paragraph" w:customStyle="1" w:styleId="39">
    <w:name w:val="正文文本_1_0"/>
    <w:basedOn w:val="40"/>
    <w:next w:val="37"/>
    <w:unhideWhenUsed/>
    <w:qFormat/>
    <w:uiPriority w:val="0"/>
    <w:pPr>
      <w:widowControl/>
      <w:adjustRightInd w:val="0"/>
      <w:spacing w:after="60" w:line="360" w:lineRule="atLeast"/>
      <w:ind w:left="72" w:leftChars="30" w:right="30" w:rightChars="30" w:firstLine="200" w:firstLineChars="200"/>
      <w:jc w:val="center"/>
    </w:pPr>
    <w:rPr>
      <w:kern w:val="0"/>
      <w:sz w:val="20"/>
      <w:szCs w:val="20"/>
    </w:rPr>
  </w:style>
  <w:style w:type="paragraph" w:customStyle="1" w:styleId="40">
    <w:name w:val="正文_5_0"/>
    <w:next w:val="39"/>
    <w:qFormat/>
    <w:uiPriority w:val="0"/>
    <w:pPr>
      <w:widowControl w:val="0"/>
      <w:jc w:val="both"/>
    </w:pPr>
    <w:rPr>
      <w:rFonts w:ascii="Calibri" w:hAnsi="Calibri" w:eastAsia="宋体" w:cs="Times New Roman"/>
      <w:kern w:val="2"/>
      <w:sz w:val="21"/>
      <w:szCs w:val="22"/>
      <w:lang w:val="en-US" w:eastAsia="zh-CN" w:bidi="ar-SA"/>
    </w:rPr>
  </w:style>
  <w:style w:type="paragraph" w:customStyle="1" w:styleId="41">
    <w:name w:val="Default_1"/>
    <w:next w:val="42"/>
    <w:autoRedefine/>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42">
    <w:name w:val="表格文字_0"/>
    <w:basedOn w:val="33"/>
    <w:qFormat/>
    <w:uiPriority w:val="0"/>
    <w:pPr>
      <w:adjustRightInd w:val="0"/>
      <w:spacing w:line="420" w:lineRule="atLeast"/>
      <w:jc w:val="left"/>
    </w:pPr>
    <w:rPr>
      <w:rFonts w:ascii="Times New Roman" w:hAnsi="Times New Roman"/>
      <w:kern w:val="0"/>
      <w:szCs w:val="20"/>
    </w:rPr>
  </w:style>
  <w:style w:type="paragraph" w:customStyle="1" w:styleId="43">
    <w:name w:val="标题_0"/>
    <w:basedOn w:val="33"/>
    <w:next w:val="33"/>
    <w:qFormat/>
    <w:uiPriority w:val="0"/>
    <w:pPr>
      <w:widowControl/>
      <w:spacing w:before="240" w:after="60" w:line="360" w:lineRule="auto"/>
      <w:ind w:firstLine="200" w:firstLineChars="200"/>
      <w:jc w:val="center"/>
      <w:outlineLvl w:val="0"/>
    </w:pPr>
    <w:rPr>
      <w:rFonts w:ascii="Cambria" w:hAnsi="Cambria"/>
      <w:b/>
      <w:bCs/>
      <w:sz w:val="32"/>
      <w:szCs w:val="32"/>
    </w:rPr>
  </w:style>
  <w:style w:type="paragraph" w:customStyle="1" w:styleId="44">
    <w:name w:val="普通(网站)_0"/>
    <w:basedOn w:val="35"/>
    <w:unhideWhenUsed/>
    <w:qFormat/>
    <w:uiPriority w:val="99"/>
    <w:pPr>
      <w:widowControl/>
      <w:spacing w:before="100" w:beforeAutospacing="1" w:after="100" w:afterAutospacing="1" w:line="320" w:lineRule="atLeast"/>
      <w:ind w:firstLine="200" w:firstLineChars="200"/>
      <w:jc w:val="left"/>
    </w:pPr>
    <w:rPr>
      <w:rFonts w:ascii="宋体" w:hAnsi="宋体"/>
      <w:sz w:val="18"/>
      <w:szCs w:val="18"/>
    </w:rPr>
  </w:style>
  <w:style w:type="paragraph" w:customStyle="1" w:styleId="45">
    <w:name w:val="Table Text"/>
    <w:basedOn w:val="1"/>
    <w:semiHidden/>
    <w:qFormat/>
    <w:uiPriority w:val="0"/>
    <w:rPr>
      <w:rFonts w:ascii="宋体" w:hAnsi="宋体" w:eastAsia="宋体" w:cs="宋体"/>
      <w:sz w:val="21"/>
      <w:szCs w:val="21"/>
      <w:lang w:eastAsia="en-US"/>
    </w:rPr>
  </w:style>
  <w:style w:type="paragraph" w:customStyle="1" w:styleId="46">
    <w:name w:val="标题 3_0"/>
    <w:basedOn w:val="33"/>
    <w:next w:val="33"/>
    <w:unhideWhenUsed/>
    <w:qFormat/>
    <w:uiPriority w:val="0"/>
    <w:pPr>
      <w:keepNext/>
      <w:keepLines/>
      <w:spacing w:before="260" w:after="260" w:line="415" w:lineRule="auto"/>
      <w:outlineLvl w:val="2"/>
    </w:pPr>
    <w:rPr>
      <w:b/>
      <w:bCs/>
      <w:sz w:val="32"/>
      <w:szCs w:val="32"/>
    </w:rPr>
  </w:style>
  <w:style w:type="paragraph" w:customStyle="1" w:styleId="47">
    <w:name w:val="标题 4_0"/>
    <w:basedOn w:val="33"/>
    <w:next w:val="33"/>
    <w:autoRedefine/>
    <w:unhideWhenUsed/>
    <w:qFormat/>
    <w:uiPriority w:val="0"/>
    <w:pPr>
      <w:keepNext/>
      <w:keepLines/>
      <w:spacing w:before="280" w:after="290" w:line="374" w:lineRule="auto"/>
      <w:outlineLvl w:val="3"/>
    </w:pPr>
    <w:rPr>
      <w:rFonts w:ascii="Arial" w:hAnsi="Arial" w:eastAsia="黑体"/>
      <w:b/>
      <w:bCs/>
      <w:sz w:val="28"/>
      <w:szCs w:val="28"/>
    </w:rPr>
  </w:style>
  <w:style w:type="paragraph" w:customStyle="1" w:styleId="48">
    <w:name w:val="*正文_1_0"/>
    <w:basedOn w:val="49"/>
    <w:next w:val="49"/>
    <w:qFormat/>
    <w:uiPriority w:val="0"/>
    <w:pPr>
      <w:widowControl/>
      <w:ind w:firstLine="482"/>
    </w:pPr>
    <w:rPr>
      <w:rFonts w:ascii="微软雅黑" w:hAnsi="微软雅黑" w:eastAsia="微软雅黑"/>
      <w:kern w:val="0"/>
      <w:szCs w:val="20"/>
    </w:rPr>
  </w:style>
  <w:style w:type="paragraph" w:customStyle="1" w:styleId="49">
    <w:name w:val="正文_1_0"/>
    <w:next w:val="37"/>
    <w:qFormat/>
    <w:uiPriority w:val="0"/>
    <w:pPr>
      <w:widowControl w:val="0"/>
      <w:jc w:val="both"/>
    </w:pPr>
    <w:rPr>
      <w:rFonts w:ascii="Calibri" w:hAnsi="Calibri" w:eastAsia="宋体" w:cs="Times New Roman"/>
      <w:kern w:val="2"/>
      <w:sz w:val="21"/>
      <w:szCs w:val="22"/>
      <w:lang w:val="en-US" w:eastAsia="zh-CN" w:bidi="ar-SA"/>
    </w:rPr>
  </w:style>
  <w:style w:type="paragraph" w:customStyle="1" w:styleId="50">
    <w:name w:val="UserStyle_205"/>
    <w:basedOn w:val="30"/>
    <w:qFormat/>
    <w:uiPriority w:val="0"/>
    <w:pPr>
      <w:textAlignment w:val="baseline"/>
    </w:pPr>
  </w:style>
  <w:style w:type="character" w:customStyle="1" w:styleId="51">
    <w:name w:val="15"/>
    <w:qFormat/>
    <w:uiPriority w:val="0"/>
    <w:rPr>
      <w:rFonts w:hint="default" w:ascii="Times New Roman" w:hAnsi="Times New Roman" w:cs="Times New Roman"/>
      <w:color w:val="0368A8"/>
    </w:rPr>
  </w:style>
  <w:style w:type="paragraph" w:customStyle="1" w:styleId="52">
    <w:name w:val="正文_0_1_0"/>
    <w:qFormat/>
    <w:uiPriority w:val="0"/>
    <w:pPr>
      <w:widowControl w:val="0"/>
      <w:jc w:val="both"/>
    </w:pPr>
    <w:rPr>
      <w:rFonts w:ascii="Times New Roman" w:hAnsi="Times New Roman" w:eastAsia="宋体" w:cs="Times New Roman"/>
      <w:lang w:val="en-US" w:eastAsia="zh-CN" w:bidi="ar-SA"/>
    </w:rPr>
  </w:style>
  <w:style w:type="paragraph" w:customStyle="1" w:styleId="53">
    <w:name w:val="Body text|1"/>
    <w:basedOn w:val="54"/>
    <w:qFormat/>
    <w:uiPriority w:val="0"/>
    <w:pPr>
      <w:spacing w:line="326" w:lineRule="auto"/>
      <w:ind w:firstLine="400"/>
    </w:pPr>
    <w:rPr>
      <w:rFonts w:ascii="宋体" w:hAnsi="宋体" w:cs="宋体"/>
      <w:sz w:val="32"/>
      <w:szCs w:val="32"/>
      <w:lang w:val="zh-TW" w:eastAsia="zh-TW" w:bidi="zh-TW"/>
    </w:rPr>
  </w:style>
  <w:style w:type="paragraph" w:customStyle="1" w:styleId="54">
    <w:name w:val="正文_7_0"/>
    <w:autoRedefine/>
    <w:qFormat/>
    <w:uiPriority w:val="0"/>
    <w:pPr>
      <w:widowControl w:val="0"/>
      <w:jc w:val="both"/>
    </w:pPr>
    <w:rPr>
      <w:rFonts w:ascii="Calibri" w:hAnsi="Calibri" w:eastAsia="宋体" w:cs="Times New Roman"/>
      <w:kern w:val="2"/>
      <w:sz w:val="21"/>
      <w:szCs w:val="22"/>
      <w:lang w:val="en-US" w:eastAsia="zh-CN" w:bidi="ar-SA"/>
    </w:rPr>
  </w:style>
  <w:style w:type="character" w:customStyle="1" w:styleId="55">
    <w:name w:val="超链接_0_0"/>
    <w:autoRedefine/>
    <w:qFormat/>
    <w:uiPriority w:val="99"/>
    <w:rPr>
      <w:rFonts w:ascii="Calibri" w:hAnsi="Calibri"/>
      <w:color w:val="0368A8"/>
      <w:u w:val="none"/>
    </w:rPr>
  </w:style>
  <w:style w:type="paragraph" w:customStyle="1" w:styleId="56">
    <w:name w:val="&quot;Table caption|1&quot;"/>
    <w:basedOn w:val="52"/>
    <w:qFormat/>
    <w:uiPriority w:val="0"/>
    <w:pPr>
      <w:shd w:val="clear" w:color="FFFFFF" w:fill="FFFFFF"/>
    </w:pPr>
    <w:rPr>
      <w:rFonts w:ascii="MingLiU" w:hAnsi="MingLiU" w:eastAsia="MingLiU" w:cs="MingLiU"/>
      <w:sz w:val="19"/>
      <w:szCs w:val="19"/>
      <w:lang w:val="zh-TW" w:eastAsia="zh-TW" w:bidi="zh-TW"/>
    </w:rPr>
  </w:style>
  <w:style w:type="paragraph" w:customStyle="1" w:styleId="57">
    <w:name w:val="列出段落1_0"/>
    <w:basedOn w:val="52"/>
    <w:qFormat/>
    <w:uiPriority w:val="0"/>
    <w:pPr>
      <w:widowControl/>
      <w:spacing w:line="300" w:lineRule="auto"/>
      <w:ind w:firstLine="200" w:firstLineChars="200"/>
    </w:pPr>
    <w:rPr>
      <w:rFonts w:ascii="Arial" w:hAnsi="Arial"/>
      <w:sz w:val="18"/>
    </w:rPr>
  </w:style>
  <w:style w:type="paragraph" w:customStyle="1" w:styleId="58">
    <w:name w:val="普通(网站)_0_0_0"/>
    <w:basedOn w:val="49"/>
    <w:unhideWhenUsed/>
    <w:qFormat/>
    <w:uiPriority w:val="99"/>
    <w:pPr>
      <w:widowControl/>
      <w:spacing w:before="100" w:beforeAutospacing="1" w:after="100" w:afterAutospacing="1" w:line="320" w:lineRule="atLeast"/>
      <w:ind w:firstLine="200" w:firstLineChars="200"/>
      <w:jc w:val="left"/>
    </w:pPr>
    <w:rPr>
      <w:rFonts w:ascii="宋体" w:hAnsi="宋体"/>
      <w:kern w:val="0"/>
      <w:sz w:val="18"/>
      <w:szCs w:val="18"/>
    </w:rPr>
  </w:style>
  <w:style w:type="paragraph" w:customStyle="1" w:styleId="59">
    <w:name w:val="_Style 2"/>
    <w:basedOn w:val="60"/>
    <w:next w:val="60"/>
    <w:qFormat/>
    <w:uiPriority w:val="0"/>
    <w:pPr>
      <w:pBdr>
        <w:top w:val="single" w:color="auto" w:sz="6" w:space="1"/>
      </w:pBdr>
      <w:jc w:val="center"/>
    </w:pPr>
    <w:rPr>
      <w:rFonts w:ascii="Arial"/>
      <w:vanish/>
      <w:sz w:val="16"/>
    </w:rPr>
  </w:style>
  <w:style w:type="paragraph" w:customStyle="1" w:styleId="60">
    <w:name w:val="正文_5"/>
    <w:next w:val="61"/>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61">
    <w:name w:val="题注_1"/>
    <w:basedOn w:val="60"/>
    <w:next w:val="60"/>
    <w:autoRedefine/>
    <w:unhideWhenUsed/>
    <w:qFormat/>
    <w:uiPriority w:val="35"/>
    <w:pPr>
      <w:widowControl/>
      <w:spacing w:line="360" w:lineRule="auto"/>
      <w:ind w:firstLine="200" w:firstLineChars="200"/>
    </w:pPr>
    <w:rPr>
      <w:rFonts w:ascii="Cambria" w:hAnsi="Cambria" w:eastAsia="黑体"/>
      <w:sz w:val="20"/>
      <w:szCs w:val="20"/>
    </w:rPr>
  </w:style>
  <w:style w:type="paragraph" w:styleId="62">
    <w:name w:val="List Paragraph"/>
    <w:basedOn w:val="1"/>
    <w:autoRedefine/>
    <w:qFormat/>
    <w:uiPriority w:val="0"/>
    <w:pPr>
      <w:ind w:firstLine="420" w:firstLineChars="200"/>
    </w:pPr>
  </w:style>
  <w:style w:type="paragraph" w:customStyle="1" w:styleId="63">
    <w:name w:val="xl87"/>
    <w:basedOn w:val="1"/>
    <w:next w:val="64"/>
    <w:autoRedefine/>
    <w:qFormat/>
    <w:uiPriority w:val="0"/>
    <w:pPr>
      <w:widowControl/>
      <w:shd w:val="clear" w:color="FFFFFF" w:fill="FFFFFF"/>
      <w:spacing w:before="280" w:after="280"/>
      <w:jc w:val="right"/>
    </w:pPr>
    <w:rPr>
      <w:rFonts w:ascii="宋体"/>
    </w:rPr>
  </w:style>
  <w:style w:type="paragraph" w:customStyle="1" w:styleId="64">
    <w:name w:val="xl72"/>
    <w:basedOn w:val="1"/>
    <w:next w:val="11"/>
    <w:autoRedefine/>
    <w:qFormat/>
    <w:uiPriority w:val="0"/>
    <w:pPr>
      <w:widowControl/>
      <w:shd w:val="clear" w:color="FFFFFF" w:fill="FFFFFF"/>
      <w:spacing w:before="280" w:after="280"/>
      <w:jc w:val="right"/>
    </w:pPr>
    <w:rPr>
      <w:rFonts w:ascii="宋体"/>
    </w:rPr>
  </w:style>
  <w:style w:type="paragraph" w:customStyle="1" w:styleId="65">
    <w:name w:val="Char Char10 Char Char Char Char"/>
    <w:basedOn w:val="1"/>
    <w:next w:val="63"/>
    <w:autoRedefine/>
    <w:qFormat/>
    <w:uiPriority w:val="0"/>
  </w:style>
  <w:style w:type="paragraph" w:customStyle="1" w:styleId="66">
    <w:name w:val="正文1"/>
    <w:autoRedefine/>
    <w:qFormat/>
    <w:uiPriority w:val="0"/>
    <w:rPr>
      <w:rFonts w:ascii="Times New Roman" w:hAnsi="Times New Roman" w:eastAsia="Times New Roman" w:cs="Times New Roman"/>
      <w:sz w:val="24"/>
      <w:szCs w:val="24"/>
      <w:lang w:val="en-US" w:eastAsia="zh-CN" w:bidi="ar-SA"/>
    </w:rPr>
  </w:style>
  <w:style w:type="paragraph" w:customStyle="1" w:styleId="67">
    <w:name w:val="Normal_0"/>
    <w:autoRedefine/>
    <w:qFormat/>
    <w:uiPriority w:val="0"/>
    <w:rPr>
      <w:rFonts w:ascii="黑体" w:hAnsi="黑体" w:eastAsia="黑体" w:cs="Times New Roman"/>
      <w:b/>
      <w:sz w:val="32"/>
      <w:szCs w:val="24"/>
      <w:lang w:val="en-US" w:eastAsia="zh-CN" w:bidi="ar-SA"/>
    </w:rPr>
  </w:style>
  <w:style w:type="paragraph" w:customStyle="1" w:styleId="68">
    <w:name w:val="Normal_1"/>
    <w:autoRedefine/>
    <w:qFormat/>
    <w:uiPriority w:val="0"/>
    <w:rPr>
      <w:rFonts w:ascii="黑体" w:hAnsi="黑体" w:eastAsia="黑体" w:cs="Times New Roman"/>
      <w:b/>
      <w:sz w:val="32"/>
      <w:szCs w:val="24"/>
      <w:lang w:val="en-US" w:eastAsia="zh-CN" w:bidi="ar-SA"/>
    </w:rPr>
  </w:style>
  <w:style w:type="paragraph" w:customStyle="1" w:styleId="69">
    <w:name w:val="*正文_2"/>
    <w:basedOn w:val="70"/>
    <w:next w:val="70"/>
    <w:autoRedefine/>
    <w:qFormat/>
    <w:uiPriority w:val="0"/>
    <w:pPr>
      <w:widowControl/>
      <w:ind w:firstLine="482"/>
    </w:pPr>
    <w:rPr>
      <w:rFonts w:ascii="微软雅黑" w:hAnsi="微软雅黑" w:eastAsia="微软雅黑"/>
      <w:kern w:val="0"/>
      <w:szCs w:val="20"/>
    </w:rPr>
  </w:style>
  <w:style w:type="paragraph" w:customStyle="1" w:styleId="70">
    <w:name w:val="正文_2_0"/>
    <w:next w:val="71"/>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71">
    <w:name w:val="Default_2_0"/>
    <w:autoRedefine/>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72">
    <w:name w:val="Normal_2"/>
    <w:autoRedefine/>
    <w:qFormat/>
    <w:uiPriority w:val="0"/>
    <w:rPr>
      <w:rFonts w:ascii="黑体" w:hAnsi="黑体" w:eastAsia="黑体" w:cs="Times New Roman"/>
      <w:b/>
      <w:sz w:val="32"/>
      <w:szCs w:val="24"/>
      <w:lang w:val="en-US" w:eastAsia="zh-CN" w:bidi="ar-SA"/>
    </w:rPr>
  </w:style>
  <w:style w:type="paragraph" w:customStyle="1" w:styleId="73">
    <w:name w:val="*正文_0_0"/>
    <w:basedOn w:val="74"/>
    <w:next w:val="74"/>
    <w:autoRedefine/>
    <w:qFormat/>
    <w:uiPriority w:val="0"/>
    <w:pPr>
      <w:widowControl/>
      <w:ind w:firstLine="482"/>
    </w:pPr>
    <w:rPr>
      <w:rFonts w:ascii="微软雅黑" w:hAnsi="微软雅黑" w:eastAsia="微软雅黑"/>
    </w:rPr>
  </w:style>
  <w:style w:type="paragraph" w:customStyle="1" w:styleId="74">
    <w:name w:val="正文_0_0_0"/>
    <w:next w:val="75"/>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75">
    <w:name w:val="Default_0_0_0"/>
    <w:autoRedefine/>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character" w:customStyle="1" w:styleId="76">
    <w:name w:val="标题 4 Char_1"/>
    <w:link w:val="77"/>
    <w:autoRedefine/>
    <w:qFormat/>
    <w:uiPriority w:val="0"/>
    <w:rPr>
      <w:rFonts w:ascii="Arial" w:hAnsi="Arial" w:eastAsia="仿宋"/>
      <w:b/>
      <w:bCs/>
      <w:sz w:val="28"/>
      <w:szCs w:val="28"/>
    </w:rPr>
  </w:style>
  <w:style w:type="paragraph" w:customStyle="1" w:styleId="77">
    <w:name w:val="标题 4_1"/>
    <w:basedOn w:val="74"/>
    <w:next w:val="74"/>
    <w:link w:val="76"/>
    <w:autoRedefine/>
    <w:unhideWhenUsed/>
    <w:qFormat/>
    <w:uiPriority w:val="9"/>
    <w:pPr>
      <w:keepNext/>
      <w:keepLines/>
      <w:outlineLvl w:val="3"/>
    </w:pPr>
    <w:rPr>
      <w:rFonts w:ascii="Arial" w:hAnsi="Arial" w:eastAsia="仿宋"/>
      <w:b/>
      <w:bCs/>
      <w:sz w:val="28"/>
      <w:szCs w:val="28"/>
    </w:rPr>
  </w:style>
  <w:style w:type="paragraph" w:customStyle="1" w:styleId="78">
    <w:name w:val="Normal_3"/>
    <w:autoRedefine/>
    <w:qFormat/>
    <w:uiPriority w:val="0"/>
    <w:rPr>
      <w:rFonts w:ascii="黑体" w:hAnsi="黑体" w:eastAsia="黑体" w:cs="Times New Roman"/>
      <w:b/>
      <w:sz w:val="32"/>
      <w:szCs w:val="24"/>
      <w:lang w:val="en-US" w:eastAsia="zh-CN" w:bidi="ar-SA"/>
    </w:rPr>
  </w:style>
  <w:style w:type="paragraph" w:customStyle="1" w:styleId="79">
    <w:name w:val="*正文_1_0_0"/>
    <w:basedOn w:val="80"/>
    <w:next w:val="80"/>
    <w:autoRedefine/>
    <w:qFormat/>
    <w:uiPriority w:val="0"/>
    <w:pPr>
      <w:widowControl/>
      <w:ind w:firstLine="482"/>
    </w:pPr>
    <w:rPr>
      <w:rFonts w:ascii="微软雅黑" w:hAnsi="微软雅黑" w:eastAsia="微软雅黑"/>
      <w:kern w:val="0"/>
      <w:szCs w:val="20"/>
    </w:rPr>
  </w:style>
  <w:style w:type="paragraph" w:customStyle="1" w:styleId="80">
    <w:name w:val="正文_1_0_1"/>
    <w:next w:val="81"/>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81">
    <w:name w:val="Default_1_0_0"/>
    <w:autoRedefine/>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82">
    <w:name w:val="Normal_4"/>
    <w:autoRedefine/>
    <w:qFormat/>
    <w:uiPriority w:val="0"/>
    <w:rPr>
      <w:rFonts w:ascii="黑体" w:hAnsi="黑体" w:eastAsia="黑体" w:cs="Times New Roman"/>
      <w:b/>
      <w:sz w:val="32"/>
      <w:szCs w:val="24"/>
      <w:lang w:val="en-US" w:eastAsia="zh-CN" w:bidi="ar-SA"/>
    </w:rPr>
  </w:style>
  <w:style w:type="paragraph" w:customStyle="1" w:styleId="83">
    <w:name w:val="*正文_2_0"/>
    <w:basedOn w:val="84"/>
    <w:next w:val="84"/>
    <w:autoRedefine/>
    <w:qFormat/>
    <w:uiPriority w:val="0"/>
    <w:pPr>
      <w:widowControl/>
      <w:ind w:firstLine="482"/>
    </w:pPr>
    <w:rPr>
      <w:rFonts w:ascii="微软雅黑" w:hAnsi="微软雅黑" w:eastAsia="微软雅黑"/>
      <w:kern w:val="0"/>
      <w:szCs w:val="20"/>
    </w:rPr>
  </w:style>
  <w:style w:type="paragraph" w:customStyle="1" w:styleId="84">
    <w:name w:val="正文_2_0_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85">
    <w:name w:val="*正文_3"/>
    <w:basedOn w:val="86"/>
    <w:next w:val="86"/>
    <w:autoRedefine/>
    <w:qFormat/>
    <w:uiPriority w:val="0"/>
    <w:pPr>
      <w:widowControl/>
      <w:ind w:firstLine="482"/>
    </w:pPr>
    <w:rPr>
      <w:rFonts w:ascii="微软雅黑" w:hAnsi="微软雅黑" w:eastAsia="微软雅黑"/>
      <w:kern w:val="0"/>
      <w:szCs w:val="20"/>
    </w:rPr>
  </w:style>
  <w:style w:type="paragraph" w:customStyle="1" w:styleId="86">
    <w:name w:val="正文_2_1"/>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87">
    <w:name w:val="Normal_5"/>
    <w:autoRedefine/>
    <w:qFormat/>
    <w:uiPriority w:val="0"/>
    <w:rPr>
      <w:rFonts w:ascii="黑体" w:hAnsi="黑体" w:eastAsia="黑体" w:cs="Times New Roman"/>
      <w:b/>
      <w:sz w:val="32"/>
      <w:szCs w:val="24"/>
      <w:lang w:val="en-US" w:eastAsia="zh-CN" w:bidi="ar-SA"/>
    </w:rPr>
  </w:style>
  <w:style w:type="paragraph" w:customStyle="1" w:styleId="88">
    <w:name w:val="*正文_3_0"/>
    <w:basedOn w:val="89"/>
    <w:next w:val="89"/>
    <w:autoRedefine/>
    <w:qFormat/>
    <w:uiPriority w:val="0"/>
    <w:pPr>
      <w:widowControl/>
      <w:ind w:firstLine="482"/>
    </w:pPr>
    <w:rPr>
      <w:rFonts w:ascii="微软雅黑" w:hAnsi="微软雅黑" w:eastAsia="微软雅黑"/>
      <w:kern w:val="0"/>
      <w:szCs w:val="20"/>
    </w:rPr>
  </w:style>
  <w:style w:type="paragraph" w:customStyle="1" w:styleId="89">
    <w:name w:val="正文_3_0_0"/>
    <w:next w:val="9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90">
    <w:name w:val="正文文本_3"/>
    <w:basedOn w:val="89"/>
    <w:next w:val="91"/>
    <w:autoRedefine/>
    <w:unhideWhenUsed/>
    <w:qFormat/>
    <w:uiPriority w:val="0"/>
    <w:pPr>
      <w:widowControl/>
      <w:adjustRightInd w:val="0"/>
      <w:spacing w:after="60" w:line="360" w:lineRule="atLeast"/>
      <w:ind w:left="72" w:leftChars="30" w:right="30" w:rightChars="30" w:firstLine="200" w:firstLineChars="200"/>
      <w:jc w:val="center"/>
    </w:pPr>
    <w:rPr>
      <w:kern w:val="0"/>
      <w:sz w:val="20"/>
      <w:szCs w:val="20"/>
    </w:rPr>
  </w:style>
  <w:style w:type="paragraph" w:customStyle="1" w:styleId="91">
    <w:name w:val="Default_3_0"/>
    <w:next w:val="89"/>
    <w:autoRedefine/>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92">
    <w:name w:val="*正文_4"/>
    <w:basedOn w:val="60"/>
    <w:next w:val="60"/>
    <w:autoRedefine/>
    <w:qFormat/>
    <w:uiPriority w:val="0"/>
    <w:pPr>
      <w:widowControl/>
      <w:ind w:firstLine="482"/>
    </w:pPr>
    <w:rPr>
      <w:rFonts w:ascii="微软雅黑" w:hAnsi="微软雅黑" w:eastAsia="微软雅黑"/>
      <w:kern w:val="0"/>
      <w:szCs w:val="20"/>
    </w:rPr>
  </w:style>
  <w:style w:type="paragraph" w:customStyle="1" w:styleId="93">
    <w:name w:val="Normal_5_0"/>
    <w:autoRedefine/>
    <w:qFormat/>
    <w:uiPriority w:val="0"/>
    <w:rPr>
      <w:rFonts w:ascii="黑体" w:hAnsi="黑体" w:eastAsia="黑体" w:cs="Times New Roman"/>
      <w:b/>
      <w:sz w:val="32"/>
      <w:szCs w:val="24"/>
      <w:lang w:val="en-US" w:eastAsia="zh-CN" w:bidi="ar-SA"/>
    </w:rPr>
  </w:style>
  <w:style w:type="paragraph" w:customStyle="1" w:styleId="94">
    <w:name w:val="Normal_6"/>
    <w:autoRedefine/>
    <w:qFormat/>
    <w:uiPriority w:val="0"/>
    <w:rPr>
      <w:rFonts w:ascii="黑体" w:hAnsi="黑体" w:eastAsia="黑体" w:cs="Times New Roman"/>
      <w:b/>
      <w:sz w:val="32"/>
      <w:szCs w:val="24"/>
      <w:lang w:val="en-US" w:eastAsia="zh-CN" w:bidi="ar-SA"/>
    </w:rPr>
  </w:style>
  <w:style w:type="paragraph" w:customStyle="1" w:styleId="95">
    <w:name w:val="正文_4"/>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96">
    <w:name w:val="Normal_22"/>
    <w:autoRedefine/>
    <w:qFormat/>
    <w:uiPriority w:val="0"/>
    <w:rPr>
      <w:rFonts w:ascii="Times New Roman" w:hAnsi="Times New Roman" w:eastAsia="Times New Roman" w:cs="Times New Roman"/>
      <w:sz w:val="24"/>
      <w:szCs w:val="24"/>
      <w:lang w:val="en-US" w:eastAsia="zh-CN" w:bidi="ar-SA"/>
    </w:rPr>
  </w:style>
  <w:style w:type="paragraph" w:customStyle="1" w:styleId="97">
    <w:name w:val="Normal_7"/>
    <w:autoRedefine/>
    <w:qFormat/>
    <w:uiPriority w:val="0"/>
    <w:rPr>
      <w:rFonts w:ascii="黑体" w:hAnsi="黑体" w:eastAsia="黑体" w:cs="Times New Roman"/>
      <w:b/>
      <w:sz w:val="32"/>
      <w:szCs w:val="24"/>
      <w:lang w:val="en-US" w:eastAsia="zh-CN" w:bidi="ar-SA"/>
    </w:rPr>
  </w:style>
  <w:style w:type="paragraph" w:customStyle="1" w:styleId="98">
    <w:name w:val="正文_6"/>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99">
    <w:name w:val="Normal_8"/>
    <w:autoRedefine/>
    <w:qFormat/>
    <w:uiPriority w:val="0"/>
    <w:rPr>
      <w:rFonts w:ascii="黑体" w:hAnsi="黑体" w:eastAsia="黑体" w:cs="Times New Roman"/>
      <w:b/>
      <w:sz w:val="32"/>
      <w:szCs w:val="24"/>
      <w:lang w:val="en-US" w:eastAsia="zh-CN" w:bidi="ar-SA"/>
    </w:rPr>
  </w:style>
  <w:style w:type="paragraph" w:customStyle="1" w:styleId="100">
    <w:name w:val="Body text|3"/>
    <w:basedOn w:val="54"/>
    <w:autoRedefine/>
    <w:qFormat/>
    <w:uiPriority w:val="0"/>
    <w:pPr>
      <w:spacing w:after="580"/>
      <w:jc w:val="center"/>
    </w:pPr>
    <w:rPr>
      <w:rFonts w:ascii="宋体" w:hAnsi="宋体" w:cs="宋体"/>
      <w:sz w:val="36"/>
      <w:szCs w:val="36"/>
      <w:lang w:val="zh-TW" w:eastAsia="zh-TW" w:bidi="zh-TW"/>
    </w:rPr>
  </w:style>
  <w:style w:type="paragraph" w:customStyle="1" w:styleId="101">
    <w:name w:val="Body text|1_0"/>
    <w:basedOn w:val="54"/>
    <w:autoRedefine/>
    <w:qFormat/>
    <w:uiPriority w:val="0"/>
    <w:pPr>
      <w:spacing w:line="326" w:lineRule="auto"/>
      <w:ind w:firstLine="400"/>
    </w:pPr>
    <w:rPr>
      <w:rFonts w:ascii="宋体" w:hAnsi="宋体" w:cs="宋体"/>
      <w:sz w:val="32"/>
      <w:szCs w:val="32"/>
      <w:lang w:val="zh-TW" w:eastAsia="zh-TW" w:bidi="zh-TW"/>
    </w:rPr>
  </w:style>
  <w:style w:type="paragraph" w:customStyle="1" w:styleId="102">
    <w:name w:val="Normal_9"/>
    <w:autoRedefine/>
    <w:qFormat/>
    <w:uiPriority w:val="0"/>
    <w:rPr>
      <w:rFonts w:ascii="黑体" w:hAnsi="黑体" w:eastAsia="黑体" w:cs="Times New Roman"/>
      <w:b/>
      <w:sz w:val="32"/>
      <w:szCs w:val="24"/>
      <w:lang w:val="en-US" w:eastAsia="zh-CN" w:bidi="ar-SA"/>
    </w:rPr>
  </w:style>
  <w:style w:type="paragraph" w:customStyle="1" w:styleId="103">
    <w:name w:val="正文_7_0_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04">
    <w:name w:val="Normal_10"/>
    <w:autoRedefine/>
    <w:qFormat/>
    <w:uiPriority w:val="0"/>
    <w:rPr>
      <w:rFonts w:ascii="黑体" w:hAnsi="黑体" w:eastAsia="黑体" w:cs="Times New Roman"/>
      <w:b/>
      <w:sz w:val="32"/>
      <w:szCs w:val="24"/>
      <w:lang w:val="en-US" w:eastAsia="zh-CN" w:bidi="ar-SA"/>
    </w:rPr>
  </w:style>
  <w:style w:type="paragraph" w:customStyle="1" w:styleId="105">
    <w:name w:val="正文_8_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06">
    <w:name w:val="Normal_11"/>
    <w:autoRedefine/>
    <w:qFormat/>
    <w:uiPriority w:val="0"/>
    <w:rPr>
      <w:rFonts w:ascii="黑体" w:hAnsi="黑体" w:eastAsia="黑体" w:cs="Times New Roman"/>
      <w:b/>
      <w:sz w:val="32"/>
      <w:szCs w:val="24"/>
      <w:lang w:val="en-US" w:eastAsia="zh-CN" w:bidi="ar-SA"/>
    </w:rPr>
  </w:style>
  <w:style w:type="paragraph" w:customStyle="1" w:styleId="107">
    <w:name w:val="正文_10_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08">
    <w:name w:val="Normal_12"/>
    <w:autoRedefine/>
    <w:qFormat/>
    <w:uiPriority w:val="0"/>
    <w:rPr>
      <w:rFonts w:ascii="黑体" w:hAnsi="黑体" w:eastAsia="黑体" w:cs="Times New Roman"/>
      <w:b/>
      <w:sz w:val="32"/>
      <w:szCs w:val="24"/>
      <w:lang w:val="en-US" w:eastAsia="zh-CN" w:bidi="ar-SA"/>
    </w:rPr>
  </w:style>
  <w:style w:type="paragraph" w:customStyle="1" w:styleId="109">
    <w:name w:val="正文_11_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0">
    <w:name w:val="Normal_13"/>
    <w:autoRedefine/>
    <w:qFormat/>
    <w:uiPriority w:val="0"/>
    <w:rPr>
      <w:rFonts w:ascii="黑体" w:hAnsi="黑体" w:eastAsia="黑体" w:cs="Times New Roman"/>
      <w:b/>
      <w:sz w:val="32"/>
      <w:szCs w:val="24"/>
      <w:lang w:val="en-US" w:eastAsia="zh-CN" w:bidi="ar-SA"/>
    </w:rPr>
  </w:style>
  <w:style w:type="paragraph" w:customStyle="1" w:styleId="111">
    <w:name w:val="正文_12_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2">
    <w:name w:val="正文_14_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3">
    <w:name w:val="Normal_15"/>
    <w:autoRedefine/>
    <w:qFormat/>
    <w:uiPriority w:val="0"/>
    <w:rPr>
      <w:rFonts w:ascii="黑体" w:hAnsi="黑体" w:eastAsia="黑体" w:cs="Times New Roman"/>
      <w:b/>
      <w:sz w:val="32"/>
      <w:szCs w:val="24"/>
      <w:lang w:val="en-US" w:eastAsia="zh-CN" w:bidi="ar-SA"/>
    </w:rPr>
  </w:style>
  <w:style w:type="paragraph" w:customStyle="1" w:styleId="114">
    <w:name w:val="正文_15_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5">
    <w:name w:val="Normal_16"/>
    <w:autoRedefine/>
    <w:qFormat/>
    <w:uiPriority w:val="0"/>
    <w:rPr>
      <w:rFonts w:ascii="黑体" w:hAnsi="黑体" w:eastAsia="黑体" w:cs="Times New Roman"/>
      <w:b/>
      <w:sz w:val="32"/>
      <w:szCs w:val="24"/>
      <w:lang w:val="en-US" w:eastAsia="zh-CN" w:bidi="ar-SA"/>
    </w:rPr>
  </w:style>
  <w:style w:type="paragraph" w:customStyle="1" w:styleId="116">
    <w:name w:val="正文_16_0"/>
    <w:autoRedefine/>
    <w:qFormat/>
    <w:uiPriority w:val="0"/>
    <w:pPr>
      <w:widowControl w:val="0"/>
      <w:jc w:val="both"/>
    </w:pPr>
    <w:rPr>
      <w:rFonts w:ascii="Calibri" w:hAnsi="Calibri" w:eastAsia="宋体" w:cs="Times New Roman"/>
      <w:kern w:val="2"/>
      <w:sz w:val="21"/>
      <w:szCs w:val="22"/>
      <w:lang w:val="en-US" w:eastAsia="zh-CN" w:bidi="ar-SA"/>
    </w:rPr>
  </w:style>
  <w:style w:type="table" w:customStyle="1" w:styleId="117">
    <w:name w:val="Table Normal"/>
    <w:autoRedefine/>
    <w:semiHidden/>
    <w:unhideWhenUsed/>
    <w:qFormat/>
    <w:uiPriority w:val="0"/>
    <w:tblPr>
      <w:tblCellMar>
        <w:top w:w="0" w:type="dxa"/>
        <w:left w:w="0" w:type="dxa"/>
        <w:bottom w:w="0" w:type="dxa"/>
        <w:right w:w="0" w:type="dxa"/>
      </w:tblCellMar>
    </w:tblPr>
  </w:style>
  <w:style w:type="paragraph" w:customStyle="1" w:styleId="118">
    <w:name w:val="正文_17_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9">
    <w:name w:val="Normal_17"/>
    <w:autoRedefine/>
    <w:qFormat/>
    <w:uiPriority w:val="0"/>
    <w:rPr>
      <w:rFonts w:ascii="黑体" w:hAnsi="黑体" w:eastAsia="黑体" w:cs="Times New Roman"/>
      <w:b/>
      <w:sz w:val="32"/>
      <w:szCs w:val="24"/>
      <w:lang w:val="en-US" w:eastAsia="zh-CN" w:bidi="ar-SA"/>
    </w:rPr>
  </w:style>
  <w:style w:type="paragraph" w:customStyle="1" w:styleId="120">
    <w:name w:val="正文_17"/>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21">
    <w:name w:val="Normal_18"/>
    <w:autoRedefine/>
    <w:qFormat/>
    <w:uiPriority w:val="0"/>
    <w:rPr>
      <w:rFonts w:ascii="黑体" w:hAnsi="黑体" w:eastAsia="黑体" w:cs="Times New Roman"/>
      <w:b/>
      <w:sz w:val="32"/>
      <w:szCs w:val="24"/>
      <w:lang w:val="en-US" w:eastAsia="zh-CN" w:bidi="ar-SA"/>
    </w:rPr>
  </w:style>
  <w:style w:type="paragraph" w:customStyle="1" w:styleId="122">
    <w:name w:val="Normal_19"/>
    <w:autoRedefine/>
    <w:qFormat/>
    <w:uiPriority w:val="0"/>
    <w:rPr>
      <w:rFonts w:ascii="黑体" w:hAnsi="黑体" w:eastAsia="黑体" w:cs="Times New Roman"/>
      <w:b/>
      <w:sz w:val="32"/>
      <w:szCs w:val="24"/>
      <w:lang w:val="en-US" w:eastAsia="zh-CN" w:bidi="ar-SA"/>
    </w:rPr>
  </w:style>
  <w:style w:type="paragraph" w:customStyle="1" w:styleId="123">
    <w:name w:val="Normal_20"/>
    <w:autoRedefine/>
    <w:qFormat/>
    <w:uiPriority w:val="0"/>
    <w:rPr>
      <w:rFonts w:ascii="黑体" w:hAnsi="黑体" w:eastAsia="黑体" w:cs="Times New Roman"/>
      <w:b/>
      <w:sz w:val="32"/>
      <w:szCs w:val="24"/>
      <w:lang w:val="en-US" w:eastAsia="zh-CN" w:bidi="ar-SA"/>
    </w:rPr>
  </w:style>
  <w:style w:type="paragraph" w:customStyle="1" w:styleId="124">
    <w:name w:val="正文_19"/>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25">
    <w:name w:val="Normal_21"/>
    <w:autoRedefine/>
    <w:qFormat/>
    <w:uiPriority w:val="0"/>
    <w:rPr>
      <w:rFonts w:ascii="黑体" w:hAnsi="黑体" w:eastAsia="黑体" w:cs="Times New Roman"/>
      <w:b/>
      <w:sz w:val="32"/>
      <w:szCs w:val="24"/>
      <w:lang w:val="en-US" w:eastAsia="zh-CN" w:bidi="ar-SA"/>
    </w:rPr>
  </w:style>
  <w:style w:type="paragraph" w:customStyle="1" w:styleId="126">
    <w:name w:val="_Style 1"/>
    <w:basedOn w:val="1"/>
    <w:autoRedefine/>
    <w:qFormat/>
    <w:uiPriority w:val="34"/>
    <w:pPr>
      <w:autoSpaceDE w:val="0"/>
      <w:autoSpaceDN w:val="0"/>
      <w:adjustRightInd w:val="0"/>
      <w:spacing w:line="300" w:lineRule="auto"/>
      <w:ind w:firstLine="200" w:firstLineChars="200"/>
    </w:pPr>
    <w:rPr>
      <w:rFonts w:ascii="Calibri" w:hAnsi="Calibri" w:eastAsi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2.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2.png"/><Relationship Id="rId11" Type="http://schemas.openxmlformats.org/officeDocument/2006/relationships/image" Target="media/image1.png"/><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B12FD0C-FA60-40FF-9000-B462B9F06296}">
  <ds:schemaRefs/>
</ds:datastoreItem>
</file>

<file path=docProps/app.xml><?xml version="1.0" encoding="utf-8"?>
<Properties xmlns="http://schemas.openxmlformats.org/officeDocument/2006/extended-properties" xmlns:vt="http://schemas.openxmlformats.org/officeDocument/2006/docPropsVTypes">
  <Template>Normal</Template>
  <Pages>103</Pages>
  <Words>48121</Words>
  <Characters>7745</Characters>
  <Lines>64</Lines>
  <Paragraphs>111</Paragraphs>
  <TotalTime>22</TotalTime>
  <ScaleCrop>false</ScaleCrop>
  <LinksUpToDate>false</LinksUpToDate>
  <CharactersWithSpaces>55755</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2023-08-07T07:33:00Z</dcterms:created>
  <dc:creator>阳光</dc:creator>
  <cp:lastModifiedBy>Administrator</cp:lastModifiedBy>
  <cp:lastPrinted>2023-08-09T09:23:00Z</cp:lastPrinted>
  <dcterms:modified xsi:type="dcterms:W3CDTF">2023-12-19T08:27:23Z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1275773DAF494394A759DAB969A7CF31_13</vt:lpwstr>
  </property>
</Properties>
</file>