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hint="eastAsia" w:ascii="仿宋" w:hAnsi="仿宋" w:eastAsia="仿宋" w:cs="仿宋"/>
          <w:color w:val="auto"/>
          <w:highlight w:val="none"/>
        </w:rPr>
      </w:pPr>
    </w:p>
    <w:p>
      <w:pPr>
        <w:spacing w:line="360" w:lineRule="auto"/>
        <w:jc w:val="center"/>
        <w:rPr>
          <w:rFonts w:hint="eastAsia" w:ascii="仿宋" w:hAnsi="仿宋" w:eastAsia="仿宋" w:cs="仿宋"/>
          <w:b/>
          <w:color w:val="auto"/>
          <w:sz w:val="44"/>
          <w:szCs w:val="44"/>
          <w:highlight w:val="none"/>
          <w:lang w:eastAsia="zh-CN"/>
        </w:rPr>
      </w:pPr>
      <w:r>
        <w:rPr>
          <w:rFonts w:hint="eastAsia" w:ascii="仿宋" w:hAnsi="仿宋" w:eastAsia="仿宋" w:cs="仿宋"/>
          <w:b/>
          <w:color w:val="auto"/>
          <w:sz w:val="44"/>
          <w:szCs w:val="44"/>
          <w:highlight w:val="none"/>
          <w:lang w:eastAsia="zh-CN"/>
        </w:rPr>
        <w:t>洛阳市应急管理局洛阳市基层防灾能力提升项目(第二批)</w:t>
      </w:r>
    </w:p>
    <w:p>
      <w:pPr>
        <w:spacing w:line="360" w:lineRule="auto"/>
        <w:jc w:val="center"/>
        <w:rPr>
          <w:rFonts w:hint="eastAsia" w:ascii="仿宋" w:hAnsi="仿宋" w:eastAsia="仿宋" w:cs="仿宋"/>
          <w:b/>
          <w:color w:val="auto"/>
          <w:sz w:val="56"/>
          <w:szCs w:val="72"/>
          <w:highlight w:val="none"/>
        </w:rPr>
      </w:pPr>
      <w:r>
        <w:rPr>
          <w:rFonts w:hint="eastAsia" w:ascii="仿宋" w:hAnsi="仿宋" w:eastAsia="仿宋" w:cs="仿宋"/>
          <w:b/>
          <w:color w:val="auto"/>
          <w:sz w:val="56"/>
          <w:szCs w:val="72"/>
          <w:highlight w:val="none"/>
        </w:rPr>
        <w:t>招 标 文 件</w:t>
      </w:r>
    </w:p>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项目编号:洛直政采招标(2024)0237号</w:t>
      </w:r>
    </w:p>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政府采购管理部门备案编号：洛采公开-2024-69</w:t>
      </w:r>
    </w:p>
    <w:p>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代理机构项目编号：</w:t>
      </w:r>
      <w:r>
        <w:rPr>
          <w:rFonts w:hint="eastAsia" w:ascii="仿宋" w:hAnsi="仿宋" w:eastAsia="仿宋" w:cs="仿宋"/>
          <w:color w:val="auto"/>
          <w:sz w:val="24"/>
          <w:szCs w:val="24"/>
          <w:highlight w:val="none"/>
          <w:lang w:eastAsia="zh-CN"/>
        </w:rPr>
        <w:t>HNZZ-2024-025</w:t>
      </w:r>
    </w:p>
    <w:p>
      <w:pPr>
        <w:pStyle w:val="24"/>
        <w:rPr>
          <w:rFonts w:hint="eastAsia" w:ascii="仿宋" w:hAnsi="仿宋" w:eastAsia="仿宋" w:cs="仿宋"/>
          <w:color w:val="auto"/>
          <w:highlight w:val="none"/>
        </w:rPr>
      </w:pPr>
    </w:p>
    <w:p>
      <w:pPr>
        <w:jc w:val="center"/>
        <w:rPr>
          <w:rFonts w:hint="eastAsia" w:ascii="仿宋" w:hAnsi="仿宋" w:eastAsia="仿宋" w:cs="仿宋"/>
          <w:color w:val="auto"/>
          <w:highlight w:val="none"/>
        </w:rPr>
      </w:pPr>
      <w:r>
        <w:rPr>
          <w:rFonts w:hint="eastAsia" w:ascii="仿宋" w:hAnsi="仿宋" w:eastAsia="仿宋" w:cs="仿宋"/>
          <w:color w:val="auto"/>
          <w:highlight w:val="none"/>
        </w:rPr>
        <w:drawing>
          <wp:inline distT="0" distB="0" distL="114300" distR="114300">
            <wp:extent cx="3576320" cy="3035935"/>
            <wp:effectExtent l="0" t="0" r="5080" b="12065"/>
            <wp:docPr id="4" name="图片 4" descr="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新logo"/>
                    <pic:cNvPicPr>
                      <a:picLocks noChangeAspect="1"/>
                    </pic:cNvPicPr>
                  </pic:nvPicPr>
                  <pic:blipFill>
                    <a:blip r:embed="rId22" cstate="print"/>
                    <a:stretch>
                      <a:fillRect/>
                    </a:stretch>
                  </pic:blipFill>
                  <pic:spPr>
                    <a:xfrm>
                      <a:off x="0" y="0"/>
                      <a:ext cx="3576320" cy="3035935"/>
                    </a:xfrm>
                    <a:prstGeom prst="rect">
                      <a:avLst/>
                    </a:prstGeom>
                  </pic:spPr>
                </pic:pic>
              </a:graphicData>
            </a:graphic>
          </wp:inline>
        </w:drawing>
      </w:r>
    </w:p>
    <w:p>
      <w:pPr>
        <w:pStyle w:val="24"/>
        <w:rPr>
          <w:rFonts w:hint="eastAsia" w:ascii="仿宋" w:hAnsi="仿宋" w:eastAsia="仿宋" w:cs="仿宋"/>
          <w:color w:val="auto"/>
          <w:highlight w:val="none"/>
        </w:rPr>
      </w:pPr>
    </w:p>
    <w:p>
      <w:pPr>
        <w:pStyle w:val="25"/>
        <w:rPr>
          <w:rFonts w:hint="eastAsia" w:ascii="仿宋" w:hAnsi="仿宋" w:eastAsia="仿宋" w:cs="仿宋"/>
          <w:color w:val="auto"/>
          <w:highlight w:val="none"/>
        </w:rPr>
      </w:pPr>
    </w:p>
    <w:p>
      <w:pPr>
        <w:pStyle w:val="275"/>
        <w:spacing w:line="360" w:lineRule="auto"/>
        <w:ind w:firstLine="0"/>
        <w:jc w:val="center"/>
        <w:rPr>
          <w:rFonts w:hint="eastAsia" w:ascii="仿宋" w:hAnsi="仿宋" w:eastAsia="仿宋" w:cs="仿宋"/>
          <w:b/>
          <w:color w:val="auto"/>
          <w:spacing w:val="14"/>
          <w:sz w:val="28"/>
          <w:szCs w:val="28"/>
          <w:highlight w:val="none"/>
          <w:lang w:eastAsia="zh-CN"/>
        </w:rPr>
      </w:pPr>
      <w:r>
        <w:rPr>
          <w:rFonts w:hint="eastAsia" w:ascii="仿宋" w:hAnsi="仿宋" w:eastAsia="仿宋" w:cs="仿宋"/>
          <w:b/>
          <w:color w:val="auto"/>
          <w:spacing w:val="14"/>
          <w:sz w:val="28"/>
          <w:szCs w:val="28"/>
          <w:highlight w:val="none"/>
        </w:rPr>
        <w:t>招标人：</w:t>
      </w:r>
      <w:r>
        <w:rPr>
          <w:rFonts w:hint="eastAsia" w:ascii="仿宋" w:hAnsi="仿宋" w:eastAsia="仿宋" w:cs="仿宋"/>
          <w:b/>
          <w:color w:val="auto"/>
          <w:spacing w:val="14"/>
          <w:sz w:val="28"/>
          <w:szCs w:val="28"/>
          <w:highlight w:val="none"/>
          <w:lang w:eastAsia="zh-CN"/>
        </w:rPr>
        <w:t>洛阳市应急管理局</w:t>
      </w:r>
    </w:p>
    <w:p>
      <w:pPr>
        <w:pStyle w:val="275"/>
        <w:spacing w:line="360" w:lineRule="auto"/>
        <w:ind w:firstLine="0"/>
        <w:jc w:val="center"/>
        <w:rPr>
          <w:rFonts w:hint="eastAsia" w:ascii="仿宋" w:hAnsi="仿宋" w:eastAsia="仿宋" w:cs="仿宋"/>
          <w:b/>
          <w:color w:val="auto"/>
          <w:spacing w:val="14"/>
          <w:sz w:val="28"/>
          <w:szCs w:val="28"/>
          <w:highlight w:val="none"/>
        </w:rPr>
      </w:pPr>
      <w:r>
        <w:rPr>
          <w:rFonts w:hint="eastAsia" w:ascii="仿宋" w:hAnsi="仿宋" w:eastAsia="仿宋" w:cs="仿宋"/>
          <w:b/>
          <w:color w:val="auto"/>
          <w:spacing w:val="14"/>
          <w:sz w:val="28"/>
          <w:szCs w:val="28"/>
          <w:highlight w:val="none"/>
        </w:rPr>
        <w:t>招标代理：河南专招工程管理有限责任公司</w:t>
      </w:r>
    </w:p>
    <w:p>
      <w:pPr>
        <w:pStyle w:val="275"/>
        <w:spacing w:line="360" w:lineRule="auto"/>
        <w:ind w:firstLine="0"/>
        <w:jc w:val="center"/>
        <w:rPr>
          <w:rFonts w:hint="eastAsia" w:ascii="仿宋" w:hAnsi="仿宋" w:eastAsia="仿宋" w:cs="仿宋"/>
          <w:b/>
          <w:color w:val="auto"/>
          <w:spacing w:val="14"/>
          <w:sz w:val="28"/>
          <w:szCs w:val="28"/>
          <w:highlight w:val="none"/>
        </w:rPr>
      </w:pPr>
      <w:r>
        <w:rPr>
          <w:rFonts w:hint="eastAsia" w:ascii="仿宋" w:hAnsi="仿宋" w:eastAsia="仿宋" w:cs="仿宋"/>
          <w:b/>
          <w:color w:val="auto"/>
          <w:spacing w:val="14"/>
          <w:sz w:val="28"/>
          <w:szCs w:val="28"/>
          <w:highlight w:val="none"/>
        </w:rPr>
        <w:t>时间：二〇二四年</w:t>
      </w:r>
      <w:r>
        <w:rPr>
          <w:rFonts w:hint="eastAsia" w:ascii="仿宋" w:hAnsi="仿宋" w:eastAsia="仿宋" w:cs="仿宋"/>
          <w:b/>
          <w:color w:val="auto"/>
          <w:spacing w:val="14"/>
          <w:sz w:val="28"/>
          <w:szCs w:val="28"/>
          <w:highlight w:val="none"/>
          <w:lang w:val="en-US" w:eastAsia="zh-CN"/>
        </w:rPr>
        <w:t>五</w:t>
      </w:r>
      <w:r>
        <w:rPr>
          <w:rFonts w:hint="eastAsia" w:ascii="仿宋" w:hAnsi="仿宋" w:eastAsia="仿宋" w:cs="仿宋"/>
          <w:b/>
          <w:color w:val="auto"/>
          <w:spacing w:val="14"/>
          <w:sz w:val="28"/>
          <w:szCs w:val="28"/>
          <w:highlight w:val="none"/>
        </w:rPr>
        <w:t>月</w:t>
      </w:r>
    </w:p>
    <w:p>
      <w:pPr>
        <w:snapToGrid w:val="0"/>
        <w:spacing w:line="700" w:lineRule="exact"/>
        <w:jc w:val="center"/>
        <w:rPr>
          <w:rFonts w:hint="eastAsia" w:ascii="仿宋" w:hAnsi="仿宋" w:eastAsia="仿宋" w:cs="仿宋"/>
          <w:b/>
          <w:color w:val="auto"/>
          <w:sz w:val="32"/>
          <w:szCs w:val="32"/>
          <w:highlight w:val="none"/>
        </w:rPr>
        <w:sectPr>
          <w:headerReference r:id="rId3" w:type="default"/>
          <w:footerReference r:id="rId4" w:type="default"/>
          <w:pgSz w:w="11906" w:h="16838"/>
          <w:pgMar w:top="1418" w:right="1418" w:bottom="1418" w:left="1418" w:header="851" w:footer="652" w:gutter="0"/>
          <w:cols w:space="720" w:num="1"/>
          <w:docGrid w:type="linesAndChars" w:linePitch="411" w:charSpace="-5777"/>
        </w:sectPr>
      </w:pPr>
    </w:p>
    <w:p>
      <w:pPr>
        <w:pStyle w:val="154"/>
        <w:jc w:val="center"/>
        <w:rPr>
          <w:rFonts w:hint="eastAsia" w:ascii="仿宋" w:hAnsi="仿宋" w:eastAsia="仿宋" w:cs="仿宋"/>
          <w:b/>
          <w:color w:val="auto"/>
          <w:spacing w:val="14"/>
          <w:szCs w:val="21"/>
          <w:highlight w:val="none"/>
        </w:rPr>
      </w:pPr>
      <w:r>
        <w:rPr>
          <w:rFonts w:hint="eastAsia" w:ascii="仿宋" w:hAnsi="仿宋" w:eastAsia="仿宋" w:cs="仿宋"/>
          <w:b/>
          <w:color w:val="auto"/>
          <w:spacing w:val="14"/>
          <w:szCs w:val="21"/>
          <w:highlight w:val="none"/>
        </w:rPr>
        <w:t>特 别 提 示</w:t>
      </w:r>
    </w:p>
    <w:p>
      <w:pPr>
        <w:rPr>
          <w:rFonts w:hint="eastAsia" w:ascii="仿宋" w:hAnsi="仿宋" w:eastAsia="仿宋" w:cs="仿宋"/>
          <w:color w:val="auto"/>
          <w:sz w:val="21"/>
          <w:szCs w:val="21"/>
          <w:highlight w:val="none"/>
        </w:rPr>
      </w:pPr>
    </w:p>
    <w:p>
      <w:pPr>
        <w:pStyle w:val="275"/>
        <w:rPr>
          <w:rFonts w:hint="eastAsia" w:ascii="仿宋" w:hAnsi="仿宋" w:eastAsia="仿宋" w:cs="仿宋"/>
          <w:b/>
          <w:color w:val="auto"/>
          <w:spacing w:val="14"/>
          <w:sz w:val="24"/>
          <w:szCs w:val="24"/>
          <w:highlight w:val="none"/>
        </w:rPr>
      </w:pPr>
      <w:r>
        <w:rPr>
          <w:rFonts w:hint="eastAsia" w:ascii="仿宋" w:hAnsi="仿宋" w:eastAsia="仿宋" w:cs="仿宋"/>
          <w:b/>
          <w:color w:val="auto"/>
          <w:spacing w:val="14"/>
          <w:sz w:val="24"/>
          <w:szCs w:val="24"/>
          <w:highlight w:val="none"/>
        </w:rPr>
        <w:t>1、投标文件制作</w:t>
      </w:r>
    </w:p>
    <w:p>
      <w:pPr>
        <w:pStyle w:val="275"/>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1.1投标人登录“洛阳市公共资源交易中心”网站，按要求下载“新点投标文件制作软件”。</w:t>
      </w:r>
    </w:p>
    <w:p>
      <w:pPr>
        <w:pStyle w:val="275"/>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1.2投标人凭CA锁登录，并按网上提示自行下载招标文件。使用“新点投标文件制作软件”按要求制作电子投标文件。投标人在制作电子投标文件时，应按要求进行电子签章。投标人编辑电子投标文件时，根据招标文件要求用法定代表人CA锁和企业CA锁进行签章制作；最后一步生成电子投标文件（*.lytf格式和*.nlytf格式）时，只能用本单位的企业CA锁。联合体投标的，投标文件由联合体牵头人按上述规定进行签章。</w:t>
      </w:r>
    </w:p>
    <w:p>
      <w:pPr>
        <w:pStyle w:val="275"/>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1.3加密的电子投标文件为“洛阳市公共资源交易中心”网站提供的“新点投标文件制作软件”制作生成的加密版投标文件。</w:t>
      </w:r>
    </w:p>
    <w:p>
      <w:pPr>
        <w:pStyle w:val="275"/>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1.4投标文件格式所要求包含的全部资料应全部制作在投标文件内，严格按照本项目投标文件所有格式如实填写（不涉及的内容除外），不应存在漏项或缺项，否则将存在投标被否决的风险。</w:t>
      </w:r>
    </w:p>
    <w:p>
      <w:pPr>
        <w:pStyle w:val="275"/>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1.5投标文件所附证明材料均为扫描件（或照片），尺寸和清晰度应该能够在电脑上被阅读、识别和判断；若投标人未按要求提供证明材料或提供不清晰的扫描件（或照片）的，评标委员会有权认定其投标文件未对招标文件有关要求进行响应，涉及资格审查或符合性审查的将不予通过。</w:t>
      </w:r>
    </w:p>
    <w:p>
      <w:pPr>
        <w:pStyle w:val="275"/>
        <w:rPr>
          <w:rFonts w:hint="eastAsia" w:ascii="仿宋" w:hAnsi="仿宋" w:eastAsia="仿宋" w:cs="仿宋"/>
          <w:b/>
          <w:color w:val="auto"/>
          <w:spacing w:val="14"/>
          <w:sz w:val="24"/>
          <w:szCs w:val="24"/>
          <w:highlight w:val="none"/>
        </w:rPr>
      </w:pPr>
      <w:r>
        <w:rPr>
          <w:rFonts w:hint="eastAsia" w:ascii="仿宋" w:hAnsi="仿宋" w:eastAsia="仿宋" w:cs="仿宋"/>
          <w:b/>
          <w:color w:val="auto"/>
          <w:spacing w:val="14"/>
          <w:sz w:val="24"/>
          <w:szCs w:val="24"/>
          <w:highlight w:val="none"/>
        </w:rPr>
        <w:t>2、投标文件的提交</w:t>
      </w:r>
    </w:p>
    <w:p>
      <w:pPr>
        <w:pStyle w:val="275"/>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2.1除电子投标文件外，投标时不再接受任何纸质文件、资料等。</w:t>
      </w:r>
    </w:p>
    <w:p>
      <w:pPr>
        <w:pStyle w:val="275"/>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2.2投标人应在投标截止时间前上传加密的电子投标文件（*.lytf）到洛阳市电子招投标交易平台指定位置。上传时投标人须使用制作该投标文件的同一CA锁进行上传操作。请投标人在上传时认真检查上传投标文件是否完整、正确。投标人应充分考虑上传文件时的不可预见因素，未在投标截止时间前完成上传的，视为逾期送达，洛阳市电子招投标交易平台将拒绝接收。上传成功后将得到上传成功的确认。</w:t>
      </w:r>
    </w:p>
    <w:p>
      <w:pPr>
        <w:pStyle w:val="275"/>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2.3投标人因洛阳市电子招投标交易平台问题无法上传电子投标文件时，请在工作时间与交易中心联系。</w:t>
      </w:r>
    </w:p>
    <w:p>
      <w:pPr>
        <w:pStyle w:val="275"/>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2.4（此条款仅适用于现场开标的项目）未加密的电子投标文件1份（*.nlytf格式）（U盘介质），密封包装，注明项目名称，并在封套上加盖投标人单位公章或由投标人的法定代表人（单位负责人）或其授权的代理人签字。</w:t>
      </w:r>
    </w:p>
    <w:p>
      <w:pPr>
        <w:pStyle w:val="275"/>
        <w:rPr>
          <w:rFonts w:hint="eastAsia" w:ascii="仿宋" w:hAnsi="仿宋" w:eastAsia="仿宋" w:cs="仿宋"/>
          <w:b/>
          <w:color w:val="auto"/>
          <w:spacing w:val="14"/>
          <w:sz w:val="24"/>
          <w:szCs w:val="24"/>
          <w:highlight w:val="none"/>
        </w:rPr>
      </w:pPr>
      <w:r>
        <w:rPr>
          <w:rFonts w:hint="eastAsia" w:ascii="仿宋" w:hAnsi="仿宋" w:eastAsia="仿宋" w:cs="仿宋"/>
          <w:b/>
          <w:color w:val="auto"/>
          <w:spacing w:val="14"/>
          <w:sz w:val="24"/>
          <w:szCs w:val="24"/>
          <w:highlight w:val="none"/>
        </w:rPr>
        <w:t>3. 招标文件的澄清、修改</w:t>
      </w:r>
    </w:p>
    <w:p>
      <w:pPr>
        <w:pStyle w:val="275"/>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3.1招标文件的澄清、修改将在河南省政府采购网（www.hngp.gov.cn）和洛阳市公共资源交易中心网站（</w:t>
      </w:r>
      <w:r>
        <w:rPr>
          <w:rFonts w:hint="eastAsia" w:ascii="仿宋" w:hAnsi="仿宋" w:eastAsia="仿宋" w:cs="仿宋"/>
          <w:color w:val="auto"/>
          <w:spacing w:val="14"/>
          <w:sz w:val="24"/>
          <w:szCs w:val="24"/>
          <w:highlight w:val="none"/>
          <w:lang w:eastAsia="zh-CN"/>
        </w:rPr>
        <w:t>lyggzyjy.ly.gov.cn</w:t>
      </w:r>
      <w:r>
        <w:rPr>
          <w:rFonts w:hint="eastAsia" w:ascii="仿宋" w:hAnsi="仿宋" w:eastAsia="仿宋" w:cs="仿宋"/>
          <w:color w:val="auto"/>
          <w:spacing w:val="14"/>
          <w:sz w:val="24"/>
          <w:szCs w:val="24"/>
          <w:highlight w:val="none"/>
        </w:rPr>
        <w:t>）上发布“变更公告”，如需修改招标文件，则同时在洛阳市电子招投标交易平台发布“答疑文件”（答疑文件指修改后最新的招标文件）。对于各项目中已经成功报名并下载招标文件的投标人，将通过第三方短信群发方式提醒投标人进行查询。各投标人须重新下载最新的“答疑文件”，并以此编制投标文件。如不以最新发布的“答疑文件”编制投标文件，造成投标无效的后果由投标人自己承担。</w:t>
      </w:r>
    </w:p>
    <w:p>
      <w:pPr>
        <w:pStyle w:val="275"/>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3.2因洛阳市电子招投标交易平台在开标前具有保密性，投标人在投标文件递交截止时间前须自行查看项目进展、变更通知、澄清及回复，因投标人未及时查看而造成的后果自负。</w:t>
      </w:r>
    </w:p>
    <w:p>
      <w:pPr>
        <w:pStyle w:val="275"/>
        <w:rPr>
          <w:rFonts w:hint="eastAsia" w:ascii="仿宋" w:hAnsi="仿宋" w:eastAsia="仿宋" w:cs="仿宋"/>
          <w:b/>
          <w:color w:val="auto"/>
          <w:spacing w:val="14"/>
          <w:sz w:val="24"/>
          <w:szCs w:val="24"/>
          <w:highlight w:val="none"/>
        </w:rPr>
      </w:pPr>
      <w:r>
        <w:rPr>
          <w:rFonts w:hint="eastAsia" w:ascii="仿宋" w:hAnsi="仿宋" w:eastAsia="仿宋" w:cs="仿宋"/>
          <w:b/>
          <w:color w:val="auto"/>
          <w:spacing w:val="14"/>
          <w:sz w:val="24"/>
          <w:szCs w:val="24"/>
          <w:highlight w:val="none"/>
        </w:rPr>
        <w:t>4、开标</w:t>
      </w:r>
    </w:p>
    <w:p>
      <w:pPr>
        <w:pStyle w:val="275"/>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4.1 采购人在招标文件规定的时间和地点参加开标。</w:t>
      </w:r>
    </w:p>
    <w:p>
      <w:pPr>
        <w:pStyle w:val="275"/>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4.2（此条款仅适用于现场开标的项目）开标前，采购代理机构将会同投标人代表检查自己的未加密的电子投标文件的密封情况，确认无误后开标。</w:t>
      </w:r>
    </w:p>
    <w:p>
      <w:pPr>
        <w:pStyle w:val="275"/>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4.3开标时，各投标人应在规定时间内对本单位的投标文件解密。开标时，采购代理机构将通过洛阳市电子招投标交易平台进行唱标。</w:t>
      </w:r>
    </w:p>
    <w:p>
      <w:pPr>
        <w:pStyle w:val="275"/>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4.4（此条款仅适用于现场开标的项目）如投标人现场解密失败，投标人应使用未加密的电子投标文件。</w:t>
      </w:r>
    </w:p>
    <w:p>
      <w:pPr>
        <w:pStyle w:val="275"/>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4.5（此条款仅适用于现场开标的项目）开标前没有提交未加密的电子投标文件，视同放弃使用未加密的电子投标文件投标。未加密的投标文件现场无法成功上传的，投标无效。</w:t>
      </w:r>
    </w:p>
    <w:p>
      <w:pPr>
        <w:pStyle w:val="275"/>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4.6（此条款仅适用于现场开标的项目）未加密的电子投标文件仅仅作为网上提交的加密的电子投标文件在特殊情况下才启用的备份资料。没有提交网上加密电子投标文件，仅提交未加密电子投标文件的，投标无效。</w:t>
      </w:r>
    </w:p>
    <w:p>
      <w:pPr>
        <w:pStyle w:val="275"/>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5、为便于投标人（供应商）制作投标（响应）文件，本投标（响应）文件格式所列招标投标的主体称呼及专业术语，也适用于政府采购非招标方式（竞争性谈判、竞争性磋商、询价）对应的主体称呼及专业术语。</w:t>
      </w:r>
    </w:p>
    <w:p>
      <w:pPr>
        <w:pStyle w:val="275"/>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6、投标人《参与评审打分的证书（证件）一览表》及《参与评审打分的合同业绩一览表》中所填写内容须与表后所附的参与评审打分的证书（证件）扫描件、合同业绩扫描件相对应，否则将不予评审打分。采用竞争性谈判、询价方式的，该两表不进行评审打分。</w:t>
      </w:r>
    </w:p>
    <w:p>
      <w:pPr>
        <w:ind w:firstLine="474" w:firstLineChars="200"/>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 w:val="24"/>
          <w:szCs w:val="24"/>
          <w:highlight w:val="none"/>
        </w:rPr>
        <w:t>7、采购代理机构有权将《报价明细表》、《参与评审打分的证书（证件）一览表》及《参与评审打分合同业绩一览表》内容进行公示。</w:t>
      </w:r>
    </w:p>
    <w:p>
      <w:pPr>
        <w:pStyle w:val="154"/>
        <w:rPr>
          <w:rFonts w:hint="eastAsia" w:ascii="仿宋" w:hAnsi="仿宋" w:eastAsia="仿宋" w:cs="仿宋"/>
          <w:color w:val="auto"/>
          <w:spacing w:val="14"/>
          <w:szCs w:val="21"/>
          <w:highlight w:val="none"/>
        </w:rPr>
        <w:sectPr>
          <w:headerReference r:id="rId5" w:type="default"/>
          <w:footerReference r:id="rId6" w:type="default"/>
          <w:pgSz w:w="11906" w:h="16838"/>
          <w:pgMar w:top="1418" w:right="1803" w:bottom="1418" w:left="1803" w:header="680" w:footer="680" w:gutter="0"/>
          <w:cols w:space="720" w:num="1"/>
          <w:docGrid w:type="linesAndChars" w:linePitch="518" w:charSpace="-6394"/>
        </w:sectPr>
      </w:pPr>
    </w:p>
    <w:p>
      <w:pPr>
        <w:pStyle w:val="58"/>
        <w:rPr>
          <w:color w:val="auto"/>
          <w:highlight w:val="none"/>
        </w:rPr>
      </w:pPr>
      <w:bookmarkStart w:id="0" w:name="_Toc504741945"/>
      <w:bookmarkStart w:id="1" w:name="_Toc1660780"/>
      <w:bookmarkStart w:id="2" w:name="_Toc5681"/>
      <w:r>
        <w:rPr>
          <w:color w:val="auto"/>
          <w:highlight w:val="none"/>
        </w:rPr>
        <w:drawing>
          <wp:inline distT="0" distB="0" distL="114300" distR="114300">
            <wp:extent cx="5550535" cy="8183880"/>
            <wp:effectExtent l="0" t="0" r="12065"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3"/>
                    <a:stretch>
                      <a:fillRect/>
                    </a:stretch>
                  </pic:blipFill>
                  <pic:spPr>
                    <a:xfrm>
                      <a:off x="0" y="0"/>
                      <a:ext cx="5550535" cy="8183880"/>
                    </a:xfrm>
                    <a:prstGeom prst="rect">
                      <a:avLst/>
                    </a:prstGeom>
                    <a:noFill/>
                    <a:ln>
                      <a:noFill/>
                    </a:ln>
                  </pic:spPr>
                </pic:pic>
              </a:graphicData>
            </a:graphic>
          </wp:inline>
        </w:drawing>
      </w:r>
      <w:r>
        <w:rPr>
          <w:color w:val="auto"/>
          <w:highlight w:val="none"/>
        </w:rPr>
        <w:drawing>
          <wp:inline distT="0" distB="0" distL="114300" distR="114300">
            <wp:extent cx="5422900" cy="8114665"/>
            <wp:effectExtent l="0" t="0" r="6350"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4"/>
                    <a:stretch>
                      <a:fillRect/>
                    </a:stretch>
                  </pic:blipFill>
                  <pic:spPr>
                    <a:xfrm>
                      <a:off x="0" y="0"/>
                      <a:ext cx="5422900" cy="8114665"/>
                    </a:xfrm>
                    <a:prstGeom prst="rect">
                      <a:avLst/>
                    </a:prstGeom>
                    <a:noFill/>
                    <a:ln>
                      <a:noFill/>
                    </a:ln>
                  </pic:spPr>
                </pic:pic>
              </a:graphicData>
            </a:graphic>
          </wp:inline>
        </w:drawing>
      </w:r>
    </w:p>
    <w:p>
      <w:pPr>
        <w:rPr>
          <w:color w:val="auto"/>
          <w:highlight w:val="none"/>
        </w:rPr>
      </w:pPr>
      <w:r>
        <w:rPr>
          <w:color w:val="auto"/>
          <w:highlight w:val="none"/>
        </w:rPr>
        <w:br w:type="page"/>
      </w:r>
    </w:p>
    <w:p>
      <w:pPr>
        <w:pStyle w:val="58"/>
        <w:rPr>
          <w:rFonts w:hint="eastAsia" w:ascii="仿宋" w:hAnsi="仿宋" w:eastAsia="仿宋" w:cs="仿宋"/>
          <w:color w:val="auto"/>
          <w:szCs w:val="44"/>
          <w:highlight w:val="none"/>
          <w:lang w:eastAsia="zh-CN"/>
        </w:rPr>
      </w:pPr>
      <w:r>
        <w:rPr>
          <w:rFonts w:hint="eastAsia" w:ascii="仿宋" w:hAnsi="仿宋" w:eastAsia="仿宋" w:cs="仿宋"/>
          <w:color w:val="auto"/>
          <w:szCs w:val="44"/>
          <w:highlight w:val="none"/>
          <w:lang w:eastAsia="zh-CN"/>
        </w:rPr>
        <w:t>目    录</w:t>
      </w:r>
      <w:bookmarkEnd w:id="0"/>
      <w:bookmarkEnd w:id="1"/>
      <w:bookmarkEnd w:id="2"/>
    </w:p>
    <w:p>
      <w:pPr>
        <w:pStyle w:val="42"/>
        <w:tabs>
          <w:tab w:val="right" w:leader="dot" w:pos="8300"/>
        </w:tabs>
        <w:rPr>
          <w:rFonts w:hint="eastAsia" w:ascii="仿宋" w:hAnsi="仿宋" w:eastAsia="仿宋" w:cs="仿宋"/>
          <w:color w:val="auto"/>
          <w:highlight w:val="none"/>
        </w:rPr>
      </w:pPr>
      <w:r>
        <w:rPr>
          <w:rFonts w:hint="eastAsia" w:ascii="仿宋" w:hAnsi="仿宋" w:eastAsia="仿宋" w:cs="仿宋"/>
          <w:b w:val="0"/>
          <w:color w:val="auto"/>
          <w:spacing w:val="14"/>
          <w:sz w:val="24"/>
          <w:szCs w:val="24"/>
          <w:highlight w:val="none"/>
        </w:rPr>
        <w:fldChar w:fldCharType="begin"/>
      </w:r>
      <w:r>
        <w:rPr>
          <w:rFonts w:hint="eastAsia" w:ascii="仿宋" w:hAnsi="仿宋" w:eastAsia="仿宋" w:cs="仿宋"/>
          <w:b w:val="0"/>
          <w:color w:val="auto"/>
          <w:spacing w:val="14"/>
          <w:sz w:val="24"/>
          <w:szCs w:val="24"/>
          <w:highlight w:val="none"/>
        </w:rPr>
        <w:instrText xml:space="preserve"> TOC \o "1-4" \h \z \u </w:instrText>
      </w:r>
      <w:r>
        <w:rPr>
          <w:rFonts w:hint="eastAsia" w:ascii="仿宋" w:hAnsi="仿宋" w:eastAsia="仿宋" w:cs="仿宋"/>
          <w:b w:val="0"/>
          <w:color w:val="auto"/>
          <w:spacing w:val="14"/>
          <w:sz w:val="24"/>
          <w:szCs w:val="24"/>
          <w:highlight w:val="none"/>
        </w:rPr>
        <w:fldChar w:fldCharType="separate"/>
      </w:r>
    </w:p>
    <w:p>
      <w:pPr>
        <w:pStyle w:val="42"/>
        <w:tabs>
          <w:tab w:val="right" w:leader="dot" w:pos="8300"/>
        </w:tabs>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"_Toc21173"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第一章   招标公告</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_Toc21173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6</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pPr>
        <w:pStyle w:val="42"/>
        <w:tabs>
          <w:tab w:val="right" w:leader="dot" w:pos="8300"/>
        </w:tabs>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"_Toc10427" </w:instrText>
      </w:r>
      <w:r>
        <w:rPr>
          <w:rFonts w:hint="eastAsia" w:ascii="仿宋" w:hAnsi="仿宋" w:eastAsia="仿宋" w:cs="仿宋"/>
          <w:color w:val="auto"/>
          <w:highlight w:val="none"/>
        </w:rPr>
        <w:fldChar w:fldCharType="separate"/>
      </w:r>
      <w:r>
        <w:rPr>
          <w:rFonts w:hint="eastAsia" w:ascii="仿宋" w:hAnsi="仿宋" w:eastAsia="仿宋" w:cs="仿宋"/>
          <w:color w:val="auto"/>
          <w:spacing w:val="14"/>
          <w:highlight w:val="none"/>
        </w:rPr>
        <w:t xml:space="preserve">第二章  </w:t>
      </w:r>
      <w:r>
        <w:rPr>
          <w:rFonts w:hint="eastAsia" w:ascii="仿宋" w:hAnsi="仿宋" w:eastAsia="仿宋" w:cs="仿宋"/>
          <w:color w:val="auto"/>
          <w:spacing w:val="14"/>
          <w:szCs w:val="21"/>
          <w:highlight w:val="none"/>
        </w:rPr>
        <w:t>投标人</w:t>
      </w:r>
      <w:r>
        <w:rPr>
          <w:rFonts w:hint="eastAsia" w:ascii="仿宋" w:hAnsi="仿宋" w:eastAsia="仿宋" w:cs="仿宋"/>
          <w:color w:val="auto"/>
          <w:spacing w:val="14"/>
          <w:highlight w:val="none"/>
        </w:rPr>
        <w:t>须知</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_Toc10427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11</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pPr>
        <w:pStyle w:val="42"/>
        <w:tabs>
          <w:tab w:val="right" w:leader="dot" w:pos="8300"/>
        </w:tabs>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"_Toc30990"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第三章   采购需求</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_Toc30990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33</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pPr>
        <w:pStyle w:val="42"/>
        <w:tabs>
          <w:tab w:val="right" w:leader="dot" w:pos="8300"/>
        </w:tabs>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"_Toc14531"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第四章   合 同(样本)</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_Toc14531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52</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pPr>
        <w:pStyle w:val="42"/>
        <w:tabs>
          <w:tab w:val="right" w:leader="dot" w:pos="8300"/>
        </w:tabs>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"_Toc26290"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第五章   资格审查与评标办法</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_Toc26290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59</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pPr>
        <w:pStyle w:val="42"/>
        <w:tabs>
          <w:tab w:val="right" w:leader="dot" w:pos="8300"/>
        </w:tabs>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"_Toc15466"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第六章   资格审查与评审标准</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_Toc15466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62</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pPr>
        <w:pStyle w:val="42"/>
        <w:tabs>
          <w:tab w:val="right" w:leader="dot" w:pos="8300"/>
        </w:tabs>
        <w:rPr>
          <w:rFonts w:hint="eastAsia"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"_Toc9221"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第七章   投标文件格式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_Toc9221 \h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68</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pPr>
        <w:pStyle w:val="42"/>
        <w:tabs>
          <w:tab w:val="right" w:leader="dot" w:pos="8300"/>
        </w:tabs>
        <w:rPr>
          <w:rFonts w:hint="eastAsia" w:ascii="仿宋" w:hAnsi="仿宋" w:eastAsia="仿宋" w:cs="仿宋"/>
          <w:color w:val="auto"/>
          <w:highlight w:val="none"/>
        </w:rPr>
      </w:pPr>
    </w:p>
    <w:p>
      <w:pPr>
        <w:pStyle w:val="43"/>
        <w:tabs>
          <w:tab w:val="right" w:leader="dot" w:pos="8300"/>
        </w:tabs>
        <w:rPr>
          <w:rFonts w:hint="eastAsia" w:ascii="仿宋" w:hAnsi="仿宋" w:eastAsia="仿宋" w:cs="仿宋"/>
          <w:color w:val="auto"/>
          <w:highlight w:val="none"/>
        </w:rPr>
      </w:pPr>
    </w:p>
    <w:p>
      <w:pPr>
        <w:pStyle w:val="43"/>
        <w:tabs>
          <w:tab w:val="right" w:leader="dot" w:pos="8300"/>
        </w:tabs>
        <w:rPr>
          <w:rFonts w:hint="eastAsia" w:ascii="仿宋" w:hAnsi="仿宋" w:eastAsia="仿宋" w:cs="仿宋"/>
          <w:color w:val="auto"/>
          <w:highlight w:val="none"/>
        </w:rPr>
      </w:pPr>
    </w:p>
    <w:p>
      <w:pPr>
        <w:rPr>
          <w:rFonts w:hint="eastAsia" w:ascii="仿宋" w:hAnsi="仿宋" w:eastAsia="仿宋" w:cs="仿宋"/>
          <w:color w:val="auto"/>
          <w:spacing w:val="14"/>
          <w:sz w:val="24"/>
          <w:szCs w:val="24"/>
          <w:highlight w:val="none"/>
        </w:rPr>
      </w:pPr>
      <w:r>
        <w:rPr>
          <w:rFonts w:hint="eastAsia" w:ascii="仿宋" w:hAnsi="仿宋" w:eastAsia="仿宋" w:cs="仿宋"/>
          <w:color w:val="auto"/>
          <w:spacing w:val="14"/>
          <w:szCs w:val="24"/>
          <w:highlight w:val="none"/>
        </w:rPr>
        <w:fldChar w:fldCharType="end"/>
      </w:r>
    </w:p>
    <w:p>
      <w:pPr>
        <w:rPr>
          <w:rFonts w:hint="eastAsia" w:ascii="仿宋" w:hAnsi="仿宋" w:eastAsia="仿宋" w:cs="仿宋"/>
          <w:color w:val="auto"/>
          <w:spacing w:val="14"/>
          <w:sz w:val="24"/>
          <w:szCs w:val="24"/>
          <w:highlight w:val="none"/>
        </w:rPr>
        <w:sectPr>
          <w:footerReference r:id="rId7" w:type="default"/>
          <w:pgSz w:w="11906" w:h="16838"/>
          <w:pgMar w:top="1418" w:right="1803" w:bottom="1418" w:left="1803" w:header="680" w:footer="680" w:gutter="0"/>
          <w:cols w:space="720" w:num="1"/>
          <w:docGrid w:type="linesAndChars" w:linePitch="518" w:charSpace="-6394"/>
        </w:sectPr>
      </w:pPr>
    </w:p>
    <w:p>
      <w:pPr>
        <w:pStyle w:val="58"/>
        <w:rPr>
          <w:rFonts w:hint="eastAsia" w:ascii="仿宋" w:hAnsi="仿宋" w:eastAsia="仿宋" w:cs="仿宋"/>
          <w:color w:val="auto"/>
          <w:sz w:val="24"/>
          <w:szCs w:val="24"/>
          <w:highlight w:val="none"/>
          <w:lang w:eastAsia="zh-CN"/>
        </w:rPr>
      </w:pPr>
      <w:bookmarkStart w:id="3" w:name="_Toc21173"/>
      <w:bookmarkStart w:id="4" w:name="_Toc504741946"/>
      <w:r>
        <w:rPr>
          <w:rFonts w:hint="eastAsia" w:ascii="仿宋" w:hAnsi="仿宋" w:eastAsia="仿宋" w:cs="仿宋"/>
          <w:color w:val="auto"/>
          <w:highlight w:val="none"/>
          <w:lang w:eastAsia="zh-CN"/>
        </w:rPr>
        <w:t>第一章  招标公告</w:t>
      </w:r>
      <w:bookmarkEnd w:id="3"/>
    </w:p>
    <w:p>
      <w:pPr>
        <w:pStyle w:val="56"/>
        <w:spacing w:beforeAutospacing="0" w:afterAutospacing="0" w:line="430" w:lineRule="exact"/>
        <w:ind w:firstLine="418" w:firstLineChars="200"/>
        <w:jc w:val="both"/>
        <w:rPr>
          <w:rFonts w:hint="eastAsia" w:ascii="仿宋" w:hAnsi="仿宋" w:eastAsia="仿宋" w:cs="仿宋"/>
          <w:b/>
          <w:color w:val="auto"/>
          <w:highlight w:val="none"/>
        </w:rPr>
      </w:pPr>
      <w:r>
        <w:rPr>
          <w:rFonts w:hint="eastAsia" w:ascii="仿宋" w:hAnsi="仿宋" w:eastAsia="仿宋" w:cs="仿宋"/>
          <w:b/>
          <w:color w:val="auto"/>
          <w:highlight w:val="none"/>
        </w:rPr>
        <w:t>项目概况</w:t>
      </w:r>
    </w:p>
    <w:p>
      <w:pPr>
        <w:pStyle w:val="56"/>
        <w:spacing w:beforeAutospacing="0" w:afterAutospacing="0" w:line="430" w:lineRule="exact"/>
        <w:ind w:firstLine="424" w:firstLineChars="205"/>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lang w:eastAsia="zh-CN"/>
        </w:rPr>
        <w:t>洛阳市应急管理局洛阳市基层防灾能力提升项目(第二批)</w:t>
      </w:r>
      <w:r>
        <w:rPr>
          <w:rFonts w:hint="eastAsia" w:ascii="仿宋" w:hAnsi="仿宋" w:eastAsia="仿宋" w:cs="仿宋"/>
          <w:color w:val="auto"/>
          <w:spacing w:val="14"/>
          <w:sz w:val="21"/>
          <w:szCs w:val="21"/>
          <w:highlight w:val="none"/>
        </w:rPr>
        <w:t>招标项目的潜在投标人应在洛阳市公共资源交易中心网站（</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"http://www.lyggzyjy.cn）获取招标文件，并于2022年2月" </w:instrText>
      </w:r>
      <w:r>
        <w:rPr>
          <w:rFonts w:hint="eastAsia" w:ascii="仿宋" w:hAnsi="仿宋" w:eastAsia="仿宋" w:cs="仿宋"/>
          <w:color w:val="auto"/>
          <w:highlight w:val="none"/>
        </w:rPr>
        <w:fldChar w:fldCharType="separate"/>
      </w:r>
      <w:r>
        <w:rPr>
          <w:rStyle w:val="70"/>
          <w:rFonts w:hint="eastAsia" w:ascii="仿宋" w:hAnsi="仿宋" w:eastAsia="仿宋" w:cs="仿宋"/>
          <w:color w:val="auto"/>
          <w:spacing w:val="14"/>
          <w:sz w:val="21"/>
          <w:szCs w:val="21"/>
          <w:highlight w:val="none"/>
          <w:lang w:eastAsia="zh-CN"/>
        </w:rPr>
        <w:t>lyggzyjy.ly.gov.cn</w:t>
      </w:r>
      <w:r>
        <w:rPr>
          <w:rStyle w:val="70"/>
          <w:rFonts w:hint="eastAsia" w:ascii="仿宋" w:hAnsi="仿宋" w:eastAsia="仿宋" w:cs="仿宋"/>
          <w:color w:val="auto"/>
          <w:spacing w:val="14"/>
          <w:sz w:val="21"/>
          <w:szCs w:val="21"/>
          <w:highlight w:val="none"/>
        </w:rPr>
        <w:t>）获取招标文件，并于2024年</w:t>
      </w:r>
      <w:r>
        <w:rPr>
          <w:rStyle w:val="70"/>
          <w:rFonts w:hint="eastAsia" w:ascii="仿宋" w:hAnsi="仿宋" w:eastAsia="仿宋" w:cs="仿宋"/>
          <w:color w:val="auto"/>
          <w:spacing w:val="14"/>
          <w:sz w:val="21"/>
          <w:szCs w:val="21"/>
          <w:highlight w:val="none"/>
          <w:lang w:val="en-US" w:eastAsia="zh-CN"/>
        </w:rPr>
        <w:t>06</w:t>
      </w:r>
      <w:r>
        <w:rPr>
          <w:rStyle w:val="70"/>
          <w:rFonts w:hint="eastAsia" w:ascii="仿宋" w:hAnsi="仿宋" w:eastAsia="仿宋" w:cs="仿宋"/>
          <w:color w:val="auto"/>
          <w:spacing w:val="14"/>
          <w:sz w:val="21"/>
          <w:szCs w:val="21"/>
          <w:highlight w:val="none"/>
        </w:rPr>
        <w:t>月</w:t>
      </w:r>
      <w:r>
        <w:rPr>
          <w:rStyle w:val="70"/>
          <w:rFonts w:hint="eastAsia" w:ascii="仿宋" w:hAnsi="仿宋" w:eastAsia="仿宋" w:cs="仿宋"/>
          <w:color w:val="auto"/>
          <w:spacing w:val="14"/>
          <w:sz w:val="21"/>
          <w:szCs w:val="21"/>
          <w:highlight w:val="none"/>
        </w:rPr>
        <w:fldChar w:fldCharType="end"/>
      </w:r>
      <w:r>
        <w:rPr>
          <w:rFonts w:hint="eastAsia" w:ascii="仿宋" w:hAnsi="仿宋" w:eastAsia="仿宋" w:cs="仿宋"/>
          <w:color w:val="auto"/>
          <w:spacing w:val="14"/>
          <w:sz w:val="21"/>
          <w:szCs w:val="21"/>
          <w:highlight w:val="none"/>
          <w:lang w:val="en-US" w:eastAsia="zh-CN"/>
        </w:rPr>
        <w:t>20</w:t>
      </w:r>
      <w:r>
        <w:rPr>
          <w:rFonts w:hint="eastAsia" w:ascii="仿宋" w:hAnsi="仿宋" w:eastAsia="仿宋" w:cs="仿宋"/>
          <w:color w:val="auto"/>
          <w:spacing w:val="14"/>
          <w:sz w:val="21"/>
          <w:szCs w:val="21"/>
          <w:highlight w:val="none"/>
        </w:rPr>
        <w:t>日9点05分（北京时间）前递交投标文件。</w:t>
      </w:r>
    </w:p>
    <w:p>
      <w:pPr>
        <w:pStyle w:val="56"/>
        <w:spacing w:beforeAutospacing="0" w:afterAutospacing="0" w:line="430" w:lineRule="exact"/>
        <w:ind w:firstLine="418" w:firstLineChars="200"/>
        <w:jc w:val="both"/>
        <w:rPr>
          <w:rFonts w:hint="eastAsia" w:ascii="仿宋" w:hAnsi="仿宋" w:eastAsia="仿宋" w:cs="仿宋"/>
          <w:color w:val="auto"/>
          <w:highlight w:val="none"/>
        </w:rPr>
      </w:pPr>
      <w:r>
        <w:rPr>
          <w:rFonts w:hint="eastAsia" w:ascii="仿宋" w:hAnsi="仿宋" w:eastAsia="仿宋" w:cs="仿宋"/>
          <w:b/>
          <w:color w:val="auto"/>
          <w:highlight w:val="none"/>
        </w:rPr>
        <w:t>一、项目基本情况</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1、项目编号：洛直政采招标(2024)0237号；政府采购管理部门备案编号：洛采公开-2024-69</w:t>
      </w:r>
      <w:r>
        <w:rPr>
          <w:rFonts w:hint="eastAsia" w:ascii="仿宋" w:hAnsi="仿宋" w:eastAsia="仿宋" w:cs="仿宋"/>
          <w:color w:val="auto"/>
          <w:spacing w:val="14"/>
          <w:sz w:val="21"/>
          <w:szCs w:val="21"/>
          <w:highlight w:val="none"/>
          <w:lang w:val="en-US" w:eastAsia="zh-CN"/>
        </w:rPr>
        <w:t xml:space="preserve"> </w:t>
      </w:r>
      <w:r>
        <w:rPr>
          <w:rFonts w:hint="eastAsia" w:ascii="仿宋" w:hAnsi="仿宋" w:eastAsia="仿宋" w:cs="仿宋"/>
          <w:color w:val="auto"/>
          <w:spacing w:val="14"/>
          <w:sz w:val="21"/>
          <w:szCs w:val="21"/>
          <w:highlight w:val="none"/>
        </w:rPr>
        <w:t xml:space="preserve">。  </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lang w:eastAsia="zh-CN"/>
        </w:rPr>
      </w:pPr>
      <w:r>
        <w:rPr>
          <w:rFonts w:hint="eastAsia" w:ascii="仿宋" w:hAnsi="仿宋" w:eastAsia="仿宋" w:cs="仿宋"/>
          <w:color w:val="auto"/>
          <w:spacing w:val="14"/>
          <w:sz w:val="21"/>
          <w:szCs w:val="21"/>
          <w:highlight w:val="none"/>
        </w:rPr>
        <w:t>2、项目名称：</w:t>
      </w:r>
      <w:r>
        <w:rPr>
          <w:rFonts w:hint="eastAsia" w:ascii="仿宋" w:hAnsi="仿宋" w:eastAsia="仿宋" w:cs="仿宋"/>
          <w:color w:val="auto"/>
          <w:spacing w:val="14"/>
          <w:sz w:val="21"/>
          <w:szCs w:val="21"/>
          <w:highlight w:val="none"/>
          <w:lang w:eastAsia="zh-CN"/>
        </w:rPr>
        <w:t>洛阳市应急管理局洛阳市基层防灾能力提升项目(第二批)</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3、采购方式：公开招标</w:t>
      </w:r>
    </w:p>
    <w:p>
      <w:pPr>
        <w:pStyle w:val="56"/>
        <w:spacing w:beforeAutospacing="0" w:afterAutospacing="0" w:line="430" w:lineRule="exact"/>
        <w:ind w:firstLine="518" w:firstLineChars="250"/>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lang w:val="en-US" w:eastAsia="zh-CN"/>
        </w:rPr>
        <w:t>4、</w:t>
      </w:r>
      <w:r>
        <w:rPr>
          <w:rFonts w:hint="eastAsia" w:ascii="仿宋" w:hAnsi="仿宋" w:eastAsia="仿宋" w:cs="仿宋"/>
          <w:color w:val="auto"/>
          <w:spacing w:val="14"/>
          <w:sz w:val="21"/>
          <w:szCs w:val="21"/>
          <w:highlight w:val="none"/>
        </w:rPr>
        <w:t>预算金额：</w:t>
      </w:r>
      <w:r>
        <w:rPr>
          <w:rFonts w:hint="eastAsia" w:ascii="仿宋" w:hAnsi="仿宋" w:eastAsia="仿宋" w:cs="仿宋"/>
          <w:color w:val="auto"/>
          <w:spacing w:val="14"/>
          <w:sz w:val="21"/>
          <w:szCs w:val="21"/>
          <w:highlight w:val="none"/>
          <w:lang w:val="en-US" w:eastAsia="zh-CN"/>
        </w:rPr>
        <w:t>59748200.00</w:t>
      </w:r>
      <w:r>
        <w:rPr>
          <w:rFonts w:hint="eastAsia" w:ascii="仿宋" w:hAnsi="仿宋" w:eastAsia="仿宋" w:cs="仿宋"/>
          <w:color w:val="auto"/>
          <w:spacing w:val="14"/>
          <w:sz w:val="21"/>
          <w:szCs w:val="21"/>
          <w:highlight w:val="none"/>
        </w:rPr>
        <w:t>元</w:t>
      </w:r>
    </w:p>
    <w:p>
      <w:pPr>
        <w:pStyle w:val="56"/>
        <w:spacing w:beforeAutospacing="0" w:afterAutospacing="0" w:line="430" w:lineRule="exact"/>
        <w:ind w:firstLine="828" w:firstLineChars="400"/>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最高限价：</w:t>
      </w:r>
      <w:r>
        <w:rPr>
          <w:rFonts w:hint="eastAsia" w:ascii="仿宋" w:hAnsi="仿宋" w:eastAsia="仿宋" w:cs="仿宋"/>
          <w:color w:val="auto"/>
          <w:spacing w:val="14"/>
          <w:sz w:val="21"/>
          <w:szCs w:val="21"/>
          <w:highlight w:val="none"/>
          <w:lang w:val="en-US" w:eastAsia="zh-CN"/>
        </w:rPr>
        <w:t>59748200.00</w:t>
      </w:r>
      <w:r>
        <w:rPr>
          <w:rFonts w:hint="eastAsia" w:ascii="仿宋" w:hAnsi="仿宋" w:eastAsia="仿宋" w:cs="仿宋"/>
          <w:color w:val="auto"/>
          <w:spacing w:val="14"/>
          <w:sz w:val="21"/>
          <w:szCs w:val="21"/>
          <w:highlight w:val="none"/>
        </w:rPr>
        <w:t>元</w:t>
      </w:r>
    </w:p>
    <w:tbl>
      <w:tblPr>
        <w:tblStyle w:val="62"/>
        <w:tblpPr w:leftFromText="180" w:rightFromText="180" w:vertAnchor="text" w:horzAnchor="page" w:tblpX="1620" w:tblpY="119"/>
        <w:tblOverlap w:val="never"/>
        <w:tblW w:w="4846"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782"/>
        <w:gridCol w:w="1823"/>
        <w:gridCol w:w="2850"/>
        <w:gridCol w:w="1761"/>
        <w:gridCol w:w="178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434" w:type="pc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pStyle w:val="56"/>
              <w:spacing w:beforeAutospacing="0" w:afterAutospacing="0" w:line="430" w:lineRule="exact"/>
              <w:jc w:val="center"/>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序号</w:t>
            </w:r>
          </w:p>
        </w:tc>
        <w:tc>
          <w:tcPr>
            <w:tcW w:w="1012"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56"/>
              <w:spacing w:beforeAutospacing="0" w:afterAutospacing="0" w:line="430" w:lineRule="exact"/>
              <w:jc w:val="center"/>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包号</w:t>
            </w:r>
          </w:p>
        </w:tc>
        <w:tc>
          <w:tcPr>
            <w:tcW w:w="1582"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56"/>
              <w:spacing w:beforeAutospacing="0" w:afterAutospacing="0" w:line="430" w:lineRule="exact"/>
              <w:jc w:val="center"/>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包名称</w:t>
            </w:r>
          </w:p>
        </w:tc>
        <w:tc>
          <w:tcPr>
            <w:tcW w:w="978"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56"/>
              <w:spacing w:beforeAutospacing="0" w:afterAutospacing="0" w:line="430" w:lineRule="exact"/>
              <w:jc w:val="center"/>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包预算（元）</w:t>
            </w:r>
          </w:p>
        </w:tc>
        <w:tc>
          <w:tcPr>
            <w:tcW w:w="992"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56"/>
              <w:spacing w:beforeAutospacing="0" w:afterAutospacing="0" w:line="430" w:lineRule="exact"/>
              <w:jc w:val="center"/>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包最高限价（元）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434" w:type="pc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pStyle w:val="56"/>
              <w:spacing w:beforeAutospacing="0" w:afterAutospacing="0" w:line="430" w:lineRule="exact"/>
              <w:jc w:val="center"/>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1</w:t>
            </w:r>
          </w:p>
        </w:tc>
        <w:tc>
          <w:tcPr>
            <w:tcW w:w="1012"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56"/>
              <w:spacing w:beforeAutospacing="0" w:afterAutospacing="0" w:line="430" w:lineRule="exact"/>
              <w:jc w:val="center"/>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洛直政采招标(2024)0237号-1</w:t>
            </w:r>
          </w:p>
        </w:tc>
        <w:tc>
          <w:tcPr>
            <w:tcW w:w="1582"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56"/>
              <w:spacing w:beforeAutospacing="0" w:afterAutospacing="0" w:line="430" w:lineRule="exact"/>
              <w:jc w:val="center"/>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综合保障指挥通信类</w:t>
            </w:r>
          </w:p>
        </w:tc>
        <w:tc>
          <w:tcPr>
            <w:tcW w:w="978"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仿宋" w:hAnsi="仿宋" w:eastAsia="仿宋" w:cs="仿宋"/>
                <w:color w:val="auto"/>
                <w:spacing w:val="14"/>
                <w:sz w:val="21"/>
                <w:szCs w:val="21"/>
                <w:highlight w:val="none"/>
                <w:lang w:val="en-US" w:eastAsia="zh-CN" w:bidi="ar-SA"/>
              </w:rPr>
            </w:pPr>
            <w:r>
              <w:rPr>
                <w:rFonts w:hint="eastAsia" w:ascii="仿宋" w:hAnsi="仿宋" w:eastAsia="仿宋" w:cs="仿宋"/>
                <w:color w:val="auto"/>
                <w:spacing w:val="14"/>
                <w:sz w:val="21"/>
                <w:szCs w:val="21"/>
                <w:highlight w:val="none"/>
                <w:lang w:val="en-US" w:eastAsia="zh-CN" w:bidi="ar-SA"/>
              </w:rPr>
              <w:t>5588600.00</w:t>
            </w:r>
          </w:p>
        </w:tc>
        <w:tc>
          <w:tcPr>
            <w:tcW w:w="992"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仿宋" w:hAnsi="仿宋" w:eastAsia="仿宋" w:cs="仿宋"/>
                <w:color w:val="auto"/>
                <w:spacing w:val="14"/>
                <w:sz w:val="21"/>
                <w:szCs w:val="21"/>
                <w:highlight w:val="none"/>
                <w:lang w:val="en-US" w:eastAsia="zh-CN" w:bidi="ar-SA"/>
              </w:rPr>
            </w:pPr>
            <w:r>
              <w:rPr>
                <w:rFonts w:hint="eastAsia" w:ascii="仿宋" w:hAnsi="仿宋" w:eastAsia="仿宋" w:cs="仿宋"/>
                <w:color w:val="auto"/>
                <w:spacing w:val="14"/>
                <w:sz w:val="21"/>
                <w:szCs w:val="21"/>
                <w:highlight w:val="none"/>
                <w:lang w:val="en-US" w:eastAsia="zh-CN" w:bidi="ar-SA"/>
              </w:rPr>
              <w:t>5588600.00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434" w:type="pc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pStyle w:val="56"/>
              <w:spacing w:beforeAutospacing="0" w:afterAutospacing="0" w:line="430" w:lineRule="exact"/>
              <w:jc w:val="center"/>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2</w:t>
            </w:r>
          </w:p>
        </w:tc>
        <w:tc>
          <w:tcPr>
            <w:tcW w:w="1012"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56"/>
              <w:spacing w:beforeAutospacing="0" w:afterAutospacing="0" w:line="430" w:lineRule="exact"/>
              <w:jc w:val="center"/>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洛直政采招标(2024)0237号-2</w:t>
            </w:r>
          </w:p>
        </w:tc>
        <w:tc>
          <w:tcPr>
            <w:tcW w:w="1582"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56"/>
              <w:spacing w:beforeAutospacing="0" w:afterAutospacing="0" w:line="430" w:lineRule="exact"/>
              <w:jc w:val="center"/>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综合保障特种车辆</w:t>
            </w:r>
          </w:p>
        </w:tc>
        <w:tc>
          <w:tcPr>
            <w:tcW w:w="978"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仿宋" w:hAnsi="仿宋" w:eastAsia="仿宋" w:cs="仿宋"/>
                <w:color w:val="auto"/>
                <w:spacing w:val="14"/>
                <w:sz w:val="21"/>
                <w:szCs w:val="21"/>
                <w:highlight w:val="none"/>
                <w:lang w:val="en-US" w:eastAsia="zh-CN" w:bidi="ar-SA"/>
              </w:rPr>
            </w:pPr>
            <w:r>
              <w:rPr>
                <w:rFonts w:hint="eastAsia" w:ascii="仿宋" w:hAnsi="仿宋" w:eastAsia="仿宋" w:cs="仿宋"/>
                <w:color w:val="auto"/>
                <w:spacing w:val="14"/>
                <w:sz w:val="21"/>
                <w:szCs w:val="21"/>
                <w:highlight w:val="none"/>
                <w:lang w:val="en-US" w:eastAsia="zh-CN" w:bidi="ar-SA"/>
              </w:rPr>
              <w:t>5556200.00</w:t>
            </w:r>
          </w:p>
        </w:tc>
        <w:tc>
          <w:tcPr>
            <w:tcW w:w="992"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仿宋" w:hAnsi="仿宋" w:eastAsia="仿宋" w:cs="仿宋"/>
                <w:color w:val="auto"/>
                <w:spacing w:val="14"/>
                <w:sz w:val="21"/>
                <w:szCs w:val="21"/>
                <w:highlight w:val="none"/>
                <w:lang w:val="en-US" w:eastAsia="zh-CN" w:bidi="ar-SA"/>
              </w:rPr>
            </w:pPr>
            <w:r>
              <w:rPr>
                <w:rFonts w:hint="eastAsia" w:ascii="仿宋" w:hAnsi="仿宋" w:eastAsia="仿宋" w:cs="仿宋"/>
                <w:color w:val="auto"/>
                <w:spacing w:val="14"/>
                <w:sz w:val="21"/>
                <w:szCs w:val="21"/>
                <w:highlight w:val="none"/>
                <w:lang w:val="en-US" w:eastAsia="zh-CN" w:bidi="ar-SA"/>
              </w:rPr>
              <w:t>5556200.00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434" w:type="pc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pStyle w:val="56"/>
              <w:spacing w:beforeAutospacing="0" w:afterAutospacing="0" w:line="430" w:lineRule="exact"/>
              <w:jc w:val="center"/>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3</w:t>
            </w:r>
          </w:p>
        </w:tc>
        <w:tc>
          <w:tcPr>
            <w:tcW w:w="1012"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56"/>
              <w:spacing w:beforeAutospacing="0" w:afterAutospacing="0" w:line="430" w:lineRule="exact"/>
              <w:jc w:val="center"/>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洛直政采招标(2024)0237号-3</w:t>
            </w:r>
          </w:p>
        </w:tc>
        <w:tc>
          <w:tcPr>
            <w:tcW w:w="1582"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56"/>
              <w:spacing w:beforeAutospacing="0" w:afterAutospacing="0" w:line="430" w:lineRule="exact"/>
              <w:jc w:val="center"/>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综合保障无人机</w:t>
            </w:r>
          </w:p>
        </w:tc>
        <w:tc>
          <w:tcPr>
            <w:tcW w:w="978"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仿宋" w:hAnsi="仿宋" w:eastAsia="仿宋" w:cs="仿宋"/>
                <w:color w:val="auto"/>
                <w:spacing w:val="14"/>
                <w:sz w:val="21"/>
                <w:szCs w:val="21"/>
                <w:highlight w:val="none"/>
                <w:lang w:val="en-US" w:eastAsia="zh-CN" w:bidi="ar-SA"/>
              </w:rPr>
            </w:pPr>
            <w:r>
              <w:rPr>
                <w:rFonts w:hint="eastAsia" w:ascii="仿宋" w:hAnsi="仿宋" w:eastAsia="仿宋" w:cs="仿宋"/>
                <w:color w:val="auto"/>
                <w:spacing w:val="14"/>
                <w:sz w:val="21"/>
                <w:szCs w:val="21"/>
                <w:highlight w:val="none"/>
                <w:lang w:val="en-US" w:eastAsia="zh-CN" w:bidi="ar-SA"/>
              </w:rPr>
              <w:t>5722800.00</w:t>
            </w:r>
          </w:p>
        </w:tc>
        <w:tc>
          <w:tcPr>
            <w:tcW w:w="992"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仿宋" w:hAnsi="仿宋" w:eastAsia="仿宋" w:cs="仿宋"/>
                <w:color w:val="auto"/>
                <w:spacing w:val="14"/>
                <w:sz w:val="21"/>
                <w:szCs w:val="21"/>
                <w:highlight w:val="none"/>
                <w:lang w:val="en-US" w:eastAsia="zh-CN" w:bidi="ar-SA"/>
              </w:rPr>
            </w:pPr>
            <w:r>
              <w:rPr>
                <w:rFonts w:hint="eastAsia" w:ascii="仿宋" w:hAnsi="仿宋" w:eastAsia="仿宋" w:cs="仿宋"/>
                <w:color w:val="auto"/>
                <w:spacing w:val="14"/>
                <w:sz w:val="21"/>
                <w:szCs w:val="21"/>
                <w:highlight w:val="none"/>
                <w:lang w:val="en-US" w:eastAsia="zh-CN" w:bidi="ar-SA"/>
              </w:rPr>
              <w:t>5722800.00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434" w:type="pc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pStyle w:val="56"/>
              <w:spacing w:beforeAutospacing="0" w:afterAutospacing="0" w:line="430" w:lineRule="exact"/>
              <w:jc w:val="center"/>
              <w:rPr>
                <w:rFonts w:hint="default"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4</w:t>
            </w:r>
          </w:p>
        </w:tc>
        <w:tc>
          <w:tcPr>
            <w:tcW w:w="1012"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56"/>
              <w:spacing w:beforeAutospacing="0" w:afterAutospacing="0" w:line="430" w:lineRule="exact"/>
              <w:jc w:val="center"/>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洛直政采招标(2024)0237号-4</w:t>
            </w:r>
          </w:p>
        </w:tc>
        <w:tc>
          <w:tcPr>
            <w:tcW w:w="1582"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56"/>
              <w:spacing w:beforeAutospacing="0" w:afterAutospacing="0" w:line="430" w:lineRule="exact"/>
              <w:jc w:val="center"/>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综合保障救援运兵车</w:t>
            </w:r>
          </w:p>
        </w:tc>
        <w:tc>
          <w:tcPr>
            <w:tcW w:w="978"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仿宋" w:hAnsi="仿宋" w:eastAsia="仿宋" w:cs="仿宋"/>
                <w:color w:val="auto"/>
                <w:spacing w:val="14"/>
                <w:sz w:val="21"/>
                <w:szCs w:val="21"/>
                <w:highlight w:val="none"/>
                <w:lang w:val="en-US" w:eastAsia="zh-CN" w:bidi="ar-SA"/>
              </w:rPr>
            </w:pPr>
            <w:r>
              <w:rPr>
                <w:rFonts w:hint="eastAsia" w:ascii="仿宋" w:hAnsi="仿宋" w:eastAsia="仿宋" w:cs="仿宋"/>
                <w:color w:val="auto"/>
                <w:spacing w:val="14"/>
                <w:sz w:val="21"/>
                <w:szCs w:val="21"/>
                <w:highlight w:val="none"/>
                <w:lang w:val="en-US" w:eastAsia="zh-CN" w:bidi="ar-SA"/>
              </w:rPr>
              <w:t>15332000.00</w:t>
            </w:r>
          </w:p>
        </w:tc>
        <w:tc>
          <w:tcPr>
            <w:tcW w:w="992"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仿宋" w:hAnsi="仿宋" w:eastAsia="仿宋" w:cs="仿宋"/>
                <w:color w:val="auto"/>
                <w:spacing w:val="14"/>
                <w:sz w:val="21"/>
                <w:szCs w:val="21"/>
                <w:highlight w:val="none"/>
                <w:lang w:val="en-US" w:eastAsia="zh-CN" w:bidi="ar-SA"/>
              </w:rPr>
            </w:pPr>
            <w:r>
              <w:rPr>
                <w:rFonts w:hint="eastAsia" w:ascii="仿宋" w:hAnsi="仿宋" w:eastAsia="仿宋" w:cs="仿宋"/>
                <w:color w:val="auto"/>
                <w:spacing w:val="14"/>
                <w:sz w:val="21"/>
                <w:szCs w:val="21"/>
                <w:highlight w:val="none"/>
                <w:lang w:val="en-US" w:eastAsia="zh-CN" w:bidi="ar-SA"/>
              </w:rPr>
              <w:t>15332000.00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434" w:type="pc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pStyle w:val="56"/>
              <w:spacing w:beforeAutospacing="0" w:afterAutospacing="0" w:line="430" w:lineRule="exact"/>
              <w:jc w:val="center"/>
              <w:rPr>
                <w:rFonts w:hint="default"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5</w:t>
            </w:r>
          </w:p>
        </w:tc>
        <w:tc>
          <w:tcPr>
            <w:tcW w:w="1012"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56"/>
              <w:spacing w:beforeAutospacing="0" w:afterAutospacing="0" w:line="430" w:lineRule="exact"/>
              <w:jc w:val="center"/>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洛直政采招标(2024)0237号-5</w:t>
            </w:r>
          </w:p>
        </w:tc>
        <w:tc>
          <w:tcPr>
            <w:tcW w:w="1582"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56"/>
              <w:spacing w:beforeAutospacing="0" w:afterAutospacing="0" w:line="430" w:lineRule="exact"/>
              <w:jc w:val="center"/>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综合保障装备运输车</w:t>
            </w:r>
          </w:p>
        </w:tc>
        <w:tc>
          <w:tcPr>
            <w:tcW w:w="978"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仿宋" w:hAnsi="仿宋" w:eastAsia="仿宋" w:cs="仿宋"/>
                <w:color w:val="auto"/>
                <w:spacing w:val="14"/>
                <w:sz w:val="21"/>
                <w:szCs w:val="21"/>
                <w:highlight w:val="none"/>
                <w:lang w:val="en-US" w:eastAsia="zh-CN" w:bidi="ar-SA"/>
              </w:rPr>
            </w:pPr>
            <w:r>
              <w:rPr>
                <w:rFonts w:hint="eastAsia" w:ascii="仿宋" w:hAnsi="仿宋" w:eastAsia="仿宋" w:cs="仿宋"/>
                <w:color w:val="auto"/>
                <w:spacing w:val="14"/>
                <w:sz w:val="21"/>
                <w:szCs w:val="21"/>
                <w:highlight w:val="none"/>
                <w:lang w:val="en-US" w:eastAsia="zh-CN" w:bidi="ar-SA"/>
              </w:rPr>
              <w:t>6500000.00</w:t>
            </w:r>
          </w:p>
        </w:tc>
        <w:tc>
          <w:tcPr>
            <w:tcW w:w="992"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仿宋" w:hAnsi="仿宋" w:eastAsia="仿宋" w:cs="仿宋"/>
                <w:color w:val="auto"/>
                <w:spacing w:val="14"/>
                <w:sz w:val="21"/>
                <w:szCs w:val="21"/>
                <w:highlight w:val="none"/>
                <w:lang w:val="en-US" w:eastAsia="zh-CN" w:bidi="ar-SA"/>
              </w:rPr>
            </w:pPr>
            <w:r>
              <w:rPr>
                <w:rFonts w:hint="eastAsia" w:ascii="仿宋" w:hAnsi="仿宋" w:eastAsia="仿宋" w:cs="仿宋"/>
                <w:color w:val="auto"/>
                <w:spacing w:val="14"/>
                <w:sz w:val="21"/>
                <w:szCs w:val="21"/>
                <w:highlight w:val="none"/>
                <w:lang w:val="en-US" w:eastAsia="zh-CN" w:bidi="ar-SA"/>
              </w:rPr>
              <w:t>6500000.00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434" w:type="pc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pStyle w:val="56"/>
              <w:spacing w:beforeAutospacing="0" w:afterAutospacing="0" w:line="430" w:lineRule="exact"/>
              <w:jc w:val="center"/>
              <w:rPr>
                <w:rFonts w:hint="default"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6</w:t>
            </w:r>
          </w:p>
        </w:tc>
        <w:tc>
          <w:tcPr>
            <w:tcW w:w="1012"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56"/>
              <w:spacing w:beforeAutospacing="0" w:afterAutospacing="0" w:line="430" w:lineRule="exact"/>
              <w:jc w:val="center"/>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洛直政采招标(2024)0237号-6</w:t>
            </w:r>
          </w:p>
        </w:tc>
        <w:tc>
          <w:tcPr>
            <w:tcW w:w="1582"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56"/>
              <w:spacing w:beforeAutospacing="0" w:afterAutospacing="0" w:line="430" w:lineRule="exact"/>
              <w:jc w:val="center"/>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综合保障小型装备运输车</w:t>
            </w:r>
          </w:p>
        </w:tc>
        <w:tc>
          <w:tcPr>
            <w:tcW w:w="978"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仿宋" w:hAnsi="仿宋" w:eastAsia="仿宋" w:cs="仿宋"/>
                <w:color w:val="auto"/>
                <w:spacing w:val="14"/>
                <w:sz w:val="21"/>
                <w:szCs w:val="21"/>
                <w:highlight w:val="none"/>
                <w:lang w:val="en-US" w:eastAsia="zh-CN" w:bidi="ar-SA"/>
              </w:rPr>
            </w:pPr>
            <w:r>
              <w:rPr>
                <w:rFonts w:hint="eastAsia" w:ascii="仿宋" w:hAnsi="仿宋" w:eastAsia="仿宋" w:cs="仿宋"/>
                <w:color w:val="auto"/>
                <w:spacing w:val="14"/>
                <w:sz w:val="21"/>
                <w:szCs w:val="21"/>
                <w:highlight w:val="none"/>
                <w:lang w:val="en-US" w:eastAsia="zh-CN" w:bidi="ar-SA"/>
              </w:rPr>
              <w:t>4876000.00</w:t>
            </w:r>
          </w:p>
        </w:tc>
        <w:tc>
          <w:tcPr>
            <w:tcW w:w="992"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仿宋" w:hAnsi="仿宋" w:eastAsia="仿宋" w:cs="仿宋"/>
                <w:color w:val="auto"/>
                <w:spacing w:val="14"/>
                <w:sz w:val="21"/>
                <w:szCs w:val="21"/>
                <w:highlight w:val="none"/>
                <w:lang w:val="en-US" w:eastAsia="zh-CN" w:bidi="ar-SA"/>
              </w:rPr>
            </w:pPr>
            <w:r>
              <w:rPr>
                <w:rFonts w:hint="eastAsia" w:ascii="仿宋" w:hAnsi="仿宋" w:eastAsia="仿宋" w:cs="仿宋"/>
                <w:color w:val="auto"/>
                <w:spacing w:val="14"/>
                <w:sz w:val="21"/>
                <w:szCs w:val="21"/>
                <w:highlight w:val="none"/>
                <w:lang w:val="en-US" w:eastAsia="zh-CN" w:bidi="ar-SA"/>
              </w:rPr>
              <w:t>4876000.00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434" w:type="pc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pStyle w:val="56"/>
              <w:spacing w:beforeAutospacing="0" w:afterAutospacing="0" w:line="430" w:lineRule="exact"/>
              <w:jc w:val="center"/>
              <w:rPr>
                <w:rFonts w:hint="default"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7</w:t>
            </w:r>
          </w:p>
        </w:tc>
        <w:tc>
          <w:tcPr>
            <w:tcW w:w="1012"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56"/>
              <w:spacing w:beforeAutospacing="0" w:afterAutospacing="0" w:line="430" w:lineRule="exact"/>
              <w:jc w:val="center"/>
              <w:rPr>
                <w:rFonts w:hint="default"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 xml:space="preserve"> 洛直政采招标(2024)0237号-7</w:t>
            </w:r>
          </w:p>
        </w:tc>
        <w:tc>
          <w:tcPr>
            <w:tcW w:w="1582"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56"/>
              <w:spacing w:beforeAutospacing="0" w:afterAutospacing="0" w:line="430" w:lineRule="exact"/>
              <w:jc w:val="center"/>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综合保障救护设备</w:t>
            </w:r>
          </w:p>
        </w:tc>
        <w:tc>
          <w:tcPr>
            <w:tcW w:w="978"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仿宋" w:hAnsi="仿宋" w:eastAsia="仿宋" w:cs="仿宋"/>
                <w:color w:val="auto"/>
                <w:spacing w:val="14"/>
                <w:sz w:val="21"/>
                <w:szCs w:val="21"/>
                <w:highlight w:val="none"/>
                <w:lang w:val="en-US" w:eastAsia="zh-CN" w:bidi="ar-SA"/>
              </w:rPr>
            </w:pPr>
            <w:r>
              <w:rPr>
                <w:rFonts w:hint="eastAsia" w:ascii="仿宋" w:hAnsi="仿宋" w:eastAsia="仿宋" w:cs="仿宋"/>
                <w:color w:val="auto"/>
                <w:spacing w:val="14"/>
                <w:sz w:val="21"/>
                <w:szCs w:val="21"/>
                <w:highlight w:val="none"/>
                <w:lang w:val="en-US" w:eastAsia="zh-CN" w:bidi="ar-SA"/>
              </w:rPr>
              <w:t>490000.00</w:t>
            </w:r>
          </w:p>
        </w:tc>
        <w:tc>
          <w:tcPr>
            <w:tcW w:w="992"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仿宋" w:hAnsi="仿宋" w:eastAsia="仿宋" w:cs="仿宋"/>
                <w:color w:val="auto"/>
                <w:spacing w:val="14"/>
                <w:sz w:val="21"/>
                <w:szCs w:val="21"/>
                <w:highlight w:val="none"/>
                <w:lang w:val="en-US" w:eastAsia="zh-CN" w:bidi="ar-SA"/>
              </w:rPr>
            </w:pPr>
            <w:r>
              <w:rPr>
                <w:rFonts w:hint="eastAsia" w:ascii="仿宋" w:hAnsi="仿宋" w:eastAsia="仿宋" w:cs="仿宋"/>
                <w:color w:val="auto"/>
                <w:spacing w:val="14"/>
                <w:sz w:val="21"/>
                <w:szCs w:val="21"/>
                <w:highlight w:val="none"/>
                <w:lang w:val="en-US" w:eastAsia="zh-CN" w:bidi="ar-SA"/>
              </w:rPr>
              <w:t>490000.00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434" w:type="pc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pStyle w:val="56"/>
              <w:spacing w:beforeAutospacing="0" w:afterAutospacing="0" w:line="430" w:lineRule="exact"/>
              <w:jc w:val="center"/>
              <w:rPr>
                <w:rFonts w:hint="default"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8</w:t>
            </w:r>
          </w:p>
        </w:tc>
        <w:tc>
          <w:tcPr>
            <w:tcW w:w="1012"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56"/>
              <w:spacing w:beforeAutospacing="0" w:afterAutospacing="0" w:line="430" w:lineRule="exact"/>
              <w:jc w:val="center"/>
              <w:rPr>
                <w:rFonts w:hint="default"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 xml:space="preserve"> 洛直政采招标(2024)0237号-8</w:t>
            </w:r>
          </w:p>
        </w:tc>
        <w:tc>
          <w:tcPr>
            <w:tcW w:w="1582"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56"/>
              <w:spacing w:beforeAutospacing="0" w:afterAutospacing="0" w:line="430" w:lineRule="exact"/>
              <w:jc w:val="center"/>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综合保障便携式气象仪</w:t>
            </w:r>
          </w:p>
        </w:tc>
        <w:tc>
          <w:tcPr>
            <w:tcW w:w="978"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color w:val="auto"/>
                <w:highlight w:val="none"/>
                <w:lang w:val="en-US" w:eastAsia="zh-CN"/>
              </w:rPr>
            </w:pPr>
            <w:r>
              <w:rPr>
                <w:rFonts w:hint="eastAsia" w:ascii="仿宋" w:hAnsi="仿宋" w:eastAsia="仿宋" w:cs="仿宋"/>
                <w:color w:val="auto"/>
                <w:spacing w:val="14"/>
                <w:sz w:val="21"/>
                <w:szCs w:val="21"/>
                <w:highlight w:val="none"/>
                <w:lang w:val="en-US" w:eastAsia="zh-CN" w:bidi="ar-SA"/>
              </w:rPr>
              <w:t>200200.00</w:t>
            </w:r>
          </w:p>
        </w:tc>
        <w:tc>
          <w:tcPr>
            <w:tcW w:w="992"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bidi="ar-SA"/>
              </w:rPr>
            </w:pPr>
            <w:r>
              <w:rPr>
                <w:rFonts w:hint="eastAsia" w:ascii="仿宋" w:hAnsi="仿宋" w:eastAsia="仿宋" w:cs="仿宋"/>
                <w:color w:val="auto"/>
                <w:spacing w:val="14"/>
                <w:sz w:val="21"/>
                <w:szCs w:val="21"/>
                <w:highlight w:val="none"/>
                <w:lang w:val="en-US" w:eastAsia="zh-CN" w:bidi="ar-SA"/>
              </w:rPr>
              <w:t>200200.00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434" w:type="pc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pStyle w:val="56"/>
              <w:spacing w:beforeAutospacing="0" w:afterAutospacing="0" w:line="430" w:lineRule="exact"/>
              <w:jc w:val="center"/>
              <w:rPr>
                <w:rFonts w:hint="default"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9</w:t>
            </w:r>
          </w:p>
        </w:tc>
        <w:tc>
          <w:tcPr>
            <w:tcW w:w="1012"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56"/>
              <w:spacing w:beforeAutospacing="0" w:afterAutospacing="0" w:line="430" w:lineRule="exact"/>
              <w:jc w:val="center"/>
              <w:rPr>
                <w:rFonts w:hint="default"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 xml:space="preserve"> 洛直政采招标(2024)0237号-9</w:t>
            </w:r>
          </w:p>
        </w:tc>
        <w:tc>
          <w:tcPr>
            <w:tcW w:w="1582"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56"/>
              <w:spacing w:beforeAutospacing="0" w:afterAutospacing="0" w:line="430" w:lineRule="exact"/>
              <w:jc w:val="center"/>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综合保障电源照明类</w:t>
            </w:r>
          </w:p>
        </w:tc>
        <w:tc>
          <w:tcPr>
            <w:tcW w:w="978"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仿宋" w:hAnsi="仿宋" w:eastAsia="仿宋" w:cs="仿宋"/>
                <w:color w:val="auto"/>
                <w:spacing w:val="14"/>
                <w:sz w:val="21"/>
                <w:szCs w:val="21"/>
                <w:highlight w:val="none"/>
                <w:lang w:val="en-US" w:eastAsia="zh-CN" w:bidi="ar-SA"/>
              </w:rPr>
            </w:pPr>
            <w:r>
              <w:rPr>
                <w:rFonts w:hint="eastAsia" w:ascii="仿宋" w:hAnsi="仿宋" w:eastAsia="仿宋" w:cs="仿宋"/>
                <w:color w:val="auto"/>
                <w:spacing w:val="14"/>
                <w:sz w:val="21"/>
                <w:szCs w:val="21"/>
                <w:highlight w:val="none"/>
                <w:lang w:val="en-US" w:eastAsia="zh-CN" w:bidi="ar-SA"/>
              </w:rPr>
              <w:t>15482400.00</w:t>
            </w:r>
          </w:p>
        </w:tc>
        <w:tc>
          <w:tcPr>
            <w:tcW w:w="992" w:type="pc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widowControl/>
              <w:suppressLineNumbers w:val="0"/>
              <w:jc w:val="center"/>
              <w:textAlignment w:val="center"/>
              <w:rPr>
                <w:rFonts w:hint="default" w:ascii="仿宋" w:hAnsi="仿宋" w:eastAsia="仿宋" w:cs="仿宋"/>
                <w:color w:val="auto"/>
                <w:spacing w:val="14"/>
                <w:sz w:val="21"/>
                <w:szCs w:val="21"/>
                <w:highlight w:val="none"/>
                <w:lang w:val="en-US" w:eastAsia="zh-CN" w:bidi="ar-SA"/>
              </w:rPr>
            </w:pPr>
            <w:r>
              <w:rPr>
                <w:rFonts w:hint="eastAsia" w:ascii="仿宋" w:hAnsi="仿宋" w:eastAsia="仿宋" w:cs="仿宋"/>
                <w:color w:val="auto"/>
                <w:spacing w:val="14"/>
                <w:sz w:val="21"/>
                <w:szCs w:val="21"/>
                <w:highlight w:val="none"/>
                <w:lang w:val="en-US" w:eastAsia="zh-CN" w:bidi="ar-SA"/>
              </w:rPr>
              <w:t>15482400.00</w:t>
            </w:r>
          </w:p>
        </w:tc>
      </w:tr>
    </w:tbl>
    <w:p>
      <w:pPr>
        <w:pStyle w:val="56"/>
        <w:spacing w:beforeAutospacing="0" w:afterAutospacing="0" w:line="430" w:lineRule="exact"/>
        <w:ind w:firstLine="828" w:firstLineChars="400"/>
        <w:rPr>
          <w:rFonts w:hint="eastAsia" w:ascii="仿宋" w:hAnsi="仿宋" w:eastAsia="仿宋" w:cs="仿宋"/>
          <w:color w:val="auto"/>
          <w:spacing w:val="14"/>
          <w:sz w:val="21"/>
          <w:szCs w:val="21"/>
          <w:highlight w:val="none"/>
        </w:rPr>
      </w:pP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lang w:val="en-US" w:eastAsia="zh-CN"/>
        </w:rPr>
        <w:t>5</w:t>
      </w:r>
      <w:r>
        <w:rPr>
          <w:rFonts w:hint="eastAsia" w:ascii="仿宋" w:hAnsi="仿宋" w:eastAsia="仿宋" w:cs="仿宋"/>
          <w:color w:val="auto"/>
          <w:spacing w:val="14"/>
          <w:sz w:val="21"/>
          <w:szCs w:val="21"/>
          <w:highlight w:val="none"/>
        </w:rPr>
        <w:t>、采购需求（包括但不限于标的的名称、数量、简要技术需求或服务要求等）：</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lang w:eastAsia="zh-CN"/>
        </w:rPr>
      </w:pPr>
      <w:r>
        <w:rPr>
          <w:rFonts w:hint="eastAsia" w:ascii="仿宋" w:hAnsi="仿宋" w:eastAsia="仿宋" w:cs="仿宋"/>
          <w:color w:val="auto"/>
          <w:spacing w:val="14"/>
          <w:sz w:val="21"/>
          <w:szCs w:val="21"/>
          <w:highlight w:val="none"/>
        </w:rPr>
        <w:t>（1）采购内容：</w:t>
      </w:r>
      <w:r>
        <w:rPr>
          <w:rFonts w:hint="eastAsia" w:ascii="仿宋" w:hAnsi="仿宋" w:eastAsia="仿宋" w:cs="仿宋"/>
          <w:color w:val="auto"/>
          <w:spacing w:val="14"/>
          <w:sz w:val="21"/>
          <w:szCs w:val="21"/>
          <w:highlight w:val="none"/>
          <w:lang w:eastAsia="zh-CN"/>
        </w:rPr>
        <w:t>该项目的主要目标是提升洛阳市、县、乡基层防灾能力，着重关注市、县、乡的应急救援队伍，通过购置各类应急救援设备，提高基层救援能力。该项目为洛阳市应急管理局洛阳市基层防灾能力提升项目(第二批)，其主要内容为综合保障指挥通信类、综合保障特种车辆、</w:t>
      </w:r>
    </w:p>
    <w:p>
      <w:pPr>
        <w:pStyle w:val="56"/>
        <w:spacing w:beforeAutospacing="0" w:afterAutospacing="0" w:line="430" w:lineRule="exact"/>
        <w:jc w:val="both"/>
        <w:rPr>
          <w:rFonts w:hint="eastAsia" w:ascii="仿宋" w:hAnsi="仿宋" w:eastAsia="仿宋" w:cs="仿宋"/>
          <w:color w:val="auto"/>
          <w:spacing w:val="14"/>
          <w:sz w:val="21"/>
          <w:szCs w:val="21"/>
          <w:highlight w:val="none"/>
          <w:lang w:eastAsia="zh-CN"/>
        </w:rPr>
      </w:pPr>
      <w:r>
        <w:rPr>
          <w:rFonts w:hint="eastAsia" w:ascii="仿宋" w:hAnsi="仿宋" w:eastAsia="仿宋" w:cs="仿宋"/>
          <w:color w:val="auto"/>
          <w:spacing w:val="14"/>
          <w:sz w:val="21"/>
          <w:szCs w:val="21"/>
          <w:highlight w:val="none"/>
          <w:lang w:eastAsia="zh-CN"/>
        </w:rPr>
        <w:t>综合保障无人机、综合保障救援运兵车、综合保障装备运输车、综合保障小型装备运输车、综合保障救护设备、综合保障便携式气象仪、综合保障电源照明类等装备采购。（</w:t>
      </w:r>
      <w:r>
        <w:rPr>
          <w:rFonts w:hint="eastAsia" w:ascii="仿宋" w:hAnsi="仿宋" w:eastAsia="仿宋" w:cs="仿宋"/>
          <w:color w:val="auto"/>
          <w:spacing w:val="14"/>
          <w:sz w:val="21"/>
          <w:szCs w:val="21"/>
          <w:highlight w:val="none"/>
        </w:rPr>
        <w:t>具体技术需求详见招标文件）</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（2）采购范围：</w:t>
      </w:r>
      <w:r>
        <w:rPr>
          <w:rFonts w:hint="eastAsia" w:ascii="仿宋" w:hAnsi="仿宋" w:eastAsia="仿宋" w:cs="仿宋"/>
          <w:color w:val="auto"/>
          <w:spacing w:val="14"/>
          <w:sz w:val="21"/>
          <w:szCs w:val="21"/>
          <w:highlight w:val="none"/>
          <w:lang w:val="en-US" w:eastAsia="zh-CN"/>
        </w:rPr>
        <w:t>招标文件全部内容，包括设备的供货、运输、保险、装卸、搬运、安装、检测、调试、试运行、验收交付、培训、售后保修及相关伴随服务等。</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（3）交货期：自合同签订之日起45日内完成供货、安装、调试完毕至正常使用。（其中，车辆类自合同签订之日起60日内完成供货、安装、调试完毕至正常使用，山地摩托车不计入车辆类）</w:t>
      </w:r>
    </w:p>
    <w:p>
      <w:pPr>
        <w:pStyle w:val="56"/>
        <w:spacing w:beforeAutospacing="0" w:afterAutospacing="0" w:line="430" w:lineRule="exact"/>
        <w:ind w:firstLine="560"/>
        <w:jc w:val="both"/>
        <w:rPr>
          <w:rFonts w:hint="eastAsia" w:ascii="仿宋" w:hAnsi="仿宋" w:eastAsia="仿宋" w:cs="仿宋"/>
          <w:b/>
          <w:bCs/>
          <w:color w:val="auto"/>
          <w:spacing w:val="14"/>
          <w:sz w:val="21"/>
          <w:szCs w:val="21"/>
          <w:highlight w:val="none"/>
        </w:rPr>
      </w:pPr>
      <w:r>
        <w:rPr>
          <w:rFonts w:hint="eastAsia" w:ascii="仿宋" w:hAnsi="仿宋" w:eastAsia="仿宋" w:cs="仿宋"/>
          <w:b/>
          <w:bCs/>
          <w:color w:val="auto"/>
          <w:spacing w:val="14"/>
          <w:sz w:val="21"/>
          <w:szCs w:val="21"/>
          <w:highlight w:val="none"/>
        </w:rPr>
        <w:t>（4）质保期：验收合格之日起</w:t>
      </w:r>
      <w:r>
        <w:rPr>
          <w:rFonts w:hint="eastAsia" w:ascii="仿宋" w:hAnsi="仿宋" w:eastAsia="仿宋" w:cs="仿宋"/>
          <w:b/>
          <w:bCs/>
          <w:color w:val="auto"/>
          <w:spacing w:val="14"/>
          <w:sz w:val="21"/>
          <w:szCs w:val="21"/>
          <w:highlight w:val="none"/>
          <w:lang w:val="en-US" w:eastAsia="zh-CN"/>
        </w:rPr>
        <w:t>2</w:t>
      </w:r>
      <w:r>
        <w:rPr>
          <w:rFonts w:hint="eastAsia" w:ascii="仿宋" w:hAnsi="仿宋" w:eastAsia="仿宋" w:cs="仿宋"/>
          <w:b/>
          <w:bCs/>
          <w:color w:val="auto"/>
          <w:spacing w:val="14"/>
          <w:sz w:val="21"/>
          <w:szCs w:val="21"/>
          <w:highlight w:val="none"/>
        </w:rPr>
        <w:t>年。</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（5）质量要求：</w:t>
      </w:r>
      <w:r>
        <w:rPr>
          <w:rFonts w:hint="eastAsia" w:ascii="仿宋" w:hAnsi="仿宋" w:eastAsia="仿宋" w:cs="仿宋"/>
          <w:color w:val="auto"/>
          <w:spacing w:val="14"/>
          <w:sz w:val="21"/>
          <w:szCs w:val="21"/>
          <w:highlight w:val="none"/>
          <w:lang w:val="en-US" w:eastAsia="zh-CN"/>
        </w:rPr>
        <w:t>符合国家或行业规定的合格标准且满足采购人提出的技术标准及要求。</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（6）交货地点：采购人指定地点；</w:t>
      </w:r>
    </w:p>
    <w:p>
      <w:pPr>
        <w:pStyle w:val="56"/>
        <w:spacing w:beforeAutospacing="0" w:afterAutospacing="0" w:line="430" w:lineRule="exact"/>
        <w:ind w:left="573" w:leftChars="312" w:hanging="46" w:hangingChars="22"/>
        <w:jc w:val="both"/>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（7）标段划分：本项目共9个标段。</w:t>
      </w:r>
    </w:p>
    <w:p>
      <w:pPr>
        <w:pStyle w:val="56"/>
        <w:spacing w:beforeAutospacing="0" w:afterAutospacing="0" w:line="430" w:lineRule="exact"/>
        <w:ind w:firstLine="621" w:firstLineChars="300"/>
        <w:jc w:val="both"/>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一标段：综合保障指挥通信类；</w:t>
      </w:r>
    </w:p>
    <w:p>
      <w:pPr>
        <w:pStyle w:val="56"/>
        <w:spacing w:beforeAutospacing="0" w:afterAutospacing="0" w:line="430" w:lineRule="exact"/>
        <w:ind w:firstLine="621" w:firstLineChars="300"/>
        <w:jc w:val="both"/>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二标段：综合保障特种车辆；</w:t>
      </w:r>
    </w:p>
    <w:p>
      <w:pPr>
        <w:pStyle w:val="56"/>
        <w:spacing w:beforeAutospacing="0" w:afterAutospacing="0" w:line="430" w:lineRule="exact"/>
        <w:ind w:firstLine="621" w:firstLineChars="300"/>
        <w:jc w:val="both"/>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三标段：综合保障无人机；</w:t>
      </w:r>
    </w:p>
    <w:p>
      <w:pPr>
        <w:pStyle w:val="56"/>
        <w:spacing w:beforeAutospacing="0" w:afterAutospacing="0" w:line="430" w:lineRule="exact"/>
        <w:ind w:firstLine="621" w:firstLineChars="300"/>
        <w:jc w:val="both"/>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四标段：综合保障救援运兵车；</w:t>
      </w:r>
    </w:p>
    <w:p>
      <w:pPr>
        <w:pStyle w:val="56"/>
        <w:spacing w:beforeAutospacing="0" w:afterAutospacing="0" w:line="430" w:lineRule="exact"/>
        <w:ind w:firstLine="621" w:firstLineChars="300"/>
        <w:jc w:val="both"/>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五标段：综合保障装备运输车；</w:t>
      </w:r>
    </w:p>
    <w:p>
      <w:pPr>
        <w:pStyle w:val="56"/>
        <w:spacing w:beforeAutospacing="0" w:afterAutospacing="0" w:line="430" w:lineRule="exact"/>
        <w:ind w:firstLine="621" w:firstLineChars="300"/>
        <w:jc w:val="both"/>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六标段：综合保障小型装备运输车；</w:t>
      </w:r>
    </w:p>
    <w:p>
      <w:pPr>
        <w:pStyle w:val="56"/>
        <w:spacing w:beforeAutospacing="0" w:afterAutospacing="0" w:line="430" w:lineRule="exact"/>
        <w:ind w:firstLine="621" w:firstLineChars="300"/>
        <w:jc w:val="both"/>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七标段：综合保障救护设备；</w:t>
      </w:r>
    </w:p>
    <w:p>
      <w:pPr>
        <w:pStyle w:val="56"/>
        <w:spacing w:beforeAutospacing="0" w:afterAutospacing="0" w:line="430" w:lineRule="exact"/>
        <w:ind w:firstLine="621" w:firstLineChars="300"/>
        <w:jc w:val="both"/>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八标段：综合保障便携式气象仪；</w:t>
      </w:r>
    </w:p>
    <w:p>
      <w:pPr>
        <w:pStyle w:val="56"/>
        <w:spacing w:beforeAutospacing="0" w:afterAutospacing="0" w:line="430" w:lineRule="exact"/>
        <w:ind w:firstLine="621" w:firstLineChars="300"/>
        <w:jc w:val="both"/>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九标段：综合保障电源照明类。</w:t>
      </w:r>
    </w:p>
    <w:p>
      <w:pPr>
        <w:pStyle w:val="56"/>
        <w:spacing w:beforeAutospacing="0" w:afterAutospacing="0" w:line="430" w:lineRule="exact"/>
        <w:ind w:firstLine="621" w:firstLineChars="300"/>
        <w:jc w:val="both"/>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注：本次招标共九个标段，投标人应就所投标段进行完整投标，不得将一个标段拆开投标，否则将不被接受。一个投标人可投多个标段，也可中标多个标段。</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lang w:val="en-US" w:eastAsia="zh-CN"/>
        </w:rPr>
        <w:t>6</w:t>
      </w:r>
      <w:r>
        <w:rPr>
          <w:rFonts w:hint="eastAsia" w:ascii="仿宋" w:hAnsi="仿宋" w:eastAsia="仿宋" w:cs="仿宋"/>
          <w:color w:val="auto"/>
          <w:spacing w:val="14"/>
          <w:sz w:val="21"/>
          <w:szCs w:val="21"/>
          <w:highlight w:val="none"/>
        </w:rPr>
        <w:t>、合同履行期限：自合同生效至质保期结束。</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lang w:val="en-US" w:eastAsia="zh-CN"/>
        </w:rPr>
        <w:t>7</w:t>
      </w:r>
      <w:r>
        <w:rPr>
          <w:rFonts w:hint="eastAsia" w:ascii="仿宋" w:hAnsi="仿宋" w:eastAsia="仿宋" w:cs="仿宋"/>
          <w:color w:val="auto"/>
          <w:spacing w:val="14"/>
          <w:sz w:val="21"/>
          <w:szCs w:val="21"/>
          <w:highlight w:val="none"/>
        </w:rPr>
        <w:t>、本项目是否接受联合体投标：否。</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lang w:val="en-US" w:eastAsia="zh-CN"/>
        </w:rPr>
        <w:t>8</w:t>
      </w:r>
      <w:r>
        <w:rPr>
          <w:rFonts w:hint="eastAsia" w:ascii="仿宋" w:hAnsi="仿宋" w:eastAsia="仿宋" w:cs="仿宋"/>
          <w:color w:val="auto"/>
          <w:spacing w:val="14"/>
          <w:sz w:val="21"/>
          <w:szCs w:val="21"/>
          <w:highlight w:val="none"/>
        </w:rPr>
        <w:t>、是否接受进口产品：</w:t>
      </w:r>
      <w:r>
        <w:rPr>
          <w:rFonts w:hint="eastAsia" w:ascii="仿宋" w:hAnsi="仿宋" w:eastAsia="仿宋" w:cs="仿宋"/>
          <w:color w:val="auto"/>
          <w:spacing w:val="14"/>
          <w:sz w:val="21"/>
          <w:szCs w:val="21"/>
          <w:highlight w:val="none"/>
          <w:lang w:val="en-US" w:eastAsia="zh-CN"/>
        </w:rPr>
        <w:t>否</w:t>
      </w:r>
      <w:r>
        <w:rPr>
          <w:rFonts w:hint="eastAsia" w:ascii="仿宋" w:hAnsi="仿宋" w:eastAsia="仿宋" w:cs="仿宋"/>
          <w:color w:val="auto"/>
          <w:spacing w:val="14"/>
          <w:sz w:val="21"/>
          <w:szCs w:val="21"/>
          <w:highlight w:val="none"/>
        </w:rPr>
        <w:t>。</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lang w:val="en-US" w:eastAsia="zh-CN"/>
        </w:rPr>
        <w:t>9</w:t>
      </w:r>
      <w:r>
        <w:rPr>
          <w:rFonts w:hint="eastAsia" w:ascii="仿宋" w:hAnsi="仿宋" w:eastAsia="仿宋" w:cs="仿宋"/>
          <w:color w:val="auto"/>
          <w:spacing w:val="14"/>
          <w:sz w:val="21"/>
          <w:szCs w:val="21"/>
          <w:highlight w:val="none"/>
        </w:rPr>
        <w:t>、是否专门面向中小企业：否。</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二、申请人资格要求</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1、满足《中华人民共和国政府采购法》第二十二条规定；</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2、落实政府采购政策满足的资格要求：</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（1）本项目执行节约能源、保护环境、扶持不发达地区和少数民族地区、节能环保产品优先采购等政府采购政策，支持中小微（监狱、残疾人福利性单位）企业。</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（2）依据洛阳市洛财购【2021】1号文件精神，根据财政部工业和信息化部《政府采购促进中小企业发展管理办法》（财库【2020】46号）的规定，本项目支持中小（监狱、残疾人福利性单位）企业；</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（3）</w:t>
      </w:r>
      <w:r>
        <w:rPr>
          <w:rFonts w:hint="eastAsia" w:ascii="仿宋" w:hAnsi="仿宋" w:eastAsia="仿宋" w:cs="仿宋"/>
          <w:color w:val="auto"/>
          <w:spacing w:val="14"/>
          <w:sz w:val="21"/>
          <w:szCs w:val="21"/>
          <w:highlight w:val="none"/>
          <w:lang w:val="en-US" w:eastAsia="zh-CN"/>
        </w:rPr>
        <w:t>根据洛财购[2021]4号文件要求，参加政府采购项目的中小微企业供应商，持中标(成交)通知书可向金融机构申请合同融资。详情请登录河南省政府采购网(http://www.hngp.gov.cn/)，进入网站飘窗或业务指南窗口了解金融机构提供的融资服务内容。</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3、本项目的特定资格要求：</w:t>
      </w:r>
    </w:p>
    <w:p>
      <w:pPr>
        <w:pStyle w:val="56"/>
        <w:spacing w:beforeAutospacing="0" w:afterAutospacing="0" w:line="430" w:lineRule="exact"/>
        <w:ind w:firstLine="560"/>
        <w:jc w:val="both"/>
        <w:rPr>
          <w:rFonts w:hint="eastAsia" w:ascii="仿宋" w:hAnsi="仿宋" w:eastAsia="仿宋" w:cs="仿宋"/>
          <w:b/>
          <w:bCs/>
          <w:color w:val="auto"/>
          <w:spacing w:val="14"/>
          <w:sz w:val="21"/>
          <w:szCs w:val="21"/>
          <w:highlight w:val="none"/>
        </w:rPr>
      </w:pPr>
      <w:r>
        <w:rPr>
          <w:rFonts w:hint="eastAsia" w:ascii="仿宋" w:hAnsi="仿宋" w:eastAsia="仿宋" w:cs="仿宋"/>
          <w:b/>
          <w:bCs/>
          <w:color w:val="auto"/>
          <w:spacing w:val="14"/>
          <w:sz w:val="21"/>
          <w:szCs w:val="21"/>
          <w:highlight w:val="none"/>
          <w:lang w:val="en-US" w:eastAsia="zh-CN"/>
        </w:rPr>
        <w:t>一标段、二标段、三标段、四标段、五标段、六标段、八标段、九标段</w:t>
      </w:r>
      <w:r>
        <w:rPr>
          <w:rFonts w:hint="eastAsia" w:ascii="仿宋" w:hAnsi="仿宋" w:eastAsia="仿宋" w:cs="仿宋"/>
          <w:b/>
          <w:bCs/>
          <w:color w:val="auto"/>
          <w:spacing w:val="14"/>
          <w:sz w:val="21"/>
          <w:szCs w:val="21"/>
          <w:highlight w:val="none"/>
        </w:rPr>
        <w:t>特定资格要求：</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3.1须具有独立承担民事责任的能力，具有有效的营业执照或事业单位法人证书；</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3.</w:t>
      </w:r>
      <w:r>
        <w:rPr>
          <w:rFonts w:hint="eastAsia" w:ascii="仿宋" w:hAnsi="仿宋" w:eastAsia="仿宋" w:cs="仿宋"/>
          <w:color w:val="auto"/>
          <w:spacing w:val="14"/>
          <w:sz w:val="21"/>
          <w:szCs w:val="21"/>
          <w:highlight w:val="none"/>
          <w:lang w:val="en-US" w:eastAsia="zh-CN"/>
        </w:rPr>
        <w:t>2</w:t>
      </w:r>
      <w:r>
        <w:rPr>
          <w:rFonts w:hint="eastAsia" w:ascii="仿宋" w:hAnsi="仿宋" w:eastAsia="仿宋" w:cs="仿宋"/>
          <w:color w:val="auto"/>
          <w:spacing w:val="14"/>
          <w:sz w:val="21"/>
          <w:szCs w:val="21"/>
          <w:highlight w:val="none"/>
        </w:rPr>
        <w:t>根据《洛阳市财政局关于推行政府采购信用承诺制的通知》（洛财购【2021】11号），在政府采购活动中，投标人须提供满足相应条件的书面承诺书，以及违背承诺自愿承担相关责任的承诺。（投标文件中须附《洛阳市政府采购供应商信用承诺函》，格式见第七章投标文件格式）。</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注：采购人有权在签订合同前要求中标人提供相关证明材料以核实中标人承诺事项的真实性。</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3.</w:t>
      </w:r>
      <w:r>
        <w:rPr>
          <w:rFonts w:hint="eastAsia" w:ascii="仿宋" w:hAnsi="仿宋" w:eastAsia="仿宋" w:cs="仿宋"/>
          <w:color w:val="auto"/>
          <w:spacing w:val="14"/>
          <w:sz w:val="21"/>
          <w:szCs w:val="21"/>
          <w:highlight w:val="none"/>
          <w:lang w:val="en-US" w:eastAsia="zh-CN"/>
        </w:rPr>
        <w:t>3</w:t>
      </w:r>
      <w:r>
        <w:rPr>
          <w:rFonts w:hint="eastAsia" w:ascii="仿宋" w:hAnsi="仿宋" w:eastAsia="仿宋" w:cs="仿宋"/>
          <w:color w:val="auto"/>
          <w:spacing w:val="14"/>
          <w:sz w:val="21"/>
          <w:szCs w:val="21"/>
          <w:highlight w:val="none"/>
        </w:rPr>
        <w:t>单位负责人为同一人或者存在直接控股、管理关系的不同投标人，不得参加同一合同项下的政府采购活动。（提供承诺函，格式自拟)</w:t>
      </w:r>
    </w:p>
    <w:p>
      <w:pPr>
        <w:pStyle w:val="56"/>
        <w:spacing w:beforeAutospacing="0" w:afterAutospacing="0" w:line="430" w:lineRule="exact"/>
        <w:ind w:firstLine="560"/>
        <w:jc w:val="both"/>
        <w:rPr>
          <w:rFonts w:hint="eastAsia" w:ascii="仿宋" w:hAnsi="仿宋" w:eastAsia="仿宋" w:cs="仿宋"/>
          <w:b/>
          <w:bCs/>
          <w:color w:val="auto"/>
          <w:spacing w:val="14"/>
          <w:sz w:val="21"/>
          <w:szCs w:val="21"/>
          <w:highlight w:val="none"/>
          <w:lang w:val="en-US" w:eastAsia="zh-CN"/>
        </w:rPr>
      </w:pPr>
      <w:r>
        <w:rPr>
          <w:rFonts w:hint="eastAsia" w:ascii="仿宋" w:hAnsi="仿宋" w:eastAsia="仿宋" w:cs="仿宋"/>
          <w:b/>
          <w:bCs/>
          <w:color w:val="auto"/>
          <w:spacing w:val="14"/>
          <w:sz w:val="21"/>
          <w:szCs w:val="21"/>
          <w:highlight w:val="none"/>
          <w:lang w:val="en-US" w:eastAsia="zh-CN"/>
        </w:rPr>
        <w:t>七标段特定资格要求：</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lang w:val="en-US" w:eastAsia="zh-CN"/>
        </w:rPr>
        <w:t>3</w:t>
      </w:r>
      <w:r>
        <w:rPr>
          <w:rFonts w:hint="eastAsia" w:ascii="仿宋" w:hAnsi="仿宋" w:eastAsia="仿宋" w:cs="仿宋"/>
          <w:color w:val="auto"/>
          <w:spacing w:val="14"/>
          <w:sz w:val="21"/>
          <w:szCs w:val="21"/>
          <w:highlight w:val="none"/>
        </w:rPr>
        <w:t>.1须具有独立承担民事责任的能力，具有有效的营业执照或事业单位法人证书；</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3.2投标人若为制造商应具有符合招标范围的《医疗器械注册证》和《医疗器械生产许可证》，投标人若为经销商或代理商应具有符合招标范围的《医疗器械经营许可证》（同时还需提供加盖制造商公章的《医疗器械注册证》复印件）；</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lang w:val="en-US" w:eastAsia="zh-CN"/>
        </w:rPr>
        <w:t>3</w:t>
      </w:r>
      <w:r>
        <w:rPr>
          <w:rFonts w:hint="eastAsia" w:ascii="仿宋" w:hAnsi="仿宋" w:eastAsia="仿宋" w:cs="仿宋"/>
          <w:color w:val="auto"/>
          <w:spacing w:val="14"/>
          <w:sz w:val="21"/>
          <w:szCs w:val="21"/>
          <w:highlight w:val="none"/>
        </w:rPr>
        <w:t>.</w:t>
      </w:r>
      <w:r>
        <w:rPr>
          <w:rFonts w:hint="eastAsia" w:ascii="仿宋" w:hAnsi="仿宋" w:eastAsia="仿宋" w:cs="仿宋"/>
          <w:color w:val="auto"/>
          <w:spacing w:val="14"/>
          <w:sz w:val="21"/>
          <w:szCs w:val="21"/>
          <w:highlight w:val="none"/>
          <w:lang w:val="en-US" w:eastAsia="zh-CN"/>
        </w:rPr>
        <w:t>3</w:t>
      </w:r>
      <w:r>
        <w:rPr>
          <w:rFonts w:hint="eastAsia" w:ascii="仿宋" w:hAnsi="仿宋" w:eastAsia="仿宋" w:cs="仿宋"/>
          <w:color w:val="auto"/>
          <w:spacing w:val="14"/>
          <w:sz w:val="21"/>
          <w:szCs w:val="21"/>
          <w:highlight w:val="none"/>
        </w:rPr>
        <w:t>根据《洛阳市财政局关于推行政府采购信用承诺制的通知》（洛财购【2021】11号），在政府采购活动中，投标人须提供满足相应条件的书面承诺书，以及违背承诺自愿承担相关责任的承诺。（投标文件中须附《洛阳市政府采购供应商信用承诺函》，格式见第七章投标文件格式）。</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注：采购人有权在签订合同前要求中标人提供相关证明材料以核实中标人承诺事项的真实性。</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lang w:val="en-US" w:eastAsia="zh-CN"/>
        </w:rPr>
        <w:t>3</w:t>
      </w:r>
      <w:r>
        <w:rPr>
          <w:rFonts w:hint="eastAsia" w:ascii="仿宋" w:hAnsi="仿宋" w:eastAsia="仿宋" w:cs="仿宋"/>
          <w:color w:val="auto"/>
          <w:spacing w:val="14"/>
          <w:sz w:val="21"/>
          <w:szCs w:val="21"/>
          <w:highlight w:val="none"/>
        </w:rPr>
        <w:t>.</w:t>
      </w:r>
      <w:r>
        <w:rPr>
          <w:rFonts w:hint="eastAsia" w:ascii="仿宋" w:hAnsi="仿宋" w:eastAsia="仿宋" w:cs="仿宋"/>
          <w:color w:val="auto"/>
          <w:spacing w:val="14"/>
          <w:sz w:val="21"/>
          <w:szCs w:val="21"/>
          <w:highlight w:val="none"/>
          <w:lang w:val="en-US" w:eastAsia="zh-CN"/>
        </w:rPr>
        <w:t>4</w:t>
      </w:r>
      <w:r>
        <w:rPr>
          <w:rFonts w:hint="eastAsia" w:ascii="仿宋" w:hAnsi="仿宋" w:eastAsia="仿宋" w:cs="仿宋"/>
          <w:color w:val="auto"/>
          <w:spacing w:val="14"/>
          <w:sz w:val="21"/>
          <w:szCs w:val="21"/>
          <w:highlight w:val="none"/>
        </w:rPr>
        <w:t>单位负责人为同一人或者存在直接控股、管理关系的不同投标人，不得参加同一合同项下的政府采购活动。（提供承诺函，格式自拟)</w:t>
      </w:r>
    </w:p>
    <w:p>
      <w:pPr>
        <w:pStyle w:val="56"/>
        <w:spacing w:beforeAutospacing="0" w:afterAutospacing="0" w:line="430" w:lineRule="exact"/>
        <w:ind w:firstLine="560"/>
        <w:jc w:val="both"/>
        <w:rPr>
          <w:rFonts w:hint="default"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4、</w:t>
      </w:r>
      <w:r>
        <w:rPr>
          <w:rFonts w:hint="eastAsia" w:ascii="仿宋" w:hAnsi="仿宋" w:eastAsia="仿宋" w:cs="仿宋"/>
          <w:color w:val="auto"/>
          <w:spacing w:val="14"/>
          <w:sz w:val="21"/>
          <w:szCs w:val="21"/>
          <w:highlight w:val="none"/>
        </w:rPr>
        <w:t>本项目不接受联合体投标</w:t>
      </w:r>
      <w:r>
        <w:rPr>
          <w:rFonts w:hint="eastAsia" w:ascii="仿宋" w:hAnsi="仿宋" w:eastAsia="仿宋" w:cs="仿宋"/>
          <w:color w:val="auto"/>
          <w:spacing w:val="14"/>
          <w:sz w:val="21"/>
          <w:szCs w:val="21"/>
          <w:highlight w:val="none"/>
          <w:lang w:eastAsia="zh-CN"/>
        </w:rPr>
        <w:t>。</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注：本项目实行资格后审，资格后审不合格的投标人的投标文件将按废标处理。</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三、获取招标文件</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1.时间：2024年</w:t>
      </w:r>
      <w:r>
        <w:rPr>
          <w:rFonts w:hint="eastAsia" w:ascii="仿宋" w:hAnsi="仿宋" w:eastAsia="仿宋" w:cs="仿宋"/>
          <w:color w:val="auto"/>
          <w:spacing w:val="14"/>
          <w:sz w:val="21"/>
          <w:szCs w:val="21"/>
          <w:highlight w:val="none"/>
          <w:lang w:val="en-US" w:eastAsia="zh-CN"/>
        </w:rPr>
        <w:t>05</w:t>
      </w:r>
      <w:r>
        <w:rPr>
          <w:rFonts w:hint="eastAsia" w:ascii="仿宋" w:hAnsi="仿宋" w:eastAsia="仿宋" w:cs="仿宋"/>
          <w:color w:val="auto"/>
          <w:spacing w:val="14"/>
          <w:sz w:val="21"/>
          <w:szCs w:val="21"/>
          <w:highlight w:val="none"/>
        </w:rPr>
        <w:t>月</w:t>
      </w:r>
      <w:r>
        <w:rPr>
          <w:rFonts w:hint="eastAsia" w:ascii="仿宋" w:hAnsi="仿宋" w:eastAsia="仿宋" w:cs="仿宋"/>
          <w:color w:val="auto"/>
          <w:spacing w:val="14"/>
          <w:sz w:val="21"/>
          <w:szCs w:val="21"/>
          <w:highlight w:val="none"/>
          <w:lang w:val="en-US" w:eastAsia="zh-CN"/>
        </w:rPr>
        <w:t>28</w:t>
      </w:r>
      <w:r>
        <w:rPr>
          <w:rFonts w:hint="eastAsia" w:ascii="仿宋" w:hAnsi="仿宋" w:eastAsia="仿宋" w:cs="仿宋"/>
          <w:color w:val="auto"/>
          <w:spacing w:val="14"/>
          <w:sz w:val="21"/>
          <w:szCs w:val="21"/>
          <w:highlight w:val="none"/>
        </w:rPr>
        <w:t>日至2024年</w:t>
      </w:r>
      <w:r>
        <w:rPr>
          <w:rFonts w:hint="eastAsia" w:ascii="仿宋" w:hAnsi="仿宋" w:eastAsia="仿宋" w:cs="仿宋"/>
          <w:color w:val="auto"/>
          <w:spacing w:val="14"/>
          <w:sz w:val="21"/>
          <w:szCs w:val="21"/>
          <w:highlight w:val="none"/>
          <w:lang w:val="en-US" w:eastAsia="zh-CN"/>
        </w:rPr>
        <w:t>06</w:t>
      </w:r>
      <w:r>
        <w:rPr>
          <w:rFonts w:hint="eastAsia" w:ascii="仿宋" w:hAnsi="仿宋" w:eastAsia="仿宋" w:cs="仿宋"/>
          <w:color w:val="auto"/>
          <w:spacing w:val="14"/>
          <w:sz w:val="21"/>
          <w:szCs w:val="21"/>
          <w:highlight w:val="none"/>
        </w:rPr>
        <w:t>月</w:t>
      </w:r>
      <w:r>
        <w:rPr>
          <w:rFonts w:hint="eastAsia" w:ascii="仿宋" w:hAnsi="仿宋" w:eastAsia="仿宋" w:cs="仿宋"/>
          <w:color w:val="auto"/>
          <w:spacing w:val="14"/>
          <w:sz w:val="21"/>
          <w:szCs w:val="21"/>
          <w:highlight w:val="none"/>
          <w:lang w:val="en-US" w:eastAsia="zh-CN"/>
        </w:rPr>
        <w:t>03</w:t>
      </w:r>
      <w:r>
        <w:rPr>
          <w:rFonts w:hint="eastAsia" w:ascii="仿宋" w:hAnsi="仿宋" w:eastAsia="仿宋" w:cs="仿宋"/>
          <w:color w:val="auto"/>
          <w:spacing w:val="14"/>
          <w:sz w:val="21"/>
          <w:szCs w:val="21"/>
          <w:highlight w:val="none"/>
        </w:rPr>
        <w:t xml:space="preserve">日，每天上午00：00至12:00，下午12:00至23:59（北京时间，法定节假日除外。） </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2.地点：洛阳市公共资源交易中心网站（</w:t>
      </w:r>
      <w:r>
        <w:rPr>
          <w:rFonts w:hint="eastAsia" w:ascii="仿宋" w:hAnsi="仿宋" w:eastAsia="仿宋" w:cs="仿宋"/>
          <w:color w:val="auto"/>
          <w:spacing w:val="14"/>
          <w:sz w:val="21"/>
          <w:szCs w:val="21"/>
          <w:highlight w:val="none"/>
          <w:lang w:eastAsia="zh-CN"/>
        </w:rPr>
        <w:t>lyggzyjy.ly.gov.cn</w:t>
      </w:r>
      <w:r>
        <w:rPr>
          <w:rFonts w:hint="eastAsia" w:ascii="仿宋" w:hAnsi="仿宋" w:eastAsia="仿宋" w:cs="仿宋"/>
          <w:color w:val="auto"/>
          <w:spacing w:val="14"/>
          <w:sz w:val="21"/>
          <w:szCs w:val="21"/>
          <w:highlight w:val="none"/>
        </w:rPr>
        <w:t>）</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3.方式：洛阳市公共资源交易中心网站（</w:t>
      </w:r>
      <w:r>
        <w:rPr>
          <w:rFonts w:hint="eastAsia" w:ascii="仿宋" w:hAnsi="仿宋" w:eastAsia="仿宋" w:cs="仿宋"/>
          <w:color w:val="auto"/>
          <w:spacing w:val="14"/>
          <w:sz w:val="21"/>
          <w:szCs w:val="21"/>
          <w:highlight w:val="none"/>
          <w:lang w:eastAsia="zh-CN"/>
        </w:rPr>
        <w:t>lyggzyjy.ly.gov.cn</w:t>
      </w:r>
      <w:r>
        <w:rPr>
          <w:rFonts w:hint="eastAsia" w:ascii="仿宋" w:hAnsi="仿宋" w:eastAsia="仿宋" w:cs="仿宋"/>
          <w:color w:val="auto"/>
          <w:spacing w:val="14"/>
          <w:sz w:val="21"/>
          <w:szCs w:val="21"/>
          <w:highlight w:val="none"/>
        </w:rPr>
        <w:t>）上获取。请在“洛阳市电子招投标交易平台（</w:t>
      </w:r>
      <w:r>
        <w:rPr>
          <w:rFonts w:hint="eastAsia" w:ascii="仿宋" w:hAnsi="仿宋" w:eastAsia="仿宋" w:cs="仿宋"/>
          <w:color w:val="auto"/>
          <w:spacing w:val="14"/>
          <w:sz w:val="21"/>
          <w:szCs w:val="21"/>
          <w:highlight w:val="none"/>
          <w:lang w:eastAsia="zh-CN"/>
        </w:rPr>
        <w:t>http://lyggzyjy.ly.gov.cn/TPBidder</w:t>
      </w:r>
      <w:r>
        <w:rPr>
          <w:rFonts w:hint="eastAsia" w:ascii="仿宋" w:hAnsi="仿宋" w:eastAsia="仿宋" w:cs="仿宋"/>
          <w:color w:val="auto"/>
          <w:spacing w:val="14"/>
          <w:sz w:val="21"/>
          <w:szCs w:val="21"/>
          <w:highlight w:val="none"/>
        </w:rPr>
        <w:t>）”进行用户注册，办理数字证书后下载招标（采购）文件。如投多个标段（包），则应就所投每个标段（包）分别下载。联合体投标的，由联合体牵头人完成招标（采购）文件下载。详见洛阳市公共资源交易中心网站—办事指南内的“主体注册CA办理”和“洛阳政府采购系统操作手册（供应商用）”。</w:t>
      </w:r>
    </w:p>
    <w:p>
      <w:pPr>
        <w:pStyle w:val="56"/>
        <w:spacing w:beforeAutospacing="0" w:afterAutospacing="0" w:line="430" w:lineRule="exact"/>
        <w:ind w:firstLine="56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4.售价：0元</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四、投标截止时间及地点</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1.时间：2024年</w:t>
      </w:r>
      <w:r>
        <w:rPr>
          <w:rFonts w:hint="eastAsia" w:ascii="仿宋" w:hAnsi="仿宋" w:eastAsia="仿宋" w:cs="仿宋"/>
          <w:color w:val="auto"/>
          <w:spacing w:val="14"/>
          <w:sz w:val="21"/>
          <w:szCs w:val="21"/>
          <w:highlight w:val="none"/>
          <w:lang w:val="en-US" w:eastAsia="zh-CN"/>
        </w:rPr>
        <w:t>06</w:t>
      </w:r>
      <w:r>
        <w:rPr>
          <w:rFonts w:hint="eastAsia" w:ascii="仿宋" w:hAnsi="仿宋" w:eastAsia="仿宋" w:cs="仿宋"/>
          <w:color w:val="auto"/>
          <w:spacing w:val="14"/>
          <w:sz w:val="21"/>
          <w:szCs w:val="21"/>
          <w:highlight w:val="none"/>
        </w:rPr>
        <w:t>月</w:t>
      </w:r>
      <w:r>
        <w:rPr>
          <w:rFonts w:hint="eastAsia" w:ascii="仿宋" w:hAnsi="仿宋" w:eastAsia="仿宋" w:cs="仿宋"/>
          <w:color w:val="auto"/>
          <w:spacing w:val="14"/>
          <w:sz w:val="21"/>
          <w:szCs w:val="21"/>
          <w:highlight w:val="none"/>
          <w:lang w:val="en-US" w:eastAsia="zh-CN"/>
        </w:rPr>
        <w:t>20</w:t>
      </w:r>
      <w:r>
        <w:rPr>
          <w:rFonts w:hint="eastAsia" w:ascii="仿宋" w:hAnsi="仿宋" w:eastAsia="仿宋" w:cs="仿宋"/>
          <w:color w:val="auto"/>
          <w:spacing w:val="14"/>
          <w:sz w:val="21"/>
          <w:szCs w:val="21"/>
          <w:highlight w:val="none"/>
        </w:rPr>
        <w:t>日</w:t>
      </w:r>
      <w:r>
        <w:rPr>
          <w:rFonts w:hint="eastAsia" w:ascii="仿宋" w:hAnsi="仿宋" w:eastAsia="仿宋" w:cs="仿宋"/>
          <w:color w:val="auto"/>
          <w:spacing w:val="14"/>
          <w:sz w:val="21"/>
          <w:szCs w:val="21"/>
          <w:highlight w:val="none"/>
          <w:lang w:val="en-US" w:eastAsia="zh-CN"/>
        </w:rPr>
        <w:t>09</w:t>
      </w:r>
      <w:r>
        <w:rPr>
          <w:rFonts w:hint="eastAsia" w:ascii="仿宋" w:hAnsi="仿宋" w:eastAsia="仿宋" w:cs="仿宋"/>
          <w:color w:val="auto"/>
          <w:spacing w:val="14"/>
          <w:sz w:val="21"/>
          <w:szCs w:val="21"/>
          <w:highlight w:val="none"/>
        </w:rPr>
        <w:t>时</w:t>
      </w:r>
      <w:r>
        <w:rPr>
          <w:rFonts w:hint="eastAsia" w:ascii="仿宋" w:hAnsi="仿宋" w:eastAsia="仿宋" w:cs="仿宋"/>
          <w:color w:val="auto"/>
          <w:spacing w:val="14"/>
          <w:sz w:val="21"/>
          <w:szCs w:val="21"/>
          <w:highlight w:val="none"/>
          <w:lang w:val="en-US" w:eastAsia="zh-CN"/>
        </w:rPr>
        <w:t>05</w:t>
      </w:r>
      <w:r>
        <w:rPr>
          <w:rFonts w:hint="eastAsia" w:ascii="仿宋" w:hAnsi="仿宋" w:eastAsia="仿宋" w:cs="仿宋"/>
          <w:color w:val="auto"/>
          <w:spacing w:val="14"/>
          <w:sz w:val="21"/>
          <w:szCs w:val="21"/>
          <w:highlight w:val="none"/>
        </w:rPr>
        <w:t>分（北京时间）</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2.地点：洛阳市公共资源交易中心网站（</w:t>
      </w:r>
      <w:r>
        <w:rPr>
          <w:rFonts w:hint="eastAsia" w:ascii="仿宋" w:hAnsi="仿宋" w:eastAsia="仿宋" w:cs="仿宋"/>
          <w:color w:val="auto"/>
          <w:spacing w:val="14"/>
          <w:sz w:val="21"/>
          <w:szCs w:val="21"/>
          <w:highlight w:val="none"/>
          <w:lang w:eastAsia="zh-CN"/>
        </w:rPr>
        <w:t>lyggzyjy.ly.gov.cn</w:t>
      </w:r>
      <w:r>
        <w:rPr>
          <w:rFonts w:hint="eastAsia" w:ascii="仿宋" w:hAnsi="仿宋" w:eastAsia="仿宋" w:cs="仿宋"/>
          <w:color w:val="auto"/>
          <w:spacing w:val="14"/>
          <w:sz w:val="21"/>
          <w:szCs w:val="21"/>
          <w:highlight w:val="none"/>
        </w:rPr>
        <w:t>）。获取招标（采购）文件后，请下载并安装最新版本投标文件制作工具，制作电子投标（响应）文件，在投标截止时间前，上传加密的投标（响应）文件。投标人未在投标截止时间前完成上传的，视为逾期送达，洛阳市电子招投标交易平台将拒绝接收。</w:t>
      </w:r>
    </w:p>
    <w:p>
      <w:pPr>
        <w:pStyle w:val="56"/>
        <w:spacing w:beforeAutospacing="0" w:afterAutospacing="0" w:line="430" w:lineRule="exact"/>
        <w:ind w:firstLine="418" w:firstLineChars="200"/>
        <w:jc w:val="both"/>
        <w:rPr>
          <w:rFonts w:hint="eastAsia" w:ascii="仿宋" w:hAnsi="仿宋" w:eastAsia="仿宋" w:cs="仿宋"/>
          <w:b/>
          <w:color w:val="auto"/>
          <w:highlight w:val="none"/>
        </w:rPr>
      </w:pPr>
      <w:r>
        <w:rPr>
          <w:rFonts w:hint="eastAsia" w:ascii="仿宋" w:hAnsi="仿宋" w:eastAsia="仿宋" w:cs="仿宋"/>
          <w:b/>
          <w:color w:val="auto"/>
          <w:highlight w:val="none"/>
        </w:rPr>
        <w:t>五、开标时间及地点</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1.时间：2024年</w:t>
      </w:r>
      <w:r>
        <w:rPr>
          <w:rFonts w:hint="eastAsia" w:ascii="仿宋" w:hAnsi="仿宋" w:eastAsia="仿宋" w:cs="仿宋"/>
          <w:color w:val="auto"/>
          <w:spacing w:val="14"/>
          <w:sz w:val="21"/>
          <w:szCs w:val="21"/>
          <w:highlight w:val="none"/>
          <w:lang w:val="en-US" w:eastAsia="zh-CN"/>
        </w:rPr>
        <w:t>06</w:t>
      </w:r>
      <w:r>
        <w:rPr>
          <w:rFonts w:hint="eastAsia" w:ascii="仿宋" w:hAnsi="仿宋" w:eastAsia="仿宋" w:cs="仿宋"/>
          <w:color w:val="auto"/>
          <w:spacing w:val="14"/>
          <w:sz w:val="21"/>
          <w:szCs w:val="21"/>
          <w:highlight w:val="none"/>
        </w:rPr>
        <w:t>月</w:t>
      </w:r>
      <w:r>
        <w:rPr>
          <w:rFonts w:hint="eastAsia" w:ascii="仿宋" w:hAnsi="仿宋" w:eastAsia="仿宋" w:cs="仿宋"/>
          <w:color w:val="auto"/>
          <w:spacing w:val="14"/>
          <w:sz w:val="21"/>
          <w:szCs w:val="21"/>
          <w:highlight w:val="none"/>
          <w:lang w:val="en-US" w:eastAsia="zh-CN"/>
        </w:rPr>
        <w:t>20</w:t>
      </w:r>
      <w:r>
        <w:rPr>
          <w:rFonts w:hint="eastAsia" w:ascii="仿宋" w:hAnsi="仿宋" w:eastAsia="仿宋" w:cs="仿宋"/>
          <w:color w:val="auto"/>
          <w:spacing w:val="14"/>
          <w:sz w:val="21"/>
          <w:szCs w:val="21"/>
          <w:highlight w:val="none"/>
        </w:rPr>
        <w:t>日</w:t>
      </w:r>
      <w:r>
        <w:rPr>
          <w:rFonts w:hint="eastAsia" w:ascii="仿宋" w:hAnsi="仿宋" w:eastAsia="仿宋" w:cs="仿宋"/>
          <w:color w:val="auto"/>
          <w:spacing w:val="14"/>
          <w:sz w:val="21"/>
          <w:szCs w:val="21"/>
          <w:highlight w:val="none"/>
          <w:lang w:val="en-US" w:eastAsia="zh-CN"/>
        </w:rPr>
        <w:t>09</w:t>
      </w:r>
      <w:r>
        <w:rPr>
          <w:rFonts w:hint="eastAsia" w:ascii="仿宋" w:hAnsi="仿宋" w:eastAsia="仿宋" w:cs="仿宋"/>
          <w:color w:val="auto"/>
          <w:spacing w:val="14"/>
          <w:sz w:val="21"/>
          <w:szCs w:val="21"/>
          <w:highlight w:val="none"/>
        </w:rPr>
        <w:t>时</w:t>
      </w:r>
      <w:r>
        <w:rPr>
          <w:rFonts w:hint="eastAsia" w:ascii="仿宋" w:hAnsi="仿宋" w:eastAsia="仿宋" w:cs="仿宋"/>
          <w:color w:val="auto"/>
          <w:spacing w:val="14"/>
          <w:sz w:val="21"/>
          <w:szCs w:val="21"/>
          <w:highlight w:val="none"/>
          <w:lang w:val="en-US" w:eastAsia="zh-CN"/>
        </w:rPr>
        <w:t>05</w:t>
      </w:r>
      <w:r>
        <w:rPr>
          <w:rFonts w:hint="eastAsia" w:ascii="仿宋" w:hAnsi="仿宋" w:eastAsia="仿宋" w:cs="仿宋"/>
          <w:color w:val="auto"/>
          <w:spacing w:val="14"/>
          <w:sz w:val="21"/>
          <w:szCs w:val="21"/>
          <w:highlight w:val="none"/>
        </w:rPr>
        <w:t>分（北京时间）</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2.地点：洛阳市公共资源交易中心开标</w:t>
      </w:r>
      <w:r>
        <w:rPr>
          <w:rFonts w:hint="eastAsia" w:ascii="仿宋" w:hAnsi="仿宋" w:eastAsia="仿宋" w:cs="仿宋"/>
          <w:color w:val="auto"/>
          <w:spacing w:val="14"/>
          <w:sz w:val="21"/>
          <w:szCs w:val="21"/>
          <w:highlight w:val="none"/>
          <w:lang w:val="en-US" w:eastAsia="zh-CN"/>
        </w:rPr>
        <w:t>二</w:t>
      </w:r>
      <w:r>
        <w:rPr>
          <w:rFonts w:hint="eastAsia" w:ascii="仿宋" w:hAnsi="仿宋" w:eastAsia="仿宋" w:cs="仿宋"/>
          <w:color w:val="auto"/>
          <w:spacing w:val="14"/>
          <w:sz w:val="21"/>
          <w:szCs w:val="21"/>
          <w:highlight w:val="none"/>
        </w:rPr>
        <w:t>室</w:t>
      </w:r>
      <w:r>
        <w:rPr>
          <w:rFonts w:hint="eastAsia" w:ascii="仿宋" w:hAnsi="仿宋" w:eastAsia="仿宋" w:cs="仿宋"/>
          <w:color w:val="auto"/>
          <w:spacing w:val="14"/>
          <w:sz w:val="21"/>
          <w:szCs w:val="21"/>
          <w:highlight w:val="none"/>
        </w:rPr>
        <w:t>（洛龙区开元大道与永泰街交叉口西南角洛阳市民之家六楼）。本项目采用远程不见面交易的模式，开标当日，投标人无需到现场参加开标会议，应在投标截止时间前，登录“不见面开标大厅”，在线准时参加开标活动并进行投标（响应）文件解密等。因投标人原因未能解密或解密失败的将被拒绝。详见洛阳市公共资源交易中心网站-办事指南内的“洛阳市公共资源交易中心不见面开标大厅操作手册（投标人）”。除电子投标（响应）文件外，投标时不再接受任何纸质文件、资料等。</w:t>
      </w:r>
    </w:p>
    <w:p>
      <w:pPr>
        <w:pStyle w:val="56"/>
        <w:spacing w:beforeAutospacing="0" w:afterAutospacing="0" w:line="430" w:lineRule="exact"/>
        <w:ind w:firstLine="418" w:firstLineChars="200"/>
        <w:jc w:val="both"/>
        <w:rPr>
          <w:rFonts w:hint="eastAsia" w:ascii="仿宋" w:hAnsi="仿宋" w:eastAsia="仿宋" w:cs="仿宋"/>
          <w:b/>
          <w:color w:val="auto"/>
          <w:highlight w:val="none"/>
        </w:rPr>
      </w:pPr>
      <w:r>
        <w:rPr>
          <w:rFonts w:hint="eastAsia" w:ascii="仿宋" w:hAnsi="仿宋" w:eastAsia="仿宋" w:cs="仿宋"/>
          <w:b/>
          <w:color w:val="auto"/>
          <w:highlight w:val="none"/>
        </w:rPr>
        <w:t>六、发布公告的媒介及招标公告期限</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本次采购公告在《河南省（洛阳市）政府采购网》、《洛阳市公共资源交易中心网》、《中国招标投标公共服务平台》、《河南省电子招标投标公共服务平台》上发布。招标公告期限为五个工作日2024年</w:t>
      </w:r>
      <w:r>
        <w:rPr>
          <w:rFonts w:hint="eastAsia" w:ascii="仿宋" w:hAnsi="仿宋" w:eastAsia="仿宋" w:cs="仿宋"/>
          <w:color w:val="auto"/>
          <w:spacing w:val="14"/>
          <w:sz w:val="21"/>
          <w:szCs w:val="21"/>
          <w:highlight w:val="none"/>
          <w:lang w:val="en-US" w:eastAsia="zh-CN"/>
        </w:rPr>
        <w:t>05</w:t>
      </w:r>
      <w:r>
        <w:rPr>
          <w:rFonts w:hint="eastAsia" w:ascii="仿宋" w:hAnsi="仿宋" w:eastAsia="仿宋" w:cs="仿宋"/>
          <w:color w:val="auto"/>
          <w:spacing w:val="14"/>
          <w:sz w:val="21"/>
          <w:szCs w:val="21"/>
          <w:highlight w:val="none"/>
        </w:rPr>
        <w:t>月</w:t>
      </w:r>
      <w:r>
        <w:rPr>
          <w:rFonts w:hint="eastAsia" w:ascii="仿宋" w:hAnsi="仿宋" w:eastAsia="仿宋" w:cs="仿宋"/>
          <w:color w:val="auto"/>
          <w:spacing w:val="14"/>
          <w:sz w:val="21"/>
          <w:szCs w:val="21"/>
          <w:highlight w:val="none"/>
          <w:lang w:val="en-US" w:eastAsia="zh-CN"/>
        </w:rPr>
        <w:t>28</w:t>
      </w:r>
      <w:r>
        <w:rPr>
          <w:rFonts w:hint="eastAsia" w:ascii="仿宋" w:hAnsi="仿宋" w:eastAsia="仿宋" w:cs="仿宋"/>
          <w:color w:val="auto"/>
          <w:spacing w:val="14"/>
          <w:sz w:val="21"/>
          <w:szCs w:val="21"/>
          <w:highlight w:val="none"/>
        </w:rPr>
        <w:t>日至2024年</w:t>
      </w:r>
      <w:r>
        <w:rPr>
          <w:rFonts w:hint="eastAsia" w:ascii="仿宋" w:hAnsi="仿宋" w:eastAsia="仿宋" w:cs="仿宋"/>
          <w:color w:val="auto"/>
          <w:spacing w:val="14"/>
          <w:sz w:val="21"/>
          <w:szCs w:val="21"/>
          <w:highlight w:val="none"/>
          <w:lang w:val="en-US" w:eastAsia="zh-CN"/>
        </w:rPr>
        <w:t>06</w:t>
      </w:r>
      <w:r>
        <w:rPr>
          <w:rFonts w:hint="eastAsia" w:ascii="仿宋" w:hAnsi="仿宋" w:eastAsia="仿宋" w:cs="仿宋"/>
          <w:color w:val="auto"/>
          <w:spacing w:val="14"/>
          <w:sz w:val="21"/>
          <w:szCs w:val="21"/>
          <w:highlight w:val="none"/>
        </w:rPr>
        <w:t>月</w:t>
      </w:r>
      <w:r>
        <w:rPr>
          <w:rFonts w:hint="eastAsia" w:ascii="仿宋" w:hAnsi="仿宋" w:eastAsia="仿宋" w:cs="仿宋"/>
          <w:color w:val="auto"/>
          <w:spacing w:val="14"/>
          <w:sz w:val="21"/>
          <w:szCs w:val="21"/>
          <w:highlight w:val="none"/>
          <w:lang w:val="en-US" w:eastAsia="zh-CN"/>
        </w:rPr>
        <w:t>03</w:t>
      </w:r>
      <w:r>
        <w:rPr>
          <w:rFonts w:hint="eastAsia" w:ascii="仿宋" w:hAnsi="仿宋" w:eastAsia="仿宋" w:cs="仿宋"/>
          <w:color w:val="auto"/>
          <w:spacing w:val="14"/>
          <w:sz w:val="21"/>
          <w:szCs w:val="21"/>
          <w:highlight w:val="none"/>
        </w:rPr>
        <w:t>日。</w:t>
      </w:r>
    </w:p>
    <w:p>
      <w:pPr>
        <w:pStyle w:val="56"/>
        <w:spacing w:beforeAutospacing="0" w:afterAutospacing="0" w:line="430" w:lineRule="exact"/>
        <w:ind w:firstLine="418" w:firstLineChars="200"/>
        <w:jc w:val="both"/>
        <w:rPr>
          <w:rFonts w:hint="eastAsia" w:ascii="仿宋" w:hAnsi="仿宋" w:eastAsia="仿宋" w:cs="仿宋"/>
          <w:b/>
          <w:color w:val="auto"/>
          <w:highlight w:val="none"/>
        </w:rPr>
      </w:pPr>
      <w:r>
        <w:rPr>
          <w:rFonts w:hint="eastAsia" w:ascii="仿宋" w:hAnsi="仿宋" w:eastAsia="仿宋" w:cs="仿宋"/>
          <w:b/>
          <w:color w:val="auto"/>
          <w:highlight w:val="none"/>
        </w:rPr>
        <w:t>七、其他补充事宜</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1、本次采购代理服务费由中标人支付。</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2、投标人在参与本项目招标采购活动期间应及时关注本网站获取相关澄清或变更等信息。</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3、监管部门、联系人和联系方式：</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监管部门：洛阳市财政局</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监管部门联系人：洛阳市政府采购监督管理科</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监管部门联系方式：0379-63221264</w:t>
      </w:r>
    </w:p>
    <w:p>
      <w:pPr>
        <w:pStyle w:val="56"/>
        <w:spacing w:beforeAutospacing="0" w:afterAutospacing="0" w:line="430" w:lineRule="exact"/>
        <w:ind w:firstLine="418" w:firstLineChars="200"/>
        <w:jc w:val="both"/>
        <w:rPr>
          <w:rFonts w:hint="eastAsia" w:ascii="仿宋" w:hAnsi="仿宋" w:eastAsia="仿宋" w:cs="仿宋"/>
          <w:b/>
          <w:color w:val="auto"/>
          <w:highlight w:val="none"/>
        </w:rPr>
      </w:pPr>
      <w:r>
        <w:rPr>
          <w:rFonts w:hint="eastAsia" w:ascii="仿宋" w:hAnsi="仿宋" w:eastAsia="仿宋" w:cs="仿宋"/>
          <w:b/>
          <w:color w:val="auto"/>
          <w:highlight w:val="none"/>
        </w:rPr>
        <w:t>八、凡是对本次招标提出询问，请按照以下方式联系：</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1.采购人信息</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lang w:eastAsia="zh-CN"/>
        </w:rPr>
      </w:pPr>
      <w:r>
        <w:rPr>
          <w:rFonts w:hint="eastAsia" w:ascii="仿宋" w:hAnsi="仿宋" w:eastAsia="仿宋" w:cs="仿宋"/>
          <w:color w:val="auto"/>
          <w:spacing w:val="14"/>
          <w:sz w:val="21"/>
          <w:szCs w:val="21"/>
          <w:highlight w:val="none"/>
        </w:rPr>
        <w:t>名称：</w:t>
      </w:r>
      <w:r>
        <w:rPr>
          <w:rFonts w:hint="eastAsia" w:ascii="仿宋" w:hAnsi="仿宋" w:eastAsia="仿宋" w:cs="仿宋"/>
          <w:color w:val="auto"/>
          <w:spacing w:val="14"/>
          <w:sz w:val="21"/>
          <w:szCs w:val="21"/>
          <w:highlight w:val="none"/>
          <w:lang w:eastAsia="zh-CN"/>
        </w:rPr>
        <w:t>洛阳市应急管理局</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地址：洛阳市党政办公大楼12楼</w:t>
      </w:r>
    </w:p>
    <w:p>
      <w:pPr>
        <w:pStyle w:val="56"/>
        <w:spacing w:beforeAutospacing="0" w:afterAutospacing="0" w:line="430" w:lineRule="exact"/>
        <w:ind w:firstLine="560"/>
        <w:jc w:val="both"/>
        <w:rPr>
          <w:rFonts w:hint="default"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rPr>
        <w:t>联系人：</w:t>
      </w:r>
      <w:r>
        <w:rPr>
          <w:rFonts w:hint="eastAsia" w:ascii="仿宋" w:hAnsi="仿宋" w:eastAsia="仿宋" w:cs="仿宋"/>
          <w:color w:val="auto"/>
          <w:spacing w:val="14"/>
          <w:sz w:val="21"/>
          <w:szCs w:val="21"/>
          <w:highlight w:val="none"/>
          <w:lang w:val="en-US" w:eastAsia="zh-CN"/>
        </w:rPr>
        <w:t>马先生</w:t>
      </w:r>
    </w:p>
    <w:p>
      <w:pPr>
        <w:pStyle w:val="56"/>
        <w:spacing w:beforeAutospacing="0" w:afterAutospacing="0" w:line="430" w:lineRule="exact"/>
        <w:ind w:firstLine="560"/>
        <w:jc w:val="both"/>
        <w:rPr>
          <w:rFonts w:hint="default"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rPr>
        <w:t>联系方式：</w:t>
      </w:r>
      <w:r>
        <w:rPr>
          <w:rFonts w:hint="eastAsia" w:ascii="仿宋" w:hAnsi="仿宋" w:eastAsia="仿宋" w:cs="仿宋"/>
          <w:color w:val="auto"/>
          <w:spacing w:val="14"/>
          <w:sz w:val="21"/>
          <w:szCs w:val="21"/>
          <w:highlight w:val="none"/>
          <w:lang w:val="en-US" w:eastAsia="zh-CN"/>
        </w:rPr>
        <w:t>0379-60217151</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2.采购代理机构信息</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名称：河南专招工程管理有限责任公司</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地址：洛阳市河洛路与三山路交叉口润升大厦11楼1107室</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联系人：习先生</w:t>
      </w:r>
    </w:p>
    <w:bookmarkEnd w:id="4"/>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bookmarkStart w:id="5" w:name="_Toc504741947"/>
      <w:r>
        <w:rPr>
          <w:rFonts w:hint="eastAsia" w:ascii="仿宋" w:hAnsi="仿宋" w:eastAsia="仿宋" w:cs="仿宋"/>
          <w:color w:val="auto"/>
          <w:spacing w:val="14"/>
          <w:sz w:val="21"/>
          <w:szCs w:val="21"/>
          <w:highlight w:val="none"/>
        </w:rPr>
        <w:t>电  话：0379-80870010</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3.项目联系方式</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项目联系人：习先生</w:t>
      </w:r>
    </w:p>
    <w:p>
      <w:pPr>
        <w:pStyle w:val="56"/>
        <w:spacing w:beforeAutospacing="0" w:afterAutospacing="0" w:line="430" w:lineRule="exact"/>
        <w:ind w:firstLine="56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 xml:space="preserve">电  话：0379-80870010 </w:t>
      </w:r>
    </w:p>
    <w:p>
      <w:pPr>
        <w:pStyle w:val="56"/>
        <w:spacing w:beforeAutospacing="0" w:afterAutospacing="0" w:line="430" w:lineRule="exact"/>
        <w:ind w:firstLine="4451" w:firstLineChars="2150"/>
        <w:jc w:val="both"/>
        <w:rPr>
          <w:rFonts w:hint="eastAsia" w:ascii="仿宋" w:hAnsi="仿宋" w:eastAsia="仿宋" w:cs="仿宋"/>
          <w:color w:val="auto"/>
          <w:spacing w:val="14"/>
          <w:sz w:val="21"/>
          <w:szCs w:val="21"/>
          <w:highlight w:val="none"/>
        </w:rPr>
      </w:pPr>
    </w:p>
    <w:p>
      <w:pPr>
        <w:pStyle w:val="56"/>
        <w:spacing w:beforeAutospacing="0" w:afterAutospacing="0" w:line="430" w:lineRule="exact"/>
        <w:ind w:firstLine="5072" w:firstLineChars="245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河南专招工程管理有限责任公司</w:t>
      </w:r>
    </w:p>
    <w:p>
      <w:pPr>
        <w:pStyle w:val="56"/>
        <w:spacing w:beforeAutospacing="0" w:afterAutospacing="0" w:line="430" w:lineRule="exact"/>
        <w:ind w:firstLine="5900" w:firstLineChars="2850"/>
        <w:jc w:val="both"/>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2024年</w:t>
      </w:r>
      <w:r>
        <w:rPr>
          <w:rFonts w:hint="eastAsia" w:ascii="仿宋" w:hAnsi="仿宋" w:eastAsia="仿宋" w:cs="仿宋"/>
          <w:color w:val="auto"/>
          <w:spacing w:val="14"/>
          <w:sz w:val="21"/>
          <w:szCs w:val="21"/>
          <w:highlight w:val="none"/>
          <w:lang w:val="en-US" w:eastAsia="zh-CN"/>
        </w:rPr>
        <w:t>05月27</w:t>
      </w:r>
      <w:r>
        <w:rPr>
          <w:rFonts w:hint="eastAsia" w:ascii="仿宋" w:hAnsi="仿宋" w:eastAsia="仿宋" w:cs="仿宋"/>
          <w:color w:val="auto"/>
          <w:spacing w:val="14"/>
          <w:sz w:val="21"/>
          <w:szCs w:val="21"/>
          <w:highlight w:val="none"/>
        </w:rPr>
        <w:t>日</w:t>
      </w:r>
    </w:p>
    <w:p>
      <w:pPr>
        <w:pStyle w:val="58"/>
        <w:rPr>
          <w:rFonts w:hint="eastAsia" w:ascii="仿宋" w:hAnsi="仿宋" w:eastAsia="仿宋" w:cs="仿宋"/>
          <w:color w:val="auto"/>
          <w:spacing w:val="14"/>
          <w:highlight w:val="none"/>
          <w:lang w:eastAsia="zh-CN"/>
        </w:rPr>
      </w:pPr>
      <w:r>
        <w:rPr>
          <w:rFonts w:hint="eastAsia" w:ascii="仿宋" w:hAnsi="仿宋" w:eastAsia="仿宋" w:cs="仿宋"/>
          <w:color w:val="auto"/>
          <w:spacing w:val="14"/>
          <w:highlight w:val="none"/>
          <w:lang w:eastAsia="zh-CN"/>
        </w:rPr>
        <w:br w:type="page"/>
      </w:r>
      <w:bookmarkStart w:id="6" w:name="_Toc10427"/>
      <w:r>
        <w:rPr>
          <w:rFonts w:hint="eastAsia" w:ascii="仿宋" w:hAnsi="仿宋" w:eastAsia="仿宋" w:cs="仿宋"/>
          <w:color w:val="auto"/>
          <w:spacing w:val="14"/>
          <w:highlight w:val="none"/>
          <w:lang w:eastAsia="zh-CN"/>
        </w:rPr>
        <w:t xml:space="preserve">第二章   </w:t>
      </w:r>
      <w:r>
        <w:rPr>
          <w:rFonts w:hint="eastAsia" w:ascii="仿宋" w:hAnsi="仿宋" w:eastAsia="仿宋" w:cs="仿宋"/>
          <w:color w:val="auto"/>
          <w:spacing w:val="14"/>
          <w:szCs w:val="21"/>
          <w:highlight w:val="none"/>
          <w:lang w:eastAsia="zh-CN"/>
        </w:rPr>
        <w:t>投标人</w:t>
      </w:r>
      <w:r>
        <w:rPr>
          <w:rFonts w:hint="eastAsia" w:ascii="仿宋" w:hAnsi="仿宋" w:eastAsia="仿宋" w:cs="仿宋"/>
          <w:color w:val="auto"/>
          <w:spacing w:val="14"/>
          <w:highlight w:val="none"/>
          <w:lang w:eastAsia="zh-CN"/>
        </w:rPr>
        <w:t>须知</w:t>
      </w:r>
      <w:bookmarkEnd w:id="5"/>
      <w:bookmarkEnd w:id="6"/>
    </w:p>
    <w:p>
      <w:pPr>
        <w:pStyle w:val="154"/>
        <w:jc w:val="center"/>
        <w:rPr>
          <w:rFonts w:hint="eastAsia" w:ascii="仿宋" w:hAnsi="仿宋" w:eastAsia="仿宋" w:cs="仿宋"/>
          <w:b/>
          <w:color w:val="auto"/>
          <w:spacing w:val="14"/>
          <w:sz w:val="28"/>
          <w:szCs w:val="28"/>
          <w:highlight w:val="none"/>
        </w:rPr>
      </w:pPr>
      <w:r>
        <w:rPr>
          <w:rFonts w:hint="eastAsia" w:ascii="仿宋" w:hAnsi="仿宋" w:eastAsia="仿宋" w:cs="仿宋"/>
          <w:b/>
          <w:color w:val="auto"/>
          <w:spacing w:val="14"/>
          <w:sz w:val="28"/>
          <w:szCs w:val="28"/>
          <w:highlight w:val="none"/>
        </w:rPr>
        <w:t>投标人须知前附表</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2835"/>
        <w:gridCol w:w="5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条款号</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名 称</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1.1.2</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采购人</w:t>
            </w:r>
          </w:p>
        </w:tc>
        <w:tc>
          <w:tcPr>
            <w:tcW w:w="5399" w:type="dxa"/>
            <w:vAlign w:val="center"/>
          </w:tcPr>
          <w:p>
            <w:pPr>
              <w:pStyle w:val="154"/>
              <w:ind w:firstLine="0"/>
              <w:jc w:val="left"/>
              <w:rPr>
                <w:rFonts w:hint="eastAsia" w:ascii="仿宋" w:hAnsi="仿宋" w:eastAsia="仿宋" w:cs="仿宋"/>
                <w:color w:val="auto"/>
                <w:spacing w:val="14"/>
                <w:szCs w:val="21"/>
                <w:highlight w:val="none"/>
                <w:lang w:eastAsia="zh-CN"/>
              </w:rPr>
            </w:pPr>
            <w:r>
              <w:rPr>
                <w:rFonts w:hint="eastAsia" w:ascii="仿宋" w:hAnsi="仿宋" w:eastAsia="仿宋" w:cs="仿宋"/>
                <w:color w:val="auto"/>
                <w:spacing w:val="14"/>
                <w:szCs w:val="21"/>
                <w:highlight w:val="none"/>
              </w:rPr>
              <w:t>招标人：</w:t>
            </w:r>
            <w:r>
              <w:rPr>
                <w:rFonts w:hint="eastAsia" w:ascii="仿宋" w:hAnsi="仿宋" w:eastAsia="仿宋" w:cs="仿宋"/>
                <w:color w:val="auto"/>
                <w:spacing w:val="14"/>
                <w:szCs w:val="21"/>
                <w:highlight w:val="none"/>
                <w:lang w:eastAsia="zh-CN"/>
              </w:rPr>
              <w:t>洛阳市应急管理局</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地址：洛阳市党政办公大楼12楼</w:t>
            </w:r>
          </w:p>
          <w:p>
            <w:pPr>
              <w:pStyle w:val="56"/>
              <w:spacing w:beforeAutospacing="0" w:afterAutospacing="0" w:line="430" w:lineRule="exact"/>
              <w:jc w:val="both"/>
              <w:rPr>
                <w:rFonts w:hint="default"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rPr>
              <w:t>联系人：</w:t>
            </w:r>
            <w:r>
              <w:rPr>
                <w:rFonts w:hint="eastAsia" w:ascii="仿宋" w:hAnsi="仿宋" w:eastAsia="仿宋" w:cs="仿宋"/>
                <w:color w:val="auto"/>
                <w:spacing w:val="14"/>
                <w:sz w:val="21"/>
                <w:szCs w:val="21"/>
                <w:highlight w:val="none"/>
                <w:lang w:val="en-US" w:eastAsia="zh-CN"/>
              </w:rPr>
              <w:t>马先生</w:t>
            </w:r>
          </w:p>
          <w:p>
            <w:pPr>
              <w:pStyle w:val="56"/>
              <w:spacing w:beforeAutospacing="0" w:afterAutospacing="0" w:line="430" w:lineRule="exact"/>
              <w:jc w:val="both"/>
              <w:rPr>
                <w:rFonts w:hint="eastAsia" w:ascii="仿宋" w:hAnsi="仿宋" w:eastAsia="仿宋" w:cs="仿宋"/>
                <w:color w:val="auto"/>
                <w:spacing w:val="14"/>
                <w:szCs w:val="21"/>
                <w:highlight w:val="none"/>
              </w:rPr>
            </w:pPr>
            <w:r>
              <w:rPr>
                <w:rFonts w:hint="eastAsia" w:ascii="仿宋" w:hAnsi="仿宋" w:eastAsia="仿宋" w:cs="仿宋"/>
                <w:color w:val="auto"/>
                <w:spacing w:val="14"/>
                <w:sz w:val="21"/>
                <w:szCs w:val="21"/>
                <w:highlight w:val="none"/>
              </w:rPr>
              <w:t>联系方式：</w:t>
            </w:r>
            <w:r>
              <w:rPr>
                <w:rFonts w:hint="eastAsia" w:ascii="仿宋" w:hAnsi="仿宋" w:eastAsia="仿宋" w:cs="仿宋"/>
                <w:color w:val="auto"/>
                <w:spacing w:val="14"/>
                <w:sz w:val="21"/>
                <w:szCs w:val="21"/>
                <w:highlight w:val="none"/>
                <w:lang w:val="en-US" w:eastAsia="zh-CN"/>
              </w:rPr>
              <w:t>0379-60217151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1.1.3</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采购代理机构</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名称：河南专招工程管理有限责任公司</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地址：洛阳市河洛路与三山路交叉口润升大厦11楼1107室</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联系人：习先生</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 xml:space="preserve">电话：0379-80870010 </w:t>
            </w:r>
          </w:p>
          <w:p>
            <w:pPr>
              <w:pStyle w:val="154"/>
              <w:ind w:firstLine="0"/>
              <w:jc w:val="left"/>
              <w:rPr>
                <w:rFonts w:hint="eastAsia" w:ascii="仿宋" w:hAnsi="仿宋" w:eastAsia="仿宋" w:cs="仿宋"/>
                <w:color w:val="auto"/>
                <w:highlight w:val="none"/>
              </w:rPr>
            </w:pPr>
            <w:r>
              <w:rPr>
                <w:rFonts w:hint="eastAsia" w:ascii="仿宋" w:hAnsi="仿宋" w:eastAsia="仿宋" w:cs="仿宋"/>
                <w:color w:val="auto"/>
                <w:spacing w:val="14"/>
                <w:szCs w:val="21"/>
                <w:highlight w:val="none"/>
              </w:rPr>
              <w:t>邮箱：hnzzluoyang@163.com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1.1.4</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招标项目名称</w:t>
            </w:r>
          </w:p>
        </w:tc>
        <w:tc>
          <w:tcPr>
            <w:tcW w:w="5399" w:type="dxa"/>
            <w:vAlign w:val="center"/>
          </w:tcPr>
          <w:p>
            <w:pPr>
              <w:pStyle w:val="154"/>
              <w:ind w:firstLine="0"/>
              <w:jc w:val="left"/>
              <w:rPr>
                <w:rFonts w:hint="eastAsia" w:ascii="仿宋" w:hAnsi="仿宋" w:eastAsia="仿宋" w:cs="仿宋"/>
                <w:color w:val="auto"/>
                <w:spacing w:val="14"/>
                <w:szCs w:val="21"/>
                <w:highlight w:val="none"/>
                <w:u w:val="single" w:color="000000"/>
                <w:lang w:eastAsia="zh-CN"/>
              </w:rPr>
            </w:pPr>
            <w:r>
              <w:rPr>
                <w:rFonts w:hint="eastAsia" w:ascii="仿宋" w:hAnsi="仿宋" w:eastAsia="仿宋" w:cs="仿宋"/>
                <w:color w:val="auto"/>
                <w:spacing w:val="14"/>
                <w:szCs w:val="21"/>
                <w:highlight w:val="none"/>
                <w:lang w:eastAsia="zh-CN"/>
              </w:rPr>
              <w:t>洛阳市应急管理局洛阳市基层防灾能力提升项目(第二批)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1.1.5</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落实政府采购政策要求</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（1）本项目执行节约能源、保护环境、扶持不发达地区和少数民族地区、节能环保产品优先采购等政府采购政策，支持中小微（监狱、残疾人福利性单位）企业。</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（2）依据洛阳市洛财购【2021】1号文件精神，根据财政部工业和信息化部《政府采购促进中小企业发展管理办法》（财库【2020】46号）的规定，本项目支持中小（监狱、残疾人福利性单位）企业；</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根据豫财办[2020]33号文件要求，参加政府采购项目的中小微企业供应商，持中标(成交)通知书可向金融机构申请合同融资。详情请登录河南省政府采购网(http://www.hngp.gov.cn/)，进入网站飘窗或业务指南窗口了解金融机构提供的融资服务内容。</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 xml:space="preserve"> ①涉及价格评审优惠的相关单位应出具《中小企业声明函》（或《残疾人福利性单位声明函》或监狱企业证明文件）。</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②货物全部由小微企业制造的，对符合《政府采购促进中小企业发展管理办法》规定的供应商报价给予10%的价格扣除，用扣除后的价格参加评审。</w:t>
            </w:r>
          </w:p>
          <w:p>
            <w:pPr>
              <w:pStyle w:val="154"/>
              <w:ind w:firstLine="0"/>
              <w:jc w:val="left"/>
              <w:rPr>
                <w:rFonts w:hint="eastAsia" w:ascii="仿宋" w:hAnsi="仿宋" w:eastAsia="仿宋" w:cs="仿宋"/>
                <w:color w:val="auto"/>
                <w:highlight w:val="none"/>
              </w:rPr>
            </w:pPr>
            <w:r>
              <w:rPr>
                <w:rFonts w:hint="eastAsia" w:ascii="仿宋" w:hAnsi="仿宋" w:eastAsia="仿宋" w:cs="仿宋"/>
                <w:color w:val="auto"/>
                <w:spacing w:val="14"/>
                <w:szCs w:val="21"/>
                <w:highlight w:val="none"/>
              </w:rPr>
              <w:t>本项目对应的中小企业划分标准所属行业为：</w:t>
            </w:r>
            <w:r>
              <w:rPr>
                <w:rFonts w:hint="eastAsia" w:ascii="仿宋" w:hAnsi="仿宋" w:eastAsia="仿宋" w:cs="仿宋"/>
                <w:b/>
                <w:bCs/>
                <w:color w:val="auto"/>
                <w:spacing w:val="14"/>
                <w:szCs w:val="21"/>
                <w:highlight w:val="none"/>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1.1.6</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强制采购节能</w:t>
            </w:r>
            <w:r>
              <w:rPr>
                <w:rFonts w:hint="eastAsia" w:ascii="仿宋" w:hAnsi="仿宋" w:eastAsia="仿宋" w:cs="仿宋"/>
                <w:color w:val="auto"/>
                <w:spacing w:val="14"/>
                <w:szCs w:val="21"/>
                <w:highlight w:val="none"/>
                <w:lang w:eastAsia="zh-CN"/>
              </w:rPr>
              <w:t>环保</w:t>
            </w:r>
            <w:r>
              <w:rPr>
                <w:rFonts w:hint="eastAsia" w:ascii="仿宋" w:hAnsi="仿宋" w:eastAsia="仿宋" w:cs="仿宋"/>
                <w:color w:val="auto"/>
                <w:spacing w:val="14"/>
                <w:szCs w:val="21"/>
                <w:highlight w:val="none"/>
              </w:rPr>
              <w:t>产品</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本项目政府强制采购节能产品：/</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投标人应在投标文件中提供所报强制节能产品的《中国节能产品认证证书》扫描件（证书不显示规格型号的，还须同时提供证书配套附件；证书应是由《市场监管总局关于发布参与实施政府采购节能产品、环境标志产品认证机构名录的公告》的认证机构出具的、处于有效期之内的），否则其投标将被否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1.1.7</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代理机构项目编号</w:t>
            </w:r>
          </w:p>
        </w:tc>
        <w:tc>
          <w:tcPr>
            <w:tcW w:w="5399" w:type="dxa"/>
            <w:vAlign w:val="center"/>
          </w:tcPr>
          <w:p>
            <w:pPr>
              <w:pStyle w:val="154"/>
              <w:ind w:firstLine="0"/>
              <w:jc w:val="left"/>
              <w:rPr>
                <w:rFonts w:hint="eastAsia" w:ascii="仿宋" w:hAnsi="仿宋" w:eastAsia="仿宋" w:cs="仿宋"/>
                <w:color w:val="auto"/>
                <w:spacing w:val="14"/>
                <w:szCs w:val="21"/>
                <w:highlight w:val="none"/>
                <w:lang w:val="en-US" w:eastAsia="zh-CN"/>
              </w:rPr>
            </w:pPr>
            <w:r>
              <w:rPr>
                <w:rFonts w:hint="eastAsia" w:ascii="仿宋" w:hAnsi="仿宋" w:eastAsia="仿宋" w:cs="仿宋"/>
                <w:color w:val="auto"/>
                <w:spacing w:val="14"/>
                <w:szCs w:val="21"/>
                <w:highlight w:val="none"/>
                <w:lang w:eastAsia="zh-CN"/>
              </w:rPr>
              <w:t>HNZZ-2024-025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1.1.8</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政府采购管理部门备案编号</w:t>
            </w:r>
          </w:p>
        </w:tc>
        <w:tc>
          <w:tcPr>
            <w:tcW w:w="5399" w:type="dxa"/>
            <w:vAlign w:val="center"/>
          </w:tcPr>
          <w:p>
            <w:pPr>
              <w:pStyle w:val="154"/>
              <w:ind w:firstLine="0"/>
              <w:jc w:val="left"/>
              <w:rPr>
                <w:rFonts w:hint="eastAsia" w:ascii="仿宋" w:hAnsi="仿宋" w:eastAsia="仿宋" w:cs="仿宋"/>
                <w:color w:val="auto"/>
                <w:spacing w:val="14"/>
                <w:szCs w:val="21"/>
                <w:highlight w:val="none"/>
                <w:u w:val="none" w:color="auto"/>
                <w:lang w:eastAsia="zh-CN"/>
              </w:rPr>
            </w:pPr>
            <w:r>
              <w:rPr>
                <w:rFonts w:hint="eastAsia" w:ascii="仿宋" w:hAnsi="仿宋" w:eastAsia="仿宋" w:cs="仿宋"/>
                <w:color w:val="auto"/>
                <w:spacing w:val="14"/>
                <w:szCs w:val="21"/>
                <w:highlight w:val="none"/>
                <w:u w:val="none" w:color="auto"/>
                <w:lang w:eastAsia="zh-CN"/>
              </w:rPr>
              <w:t>洛采公开-2024-69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1.1.9</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项目编号</w:t>
            </w:r>
          </w:p>
        </w:tc>
        <w:tc>
          <w:tcPr>
            <w:tcW w:w="5399" w:type="dxa"/>
            <w:vAlign w:val="center"/>
          </w:tcPr>
          <w:p>
            <w:pPr>
              <w:pStyle w:val="154"/>
              <w:ind w:firstLine="0"/>
              <w:jc w:val="left"/>
              <w:rPr>
                <w:rFonts w:hint="eastAsia" w:ascii="仿宋" w:hAnsi="仿宋" w:eastAsia="仿宋" w:cs="仿宋"/>
                <w:color w:val="auto"/>
                <w:spacing w:val="14"/>
                <w:szCs w:val="21"/>
                <w:highlight w:val="none"/>
                <w:u w:val="none" w:color="auto"/>
                <w:lang w:eastAsia="zh-CN"/>
              </w:rPr>
            </w:pPr>
            <w:r>
              <w:rPr>
                <w:rFonts w:hint="eastAsia" w:ascii="仿宋" w:hAnsi="仿宋" w:eastAsia="仿宋" w:cs="仿宋"/>
                <w:color w:val="auto"/>
                <w:spacing w:val="14"/>
                <w:szCs w:val="21"/>
                <w:highlight w:val="none"/>
                <w:u w:val="none" w:color="auto"/>
                <w:lang w:eastAsia="zh-CN"/>
              </w:rPr>
              <w:t>洛直政采招标(2024)0237号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9"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1.1.10</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标段划分</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本次招标共</w:t>
            </w:r>
            <w:r>
              <w:rPr>
                <w:rFonts w:hint="eastAsia" w:ascii="仿宋" w:hAnsi="仿宋" w:eastAsia="仿宋" w:cs="仿宋"/>
                <w:color w:val="auto"/>
                <w:spacing w:val="14"/>
                <w:szCs w:val="21"/>
                <w:highlight w:val="none"/>
                <w:u w:val="single" w:color="000000"/>
              </w:rPr>
              <w:t xml:space="preserve"> </w:t>
            </w:r>
            <w:r>
              <w:rPr>
                <w:rFonts w:hint="eastAsia" w:ascii="仿宋" w:hAnsi="仿宋" w:eastAsia="仿宋" w:cs="仿宋"/>
                <w:color w:val="auto"/>
                <w:spacing w:val="14"/>
                <w:szCs w:val="21"/>
                <w:highlight w:val="none"/>
                <w:u w:val="single" w:color="000000"/>
                <w:lang w:val="en-US" w:eastAsia="zh-CN"/>
              </w:rPr>
              <w:t>九</w:t>
            </w:r>
            <w:r>
              <w:rPr>
                <w:rFonts w:hint="eastAsia" w:ascii="仿宋" w:hAnsi="仿宋" w:eastAsia="仿宋" w:cs="仿宋"/>
                <w:color w:val="auto"/>
                <w:spacing w:val="14"/>
                <w:szCs w:val="21"/>
                <w:highlight w:val="none"/>
                <w:u w:val="single" w:color="000000"/>
              </w:rPr>
              <w:t xml:space="preserve"> </w:t>
            </w:r>
            <w:r>
              <w:rPr>
                <w:rFonts w:hint="eastAsia" w:ascii="仿宋" w:hAnsi="仿宋" w:eastAsia="仿宋" w:cs="仿宋"/>
                <w:color w:val="auto"/>
                <w:spacing w:val="14"/>
                <w:szCs w:val="21"/>
                <w:highlight w:val="none"/>
                <w:u w:val="none" w:color="auto"/>
                <w:lang w:val="en-US" w:eastAsia="zh-CN"/>
              </w:rPr>
              <w:t>个</w:t>
            </w:r>
            <w:r>
              <w:rPr>
                <w:rFonts w:hint="eastAsia" w:ascii="仿宋" w:hAnsi="仿宋" w:eastAsia="仿宋" w:cs="仿宋"/>
                <w:color w:val="auto"/>
                <w:spacing w:val="14"/>
                <w:szCs w:val="21"/>
                <w:highlight w:val="none"/>
              </w:rPr>
              <w:t>标段。</w:t>
            </w:r>
          </w:p>
          <w:p>
            <w:pPr>
              <w:rPr>
                <w:rFonts w:hint="eastAsia" w:ascii="仿宋" w:hAnsi="仿宋" w:eastAsia="仿宋" w:cs="仿宋"/>
                <w:color w:val="auto"/>
                <w:spacing w:val="14"/>
                <w:sz w:val="21"/>
                <w:szCs w:val="21"/>
                <w:highlight w:val="none"/>
                <w:u w:val="none" w:color="auto"/>
                <w:lang w:val="en-US" w:eastAsia="zh-CN" w:bidi="ar-SA"/>
              </w:rPr>
            </w:pPr>
            <w:r>
              <w:rPr>
                <w:rFonts w:hint="eastAsia" w:ascii="仿宋" w:hAnsi="仿宋" w:eastAsia="仿宋" w:cs="仿宋"/>
                <w:color w:val="auto"/>
                <w:spacing w:val="14"/>
                <w:sz w:val="21"/>
                <w:szCs w:val="21"/>
                <w:highlight w:val="none"/>
                <w:u w:val="none" w:color="auto"/>
                <w:lang w:val="en-US" w:eastAsia="zh-CN" w:bidi="ar-SA"/>
              </w:rPr>
              <w:t>一标段：综合保障指挥通信类</w:t>
            </w:r>
          </w:p>
          <w:p>
            <w:pPr>
              <w:rPr>
                <w:rFonts w:hint="eastAsia" w:ascii="仿宋" w:hAnsi="仿宋" w:eastAsia="仿宋" w:cs="仿宋"/>
                <w:color w:val="auto"/>
                <w:spacing w:val="14"/>
                <w:sz w:val="21"/>
                <w:szCs w:val="21"/>
                <w:highlight w:val="none"/>
                <w:u w:val="none" w:color="auto"/>
                <w:lang w:val="en-US" w:eastAsia="zh-CN" w:bidi="ar-SA"/>
              </w:rPr>
            </w:pPr>
            <w:r>
              <w:rPr>
                <w:rFonts w:hint="eastAsia" w:ascii="仿宋" w:hAnsi="仿宋" w:eastAsia="仿宋" w:cs="仿宋"/>
                <w:color w:val="auto"/>
                <w:spacing w:val="14"/>
                <w:sz w:val="21"/>
                <w:szCs w:val="21"/>
                <w:highlight w:val="none"/>
                <w:u w:val="none" w:color="auto"/>
                <w:lang w:val="en-US" w:eastAsia="zh-CN" w:bidi="ar-SA"/>
              </w:rPr>
              <w:t>二标段：综合保障特种车辆</w:t>
            </w:r>
          </w:p>
          <w:p>
            <w:pPr>
              <w:rPr>
                <w:rFonts w:hint="eastAsia" w:ascii="仿宋" w:hAnsi="仿宋" w:eastAsia="仿宋" w:cs="仿宋"/>
                <w:color w:val="auto"/>
                <w:spacing w:val="14"/>
                <w:sz w:val="21"/>
                <w:szCs w:val="21"/>
                <w:highlight w:val="none"/>
                <w:u w:val="none" w:color="auto"/>
                <w:lang w:val="en-US" w:eastAsia="zh-CN" w:bidi="ar-SA"/>
              </w:rPr>
            </w:pPr>
            <w:r>
              <w:rPr>
                <w:rFonts w:hint="eastAsia" w:ascii="仿宋" w:hAnsi="仿宋" w:eastAsia="仿宋" w:cs="仿宋"/>
                <w:color w:val="auto"/>
                <w:spacing w:val="14"/>
                <w:sz w:val="21"/>
                <w:szCs w:val="21"/>
                <w:highlight w:val="none"/>
                <w:u w:val="none" w:color="auto"/>
                <w:lang w:val="en-US" w:eastAsia="zh-CN" w:bidi="ar-SA"/>
              </w:rPr>
              <w:t>三标段：综合保障无人机</w:t>
            </w:r>
          </w:p>
          <w:p>
            <w:pPr>
              <w:rPr>
                <w:rFonts w:hint="eastAsia" w:ascii="仿宋" w:hAnsi="仿宋" w:eastAsia="仿宋" w:cs="仿宋"/>
                <w:color w:val="auto"/>
                <w:spacing w:val="14"/>
                <w:sz w:val="21"/>
                <w:szCs w:val="21"/>
                <w:highlight w:val="none"/>
                <w:u w:val="none" w:color="auto"/>
                <w:lang w:val="en-US" w:eastAsia="zh-CN" w:bidi="ar-SA"/>
              </w:rPr>
            </w:pPr>
            <w:r>
              <w:rPr>
                <w:rFonts w:hint="eastAsia" w:ascii="仿宋" w:hAnsi="仿宋" w:eastAsia="仿宋" w:cs="仿宋"/>
                <w:color w:val="auto"/>
                <w:spacing w:val="14"/>
                <w:sz w:val="21"/>
                <w:szCs w:val="21"/>
                <w:highlight w:val="none"/>
                <w:u w:val="none" w:color="auto"/>
                <w:lang w:val="en-US" w:eastAsia="zh-CN" w:bidi="ar-SA"/>
              </w:rPr>
              <w:t>四标段：综合保障救援运兵车</w:t>
            </w:r>
          </w:p>
          <w:p>
            <w:pPr>
              <w:rPr>
                <w:rFonts w:hint="eastAsia" w:ascii="仿宋" w:hAnsi="仿宋" w:eastAsia="仿宋" w:cs="仿宋"/>
                <w:color w:val="auto"/>
                <w:spacing w:val="14"/>
                <w:sz w:val="21"/>
                <w:szCs w:val="21"/>
                <w:highlight w:val="none"/>
                <w:u w:val="none" w:color="auto"/>
                <w:lang w:val="en-US" w:eastAsia="zh-CN" w:bidi="ar-SA"/>
              </w:rPr>
            </w:pPr>
            <w:r>
              <w:rPr>
                <w:rFonts w:hint="eastAsia" w:ascii="仿宋" w:hAnsi="仿宋" w:eastAsia="仿宋" w:cs="仿宋"/>
                <w:color w:val="auto"/>
                <w:spacing w:val="14"/>
                <w:sz w:val="21"/>
                <w:szCs w:val="21"/>
                <w:highlight w:val="none"/>
                <w:u w:val="none" w:color="auto"/>
                <w:lang w:val="en-US" w:eastAsia="zh-CN" w:bidi="ar-SA"/>
              </w:rPr>
              <w:t>五标段：综合保障装备运输车</w:t>
            </w:r>
          </w:p>
          <w:p>
            <w:pPr>
              <w:rPr>
                <w:rFonts w:hint="eastAsia" w:ascii="仿宋" w:hAnsi="仿宋" w:eastAsia="仿宋" w:cs="仿宋"/>
                <w:color w:val="auto"/>
                <w:spacing w:val="14"/>
                <w:sz w:val="21"/>
                <w:szCs w:val="21"/>
                <w:highlight w:val="none"/>
                <w:u w:val="none" w:color="auto"/>
                <w:lang w:val="en-US" w:eastAsia="zh-CN" w:bidi="ar-SA"/>
              </w:rPr>
            </w:pPr>
            <w:r>
              <w:rPr>
                <w:rFonts w:hint="eastAsia" w:ascii="仿宋" w:hAnsi="仿宋" w:eastAsia="仿宋" w:cs="仿宋"/>
                <w:color w:val="auto"/>
                <w:spacing w:val="14"/>
                <w:sz w:val="21"/>
                <w:szCs w:val="21"/>
                <w:highlight w:val="none"/>
                <w:u w:val="none" w:color="auto"/>
                <w:lang w:val="en-US" w:eastAsia="zh-CN" w:bidi="ar-SA"/>
              </w:rPr>
              <w:t>六标段：综合保障小型装备运输车</w:t>
            </w:r>
          </w:p>
          <w:p>
            <w:pPr>
              <w:rPr>
                <w:rFonts w:hint="eastAsia" w:ascii="仿宋" w:hAnsi="仿宋" w:eastAsia="仿宋" w:cs="仿宋"/>
                <w:color w:val="auto"/>
                <w:spacing w:val="14"/>
                <w:sz w:val="21"/>
                <w:szCs w:val="21"/>
                <w:highlight w:val="none"/>
                <w:u w:val="none" w:color="auto"/>
                <w:lang w:val="en-US" w:eastAsia="zh-CN" w:bidi="ar-SA"/>
              </w:rPr>
            </w:pPr>
            <w:r>
              <w:rPr>
                <w:rFonts w:hint="eastAsia" w:ascii="仿宋" w:hAnsi="仿宋" w:eastAsia="仿宋" w:cs="仿宋"/>
                <w:color w:val="auto"/>
                <w:spacing w:val="14"/>
                <w:sz w:val="21"/>
                <w:szCs w:val="21"/>
                <w:highlight w:val="none"/>
                <w:u w:val="none" w:color="auto"/>
                <w:lang w:val="en-US" w:eastAsia="zh-CN" w:bidi="ar-SA"/>
              </w:rPr>
              <w:t>七标段：综合保障救护设备</w:t>
            </w:r>
          </w:p>
          <w:p>
            <w:pPr>
              <w:rPr>
                <w:rFonts w:hint="eastAsia" w:ascii="仿宋" w:hAnsi="仿宋" w:eastAsia="仿宋" w:cs="仿宋"/>
                <w:color w:val="auto"/>
                <w:spacing w:val="14"/>
                <w:sz w:val="21"/>
                <w:szCs w:val="21"/>
                <w:highlight w:val="none"/>
                <w:u w:val="none" w:color="auto"/>
                <w:lang w:val="en-US" w:eastAsia="zh-CN" w:bidi="ar-SA"/>
              </w:rPr>
            </w:pPr>
            <w:r>
              <w:rPr>
                <w:rFonts w:hint="eastAsia" w:ascii="仿宋" w:hAnsi="仿宋" w:eastAsia="仿宋" w:cs="仿宋"/>
                <w:color w:val="auto"/>
                <w:spacing w:val="14"/>
                <w:sz w:val="21"/>
                <w:szCs w:val="21"/>
                <w:highlight w:val="none"/>
                <w:u w:val="none" w:color="auto"/>
                <w:lang w:val="en-US" w:eastAsia="zh-CN" w:bidi="ar-SA"/>
              </w:rPr>
              <w:t>八标段：综合保障便携式气象仪</w:t>
            </w:r>
          </w:p>
          <w:p>
            <w:pPr>
              <w:rPr>
                <w:rFonts w:hint="eastAsia" w:ascii="仿宋" w:hAnsi="仿宋" w:eastAsia="仿宋" w:cs="仿宋"/>
                <w:color w:val="auto"/>
                <w:spacing w:val="14"/>
                <w:sz w:val="21"/>
                <w:szCs w:val="21"/>
                <w:highlight w:val="none"/>
                <w:u w:val="none" w:color="auto"/>
                <w:lang w:val="en-US" w:eastAsia="zh-CN" w:bidi="ar-SA"/>
              </w:rPr>
            </w:pPr>
            <w:r>
              <w:rPr>
                <w:rFonts w:hint="eastAsia" w:ascii="仿宋" w:hAnsi="仿宋" w:eastAsia="仿宋" w:cs="仿宋"/>
                <w:color w:val="auto"/>
                <w:spacing w:val="14"/>
                <w:sz w:val="21"/>
                <w:szCs w:val="21"/>
                <w:highlight w:val="none"/>
                <w:u w:val="none" w:color="auto"/>
                <w:lang w:val="en-US" w:eastAsia="zh-CN" w:bidi="ar-SA"/>
              </w:rPr>
              <w:t>九标段：综合保障电源照明类</w:t>
            </w:r>
          </w:p>
          <w:p>
            <w:pPr>
              <w:rPr>
                <w:rFonts w:hint="eastAsia" w:ascii="仿宋" w:hAnsi="仿宋" w:eastAsia="仿宋" w:cs="仿宋"/>
                <w:color w:val="auto"/>
                <w:spacing w:val="14"/>
                <w:sz w:val="21"/>
                <w:szCs w:val="21"/>
                <w:highlight w:val="none"/>
                <w:u w:val="single" w:color="000000"/>
                <w:lang w:val="en-US" w:eastAsia="zh-CN" w:bidi="ar-SA"/>
              </w:rPr>
            </w:pPr>
            <w:r>
              <w:rPr>
                <w:rFonts w:hint="eastAsia" w:ascii="仿宋" w:hAnsi="仿宋" w:eastAsia="仿宋" w:cs="仿宋"/>
                <w:color w:val="auto"/>
                <w:spacing w:val="14"/>
                <w:sz w:val="21"/>
                <w:szCs w:val="21"/>
                <w:highlight w:val="none"/>
                <w:u w:val="none" w:color="auto"/>
                <w:lang w:val="en-US" w:eastAsia="zh-CN" w:bidi="ar-SA"/>
              </w:rPr>
              <w:t>注：投标人应就所投标段进行完整投标，不得将一个标段拆开投标，否则将不被接受。一个投标人可投多个标段，也可中标多个标段。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1.2.1</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资金来源</w:t>
            </w:r>
          </w:p>
        </w:tc>
        <w:tc>
          <w:tcPr>
            <w:tcW w:w="5399" w:type="dxa"/>
            <w:vAlign w:val="center"/>
          </w:tcPr>
          <w:p>
            <w:pPr>
              <w:pStyle w:val="154"/>
              <w:ind w:firstLine="0"/>
              <w:jc w:val="left"/>
              <w:rPr>
                <w:rFonts w:hint="eastAsia" w:ascii="仿宋" w:hAnsi="仿宋" w:eastAsia="仿宋" w:cs="仿宋"/>
                <w:color w:val="auto"/>
                <w:spacing w:val="14"/>
                <w:szCs w:val="21"/>
                <w:highlight w:val="none"/>
                <w:lang w:eastAsia="zh-CN"/>
              </w:rPr>
            </w:pPr>
            <w:r>
              <w:rPr>
                <w:rFonts w:hint="eastAsia" w:ascii="仿宋" w:hAnsi="仿宋" w:eastAsia="仿宋" w:cs="仿宋"/>
                <w:color w:val="auto"/>
                <w:spacing w:val="14"/>
                <w:szCs w:val="21"/>
                <w:highlight w:val="none"/>
                <w:lang w:eastAsia="zh-CN"/>
              </w:rPr>
              <w:t>国债资金及地方配套资金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1.2.2</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付款方式</w:t>
            </w:r>
          </w:p>
        </w:tc>
        <w:tc>
          <w:tcPr>
            <w:tcW w:w="5399" w:type="dxa"/>
            <w:vAlign w:val="center"/>
          </w:tcPr>
          <w:p>
            <w:pPr>
              <w:pStyle w:val="154"/>
              <w:ind w:firstLine="0"/>
              <w:jc w:val="left"/>
              <w:rPr>
                <w:rFonts w:hint="default" w:ascii="仿宋" w:hAnsi="仿宋" w:eastAsia="仿宋" w:cs="仿宋"/>
                <w:color w:val="auto"/>
                <w:spacing w:val="14"/>
                <w:szCs w:val="21"/>
                <w:highlight w:val="none"/>
                <w:lang w:val="en-US" w:eastAsia="zh-CN"/>
              </w:rPr>
            </w:pPr>
            <w:r>
              <w:rPr>
                <w:rFonts w:hint="default" w:ascii="仿宋" w:hAnsi="仿宋" w:eastAsia="仿宋" w:cs="仿宋"/>
                <w:color w:val="auto"/>
                <w:spacing w:val="14"/>
                <w:szCs w:val="21"/>
                <w:highlight w:val="none"/>
                <w:lang w:val="en-US" w:eastAsia="zh-CN"/>
              </w:rPr>
              <w:t>由采购人支付,按合同约定进行支付。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1.3.1</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交货期</w:t>
            </w:r>
          </w:p>
        </w:tc>
        <w:tc>
          <w:tcPr>
            <w:tcW w:w="5399" w:type="dxa"/>
            <w:vAlign w:val="center"/>
          </w:tcPr>
          <w:p>
            <w:pPr>
              <w:pStyle w:val="56"/>
              <w:spacing w:beforeAutospacing="0" w:afterAutospacing="0"/>
              <w:jc w:val="both"/>
              <w:rPr>
                <w:rFonts w:hint="eastAsia" w:ascii="仿宋" w:hAnsi="仿宋" w:eastAsia="仿宋" w:cs="仿宋"/>
                <w:color w:val="auto"/>
                <w:spacing w:val="14"/>
                <w:szCs w:val="21"/>
                <w:highlight w:val="none"/>
              </w:rPr>
            </w:pPr>
            <w:r>
              <w:rPr>
                <w:rFonts w:hint="eastAsia" w:ascii="仿宋" w:hAnsi="仿宋" w:eastAsia="仿宋" w:cs="仿宋"/>
                <w:color w:val="auto"/>
                <w:spacing w:val="14"/>
                <w:sz w:val="21"/>
                <w:szCs w:val="21"/>
                <w:highlight w:val="none"/>
              </w:rPr>
              <w:t>自合同签订之日起45日内完成供货、安装、调试完毕至正常使用。（其中，车辆类自合同签订之日起60日内完成供货、安装、调试完毕至正常使用，山地摩托车不计入车辆类）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1.3.2</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交货地点</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1.3.3</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履约验收</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履约验收主体：采购人自行组织</w:t>
            </w:r>
            <w:r>
              <w:rPr>
                <w:rFonts w:hint="eastAsia" w:ascii="仿宋" w:hAnsi="仿宋" w:eastAsia="仿宋" w:cs="仿宋"/>
                <w:color w:val="auto"/>
                <w:spacing w:val="14"/>
                <w:szCs w:val="21"/>
                <w:highlight w:val="none"/>
                <w:lang w:eastAsia="zh-CN"/>
              </w:rPr>
              <w:t>验收小组</w:t>
            </w:r>
            <w:r>
              <w:rPr>
                <w:rFonts w:hint="eastAsia" w:ascii="仿宋" w:hAnsi="仿宋" w:eastAsia="仿宋" w:cs="仿宋"/>
                <w:color w:val="auto"/>
                <w:spacing w:val="14"/>
                <w:szCs w:val="21"/>
                <w:highlight w:val="none"/>
              </w:rPr>
              <w:t>项目验收。</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履约验收时间：按采购合同约定执行。</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履约验收方式：联合验收，验收工作由各主管职能科室牵头，联合验收小组共同验收，签字确认。</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履约验收程序：由投标人提出申请，采购人组织相关部门进行验收。</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履约验收内容：依据本项目招标文件和中标人投标文件对技术和商务条款履约情况逐条验收。</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履约验收标准：采购人根据国家有关规定、招标文件、中标人的投标文件进行验收。</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验收情况作为支付货款的依据。如有异议，以相关质量技术检验检测机构的检验结果为准，如产生检验检测费用，则该费用由过失方承担。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1.3.4</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质保期及售后服务</w:t>
            </w:r>
          </w:p>
        </w:tc>
        <w:tc>
          <w:tcPr>
            <w:tcW w:w="5399" w:type="dxa"/>
            <w:vAlign w:val="center"/>
          </w:tcPr>
          <w:p>
            <w:pPr>
              <w:pStyle w:val="227"/>
              <w:ind w:firstLine="0"/>
              <w:jc w:val="left"/>
              <w:rPr>
                <w:rFonts w:hint="eastAsia" w:ascii="仿宋" w:hAnsi="仿宋" w:eastAsia="仿宋" w:cs="仿宋"/>
                <w:color w:val="auto"/>
                <w:spacing w:val="14"/>
                <w:szCs w:val="21"/>
                <w:highlight w:val="none"/>
              </w:rPr>
            </w:pPr>
            <w:r>
              <w:rPr>
                <w:rFonts w:hint="eastAsia" w:ascii="仿宋" w:hAnsi="仿宋" w:eastAsia="仿宋" w:cs="仿宋"/>
                <w:snapToGrid w:val="0"/>
                <w:color w:val="auto"/>
                <w:szCs w:val="21"/>
                <w:highlight w:val="none"/>
              </w:rPr>
              <w:t>质保期：</w:t>
            </w:r>
            <w:r>
              <w:rPr>
                <w:rFonts w:hint="eastAsia" w:ascii="仿宋" w:hAnsi="仿宋" w:eastAsia="仿宋" w:cs="仿宋"/>
                <w:color w:val="auto"/>
                <w:spacing w:val="14"/>
                <w:sz w:val="21"/>
                <w:szCs w:val="21"/>
                <w:highlight w:val="none"/>
              </w:rPr>
              <w:t>验收合格之日起</w:t>
            </w:r>
            <w:r>
              <w:rPr>
                <w:rFonts w:hint="eastAsia" w:ascii="仿宋" w:hAnsi="仿宋" w:eastAsia="仿宋" w:cs="仿宋"/>
                <w:color w:val="auto"/>
                <w:spacing w:val="14"/>
                <w:sz w:val="21"/>
                <w:szCs w:val="21"/>
                <w:highlight w:val="none"/>
                <w:lang w:val="en-US" w:eastAsia="zh-CN"/>
              </w:rPr>
              <w:t>2</w:t>
            </w:r>
            <w:r>
              <w:rPr>
                <w:rFonts w:hint="eastAsia" w:ascii="仿宋" w:hAnsi="仿宋" w:eastAsia="仿宋" w:cs="仿宋"/>
                <w:color w:val="auto"/>
                <w:spacing w:val="14"/>
                <w:sz w:val="21"/>
                <w:szCs w:val="21"/>
                <w:highlight w:val="none"/>
              </w:rPr>
              <w:t>年。</w:t>
            </w:r>
          </w:p>
          <w:p>
            <w:pPr>
              <w:pStyle w:val="154"/>
              <w:ind w:firstLine="0"/>
              <w:jc w:val="left"/>
              <w:rPr>
                <w:rFonts w:hint="eastAsia" w:ascii="仿宋" w:hAnsi="仿宋" w:eastAsia="仿宋" w:cs="仿宋"/>
                <w:b/>
                <w:bCs/>
                <w:color w:val="auto"/>
                <w:spacing w:val="14"/>
                <w:szCs w:val="21"/>
                <w:highlight w:val="none"/>
              </w:rPr>
            </w:pPr>
            <w:r>
              <w:rPr>
                <w:rFonts w:hint="eastAsia" w:ascii="仿宋" w:hAnsi="仿宋" w:eastAsia="仿宋" w:cs="仿宋"/>
                <w:b/>
                <w:bCs/>
                <w:color w:val="auto"/>
                <w:spacing w:val="14"/>
                <w:szCs w:val="21"/>
                <w:highlight w:val="none"/>
              </w:rPr>
              <w:t>（1）售后服务机构：</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①提供所投产品投标人或制造商售后服务机构情况，包括地址、技术人员及联系方式，售后技术人员力量、设备实力等。</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②投标人应在投标文件中声明售后服务承诺、售后服务方式和能力</w:t>
            </w:r>
            <w:r>
              <w:rPr>
                <w:rFonts w:hint="eastAsia" w:ascii="仿宋" w:hAnsi="仿宋" w:eastAsia="仿宋" w:cs="仿宋"/>
                <w:b/>
                <w:bCs/>
                <w:color w:val="auto"/>
                <w:spacing w:val="14"/>
                <w:szCs w:val="21"/>
                <w:highlight w:val="none"/>
              </w:rPr>
              <w:t>（须提供售后服务承诺书）</w:t>
            </w:r>
            <w:r>
              <w:rPr>
                <w:rFonts w:hint="eastAsia" w:ascii="仿宋" w:hAnsi="仿宋" w:eastAsia="仿宋" w:cs="仿宋"/>
                <w:color w:val="auto"/>
                <w:spacing w:val="14"/>
                <w:szCs w:val="21"/>
                <w:highlight w:val="none"/>
              </w:rPr>
              <w:t>。</w:t>
            </w:r>
          </w:p>
          <w:p>
            <w:pPr>
              <w:pStyle w:val="154"/>
              <w:ind w:firstLine="0"/>
              <w:jc w:val="left"/>
              <w:rPr>
                <w:rFonts w:hint="eastAsia" w:ascii="仿宋" w:hAnsi="仿宋" w:eastAsia="仿宋" w:cs="仿宋"/>
                <w:b/>
                <w:bCs/>
                <w:color w:val="auto"/>
                <w:spacing w:val="14"/>
                <w:szCs w:val="21"/>
                <w:highlight w:val="none"/>
              </w:rPr>
            </w:pPr>
            <w:r>
              <w:rPr>
                <w:rFonts w:hint="eastAsia" w:ascii="仿宋" w:hAnsi="仿宋" w:eastAsia="仿宋" w:cs="仿宋"/>
                <w:b/>
                <w:bCs/>
                <w:color w:val="auto"/>
                <w:spacing w:val="14"/>
                <w:szCs w:val="21"/>
                <w:highlight w:val="none"/>
              </w:rPr>
              <w:t>（2）质保期内（以本项目验收合格之日算起）应当为采购人提供以下技术支持和服务：</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①电话咨询。中标人或制造商应当为采购人提供技术援助电话，解答采购人在使用中遇到的问题，及时为采购人提出解决问题的建议和办法。</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②现场响应。设备整个使用期内，投标人应确保设备的正常使用。故障响应时间≤</w:t>
            </w:r>
            <w:r>
              <w:rPr>
                <w:rFonts w:hint="eastAsia" w:ascii="仿宋" w:hAnsi="仿宋" w:eastAsia="仿宋" w:cs="仿宋"/>
                <w:color w:val="auto"/>
                <w:spacing w:val="14"/>
                <w:szCs w:val="21"/>
                <w:highlight w:val="none"/>
                <w:lang w:val="en-US" w:eastAsia="zh-CN"/>
              </w:rPr>
              <w:t>2</w:t>
            </w:r>
            <w:r>
              <w:rPr>
                <w:rFonts w:hint="eastAsia" w:ascii="仿宋" w:hAnsi="仿宋" w:eastAsia="仿宋" w:cs="仿宋"/>
                <w:color w:val="auto"/>
                <w:spacing w:val="14"/>
                <w:szCs w:val="21"/>
                <w:highlight w:val="none"/>
              </w:rPr>
              <w:t>小时，应急上门服务响应时间≤</w:t>
            </w:r>
            <w:r>
              <w:rPr>
                <w:rFonts w:hint="eastAsia" w:ascii="仿宋" w:hAnsi="仿宋" w:eastAsia="仿宋" w:cs="仿宋"/>
                <w:color w:val="auto"/>
                <w:spacing w:val="14"/>
                <w:szCs w:val="21"/>
                <w:highlight w:val="none"/>
                <w:lang w:val="en-US" w:eastAsia="zh-CN"/>
              </w:rPr>
              <w:t>8</w:t>
            </w:r>
            <w:r>
              <w:rPr>
                <w:rFonts w:hint="eastAsia" w:ascii="仿宋" w:hAnsi="仿宋" w:eastAsia="仿宋" w:cs="仿宋"/>
                <w:color w:val="auto"/>
                <w:spacing w:val="14"/>
                <w:szCs w:val="21"/>
                <w:highlight w:val="none"/>
              </w:rPr>
              <w:t>小时，确保设备系统正常工作</w:t>
            </w:r>
            <w:r>
              <w:rPr>
                <w:rFonts w:hint="eastAsia" w:ascii="仿宋" w:hAnsi="仿宋" w:eastAsia="仿宋" w:cs="仿宋"/>
                <w:color w:val="auto"/>
                <w:spacing w:val="14"/>
                <w:szCs w:val="21"/>
                <w:highlight w:val="none"/>
                <w:lang w:eastAsia="zh-CN"/>
              </w:rPr>
              <w:t>，</w:t>
            </w:r>
            <w:r>
              <w:rPr>
                <w:rFonts w:hint="eastAsia" w:ascii="仿宋" w:hAnsi="仿宋" w:eastAsia="仿宋" w:cs="仿宋"/>
                <w:color w:val="auto"/>
                <w:spacing w:val="14"/>
                <w:szCs w:val="21"/>
                <w:highlight w:val="none"/>
              </w:rPr>
              <w:t>并在 24 小时内提供解决方案。</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③中标人应当定期对所供设备系统运行情况进行检测、维护，消除故障隐患，以保证设备的正常运行。</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b/>
                <w:bCs/>
                <w:color w:val="auto"/>
                <w:spacing w:val="14"/>
                <w:szCs w:val="21"/>
                <w:highlight w:val="none"/>
              </w:rPr>
              <w:t>（3）质保期后应当为采购人提供以下技术支持和服务：</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①应同样提供免费电话咨询服务，并应承诺提供产品上门维护服务。</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②应以优惠价格继续提供售后服务。</w:t>
            </w:r>
          </w:p>
          <w:p>
            <w:pPr>
              <w:pStyle w:val="154"/>
              <w:ind w:firstLine="0"/>
              <w:jc w:val="left"/>
              <w:rPr>
                <w:rFonts w:hint="eastAsia" w:ascii="仿宋" w:hAnsi="仿宋" w:eastAsia="仿宋" w:cs="仿宋"/>
                <w:b/>
                <w:bCs/>
                <w:color w:val="auto"/>
                <w:spacing w:val="14"/>
                <w:szCs w:val="21"/>
                <w:highlight w:val="none"/>
              </w:rPr>
            </w:pPr>
            <w:r>
              <w:rPr>
                <w:rFonts w:hint="eastAsia" w:ascii="仿宋" w:hAnsi="仿宋" w:eastAsia="仿宋" w:cs="仿宋"/>
                <w:b/>
                <w:bCs/>
                <w:color w:val="auto"/>
                <w:spacing w:val="14"/>
                <w:szCs w:val="21"/>
                <w:highlight w:val="none"/>
              </w:rPr>
              <w:t>（4）技术培训：</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①中标方应对设备操作及维修人员进行操作及维修培训。</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②对</w:t>
            </w:r>
            <w:r>
              <w:rPr>
                <w:rFonts w:hint="eastAsia" w:ascii="仿宋" w:hAnsi="仿宋" w:eastAsia="仿宋" w:cs="仿宋"/>
                <w:color w:val="auto"/>
                <w:spacing w:val="14"/>
                <w:szCs w:val="21"/>
                <w:highlight w:val="none"/>
                <w:lang w:val="en-US" w:eastAsia="zh-CN"/>
              </w:rPr>
              <w:t>操作</w:t>
            </w:r>
            <w:r>
              <w:rPr>
                <w:rFonts w:hint="eastAsia" w:ascii="仿宋" w:hAnsi="仿宋" w:eastAsia="仿宋" w:cs="仿宋"/>
                <w:color w:val="auto"/>
                <w:spacing w:val="14"/>
                <w:szCs w:val="21"/>
                <w:highlight w:val="none"/>
              </w:rPr>
              <w:t>及维修人员关于机器常见故障及解决方案进行培训，达到能解决常见故障。</w:t>
            </w:r>
          </w:p>
          <w:p>
            <w:pPr>
              <w:pStyle w:val="154"/>
              <w:ind w:firstLine="0"/>
              <w:jc w:val="left"/>
              <w:rPr>
                <w:rFonts w:hint="eastAsia" w:ascii="仿宋" w:hAnsi="仿宋" w:eastAsia="仿宋" w:cs="仿宋"/>
                <w:b/>
                <w:bCs/>
                <w:color w:val="auto"/>
                <w:spacing w:val="14"/>
                <w:szCs w:val="21"/>
                <w:highlight w:val="none"/>
              </w:rPr>
            </w:pPr>
            <w:r>
              <w:rPr>
                <w:rFonts w:hint="eastAsia" w:ascii="仿宋" w:hAnsi="仿宋" w:eastAsia="仿宋" w:cs="仿宋"/>
                <w:b/>
                <w:bCs/>
                <w:color w:val="auto"/>
                <w:spacing w:val="14"/>
                <w:szCs w:val="21"/>
                <w:highlight w:val="none"/>
              </w:rPr>
              <w:t>（5）备品备件及易损件：</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成交人或制造商售后服务中，维修使用的备品备件及易损件应为原厂配件（非翻新件）。成交人应提供原厂标准的备品备件、易损件、消耗资料价格清单及折扣率。</w:t>
            </w:r>
          </w:p>
          <w:p>
            <w:pPr>
              <w:pStyle w:val="154"/>
              <w:ind w:firstLine="0"/>
              <w:jc w:val="left"/>
              <w:rPr>
                <w:rFonts w:hint="eastAsia" w:ascii="仿宋" w:hAnsi="仿宋" w:eastAsia="仿宋" w:cs="仿宋"/>
                <w:b/>
                <w:bCs/>
                <w:color w:val="auto"/>
                <w:spacing w:val="14"/>
                <w:szCs w:val="21"/>
                <w:highlight w:val="none"/>
              </w:rPr>
            </w:pPr>
            <w:r>
              <w:rPr>
                <w:rFonts w:hint="eastAsia" w:ascii="仿宋" w:hAnsi="仿宋" w:eastAsia="仿宋" w:cs="仿宋"/>
                <w:b/>
                <w:bCs/>
                <w:color w:val="auto"/>
                <w:spacing w:val="14"/>
                <w:szCs w:val="21"/>
                <w:highlight w:val="none"/>
              </w:rPr>
              <w:t>（6）安装、调试：</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①成交人应派专业技术人员到最终用户指定地点安装，确保安装质量符合设计、使用要求。</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②测试工作所需的仪器仪表、工具、材料均由成交投标人负责。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1.4.1</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投标人资格要求</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见第一章招标公告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1.4.2</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是否接受联合体投标</w:t>
            </w:r>
          </w:p>
        </w:tc>
        <w:tc>
          <w:tcPr>
            <w:tcW w:w="5399" w:type="dxa"/>
            <w:vAlign w:val="center"/>
          </w:tcPr>
          <w:p>
            <w:pPr>
              <w:pStyle w:val="154"/>
              <w:ind w:firstLine="0"/>
              <w:jc w:val="left"/>
              <w:rPr>
                <w:rFonts w:hint="eastAsia" w:ascii="仿宋" w:hAnsi="仿宋" w:eastAsia="仿宋" w:cs="仿宋"/>
                <w:color w:val="auto"/>
                <w:spacing w:val="14"/>
                <w:szCs w:val="21"/>
                <w:highlight w:val="none"/>
                <w:u w:val="single" w:color="000000"/>
              </w:rPr>
            </w:pPr>
            <w:r>
              <w:rPr>
                <w:rFonts w:hint="eastAsia" w:ascii="仿宋" w:hAnsi="仿宋" w:eastAsia="仿宋" w:cs="仿宋"/>
                <w:color w:val="auto"/>
                <w:spacing w:val="14"/>
                <w:szCs w:val="21"/>
                <w:highlight w:val="none"/>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1.4.3</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投标人不得存在的其他情形</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1.9.1</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投标预备会</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1.9.2</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投标人在投标预备会前提出问题</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时间：/</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1.10.1</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分包</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1.11.1</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实质性要求和条件</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交货期；</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交货地点；</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付款方式；</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质量要求；</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质保期及售后服务；</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1.11.3</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其他可以被接受的技术支持资料</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1.11.4</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偏差</w:t>
            </w:r>
          </w:p>
        </w:tc>
        <w:tc>
          <w:tcPr>
            <w:tcW w:w="5399" w:type="dxa"/>
            <w:vAlign w:val="center"/>
          </w:tcPr>
          <w:p>
            <w:pPr>
              <w:pStyle w:val="19"/>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w:t>
            </w:r>
            <w:r>
              <w:rPr>
                <w:rFonts w:hint="eastAsia" w:ascii="仿宋" w:hAnsi="仿宋" w:eastAsia="仿宋" w:cs="仿宋"/>
                <w:color w:val="auto"/>
                <w:spacing w:val="14"/>
                <w:sz w:val="21"/>
                <w:szCs w:val="21"/>
                <w:highlight w:val="none"/>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2.1</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构成招标文件的其他资料</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2.2.1</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投标人提出问题或要求澄清招标文件的截止时间</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提交投标文件截止时间10日前，由投标人在洛阳市电子招投标交易平台上进行提问。</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在投标截止时间前10日内，采购人、采购代理机构不再受理投标人提出的问题。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2.2.2</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招标文件澄清、修改发出的形式</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招标文件的澄清将在与招标公告发布媒介的同一媒介发布“变更公告”，如需修改招标文件，则同时在洛阳市电子招投标交易平台发布“答疑文件”（答疑文件指修改后最新的招标文件）。对于各项目中已经成功报名并下载招标文件的投标人，将通过第三方短信群发方式提醒投标人进行查询。各投标人须重新下载最新的“答疑文件”，并以此编制投标文件。如不以最新发布的“答疑文件”编制投标文件，造成投标无效的后果由投标人自己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3.1.1</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构成投标文件的其他资料</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3.2.4</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预算控制金额</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预算总控制金额：</w:t>
            </w:r>
            <w:r>
              <w:rPr>
                <w:rFonts w:hint="eastAsia" w:ascii="仿宋" w:hAnsi="仿宋" w:eastAsia="仿宋" w:cs="仿宋"/>
                <w:color w:val="auto"/>
                <w:spacing w:val="14"/>
                <w:szCs w:val="21"/>
                <w:highlight w:val="none"/>
                <w:lang w:val="en-US" w:eastAsia="zh-CN"/>
              </w:rPr>
              <w:t>59748200.00</w:t>
            </w:r>
            <w:r>
              <w:rPr>
                <w:rFonts w:hint="eastAsia" w:ascii="仿宋" w:hAnsi="仿宋" w:eastAsia="仿宋" w:cs="仿宋"/>
                <w:color w:val="auto"/>
                <w:spacing w:val="14"/>
                <w:szCs w:val="21"/>
                <w:highlight w:val="none"/>
              </w:rPr>
              <w:t>元；</w:t>
            </w:r>
          </w:p>
          <w:p>
            <w:pPr>
              <w:rPr>
                <w:rFonts w:hint="default" w:ascii="仿宋" w:hAnsi="仿宋" w:eastAsia="仿宋" w:cs="仿宋"/>
                <w:color w:val="auto"/>
                <w:spacing w:val="14"/>
                <w:sz w:val="21"/>
                <w:szCs w:val="21"/>
                <w:highlight w:val="none"/>
                <w:lang w:val="en-US" w:eastAsia="zh-CN" w:bidi="ar-SA"/>
              </w:rPr>
            </w:pPr>
            <w:r>
              <w:rPr>
                <w:rFonts w:hint="eastAsia" w:ascii="仿宋" w:hAnsi="仿宋" w:eastAsia="仿宋" w:cs="仿宋"/>
                <w:color w:val="auto"/>
                <w:spacing w:val="14"/>
                <w:sz w:val="21"/>
                <w:szCs w:val="21"/>
                <w:highlight w:val="none"/>
                <w:lang w:val="en-US" w:eastAsia="zh-CN" w:bidi="ar-SA"/>
              </w:rPr>
              <w:t>其中：一标段：5588600.00元</w:t>
            </w:r>
          </w:p>
          <w:p>
            <w:pPr>
              <w:rPr>
                <w:rFonts w:hint="eastAsia" w:ascii="仿宋" w:hAnsi="仿宋" w:eastAsia="仿宋" w:cs="仿宋"/>
                <w:color w:val="auto"/>
                <w:spacing w:val="14"/>
                <w:sz w:val="21"/>
                <w:szCs w:val="21"/>
                <w:highlight w:val="none"/>
                <w:lang w:val="en-US" w:eastAsia="zh-CN" w:bidi="ar-SA"/>
              </w:rPr>
            </w:pPr>
            <w:r>
              <w:rPr>
                <w:rFonts w:hint="eastAsia" w:ascii="仿宋" w:hAnsi="仿宋" w:eastAsia="仿宋" w:cs="仿宋"/>
                <w:color w:val="auto"/>
                <w:spacing w:val="14"/>
                <w:sz w:val="21"/>
                <w:szCs w:val="21"/>
                <w:highlight w:val="none"/>
                <w:lang w:val="en-US" w:eastAsia="zh-CN" w:bidi="ar-SA"/>
              </w:rPr>
              <w:t xml:space="preserve">     二标段：5556200.00元</w:t>
            </w:r>
          </w:p>
          <w:p>
            <w:pPr>
              <w:ind w:firstLine="621" w:firstLineChars="300"/>
              <w:rPr>
                <w:rFonts w:hint="eastAsia" w:ascii="仿宋" w:hAnsi="仿宋" w:eastAsia="仿宋" w:cs="仿宋"/>
                <w:color w:val="auto"/>
                <w:spacing w:val="14"/>
                <w:sz w:val="21"/>
                <w:szCs w:val="21"/>
                <w:highlight w:val="none"/>
                <w:lang w:val="en-US" w:eastAsia="zh-CN" w:bidi="ar-SA"/>
              </w:rPr>
            </w:pPr>
            <w:r>
              <w:rPr>
                <w:rFonts w:hint="eastAsia" w:ascii="仿宋" w:hAnsi="仿宋" w:eastAsia="仿宋" w:cs="仿宋"/>
                <w:color w:val="auto"/>
                <w:spacing w:val="14"/>
                <w:sz w:val="21"/>
                <w:szCs w:val="21"/>
                <w:highlight w:val="none"/>
                <w:lang w:val="en-US" w:eastAsia="zh-CN" w:bidi="ar-SA"/>
              </w:rPr>
              <w:t>三标段：5722800.00元</w:t>
            </w:r>
          </w:p>
          <w:p>
            <w:pPr>
              <w:ind w:firstLine="621" w:firstLineChars="300"/>
              <w:rPr>
                <w:rFonts w:hint="eastAsia" w:ascii="仿宋" w:hAnsi="仿宋" w:eastAsia="仿宋" w:cs="仿宋"/>
                <w:color w:val="auto"/>
                <w:spacing w:val="14"/>
                <w:sz w:val="21"/>
                <w:szCs w:val="21"/>
                <w:highlight w:val="none"/>
                <w:lang w:val="en-US" w:eastAsia="zh-CN" w:bidi="ar-SA"/>
              </w:rPr>
            </w:pPr>
            <w:r>
              <w:rPr>
                <w:rFonts w:hint="eastAsia" w:ascii="仿宋" w:hAnsi="仿宋" w:eastAsia="仿宋" w:cs="仿宋"/>
                <w:color w:val="auto"/>
                <w:spacing w:val="14"/>
                <w:sz w:val="21"/>
                <w:szCs w:val="21"/>
                <w:highlight w:val="none"/>
                <w:lang w:val="en-US" w:eastAsia="zh-CN" w:bidi="ar-SA"/>
              </w:rPr>
              <w:t>四标段：15332000.00元</w:t>
            </w:r>
          </w:p>
          <w:p>
            <w:pPr>
              <w:ind w:firstLine="621" w:firstLineChars="300"/>
              <w:rPr>
                <w:rFonts w:hint="eastAsia" w:ascii="仿宋" w:hAnsi="仿宋" w:eastAsia="仿宋" w:cs="仿宋"/>
                <w:color w:val="auto"/>
                <w:spacing w:val="14"/>
                <w:sz w:val="21"/>
                <w:szCs w:val="21"/>
                <w:highlight w:val="none"/>
                <w:lang w:val="en-US" w:eastAsia="zh-CN" w:bidi="ar-SA"/>
              </w:rPr>
            </w:pPr>
            <w:r>
              <w:rPr>
                <w:rFonts w:hint="eastAsia" w:ascii="仿宋" w:hAnsi="仿宋" w:eastAsia="仿宋" w:cs="仿宋"/>
                <w:color w:val="auto"/>
                <w:spacing w:val="14"/>
                <w:sz w:val="21"/>
                <w:szCs w:val="21"/>
                <w:highlight w:val="none"/>
                <w:lang w:val="en-US" w:eastAsia="zh-CN" w:bidi="ar-SA"/>
              </w:rPr>
              <w:t>五标段：6500000.00元</w:t>
            </w:r>
          </w:p>
          <w:p>
            <w:pPr>
              <w:ind w:firstLine="621" w:firstLineChars="300"/>
              <w:rPr>
                <w:rFonts w:hint="eastAsia" w:ascii="仿宋" w:hAnsi="仿宋" w:eastAsia="仿宋" w:cs="仿宋"/>
                <w:color w:val="auto"/>
                <w:spacing w:val="14"/>
                <w:sz w:val="21"/>
                <w:szCs w:val="21"/>
                <w:highlight w:val="none"/>
                <w:lang w:val="en-US" w:eastAsia="zh-CN" w:bidi="ar-SA"/>
              </w:rPr>
            </w:pPr>
            <w:r>
              <w:rPr>
                <w:rFonts w:hint="eastAsia" w:ascii="仿宋" w:hAnsi="仿宋" w:eastAsia="仿宋" w:cs="仿宋"/>
                <w:color w:val="auto"/>
                <w:spacing w:val="14"/>
                <w:sz w:val="21"/>
                <w:szCs w:val="21"/>
                <w:highlight w:val="none"/>
                <w:lang w:val="en-US" w:eastAsia="zh-CN" w:bidi="ar-SA"/>
              </w:rPr>
              <w:t>六标段：4876000.00元</w:t>
            </w:r>
          </w:p>
          <w:p>
            <w:pPr>
              <w:pStyle w:val="24"/>
              <w:ind w:firstLine="609"/>
              <w:rPr>
                <w:rFonts w:hint="default" w:ascii="仿宋" w:hAnsi="仿宋" w:eastAsia="仿宋" w:cs="仿宋"/>
                <w:color w:val="auto"/>
                <w:spacing w:val="14"/>
                <w:sz w:val="21"/>
                <w:szCs w:val="21"/>
                <w:highlight w:val="none"/>
                <w:lang w:val="en-US" w:eastAsia="zh-CN" w:bidi="ar-SA"/>
              </w:rPr>
            </w:pPr>
            <w:r>
              <w:rPr>
                <w:rFonts w:hint="eastAsia" w:ascii="仿宋" w:hAnsi="仿宋" w:eastAsia="仿宋" w:cs="仿宋"/>
                <w:color w:val="auto"/>
                <w:spacing w:val="14"/>
                <w:sz w:val="21"/>
                <w:szCs w:val="21"/>
                <w:highlight w:val="none"/>
                <w:lang w:val="en-US" w:eastAsia="zh-CN" w:bidi="ar-SA"/>
              </w:rPr>
              <w:t>七标段：490000.00元</w:t>
            </w:r>
          </w:p>
          <w:p>
            <w:pPr>
              <w:pStyle w:val="24"/>
              <w:ind w:firstLine="609"/>
              <w:rPr>
                <w:rFonts w:hint="default" w:ascii="仿宋" w:hAnsi="仿宋" w:eastAsia="仿宋" w:cs="仿宋"/>
                <w:color w:val="auto"/>
                <w:spacing w:val="14"/>
                <w:sz w:val="21"/>
                <w:szCs w:val="21"/>
                <w:highlight w:val="none"/>
                <w:lang w:val="en-US" w:eastAsia="zh-CN" w:bidi="ar-SA"/>
              </w:rPr>
            </w:pPr>
            <w:r>
              <w:rPr>
                <w:rFonts w:hint="eastAsia" w:ascii="仿宋" w:hAnsi="仿宋" w:eastAsia="仿宋" w:cs="仿宋"/>
                <w:color w:val="auto"/>
                <w:spacing w:val="14"/>
                <w:sz w:val="21"/>
                <w:szCs w:val="21"/>
                <w:highlight w:val="none"/>
                <w:lang w:val="en-US" w:eastAsia="zh-CN" w:bidi="ar-SA"/>
              </w:rPr>
              <w:t>八标段：200200.00元</w:t>
            </w:r>
          </w:p>
          <w:p>
            <w:pPr>
              <w:ind w:firstLine="621" w:firstLineChars="300"/>
              <w:rPr>
                <w:rFonts w:hint="eastAsia" w:ascii="仿宋" w:hAnsi="仿宋" w:eastAsia="仿宋" w:cs="仿宋"/>
                <w:color w:val="auto"/>
                <w:spacing w:val="14"/>
                <w:sz w:val="21"/>
                <w:szCs w:val="21"/>
                <w:highlight w:val="none"/>
                <w:lang w:val="en-US" w:eastAsia="zh-CN" w:bidi="ar-SA"/>
              </w:rPr>
            </w:pPr>
            <w:r>
              <w:rPr>
                <w:rFonts w:hint="eastAsia" w:ascii="仿宋" w:hAnsi="仿宋" w:eastAsia="仿宋" w:cs="仿宋"/>
                <w:color w:val="auto"/>
                <w:spacing w:val="14"/>
                <w:sz w:val="21"/>
                <w:szCs w:val="21"/>
                <w:highlight w:val="none"/>
                <w:lang w:val="en-US" w:eastAsia="zh-CN" w:bidi="ar-SA"/>
              </w:rPr>
              <w:t>九标段：15482400.00元</w:t>
            </w:r>
          </w:p>
          <w:p>
            <w:pPr>
              <w:pStyle w:val="154"/>
              <w:ind w:firstLine="0"/>
              <w:jc w:val="left"/>
              <w:rPr>
                <w:rFonts w:hint="eastAsia"/>
                <w:color w:val="auto"/>
                <w:highlight w:val="none"/>
              </w:rPr>
            </w:pPr>
            <w:r>
              <w:rPr>
                <w:rFonts w:hint="eastAsia" w:ascii="仿宋" w:hAnsi="仿宋" w:eastAsia="仿宋" w:cs="仿宋"/>
                <w:color w:val="auto"/>
                <w:spacing w:val="14"/>
                <w:sz w:val="21"/>
                <w:szCs w:val="21"/>
                <w:highlight w:val="none"/>
                <w:u w:val="none" w:color="auto"/>
                <w:lang w:val="en-US" w:eastAsia="zh-CN" w:bidi="ar-SA"/>
              </w:rPr>
              <w:t>投标人投标报价超过每标段预算控制金额或预算控制总金额</w:t>
            </w:r>
            <w:r>
              <w:rPr>
                <w:rFonts w:hint="eastAsia" w:ascii="仿宋" w:hAnsi="仿宋" w:eastAsia="仿宋" w:cs="仿宋"/>
                <w:color w:val="auto"/>
                <w:spacing w:val="14"/>
                <w:szCs w:val="21"/>
                <w:highlight w:val="none"/>
                <w:u w:val="none" w:color="auto"/>
              </w:rPr>
              <w:t>，</w:t>
            </w:r>
            <w:r>
              <w:rPr>
                <w:rFonts w:hint="eastAsia" w:ascii="仿宋" w:hAnsi="仿宋" w:eastAsia="仿宋" w:cs="仿宋"/>
                <w:color w:val="auto"/>
                <w:spacing w:val="14"/>
                <w:szCs w:val="21"/>
                <w:highlight w:val="none"/>
              </w:rPr>
              <w:t>其投标将被否决。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3.2.5</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投标报价的其他要求</w:t>
            </w:r>
          </w:p>
        </w:tc>
        <w:tc>
          <w:tcPr>
            <w:tcW w:w="5399" w:type="dxa"/>
            <w:vAlign w:val="center"/>
          </w:tcPr>
          <w:p>
            <w:pPr>
              <w:jc w:val="left"/>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投标报价是履行合同的最终报价，无特别注明，均为人民币报价。应包括本招标项目所包含的货物、软件、标准附件、备品备件、专用工具、图纸资料、技术服务，包装、仓储、运输、装卸、货到就位以及安装、调试、培训、保修等一切税金和费用。</w:t>
            </w:r>
            <w:r>
              <w:rPr>
                <w:rFonts w:hint="eastAsia" w:ascii="仿宋" w:hAnsi="仿宋" w:eastAsia="仿宋" w:cs="仿宋"/>
                <w:b/>
                <w:bCs/>
                <w:color w:val="auto"/>
                <w:spacing w:val="14"/>
                <w:sz w:val="21"/>
                <w:szCs w:val="21"/>
                <w:highlight w:val="none"/>
                <w:lang w:eastAsia="zh-CN"/>
              </w:rPr>
              <w:t>（</w:t>
            </w:r>
            <w:r>
              <w:rPr>
                <w:rFonts w:hint="eastAsia" w:ascii="仿宋" w:hAnsi="仿宋" w:eastAsia="仿宋" w:cs="仿宋"/>
                <w:b/>
                <w:bCs/>
                <w:color w:val="auto"/>
                <w:spacing w:val="14"/>
                <w:sz w:val="21"/>
                <w:szCs w:val="21"/>
                <w:highlight w:val="none"/>
                <w:lang w:val="en-US" w:eastAsia="zh-CN"/>
              </w:rPr>
              <w:t>其中：车辆类需包含上牌照费、车船税、交强险）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3.3.1</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投标有效期</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提交投标文件截止时间后90天，有效期短于该期限的投标将被拒绝。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3.4</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投标保证金</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本项目不收取投标保证金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3.4.4</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其他可以不予退还投标保证金的情形</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3.5.3</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资格审查资料的特殊要求</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3.6.1</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是否允许提交备选投标方案</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4.1.1</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投标文件的密封和标记</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投标人应当按照招标文件和电子招标投标交易平台的要求在规定时间内上传加密投标文件。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4.2.1</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投标截止时间</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见第一章招标公告。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4.2.2</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提交投标文件地点</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见第一章招标公告。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4.2.3</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投标文件份数及其他要求</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加密的电子投标文件一份（*.lytf 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4.2.5</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投标文件上传问题联系方式</w:t>
            </w:r>
          </w:p>
        </w:tc>
        <w:tc>
          <w:tcPr>
            <w:tcW w:w="5399" w:type="dxa"/>
            <w:vAlign w:val="center"/>
          </w:tcPr>
          <w:p>
            <w:pPr>
              <w:pStyle w:val="154"/>
              <w:ind w:firstLine="0"/>
              <w:jc w:val="left"/>
              <w:rPr>
                <w:rFonts w:hint="eastAsia" w:ascii="仿宋" w:hAnsi="仿宋" w:eastAsia="仿宋" w:cs="仿宋"/>
                <w:color w:val="auto"/>
                <w:sz w:val="24"/>
                <w:szCs w:val="24"/>
                <w:highlight w:val="none"/>
              </w:rPr>
            </w:pPr>
            <w:r>
              <w:rPr>
                <w:rFonts w:hint="eastAsia" w:ascii="仿宋" w:hAnsi="仿宋" w:eastAsia="仿宋" w:cs="仿宋"/>
                <w:color w:val="auto"/>
                <w:spacing w:val="14"/>
                <w:szCs w:val="21"/>
                <w:highlight w:val="none"/>
              </w:rPr>
              <w:t>投标人因洛阳市电子招投标交易平台问题无法上传电子投标文件时，请在工作时间与交易中心联系。联系方式：400-998-0000；0379-69921055。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4.2.6</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投标文件是否退还</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不退还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5.1</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开标时间和地点</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开标时间：同投标截止时间</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开标地点：同提交投标文件地点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5.3</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开标疑义</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在洛阳市公共资源电子招投标系统通过语音或文字提出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6.1.1</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评标委员会的组建</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评标委员会构成：</w:t>
            </w:r>
            <w:r>
              <w:rPr>
                <w:rFonts w:hint="eastAsia" w:ascii="仿宋" w:hAnsi="仿宋" w:eastAsia="仿宋" w:cs="仿宋"/>
                <w:color w:val="auto"/>
                <w:spacing w:val="14"/>
                <w:szCs w:val="21"/>
                <w:highlight w:val="none"/>
                <w:lang w:val="en-US" w:eastAsia="zh-CN"/>
              </w:rPr>
              <w:t>7</w:t>
            </w:r>
            <w:r>
              <w:rPr>
                <w:rFonts w:hint="eastAsia" w:ascii="仿宋" w:hAnsi="仿宋" w:eastAsia="仿宋" w:cs="仿宋"/>
                <w:color w:val="auto"/>
                <w:spacing w:val="14"/>
                <w:szCs w:val="21"/>
                <w:highlight w:val="none"/>
              </w:rPr>
              <w:t>人</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其中</w:t>
            </w:r>
            <w:r>
              <w:rPr>
                <w:rFonts w:hint="eastAsia" w:ascii="仿宋" w:hAnsi="仿宋" w:eastAsia="仿宋" w:cs="仿宋"/>
                <w:color w:val="auto"/>
                <w:spacing w:val="14"/>
                <w:szCs w:val="21"/>
                <w:highlight w:val="none"/>
                <w:lang w:val="en-US" w:eastAsia="zh-CN"/>
              </w:rPr>
              <w:t>招标</w:t>
            </w:r>
            <w:r>
              <w:rPr>
                <w:rFonts w:hint="eastAsia" w:ascii="仿宋" w:hAnsi="仿宋" w:eastAsia="仿宋" w:cs="仿宋"/>
                <w:color w:val="auto"/>
                <w:spacing w:val="14"/>
                <w:szCs w:val="21"/>
                <w:highlight w:val="none"/>
              </w:rPr>
              <w:t xml:space="preserve">人代表 </w:t>
            </w:r>
            <w:r>
              <w:rPr>
                <w:rFonts w:hint="eastAsia" w:ascii="仿宋" w:hAnsi="仿宋" w:eastAsia="仿宋" w:cs="仿宋"/>
                <w:color w:val="auto"/>
                <w:spacing w:val="14"/>
                <w:szCs w:val="21"/>
                <w:highlight w:val="none"/>
                <w:lang w:val="en-US" w:eastAsia="zh-CN"/>
              </w:rPr>
              <w:t>2</w:t>
            </w:r>
            <w:r>
              <w:rPr>
                <w:rFonts w:hint="eastAsia" w:ascii="仿宋" w:hAnsi="仿宋" w:eastAsia="仿宋" w:cs="仿宋"/>
                <w:color w:val="auto"/>
                <w:spacing w:val="14"/>
                <w:szCs w:val="21"/>
                <w:highlight w:val="none"/>
              </w:rPr>
              <w:t>人，专家</w:t>
            </w:r>
            <w:r>
              <w:rPr>
                <w:rFonts w:hint="eastAsia" w:ascii="仿宋" w:hAnsi="仿宋" w:eastAsia="仿宋" w:cs="仿宋"/>
                <w:color w:val="auto"/>
                <w:spacing w:val="14"/>
                <w:szCs w:val="21"/>
                <w:highlight w:val="none"/>
                <w:lang w:val="en-US" w:eastAsia="zh-CN"/>
              </w:rPr>
              <w:t>5</w:t>
            </w:r>
            <w:r>
              <w:rPr>
                <w:rFonts w:hint="eastAsia" w:ascii="仿宋" w:hAnsi="仿宋" w:eastAsia="仿宋" w:cs="仿宋"/>
                <w:color w:val="auto"/>
                <w:spacing w:val="14"/>
                <w:szCs w:val="21"/>
                <w:highlight w:val="none"/>
              </w:rPr>
              <w:t>人。</w:t>
            </w:r>
          </w:p>
          <w:p>
            <w:pPr>
              <w:pStyle w:val="154"/>
              <w:ind w:firstLine="0"/>
              <w:jc w:val="left"/>
              <w:rPr>
                <w:rFonts w:hint="eastAsia" w:ascii="仿宋" w:hAnsi="仿宋" w:eastAsia="仿宋" w:cs="仿宋"/>
                <w:color w:val="auto"/>
                <w:highlight w:val="none"/>
              </w:rPr>
            </w:pPr>
            <w:r>
              <w:rPr>
                <w:rFonts w:hint="eastAsia" w:ascii="仿宋" w:hAnsi="仿宋" w:eastAsia="仿宋" w:cs="仿宋"/>
                <w:color w:val="auto"/>
                <w:spacing w:val="14"/>
                <w:szCs w:val="21"/>
                <w:highlight w:val="none"/>
              </w:rPr>
              <w:t>专家确定方式：经济、技术专家从政府采购库中随机抽取。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6.3.2</w:t>
            </w:r>
          </w:p>
        </w:tc>
        <w:tc>
          <w:tcPr>
            <w:tcW w:w="2835" w:type="dxa"/>
            <w:vAlign w:val="center"/>
          </w:tcPr>
          <w:p>
            <w:pPr>
              <w:pStyle w:val="228"/>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评标委员会</w:t>
            </w:r>
            <w:r>
              <w:rPr>
                <w:rFonts w:hint="eastAsia" w:ascii="仿宋" w:hAnsi="仿宋" w:eastAsia="仿宋" w:cs="仿宋"/>
                <w:color w:val="auto"/>
                <w:highlight w:val="none"/>
              </w:rPr>
              <w:t>推荐</w:t>
            </w:r>
            <w:r>
              <w:rPr>
                <w:rFonts w:hint="eastAsia" w:ascii="仿宋" w:hAnsi="仿宋" w:eastAsia="仿宋" w:cs="仿宋"/>
                <w:color w:val="auto"/>
                <w:spacing w:val="14"/>
                <w:szCs w:val="21"/>
                <w:highlight w:val="none"/>
              </w:rPr>
              <w:t>中标</w:t>
            </w:r>
            <w:r>
              <w:rPr>
                <w:rFonts w:hint="eastAsia" w:ascii="仿宋" w:hAnsi="仿宋" w:eastAsia="仿宋" w:cs="仿宋"/>
                <w:color w:val="auto"/>
                <w:highlight w:val="none"/>
              </w:rPr>
              <w:t>候选人</w:t>
            </w:r>
            <w:r>
              <w:rPr>
                <w:rFonts w:hint="eastAsia" w:ascii="仿宋" w:hAnsi="仿宋" w:eastAsia="仿宋" w:cs="仿宋"/>
                <w:color w:val="auto"/>
                <w:spacing w:val="14"/>
                <w:szCs w:val="21"/>
                <w:highlight w:val="none"/>
              </w:rPr>
              <w:t>的人数</w:t>
            </w:r>
          </w:p>
        </w:tc>
        <w:tc>
          <w:tcPr>
            <w:tcW w:w="5399" w:type="dxa"/>
            <w:vAlign w:val="center"/>
          </w:tcPr>
          <w:p>
            <w:pPr>
              <w:pStyle w:val="154"/>
              <w:ind w:firstLine="0"/>
              <w:jc w:val="left"/>
              <w:rPr>
                <w:rFonts w:hint="default" w:ascii="仿宋" w:hAnsi="仿宋" w:eastAsia="仿宋" w:cs="仿宋"/>
                <w:color w:val="auto"/>
                <w:spacing w:val="14"/>
                <w:szCs w:val="21"/>
                <w:highlight w:val="none"/>
                <w:lang w:val="en-US" w:eastAsia="zh-CN"/>
              </w:rPr>
            </w:pPr>
            <w:r>
              <w:rPr>
                <w:rFonts w:hint="eastAsia" w:ascii="仿宋" w:hAnsi="仿宋" w:eastAsia="仿宋" w:cs="仿宋"/>
                <w:color w:val="auto"/>
                <w:spacing w:val="14"/>
                <w:szCs w:val="21"/>
                <w:highlight w:val="none"/>
                <w:u w:val="single" w:color="000000"/>
              </w:rPr>
              <w:t>3</w:t>
            </w:r>
            <w:r>
              <w:rPr>
                <w:rFonts w:hint="eastAsia" w:ascii="仿宋" w:hAnsi="仿宋" w:eastAsia="仿宋" w:cs="仿宋"/>
                <w:color w:val="auto"/>
                <w:spacing w:val="14"/>
                <w:szCs w:val="21"/>
                <w:highlight w:val="none"/>
              </w:rPr>
              <w:t>名</w:t>
            </w:r>
            <w:r>
              <w:rPr>
                <w:rFonts w:hint="eastAsia" w:ascii="仿宋" w:hAnsi="仿宋" w:eastAsia="仿宋" w:cs="仿宋"/>
                <w:color w:val="auto"/>
                <w:spacing w:val="14"/>
                <w:szCs w:val="21"/>
                <w:highlight w:val="none"/>
                <w:lang w:val="en-US" w:eastAsia="zh-CN"/>
              </w:rPr>
              <w:t>/标段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7.1.1</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是否授权评标委员会确定中标人</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7.1.2</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定标原则</w:t>
            </w:r>
          </w:p>
        </w:tc>
        <w:tc>
          <w:tcPr>
            <w:tcW w:w="5399" w:type="dxa"/>
            <w:vAlign w:val="center"/>
          </w:tcPr>
          <w:p>
            <w:pPr>
              <w:pStyle w:val="154"/>
              <w:ind w:firstLine="0"/>
              <w:jc w:val="left"/>
              <w:rPr>
                <w:rFonts w:hint="eastAsia" w:ascii="仿宋" w:hAnsi="仿宋" w:eastAsia="仿宋" w:cs="仿宋"/>
                <w:color w:val="auto"/>
                <w:highlight w:val="none"/>
              </w:rPr>
            </w:pPr>
            <w:r>
              <w:rPr>
                <w:rFonts w:hint="eastAsia" w:ascii="仿宋" w:hAnsi="仿宋" w:eastAsia="仿宋" w:cs="仿宋"/>
                <w:color w:val="auto"/>
                <w:spacing w:val="14"/>
                <w:szCs w:val="21"/>
                <w:highlight w:val="none"/>
              </w:rPr>
              <w:t>评标委员会根据评标排列顺序推荐</w:t>
            </w:r>
            <w:r>
              <w:rPr>
                <w:rFonts w:hint="eastAsia" w:ascii="仿宋" w:hAnsi="仿宋" w:eastAsia="仿宋" w:cs="仿宋"/>
                <w:color w:val="auto"/>
                <w:spacing w:val="14"/>
                <w:szCs w:val="21"/>
                <w:highlight w:val="none"/>
                <w:lang w:val="en-US" w:eastAsia="zh-CN"/>
              </w:rPr>
              <w:t>每标段</w:t>
            </w:r>
            <w:r>
              <w:rPr>
                <w:rFonts w:hint="eastAsia" w:ascii="仿宋" w:hAnsi="仿宋" w:eastAsia="仿宋" w:cs="仿宋"/>
                <w:color w:val="auto"/>
                <w:spacing w:val="14"/>
                <w:szCs w:val="21"/>
                <w:highlight w:val="none"/>
              </w:rPr>
              <w:t>第一名、第二名、第三名为中标候选人，并确定第一名为中标人。评标结果按评审后得分由高到低的顺序排列。得分相同的，按投标报价由低到高顺序排列。得分且投标报价相同的并列</w:t>
            </w:r>
            <w:r>
              <w:rPr>
                <w:rFonts w:hint="eastAsia" w:ascii="仿宋" w:hAnsi="仿宋" w:eastAsia="仿宋" w:cs="仿宋"/>
                <w:color w:val="auto"/>
                <w:spacing w:val="14"/>
                <w:szCs w:val="21"/>
                <w:highlight w:val="none"/>
                <w:lang w:eastAsia="zh-CN"/>
              </w:rPr>
              <w:t>，</w:t>
            </w:r>
            <w:r>
              <w:rPr>
                <w:rFonts w:hint="eastAsia" w:ascii="仿宋" w:hAnsi="仿宋" w:eastAsia="仿宋" w:cs="仿宋"/>
                <w:color w:val="auto"/>
                <w:spacing w:val="14"/>
                <w:szCs w:val="21"/>
                <w:highlight w:val="none"/>
              </w:rPr>
              <w:t>由评标委员会投票确定中标人。</w:t>
            </w:r>
          </w:p>
          <w:p>
            <w:pPr>
              <w:pStyle w:val="56"/>
              <w:spacing w:beforeAutospacing="0" w:afterAutospacing="0"/>
              <w:jc w:val="both"/>
              <w:rPr>
                <w:rFonts w:hint="eastAsia" w:ascii="仿宋" w:hAnsi="仿宋" w:eastAsia="仿宋" w:cs="仿宋"/>
                <w:color w:val="auto"/>
                <w:highlight w:val="none"/>
              </w:rPr>
            </w:pPr>
            <w:r>
              <w:rPr>
                <w:rFonts w:hint="eastAsia" w:ascii="仿宋" w:hAnsi="仿宋" w:eastAsia="仿宋" w:cs="仿宋"/>
                <w:color w:val="auto"/>
                <w:spacing w:val="14"/>
                <w:sz w:val="21"/>
                <w:szCs w:val="21"/>
                <w:highlight w:val="none"/>
              </w:rPr>
              <w:t>注：投标人应保证其资料的真实性、有效性，一经发现有虚假资料，招标人有权取消其中标资格。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7.2</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中标结果公布媒介及期限</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公布媒介：《河南省（洛阳市）政府采购网》、《洛阳市公共资源交易中心网》、《中国招标投标公共服务平台》、《河南省电子招标投标公共服务平台》上公布。</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公告期限：1个工作日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7.4.1</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履约保证金</w:t>
            </w:r>
          </w:p>
        </w:tc>
        <w:tc>
          <w:tcPr>
            <w:tcW w:w="5399"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免收履约保证金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80" w:type="dxa"/>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8.5.2</w:t>
            </w:r>
          </w:p>
        </w:tc>
        <w:tc>
          <w:tcPr>
            <w:tcW w:w="2835" w:type="dxa"/>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质疑函的递交方式</w:t>
            </w:r>
          </w:p>
        </w:tc>
        <w:tc>
          <w:tcPr>
            <w:tcW w:w="5399" w:type="dxa"/>
            <w:vAlign w:val="center"/>
          </w:tcPr>
          <w:p>
            <w:pPr>
              <w:jc w:val="left"/>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质疑函应当面递交；因情况特殊而邮寄的，交邮前应通知采购人、采购代理机构。接受质疑函的采购人、采购代理机构的联系部门、联系电话和通讯地址详见本项目招标公告和投标人须知前附表。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9</w:t>
            </w:r>
          </w:p>
        </w:tc>
        <w:tc>
          <w:tcPr>
            <w:tcW w:w="2835" w:type="dxa"/>
            <w:tcBorders>
              <w:top w:val="single" w:color="auto" w:sz="4" w:space="0"/>
              <w:left w:val="single" w:color="auto" w:sz="4" w:space="0"/>
              <w:bottom w:val="single" w:color="auto" w:sz="4" w:space="0"/>
              <w:right w:val="single" w:color="auto" w:sz="4" w:space="0"/>
            </w:tcBorders>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样品</w:t>
            </w:r>
          </w:p>
        </w:tc>
        <w:tc>
          <w:tcPr>
            <w:tcW w:w="5399" w:type="dxa"/>
            <w:tcBorders>
              <w:top w:val="single" w:color="auto" w:sz="4" w:space="0"/>
              <w:left w:val="single" w:color="auto" w:sz="4" w:space="0"/>
              <w:bottom w:val="single" w:color="auto" w:sz="4" w:space="0"/>
              <w:right w:val="single" w:color="auto" w:sz="4" w:space="0"/>
            </w:tcBorders>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0" w:type="dxa"/>
            <w:tcBorders>
              <w:top w:val="single" w:color="auto" w:sz="4" w:space="0"/>
              <w:left w:val="single" w:color="auto" w:sz="4" w:space="0"/>
              <w:bottom w:val="single" w:color="auto" w:sz="4" w:space="0"/>
              <w:right w:val="single" w:color="auto" w:sz="4" w:space="0"/>
            </w:tcBorders>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10</w:t>
            </w:r>
          </w:p>
        </w:tc>
        <w:tc>
          <w:tcPr>
            <w:tcW w:w="2835" w:type="dxa"/>
            <w:tcBorders>
              <w:top w:val="single" w:color="auto" w:sz="4" w:space="0"/>
              <w:left w:val="single" w:color="auto" w:sz="4" w:space="0"/>
              <w:bottom w:val="single" w:color="auto" w:sz="4" w:space="0"/>
              <w:right w:val="single" w:color="auto" w:sz="4" w:space="0"/>
            </w:tcBorders>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相同品牌产品投标的处理</w:t>
            </w:r>
          </w:p>
        </w:tc>
        <w:tc>
          <w:tcPr>
            <w:tcW w:w="5399" w:type="dxa"/>
            <w:tcBorders>
              <w:top w:val="single" w:color="auto" w:sz="4" w:space="0"/>
              <w:left w:val="single" w:color="auto" w:sz="4" w:space="0"/>
              <w:bottom w:val="single" w:color="auto" w:sz="4" w:space="0"/>
              <w:right w:val="single" w:color="auto" w:sz="4" w:space="0"/>
            </w:tcBorders>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提供相同品牌产品且通过资格审查、符合性审查的不同投标人参加同一标段投标的，按一家投标人计算，评审后得分最高的同品牌投标人获得中标人推荐资格；评审得分相同的，投标报价最低的投标人获得中标人推荐资格，投标报价也相同的，由评标委员会投票决定。非单一产品采购项目中，多家投标人提供的核心产品品牌相同的，视为提供相同品牌产品。</w:t>
            </w:r>
          </w:p>
          <w:p>
            <w:pPr>
              <w:pStyle w:val="154"/>
              <w:ind w:firstLine="0"/>
              <w:jc w:val="left"/>
              <w:rPr>
                <w:rFonts w:hint="eastAsia" w:ascii="仿宋" w:hAnsi="仿宋" w:eastAsia="仿宋" w:cs="仿宋"/>
                <w:b/>
                <w:color w:val="auto"/>
                <w:spacing w:val="14"/>
                <w:szCs w:val="21"/>
                <w:highlight w:val="none"/>
              </w:rPr>
            </w:pPr>
            <w:r>
              <w:rPr>
                <w:rFonts w:hint="eastAsia" w:ascii="仿宋" w:hAnsi="仿宋" w:eastAsia="仿宋" w:cs="仿宋"/>
                <w:b/>
                <w:color w:val="auto"/>
                <w:spacing w:val="14"/>
                <w:szCs w:val="21"/>
                <w:highlight w:val="none"/>
              </w:rPr>
              <w:t>本次招标项目的核心产品为：</w:t>
            </w:r>
          </w:p>
          <w:p>
            <w:pPr>
              <w:rPr>
                <w:rFonts w:hint="default" w:ascii="仿宋" w:hAnsi="仿宋" w:eastAsia="仿宋" w:cs="仿宋"/>
                <w:color w:val="auto"/>
                <w:spacing w:val="14"/>
                <w:sz w:val="21"/>
                <w:szCs w:val="21"/>
                <w:highlight w:val="none"/>
                <w:lang w:val="en-US" w:eastAsia="zh-CN" w:bidi="ar-SA"/>
              </w:rPr>
            </w:pPr>
            <w:r>
              <w:rPr>
                <w:rFonts w:hint="default" w:ascii="仿宋" w:hAnsi="仿宋" w:eastAsia="仿宋" w:cs="仿宋"/>
                <w:color w:val="auto"/>
                <w:spacing w:val="14"/>
                <w:sz w:val="21"/>
                <w:szCs w:val="21"/>
                <w:highlight w:val="none"/>
                <w:lang w:val="en-US" w:eastAsia="zh-CN" w:bidi="ar-SA"/>
              </w:rPr>
              <w:t>一标段：应急前突车</w:t>
            </w:r>
          </w:p>
          <w:p>
            <w:pPr>
              <w:rPr>
                <w:rFonts w:hint="default" w:ascii="仿宋" w:hAnsi="仿宋" w:eastAsia="仿宋" w:cs="仿宋"/>
                <w:color w:val="auto"/>
                <w:spacing w:val="14"/>
                <w:sz w:val="21"/>
                <w:szCs w:val="21"/>
                <w:highlight w:val="none"/>
                <w:lang w:val="en-US" w:eastAsia="zh-CN" w:bidi="ar-SA"/>
              </w:rPr>
            </w:pPr>
            <w:r>
              <w:rPr>
                <w:rFonts w:hint="default" w:ascii="仿宋" w:hAnsi="仿宋" w:eastAsia="仿宋" w:cs="仿宋"/>
                <w:color w:val="auto"/>
                <w:spacing w:val="14"/>
                <w:sz w:val="21"/>
                <w:szCs w:val="21"/>
                <w:highlight w:val="none"/>
                <w:lang w:val="en-US" w:eastAsia="zh-CN" w:bidi="ar-SA"/>
              </w:rPr>
              <w:t>二标段：后勤保障车（宿营车）</w:t>
            </w:r>
          </w:p>
          <w:p>
            <w:pPr>
              <w:rPr>
                <w:rFonts w:hint="default" w:ascii="仿宋" w:hAnsi="仿宋" w:eastAsia="仿宋" w:cs="仿宋"/>
                <w:color w:val="auto"/>
                <w:spacing w:val="14"/>
                <w:sz w:val="21"/>
                <w:szCs w:val="21"/>
                <w:highlight w:val="none"/>
                <w:lang w:val="en-US" w:eastAsia="zh-CN" w:bidi="ar-SA"/>
              </w:rPr>
            </w:pPr>
            <w:r>
              <w:rPr>
                <w:rFonts w:hint="default" w:ascii="仿宋" w:hAnsi="仿宋" w:eastAsia="仿宋" w:cs="仿宋"/>
                <w:color w:val="auto"/>
                <w:spacing w:val="14"/>
                <w:sz w:val="21"/>
                <w:szCs w:val="21"/>
                <w:highlight w:val="none"/>
                <w:lang w:val="en-US" w:eastAsia="zh-CN" w:bidi="ar-SA"/>
              </w:rPr>
              <w:t>三标段：救援无人机（灭火无人机）</w:t>
            </w:r>
          </w:p>
          <w:p>
            <w:pPr>
              <w:rPr>
                <w:rFonts w:hint="default" w:ascii="仿宋" w:hAnsi="仿宋" w:eastAsia="仿宋" w:cs="仿宋"/>
                <w:color w:val="auto"/>
                <w:spacing w:val="14"/>
                <w:sz w:val="21"/>
                <w:szCs w:val="21"/>
                <w:highlight w:val="none"/>
                <w:lang w:val="en-US" w:eastAsia="zh-CN" w:bidi="ar-SA"/>
              </w:rPr>
            </w:pPr>
            <w:r>
              <w:rPr>
                <w:rFonts w:hint="default" w:ascii="仿宋" w:hAnsi="仿宋" w:eastAsia="仿宋" w:cs="仿宋"/>
                <w:color w:val="auto"/>
                <w:spacing w:val="14"/>
                <w:sz w:val="21"/>
                <w:szCs w:val="21"/>
                <w:highlight w:val="none"/>
                <w:lang w:val="en-US" w:eastAsia="zh-CN" w:bidi="ar-SA"/>
              </w:rPr>
              <w:t>四标段：后勤保障车辆（救援运兵车）</w:t>
            </w:r>
          </w:p>
          <w:p>
            <w:pPr>
              <w:rPr>
                <w:rFonts w:hint="default" w:ascii="仿宋" w:hAnsi="仿宋" w:eastAsia="仿宋" w:cs="仿宋"/>
                <w:color w:val="auto"/>
                <w:spacing w:val="14"/>
                <w:sz w:val="21"/>
                <w:szCs w:val="21"/>
                <w:highlight w:val="none"/>
                <w:lang w:val="en-US" w:eastAsia="zh-CN" w:bidi="ar-SA"/>
              </w:rPr>
            </w:pPr>
            <w:r>
              <w:rPr>
                <w:rFonts w:hint="default" w:ascii="仿宋" w:hAnsi="仿宋" w:eastAsia="仿宋" w:cs="仿宋"/>
                <w:color w:val="auto"/>
                <w:spacing w:val="14"/>
                <w:sz w:val="21"/>
                <w:szCs w:val="21"/>
                <w:highlight w:val="none"/>
                <w:lang w:val="en-US" w:eastAsia="zh-CN" w:bidi="ar-SA"/>
              </w:rPr>
              <w:t>五标段：后勤保障车辆（装备运输车）</w:t>
            </w:r>
          </w:p>
          <w:p>
            <w:pPr>
              <w:rPr>
                <w:rFonts w:hint="default" w:ascii="仿宋" w:hAnsi="仿宋" w:eastAsia="仿宋" w:cs="仿宋"/>
                <w:color w:val="auto"/>
                <w:spacing w:val="14"/>
                <w:sz w:val="21"/>
                <w:szCs w:val="21"/>
                <w:highlight w:val="none"/>
                <w:lang w:val="en-US" w:eastAsia="zh-CN" w:bidi="ar-SA"/>
              </w:rPr>
            </w:pPr>
            <w:r>
              <w:rPr>
                <w:rFonts w:hint="default" w:ascii="仿宋" w:hAnsi="仿宋" w:eastAsia="仿宋" w:cs="仿宋"/>
                <w:color w:val="auto"/>
                <w:spacing w:val="14"/>
                <w:sz w:val="21"/>
                <w:szCs w:val="21"/>
                <w:highlight w:val="none"/>
                <w:lang w:val="en-US" w:eastAsia="zh-CN" w:bidi="ar-SA"/>
              </w:rPr>
              <w:t>六标段：后勤保障车辆（装备运输车皮卡车）</w:t>
            </w:r>
          </w:p>
          <w:p>
            <w:pPr>
              <w:rPr>
                <w:rFonts w:hint="default" w:ascii="仿宋" w:hAnsi="仿宋" w:eastAsia="仿宋" w:cs="仿宋"/>
                <w:color w:val="auto"/>
                <w:spacing w:val="14"/>
                <w:sz w:val="21"/>
                <w:szCs w:val="21"/>
                <w:highlight w:val="none"/>
                <w:lang w:val="en-US" w:eastAsia="zh-CN" w:bidi="ar-SA"/>
              </w:rPr>
            </w:pPr>
            <w:r>
              <w:rPr>
                <w:rFonts w:hint="default" w:ascii="仿宋" w:hAnsi="仿宋" w:eastAsia="仿宋" w:cs="仿宋"/>
                <w:color w:val="auto"/>
                <w:spacing w:val="14"/>
                <w:sz w:val="21"/>
                <w:szCs w:val="21"/>
                <w:highlight w:val="none"/>
                <w:lang w:val="en-US" w:eastAsia="zh-CN" w:bidi="ar-SA"/>
              </w:rPr>
              <w:t>七标段：便携式除颤仪</w:t>
            </w:r>
          </w:p>
          <w:p>
            <w:pPr>
              <w:rPr>
                <w:rFonts w:hint="default" w:ascii="仿宋" w:hAnsi="仿宋" w:eastAsia="仿宋" w:cs="仿宋"/>
                <w:color w:val="auto"/>
                <w:spacing w:val="14"/>
                <w:sz w:val="21"/>
                <w:szCs w:val="21"/>
                <w:highlight w:val="none"/>
                <w:lang w:val="en-US" w:eastAsia="zh-CN" w:bidi="ar-SA"/>
              </w:rPr>
            </w:pPr>
            <w:r>
              <w:rPr>
                <w:rFonts w:hint="default" w:ascii="仿宋" w:hAnsi="仿宋" w:eastAsia="仿宋" w:cs="仿宋"/>
                <w:color w:val="auto"/>
                <w:spacing w:val="14"/>
                <w:sz w:val="21"/>
                <w:szCs w:val="21"/>
                <w:highlight w:val="none"/>
                <w:lang w:val="en-US" w:eastAsia="zh-CN" w:bidi="ar-SA"/>
              </w:rPr>
              <w:t>八标段：便携式气象仪</w:t>
            </w:r>
          </w:p>
          <w:p>
            <w:pPr>
              <w:rPr>
                <w:rFonts w:hint="default" w:ascii="仿宋" w:hAnsi="仿宋" w:eastAsia="仿宋" w:cs="仿宋"/>
                <w:color w:val="auto"/>
                <w:spacing w:val="14"/>
                <w:sz w:val="21"/>
                <w:szCs w:val="21"/>
                <w:highlight w:val="none"/>
                <w:lang w:val="en-US" w:eastAsia="zh-CN" w:bidi="ar-SA"/>
              </w:rPr>
            </w:pPr>
            <w:r>
              <w:rPr>
                <w:rFonts w:hint="default" w:ascii="仿宋" w:hAnsi="仿宋" w:eastAsia="仿宋" w:cs="仿宋"/>
                <w:color w:val="auto"/>
                <w:spacing w:val="14"/>
                <w:sz w:val="21"/>
                <w:szCs w:val="21"/>
                <w:highlight w:val="none"/>
                <w:lang w:val="en-US" w:eastAsia="zh-CN" w:bidi="ar-SA"/>
              </w:rPr>
              <w:t>九标段：应急照明系统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80" w:type="dxa"/>
            <w:vMerge w:val="restart"/>
            <w:tcBorders>
              <w:top w:val="single" w:color="auto" w:sz="4" w:space="0"/>
              <w:left w:val="single" w:color="auto" w:sz="4" w:space="0"/>
              <w:right w:val="single" w:color="auto" w:sz="4" w:space="0"/>
            </w:tcBorders>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11</w:t>
            </w:r>
          </w:p>
        </w:tc>
        <w:tc>
          <w:tcPr>
            <w:tcW w:w="2835" w:type="dxa"/>
            <w:vMerge w:val="restart"/>
            <w:tcBorders>
              <w:top w:val="single" w:color="auto" w:sz="4" w:space="0"/>
              <w:left w:val="single" w:color="auto" w:sz="4" w:space="0"/>
              <w:right w:val="single" w:color="auto" w:sz="4" w:space="0"/>
            </w:tcBorders>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需要补充的其他内容</w:t>
            </w:r>
          </w:p>
        </w:tc>
        <w:tc>
          <w:tcPr>
            <w:tcW w:w="5399" w:type="dxa"/>
            <w:tcBorders>
              <w:top w:val="single" w:color="auto" w:sz="4" w:space="0"/>
              <w:left w:val="single" w:color="auto" w:sz="4" w:space="0"/>
              <w:bottom w:val="single" w:color="auto" w:sz="4" w:space="0"/>
              <w:right w:val="single" w:color="auto" w:sz="4" w:space="0"/>
            </w:tcBorders>
            <w:vAlign w:val="center"/>
          </w:tcPr>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1.监管部门：洛阳市财政局</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监管部门联系人：洛阳市政府采购监督管理科</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监管部门联系方式：0379-63221264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80" w:type="dxa"/>
            <w:vMerge w:val="continue"/>
            <w:tcBorders>
              <w:left w:val="single" w:color="auto" w:sz="4" w:space="0"/>
              <w:right w:val="single" w:color="auto" w:sz="4" w:space="0"/>
            </w:tcBorders>
            <w:vAlign w:val="center"/>
          </w:tcPr>
          <w:p>
            <w:pPr>
              <w:pStyle w:val="154"/>
              <w:ind w:firstLine="0"/>
              <w:jc w:val="center"/>
              <w:rPr>
                <w:rFonts w:hint="eastAsia" w:ascii="仿宋" w:hAnsi="仿宋" w:eastAsia="仿宋" w:cs="仿宋"/>
                <w:color w:val="auto"/>
                <w:spacing w:val="14"/>
                <w:szCs w:val="21"/>
                <w:highlight w:val="none"/>
              </w:rPr>
            </w:pPr>
          </w:p>
        </w:tc>
        <w:tc>
          <w:tcPr>
            <w:tcW w:w="2835" w:type="dxa"/>
            <w:vMerge w:val="continue"/>
            <w:tcBorders>
              <w:left w:val="single" w:color="auto" w:sz="4" w:space="0"/>
              <w:right w:val="single" w:color="auto" w:sz="4" w:space="0"/>
            </w:tcBorders>
            <w:vAlign w:val="center"/>
          </w:tcPr>
          <w:p>
            <w:pPr>
              <w:pStyle w:val="154"/>
              <w:ind w:firstLine="0"/>
              <w:jc w:val="left"/>
              <w:rPr>
                <w:rFonts w:hint="eastAsia" w:ascii="仿宋" w:hAnsi="仿宋" w:eastAsia="仿宋" w:cs="仿宋"/>
                <w:color w:val="auto"/>
                <w:spacing w:val="14"/>
                <w:szCs w:val="21"/>
                <w:highlight w:val="none"/>
              </w:rPr>
            </w:pPr>
          </w:p>
        </w:tc>
        <w:tc>
          <w:tcPr>
            <w:tcW w:w="5399" w:type="dxa"/>
            <w:tcBorders>
              <w:top w:val="single" w:color="auto" w:sz="4" w:space="0"/>
              <w:left w:val="single" w:color="auto" w:sz="4" w:space="0"/>
              <w:bottom w:val="single" w:color="auto" w:sz="4" w:space="0"/>
              <w:right w:val="single" w:color="auto" w:sz="4" w:space="0"/>
            </w:tcBorders>
            <w:vAlign w:val="center"/>
          </w:tcPr>
          <w:p>
            <w:pPr>
              <w:pStyle w:val="154"/>
              <w:ind w:firstLine="0"/>
              <w:jc w:val="left"/>
              <w:rPr>
                <w:rFonts w:hint="default" w:ascii="仿宋" w:hAnsi="仿宋" w:eastAsia="仿宋" w:cs="仿宋"/>
                <w:color w:val="auto"/>
                <w:spacing w:val="14"/>
                <w:szCs w:val="21"/>
                <w:highlight w:val="none"/>
                <w:lang w:val="en-US" w:eastAsia="zh-CN"/>
              </w:rPr>
            </w:pPr>
            <w:r>
              <w:rPr>
                <w:rFonts w:hint="eastAsia" w:ascii="仿宋" w:hAnsi="仿宋" w:eastAsia="仿宋" w:cs="仿宋"/>
                <w:snapToGrid w:val="0"/>
                <w:color w:val="auto"/>
                <w:szCs w:val="21"/>
                <w:highlight w:val="none"/>
              </w:rPr>
              <w:t>2.本项目代理服务费由中标人支付，参照《洛阳市市级政府采购代理服务费支付标准》收取。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80" w:type="dxa"/>
            <w:vMerge w:val="continue"/>
            <w:tcBorders>
              <w:left w:val="single" w:color="auto" w:sz="4" w:space="0"/>
              <w:right w:val="single" w:color="auto" w:sz="4" w:space="0"/>
            </w:tcBorders>
            <w:vAlign w:val="center"/>
          </w:tcPr>
          <w:p>
            <w:pPr>
              <w:pStyle w:val="154"/>
              <w:ind w:firstLine="0"/>
              <w:jc w:val="center"/>
              <w:rPr>
                <w:rFonts w:hint="eastAsia" w:ascii="仿宋" w:hAnsi="仿宋" w:eastAsia="仿宋" w:cs="仿宋"/>
                <w:color w:val="auto"/>
                <w:spacing w:val="14"/>
                <w:szCs w:val="21"/>
                <w:highlight w:val="none"/>
              </w:rPr>
            </w:pPr>
          </w:p>
        </w:tc>
        <w:tc>
          <w:tcPr>
            <w:tcW w:w="2835" w:type="dxa"/>
            <w:vMerge w:val="continue"/>
            <w:tcBorders>
              <w:left w:val="single" w:color="auto" w:sz="4" w:space="0"/>
              <w:right w:val="single" w:color="auto" w:sz="4" w:space="0"/>
            </w:tcBorders>
            <w:vAlign w:val="center"/>
          </w:tcPr>
          <w:p>
            <w:pPr>
              <w:pStyle w:val="154"/>
              <w:ind w:firstLine="0"/>
              <w:jc w:val="left"/>
              <w:rPr>
                <w:rFonts w:hint="eastAsia" w:ascii="仿宋" w:hAnsi="仿宋" w:eastAsia="仿宋" w:cs="仿宋"/>
                <w:color w:val="auto"/>
                <w:spacing w:val="14"/>
                <w:szCs w:val="21"/>
                <w:highlight w:val="none"/>
              </w:rPr>
            </w:pPr>
          </w:p>
        </w:tc>
        <w:tc>
          <w:tcPr>
            <w:tcW w:w="5399" w:type="dxa"/>
            <w:tcBorders>
              <w:top w:val="single" w:color="auto" w:sz="4" w:space="0"/>
              <w:left w:val="single" w:color="auto" w:sz="4" w:space="0"/>
              <w:bottom w:val="single" w:color="auto" w:sz="4" w:space="0"/>
              <w:right w:val="single" w:color="auto" w:sz="4" w:space="0"/>
            </w:tcBorders>
            <w:vAlign w:val="center"/>
          </w:tcPr>
          <w:p>
            <w:pPr>
              <w:pStyle w:val="154"/>
              <w:ind w:firstLine="0"/>
              <w:jc w:val="left"/>
              <w:rPr>
                <w:rFonts w:hint="eastAsia" w:ascii="仿宋" w:hAnsi="仿宋" w:eastAsia="仿宋" w:cs="仿宋"/>
                <w:snapToGrid w:val="0"/>
                <w:color w:val="auto"/>
                <w:szCs w:val="21"/>
                <w:highlight w:val="none"/>
              </w:rPr>
            </w:pPr>
            <w:r>
              <w:rPr>
                <w:rFonts w:hint="eastAsia" w:ascii="仿宋" w:hAnsi="仿宋" w:eastAsia="仿宋" w:cs="仿宋"/>
                <w:snapToGrid w:val="0"/>
                <w:color w:val="auto"/>
                <w:szCs w:val="21"/>
                <w:highlight w:val="none"/>
              </w:rPr>
              <w:t>3.中标单位须在领取中标通知书时提供三套纸质版投标文件（一正两副）并加盖单位公章送至代理机构。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80" w:type="dxa"/>
            <w:tcBorders>
              <w:left w:val="single" w:color="auto" w:sz="4" w:space="0"/>
              <w:bottom w:val="single" w:color="auto" w:sz="4" w:space="0"/>
              <w:right w:val="single" w:color="auto" w:sz="4" w:space="0"/>
            </w:tcBorders>
            <w:vAlign w:val="center"/>
          </w:tcPr>
          <w:p>
            <w:pPr>
              <w:pStyle w:val="154"/>
              <w:ind w:firstLine="0"/>
              <w:jc w:val="center"/>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12</w:t>
            </w:r>
          </w:p>
        </w:tc>
        <w:tc>
          <w:tcPr>
            <w:tcW w:w="2835" w:type="dxa"/>
            <w:tcBorders>
              <w:left w:val="single" w:color="auto" w:sz="4" w:space="0"/>
              <w:bottom w:val="single" w:color="auto" w:sz="4" w:space="0"/>
              <w:right w:val="single" w:color="auto" w:sz="4" w:space="0"/>
            </w:tcBorders>
            <w:vAlign w:val="center"/>
          </w:tcPr>
          <w:p>
            <w:pPr>
              <w:pStyle w:val="227"/>
              <w:ind w:firstLine="0"/>
              <w:jc w:val="left"/>
              <w:rPr>
                <w:rFonts w:hint="eastAsia" w:ascii="仿宋" w:hAnsi="仿宋" w:eastAsia="仿宋" w:cs="仿宋"/>
                <w:snapToGrid w:val="0"/>
                <w:color w:val="auto"/>
                <w:szCs w:val="21"/>
                <w:highlight w:val="none"/>
              </w:rPr>
            </w:pPr>
            <w:r>
              <w:rPr>
                <w:rFonts w:hint="eastAsia" w:ascii="仿宋" w:hAnsi="仿宋" w:eastAsia="仿宋" w:cs="仿宋"/>
                <w:snapToGrid w:val="0"/>
                <w:color w:val="auto"/>
                <w:szCs w:val="21"/>
                <w:highlight w:val="none"/>
              </w:rPr>
              <w:t>解释权</w:t>
            </w:r>
          </w:p>
        </w:tc>
        <w:tc>
          <w:tcPr>
            <w:tcW w:w="5399" w:type="dxa"/>
            <w:tcBorders>
              <w:top w:val="single" w:color="auto" w:sz="4" w:space="0"/>
              <w:left w:val="single" w:color="auto" w:sz="4" w:space="0"/>
              <w:bottom w:val="single" w:color="auto" w:sz="4" w:space="0"/>
              <w:right w:val="single" w:color="auto" w:sz="4" w:space="0"/>
            </w:tcBorders>
            <w:vAlign w:val="center"/>
          </w:tcPr>
          <w:p>
            <w:pPr>
              <w:pStyle w:val="154"/>
              <w:ind w:firstLine="0"/>
              <w:jc w:val="left"/>
              <w:rPr>
                <w:rFonts w:hint="eastAsia" w:ascii="仿宋" w:hAnsi="仿宋" w:eastAsia="仿宋" w:cs="仿宋"/>
                <w:snapToGrid w:val="0"/>
                <w:color w:val="auto"/>
                <w:szCs w:val="21"/>
                <w:highlight w:val="none"/>
              </w:rPr>
            </w:pPr>
            <w:r>
              <w:rPr>
                <w:rFonts w:hint="eastAsia" w:ascii="仿宋" w:hAnsi="仿宋" w:eastAsia="仿宋" w:cs="仿宋"/>
                <w:snapToGrid w:val="0"/>
                <w:color w:val="auto"/>
                <w:szCs w:val="21"/>
                <w:highlight w:val="none"/>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bl>
    <w:p>
      <w:pPr>
        <w:pStyle w:val="154"/>
        <w:ind w:firstLine="0"/>
        <w:rPr>
          <w:rFonts w:hint="eastAsia" w:ascii="仿宋" w:hAnsi="仿宋" w:eastAsia="仿宋" w:cs="仿宋"/>
          <w:bCs/>
          <w:color w:val="auto"/>
          <w:spacing w:val="14"/>
          <w:szCs w:val="21"/>
          <w:highlight w:val="none"/>
        </w:rPr>
      </w:pPr>
    </w:p>
    <w:p>
      <w:pPr>
        <w:pStyle w:val="4"/>
        <w:rPr>
          <w:rFonts w:hint="eastAsia" w:ascii="仿宋" w:hAnsi="仿宋" w:eastAsia="仿宋" w:cs="仿宋"/>
          <w:color w:val="auto"/>
          <w:highlight w:val="none"/>
        </w:rPr>
      </w:pPr>
      <w:bookmarkStart w:id="7" w:name="_Toc10084"/>
      <w:bookmarkStart w:id="8" w:name="_Toc1660783"/>
      <w:r>
        <w:rPr>
          <w:rFonts w:hint="eastAsia" w:ascii="仿宋" w:hAnsi="仿宋" w:eastAsia="仿宋" w:cs="仿宋"/>
          <w:color w:val="auto"/>
          <w:highlight w:val="none"/>
        </w:rPr>
        <w:t>1、总则</w:t>
      </w:r>
      <w:bookmarkEnd w:id="7"/>
      <w:bookmarkEnd w:id="8"/>
    </w:p>
    <w:p>
      <w:pPr>
        <w:pStyle w:val="5"/>
        <w:rPr>
          <w:rFonts w:hint="eastAsia" w:ascii="仿宋" w:hAnsi="仿宋" w:eastAsia="仿宋" w:cs="仿宋"/>
          <w:color w:val="auto"/>
          <w:spacing w:val="14"/>
          <w:highlight w:val="none"/>
        </w:rPr>
      </w:pPr>
      <w:bookmarkStart w:id="9" w:name="_Toc1660784"/>
      <w:bookmarkStart w:id="10" w:name="_Toc32493"/>
      <w:r>
        <w:rPr>
          <w:rFonts w:hint="eastAsia" w:ascii="仿宋" w:hAnsi="仿宋" w:eastAsia="仿宋" w:cs="仿宋"/>
          <w:color w:val="auto"/>
          <w:spacing w:val="14"/>
          <w:highlight w:val="none"/>
        </w:rPr>
        <w:t>1.1招标项目概况</w:t>
      </w:r>
      <w:bookmarkEnd w:id="9"/>
      <w:bookmarkEnd w:id="10"/>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1.1.1根据《中华人民共和国政府采购法》、《中华人民共和国政府采购法实施条例》等有关法律、法规和规章的规定，本招标项目已具备招标条件，现进行招标。</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1.1.2 采购人：见投标人须知前附表。</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1.1.3 采购代理机构：见投标人须知前附表。</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1.1.4 招标项目名称：见投标人须知前附表。</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1.1.5落实政府采购政策要求: 见投标人须知前附表。</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如果本项目报经政府采购管理部门批准允许采购进口产品，投标人可报进口产品，也可报国产产品。但进口货物及其有关服务必须符合原产地和/或中华人民共和国的设计和制造生产标准或行业标准。进口的货物必须具有合法的进口手续和途径，并通过中华人民共和国商检部门检验。</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（2）根据财政部工业和信息化部《政府采购促进中小企业发展管理办法》（财库﹝2020﹞46 号）及《财政部关于进一步加大政府采购支持中小企业力度的通知》（财库〔2022〕19 号）的规定，</w:t>
      </w:r>
      <w:r>
        <w:rPr>
          <w:rFonts w:hint="eastAsia" w:ascii="仿宋" w:hAnsi="仿宋" w:eastAsia="仿宋" w:cs="仿宋"/>
          <w:color w:val="auto"/>
          <w:spacing w:val="14"/>
          <w:szCs w:val="21"/>
          <w:highlight w:val="none"/>
          <w:lang w:val="en-US" w:eastAsia="zh-CN"/>
        </w:rPr>
        <w:t>本项目对</w:t>
      </w:r>
      <w:r>
        <w:rPr>
          <w:rFonts w:hint="eastAsia" w:ascii="仿宋" w:hAnsi="仿宋" w:eastAsia="仿宋" w:cs="仿宋"/>
          <w:color w:val="auto"/>
          <w:spacing w:val="14"/>
          <w:szCs w:val="21"/>
          <w:highlight w:val="none"/>
        </w:rPr>
        <w:t>货物由小微企业制造（即货物由小微企业生产且使用该小微企业商号或者注册商标）的投标报价给予10%的扣除，用扣除后的价格参加评审。</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（3）根据财政部司法部《关于政府采购支持监狱企业发展有关问题的通知》（财库〔2014〕68号）规定，监狱企业视同小型、微型企业，享受评审中价格扣除等政府采购促进中小企业发展的政府采购政策。</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根据财政部民政部中国残疾人联合会《关于促进残疾人就业政府采购政策的通知》（财库〔2017〕141号）规定，残疾人福利性单位视同小型、微型企业，享受评审中价格扣除等政府采购促进中小企业发展的政府采购政策。</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（5）同一投标人（包括联合体），中小微企业产品、监狱企业产品、残疾人福利性单位产品价格扣除优惠只享受一次，不得重复享受。</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（6）根据财政部工业和信息化部《政府采购促进中小企业发展管理办法》（财库﹝2020﹞46 号）的规定，如本项目专门面向中小企业或小微企业采购的，评审中价格将均不予扣除。</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1.1.6为落实政府采购政策，本次招标强制采购的节能产品：见投标人须知前附表。投标人所投强制节能产品应具有《中国节能产品认证证书》证书不显示规格型号的，还须同时提供证书配套附件；证书应是由《市场监管总局关于发布参与实施政府采购节能产品、环境标志产品认证机构名录的公告》的认证机构出具的、处于有效期之内的），否则其投标将被否决。</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1.1.7代理机构项目编号：见投标人须知前附表。</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1.1.8政府采购管理部门备案编号: 见投标人须知前附表。</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1.1.9项目编号: 见投标人须知前附表。</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1.1.10标段划分: 见投标人须知前附表。</w:t>
      </w:r>
    </w:p>
    <w:p>
      <w:pPr>
        <w:pStyle w:val="5"/>
        <w:rPr>
          <w:rFonts w:hint="eastAsia" w:ascii="仿宋" w:hAnsi="仿宋" w:eastAsia="仿宋" w:cs="仿宋"/>
          <w:color w:val="auto"/>
          <w:spacing w:val="14"/>
          <w:highlight w:val="none"/>
        </w:rPr>
      </w:pPr>
      <w:bookmarkStart w:id="11" w:name="_Toc1660785"/>
      <w:bookmarkStart w:id="12" w:name="_Toc15545"/>
      <w:r>
        <w:rPr>
          <w:rFonts w:hint="eastAsia" w:ascii="仿宋" w:hAnsi="仿宋" w:eastAsia="仿宋" w:cs="仿宋"/>
          <w:color w:val="auto"/>
          <w:spacing w:val="14"/>
          <w:highlight w:val="none"/>
        </w:rPr>
        <w:t>1.2 招标项目的资金来源及付款方式</w:t>
      </w:r>
      <w:bookmarkEnd w:id="11"/>
      <w:bookmarkEnd w:id="12"/>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1.2.1资金来源: 见投标人须知前附表。</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1.2.2付款方式: 见投标人须知前附表，不接受该条件的投标将被否决。</w:t>
      </w:r>
    </w:p>
    <w:p>
      <w:pPr>
        <w:pStyle w:val="5"/>
        <w:rPr>
          <w:rFonts w:hint="eastAsia" w:ascii="仿宋" w:hAnsi="仿宋" w:eastAsia="仿宋" w:cs="仿宋"/>
          <w:color w:val="auto"/>
          <w:spacing w:val="14"/>
          <w:highlight w:val="none"/>
        </w:rPr>
      </w:pPr>
      <w:bookmarkStart w:id="13" w:name="_Toc1660786"/>
      <w:bookmarkStart w:id="14" w:name="_Toc14671"/>
      <w:r>
        <w:rPr>
          <w:rFonts w:hint="eastAsia" w:ascii="仿宋" w:hAnsi="仿宋" w:eastAsia="仿宋" w:cs="仿宋"/>
          <w:color w:val="auto"/>
          <w:spacing w:val="14"/>
          <w:highlight w:val="none"/>
        </w:rPr>
        <w:t>1.3交货期、交货地点、履约验收、质保期及售后服务</w:t>
      </w:r>
      <w:bookmarkEnd w:id="13"/>
      <w:bookmarkEnd w:id="14"/>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1.3.1交货期：见投标人须知前附表，不接受该条件的投标将被否决。</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1.3.2交货地点：见投标人须知前附表，不接受该条件的投标将被否决。</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1.3.3履约验收：见投标人须知前附表。</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1.3.4质保期及售后服务：见投标人须知前附表，不接受该条件的投标将被否决。</w:t>
      </w:r>
    </w:p>
    <w:p>
      <w:pPr>
        <w:pStyle w:val="5"/>
        <w:rPr>
          <w:rFonts w:hint="eastAsia" w:ascii="仿宋" w:hAnsi="仿宋" w:eastAsia="仿宋" w:cs="仿宋"/>
          <w:color w:val="auto"/>
          <w:spacing w:val="14"/>
          <w:highlight w:val="none"/>
        </w:rPr>
      </w:pPr>
      <w:bookmarkStart w:id="15" w:name="_Toc22540"/>
      <w:bookmarkStart w:id="16" w:name="_Toc1660787"/>
      <w:r>
        <w:rPr>
          <w:rFonts w:hint="eastAsia" w:ascii="仿宋" w:hAnsi="仿宋" w:eastAsia="仿宋" w:cs="仿宋"/>
          <w:color w:val="auto"/>
          <w:spacing w:val="14"/>
          <w:highlight w:val="none"/>
        </w:rPr>
        <w:t>1.4 投标人资格要求</w:t>
      </w:r>
      <w:bookmarkEnd w:id="15"/>
      <w:bookmarkEnd w:id="16"/>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1.4.1 投标人资格要求：投标人应当符合《政府采购法》第二十二条第一款规定的条件，具体见投标人须知前附表。</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1.4.2 投标人须知前附表规定接受联合体投标的，联合体除应符合本章第 1.4.1 项和投标人须知前附表的要求外，还应遵守以下规定：</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（1）联合体各方应按招标文件提供的格式签订联合体协议书，明确联合体牵头人和各方权利义务，并承诺就中标项目向采购人承担连带责任；</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（2）两个以上的自然人、法人或者其他组织可以组成一个联合体，以一个投标人的身份共同参加政府采购。</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联合体各方均应当符合《政府采购法》第二十二条第一款规定的条件，根据采购项目的特殊要求规定投标人特定条件的，联合体各方中至少应当有一方符合招标公告规定的投标人资格条件。联合体中有同类资质的投标人按照联合体分工承担相同工作的，应当按照资质等级较低的投标人确定资质等级。</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（4）联合体各方不得再以自己名义单独或参加其他联合体在本招标项目中投标，否则各相关投标均无效。</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1.4.3 投标人不得存在下列情形之一：</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（1）与采购人存在利害关系且可能影响招标公正性；</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（2）与本招标项目的其他投标人为同一个单位负责人；</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（3）与本招标项目的其他投标人存在直接控股、管理关系；</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（4）为本招标项目提供整体设计、规范编制或者项目管理、监理、检测等服务；</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（5）为本招标项目的招标代理机构或与招标代理机构同为一个法定代表人；</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（6）被列入“信用中国”网站 -“失信被执行人”或“重大税收违法失信主体”，被列入“中国政府采购网”（http://www.ccgp.gov.cn/）的“政府采购严重违法失信行为记录名单”；</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（7）因违法经营受到刑事处罚或者责令停产停业、吊销许可证或者执照、较大数额罚款等行政处罚；</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（8）进入清算程序，或被宣告破产，或其他丧失履约能力的情形；</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（9）在近三年内投标人有行贿犯罪行为的；</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（10）法律法规或投标人须知前附表规定的其他情形。</w:t>
      </w:r>
    </w:p>
    <w:p>
      <w:pPr>
        <w:pStyle w:val="5"/>
        <w:rPr>
          <w:rFonts w:hint="eastAsia" w:ascii="仿宋" w:hAnsi="仿宋" w:eastAsia="仿宋" w:cs="仿宋"/>
          <w:color w:val="auto"/>
          <w:spacing w:val="14"/>
          <w:highlight w:val="none"/>
        </w:rPr>
      </w:pPr>
      <w:bookmarkStart w:id="17" w:name="_Toc23304"/>
      <w:bookmarkStart w:id="18" w:name="_Toc1660788"/>
      <w:r>
        <w:rPr>
          <w:rFonts w:hint="eastAsia" w:ascii="仿宋" w:hAnsi="仿宋" w:eastAsia="仿宋" w:cs="仿宋"/>
          <w:color w:val="auto"/>
          <w:spacing w:val="14"/>
          <w:highlight w:val="none"/>
        </w:rPr>
        <w:t>1.5 费用承担</w:t>
      </w:r>
      <w:bookmarkEnd w:id="17"/>
      <w:bookmarkEnd w:id="18"/>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投标人准备和参加投标活动发生的费用自理。</w:t>
      </w:r>
    </w:p>
    <w:p>
      <w:pPr>
        <w:pStyle w:val="5"/>
        <w:rPr>
          <w:rFonts w:hint="eastAsia" w:ascii="仿宋" w:hAnsi="仿宋" w:eastAsia="仿宋" w:cs="仿宋"/>
          <w:color w:val="auto"/>
          <w:spacing w:val="14"/>
          <w:highlight w:val="none"/>
        </w:rPr>
      </w:pPr>
      <w:bookmarkStart w:id="19" w:name="_Toc7789"/>
      <w:bookmarkStart w:id="20" w:name="_Toc1660789"/>
      <w:r>
        <w:rPr>
          <w:rFonts w:hint="eastAsia" w:ascii="仿宋" w:hAnsi="仿宋" w:eastAsia="仿宋" w:cs="仿宋"/>
          <w:color w:val="auto"/>
          <w:spacing w:val="14"/>
          <w:highlight w:val="none"/>
        </w:rPr>
        <w:t>1.6 保密</w:t>
      </w:r>
      <w:bookmarkEnd w:id="19"/>
      <w:bookmarkEnd w:id="20"/>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参与招标投标活动的各方应对招标文件和投标文件中的商业和技术等秘密保密，否则应承担相应的法律责任。</w:t>
      </w:r>
    </w:p>
    <w:p>
      <w:pPr>
        <w:pStyle w:val="5"/>
        <w:rPr>
          <w:rFonts w:hint="eastAsia" w:ascii="仿宋" w:hAnsi="仿宋" w:eastAsia="仿宋" w:cs="仿宋"/>
          <w:color w:val="auto"/>
          <w:spacing w:val="14"/>
          <w:highlight w:val="none"/>
        </w:rPr>
      </w:pPr>
      <w:bookmarkStart w:id="21" w:name="_Toc1660790"/>
      <w:bookmarkStart w:id="22" w:name="_Toc29024"/>
      <w:r>
        <w:rPr>
          <w:rFonts w:hint="eastAsia" w:ascii="仿宋" w:hAnsi="仿宋" w:eastAsia="仿宋" w:cs="仿宋"/>
          <w:color w:val="auto"/>
          <w:spacing w:val="14"/>
          <w:highlight w:val="none"/>
        </w:rPr>
        <w:t>1.7 语言文字</w:t>
      </w:r>
      <w:bookmarkEnd w:id="21"/>
      <w:bookmarkEnd w:id="22"/>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招标投标文件使用的语言文字为中文。专用术语使用外文的，应附有中文注释。</w:t>
      </w:r>
    </w:p>
    <w:p>
      <w:pPr>
        <w:pStyle w:val="5"/>
        <w:rPr>
          <w:rFonts w:hint="eastAsia" w:ascii="仿宋" w:hAnsi="仿宋" w:eastAsia="仿宋" w:cs="仿宋"/>
          <w:color w:val="auto"/>
          <w:spacing w:val="14"/>
          <w:highlight w:val="none"/>
        </w:rPr>
      </w:pPr>
      <w:bookmarkStart w:id="23" w:name="_Toc1660791"/>
      <w:bookmarkStart w:id="24" w:name="_Toc23192"/>
      <w:r>
        <w:rPr>
          <w:rFonts w:hint="eastAsia" w:ascii="仿宋" w:hAnsi="仿宋" w:eastAsia="仿宋" w:cs="仿宋"/>
          <w:color w:val="auto"/>
          <w:spacing w:val="14"/>
          <w:highlight w:val="none"/>
        </w:rPr>
        <w:t>1.8 计量单位</w:t>
      </w:r>
      <w:bookmarkEnd w:id="23"/>
      <w:bookmarkEnd w:id="24"/>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所有计量均采用中华人民共和国法定计量单位。</w:t>
      </w:r>
    </w:p>
    <w:p>
      <w:pPr>
        <w:pStyle w:val="5"/>
        <w:rPr>
          <w:rFonts w:hint="eastAsia" w:ascii="仿宋" w:hAnsi="仿宋" w:eastAsia="仿宋" w:cs="仿宋"/>
          <w:color w:val="auto"/>
          <w:spacing w:val="14"/>
          <w:highlight w:val="none"/>
        </w:rPr>
      </w:pPr>
      <w:bookmarkStart w:id="25" w:name="_Toc1660792"/>
      <w:bookmarkStart w:id="26" w:name="_Toc3180"/>
      <w:r>
        <w:rPr>
          <w:rFonts w:hint="eastAsia" w:ascii="仿宋" w:hAnsi="仿宋" w:eastAsia="仿宋" w:cs="仿宋"/>
          <w:color w:val="auto"/>
          <w:spacing w:val="14"/>
          <w:highlight w:val="none"/>
        </w:rPr>
        <w:t>1.9 投标预备会</w:t>
      </w:r>
      <w:bookmarkEnd w:id="25"/>
      <w:bookmarkEnd w:id="26"/>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1.9.1 投标人须知前附表规定召开投标预备会的，采购人按投标人须知前附表规定的时间和地点召开投标预备会，澄清投标人提出的问题。</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1.9.2 投标人应按投标人须知前附表规定的时间和形式将提出的问题送达采购人，以便采购人在会议期间澄清。</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1.9.3投标预备会后，采购人对投标人所提问题的澄清为招标文件的组成部分。</w:t>
      </w:r>
    </w:p>
    <w:p>
      <w:pPr>
        <w:pStyle w:val="5"/>
        <w:rPr>
          <w:rFonts w:hint="eastAsia" w:ascii="仿宋" w:hAnsi="仿宋" w:eastAsia="仿宋" w:cs="仿宋"/>
          <w:color w:val="auto"/>
          <w:spacing w:val="14"/>
          <w:highlight w:val="none"/>
        </w:rPr>
      </w:pPr>
      <w:bookmarkStart w:id="27" w:name="_Toc13160"/>
      <w:bookmarkStart w:id="28" w:name="_Toc1660793"/>
      <w:r>
        <w:rPr>
          <w:rFonts w:hint="eastAsia" w:ascii="仿宋" w:hAnsi="仿宋" w:eastAsia="仿宋" w:cs="仿宋"/>
          <w:color w:val="auto"/>
          <w:spacing w:val="14"/>
          <w:highlight w:val="none"/>
        </w:rPr>
        <w:t>1.10 分包</w:t>
      </w:r>
      <w:bookmarkEnd w:id="27"/>
      <w:bookmarkEnd w:id="28"/>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1.10.1 投标人拟在中标后将中标项目的非主体货物进行分包的，应符合投标人须知前附表规定的分包内容、分包金额和资质要求等限制性条件，除投标人须知前附表规定的非主体货物外，其他工作不得分包。</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1.10.2 中标人不得向他人转让中标项目，接受分包的人不得再次分包。中标人应当就分包项目向采购人负责，接受分包的人就分包项目承担连带责任。</w:t>
      </w:r>
    </w:p>
    <w:p>
      <w:pPr>
        <w:pStyle w:val="5"/>
        <w:rPr>
          <w:rFonts w:hint="eastAsia" w:ascii="仿宋" w:hAnsi="仿宋" w:eastAsia="仿宋" w:cs="仿宋"/>
          <w:color w:val="auto"/>
          <w:spacing w:val="14"/>
          <w:highlight w:val="none"/>
        </w:rPr>
      </w:pPr>
      <w:bookmarkStart w:id="29" w:name="_Toc1660794"/>
      <w:bookmarkStart w:id="30" w:name="_Toc14901"/>
      <w:r>
        <w:rPr>
          <w:rFonts w:hint="eastAsia" w:ascii="仿宋" w:hAnsi="仿宋" w:eastAsia="仿宋" w:cs="仿宋"/>
          <w:color w:val="auto"/>
          <w:spacing w:val="14"/>
          <w:highlight w:val="none"/>
        </w:rPr>
        <w:t>1.11 响应和偏差</w:t>
      </w:r>
      <w:bookmarkEnd w:id="29"/>
      <w:bookmarkEnd w:id="30"/>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1.11.1 投标文件应当对招标文件的实质性要求和条件作出满足性或更有利于采购人的响应，否则，投标人的投标将被否决。实质性要求和条件见投标人须知前附表。</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1.11.2 投标人应根据招标文件的要求提供技术要求响应与偏差表、商务要求响应与偏差表、重要技术条款的客观证明材料、售后服务计划等内容以对招标文件作出响应。</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 xml:space="preserve">1.11.3 </w:t>
      </w:r>
      <w:r>
        <w:rPr>
          <w:rFonts w:hint="eastAsia" w:ascii="仿宋" w:hAnsi="仿宋" w:eastAsia="仿宋" w:cs="仿宋"/>
          <w:color w:val="auto"/>
          <w:spacing w:val="14"/>
          <w:szCs w:val="21"/>
          <w:highlight w:val="none"/>
          <w:lang w:val="en-US" w:eastAsia="zh-CN"/>
        </w:rPr>
        <w:t>符合</w:t>
      </w:r>
      <w:r>
        <w:rPr>
          <w:rFonts w:hint="eastAsia" w:ascii="仿宋" w:hAnsi="仿宋" w:eastAsia="仿宋" w:cs="仿宋"/>
          <w:color w:val="auto"/>
          <w:spacing w:val="14"/>
          <w:szCs w:val="21"/>
          <w:highlight w:val="none"/>
        </w:rPr>
        <w:t>投标人须知前附表。</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1.11.4 投标人须知前附表规定了可以偏差的范围和最高偏差项数的，偏差应当符合投标人须知前附表规定的偏差范围和最高项数，超出偏差范围和最高偏差项数的投标将被否决。</w:t>
      </w:r>
    </w:p>
    <w:p>
      <w:pPr>
        <w:pStyle w:val="154"/>
        <w:rPr>
          <w:rFonts w:hint="eastAsia" w:ascii="仿宋" w:hAnsi="仿宋" w:eastAsia="仿宋" w:cs="仿宋"/>
          <w:color w:val="auto"/>
          <w:spacing w:val="14"/>
          <w:szCs w:val="21"/>
          <w:highlight w:val="none"/>
          <w:lang w:eastAsia="zh-CN"/>
        </w:rPr>
      </w:pPr>
      <w:r>
        <w:rPr>
          <w:rFonts w:hint="eastAsia" w:ascii="仿宋" w:hAnsi="仿宋" w:eastAsia="仿宋" w:cs="仿宋"/>
          <w:color w:val="auto"/>
          <w:spacing w:val="14"/>
          <w:szCs w:val="21"/>
          <w:highlight w:val="none"/>
        </w:rPr>
        <w:t>1.11.5 投标文件对招标文件的全部偏差，均应在投标文件的技术要求响应与偏差表、商务要求响应与偏差表中列明，除列明的内容外，视为投标人响应招标文件的全部要求</w:t>
      </w:r>
      <w:r>
        <w:rPr>
          <w:rFonts w:hint="eastAsia" w:ascii="仿宋" w:hAnsi="仿宋" w:eastAsia="仿宋" w:cs="仿宋"/>
          <w:color w:val="auto"/>
          <w:spacing w:val="14"/>
          <w:szCs w:val="21"/>
          <w:highlight w:val="none"/>
          <w:lang w:eastAsia="zh-CN"/>
        </w:rPr>
        <w:t>；投标人应如实描述产品技术参数和性能，不能完全复制招标文件内容进行粘贴，否则按未响应处理。</w:t>
      </w:r>
    </w:p>
    <w:p>
      <w:pPr>
        <w:pStyle w:val="154"/>
        <w:rPr>
          <w:rFonts w:hint="eastAsia" w:ascii="仿宋" w:hAnsi="仿宋" w:eastAsia="仿宋" w:cs="仿宋"/>
          <w:color w:val="auto"/>
          <w:highlight w:val="none"/>
        </w:rPr>
      </w:pPr>
      <w:r>
        <w:rPr>
          <w:rFonts w:hint="eastAsia" w:ascii="仿宋" w:hAnsi="仿宋" w:eastAsia="仿宋" w:cs="仿宋"/>
          <w:color w:val="auto"/>
          <w:spacing w:val="14"/>
          <w:szCs w:val="21"/>
          <w:highlight w:val="none"/>
        </w:rPr>
        <w:t>1.11.6如投标文件技术要求响应与偏差表、商务要求响应与偏差表中列明的内容与投标文件的其他地方存在不一致，以技术要求响应与偏差表、商务要求响应与偏差表中列明的内容为准。</w:t>
      </w:r>
    </w:p>
    <w:p>
      <w:pPr>
        <w:pStyle w:val="4"/>
        <w:rPr>
          <w:rFonts w:hint="eastAsia" w:ascii="仿宋" w:hAnsi="仿宋" w:eastAsia="仿宋" w:cs="仿宋"/>
          <w:color w:val="auto"/>
          <w:highlight w:val="none"/>
        </w:rPr>
      </w:pPr>
      <w:bookmarkStart w:id="31" w:name="_Toc24318"/>
      <w:bookmarkStart w:id="32" w:name="_Toc1660795"/>
      <w:r>
        <w:rPr>
          <w:rFonts w:hint="eastAsia" w:ascii="仿宋" w:hAnsi="仿宋" w:eastAsia="仿宋" w:cs="仿宋"/>
          <w:color w:val="auto"/>
          <w:highlight w:val="none"/>
        </w:rPr>
        <w:t>2、招标文件</w:t>
      </w:r>
      <w:bookmarkEnd w:id="31"/>
      <w:bookmarkEnd w:id="32"/>
    </w:p>
    <w:p>
      <w:pPr>
        <w:pStyle w:val="5"/>
        <w:rPr>
          <w:rFonts w:hint="eastAsia" w:ascii="仿宋" w:hAnsi="仿宋" w:eastAsia="仿宋" w:cs="仿宋"/>
          <w:color w:val="auto"/>
          <w:spacing w:val="14"/>
          <w:highlight w:val="none"/>
        </w:rPr>
      </w:pPr>
      <w:bookmarkStart w:id="33" w:name="_Toc1660796"/>
      <w:bookmarkStart w:id="34" w:name="_Toc32711"/>
      <w:r>
        <w:rPr>
          <w:rFonts w:hint="eastAsia" w:ascii="仿宋" w:hAnsi="仿宋" w:eastAsia="仿宋" w:cs="仿宋"/>
          <w:color w:val="auto"/>
          <w:spacing w:val="14"/>
          <w:highlight w:val="none"/>
        </w:rPr>
        <w:t>2.1 招标文件的组成</w:t>
      </w:r>
      <w:bookmarkEnd w:id="33"/>
      <w:bookmarkEnd w:id="34"/>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本招标文件包括：</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（1）招标公告；</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 xml:space="preserve">（2）投标人须知； </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（3）采购需求</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（4）合同（样本）</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（5）资格审查与评标办法；</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（6）资格审查与评审标准；</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（7）投标文件格式；</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根据本章第 1.9 款、第 2.2 款对招标文件所作的澄清、修改，构成招标文件的组成部分。</w:t>
      </w:r>
    </w:p>
    <w:p>
      <w:pPr>
        <w:pStyle w:val="5"/>
        <w:rPr>
          <w:rFonts w:hint="eastAsia" w:ascii="仿宋" w:hAnsi="仿宋" w:eastAsia="仿宋" w:cs="仿宋"/>
          <w:color w:val="auto"/>
          <w:spacing w:val="14"/>
          <w:highlight w:val="none"/>
        </w:rPr>
      </w:pPr>
      <w:bookmarkStart w:id="35" w:name="_Toc1660797"/>
      <w:bookmarkStart w:id="36" w:name="_Toc32753"/>
      <w:r>
        <w:rPr>
          <w:rFonts w:hint="eastAsia" w:ascii="仿宋" w:hAnsi="仿宋" w:eastAsia="仿宋" w:cs="仿宋"/>
          <w:color w:val="auto"/>
          <w:spacing w:val="14"/>
          <w:highlight w:val="none"/>
        </w:rPr>
        <w:t>2.2 招标文件的澄清</w:t>
      </w:r>
      <w:bookmarkEnd w:id="35"/>
      <w:bookmarkEnd w:id="36"/>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2.2.1投标人应仔细阅读和检查招标文件的全部内容。如发现缺页或附件不全，应及时向采购代理机构提出，以便补齐。如有疑问，应按投标人须知前附表规定的时间和形式将提出的问题送达采购代理机构，要求对招标文件予以澄清。</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2.2.2 招标文件的澄清、修改按投标人须知前附表规定的形式发出。澄清、修改发出的时间距投标截止时间不足 15 日的，并且修改内容可能影响投标文件编制的，将相应延长投标截止时间。</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2.2.3 除非采购人认为确有必要答复，否则，采购人有权拒绝回复投标人在本章第 2.2.1 项规定的时间后的任何澄清要求。</w:t>
      </w:r>
    </w:p>
    <w:p>
      <w:pPr>
        <w:pStyle w:val="5"/>
        <w:rPr>
          <w:rFonts w:hint="eastAsia" w:ascii="仿宋" w:hAnsi="仿宋" w:eastAsia="仿宋" w:cs="仿宋"/>
          <w:color w:val="auto"/>
          <w:spacing w:val="14"/>
          <w:highlight w:val="none"/>
        </w:rPr>
      </w:pPr>
      <w:bookmarkStart w:id="37" w:name="_Toc1660798"/>
      <w:bookmarkStart w:id="38" w:name="_Toc26640"/>
      <w:r>
        <w:rPr>
          <w:rFonts w:hint="eastAsia" w:ascii="仿宋" w:hAnsi="仿宋" w:eastAsia="仿宋" w:cs="仿宋"/>
          <w:color w:val="auto"/>
          <w:spacing w:val="14"/>
          <w:highlight w:val="none"/>
        </w:rPr>
        <w:t>2.3 招标文件的异议</w:t>
      </w:r>
      <w:bookmarkEnd w:id="37"/>
      <w:bookmarkEnd w:id="38"/>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投标人或者其他利害关系人对招标文件有质疑的，应当在投标截止时间 10 日前以书面形式提出。</w:t>
      </w:r>
    </w:p>
    <w:p>
      <w:pPr>
        <w:pStyle w:val="4"/>
        <w:rPr>
          <w:rFonts w:hint="eastAsia" w:ascii="仿宋" w:hAnsi="仿宋" w:eastAsia="仿宋" w:cs="仿宋"/>
          <w:color w:val="auto"/>
          <w:highlight w:val="none"/>
        </w:rPr>
      </w:pPr>
      <w:bookmarkStart w:id="39" w:name="_Toc1355"/>
      <w:bookmarkStart w:id="40" w:name="_Toc1660799"/>
      <w:r>
        <w:rPr>
          <w:rFonts w:hint="eastAsia" w:ascii="仿宋" w:hAnsi="仿宋" w:eastAsia="仿宋" w:cs="仿宋"/>
          <w:color w:val="auto"/>
          <w:highlight w:val="none"/>
        </w:rPr>
        <w:t>3、投标文件</w:t>
      </w:r>
      <w:bookmarkEnd w:id="39"/>
      <w:bookmarkEnd w:id="40"/>
    </w:p>
    <w:p>
      <w:pPr>
        <w:pStyle w:val="5"/>
        <w:rPr>
          <w:rFonts w:hint="eastAsia" w:ascii="仿宋" w:hAnsi="仿宋" w:eastAsia="仿宋" w:cs="仿宋"/>
          <w:color w:val="auto"/>
          <w:spacing w:val="14"/>
          <w:highlight w:val="none"/>
        </w:rPr>
      </w:pPr>
      <w:bookmarkStart w:id="41" w:name="_Toc1660800"/>
      <w:bookmarkStart w:id="42" w:name="_Toc16001"/>
      <w:r>
        <w:rPr>
          <w:rFonts w:hint="eastAsia" w:ascii="仿宋" w:hAnsi="仿宋" w:eastAsia="仿宋" w:cs="仿宋"/>
          <w:color w:val="auto"/>
          <w:spacing w:val="14"/>
          <w:highlight w:val="none"/>
        </w:rPr>
        <w:t>3.1 投标文件的组成</w:t>
      </w:r>
      <w:bookmarkEnd w:id="41"/>
      <w:bookmarkEnd w:id="42"/>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3.1.1 投标文件应包括下列内容（详见招标文件第七章“投标文件格式”）：</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（1）封面</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（2）投标函</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（3）法定代表人授权书</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（4）法人被授权人身份证</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（5）资格证明材料</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（6）开标一览表</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（7）报价明细表</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（8）中小微企业声明函（投标人）</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（9）残疾人福利性单位声明函</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（10）监狱企业证明文件</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（11）技术要求响应与偏差表</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（12）商务要求响应与偏差表</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（13）产品的先进性、实用性、耐用性支持资料</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（14）节能产品、环境标志产品明细表</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（15）</w:t>
      </w:r>
      <w:r>
        <w:rPr>
          <w:rFonts w:hint="eastAsia" w:ascii="仿宋" w:hAnsi="仿宋" w:eastAsia="仿宋" w:cs="仿宋"/>
          <w:color w:val="auto"/>
          <w:spacing w:val="14"/>
          <w:szCs w:val="21"/>
          <w:highlight w:val="none"/>
          <w:lang w:val="en-US" w:eastAsia="zh-CN"/>
        </w:rPr>
        <w:t>售后服务</w:t>
      </w:r>
      <w:r>
        <w:rPr>
          <w:rFonts w:hint="eastAsia" w:ascii="仿宋" w:hAnsi="仿宋" w:eastAsia="仿宋" w:cs="仿宋"/>
          <w:color w:val="auto"/>
          <w:spacing w:val="14"/>
          <w:szCs w:val="21"/>
          <w:highlight w:val="none"/>
        </w:rPr>
        <w:t>方案</w:t>
      </w:r>
    </w:p>
    <w:p>
      <w:pPr>
        <w:pStyle w:val="154"/>
        <w:rPr>
          <w:rFonts w:hint="default" w:ascii="仿宋" w:hAnsi="仿宋" w:eastAsia="仿宋" w:cs="仿宋"/>
          <w:color w:val="auto"/>
          <w:spacing w:val="14"/>
          <w:szCs w:val="21"/>
          <w:highlight w:val="none"/>
          <w:lang w:val="en-US" w:eastAsia="zh-CN"/>
        </w:rPr>
      </w:pPr>
      <w:r>
        <w:rPr>
          <w:rFonts w:hint="eastAsia" w:ascii="仿宋" w:hAnsi="仿宋" w:eastAsia="仿宋" w:cs="仿宋"/>
          <w:color w:val="auto"/>
          <w:spacing w:val="14"/>
          <w:szCs w:val="21"/>
          <w:highlight w:val="none"/>
        </w:rPr>
        <w:t>（16）</w:t>
      </w:r>
      <w:r>
        <w:rPr>
          <w:rFonts w:hint="eastAsia" w:ascii="仿宋" w:hAnsi="仿宋" w:eastAsia="仿宋" w:cs="仿宋"/>
          <w:color w:val="auto"/>
          <w:spacing w:val="14"/>
          <w:szCs w:val="21"/>
          <w:highlight w:val="none"/>
          <w:lang w:val="en-US" w:eastAsia="zh-CN"/>
        </w:rPr>
        <w:t>人员培训方案</w:t>
      </w:r>
    </w:p>
    <w:p>
      <w:pPr>
        <w:pStyle w:val="154"/>
        <w:rPr>
          <w:rFonts w:hint="eastAsia" w:ascii="仿宋" w:hAnsi="仿宋" w:eastAsia="仿宋" w:cs="仿宋"/>
          <w:color w:val="auto"/>
          <w:spacing w:val="14"/>
          <w:szCs w:val="21"/>
          <w:highlight w:val="none"/>
          <w:lang w:val="en-US" w:eastAsia="zh-CN"/>
        </w:rPr>
      </w:pPr>
      <w:r>
        <w:rPr>
          <w:rFonts w:hint="eastAsia" w:ascii="仿宋" w:hAnsi="仿宋" w:eastAsia="仿宋" w:cs="仿宋"/>
          <w:color w:val="auto"/>
          <w:spacing w:val="14"/>
          <w:szCs w:val="21"/>
          <w:highlight w:val="none"/>
        </w:rPr>
        <w:t>（17）</w:t>
      </w:r>
      <w:r>
        <w:rPr>
          <w:rFonts w:hint="eastAsia" w:ascii="仿宋" w:hAnsi="仿宋" w:eastAsia="仿宋" w:cs="仿宋"/>
          <w:color w:val="auto"/>
          <w:spacing w:val="14"/>
          <w:szCs w:val="21"/>
          <w:highlight w:val="none"/>
          <w:lang w:val="en-US" w:eastAsia="zh-CN"/>
        </w:rPr>
        <w:t>供货实施方案</w:t>
      </w:r>
    </w:p>
    <w:p>
      <w:pPr>
        <w:pStyle w:val="154"/>
        <w:rPr>
          <w:rFonts w:hint="eastAsia" w:ascii="仿宋" w:hAnsi="仿宋" w:eastAsia="仿宋" w:cs="仿宋"/>
          <w:color w:val="auto"/>
          <w:spacing w:val="14"/>
          <w:szCs w:val="21"/>
          <w:highlight w:val="none"/>
          <w:lang w:val="en-US" w:eastAsia="zh-CN"/>
        </w:rPr>
      </w:pPr>
      <w:r>
        <w:rPr>
          <w:rFonts w:hint="eastAsia" w:ascii="仿宋" w:hAnsi="仿宋" w:eastAsia="仿宋" w:cs="仿宋"/>
          <w:color w:val="auto"/>
          <w:spacing w:val="14"/>
          <w:szCs w:val="21"/>
          <w:highlight w:val="none"/>
          <w:lang w:val="en-US" w:eastAsia="zh-CN"/>
        </w:rPr>
        <w:t>（18）服务承诺</w:t>
      </w:r>
    </w:p>
    <w:p>
      <w:pPr>
        <w:pStyle w:val="154"/>
        <w:rPr>
          <w:rFonts w:hint="default" w:ascii="仿宋" w:hAnsi="仿宋" w:eastAsia="仿宋" w:cs="仿宋"/>
          <w:color w:val="auto"/>
          <w:spacing w:val="14"/>
          <w:szCs w:val="21"/>
          <w:highlight w:val="none"/>
          <w:lang w:val="en-US" w:eastAsia="zh-CN"/>
        </w:rPr>
      </w:pPr>
      <w:r>
        <w:rPr>
          <w:rFonts w:hint="eastAsia" w:ascii="仿宋" w:hAnsi="仿宋" w:eastAsia="仿宋" w:cs="仿宋"/>
          <w:color w:val="auto"/>
          <w:spacing w:val="14"/>
          <w:szCs w:val="21"/>
          <w:highlight w:val="none"/>
          <w:lang w:val="en-US" w:eastAsia="zh-CN"/>
        </w:rPr>
        <w:t>（19）应急方案</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lang w:eastAsia="zh-CN"/>
        </w:rPr>
        <w:t>（</w:t>
      </w:r>
      <w:r>
        <w:rPr>
          <w:rFonts w:hint="eastAsia" w:ascii="仿宋" w:hAnsi="仿宋" w:eastAsia="仿宋" w:cs="仿宋"/>
          <w:color w:val="auto"/>
          <w:spacing w:val="14"/>
          <w:szCs w:val="21"/>
          <w:highlight w:val="none"/>
          <w:lang w:val="en-US" w:eastAsia="zh-CN"/>
        </w:rPr>
        <w:t>20</w:t>
      </w:r>
      <w:r>
        <w:rPr>
          <w:rFonts w:hint="eastAsia" w:ascii="仿宋" w:hAnsi="仿宋" w:eastAsia="仿宋" w:cs="仿宋"/>
          <w:color w:val="auto"/>
          <w:spacing w:val="14"/>
          <w:szCs w:val="21"/>
          <w:highlight w:val="none"/>
          <w:lang w:eastAsia="zh-CN"/>
        </w:rPr>
        <w:t>）</w:t>
      </w:r>
      <w:r>
        <w:rPr>
          <w:rFonts w:hint="eastAsia" w:ascii="仿宋" w:hAnsi="仿宋" w:eastAsia="仿宋" w:cs="仿宋"/>
          <w:color w:val="auto"/>
          <w:spacing w:val="14"/>
          <w:szCs w:val="21"/>
          <w:highlight w:val="none"/>
        </w:rPr>
        <w:t>参与评审打分的证书（证件）一览表</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w:t>
      </w:r>
      <w:r>
        <w:rPr>
          <w:rFonts w:hint="eastAsia" w:ascii="仿宋" w:hAnsi="仿宋" w:eastAsia="仿宋" w:cs="仿宋"/>
          <w:color w:val="auto"/>
          <w:spacing w:val="14"/>
          <w:szCs w:val="21"/>
          <w:highlight w:val="none"/>
          <w:lang w:val="en-US" w:eastAsia="zh-CN"/>
        </w:rPr>
        <w:t>21</w:t>
      </w:r>
      <w:r>
        <w:rPr>
          <w:rFonts w:hint="eastAsia" w:ascii="仿宋" w:hAnsi="仿宋" w:eastAsia="仿宋" w:cs="仿宋"/>
          <w:color w:val="auto"/>
          <w:spacing w:val="14"/>
          <w:szCs w:val="21"/>
          <w:highlight w:val="none"/>
        </w:rPr>
        <w:t>）参与评审打分的证书（证件）扫描件</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w:t>
      </w:r>
      <w:r>
        <w:rPr>
          <w:rFonts w:hint="eastAsia" w:ascii="仿宋" w:hAnsi="仿宋" w:eastAsia="仿宋" w:cs="仿宋"/>
          <w:color w:val="auto"/>
          <w:spacing w:val="14"/>
          <w:szCs w:val="21"/>
          <w:highlight w:val="none"/>
          <w:lang w:val="en-US" w:eastAsia="zh-CN"/>
        </w:rPr>
        <w:t>22</w:t>
      </w:r>
      <w:r>
        <w:rPr>
          <w:rFonts w:hint="eastAsia" w:ascii="仿宋" w:hAnsi="仿宋" w:eastAsia="仿宋" w:cs="仿宋"/>
          <w:color w:val="auto"/>
          <w:spacing w:val="14"/>
          <w:szCs w:val="21"/>
          <w:highlight w:val="none"/>
        </w:rPr>
        <w:t>）参与评审打分的合同业绩一览表</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w:t>
      </w:r>
      <w:r>
        <w:rPr>
          <w:rFonts w:hint="eastAsia" w:ascii="仿宋" w:hAnsi="仿宋" w:eastAsia="仿宋" w:cs="仿宋"/>
          <w:color w:val="auto"/>
          <w:spacing w:val="14"/>
          <w:szCs w:val="21"/>
          <w:highlight w:val="none"/>
          <w:lang w:val="en-US" w:eastAsia="zh-CN"/>
        </w:rPr>
        <w:t>23</w:t>
      </w:r>
      <w:r>
        <w:rPr>
          <w:rFonts w:hint="eastAsia" w:ascii="仿宋" w:hAnsi="仿宋" w:eastAsia="仿宋" w:cs="仿宋"/>
          <w:color w:val="auto"/>
          <w:spacing w:val="14"/>
          <w:szCs w:val="21"/>
          <w:highlight w:val="none"/>
        </w:rPr>
        <w:t>）参与评审打分的合同业绩扫描件</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（2</w:t>
      </w:r>
      <w:r>
        <w:rPr>
          <w:rFonts w:hint="eastAsia" w:ascii="仿宋" w:hAnsi="仿宋" w:eastAsia="仿宋" w:cs="仿宋"/>
          <w:color w:val="auto"/>
          <w:spacing w:val="14"/>
          <w:szCs w:val="21"/>
          <w:highlight w:val="none"/>
          <w:lang w:val="en-US" w:eastAsia="zh-CN"/>
        </w:rPr>
        <w:t>4</w:t>
      </w:r>
      <w:r>
        <w:rPr>
          <w:rFonts w:hint="eastAsia" w:ascii="仿宋" w:hAnsi="仿宋" w:eastAsia="仿宋" w:cs="仿宋"/>
          <w:color w:val="auto"/>
          <w:spacing w:val="14"/>
          <w:szCs w:val="21"/>
          <w:highlight w:val="none"/>
        </w:rPr>
        <w:t>）其他需要提供的资料</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投标人在评标过程中作出的符合法律法规和招标文件规定的澄清确认，构成投标文件的组成部分。</w:t>
      </w:r>
    </w:p>
    <w:p>
      <w:pPr>
        <w:pStyle w:val="5"/>
        <w:rPr>
          <w:rFonts w:hint="eastAsia" w:ascii="仿宋" w:hAnsi="仿宋" w:eastAsia="仿宋" w:cs="仿宋"/>
          <w:color w:val="auto"/>
          <w:spacing w:val="14"/>
          <w:highlight w:val="none"/>
        </w:rPr>
      </w:pPr>
      <w:bookmarkStart w:id="43" w:name="_Toc1660801"/>
      <w:bookmarkStart w:id="44" w:name="_Toc27421"/>
      <w:r>
        <w:rPr>
          <w:rFonts w:hint="eastAsia" w:ascii="仿宋" w:hAnsi="仿宋" w:eastAsia="仿宋" w:cs="仿宋"/>
          <w:color w:val="auto"/>
          <w:spacing w:val="14"/>
          <w:highlight w:val="none"/>
        </w:rPr>
        <w:t>3.2 投标报价</w:t>
      </w:r>
      <w:bookmarkEnd w:id="43"/>
      <w:bookmarkEnd w:id="44"/>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3.2.1 投标报价涉及货币的应为人民币，包括国家规定的增值税税金。投标人应按第七章“投标文件格式”的要求进行报价并填写报价明细表。</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3.2.2 投标人应充分了解该项目的总体情况以及影响投标报价的其他要素。</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3.2.3 投标报价为各分项报价金额之和，投标报价与分项报价的合价不一致的，应以各分项合价累计数为准，修正投标报价；如分项报价中存在缺漏项，则视为缺漏项价格已包含在其他分项报价之中。</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3.2.4 采购人设有预算控制金额的，投标人的投标报价不得超过预算控制金额，预算控制金额在投标人须知前附表中载明。</w:t>
      </w:r>
    </w:p>
    <w:p>
      <w:pPr>
        <w:pStyle w:val="154"/>
        <w:rPr>
          <w:rFonts w:hint="eastAsia" w:ascii="仿宋" w:hAnsi="仿宋" w:eastAsia="仿宋" w:cs="仿宋"/>
          <w:b/>
          <w:bCs/>
          <w:color w:val="auto"/>
          <w:spacing w:val="14"/>
          <w:sz w:val="28"/>
          <w:szCs w:val="28"/>
          <w:highlight w:val="none"/>
        </w:rPr>
      </w:pPr>
      <w:r>
        <w:rPr>
          <w:rFonts w:hint="eastAsia" w:ascii="仿宋" w:hAnsi="仿宋" w:eastAsia="仿宋" w:cs="仿宋"/>
          <w:color w:val="auto"/>
          <w:spacing w:val="14"/>
          <w:szCs w:val="21"/>
          <w:highlight w:val="none"/>
        </w:rPr>
        <w:t>3.2.5 投标报价的其他要求见投标人须知前附表。</w:t>
      </w:r>
    </w:p>
    <w:p>
      <w:pPr>
        <w:pStyle w:val="5"/>
        <w:rPr>
          <w:rFonts w:hint="eastAsia" w:ascii="仿宋" w:hAnsi="仿宋" w:eastAsia="仿宋" w:cs="仿宋"/>
          <w:color w:val="auto"/>
          <w:spacing w:val="14"/>
          <w:highlight w:val="none"/>
        </w:rPr>
      </w:pPr>
      <w:bookmarkStart w:id="45" w:name="_Toc1660802"/>
      <w:bookmarkStart w:id="46" w:name="_Toc31679"/>
      <w:r>
        <w:rPr>
          <w:rFonts w:hint="eastAsia" w:ascii="仿宋" w:hAnsi="仿宋" w:eastAsia="仿宋" w:cs="仿宋"/>
          <w:color w:val="auto"/>
          <w:spacing w:val="14"/>
          <w:highlight w:val="none"/>
        </w:rPr>
        <w:t>3.3 投标有效期</w:t>
      </w:r>
      <w:bookmarkEnd w:id="45"/>
      <w:bookmarkEnd w:id="46"/>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3.3.1 除投标人须知前附表另有规定外，投标有效期为90 天。</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3.3.2 在投标有效期内，投标人撤销投标文件的，应承担招标文件和法律规定的责任。</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3.3.3 出现特殊情况需要延长投标有效期的，采购人以书面形式通知所有投标人延长投标有效期。投标人应予以书面答复，同意延长的，应相应延长其投标保证金的有效期，但不得要求或被允许修改其投标文件；投标人拒绝延长的，其投标失效，但投标人有权收回其投标保证金。</w:t>
      </w:r>
    </w:p>
    <w:p>
      <w:pPr>
        <w:pStyle w:val="5"/>
        <w:rPr>
          <w:rFonts w:hint="eastAsia" w:ascii="仿宋" w:hAnsi="仿宋" w:eastAsia="仿宋" w:cs="仿宋"/>
          <w:color w:val="auto"/>
          <w:spacing w:val="14"/>
          <w:highlight w:val="none"/>
        </w:rPr>
      </w:pPr>
      <w:bookmarkStart w:id="47" w:name="_Toc1660803"/>
      <w:bookmarkStart w:id="48" w:name="_Toc26856"/>
      <w:r>
        <w:rPr>
          <w:rFonts w:hint="eastAsia" w:ascii="仿宋" w:hAnsi="仿宋" w:eastAsia="仿宋" w:cs="仿宋"/>
          <w:color w:val="auto"/>
          <w:spacing w:val="14"/>
          <w:highlight w:val="none"/>
        </w:rPr>
        <w:t>3.4 投标保证金</w:t>
      </w:r>
      <w:bookmarkEnd w:id="47"/>
      <w:bookmarkEnd w:id="48"/>
    </w:p>
    <w:p>
      <w:pPr>
        <w:pStyle w:val="5"/>
        <w:ind w:firstLine="621" w:firstLineChars="300"/>
        <w:rPr>
          <w:rFonts w:hint="eastAsia" w:ascii="仿宋" w:hAnsi="仿宋" w:eastAsia="仿宋" w:cs="仿宋"/>
          <w:b w:val="0"/>
          <w:bCs w:val="0"/>
          <w:color w:val="auto"/>
          <w:spacing w:val="14"/>
          <w:sz w:val="21"/>
          <w:szCs w:val="21"/>
          <w:highlight w:val="none"/>
        </w:rPr>
      </w:pPr>
      <w:bookmarkStart w:id="49" w:name="_Toc23793"/>
      <w:bookmarkStart w:id="50" w:name="_Toc1660804"/>
      <w:r>
        <w:rPr>
          <w:rFonts w:hint="eastAsia" w:ascii="仿宋" w:hAnsi="仿宋" w:eastAsia="仿宋" w:cs="仿宋"/>
          <w:b w:val="0"/>
          <w:bCs w:val="0"/>
          <w:color w:val="auto"/>
          <w:spacing w:val="14"/>
          <w:sz w:val="21"/>
          <w:szCs w:val="21"/>
          <w:highlight w:val="none"/>
        </w:rPr>
        <w:t>根据河南省财政厅发布的《关于优化政府采购营商环境有关问题的通知》（豫财购[2019]4号），本项目不收取投标保证金。</w:t>
      </w:r>
      <w:bookmarkEnd w:id="49"/>
    </w:p>
    <w:p>
      <w:pPr>
        <w:pStyle w:val="5"/>
        <w:rPr>
          <w:rFonts w:hint="eastAsia" w:ascii="仿宋" w:hAnsi="仿宋" w:eastAsia="仿宋" w:cs="仿宋"/>
          <w:color w:val="auto"/>
          <w:spacing w:val="14"/>
          <w:highlight w:val="none"/>
        </w:rPr>
      </w:pPr>
      <w:bookmarkStart w:id="51" w:name="_Toc17464"/>
      <w:r>
        <w:rPr>
          <w:rFonts w:hint="eastAsia" w:ascii="仿宋" w:hAnsi="仿宋" w:eastAsia="仿宋" w:cs="仿宋"/>
          <w:color w:val="auto"/>
          <w:spacing w:val="14"/>
          <w:highlight w:val="none"/>
        </w:rPr>
        <w:t>3.5 资格审查资料</w:t>
      </w:r>
      <w:bookmarkEnd w:id="50"/>
      <w:bookmarkEnd w:id="51"/>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3.5.1根据第六章内容提供证明材料。</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3.5.2投标人须知前附表规定接受联合体投标的，联合体各方均应提供资格审查资料。</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3.5.3资格审查资料的特殊要求见投标人须知前附表。</w:t>
      </w:r>
    </w:p>
    <w:p>
      <w:pPr>
        <w:pStyle w:val="5"/>
        <w:rPr>
          <w:rFonts w:hint="eastAsia" w:ascii="仿宋" w:hAnsi="仿宋" w:eastAsia="仿宋" w:cs="仿宋"/>
          <w:color w:val="auto"/>
          <w:spacing w:val="14"/>
          <w:highlight w:val="none"/>
        </w:rPr>
      </w:pPr>
      <w:bookmarkStart w:id="52" w:name="_Toc1660805"/>
      <w:bookmarkStart w:id="53" w:name="_Toc8814"/>
      <w:r>
        <w:rPr>
          <w:rFonts w:hint="eastAsia" w:ascii="仿宋" w:hAnsi="仿宋" w:eastAsia="仿宋" w:cs="仿宋"/>
          <w:color w:val="auto"/>
          <w:spacing w:val="14"/>
          <w:highlight w:val="none"/>
        </w:rPr>
        <w:t>3.6 备选投标方案</w:t>
      </w:r>
      <w:bookmarkEnd w:id="52"/>
      <w:bookmarkEnd w:id="53"/>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3.6.1 除投标人须知前附表规定允许外，投标人不得提交备选投标方案，否则其投标将被否决。</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3.6.2 允许投标人提交备选投标方案的，只有中标人所提交的备选投标方案方可予以考虑。评标委员会认为中标人的备选投标方案优于其按照招标文件要求编制的投标方案的，采购人可以接受该备选投标方案。</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3.6.3 投标人提供两个或两个以上投标报价，或者在投标文件中提供一个报价，但同时提供两个或两个以上供货方案的，视为提供备选方案。</w:t>
      </w:r>
    </w:p>
    <w:p>
      <w:pPr>
        <w:pStyle w:val="5"/>
        <w:rPr>
          <w:rFonts w:hint="eastAsia" w:ascii="仿宋" w:hAnsi="仿宋" w:eastAsia="仿宋" w:cs="仿宋"/>
          <w:color w:val="auto"/>
          <w:spacing w:val="14"/>
          <w:highlight w:val="none"/>
        </w:rPr>
      </w:pPr>
      <w:bookmarkStart w:id="54" w:name="_Toc28956"/>
      <w:bookmarkStart w:id="55" w:name="_Toc1660806"/>
      <w:r>
        <w:rPr>
          <w:rFonts w:hint="eastAsia" w:ascii="仿宋" w:hAnsi="仿宋" w:eastAsia="仿宋" w:cs="仿宋"/>
          <w:color w:val="auto"/>
          <w:spacing w:val="14"/>
          <w:highlight w:val="none"/>
        </w:rPr>
        <w:t>3.7 投标文件的制作</w:t>
      </w:r>
      <w:bookmarkEnd w:id="54"/>
      <w:bookmarkEnd w:id="55"/>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3.7.1投标人登录“洛阳市公共资源交易中心”网站，按要求下载“新点投标文件制作软件”。</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3.7.2投标人凭CA锁登录，并按网上提示自行下载招标文件。使用“新点投标文件制作软件”按要求制作电子投标文件。投标人在制作电子投标文件时，应按要求进行电子签章。投标人编辑电子投标文件时，根据招标文件要求用法定代表人CA锁和企业CA锁进行签章制作；最后一步生成电子投标文件（*.lytf格式和*.nlytf格式）时，只能用本单位的企业CA锁。联合体投标的，投标文件由联合体牵头人按上述规定进行签章。</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3.7.3加密的电子投标文件为“洛阳市公共资源交易中心”网站提供的“新点投标文件制作软件”制作生成的加密版投标文件。未加密的电子投标文件应与加密的电子投标文件为同时生成的版本。</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3.7.4招标文件格式所要求包含的全部资料应全部制作在投标文件内，严格按照本项目招标文件所有格式如实填写（不涉及的内容除外），不应存在漏项或缺项，否则将存在投标文件被否决的风险。</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3.7.5投标文件所附证明材料均为扫描件（或照片），尺寸和清晰度应该能够在电脑上被阅读、识别和判断；若投标人未按要求提供证明材料或提供不清晰的扫描件（或照片）的，评标委员会有权认定其投标文件未对招标文件有关要求进行响应，涉及资格审查或符合性审查的将不予通过。</w:t>
      </w:r>
    </w:p>
    <w:p>
      <w:pPr>
        <w:pStyle w:val="4"/>
        <w:rPr>
          <w:rFonts w:hint="eastAsia" w:ascii="仿宋" w:hAnsi="仿宋" w:eastAsia="仿宋" w:cs="仿宋"/>
          <w:color w:val="auto"/>
          <w:highlight w:val="none"/>
        </w:rPr>
      </w:pPr>
      <w:bookmarkStart w:id="56" w:name="_Toc6352"/>
      <w:bookmarkStart w:id="57" w:name="_Toc1660807"/>
      <w:r>
        <w:rPr>
          <w:rFonts w:hint="eastAsia" w:ascii="仿宋" w:hAnsi="仿宋" w:eastAsia="仿宋" w:cs="仿宋"/>
          <w:color w:val="auto"/>
          <w:highlight w:val="none"/>
        </w:rPr>
        <w:t>4、投标</w:t>
      </w:r>
      <w:bookmarkEnd w:id="56"/>
      <w:bookmarkEnd w:id="57"/>
    </w:p>
    <w:p>
      <w:pPr>
        <w:pStyle w:val="5"/>
        <w:rPr>
          <w:rFonts w:hint="eastAsia" w:ascii="仿宋" w:hAnsi="仿宋" w:eastAsia="仿宋" w:cs="仿宋"/>
          <w:color w:val="auto"/>
          <w:spacing w:val="14"/>
          <w:highlight w:val="none"/>
        </w:rPr>
      </w:pPr>
      <w:bookmarkStart w:id="58" w:name="_Toc14182"/>
      <w:bookmarkStart w:id="59" w:name="_Toc1660808"/>
      <w:r>
        <w:rPr>
          <w:rFonts w:hint="eastAsia" w:ascii="仿宋" w:hAnsi="仿宋" w:eastAsia="仿宋" w:cs="仿宋"/>
          <w:color w:val="auto"/>
          <w:spacing w:val="14"/>
          <w:highlight w:val="none"/>
        </w:rPr>
        <w:t>4.1 投标文件的密封和标记</w:t>
      </w:r>
      <w:bookmarkEnd w:id="58"/>
      <w:bookmarkEnd w:id="59"/>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4.1.1投标文件的密封和标记的要求：见投标人须知前附表。</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4.1.2未按要求密封和标记的投标文件，采购人将予以拒收。</w:t>
      </w:r>
    </w:p>
    <w:p>
      <w:pPr>
        <w:pStyle w:val="5"/>
        <w:rPr>
          <w:rFonts w:hint="eastAsia" w:ascii="仿宋" w:hAnsi="仿宋" w:eastAsia="仿宋" w:cs="仿宋"/>
          <w:color w:val="auto"/>
          <w:spacing w:val="14"/>
          <w:highlight w:val="none"/>
        </w:rPr>
      </w:pPr>
      <w:bookmarkStart w:id="60" w:name="_Toc26559"/>
      <w:bookmarkStart w:id="61" w:name="_Toc1660809"/>
      <w:r>
        <w:rPr>
          <w:rFonts w:hint="eastAsia" w:ascii="仿宋" w:hAnsi="仿宋" w:eastAsia="仿宋" w:cs="仿宋"/>
          <w:color w:val="auto"/>
          <w:spacing w:val="14"/>
          <w:highlight w:val="none"/>
        </w:rPr>
        <w:t>4.2 投标文件的提交</w:t>
      </w:r>
      <w:bookmarkEnd w:id="60"/>
      <w:bookmarkEnd w:id="61"/>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4.2.1 投标人应在投标人须知前附表规定的投标截止时间前提交投标文件。不接受邮寄、电报、电话、传真等方式投标。除电子投标文件外，投标时不再接受任何纸质文件、资料等。</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4.2.2投标人提交投标文件的地点：见投标人须知前附表。</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4.2.3投标文件份数及其他要求：见投标人须知前附表。</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4.2.4投标人应在投标截止时间前上传加密的电子投标文件（*.lytf）到洛阳市电子招投标交易平台指定位置。上传时投标人须使用制作该投标文件的同一CA锁进行上传操作。请投标人在上传时认真检查上传投标文件是否完整、正确。投标人应充分考虑上传文件时的不可预见因素，未在投标截止时间前完成上传的，视为逾期送达，洛阳市电子招投标交易平台将拒绝接收。上传成功后将得到上传成功的确认。</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4.2.5投标人因洛阳市电子招投标交易平台问题无法上传电子投标文件时，请在工作时间与交易中心联系。联系方式见投标人须知前附表。</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4.2.6除投标人须知前附表另有规定外，投标人所提交的投标文件不予退还。</w:t>
      </w:r>
    </w:p>
    <w:p>
      <w:pPr>
        <w:pStyle w:val="5"/>
        <w:rPr>
          <w:rFonts w:hint="eastAsia" w:ascii="仿宋" w:hAnsi="仿宋" w:eastAsia="仿宋" w:cs="仿宋"/>
          <w:color w:val="auto"/>
          <w:spacing w:val="14"/>
          <w:highlight w:val="none"/>
        </w:rPr>
      </w:pPr>
      <w:bookmarkStart w:id="62" w:name="_Toc1660810"/>
      <w:bookmarkStart w:id="63" w:name="_Toc2771"/>
      <w:r>
        <w:rPr>
          <w:rFonts w:hint="eastAsia" w:ascii="仿宋" w:hAnsi="仿宋" w:eastAsia="仿宋" w:cs="仿宋"/>
          <w:color w:val="auto"/>
          <w:spacing w:val="14"/>
          <w:highlight w:val="none"/>
        </w:rPr>
        <w:t>4.3 投标文件的修改与撤回</w:t>
      </w:r>
      <w:bookmarkEnd w:id="62"/>
      <w:bookmarkEnd w:id="63"/>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4.3.1投标人在提交投标文件后可对其投标文件进行修改并重新上传投标文件或在洛阳市电子招投标交易平台上进行撤回投标的操作。</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4.3.2 投标截止时间以后不得修改投标文件。</w:t>
      </w:r>
    </w:p>
    <w:p>
      <w:pPr>
        <w:pStyle w:val="4"/>
        <w:rPr>
          <w:rFonts w:hint="eastAsia" w:ascii="仿宋" w:hAnsi="仿宋" w:eastAsia="仿宋" w:cs="仿宋"/>
          <w:color w:val="auto"/>
          <w:highlight w:val="none"/>
        </w:rPr>
      </w:pPr>
      <w:bookmarkStart w:id="64" w:name="_Toc15342"/>
      <w:bookmarkStart w:id="65" w:name="_Toc1660811"/>
      <w:r>
        <w:rPr>
          <w:rFonts w:hint="eastAsia" w:ascii="仿宋" w:hAnsi="仿宋" w:eastAsia="仿宋" w:cs="仿宋"/>
          <w:color w:val="auto"/>
          <w:highlight w:val="none"/>
        </w:rPr>
        <w:t>5、开标</w:t>
      </w:r>
      <w:bookmarkEnd w:id="64"/>
      <w:bookmarkEnd w:id="65"/>
    </w:p>
    <w:p>
      <w:pPr>
        <w:pStyle w:val="5"/>
        <w:rPr>
          <w:rFonts w:hint="eastAsia" w:ascii="仿宋" w:hAnsi="仿宋" w:eastAsia="仿宋" w:cs="仿宋"/>
          <w:color w:val="auto"/>
          <w:spacing w:val="14"/>
          <w:highlight w:val="none"/>
        </w:rPr>
      </w:pPr>
      <w:bookmarkStart w:id="66" w:name="_Toc1660812"/>
      <w:bookmarkStart w:id="67" w:name="_Toc30090"/>
      <w:r>
        <w:rPr>
          <w:rFonts w:hint="eastAsia" w:ascii="仿宋" w:hAnsi="仿宋" w:eastAsia="仿宋" w:cs="仿宋"/>
          <w:color w:val="auto"/>
          <w:spacing w:val="14"/>
          <w:highlight w:val="none"/>
        </w:rPr>
        <w:t>5.1 开标时间和地点</w:t>
      </w:r>
      <w:bookmarkEnd w:id="66"/>
      <w:bookmarkEnd w:id="67"/>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采购人在本章第 4.2.1 项规定的投标截止时间（开标时间）和投标人须知前附表规定的地点开标。</w:t>
      </w:r>
    </w:p>
    <w:p>
      <w:pPr>
        <w:pStyle w:val="5"/>
        <w:rPr>
          <w:rFonts w:hint="eastAsia" w:ascii="仿宋" w:hAnsi="仿宋" w:eastAsia="仿宋" w:cs="仿宋"/>
          <w:color w:val="auto"/>
          <w:spacing w:val="14"/>
          <w:highlight w:val="none"/>
        </w:rPr>
      </w:pPr>
      <w:bookmarkStart w:id="68" w:name="_Toc19997"/>
      <w:bookmarkStart w:id="69" w:name="_Toc1660813"/>
      <w:r>
        <w:rPr>
          <w:rFonts w:hint="eastAsia" w:ascii="仿宋" w:hAnsi="仿宋" w:eastAsia="仿宋" w:cs="仿宋"/>
          <w:color w:val="auto"/>
          <w:spacing w:val="14"/>
          <w:highlight w:val="none"/>
        </w:rPr>
        <w:t>5.2 开标规定</w:t>
      </w:r>
      <w:bookmarkEnd w:id="68"/>
      <w:bookmarkEnd w:id="69"/>
    </w:p>
    <w:p>
      <w:pPr>
        <w:pStyle w:val="227"/>
        <w:rPr>
          <w:rFonts w:hint="eastAsia" w:ascii="仿宋" w:hAnsi="仿宋" w:eastAsia="仿宋" w:cs="仿宋"/>
          <w:snapToGrid w:val="0"/>
          <w:color w:val="auto"/>
          <w:szCs w:val="21"/>
          <w:highlight w:val="none"/>
        </w:rPr>
      </w:pPr>
      <w:bookmarkStart w:id="70" w:name="_Toc1660814"/>
      <w:r>
        <w:rPr>
          <w:rFonts w:hint="eastAsia" w:ascii="仿宋" w:hAnsi="仿宋" w:eastAsia="仿宋" w:cs="仿宋"/>
          <w:snapToGrid w:val="0"/>
          <w:color w:val="auto"/>
          <w:szCs w:val="21"/>
          <w:highlight w:val="none"/>
        </w:rPr>
        <w:t>5.2.1本项目采用远程不见面交易的模式。开标当日，</w:t>
      </w:r>
      <w:r>
        <w:rPr>
          <w:rFonts w:hint="eastAsia" w:ascii="仿宋" w:hAnsi="仿宋" w:eastAsia="仿宋" w:cs="仿宋"/>
          <w:color w:val="auto"/>
          <w:spacing w:val="14"/>
          <w:szCs w:val="21"/>
          <w:highlight w:val="none"/>
        </w:rPr>
        <w:t>投标人</w:t>
      </w:r>
      <w:r>
        <w:rPr>
          <w:rFonts w:hint="eastAsia" w:ascii="仿宋" w:hAnsi="仿宋" w:eastAsia="仿宋" w:cs="仿宋"/>
          <w:snapToGrid w:val="0"/>
          <w:color w:val="auto"/>
          <w:szCs w:val="21"/>
          <w:highlight w:val="none"/>
        </w:rPr>
        <w:t>无需到开标现场参加开标会议，</w:t>
      </w:r>
      <w:r>
        <w:rPr>
          <w:rFonts w:hint="eastAsia" w:ascii="仿宋" w:hAnsi="仿宋" w:eastAsia="仿宋" w:cs="仿宋"/>
          <w:color w:val="auto"/>
          <w:spacing w:val="14"/>
          <w:szCs w:val="21"/>
          <w:highlight w:val="none"/>
        </w:rPr>
        <w:t>投标人</w:t>
      </w:r>
      <w:r>
        <w:rPr>
          <w:rFonts w:hint="eastAsia" w:ascii="仿宋" w:hAnsi="仿宋" w:eastAsia="仿宋" w:cs="仿宋"/>
          <w:snapToGrid w:val="0"/>
          <w:color w:val="auto"/>
          <w:szCs w:val="21"/>
          <w:highlight w:val="none"/>
        </w:rPr>
        <w:t>应当在投标截止时间前，登录远程开标大厅选择洛阳市公共资源电子招投标系统进行登录（网址为http://t.cn/A6huPROa），在线准时参加开标活动并进行投标文件解密等。因</w:t>
      </w:r>
      <w:r>
        <w:rPr>
          <w:rFonts w:hint="eastAsia" w:ascii="仿宋" w:hAnsi="仿宋" w:eastAsia="仿宋" w:cs="仿宋"/>
          <w:color w:val="auto"/>
          <w:spacing w:val="14"/>
          <w:szCs w:val="21"/>
          <w:highlight w:val="none"/>
        </w:rPr>
        <w:t>投标人</w:t>
      </w:r>
      <w:r>
        <w:rPr>
          <w:rFonts w:hint="eastAsia" w:ascii="仿宋" w:hAnsi="仿宋" w:eastAsia="仿宋" w:cs="仿宋"/>
          <w:snapToGrid w:val="0"/>
          <w:color w:val="auto"/>
          <w:szCs w:val="21"/>
          <w:highlight w:val="none"/>
        </w:rPr>
        <w:t>原因未能解密、解密失败或解密超时的将被拒绝。</w:t>
      </w:r>
    </w:p>
    <w:p>
      <w:pPr>
        <w:pStyle w:val="227"/>
        <w:rPr>
          <w:rFonts w:hint="eastAsia" w:ascii="仿宋" w:hAnsi="仿宋" w:eastAsia="仿宋" w:cs="仿宋"/>
          <w:snapToGrid w:val="0"/>
          <w:color w:val="auto"/>
          <w:szCs w:val="21"/>
          <w:highlight w:val="none"/>
        </w:rPr>
      </w:pPr>
      <w:bookmarkStart w:id="71" w:name="_Toc49691426"/>
      <w:r>
        <w:rPr>
          <w:rFonts w:hint="eastAsia" w:ascii="仿宋" w:hAnsi="仿宋" w:eastAsia="仿宋" w:cs="仿宋"/>
          <w:snapToGrid w:val="0"/>
          <w:color w:val="auto"/>
          <w:szCs w:val="21"/>
          <w:highlight w:val="none"/>
        </w:rPr>
        <w:t>5.2.2开标时，各</w:t>
      </w:r>
      <w:r>
        <w:rPr>
          <w:rFonts w:hint="eastAsia" w:ascii="仿宋" w:hAnsi="仿宋" w:eastAsia="仿宋" w:cs="仿宋"/>
          <w:color w:val="auto"/>
          <w:spacing w:val="14"/>
          <w:szCs w:val="21"/>
          <w:highlight w:val="none"/>
        </w:rPr>
        <w:t>投标人</w:t>
      </w:r>
      <w:r>
        <w:rPr>
          <w:rFonts w:hint="eastAsia" w:ascii="仿宋" w:hAnsi="仿宋" w:eastAsia="仿宋" w:cs="仿宋"/>
          <w:snapToGrid w:val="0"/>
          <w:color w:val="auto"/>
          <w:szCs w:val="21"/>
          <w:highlight w:val="none"/>
        </w:rPr>
        <w:t>应在规定时间内对本单位的投标文件解密。开标时，招标代理机构将通过洛阳市电子招投标交易平台进行唱标。</w:t>
      </w:r>
      <w:bookmarkEnd w:id="71"/>
    </w:p>
    <w:p>
      <w:pPr>
        <w:pStyle w:val="5"/>
        <w:rPr>
          <w:rFonts w:hint="eastAsia" w:ascii="仿宋" w:hAnsi="仿宋" w:eastAsia="仿宋" w:cs="仿宋"/>
          <w:color w:val="auto"/>
          <w:spacing w:val="14"/>
          <w:highlight w:val="none"/>
        </w:rPr>
      </w:pPr>
      <w:bookmarkStart w:id="72" w:name="_Toc12190"/>
      <w:r>
        <w:rPr>
          <w:rFonts w:hint="eastAsia" w:ascii="仿宋" w:hAnsi="仿宋" w:eastAsia="仿宋" w:cs="仿宋"/>
          <w:color w:val="auto"/>
          <w:spacing w:val="14"/>
          <w:highlight w:val="none"/>
        </w:rPr>
        <w:t>5.3 开标疑义</w:t>
      </w:r>
      <w:bookmarkEnd w:id="70"/>
      <w:bookmarkEnd w:id="72"/>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投标人对开标有疑义的，应按投标人须知前附表规定的方式提出。</w:t>
      </w:r>
    </w:p>
    <w:p>
      <w:pPr>
        <w:pStyle w:val="4"/>
        <w:rPr>
          <w:rFonts w:hint="eastAsia" w:ascii="仿宋" w:hAnsi="仿宋" w:eastAsia="仿宋" w:cs="仿宋"/>
          <w:color w:val="auto"/>
          <w:highlight w:val="none"/>
        </w:rPr>
      </w:pPr>
      <w:bookmarkStart w:id="73" w:name="_Toc5923"/>
      <w:bookmarkStart w:id="74" w:name="_Toc1660815"/>
      <w:r>
        <w:rPr>
          <w:rFonts w:hint="eastAsia" w:ascii="仿宋" w:hAnsi="仿宋" w:eastAsia="仿宋" w:cs="仿宋"/>
          <w:color w:val="auto"/>
          <w:highlight w:val="none"/>
        </w:rPr>
        <w:t>6、资格审查与评标</w:t>
      </w:r>
      <w:bookmarkEnd w:id="73"/>
      <w:bookmarkEnd w:id="74"/>
    </w:p>
    <w:p>
      <w:pPr>
        <w:pStyle w:val="5"/>
        <w:rPr>
          <w:rFonts w:hint="eastAsia" w:ascii="仿宋" w:hAnsi="仿宋" w:eastAsia="仿宋" w:cs="仿宋"/>
          <w:color w:val="auto"/>
          <w:spacing w:val="14"/>
          <w:highlight w:val="none"/>
        </w:rPr>
      </w:pPr>
      <w:bookmarkStart w:id="75" w:name="_Toc1660816"/>
      <w:bookmarkStart w:id="76" w:name="_Toc4967"/>
      <w:r>
        <w:rPr>
          <w:rFonts w:hint="eastAsia" w:ascii="仿宋" w:hAnsi="仿宋" w:eastAsia="仿宋" w:cs="仿宋"/>
          <w:color w:val="auto"/>
          <w:spacing w:val="14"/>
          <w:highlight w:val="none"/>
        </w:rPr>
        <w:t>6.1 资格审查小组与评标委员会</w:t>
      </w:r>
      <w:bookmarkEnd w:id="75"/>
      <w:bookmarkEnd w:id="76"/>
    </w:p>
    <w:p>
      <w:pPr>
        <w:pStyle w:val="227"/>
        <w:rPr>
          <w:rFonts w:hint="eastAsia" w:ascii="仿宋" w:hAnsi="仿宋" w:eastAsia="仿宋" w:cs="仿宋"/>
          <w:snapToGrid w:val="0"/>
          <w:color w:val="auto"/>
          <w:szCs w:val="21"/>
          <w:highlight w:val="none"/>
        </w:rPr>
      </w:pPr>
      <w:bookmarkStart w:id="77" w:name="_Toc1660817"/>
      <w:r>
        <w:rPr>
          <w:rFonts w:hint="eastAsia" w:ascii="仿宋" w:hAnsi="仿宋" w:eastAsia="仿宋" w:cs="仿宋"/>
          <w:snapToGrid w:val="0"/>
          <w:color w:val="auto"/>
          <w:szCs w:val="21"/>
          <w:highlight w:val="none"/>
        </w:rPr>
        <w:t>6.1.1采购人组建资格审查小组，</w:t>
      </w:r>
      <w:r>
        <w:rPr>
          <w:rFonts w:hint="eastAsia" w:ascii="仿宋" w:hAnsi="仿宋" w:eastAsia="仿宋" w:cs="仿宋"/>
          <w:color w:val="auto"/>
          <w:spacing w:val="14"/>
          <w:szCs w:val="21"/>
          <w:highlight w:val="none"/>
        </w:rPr>
        <w:t>由采购人代表以及评审专家</w:t>
      </w:r>
      <w:r>
        <w:rPr>
          <w:rFonts w:hint="eastAsia" w:ascii="仿宋" w:hAnsi="仿宋" w:eastAsia="仿宋" w:cs="仿宋"/>
          <w:color w:val="auto"/>
          <w:spacing w:val="14"/>
          <w:szCs w:val="21"/>
          <w:highlight w:val="none"/>
          <w:lang w:val="en-US" w:eastAsia="zh-CN"/>
        </w:rPr>
        <w:t>组成</w:t>
      </w:r>
      <w:r>
        <w:rPr>
          <w:rFonts w:hint="eastAsia" w:ascii="仿宋" w:hAnsi="仿宋" w:eastAsia="仿宋" w:cs="仿宋"/>
          <w:snapToGrid w:val="0"/>
          <w:color w:val="auto"/>
          <w:szCs w:val="21"/>
          <w:highlight w:val="none"/>
        </w:rPr>
        <w:t>。评标由采购人依法组建的评标委员会负责。评标委员会由采购人代表以及评审专家组成。评标委员会成员人数以及评审专家的确定方式见</w:t>
      </w:r>
      <w:r>
        <w:rPr>
          <w:rFonts w:hint="eastAsia" w:ascii="仿宋" w:hAnsi="仿宋" w:eastAsia="仿宋" w:cs="仿宋"/>
          <w:color w:val="auto"/>
          <w:spacing w:val="14"/>
          <w:szCs w:val="21"/>
          <w:highlight w:val="none"/>
        </w:rPr>
        <w:t>投标人须知前附表</w:t>
      </w:r>
      <w:r>
        <w:rPr>
          <w:rFonts w:hint="eastAsia" w:ascii="仿宋" w:hAnsi="仿宋" w:eastAsia="仿宋" w:cs="仿宋"/>
          <w:snapToGrid w:val="0"/>
          <w:color w:val="auto"/>
          <w:szCs w:val="21"/>
          <w:highlight w:val="none"/>
        </w:rPr>
        <w:t>。</w:t>
      </w:r>
    </w:p>
    <w:p>
      <w:pPr>
        <w:pStyle w:val="227"/>
        <w:rPr>
          <w:rFonts w:hint="eastAsia" w:ascii="仿宋" w:hAnsi="仿宋" w:eastAsia="仿宋" w:cs="仿宋"/>
          <w:snapToGrid w:val="0"/>
          <w:color w:val="auto"/>
          <w:szCs w:val="21"/>
          <w:highlight w:val="none"/>
        </w:rPr>
      </w:pPr>
      <w:r>
        <w:rPr>
          <w:rFonts w:hint="eastAsia" w:ascii="仿宋" w:hAnsi="仿宋" w:eastAsia="仿宋" w:cs="仿宋"/>
          <w:snapToGrid w:val="0"/>
          <w:color w:val="auto"/>
          <w:szCs w:val="21"/>
          <w:highlight w:val="none"/>
        </w:rPr>
        <w:t>6.1.2 评标委员会成员有下列情形之一的，应当回避：</w:t>
      </w:r>
    </w:p>
    <w:p>
      <w:pPr>
        <w:pStyle w:val="227"/>
        <w:rPr>
          <w:rFonts w:hint="eastAsia" w:ascii="仿宋" w:hAnsi="仿宋" w:eastAsia="仿宋" w:cs="仿宋"/>
          <w:snapToGrid w:val="0"/>
          <w:color w:val="auto"/>
          <w:szCs w:val="21"/>
          <w:highlight w:val="none"/>
        </w:rPr>
      </w:pPr>
      <w:r>
        <w:rPr>
          <w:rFonts w:hint="eastAsia" w:ascii="仿宋" w:hAnsi="仿宋" w:eastAsia="仿宋" w:cs="仿宋"/>
          <w:snapToGrid w:val="0"/>
          <w:color w:val="auto"/>
          <w:szCs w:val="21"/>
          <w:highlight w:val="none"/>
        </w:rPr>
        <w:t>（1）参加采购活动前3年内与</w:t>
      </w:r>
      <w:r>
        <w:rPr>
          <w:rFonts w:hint="eastAsia" w:ascii="仿宋" w:hAnsi="仿宋" w:eastAsia="仿宋" w:cs="仿宋"/>
          <w:color w:val="auto"/>
          <w:spacing w:val="14"/>
          <w:szCs w:val="21"/>
          <w:highlight w:val="none"/>
        </w:rPr>
        <w:t>投标人</w:t>
      </w:r>
      <w:r>
        <w:rPr>
          <w:rFonts w:hint="eastAsia" w:ascii="仿宋" w:hAnsi="仿宋" w:eastAsia="仿宋" w:cs="仿宋"/>
          <w:snapToGrid w:val="0"/>
          <w:color w:val="auto"/>
          <w:szCs w:val="21"/>
          <w:highlight w:val="none"/>
        </w:rPr>
        <w:t>存在劳动关系；</w:t>
      </w:r>
    </w:p>
    <w:p>
      <w:pPr>
        <w:pStyle w:val="227"/>
        <w:rPr>
          <w:rFonts w:hint="eastAsia" w:ascii="仿宋" w:hAnsi="仿宋" w:eastAsia="仿宋" w:cs="仿宋"/>
          <w:snapToGrid w:val="0"/>
          <w:color w:val="auto"/>
          <w:szCs w:val="21"/>
          <w:highlight w:val="none"/>
        </w:rPr>
      </w:pPr>
      <w:r>
        <w:rPr>
          <w:rFonts w:hint="eastAsia" w:ascii="仿宋" w:hAnsi="仿宋" w:eastAsia="仿宋" w:cs="仿宋"/>
          <w:snapToGrid w:val="0"/>
          <w:color w:val="auto"/>
          <w:szCs w:val="21"/>
          <w:highlight w:val="none"/>
        </w:rPr>
        <w:t>（2）参加采购活动前3年内担任</w:t>
      </w:r>
      <w:r>
        <w:rPr>
          <w:rFonts w:hint="eastAsia" w:ascii="仿宋" w:hAnsi="仿宋" w:eastAsia="仿宋" w:cs="仿宋"/>
          <w:color w:val="auto"/>
          <w:spacing w:val="14"/>
          <w:szCs w:val="21"/>
          <w:highlight w:val="none"/>
        </w:rPr>
        <w:t>投标人</w:t>
      </w:r>
      <w:r>
        <w:rPr>
          <w:rFonts w:hint="eastAsia" w:ascii="仿宋" w:hAnsi="仿宋" w:eastAsia="仿宋" w:cs="仿宋"/>
          <w:snapToGrid w:val="0"/>
          <w:color w:val="auto"/>
          <w:szCs w:val="21"/>
          <w:highlight w:val="none"/>
        </w:rPr>
        <w:t>的董事、监事；</w:t>
      </w:r>
    </w:p>
    <w:p>
      <w:pPr>
        <w:pStyle w:val="227"/>
        <w:rPr>
          <w:rFonts w:hint="eastAsia" w:ascii="仿宋" w:hAnsi="仿宋" w:eastAsia="仿宋" w:cs="仿宋"/>
          <w:snapToGrid w:val="0"/>
          <w:color w:val="auto"/>
          <w:szCs w:val="21"/>
          <w:highlight w:val="none"/>
        </w:rPr>
      </w:pPr>
      <w:r>
        <w:rPr>
          <w:rFonts w:hint="eastAsia" w:ascii="仿宋" w:hAnsi="仿宋" w:eastAsia="仿宋" w:cs="仿宋"/>
          <w:snapToGrid w:val="0"/>
          <w:color w:val="auto"/>
          <w:szCs w:val="21"/>
          <w:highlight w:val="none"/>
        </w:rPr>
        <w:t>（3）参加采购活动前3年内是</w:t>
      </w:r>
      <w:r>
        <w:rPr>
          <w:rFonts w:hint="eastAsia" w:ascii="仿宋" w:hAnsi="仿宋" w:eastAsia="仿宋" w:cs="仿宋"/>
          <w:color w:val="auto"/>
          <w:spacing w:val="14"/>
          <w:szCs w:val="21"/>
          <w:highlight w:val="none"/>
        </w:rPr>
        <w:t>投标人</w:t>
      </w:r>
      <w:r>
        <w:rPr>
          <w:rFonts w:hint="eastAsia" w:ascii="仿宋" w:hAnsi="仿宋" w:eastAsia="仿宋" w:cs="仿宋"/>
          <w:snapToGrid w:val="0"/>
          <w:color w:val="auto"/>
          <w:szCs w:val="21"/>
          <w:highlight w:val="none"/>
        </w:rPr>
        <w:t>的控股股东或者实际控制人；</w:t>
      </w:r>
    </w:p>
    <w:p>
      <w:pPr>
        <w:pStyle w:val="227"/>
        <w:rPr>
          <w:rFonts w:hint="eastAsia" w:ascii="仿宋" w:hAnsi="仿宋" w:eastAsia="仿宋" w:cs="仿宋"/>
          <w:snapToGrid w:val="0"/>
          <w:color w:val="auto"/>
          <w:szCs w:val="21"/>
          <w:highlight w:val="none"/>
        </w:rPr>
      </w:pPr>
      <w:r>
        <w:rPr>
          <w:rFonts w:hint="eastAsia" w:ascii="仿宋" w:hAnsi="仿宋" w:eastAsia="仿宋" w:cs="仿宋"/>
          <w:snapToGrid w:val="0"/>
          <w:color w:val="auto"/>
          <w:szCs w:val="21"/>
          <w:highlight w:val="none"/>
        </w:rPr>
        <w:t>（4）与</w:t>
      </w:r>
      <w:r>
        <w:rPr>
          <w:rFonts w:hint="eastAsia" w:ascii="仿宋" w:hAnsi="仿宋" w:eastAsia="仿宋" w:cs="仿宋"/>
          <w:color w:val="auto"/>
          <w:spacing w:val="14"/>
          <w:szCs w:val="21"/>
          <w:highlight w:val="none"/>
        </w:rPr>
        <w:t>投标人</w:t>
      </w:r>
      <w:r>
        <w:rPr>
          <w:rFonts w:hint="eastAsia" w:ascii="仿宋" w:hAnsi="仿宋" w:eastAsia="仿宋" w:cs="仿宋"/>
          <w:snapToGrid w:val="0"/>
          <w:color w:val="auto"/>
          <w:szCs w:val="21"/>
          <w:highlight w:val="none"/>
        </w:rPr>
        <w:t>的法定代表人或者负责人有夫妻、直系血亲、三代以内旁系血亲或者近姻亲关系；</w:t>
      </w:r>
    </w:p>
    <w:p>
      <w:pPr>
        <w:pStyle w:val="227"/>
        <w:rPr>
          <w:rFonts w:hint="eastAsia" w:ascii="仿宋" w:hAnsi="仿宋" w:eastAsia="仿宋" w:cs="仿宋"/>
          <w:snapToGrid w:val="0"/>
          <w:color w:val="auto"/>
          <w:szCs w:val="21"/>
          <w:highlight w:val="none"/>
        </w:rPr>
      </w:pPr>
      <w:r>
        <w:rPr>
          <w:rFonts w:hint="eastAsia" w:ascii="仿宋" w:hAnsi="仿宋" w:eastAsia="仿宋" w:cs="仿宋"/>
          <w:snapToGrid w:val="0"/>
          <w:color w:val="auto"/>
          <w:szCs w:val="21"/>
          <w:highlight w:val="none"/>
        </w:rPr>
        <w:t>（5）与</w:t>
      </w:r>
      <w:r>
        <w:rPr>
          <w:rFonts w:hint="eastAsia" w:ascii="仿宋" w:hAnsi="仿宋" w:eastAsia="仿宋" w:cs="仿宋"/>
          <w:color w:val="auto"/>
          <w:spacing w:val="14"/>
          <w:szCs w:val="21"/>
          <w:highlight w:val="none"/>
        </w:rPr>
        <w:t>投标人</w:t>
      </w:r>
      <w:r>
        <w:rPr>
          <w:rFonts w:hint="eastAsia" w:ascii="仿宋" w:hAnsi="仿宋" w:eastAsia="仿宋" w:cs="仿宋"/>
          <w:snapToGrid w:val="0"/>
          <w:color w:val="auto"/>
          <w:szCs w:val="21"/>
          <w:highlight w:val="none"/>
        </w:rPr>
        <w:t>有其他可能影响政府采购活动公平、公正进行的关系。</w:t>
      </w:r>
    </w:p>
    <w:p>
      <w:pPr>
        <w:pStyle w:val="227"/>
        <w:rPr>
          <w:rFonts w:hint="eastAsia" w:ascii="仿宋" w:hAnsi="仿宋" w:eastAsia="仿宋" w:cs="仿宋"/>
          <w:snapToGrid w:val="0"/>
          <w:color w:val="auto"/>
          <w:szCs w:val="21"/>
          <w:highlight w:val="none"/>
        </w:rPr>
      </w:pPr>
      <w:r>
        <w:rPr>
          <w:rFonts w:hint="eastAsia" w:ascii="仿宋" w:hAnsi="仿宋" w:eastAsia="仿宋" w:cs="仿宋"/>
          <w:snapToGrid w:val="0"/>
          <w:color w:val="auto"/>
          <w:szCs w:val="21"/>
          <w:highlight w:val="none"/>
        </w:rPr>
        <w:t>6.1.3 评标过程中，评标委员会成员有回避事由、擅离职守或者因健康等原因不能继续评标的，采购人有权更换。被更换的评标委员会成员作出的评审结论无效，由更换后的评标委员会成员重新进行评审。</w:t>
      </w:r>
    </w:p>
    <w:p>
      <w:pPr>
        <w:pStyle w:val="5"/>
        <w:rPr>
          <w:rFonts w:hint="eastAsia" w:ascii="仿宋" w:hAnsi="仿宋" w:eastAsia="仿宋" w:cs="仿宋"/>
          <w:color w:val="auto"/>
          <w:spacing w:val="14"/>
          <w:highlight w:val="none"/>
        </w:rPr>
      </w:pPr>
      <w:bookmarkStart w:id="78" w:name="_Toc16717"/>
      <w:r>
        <w:rPr>
          <w:rFonts w:hint="eastAsia" w:ascii="仿宋" w:hAnsi="仿宋" w:eastAsia="仿宋" w:cs="仿宋"/>
          <w:color w:val="auto"/>
          <w:spacing w:val="14"/>
          <w:highlight w:val="none"/>
        </w:rPr>
        <w:t>6.2 资格审查与评标原则</w:t>
      </w:r>
      <w:bookmarkEnd w:id="77"/>
      <w:bookmarkEnd w:id="78"/>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资格审查遵循公平、公正的原则，评标活动遵循公平、公正、科学和择优的原则。</w:t>
      </w:r>
    </w:p>
    <w:p>
      <w:pPr>
        <w:pStyle w:val="5"/>
        <w:rPr>
          <w:rFonts w:hint="eastAsia" w:ascii="仿宋" w:hAnsi="仿宋" w:eastAsia="仿宋" w:cs="仿宋"/>
          <w:color w:val="auto"/>
          <w:spacing w:val="14"/>
          <w:highlight w:val="none"/>
        </w:rPr>
      </w:pPr>
      <w:bookmarkStart w:id="79" w:name="_Toc1660818"/>
      <w:bookmarkStart w:id="80" w:name="_Toc24058"/>
      <w:r>
        <w:rPr>
          <w:rFonts w:hint="eastAsia" w:ascii="仿宋" w:hAnsi="仿宋" w:eastAsia="仿宋" w:cs="仿宋"/>
          <w:color w:val="auto"/>
          <w:spacing w:val="14"/>
          <w:highlight w:val="none"/>
        </w:rPr>
        <w:t>6.3资格审查与评标</w:t>
      </w:r>
      <w:bookmarkEnd w:id="79"/>
      <w:bookmarkEnd w:id="80"/>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6.3.1 资格审查小组与评标委员会按照第五章“资格审查与评标办法”规定的方法、评审因素、标准和程序对投标人进行资格审查，并对投标文件进行评审。第五章“资格审查与评标办法”没有规定的方法、评审因素和标准，不作为资格审查与评标依据。</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6.3.2 通过资格审查的投标人的投标文件由评标委员会进行评审。评标完成后，评标委员会应当提交书面评标报告和中标候选人名单。评标委员会推荐中标候选人的人数见投标人须知前附表。</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6.3.3本次招标采用电子化评标，如“洛阳市电子招投标交易平台”系统出现故障，导致无法继续评审工作的，可暂停评标，对原有资料及信息作出妥善保密处理，待电子评标系统恢复正常之后组织评审。</w:t>
      </w:r>
    </w:p>
    <w:p>
      <w:pPr>
        <w:pStyle w:val="4"/>
        <w:rPr>
          <w:rFonts w:hint="eastAsia" w:ascii="仿宋" w:hAnsi="仿宋" w:eastAsia="仿宋" w:cs="仿宋"/>
          <w:color w:val="auto"/>
          <w:highlight w:val="none"/>
        </w:rPr>
      </w:pPr>
      <w:bookmarkStart w:id="81" w:name="_Toc1660819"/>
      <w:bookmarkStart w:id="82" w:name="_Toc10633"/>
      <w:r>
        <w:rPr>
          <w:rFonts w:hint="eastAsia" w:ascii="仿宋" w:hAnsi="仿宋" w:eastAsia="仿宋" w:cs="仿宋"/>
          <w:color w:val="auto"/>
          <w:highlight w:val="none"/>
        </w:rPr>
        <w:t>7、定标及合同授予</w:t>
      </w:r>
      <w:bookmarkEnd w:id="81"/>
      <w:bookmarkEnd w:id="82"/>
    </w:p>
    <w:p>
      <w:pPr>
        <w:pStyle w:val="5"/>
        <w:rPr>
          <w:rFonts w:hint="eastAsia" w:ascii="仿宋" w:hAnsi="仿宋" w:eastAsia="仿宋" w:cs="仿宋"/>
          <w:color w:val="auto"/>
          <w:spacing w:val="14"/>
          <w:highlight w:val="none"/>
        </w:rPr>
      </w:pPr>
      <w:bookmarkStart w:id="83" w:name="_Toc25606"/>
      <w:bookmarkStart w:id="84" w:name="_Toc1660820"/>
      <w:r>
        <w:rPr>
          <w:rFonts w:hint="eastAsia" w:ascii="仿宋" w:hAnsi="仿宋" w:eastAsia="仿宋" w:cs="仿宋"/>
          <w:color w:val="auto"/>
          <w:spacing w:val="14"/>
          <w:highlight w:val="none"/>
        </w:rPr>
        <w:t>7.1 定标</w:t>
      </w:r>
      <w:bookmarkEnd w:id="83"/>
      <w:bookmarkEnd w:id="84"/>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7.1.1按照投标人须知前附表的规定，采购人或采购人授权的评标委员会依法确定中标人。</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7.1.2按投标人须知前附表的规定的定标原则确定中标人。</w:t>
      </w:r>
    </w:p>
    <w:p>
      <w:pPr>
        <w:pStyle w:val="5"/>
        <w:rPr>
          <w:rFonts w:hint="eastAsia" w:ascii="仿宋" w:hAnsi="仿宋" w:eastAsia="仿宋" w:cs="仿宋"/>
          <w:color w:val="auto"/>
          <w:spacing w:val="14"/>
          <w:highlight w:val="none"/>
        </w:rPr>
      </w:pPr>
      <w:bookmarkStart w:id="85" w:name="_Toc1660821"/>
      <w:bookmarkStart w:id="86" w:name="_Toc5957"/>
      <w:r>
        <w:rPr>
          <w:rFonts w:hint="eastAsia" w:ascii="仿宋" w:hAnsi="仿宋" w:eastAsia="仿宋" w:cs="仿宋"/>
          <w:color w:val="auto"/>
          <w:spacing w:val="14"/>
          <w:highlight w:val="none"/>
        </w:rPr>
        <w:t>7.2 中标结果</w:t>
      </w:r>
      <w:bookmarkEnd w:id="85"/>
      <w:bookmarkEnd w:id="86"/>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自中标人确定之日起1个工作日内，在投标人须知前附表规定的媒体上公告中标结果，招标文件随中标结果同时公告。</w:t>
      </w:r>
    </w:p>
    <w:p>
      <w:pPr>
        <w:pStyle w:val="5"/>
        <w:rPr>
          <w:rFonts w:hint="eastAsia" w:ascii="仿宋" w:hAnsi="仿宋" w:eastAsia="仿宋" w:cs="仿宋"/>
          <w:color w:val="auto"/>
          <w:spacing w:val="14"/>
          <w:highlight w:val="none"/>
        </w:rPr>
      </w:pPr>
      <w:bookmarkStart w:id="87" w:name="_Toc1660822"/>
      <w:bookmarkStart w:id="88" w:name="_Toc26325"/>
      <w:r>
        <w:rPr>
          <w:rFonts w:hint="eastAsia" w:ascii="仿宋" w:hAnsi="仿宋" w:eastAsia="仿宋" w:cs="仿宋"/>
          <w:color w:val="auto"/>
          <w:spacing w:val="14"/>
          <w:highlight w:val="none"/>
        </w:rPr>
        <w:t>7.3 中标通知</w:t>
      </w:r>
      <w:bookmarkEnd w:id="87"/>
      <w:bookmarkEnd w:id="88"/>
    </w:p>
    <w:p>
      <w:pPr>
        <w:pStyle w:val="227"/>
        <w:rPr>
          <w:rFonts w:hint="eastAsia" w:ascii="仿宋" w:hAnsi="仿宋" w:eastAsia="仿宋" w:cs="仿宋"/>
          <w:snapToGrid w:val="0"/>
          <w:color w:val="auto"/>
          <w:szCs w:val="21"/>
          <w:highlight w:val="none"/>
        </w:rPr>
      </w:pPr>
      <w:bookmarkStart w:id="89" w:name="_Toc1660823"/>
      <w:r>
        <w:rPr>
          <w:rFonts w:hint="eastAsia" w:ascii="仿宋" w:hAnsi="仿宋" w:eastAsia="仿宋" w:cs="仿宋"/>
          <w:color w:val="auto"/>
          <w:spacing w:val="14"/>
          <w:szCs w:val="21"/>
          <w:highlight w:val="none"/>
        </w:rPr>
        <w:t>7.3.1</w:t>
      </w:r>
      <w:r>
        <w:rPr>
          <w:rFonts w:hint="eastAsia" w:ascii="仿宋" w:hAnsi="仿宋" w:eastAsia="仿宋" w:cs="仿宋"/>
          <w:snapToGrid w:val="0"/>
          <w:color w:val="auto"/>
          <w:szCs w:val="21"/>
          <w:highlight w:val="none"/>
        </w:rPr>
        <w:t>中标人应在发布中标结果公告后的1个工作日内领取《中标通知书》，通过电子招标投标交易平台以数据电文形式向中标人发出中标通知书。逾期未领的，视同第1个工作日内已领取。《中标通知书》对采购人和中标人均具有法律效力。</w:t>
      </w:r>
    </w:p>
    <w:p>
      <w:pPr>
        <w:pStyle w:val="5"/>
        <w:ind w:firstLine="414" w:firstLineChars="200"/>
        <w:rPr>
          <w:rFonts w:hint="eastAsia" w:ascii="仿宋" w:hAnsi="仿宋" w:eastAsia="仿宋" w:cs="仿宋"/>
          <w:b w:val="0"/>
          <w:bCs w:val="0"/>
          <w:color w:val="auto"/>
          <w:spacing w:val="14"/>
          <w:sz w:val="21"/>
          <w:szCs w:val="21"/>
          <w:highlight w:val="none"/>
        </w:rPr>
      </w:pPr>
      <w:bookmarkStart w:id="90" w:name="_Toc18408"/>
      <w:r>
        <w:rPr>
          <w:rFonts w:hint="eastAsia" w:ascii="仿宋" w:hAnsi="仿宋" w:eastAsia="仿宋" w:cs="仿宋"/>
          <w:b w:val="0"/>
          <w:bCs w:val="0"/>
          <w:color w:val="auto"/>
          <w:spacing w:val="14"/>
          <w:sz w:val="21"/>
          <w:szCs w:val="21"/>
          <w:highlight w:val="none"/>
        </w:rPr>
        <w:t>7.3.2《中标通知书》、招标文件、中标人的投标文件及其澄清文件均为签订合同的依据。</w:t>
      </w:r>
      <w:bookmarkEnd w:id="90"/>
    </w:p>
    <w:p>
      <w:pPr>
        <w:pStyle w:val="5"/>
        <w:rPr>
          <w:rFonts w:hint="eastAsia" w:ascii="仿宋" w:hAnsi="仿宋" w:eastAsia="仿宋" w:cs="仿宋"/>
          <w:color w:val="auto"/>
          <w:spacing w:val="14"/>
          <w:highlight w:val="none"/>
        </w:rPr>
      </w:pPr>
      <w:bookmarkStart w:id="91" w:name="_Toc21079"/>
      <w:r>
        <w:rPr>
          <w:rFonts w:hint="eastAsia" w:ascii="仿宋" w:hAnsi="仿宋" w:eastAsia="仿宋" w:cs="仿宋"/>
          <w:color w:val="auto"/>
          <w:spacing w:val="14"/>
          <w:highlight w:val="none"/>
        </w:rPr>
        <w:t>7.4 履约保证金</w:t>
      </w:r>
      <w:bookmarkEnd w:id="89"/>
      <w:bookmarkEnd w:id="91"/>
    </w:p>
    <w:p>
      <w:pPr>
        <w:pStyle w:val="154"/>
        <w:rPr>
          <w:rFonts w:hint="eastAsia" w:ascii="仿宋" w:hAnsi="仿宋" w:eastAsia="仿宋" w:cs="仿宋"/>
          <w:color w:val="auto"/>
          <w:spacing w:val="14"/>
          <w:szCs w:val="21"/>
          <w:highlight w:val="none"/>
        </w:rPr>
      </w:pPr>
      <w:bookmarkStart w:id="92" w:name="_Toc1660824"/>
      <w:r>
        <w:rPr>
          <w:rFonts w:hint="eastAsia" w:ascii="仿宋" w:hAnsi="仿宋" w:eastAsia="仿宋" w:cs="仿宋"/>
          <w:color w:val="auto"/>
          <w:spacing w:val="14"/>
          <w:szCs w:val="21"/>
          <w:highlight w:val="none"/>
        </w:rPr>
        <w:t>本项目不收取履约保证金。</w:t>
      </w:r>
    </w:p>
    <w:p>
      <w:pPr>
        <w:pStyle w:val="5"/>
        <w:rPr>
          <w:rFonts w:hint="eastAsia" w:ascii="仿宋" w:hAnsi="仿宋" w:eastAsia="仿宋" w:cs="仿宋"/>
          <w:color w:val="auto"/>
          <w:spacing w:val="14"/>
          <w:highlight w:val="none"/>
        </w:rPr>
      </w:pPr>
      <w:bookmarkStart w:id="93" w:name="_Toc4930"/>
      <w:r>
        <w:rPr>
          <w:rFonts w:hint="eastAsia" w:ascii="仿宋" w:hAnsi="仿宋" w:eastAsia="仿宋" w:cs="仿宋"/>
          <w:color w:val="auto"/>
          <w:spacing w:val="14"/>
          <w:highlight w:val="none"/>
        </w:rPr>
        <w:t>7.5 签订合同</w:t>
      </w:r>
      <w:bookmarkEnd w:id="92"/>
      <w:bookmarkEnd w:id="93"/>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7.5.1 采购人和中标人应当在中标通知书发出之日起1日内，根据招标文件和中标人的投标文件订立书面合同。中标人无正当理由拒签合同，在签订合同时向采购人提出附加条件，或者不按照招标文件要求提交履约保证金的，采购人有权取消其中标资格，其投标保证金不予退还；给采购人造成的损失超过投标保证金数额的，中标人还应当对超过部分予以赔偿。</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7.5.2 发出中标通知书后，采购人无正当理由拒签合同，或者在签订合同时向中标人提出附加条件的，采购人向中标人退还投标保证金；给中标人造成损失的，还应当赔偿损失。</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7.5.3 联合体中标的，联合体各方应当共同与采购人签订合同，就中标项目向采购人承担连带责任。</w:t>
      </w:r>
    </w:p>
    <w:p>
      <w:pPr>
        <w:pStyle w:val="4"/>
        <w:rPr>
          <w:rFonts w:hint="eastAsia" w:ascii="仿宋" w:hAnsi="仿宋" w:eastAsia="仿宋" w:cs="仿宋"/>
          <w:color w:val="auto"/>
          <w:highlight w:val="none"/>
        </w:rPr>
      </w:pPr>
      <w:bookmarkStart w:id="94" w:name="_Toc1660825"/>
      <w:bookmarkStart w:id="95" w:name="_Toc13390"/>
      <w:r>
        <w:rPr>
          <w:rFonts w:hint="eastAsia" w:ascii="仿宋" w:hAnsi="仿宋" w:eastAsia="仿宋" w:cs="仿宋"/>
          <w:color w:val="auto"/>
          <w:highlight w:val="none"/>
        </w:rPr>
        <w:t>8、纪律和监督</w:t>
      </w:r>
      <w:bookmarkEnd w:id="94"/>
      <w:bookmarkEnd w:id="95"/>
    </w:p>
    <w:p>
      <w:pPr>
        <w:pStyle w:val="5"/>
        <w:rPr>
          <w:rFonts w:hint="eastAsia" w:ascii="仿宋" w:hAnsi="仿宋" w:eastAsia="仿宋" w:cs="仿宋"/>
          <w:color w:val="auto"/>
          <w:spacing w:val="14"/>
          <w:highlight w:val="none"/>
        </w:rPr>
      </w:pPr>
      <w:bookmarkStart w:id="96" w:name="_Toc22642"/>
      <w:bookmarkStart w:id="97" w:name="_Toc1660826"/>
      <w:r>
        <w:rPr>
          <w:rFonts w:hint="eastAsia" w:ascii="仿宋" w:hAnsi="仿宋" w:eastAsia="仿宋" w:cs="仿宋"/>
          <w:color w:val="auto"/>
          <w:spacing w:val="14"/>
          <w:highlight w:val="none"/>
        </w:rPr>
        <w:t>8.1 对采购人的纪律要求</w:t>
      </w:r>
      <w:bookmarkEnd w:id="96"/>
      <w:bookmarkEnd w:id="97"/>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8.1.1不得以不合理的条件对投标人实行差别待遇或者歧视待遇，排斥其他投标人公平参与竞争；</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8.1.2不得与投标人或采购代理机构串通损害国家利益、社会公共利益或者他人合法权益；</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8.1.3不得诱导、干预或影响评标委员会依法依规评标，不得诱导、干预或影响评标专家依法依规独立评标；</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8.1.4不得泄漏采购活动中应当保密的情况和资料；</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8.1.5不得接受投标人或采购代理机构的贿赂，或获取其他不正当利益；</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8.1.6不得无正当理由拒绝与中标人签订合同；</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8.1.7参与采购活动的相关人员与投标人有利害关系的应当回避；</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8.1.8采购过程中，不得有其他违法违规行为。</w:t>
      </w:r>
    </w:p>
    <w:p>
      <w:pPr>
        <w:pStyle w:val="5"/>
        <w:rPr>
          <w:rFonts w:hint="eastAsia" w:ascii="仿宋" w:hAnsi="仿宋" w:eastAsia="仿宋" w:cs="仿宋"/>
          <w:color w:val="auto"/>
          <w:spacing w:val="14"/>
          <w:highlight w:val="none"/>
        </w:rPr>
      </w:pPr>
      <w:bookmarkStart w:id="98" w:name="_Toc1660827"/>
      <w:bookmarkStart w:id="99" w:name="_Toc32282"/>
      <w:r>
        <w:rPr>
          <w:rFonts w:hint="eastAsia" w:ascii="仿宋" w:hAnsi="仿宋" w:eastAsia="仿宋" w:cs="仿宋"/>
          <w:color w:val="auto"/>
          <w:spacing w:val="14"/>
          <w:highlight w:val="none"/>
        </w:rPr>
        <w:t>8.2 对</w:t>
      </w:r>
      <w:r>
        <w:rPr>
          <w:rFonts w:hint="eastAsia" w:ascii="仿宋" w:hAnsi="仿宋" w:eastAsia="仿宋" w:cs="仿宋"/>
          <w:color w:val="auto"/>
          <w:spacing w:val="14"/>
          <w:szCs w:val="21"/>
          <w:highlight w:val="none"/>
        </w:rPr>
        <w:t>投标人</w:t>
      </w:r>
      <w:r>
        <w:rPr>
          <w:rFonts w:hint="eastAsia" w:ascii="仿宋" w:hAnsi="仿宋" w:eastAsia="仿宋" w:cs="仿宋"/>
          <w:color w:val="auto"/>
          <w:spacing w:val="14"/>
          <w:highlight w:val="none"/>
        </w:rPr>
        <w:t>的纪律要求</w:t>
      </w:r>
      <w:bookmarkEnd w:id="98"/>
      <w:bookmarkEnd w:id="99"/>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8.2.1不得以他人名义投标；</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8.2.2投标人不得相互串通投标，不得与采购人、与采购代理机构串通投标；</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8.2.3不得向采购人或者评标委员会成员行贿，或提供其他不正当利益谋取中标；</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8.2.4不得弄虚作假骗取中标，不得虚假应标，不得恶意低价抢标；</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8.2.5投标人不得以任何方式干扰、影响评标工作；</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8.2.6不得无正当理由弃标或中标后拒绝与采购人签订合同；</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8.2.7不得恶意诋毁其他投标人、采购人或采购代理机构；</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8.2.8在参与政府采购活动中，不得有其他违法违规行为。</w:t>
      </w:r>
    </w:p>
    <w:p>
      <w:pPr>
        <w:pStyle w:val="5"/>
        <w:rPr>
          <w:rFonts w:hint="eastAsia" w:ascii="仿宋" w:hAnsi="仿宋" w:eastAsia="仿宋" w:cs="仿宋"/>
          <w:color w:val="auto"/>
          <w:spacing w:val="14"/>
          <w:highlight w:val="none"/>
        </w:rPr>
      </w:pPr>
      <w:bookmarkStart w:id="100" w:name="_Toc1660828"/>
      <w:bookmarkStart w:id="101" w:name="_Toc7957"/>
      <w:r>
        <w:rPr>
          <w:rFonts w:hint="eastAsia" w:ascii="仿宋" w:hAnsi="仿宋" w:eastAsia="仿宋" w:cs="仿宋"/>
          <w:color w:val="auto"/>
          <w:spacing w:val="14"/>
          <w:highlight w:val="none"/>
        </w:rPr>
        <w:t>8.3 对评标委员会成员的纪律要求</w:t>
      </w:r>
      <w:bookmarkEnd w:id="100"/>
      <w:bookmarkEnd w:id="101"/>
    </w:p>
    <w:p>
      <w:pPr>
        <w:pStyle w:val="154"/>
        <w:tabs>
          <w:tab w:val="left" w:pos="5738"/>
        </w:tabs>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8.3.1确定参与评标至评标结束前，不得私自接触投标人；</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8.3.2不得与投标人或采购代理机构串通损害国家利益、社会公共利益或者他人合法权益；</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8.3.3不得接受投标人主动提出的与投标文件不一致的澄清和说明；</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8.3.4不得征询采购人的倾向性意见；</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8.3.5不得对主观评审因素协商评分；</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8.3.6不得对客观评审因素评分不一致；</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8.3.7评标委员会成员不得接受投标人、采购人和采购代理机构等他人的贿赂或者其他不正当利益；</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8.3.8不得以不合理的条件对投标人实行差别待遇或者歧视待遇，排斥其他投标人公平参与竞争；</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8.3.9不得使用招标文件没有规定的评标方法和评标标准进行评标；</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8.3.10不得诱导、干预或影响其他评标专家依法依规独立评标；</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8.3.11在评标活动中，评标委员会成员不得擅离职守，影响评标工作正常进行；</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8.3.12不得记录、复制或带走任何评标资料；</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8.3.11不得泄露评标过程中获悉的对投标文件的评审和比较、中标候选人的推荐情况以及与评标有关的应当保密的情况和资料；</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8.3.13评标委员会成员与投标人存在利害关系应当回避；</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8.3.14在参与政府采购评标活动中，不得有其他违法违规行为。</w:t>
      </w:r>
    </w:p>
    <w:p>
      <w:pPr>
        <w:pStyle w:val="5"/>
        <w:rPr>
          <w:rFonts w:hint="eastAsia" w:ascii="仿宋" w:hAnsi="仿宋" w:eastAsia="仿宋" w:cs="仿宋"/>
          <w:color w:val="auto"/>
          <w:spacing w:val="14"/>
          <w:highlight w:val="none"/>
        </w:rPr>
      </w:pPr>
      <w:bookmarkStart w:id="102" w:name="_Toc1660829"/>
      <w:bookmarkStart w:id="103" w:name="_Toc28093"/>
      <w:r>
        <w:rPr>
          <w:rFonts w:hint="eastAsia" w:ascii="仿宋" w:hAnsi="仿宋" w:eastAsia="仿宋" w:cs="仿宋"/>
          <w:color w:val="auto"/>
          <w:spacing w:val="14"/>
          <w:highlight w:val="none"/>
        </w:rPr>
        <w:t>8.4 对与评标活动有关的工作人员的纪律要求</w:t>
      </w:r>
      <w:bookmarkEnd w:id="102"/>
      <w:bookmarkEnd w:id="103"/>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8.4.1不得接受投标人、采购人和采购代理机构等他人的贿赂或者其他不正当利益；</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8.4.2不得与投标人、采购代理机构或评标专家串通损害国家利益、社会公共利益或者他人合法权益；</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8.4.3不得以不合理的条件对投标人实行差别待遇或者歧视待遇，排斥其他投标人公平参与竞争；</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8.4.4不得诱导、干预或影响评标委员会及其成员依法依规独立评标；</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8.4.5不得擅离职守，影响评标工作正常进行；</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8.4.6不得泄漏采购活动中应当保密的情况和资料；</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8.4.7与投标人有利害关系的应当回避；</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8.4.8在参与或服务政府采购活动中，不得有其他违法违规行为。</w:t>
      </w:r>
    </w:p>
    <w:p>
      <w:pPr>
        <w:pStyle w:val="5"/>
        <w:rPr>
          <w:rFonts w:hint="eastAsia" w:ascii="仿宋" w:hAnsi="仿宋" w:eastAsia="仿宋" w:cs="仿宋"/>
          <w:color w:val="auto"/>
          <w:spacing w:val="14"/>
          <w:highlight w:val="none"/>
        </w:rPr>
      </w:pPr>
      <w:bookmarkStart w:id="104" w:name="_Toc30385"/>
      <w:bookmarkStart w:id="105" w:name="_Toc1660830"/>
      <w:r>
        <w:rPr>
          <w:rFonts w:hint="eastAsia" w:ascii="仿宋" w:hAnsi="仿宋" w:eastAsia="仿宋" w:cs="仿宋"/>
          <w:color w:val="auto"/>
          <w:spacing w:val="14"/>
          <w:highlight w:val="none"/>
        </w:rPr>
        <w:t>8.5质疑和投诉</w:t>
      </w:r>
      <w:bookmarkEnd w:id="104"/>
      <w:bookmarkEnd w:id="105"/>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8.5.1投标人认为本次招标活动的招标文件、采购过程和中标结果使自己的权益受到损害的，在知道或应知其权益受到损害之日起7个工作日内有权在法定质疑期内，按规定的程序针对同一采购程序环节一次性实名向采购人、采购代理机构提出书面质疑。质疑函应采用中华人民共和国财政部制定的范本（见附件：质疑函范本）。质疑函及授权委托书应按规定签字并加盖公章。</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 xml:space="preserve">8.5.2质疑函的递交方式：见投标人须知前附表。 </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8.5.3对采购人、采购代理机构的答复不满意或者采购人、采购代理机构未在规定的时间内作出答复的，投标人可以在质疑答复期满后15个工作日内实名向（项目所属）同级政府采购监督管理部门投诉。</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8.5.4质疑和投诉应有具体的质疑（投诉）事项和必要的证明材料或事实根据，投标人对其质疑和投诉内容的真实性及其来源的合法性承担法律责任。</w:t>
      </w:r>
    </w:p>
    <w:p>
      <w:pPr>
        <w:pStyle w:val="4"/>
        <w:rPr>
          <w:rFonts w:hint="eastAsia" w:ascii="仿宋" w:hAnsi="仿宋" w:eastAsia="仿宋" w:cs="仿宋"/>
          <w:color w:val="auto"/>
          <w:highlight w:val="none"/>
        </w:rPr>
      </w:pPr>
      <w:bookmarkStart w:id="106" w:name="_Toc8192"/>
      <w:bookmarkStart w:id="107" w:name="_Toc1660831"/>
      <w:r>
        <w:rPr>
          <w:rFonts w:hint="eastAsia" w:ascii="仿宋" w:hAnsi="仿宋" w:eastAsia="仿宋" w:cs="仿宋"/>
          <w:color w:val="auto"/>
          <w:highlight w:val="none"/>
        </w:rPr>
        <w:t>9、样品</w:t>
      </w:r>
      <w:bookmarkEnd w:id="106"/>
      <w:bookmarkEnd w:id="107"/>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如本招标项目需要提供样品，样品的具体要求见投标人须知前附表。</w:t>
      </w:r>
    </w:p>
    <w:p>
      <w:pPr>
        <w:pStyle w:val="4"/>
        <w:rPr>
          <w:rFonts w:hint="eastAsia" w:ascii="仿宋" w:hAnsi="仿宋" w:eastAsia="仿宋" w:cs="仿宋"/>
          <w:color w:val="auto"/>
          <w:highlight w:val="none"/>
        </w:rPr>
      </w:pPr>
      <w:bookmarkStart w:id="108" w:name="_Toc1660832"/>
      <w:bookmarkStart w:id="109" w:name="_Toc11965"/>
      <w:r>
        <w:rPr>
          <w:rFonts w:hint="eastAsia" w:ascii="仿宋" w:hAnsi="仿宋" w:eastAsia="仿宋" w:cs="仿宋"/>
          <w:color w:val="auto"/>
          <w:highlight w:val="none"/>
        </w:rPr>
        <w:t>10、相同品牌产品投标的处理</w:t>
      </w:r>
      <w:bookmarkEnd w:id="108"/>
      <w:bookmarkEnd w:id="109"/>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相同品牌产品投标的处理办法见投标人须知前附表。</w:t>
      </w:r>
    </w:p>
    <w:p>
      <w:pPr>
        <w:pStyle w:val="4"/>
        <w:rPr>
          <w:rFonts w:hint="eastAsia" w:ascii="仿宋" w:hAnsi="仿宋" w:eastAsia="仿宋" w:cs="仿宋"/>
          <w:color w:val="auto"/>
          <w:highlight w:val="none"/>
        </w:rPr>
      </w:pPr>
      <w:bookmarkStart w:id="110" w:name="_Toc1660833"/>
      <w:bookmarkStart w:id="111" w:name="_Toc7411"/>
      <w:r>
        <w:rPr>
          <w:rFonts w:hint="eastAsia" w:ascii="仿宋" w:hAnsi="仿宋" w:eastAsia="仿宋" w:cs="仿宋"/>
          <w:color w:val="auto"/>
          <w:highlight w:val="none"/>
        </w:rPr>
        <w:t>11、需要补充的其他内容</w:t>
      </w:r>
      <w:bookmarkEnd w:id="110"/>
      <w:bookmarkEnd w:id="111"/>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需要补充的其他内容：见投标人须知前附表。</w:t>
      </w:r>
    </w:p>
    <w:p>
      <w:pPr>
        <w:pStyle w:val="4"/>
        <w:rPr>
          <w:rFonts w:hint="eastAsia" w:ascii="仿宋" w:hAnsi="仿宋" w:eastAsia="仿宋" w:cs="仿宋"/>
          <w:color w:val="auto"/>
          <w:highlight w:val="none"/>
        </w:rPr>
      </w:pPr>
      <w:bookmarkStart w:id="112" w:name="_Toc5053"/>
      <w:bookmarkStart w:id="113" w:name="_Toc1660834"/>
      <w:r>
        <w:rPr>
          <w:rFonts w:hint="eastAsia" w:ascii="仿宋" w:hAnsi="仿宋" w:eastAsia="仿宋" w:cs="仿宋"/>
          <w:color w:val="auto"/>
          <w:highlight w:val="none"/>
        </w:rPr>
        <w:t>12、公开招标失败转为竞争性谈判方式采购</w:t>
      </w:r>
      <w:bookmarkEnd w:id="112"/>
      <w:bookmarkEnd w:id="113"/>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12.1本项目（标段）招标过程中提交投标文件并经评标委员会评审实质性响应招标文件要求的供应商只有两家时，采购人、采购代理机构按照规定程序报经本级财政部门批准后可以与该两家供应商进行竞争性谈判采购，采购人、采购代理机构应当根据招标文件中的采购需求编制谈判文件，成立谈判小组，由谈判小组对谈判文件进行确认。</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12.2公开招标失败项目转为竞争性谈判方式采购的，原招标文件的采购需求转为谈判文件的相应内容。供应商的原投标文件转为谈判响应文件。评标委员会转为谈判小组，不再按原评标办法对原供应商进行评审打分，并按下述程序确定成交供应商。</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12.3谈判的主要程序</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12.3.1谈判小组对供应商的响应文件进行评审。未实质性响应谈判文件的响应文件按无效处理。</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12.3.2谈判小组所有成员集中与实质性响应谈判文件要求的单一供应商分别进行谈判，并给予所有参加谈判的供应商平等的谈判机会。</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 xml:space="preserve">12.3.3在谈判过程中，谈判小组可以根据谈判文件和谈判情况实质性变动采购需求中的技术、服务要求以及合同草案条款。对谈判文件做出的实质性变动是谈判文件的有效组成部分，须经采购人代表签字确认。谈判小组以书面形式同时通知所有参加谈判的供应商。 </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12.3.4供应商按照谈判文件的变动情况和谈判小组的要求重新提交响应文件的，由其法定代表人或其委托代理人签字或者加盖公章。</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12.3.5谈判文件详细列明采购项目的技术、服务要求后，谈判小组要求所有继续参加谈判的供应商在规定时间内提交最后报价。</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12.3.6最后报价是供应商响应文件的有效组成部分。</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12.3.7谈判小组从质量和服务均能满足谈判文件实质性响应要求的供应商中，按照最后报价由低到高的顺序推荐成交候选人。</w:t>
      </w:r>
    </w:p>
    <w:p>
      <w:pPr>
        <w:rPr>
          <w:rFonts w:hint="eastAsia" w:ascii="仿宋" w:hAnsi="仿宋" w:eastAsia="仿宋" w:cs="仿宋"/>
          <w:b/>
          <w:color w:val="auto"/>
          <w:sz w:val="28"/>
          <w:szCs w:val="28"/>
          <w:highlight w:val="none"/>
        </w:rPr>
      </w:pPr>
      <w:r>
        <w:rPr>
          <w:rFonts w:hint="eastAsia" w:ascii="仿宋" w:hAnsi="仿宋" w:eastAsia="仿宋" w:cs="仿宋"/>
          <w:color w:val="auto"/>
          <w:highlight w:val="none"/>
        </w:rPr>
        <w:br w:type="page"/>
      </w:r>
      <w:bookmarkStart w:id="114" w:name="_Toc1660835"/>
      <w:r>
        <w:rPr>
          <w:rFonts w:hint="eastAsia" w:ascii="仿宋" w:hAnsi="仿宋" w:eastAsia="仿宋" w:cs="仿宋"/>
          <w:b/>
          <w:color w:val="auto"/>
          <w:sz w:val="28"/>
          <w:szCs w:val="28"/>
          <w:highlight w:val="none"/>
        </w:rPr>
        <w:t>附件：质疑函范本</w:t>
      </w:r>
      <w:bookmarkEnd w:id="114"/>
    </w:p>
    <w:p>
      <w:pPr>
        <w:rPr>
          <w:rFonts w:hint="eastAsia" w:ascii="仿宋" w:hAnsi="仿宋" w:eastAsia="仿宋" w:cs="仿宋"/>
          <w:color w:val="auto"/>
          <w:sz w:val="21"/>
          <w:szCs w:val="21"/>
          <w:highlight w:val="none"/>
        </w:rPr>
      </w:pPr>
    </w:p>
    <w:p>
      <w:pPr>
        <w:spacing w:line="360" w:lineRule="exact"/>
        <w:jc w:val="center"/>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质疑函</w:t>
      </w:r>
    </w:p>
    <w:p>
      <w:pPr>
        <w:spacing w:line="360" w:lineRule="exact"/>
        <w:jc w:val="center"/>
        <w:rPr>
          <w:rFonts w:hint="eastAsia" w:ascii="仿宋" w:hAnsi="仿宋" w:eastAsia="仿宋" w:cs="仿宋"/>
          <w:color w:val="auto"/>
          <w:spacing w:val="14"/>
          <w:sz w:val="21"/>
          <w:szCs w:val="21"/>
          <w:highlight w:val="none"/>
        </w:rPr>
      </w:pPr>
    </w:p>
    <w:p>
      <w:pPr>
        <w:pStyle w:val="154"/>
        <w:spacing w:line="280" w:lineRule="exact"/>
        <w:ind w:firstLine="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一、质疑供应商基本信息</w:t>
      </w:r>
    </w:p>
    <w:p>
      <w:pPr>
        <w:pStyle w:val="154"/>
        <w:spacing w:line="280" w:lineRule="exac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 xml:space="preserve">质疑供应商：                                        </w:t>
      </w:r>
    </w:p>
    <w:p>
      <w:pPr>
        <w:pStyle w:val="154"/>
        <w:spacing w:line="280" w:lineRule="exac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 xml:space="preserve">地址：                          邮编：                      </w:t>
      </w:r>
    </w:p>
    <w:p>
      <w:pPr>
        <w:pStyle w:val="154"/>
        <w:spacing w:line="280" w:lineRule="exac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 xml:space="preserve">联系人：                      联系电话：                              </w:t>
      </w:r>
    </w:p>
    <w:p>
      <w:pPr>
        <w:pStyle w:val="154"/>
        <w:spacing w:line="280" w:lineRule="exac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 xml:space="preserve">授权代表：                                          </w:t>
      </w:r>
    </w:p>
    <w:p>
      <w:pPr>
        <w:pStyle w:val="154"/>
        <w:spacing w:line="280" w:lineRule="exac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 xml:space="preserve">联系电话：                                            </w:t>
      </w:r>
    </w:p>
    <w:p>
      <w:pPr>
        <w:pStyle w:val="154"/>
        <w:spacing w:line="280" w:lineRule="exac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 xml:space="preserve">地址：                         邮编：                                                </w:t>
      </w:r>
    </w:p>
    <w:p>
      <w:pPr>
        <w:pStyle w:val="154"/>
        <w:spacing w:line="280" w:lineRule="exact"/>
        <w:ind w:firstLine="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二、质疑项目基本情况</w:t>
      </w:r>
    </w:p>
    <w:p>
      <w:pPr>
        <w:pStyle w:val="154"/>
        <w:spacing w:line="280" w:lineRule="exac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 xml:space="preserve">质疑项目的名称：                                          </w:t>
      </w:r>
    </w:p>
    <w:p>
      <w:pPr>
        <w:pStyle w:val="154"/>
        <w:spacing w:line="280" w:lineRule="exac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 xml:space="preserve">质疑项目的编号：               包号：                       </w:t>
      </w:r>
    </w:p>
    <w:p>
      <w:pPr>
        <w:pStyle w:val="154"/>
        <w:spacing w:line="280" w:lineRule="exac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 xml:space="preserve">采购人名称：                                               </w:t>
      </w:r>
    </w:p>
    <w:p>
      <w:pPr>
        <w:pStyle w:val="154"/>
        <w:spacing w:line="280" w:lineRule="exac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 xml:space="preserve">采购文件获取日期：                                             </w:t>
      </w:r>
    </w:p>
    <w:p>
      <w:pPr>
        <w:pStyle w:val="154"/>
        <w:spacing w:line="280" w:lineRule="exact"/>
        <w:ind w:firstLine="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三、质疑事项具体内容</w:t>
      </w:r>
    </w:p>
    <w:p>
      <w:pPr>
        <w:pStyle w:val="154"/>
        <w:spacing w:line="280" w:lineRule="exac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 xml:space="preserve">质疑事项1：                                               </w:t>
      </w:r>
    </w:p>
    <w:p>
      <w:pPr>
        <w:pStyle w:val="154"/>
        <w:spacing w:line="280" w:lineRule="exac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 xml:space="preserve">事实依据：                                                </w:t>
      </w:r>
    </w:p>
    <w:p>
      <w:pPr>
        <w:pStyle w:val="154"/>
        <w:spacing w:line="280" w:lineRule="exac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 xml:space="preserve">                                                           </w:t>
      </w:r>
    </w:p>
    <w:p>
      <w:pPr>
        <w:pStyle w:val="154"/>
        <w:spacing w:line="280" w:lineRule="exac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 xml:space="preserve">法律依据：                                                </w:t>
      </w:r>
    </w:p>
    <w:p>
      <w:pPr>
        <w:pStyle w:val="154"/>
        <w:spacing w:line="280" w:lineRule="exac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 xml:space="preserve">                                                           </w:t>
      </w:r>
    </w:p>
    <w:p>
      <w:pPr>
        <w:pStyle w:val="154"/>
        <w:spacing w:line="280" w:lineRule="exac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质疑事项2</w:t>
      </w:r>
    </w:p>
    <w:p>
      <w:pPr>
        <w:pStyle w:val="154"/>
        <w:spacing w:line="280" w:lineRule="exac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w:t>
      </w:r>
    </w:p>
    <w:p>
      <w:pPr>
        <w:pStyle w:val="154"/>
        <w:spacing w:line="280" w:lineRule="exact"/>
        <w:ind w:firstLine="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四、与质疑事项相关的质疑请求</w:t>
      </w:r>
    </w:p>
    <w:p>
      <w:pPr>
        <w:pStyle w:val="154"/>
        <w:spacing w:line="280" w:lineRule="exac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 xml:space="preserve">请求：                                               </w:t>
      </w:r>
    </w:p>
    <w:p>
      <w:pPr>
        <w:pStyle w:val="154"/>
        <w:spacing w:line="280" w:lineRule="exact"/>
        <w:rPr>
          <w:rFonts w:hint="eastAsia" w:ascii="仿宋" w:hAnsi="仿宋" w:eastAsia="仿宋" w:cs="仿宋"/>
          <w:color w:val="auto"/>
          <w:spacing w:val="14"/>
          <w:szCs w:val="21"/>
          <w:highlight w:val="none"/>
        </w:rPr>
      </w:pPr>
    </w:p>
    <w:p>
      <w:pPr>
        <w:pStyle w:val="154"/>
        <w:spacing w:line="280" w:lineRule="exac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 xml:space="preserve">签字(签章)：                   公章： </w:t>
      </w:r>
    </w:p>
    <w:p>
      <w:pPr>
        <w:pStyle w:val="154"/>
        <w:spacing w:line="280" w:lineRule="exac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 xml:space="preserve">日期：    </w:t>
      </w:r>
    </w:p>
    <w:p>
      <w:pPr>
        <w:pStyle w:val="154"/>
        <w:spacing w:line="280" w:lineRule="exact"/>
        <w:rPr>
          <w:rFonts w:hint="eastAsia" w:ascii="仿宋" w:hAnsi="仿宋" w:eastAsia="仿宋" w:cs="仿宋"/>
          <w:color w:val="auto"/>
          <w:spacing w:val="14"/>
          <w:szCs w:val="21"/>
          <w:highlight w:val="none"/>
        </w:rPr>
      </w:pPr>
    </w:p>
    <w:p>
      <w:pPr>
        <w:rPr>
          <w:rFonts w:hint="eastAsia" w:ascii="仿宋" w:hAnsi="仿宋" w:eastAsia="仿宋" w:cs="仿宋"/>
          <w:color w:val="auto"/>
          <w:spacing w:val="14"/>
          <w:sz w:val="21"/>
          <w:szCs w:val="21"/>
          <w:highlight w:val="none"/>
        </w:rPr>
      </w:pPr>
    </w:p>
    <w:p>
      <w:pPr>
        <w:pStyle w:val="154"/>
        <w:spacing w:line="240" w:lineRule="exac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质疑函制作说明：</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1.供应商提出质疑时，应提交质疑函和必要的证明材料。</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3.质疑供应商若对项目的某一分包进行质疑，质疑函中应列明具体分包号。</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4.质疑函的质疑事项应具体、明确，并有必要的事实依据和法律依据。</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5.质疑函的质疑请求应与质疑事项相关。</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6.质疑供应商为自然人的，质疑函应由本人签字；质疑供应商为法人或者其他组织的，质疑函应由法定代表人、主要负责人，或者其授权代表签字或者盖章，并加盖公章。</w:t>
      </w:r>
    </w:p>
    <w:p>
      <w:pPr>
        <w:pStyle w:val="58"/>
        <w:rPr>
          <w:rFonts w:hint="eastAsia" w:ascii="仿宋" w:hAnsi="仿宋" w:eastAsia="仿宋" w:cs="仿宋"/>
          <w:color w:val="auto"/>
          <w:highlight w:val="none"/>
          <w:lang w:eastAsia="zh-CN"/>
        </w:rPr>
      </w:pPr>
      <w:bookmarkStart w:id="115" w:name="_Toc504741949"/>
      <w:r>
        <w:rPr>
          <w:rFonts w:hint="eastAsia" w:ascii="仿宋" w:hAnsi="仿宋" w:eastAsia="仿宋" w:cs="仿宋"/>
          <w:color w:val="auto"/>
          <w:highlight w:val="none"/>
          <w:lang w:eastAsia="zh-CN"/>
        </w:rPr>
        <w:br w:type="page"/>
      </w:r>
      <w:bookmarkStart w:id="116" w:name="_Toc30990"/>
      <w:r>
        <w:rPr>
          <w:rFonts w:hint="eastAsia" w:ascii="仿宋" w:hAnsi="仿宋" w:eastAsia="仿宋" w:cs="仿宋"/>
          <w:color w:val="auto"/>
          <w:highlight w:val="none"/>
          <w:lang w:eastAsia="zh-CN"/>
        </w:rPr>
        <w:t>第三章  采购需求</w:t>
      </w:r>
      <w:bookmarkEnd w:id="115"/>
      <w:bookmarkEnd w:id="116"/>
    </w:p>
    <w:p>
      <w:pPr>
        <w:pStyle w:val="154"/>
        <w:spacing w:line="460" w:lineRule="exact"/>
        <w:ind w:firstLine="0"/>
        <w:rPr>
          <w:rFonts w:hint="eastAsia" w:ascii="仿宋" w:hAnsi="仿宋" w:eastAsia="仿宋" w:cs="仿宋"/>
          <w:b/>
          <w:bCs/>
          <w:color w:val="auto"/>
          <w:spacing w:val="14"/>
          <w:szCs w:val="21"/>
          <w:highlight w:val="none"/>
        </w:rPr>
      </w:pPr>
      <w:bookmarkStart w:id="117" w:name="_Toc1660837"/>
      <w:bookmarkStart w:id="118" w:name="_Toc31734"/>
      <w:bookmarkStart w:id="119" w:name="_Toc256000026"/>
      <w:bookmarkStart w:id="120" w:name="_Toc49691450"/>
      <w:bookmarkStart w:id="121" w:name="_Toc256000016"/>
      <w:bookmarkStart w:id="122" w:name="_Toc256000059"/>
      <w:bookmarkStart w:id="123" w:name="_Toc19809698"/>
      <w:bookmarkStart w:id="124" w:name="_Toc3927"/>
      <w:bookmarkStart w:id="125" w:name="_Toc358282482"/>
      <w:bookmarkStart w:id="126" w:name="_Toc238530903"/>
      <w:r>
        <w:rPr>
          <w:rFonts w:hint="eastAsia" w:ascii="仿宋" w:hAnsi="仿宋" w:eastAsia="仿宋" w:cs="仿宋"/>
          <w:b/>
          <w:bCs/>
          <w:color w:val="auto"/>
          <w:spacing w:val="14"/>
          <w:szCs w:val="21"/>
          <w:highlight w:val="none"/>
        </w:rPr>
        <w:t>一</w:t>
      </w:r>
      <w:bookmarkEnd w:id="117"/>
      <w:bookmarkEnd w:id="118"/>
      <w:bookmarkEnd w:id="119"/>
      <w:bookmarkEnd w:id="120"/>
      <w:r>
        <w:rPr>
          <w:rFonts w:hint="eastAsia" w:ascii="仿宋" w:hAnsi="仿宋" w:eastAsia="仿宋" w:cs="仿宋"/>
          <w:b/>
          <w:bCs/>
          <w:color w:val="auto"/>
          <w:spacing w:val="14"/>
          <w:szCs w:val="21"/>
          <w:highlight w:val="none"/>
        </w:rPr>
        <w:t>、项目概况</w:t>
      </w:r>
      <w:bookmarkEnd w:id="121"/>
      <w:bookmarkEnd w:id="122"/>
    </w:p>
    <w:bookmarkEnd w:id="123"/>
    <w:bookmarkEnd w:id="124"/>
    <w:bookmarkEnd w:id="125"/>
    <w:p>
      <w:pPr>
        <w:pStyle w:val="228"/>
        <w:snapToGrid w:val="0"/>
        <w:spacing w:line="460" w:lineRule="exact"/>
        <w:ind w:firstLine="414" w:firstLineChars="200"/>
        <w:jc w:val="left"/>
        <w:rPr>
          <w:rFonts w:hint="eastAsia" w:ascii="仿宋" w:hAnsi="仿宋" w:eastAsia="仿宋" w:cs="仿宋"/>
          <w:color w:val="auto"/>
          <w:spacing w:val="14"/>
          <w:szCs w:val="21"/>
          <w:highlight w:val="none"/>
          <w:lang w:eastAsia="zh-CN"/>
        </w:rPr>
      </w:pPr>
      <w:r>
        <w:rPr>
          <w:rFonts w:hint="eastAsia" w:ascii="仿宋" w:hAnsi="仿宋" w:eastAsia="仿宋" w:cs="仿宋"/>
          <w:color w:val="auto"/>
          <w:spacing w:val="14"/>
          <w:szCs w:val="21"/>
          <w:highlight w:val="none"/>
        </w:rPr>
        <w:t>1、项目名称：</w:t>
      </w:r>
      <w:r>
        <w:rPr>
          <w:rFonts w:hint="eastAsia" w:ascii="仿宋" w:hAnsi="仿宋" w:eastAsia="仿宋" w:cs="仿宋"/>
          <w:color w:val="auto"/>
          <w:spacing w:val="14"/>
          <w:szCs w:val="21"/>
          <w:highlight w:val="none"/>
          <w:lang w:eastAsia="zh-CN"/>
        </w:rPr>
        <w:t>洛阳市应急管理局洛阳市基层防灾能力提升项目(第二批)</w:t>
      </w:r>
    </w:p>
    <w:p>
      <w:pPr>
        <w:pStyle w:val="228"/>
        <w:snapToGrid w:val="0"/>
        <w:spacing w:line="460" w:lineRule="exact"/>
        <w:ind w:firstLine="414" w:firstLineChars="200"/>
        <w:jc w:val="left"/>
        <w:rPr>
          <w:rFonts w:hint="eastAsia" w:ascii="仿宋" w:hAnsi="仿宋" w:eastAsia="仿宋" w:cs="仿宋"/>
          <w:color w:val="auto"/>
          <w:highlight w:val="none"/>
        </w:rPr>
      </w:pPr>
      <w:r>
        <w:rPr>
          <w:rFonts w:hint="eastAsia" w:ascii="仿宋" w:hAnsi="仿宋" w:eastAsia="仿宋" w:cs="仿宋"/>
          <w:color w:val="auto"/>
          <w:spacing w:val="14"/>
          <w:szCs w:val="21"/>
          <w:highlight w:val="none"/>
        </w:rPr>
        <w:t>2、交货期：自合同签订之日起45日内完成供货、安装、调试完毕至正常使用。（其中，车辆类自合同签订之日起60日内完成供货、安装、调试完毕至正常使用，山地摩托车不计入车辆类）</w:t>
      </w:r>
    </w:p>
    <w:p>
      <w:pPr>
        <w:pStyle w:val="228"/>
        <w:snapToGrid w:val="0"/>
        <w:spacing w:line="460" w:lineRule="exact"/>
        <w:ind w:firstLine="414" w:firstLineChars="200"/>
        <w:jc w:val="left"/>
        <w:rPr>
          <w:rFonts w:hint="eastAsia" w:ascii="仿宋" w:hAnsi="仿宋" w:eastAsia="仿宋" w:cs="仿宋"/>
          <w:color w:val="auto"/>
          <w:spacing w:val="14"/>
          <w:szCs w:val="21"/>
          <w:highlight w:val="none"/>
          <w:lang w:eastAsia="zh-CN"/>
        </w:rPr>
      </w:pPr>
      <w:r>
        <w:rPr>
          <w:rFonts w:hint="eastAsia" w:ascii="仿宋" w:hAnsi="仿宋" w:eastAsia="仿宋" w:cs="仿宋"/>
          <w:color w:val="auto"/>
          <w:spacing w:val="14"/>
          <w:szCs w:val="21"/>
          <w:highlight w:val="none"/>
          <w:lang w:val="en-US" w:eastAsia="zh-CN"/>
        </w:rPr>
        <w:t>3</w:t>
      </w:r>
      <w:r>
        <w:rPr>
          <w:rFonts w:hint="eastAsia" w:ascii="仿宋" w:hAnsi="仿宋" w:eastAsia="仿宋" w:cs="仿宋"/>
          <w:color w:val="auto"/>
          <w:spacing w:val="14"/>
          <w:szCs w:val="21"/>
          <w:highlight w:val="none"/>
        </w:rPr>
        <w:t>、质保期：验收合格之日起</w:t>
      </w:r>
      <w:r>
        <w:rPr>
          <w:rFonts w:hint="eastAsia" w:ascii="仿宋" w:hAnsi="仿宋" w:eastAsia="仿宋" w:cs="仿宋"/>
          <w:color w:val="auto"/>
          <w:spacing w:val="14"/>
          <w:szCs w:val="21"/>
          <w:highlight w:val="none"/>
          <w:lang w:val="en-US" w:eastAsia="zh-CN"/>
        </w:rPr>
        <w:t xml:space="preserve"> 2 </w:t>
      </w:r>
      <w:r>
        <w:rPr>
          <w:rFonts w:hint="eastAsia" w:ascii="仿宋" w:hAnsi="仿宋" w:eastAsia="仿宋" w:cs="仿宋"/>
          <w:color w:val="auto"/>
          <w:spacing w:val="14"/>
          <w:szCs w:val="21"/>
          <w:highlight w:val="none"/>
        </w:rPr>
        <w:t>年</w:t>
      </w:r>
      <w:r>
        <w:rPr>
          <w:rFonts w:hint="eastAsia" w:ascii="仿宋" w:hAnsi="仿宋" w:eastAsia="仿宋" w:cs="仿宋"/>
          <w:color w:val="auto"/>
          <w:spacing w:val="14"/>
          <w:szCs w:val="21"/>
          <w:highlight w:val="none"/>
          <w:lang w:eastAsia="zh-CN"/>
        </w:rPr>
        <w:t>。</w:t>
      </w:r>
    </w:p>
    <w:p>
      <w:pPr>
        <w:pStyle w:val="228"/>
        <w:snapToGrid w:val="0"/>
        <w:spacing w:line="460" w:lineRule="exact"/>
        <w:ind w:firstLine="414" w:firstLineChars="20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lang w:val="en-US" w:eastAsia="zh-CN"/>
        </w:rPr>
        <w:t>4</w:t>
      </w:r>
      <w:r>
        <w:rPr>
          <w:rFonts w:hint="eastAsia" w:ascii="仿宋" w:hAnsi="仿宋" w:eastAsia="仿宋" w:cs="仿宋"/>
          <w:color w:val="auto"/>
          <w:spacing w:val="14"/>
          <w:szCs w:val="21"/>
          <w:highlight w:val="none"/>
        </w:rPr>
        <w:t>、质量要求：</w:t>
      </w:r>
      <w:r>
        <w:rPr>
          <w:rFonts w:hint="eastAsia" w:ascii="仿宋" w:hAnsi="仿宋" w:eastAsia="仿宋" w:cs="仿宋"/>
          <w:color w:val="auto"/>
          <w:spacing w:val="14"/>
          <w:szCs w:val="21"/>
          <w:highlight w:val="none"/>
          <w:lang w:val="en-US" w:eastAsia="zh-CN"/>
        </w:rPr>
        <w:t>符合国家或行业规定的合格标准且满足采购人提出的技术标准及要求。</w:t>
      </w:r>
    </w:p>
    <w:p>
      <w:pPr>
        <w:pStyle w:val="228"/>
        <w:snapToGrid w:val="0"/>
        <w:spacing w:line="460" w:lineRule="exact"/>
        <w:ind w:firstLine="414" w:firstLineChars="20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lang w:val="en-US" w:eastAsia="zh-CN"/>
        </w:rPr>
        <w:t>5</w:t>
      </w:r>
      <w:r>
        <w:rPr>
          <w:rFonts w:hint="eastAsia" w:ascii="仿宋" w:hAnsi="仿宋" w:eastAsia="仿宋" w:cs="仿宋"/>
          <w:color w:val="auto"/>
          <w:spacing w:val="14"/>
          <w:szCs w:val="21"/>
          <w:highlight w:val="none"/>
        </w:rPr>
        <w:t>、交货地点：采购人指定地点；</w:t>
      </w:r>
    </w:p>
    <w:p>
      <w:pPr>
        <w:pStyle w:val="56"/>
        <w:spacing w:beforeAutospacing="0" w:afterAutospacing="0" w:line="430" w:lineRule="exact"/>
        <w:ind w:left="527" w:leftChars="312" w:firstLine="0" w:firstLineChars="0"/>
        <w:jc w:val="both"/>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kern w:val="2"/>
          <w:sz w:val="21"/>
          <w:szCs w:val="21"/>
          <w:highlight w:val="none"/>
          <w:lang w:val="en-US" w:eastAsia="zh-CN" w:bidi="ar-SA"/>
        </w:rPr>
        <w:t>6、标段划分</w:t>
      </w:r>
      <w:r>
        <w:rPr>
          <w:rFonts w:hint="eastAsia" w:ascii="仿宋" w:hAnsi="仿宋" w:eastAsia="仿宋" w:cs="仿宋"/>
          <w:color w:val="auto"/>
          <w:spacing w:val="14"/>
          <w:sz w:val="21"/>
          <w:szCs w:val="21"/>
          <w:highlight w:val="none"/>
          <w:lang w:val="en-US" w:eastAsia="zh-CN"/>
        </w:rPr>
        <w:t>标段划分：本项目共9个标段。</w:t>
      </w:r>
    </w:p>
    <w:p>
      <w:pPr>
        <w:pStyle w:val="56"/>
        <w:spacing w:beforeAutospacing="0" w:afterAutospacing="0" w:line="430" w:lineRule="exact"/>
        <w:ind w:firstLine="621" w:firstLineChars="300"/>
        <w:jc w:val="both"/>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一标段：综合保障指挥通信类；</w:t>
      </w:r>
    </w:p>
    <w:p>
      <w:pPr>
        <w:pStyle w:val="56"/>
        <w:spacing w:beforeAutospacing="0" w:afterAutospacing="0" w:line="430" w:lineRule="exact"/>
        <w:ind w:firstLine="621" w:firstLineChars="300"/>
        <w:jc w:val="both"/>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二标段：综合保障特种车辆；</w:t>
      </w:r>
    </w:p>
    <w:p>
      <w:pPr>
        <w:pStyle w:val="56"/>
        <w:spacing w:beforeAutospacing="0" w:afterAutospacing="0" w:line="430" w:lineRule="exact"/>
        <w:ind w:firstLine="621" w:firstLineChars="300"/>
        <w:jc w:val="both"/>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三标段：综合保障无人机；</w:t>
      </w:r>
    </w:p>
    <w:p>
      <w:pPr>
        <w:pStyle w:val="56"/>
        <w:spacing w:beforeAutospacing="0" w:afterAutospacing="0" w:line="430" w:lineRule="exact"/>
        <w:ind w:firstLine="621" w:firstLineChars="300"/>
        <w:jc w:val="both"/>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四标段：综合保障救援运兵车；</w:t>
      </w:r>
    </w:p>
    <w:p>
      <w:pPr>
        <w:pStyle w:val="56"/>
        <w:spacing w:beforeAutospacing="0" w:afterAutospacing="0" w:line="430" w:lineRule="exact"/>
        <w:ind w:firstLine="621" w:firstLineChars="300"/>
        <w:jc w:val="both"/>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五标段：综合保障装备运输车；</w:t>
      </w:r>
    </w:p>
    <w:p>
      <w:pPr>
        <w:pStyle w:val="56"/>
        <w:spacing w:beforeAutospacing="0" w:afterAutospacing="0" w:line="430" w:lineRule="exact"/>
        <w:ind w:firstLine="621" w:firstLineChars="300"/>
        <w:jc w:val="both"/>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六标段：综合保障小型装备运输车；</w:t>
      </w:r>
    </w:p>
    <w:p>
      <w:pPr>
        <w:pStyle w:val="56"/>
        <w:spacing w:beforeAutospacing="0" w:afterAutospacing="0" w:line="430" w:lineRule="exact"/>
        <w:ind w:firstLine="621" w:firstLineChars="300"/>
        <w:jc w:val="both"/>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七标段：综合保障救护设备；</w:t>
      </w:r>
    </w:p>
    <w:p>
      <w:pPr>
        <w:pStyle w:val="56"/>
        <w:spacing w:beforeAutospacing="0" w:afterAutospacing="0" w:line="430" w:lineRule="exact"/>
        <w:ind w:firstLine="621" w:firstLineChars="300"/>
        <w:jc w:val="both"/>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八标段：综合保障便携式气象仪；</w:t>
      </w:r>
    </w:p>
    <w:p>
      <w:pPr>
        <w:pStyle w:val="56"/>
        <w:spacing w:beforeAutospacing="0" w:afterAutospacing="0" w:line="430" w:lineRule="exact"/>
        <w:ind w:firstLine="621" w:firstLineChars="300"/>
        <w:jc w:val="both"/>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九标段：综合保障电源照明类。</w:t>
      </w:r>
    </w:p>
    <w:p>
      <w:pPr>
        <w:pStyle w:val="56"/>
        <w:spacing w:beforeAutospacing="0" w:afterAutospacing="0" w:line="430" w:lineRule="exact"/>
        <w:ind w:firstLine="621" w:firstLineChars="300"/>
        <w:jc w:val="both"/>
        <w:rPr>
          <w:rFonts w:hint="default" w:eastAsia="仿宋"/>
          <w:color w:val="auto"/>
          <w:highlight w:val="none"/>
          <w:lang w:val="en-US" w:eastAsia="zh-CN"/>
        </w:rPr>
      </w:pPr>
      <w:r>
        <w:rPr>
          <w:rFonts w:hint="eastAsia" w:ascii="仿宋" w:hAnsi="仿宋" w:eastAsia="仿宋" w:cs="仿宋"/>
          <w:color w:val="auto"/>
          <w:spacing w:val="14"/>
          <w:sz w:val="21"/>
          <w:szCs w:val="21"/>
          <w:highlight w:val="none"/>
          <w:lang w:val="en-US" w:eastAsia="zh-CN"/>
        </w:rPr>
        <w:t>注：本次招标共九个标段，投标人应就所投标段进行完整投标，不得将一个标段拆开投标，否则将不被接受。一个投标人可投多个标段，也可中标多个标段。</w:t>
      </w:r>
    </w:p>
    <w:p>
      <w:pPr>
        <w:pStyle w:val="154"/>
        <w:spacing w:line="460" w:lineRule="exact"/>
        <w:ind w:firstLine="0"/>
        <w:rPr>
          <w:rFonts w:hint="eastAsia" w:ascii="仿宋" w:hAnsi="仿宋" w:eastAsia="仿宋" w:cs="仿宋"/>
          <w:color w:val="auto"/>
          <w:spacing w:val="14"/>
          <w:szCs w:val="21"/>
          <w:highlight w:val="none"/>
        </w:rPr>
      </w:pPr>
      <w:r>
        <w:rPr>
          <w:rFonts w:hint="eastAsia" w:ascii="仿宋" w:hAnsi="仿宋" w:eastAsia="仿宋" w:cs="仿宋"/>
          <w:b/>
          <w:bCs/>
          <w:color w:val="auto"/>
          <w:spacing w:val="14"/>
          <w:szCs w:val="21"/>
          <w:highlight w:val="none"/>
        </w:rPr>
        <w:t>二、招标货物清单及技术要求</w:t>
      </w:r>
      <w:r>
        <w:rPr>
          <w:rFonts w:hint="eastAsia" w:ascii="仿宋" w:hAnsi="仿宋" w:eastAsia="仿宋" w:cs="仿宋"/>
          <w:color w:val="auto"/>
          <w:spacing w:val="14"/>
          <w:szCs w:val="21"/>
          <w:highlight w:val="none"/>
        </w:rPr>
        <w:t xml:space="preserve"> </w:t>
      </w:r>
    </w:p>
    <w:p>
      <w:pPr>
        <w:pStyle w:val="154"/>
        <w:spacing w:line="460" w:lineRule="exact"/>
        <w:ind w:firstLine="0"/>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b/>
          <w:bCs/>
          <w:color w:val="auto"/>
          <w:spacing w:val="14"/>
          <w:kern w:val="2"/>
          <w:szCs w:val="21"/>
          <w:highlight w:val="none"/>
        </w:rPr>
        <w:t>招标货物清单</w:t>
      </w:r>
    </w:p>
    <w:tbl>
      <w:tblPr>
        <w:tblStyle w:val="62"/>
        <w:tblW w:w="875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11"/>
        <w:gridCol w:w="3564"/>
        <w:gridCol w:w="27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82" w:hRule="atLeast"/>
        </w:trPr>
        <w:tc>
          <w:tcPr>
            <w:tcW w:w="24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包号</w:t>
            </w:r>
          </w:p>
        </w:tc>
        <w:tc>
          <w:tcPr>
            <w:tcW w:w="3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标的名称</w:t>
            </w:r>
          </w:p>
        </w:tc>
        <w:tc>
          <w:tcPr>
            <w:tcW w:w="27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41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包1（综合保障指挥通信类）</w:t>
            </w:r>
          </w:p>
        </w:tc>
        <w:tc>
          <w:tcPr>
            <w:tcW w:w="3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应急前突车</w:t>
            </w:r>
          </w:p>
        </w:tc>
        <w:tc>
          <w:tcPr>
            <w:tcW w:w="27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41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color w:val="auto"/>
                <w:spacing w:val="14"/>
                <w:kern w:val="2"/>
                <w:sz w:val="21"/>
                <w:szCs w:val="21"/>
                <w:highlight w:val="none"/>
                <w:lang w:val="en-US" w:eastAsia="zh-CN" w:bidi="ar-SA"/>
              </w:rPr>
            </w:pPr>
          </w:p>
        </w:tc>
        <w:tc>
          <w:tcPr>
            <w:tcW w:w="3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轻型卫星便携站</w:t>
            </w:r>
          </w:p>
        </w:tc>
        <w:tc>
          <w:tcPr>
            <w:tcW w:w="27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41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color w:val="auto"/>
                <w:spacing w:val="14"/>
                <w:kern w:val="2"/>
                <w:sz w:val="21"/>
                <w:szCs w:val="21"/>
                <w:highlight w:val="none"/>
                <w:lang w:val="en-US" w:eastAsia="zh-CN" w:bidi="ar-SA"/>
              </w:rPr>
            </w:pPr>
          </w:p>
        </w:tc>
        <w:tc>
          <w:tcPr>
            <w:tcW w:w="3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宽带自组网</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基站+终端</w:t>
            </w:r>
          </w:p>
        </w:tc>
        <w:tc>
          <w:tcPr>
            <w:tcW w:w="27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41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color w:val="auto"/>
                <w:spacing w:val="14"/>
                <w:kern w:val="2"/>
                <w:sz w:val="21"/>
                <w:szCs w:val="21"/>
                <w:highlight w:val="none"/>
                <w:lang w:val="en-US" w:eastAsia="zh-CN" w:bidi="ar-SA"/>
              </w:rPr>
            </w:pPr>
          </w:p>
        </w:tc>
        <w:tc>
          <w:tcPr>
            <w:tcW w:w="3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通信指挥装备（单兵图传）</w:t>
            </w:r>
          </w:p>
        </w:tc>
        <w:tc>
          <w:tcPr>
            <w:tcW w:w="27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41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color w:val="auto"/>
                <w:spacing w:val="14"/>
                <w:kern w:val="2"/>
                <w:sz w:val="21"/>
                <w:szCs w:val="21"/>
                <w:highlight w:val="none"/>
                <w:lang w:val="en-US" w:eastAsia="zh-CN" w:bidi="ar-SA"/>
              </w:rPr>
            </w:pPr>
          </w:p>
        </w:tc>
        <w:tc>
          <w:tcPr>
            <w:tcW w:w="3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通信指挥装备（布控球）</w:t>
            </w:r>
          </w:p>
        </w:tc>
        <w:tc>
          <w:tcPr>
            <w:tcW w:w="27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41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color w:val="auto"/>
                <w:spacing w:val="14"/>
                <w:kern w:val="2"/>
                <w:sz w:val="21"/>
                <w:szCs w:val="21"/>
                <w:highlight w:val="none"/>
                <w:lang w:val="en-US" w:eastAsia="zh-CN" w:bidi="ar-SA"/>
              </w:rPr>
            </w:pPr>
          </w:p>
        </w:tc>
        <w:tc>
          <w:tcPr>
            <w:tcW w:w="3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通信指挥设备（数字集群手持终端）</w:t>
            </w:r>
          </w:p>
        </w:tc>
        <w:tc>
          <w:tcPr>
            <w:tcW w:w="27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273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41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color w:val="auto"/>
                <w:spacing w:val="14"/>
                <w:kern w:val="2"/>
                <w:sz w:val="21"/>
                <w:szCs w:val="21"/>
                <w:highlight w:val="none"/>
                <w:lang w:val="en-US" w:eastAsia="zh-CN" w:bidi="ar-SA"/>
              </w:rPr>
            </w:pPr>
          </w:p>
        </w:tc>
        <w:tc>
          <w:tcPr>
            <w:tcW w:w="3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通信指挥设备（北斗终端）</w:t>
            </w:r>
          </w:p>
        </w:tc>
        <w:tc>
          <w:tcPr>
            <w:tcW w:w="27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118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41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包2（综合保障特种车辆）</w:t>
            </w:r>
          </w:p>
        </w:tc>
        <w:tc>
          <w:tcPr>
            <w:tcW w:w="3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大功率车载送风机</w:t>
            </w:r>
          </w:p>
        </w:tc>
        <w:tc>
          <w:tcPr>
            <w:tcW w:w="27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41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color w:val="auto"/>
                <w:spacing w:val="14"/>
                <w:kern w:val="2"/>
                <w:sz w:val="21"/>
                <w:szCs w:val="21"/>
                <w:highlight w:val="none"/>
                <w:lang w:val="en-US" w:eastAsia="zh-CN" w:bidi="ar-SA"/>
              </w:rPr>
            </w:pPr>
          </w:p>
        </w:tc>
        <w:tc>
          <w:tcPr>
            <w:tcW w:w="3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后勤保障车（淋浴车）</w:t>
            </w:r>
          </w:p>
        </w:tc>
        <w:tc>
          <w:tcPr>
            <w:tcW w:w="27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41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color w:val="auto"/>
                <w:spacing w:val="14"/>
                <w:kern w:val="2"/>
                <w:sz w:val="21"/>
                <w:szCs w:val="21"/>
                <w:highlight w:val="none"/>
                <w:lang w:val="en-US" w:eastAsia="zh-CN" w:bidi="ar-SA"/>
              </w:rPr>
            </w:pPr>
          </w:p>
        </w:tc>
        <w:tc>
          <w:tcPr>
            <w:tcW w:w="3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后勤保障车（饮食保障车）</w:t>
            </w:r>
          </w:p>
        </w:tc>
        <w:tc>
          <w:tcPr>
            <w:tcW w:w="27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41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color w:val="auto"/>
                <w:spacing w:val="14"/>
                <w:kern w:val="2"/>
                <w:sz w:val="21"/>
                <w:szCs w:val="21"/>
                <w:highlight w:val="none"/>
                <w:lang w:val="en-US" w:eastAsia="zh-CN" w:bidi="ar-SA"/>
              </w:rPr>
            </w:pPr>
          </w:p>
        </w:tc>
        <w:tc>
          <w:tcPr>
            <w:tcW w:w="3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后勤保障车（宿营车）</w:t>
            </w:r>
          </w:p>
        </w:tc>
        <w:tc>
          <w:tcPr>
            <w:tcW w:w="27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41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color w:val="auto"/>
                <w:spacing w:val="14"/>
                <w:kern w:val="2"/>
                <w:sz w:val="21"/>
                <w:szCs w:val="21"/>
                <w:highlight w:val="none"/>
                <w:lang w:val="en-US" w:eastAsia="zh-CN" w:bidi="ar-SA"/>
              </w:rPr>
            </w:pPr>
          </w:p>
        </w:tc>
        <w:tc>
          <w:tcPr>
            <w:tcW w:w="3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后勤保障车辆（应急电源车）</w:t>
            </w:r>
          </w:p>
        </w:tc>
        <w:tc>
          <w:tcPr>
            <w:tcW w:w="27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41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包3（综合保障无人机）</w:t>
            </w:r>
          </w:p>
        </w:tc>
        <w:tc>
          <w:tcPr>
            <w:tcW w:w="3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救援无人机（灭火无人机）</w:t>
            </w:r>
          </w:p>
        </w:tc>
        <w:tc>
          <w:tcPr>
            <w:tcW w:w="27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41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color w:val="auto"/>
                <w:spacing w:val="14"/>
                <w:kern w:val="2"/>
                <w:sz w:val="21"/>
                <w:szCs w:val="21"/>
                <w:highlight w:val="none"/>
                <w:lang w:val="en-US" w:eastAsia="zh-CN" w:bidi="ar-SA"/>
              </w:rPr>
            </w:pPr>
          </w:p>
        </w:tc>
        <w:tc>
          <w:tcPr>
            <w:tcW w:w="3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救援无人机（巡堤查险无人机）</w:t>
            </w:r>
          </w:p>
        </w:tc>
        <w:tc>
          <w:tcPr>
            <w:tcW w:w="27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41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color w:val="auto"/>
                <w:spacing w:val="14"/>
                <w:kern w:val="2"/>
                <w:sz w:val="21"/>
                <w:szCs w:val="21"/>
                <w:highlight w:val="none"/>
                <w:lang w:val="en-US" w:eastAsia="zh-CN" w:bidi="ar-SA"/>
              </w:rPr>
            </w:pPr>
          </w:p>
        </w:tc>
        <w:tc>
          <w:tcPr>
            <w:tcW w:w="3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救援无人机（照明无人机）</w:t>
            </w:r>
          </w:p>
        </w:tc>
        <w:tc>
          <w:tcPr>
            <w:tcW w:w="27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41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color w:val="auto"/>
                <w:spacing w:val="14"/>
                <w:kern w:val="2"/>
                <w:sz w:val="21"/>
                <w:szCs w:val="21"/>
                <w:highlight w:val="none"/>
                <w:lang w:val="en-US" w:eastAsia="zh-CN" w:bidi="ar-SA"/>
              </w:rPr>
            </w:pPr>
          </w:p>
        </w:tc>
        <w:tc>
          <w:tcPr>
            <w:tcW w:w="3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救援无人机（侦察无人机）</w:t>
            </w:r>
          </w:p>
        </w:tc>
        <w:tc>
          <w:tcPr>
            <w:tcW w:w="27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4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包4（综合保障救援运兵车）</w:t>
            </w:r>
          </w:p>
        </w:tc>
        <w:tc>
          <w:tcPr>
            <w:tcW w:w="3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后勤保障车辆（救援运兵车）</w:t>
            </w:r>
          </w:p>
        </w:tc>
        <w:tc>
          <w:tcPr>
            <w:tcW w:w="27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24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包5（综合保障装备运输车）</w:t>
            </w:r>
          </w:p>
        </w:tc>
        <w:tc>
          <w:tcPr>
            <w:tcW w:w="35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后勤保障车辆（装备运输车）</w:t>
            </w:r>
          </w:p>
        </w:tc>
        <w:tc>
          <w:tcPr>
            <w:tcW w:w="27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411" w:type="dxa"/>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包6（综合保障小型装备运输车）</w:t>
            </w:r>
          </w:p>
        </w:tc>
        <w:tc>
          <w:tcPr>
            <w:tcW w:w="3564" w:type="dxa"/>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后勤保障车辆（装备运输车皮卡车）</w:t>
            </w:r>
          </w:p>
        </w:tc>
        <w:tc>
          <w:tcPr>
            <w:tcW w:w="2783" w:type="dxa"/>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411" w:type="dxa"/>
            <w:vMerge w:val="restart"/>
            <w:tcBorders>
              <w:top w:val="single" w:color="auto" w:sz="4" w:space="0"/>
              <w:left w:val="single" w:color="auto" w:sz="4" w:space="0"/>
              <w:bottom w:val="single" w:color="auto"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包7（综合保障仪器仪表类）</w:t>
            </w:r>
          </w:p>
        </w:tc>
        <w:tc>
          <w:tcPr>
            <w:tcW w:w="3564" w:type="dxa"/>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便携式除颤仪</w:t>
            </w:r>
          </w:p>
        </w:tc>
        <w:tc>
          <w:tcPr>
            <w:tcW w:w="2783" w:type="dxa"/>
            <w:tcBorders>
              <w:top w:val="single" w:color="auto" w:sz="4" w:space="0"/>
              <w:left w:val="single" w:color="000000"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411" w:type="dxa"/>
            <w:vMerge w:val="continue"/>
            <w:tcBorders>
              <w:top w:val="single" w:color="auto" w:sz="4" w:space="0"/>
              <w:left w:val="single" w:color="auto"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p>
        </w:tc>
        <w:tc>
          <w:tcPr>
            <w:tcW w:w="3564"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便携式担架</w:t>
            </w:r>
          </w:p>
        </w:tc>
        <w:tc>
          <w:tcPr>
            <w:tcW w:w="2783"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411" w:type="dxa"/>
            <w:tcBorders>
              <w:top w:val="single" w:color="auto" w:sz="4" w:space="0"/>
              <w:left w:val="single" w:color="auto" w:sz="4" w:space="0"/>
              <w:bottom w:val="single" w:color="auto"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包8（综合保障便携式气象仪）</w:t>
            </w:r>
          </w:p>
        </w:tc>
        <w:tc>
          <w:tcPr>
            <w:tcW w:w="3564" w:type="dxa"/>
            <w:tcBorders>
              <w:top w:val="single" w:color="auto" w:sz="4" w:space="0"/>
              <w:left w:val="single" w:color="000000"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便携式气象仪</w:t>
            </w:r>
          </w:p>
        </w:tc>
        <w:tc>
          <w:tcPr>
            <w:tcW w:w="2783"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411" w:type="dxa"/>
            <w:vMerge w:val="restart"/>
            <w:tcBorders>
              <w:top w:val="single" w:color="auto" w:sz="4" w:space="0"/>
              <w:left w:val="single" w:color="auto"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包9（综合保障电源照明类）</w:t>
            </w:r>
          </w:p>
        </w:tc>
        <w:tc>
          <w:tcPr>
            <w:tcW w:w="3564" w:type="dxa"/>
            <w:tcBorders>
              <w:top w:val="single" w:color="auto" w:sz="4" w:space="0"/>
              <w:left w:val="single" w:color="000000"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应急电源</w:t>
            </w:r>
          </w:p>
        </w:tc>
        <w:tc>
          <w:tcPr>
            <w:tcW w:w="2783"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444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411" w:type="dxa"/>
            <w:vMerge w:val="continue"/>
            <w:tcBorders>
              <w:left w:val="single" w:color="auto"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p>
        </w:tc>
        <w:tc>
          <w:tcPr>
            <w:tcW w:w="3564" w:type="dxa"/>
            <w:tcBorders>
              <w:top w:val="single" w:color="auto" w:sz="4" w:space="0"/>
              <w:left w:val="single" w:color="000000"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应急照明系统（全方位升降灯）</w:t>
            </w:r>
          </w:p>
        </w:tc>
        <w:tc>
          <w:tcPr>
            <w:tcW w:w="2783"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411" w:type="dxa"/>
            <w:vMerge w:val="continue"/>
            <w:tcBorders>
              <w:left w:val="single" w:color="auto" w:sz="4" w:space="0"/>
              <w:bottom w:val="single" w:color="auto"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p>
        </w:tc>
        <w:tc>
          <w:tcPr>
            <w:tcW w:w="3564" w:type="dxa"/>
            <w:tcBorders>
              <w:top w:val="single" w:color="auto" w:sz="4" w:space="0"/>
              <w:left w:val="single" w:color="000000"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应急照明系统</w:t>
            </w:r>
          </w:p>
        </w:tc>
        <w:tc>
          <w:tcPr>
            <w:tcW w:w="2783"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2"/>
                <w:szCs w:val="22"/>
                <w:highlight w:val="none"/>
                <w:u w:val="none"/>
                <w:lang w:val="en-US" w:eastAsia="zh-CN" w:bidi="ar"/>
              </w:rPr>
            </w:pPr>
            <w:r>
              <w:rPr>
                <w:rFonts w:hint="eastAsia" w:ascii="仿宋" w:hAnsi="仿宋" w:eastAsia="仿宋" w:cs="仿宋"/>
                <w:i w:val="0"/>
                <w:iCs w:val="0"/>
                <w:color w:val="auto"/>
                <w:kern w:val="0"/>
                <w:sz w:val="22"/>
                <w:szCs w:val="22"/>
                <w:highlight w:val="none"/>
                <w:u w:val="none"/>
                <w:lang w:val="en-US" w:eastAsia="zh-CN" w:bidi="ar"/>
              </w:rPr>
              <w:t>176</w:t>
            </w:r>
          </w:p>
        </w:tc>
      </w:tr>
    </w:tbl>
    <w:p>
      <w:pPr>
        <w:pStyle w:val="228"/>
        <w:snapToGrid w:val="0"/>
        <w:spacing w:line="460" w:lineRule="exact"/>
        <w:jc w:val="left"/>
        <w:rPr>
          <w:rFonts w:hint="eastAsia" w:ascii="仿宋" w:hAnsi="仿宋" w:eastAsia="仿宋" w:cs="仿宋"/>
          <w:b/>
          <w:bCs/>
          <w:color w:val="auto"/>
          <w:spacing w:val="14"/>
          <w:szCs w:val="21"/>
          <w:highlight w:val="none"/>
        </w:rPr>
      </w:pPr>
    </w:p>
    <w:p>
      <w:pPr>
        <w:pStyle w:val="228"/>
        <w:snapToGrid w:val="0"/>
        <w:spacing w:line="460" w:lineRule="exact"/>
        <w:jc w:val="left"/>
        <w:rPr>
          <w:rFonts w:hint="eastAsia" w:ascii="仿宋" w:hAnsi="仿宋" w:eastAsia="仿宋" w:cs="仿宋"/>
          <w:b/>
          <w:bCs/>
          <w:color w:val="auto"/>
          <w:spacing w:val="14"/>
          <w:szCs w:val="21"/>
          <w:highlight w:val="none"/>
        </w:rPr>
      </w:pPr>
      <w:r>
        <w:rPr>
          <w:rFonts w:hint="eastAsia" w:ascii="仿宋" w:hAnsi="仿宋" w:eastAsia="仿宋" w:cs="仿宋"/>
          <w:b/>
          <w:bCs/>
          <w:color w:val="auto"/>
          <w:spacing w:val="14"/>
          <w:szCs w:val="21"/>
          <w:highlight w:val="none"/>
        </w:rPr>
        <w:t>技术要求</w:t>
      </w:r>
    </w:p>
    <w:p>
      <w:pPr>
        <w:pStyle w:val="229"/>
        <w:rPr>
          <w:rFonts w:hint="eastAsia" w:ascii="仿宋" w:hAnsi="仿宋" w:eastAsia="仿宋" w:cs="仿宋"/>
          <w:color w:val="auto"/>
          <w:spacing w:val="14"/>
          <w:kern w:val="2"/>
          <w:sz w:val="21"/>
          <w:szCs w:val="21"/>
          <w:highlight w:val="none"/>
          <w:lang w:val="en-US" w:eastAsia="zh-CN" w:bidi="ar-SA"/>
        </w:rPr>
      </w:pPr>
    </w:p>
    <w:p>
      <w:pPr>
        <w:pStyle w:val="228"/>
        <w:snapToGrid w:val="0"/>
        <w:spacing w:line="460" w:lineRule="exact"/>
        <w:jc w:val="left"/>
        <w:rPr>
          <w:rFonts w:hint="eastAsia" w:ascii="仿宋" w:hAnsi="仿宋" w:eastAsia="仿宋" w:cs="仿宋"/>
          <w:b/>
          <w:bCs/>
          <w:color w:val="auto"/>
          <w:spacing w:val="14"/>
          <w:szCs w:val="21"/>
          <w:highlight w:val="none"/>
          <w:lang w:val="en-US" w:eastAsia="zh-CN"/>
        </w:rPr>
      </w:pPr>
      <w:r>
        <w:rPr>
          <w:rFonts w:hint="eastAsia" w:ascii="仿宋" w:hAnsi="仿宋" w:eastAsia="仿宋" w:cs="仿宋"/>
          <w:b/>
          <w:bCs/>
          <w:color w:val="auto"/>
          <w:spacing w:val="14"/>
          <w:szCs w:val="21"/>
          <w:highlight w:val="none"/>
          <w:lang w:val="en-US" w:eastAsia="zh-CN"/>
        </w:rPr>
        <w:t>包1技术参数：</w:t>
      </w:r>
    </w:p>
    <w:p>
      <w:pPr>
        <w:pStyle w:val="229"/>
        <w:rPr>
          <w:rFonts w:hint="eastAsia" w:ascii="仿宋" w:hAnsi="仿宋" w:eastAsia="仿宋" w:cs="仿宋"/>
          <w:color w:val="auto"/>
          <w:highlight w:val="none"/>
          <w:lang w:val="en-US" w:eastAsia="zh-CN"/>
        </w:rPr>
      </w:pP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7"/>
        <w:gridCol w:w="5955"/>
        <w:gridCol w:w="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7" w:type="dxa"/>
            <w:vAlign w:val="center"/>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设备名称</w:t>
            </w:r>
          </w:p>
        </w:tc>
        <w:tc>
          <w:tcPr>
            <w:tcW w:w="5955" w:type="dxa"/>
            <w:vAlign w:val="center"/>
          </w:tcPr>
          <w:p>
            <w:pPr>
              <w:pStyle w:val="229"/>
              <w:jc w:val="left"/>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技术参数及功能要求</w:t>
            </w:r>
          </w:p>
        </w:tc>
        <w:tc>
          <w:tcPr>
            <w:tcW w:w="653" w:type="dxa"/>
            <w:vAlign w:val="center"/>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7" w:type="dxa"/>
            <w:vAlign w:val="center"/>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应急前突车</w:t>
            </w:r>
          </w:p>
        </w:tc>
        <w:tc>
          <w:tcPr>
            <w:tcW w:w="5955" w:type="dxa"/>
            <w:vAlign w:val="center"/>
          </w:tcPr>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1、配备车载电台、危险气体侦测仪、细水雾灭火装置、车载绞盘、倒伏式照明灯等器材设备；</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2、其中，高机动前突车具有卫星电话、无线短波通信、4G/5G网络通信能力；</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3、配备单兵图传系统、远程视频会商系统、音视频采集等器材设备，可与后端指挥中心进行实时音视频交互；</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4、涉水深度≥1.2m，接近角≥45°，离去角≥35°；</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5、总质量≥2800kg；</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6、时速≥155km/h；</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7、驱动方式：四驱驱动；</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8、发动机功率≥120kW；</w:t>
            </w:r>
          </w:p>
          <w:p>
            <w:pP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9、载客人数≥5人；</w:t>
            </w:r>
          </w:p>
        </w:tc>
        <w:tc>
          <w:tcPr>
            <w:tcW w:w="653" w:type="dxa"/>
            <w:vAlign w:val="center"/>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7" w:type="dxa"/>
            <w:vAlign w:val="center"/>
          </w:tcPr>
          <w:p>
            <w:pPr>
              <w:pStyle w:val="229"/>
              <w:ind w:left="0" w:leftChars="0" w:firstLine="0" w:firstLineChars="0"/>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轻型卫星便携站</w:t>
            </w:r>
          </w:p>
        </w:tc>
        <w:tc>
          <w:tcPr>
            <w:tcW w:w="5955" w:type="dxa"/>
            <w:vAlign w:val="center"/>
          </w:tcPr>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1、需采用Ku频段一体化设计；</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2、需支持网管和业务双通道；</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3、等效天线口径≥0.6m，功放≥8W；</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4、需内置调制解调器、内置视频会商终端、无线路由、电源管理设备等；</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5、满负荷续航时间≥4h；</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6、防护等级≥IP66；</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7、整套设备全重（含天线、电池、功放等所有部件）≤14kg，</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8、设备整体需采用背负结构；</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9、需具备接入应急管理部卫星网管系统能力；</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10、需采用智能辅助对星或全自动对星。</w:t>
            </w:r>
          </w:p>
          <w:p>
            <w:pPr>
              <w:pStyle w:val="229"/>
              <w:ind w:left="0" w:leftChars="0" w:firstLine="0" w:firstLineChars="0"/>
              <w:rPr>
                <w:rFonts w:hint="eastAsia" w:ascii="仿宋" w:hAnsi="仿宋" w:eastAsia="仿宋" w:cs="仿宋"/>
                <w:color w:val="auto"/>
                <w:spacing w:val="14"/>
                <w:kern w:val="2"/>
                <w:sz w:val="21"/>
                <w:szCs w:val="21"/>
                <w:highlight w:val="none"/>
                <w:lang w:val="en-US" w:eastAsia="zh-CN" w:bidi="ar-SA"/>
              </w:rPr>
            </w:pPr>
          </w:p>
        </w:tc>
        <w:tc>
          <w:tcPr>
            <w:tcW w:w="653" w:type="dxa"/>
            <w:vAlign w:val="center"/>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7" w:type="dxa"/>
            <w:vAlign w:val="center"/>
          </w:tcPr>
          <w:p>
            <w:pPr>
              <w:pStyle w:val="229"/>
              <w:ind w:left="0" w:leftChars="0" w:firstLine="0" w:firstLineChars="0"/>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宽带自组网</w:t>
            </w:r>
          </w:p>
          <w:p>
            <w:pPr>
              <w:pStyle w:val="229"/>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pacing w:val="14"/>
                <w:kern w:val="2"/>
                <w:sz w:val="21"/>
                <w:szCs w:val="21"/>
                <w:highlight w:val="none"/>
                <w:lang w:val="en-US" w:eastAsia="zh-CN" w:bidi="ar-SA"/>
              </w:rPr>
              <w:t>基站+终端</w:t>
            </w:r>
          </w:p>
        </w:tc>
        <w:tc>
          <w:tcPr>
            <w:tcW w:w="5955" w:type="dxa"/>
            <w:vAlign w:val="center"/>
          </w:tcPr>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1、自组网基站单跳无线传输速率≥80Mbps，6跳之后最末带宽≥8M；</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2、发射功率≥10W；</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3、支持双发双收，支持组网节点数≥31节点；</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4、最大跳数≥9跳；</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5、自组网终端频点可自动与自组网基站保持同步，配置全向天线情况下，视距场景与自组网基站间传输距离≥4km，且无线传输速率≥4Mbps；</w:t>
            </w:r>
          </w:p>
          <w:p>
            <w:pPr>
              <w:rPr>
                <w:rFonts w:hint="eastAsia" w:ascii="仿宋" w:hAnsi="仿宋" w:eastAsia="仿宋" w:cs="仿宋"/>
                <w:color w:val="auto"/>
                <w:sz w:val="21"/>
                <w:szCs w:val="21"/>
                <w:highlight w:val="none"/>
                <w:lang w:val="en-US" w:eastAsia="zh-CN"/>
              </w:rPr>
            </w:pPr>
          </w:p>
        </w:tc>
        <w:tc>
          <w:tcPr>
            <w:tcW w:w="653" w:type="dxa"/>
            <w:vAlign w:val="center"/>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7" w:type="dxa"/>
            <w:vAlign w:val="center"/>
          </w:tcPr>
          <w:p>
            <w:pPr>
              <w:pStyle w:val="229"/>
              <w:ind w:left="0" w:leftChars="0" w:firstLine="0" w:firstLineChars="0"/>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通信指挥装备（单兵图传）</w:t>
            </w:r>
          </w:p>
        </w:tc>
        <w:tc>
          <w:tcPr>
            <w:tcW w:w="5955" w:type="dxa"/>
            <w:vAlign w:val="center"/>
          </w:tcPr>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1、支持4G/5G 全网通网络，支持以太网接口、外置音视频接入、外接热成像仪等，基于蜂窝组网技术的单兵音视频采集装备应内置麦克风及扬声器；</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2、≥1080P传输，设备支持视频采集、编码压缩、双向对讲功能、5G/4G网络传输、数据存储等功能；</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3、支持通过HDMI、网口输入接口与无人机、机器人、DV摄像机、夜视仪等摄像设备组合使用，实现实时视频传输。配备背夹等配件，支持单兵携带和固定安装；</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4、支持1路5G和1路4G，同时支持5G和4G双卡传输；</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5、支持RJ45网络接口及TCP/IP、ARP、HTTP、SMTP、RTP、DHCP、PPPOE协议；</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6、支持HDMI视频接口：1080P（25/30/50/60Hz）、720P（25/30/50/60Hz），压缩标准支持H265/264 Main Profile；</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7、音频：内置拾音器和大功率喇叭，支持外接耳机双向语音对讲、HDMI伴音可选；支持AAC/G711/ARM等协议；</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8、电池容量：≥5000mAh。（配置原厂电池），存储≥128GB，满配存储卡。</w:t>
            </w:r>
          </w:p>
        </w:tc>
        <w:tc>
          <w:tcPr>
            <w:tcW w:w="653" w:type="dxa"/>
            <w:vAlign w:val="center"/>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7" w:type="dxa"/>
            <w:vAlign w:val="center"/>
          </w:tcPr>
          <w:p>
            <w:pPr>
              <w:pStyle w:val="229"/>
              <w:ind w:left="0" w:leftChars="0" w:firstLine="0" w:firstLineChars="0"/>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通信指挥装备（布控球）</w:t>
            </w:r>
          </w:p>
        </w:tc>
        <w:tc>
          <w:tcPr>
            <w:tcW w:w="5955" w:type="dxa"/>
            <w:vAlign w:val="center"/>
          </w:tcPr>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1、布控球支持远程配置截图、录像、多客户端音视频实时预览、远程下载音视频文件、程序升级，具备远程配置码流、帧率、分辨率、图像质量、OSD叠加等功能，对多条连接线集成至一条线路、一个接口；</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2、支持远程发送云台控制指令，可实现镜头变倍、云台转动、光圈控制、云台水平自稳等功能，镜头支持防雨淋、防雾、防风、防沙尘功能；</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3、支持前端显示屏；</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4、装备主机（含电池）总重量≤4kg，防护等级≥IP66；</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5、整体设计：锂电池组，支持5G全网通、向下兼容4G网络，便携球机模块；</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6、分辨率：≥1080p；</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7、变倍：光学变焦≥30倍+数字变焦≥16倍；</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8、WIFI功能：内置WiFi模块，支持WiFi接入网络，可提供WIFI热点，直连智能设备进行本地操作；</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9、夜视功能：具有红外夜视功能，可识别距离80M的人体轮廓，大气能见度≥15KM，可以实现日夜监控；</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10、语音：支持手咪对讲；支持双向音频对讲，可伴音，喊话，对讲多种模式监听，支持ADPCM、G711设置选项压缩标准。</w:t>
            </w:r>
          </w:p>
        </w:tc>
        <w:tc>
          <w:tcPr>
            <w:tcW w:w="653" w:type="dxa"/>
            <w:vAlign w:val="center"/>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7" w:type="dxa"/>
            <w:vAlign w:val="center"/>
          </w:tcPr>
          <w:p>
            <w:pPr>
              <w:pStyle w:val="229"/>
              <w:ind w:left="0" w:leftChars="0" w:firstLine="0" w:firstLineChars="0"/>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通信指挥设备（数字集群手持终端）</w:t>
            </w:r>
          </w:p>
        </w:tc>
        <w:tc>
          <w:tcPr>
            <w:tcW w:w="5955" w:type="dxa"/>
            <w:vAlign w:val="center"/>
          </w:tcPr>
          <w:p>
            <w:pPr>
              <w:numPr>
                <w:ilvl w:val="0"/>
                <w:numId w:val="10"/>
              </w:num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数字集群手持终端符合《应急指挥窄带无线通信网总体技术规范》相关技术要求；</w:t>
            </w:r>
          </w:p>
          <w:p>
            <w:pPr>
              <w:numPr>
                <w:ilvl w:val="0"/>
                <w:numId w:val="10"/>
              </w:num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数字对讲：发射功率1～4W可调，频率范围350-400MHz，兼容PDT/DMR/模拟制式；具备显示屏、防爆和北斗卫星定位等功能，支持手动写频改频；</w:t>
            </w:r>
          </w:p>
          <w:p>
            <w:pPr>
              <w:numPr>
                <w:ilvl w:val="0"/>
                <w:numId w:val="10"/>
              </w:num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北斗终端具有北斗三号短报文通信功能，RSMC通信成功率≥95%（无遮挡、无干扰情况下），发射频点支持Lf1、Lf2频点，支持接收S频点，具备一键报警和关机报警等功能，防护等级≥IP67，可实现定位获取、位置上报；卫星电话支持国产自主可控卫星资源，支持2.4kbps等多种话音速率和北斗定位功能，防护等级≥IP67，通话时间≥6h；多模融合终端PDT频率范围350-400Mhz，兼容PDT和公网PoC制式，能够接入应急370MHz公专融合核心网，能够在专网PDT信号和公网信号之间平滑切换，防护等级≥IP67。</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4、工作温度范围：≥-20℃～+60℃，储存温度范围：≥-40℃～+85℃；</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5、数字接收灵敏度：≤ 0.14μV（BER5%）；</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6、对讲机应通过国家电气产品防爆认证，防爆等级不低于Exib ⅡB T3 Gb（爆炸性气体）和Exib ⅢC T155℃ Db（可燃性粉尘）；</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7、对讲机终端支持设置仅静止、仅倾斜、倾斜或静止触发方式以及倒放倾斜角度时触发报警；</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8、对讲机音量和信道切换旋钮二合一，旋钮支持360°无极型旋转，可循环切换不同的组呼联系人；</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9、对讲机须支持智能消噪功能，不限于噪音源的方向，能保证对讲机在各种嘈杂环境下都能提供清晰的语音，保障每一条声音的清晰传达，提高沟通效率，噪声抑制能力不小于30dB；</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对讲机须内置情景模式功能，对讲机可根据不同情景模式进行应答，满足不同场景的通信要求，比如户外模式对讲机指示声音会很大，振动和键盘音量开启，方便用户及时了解到业务信息，而会议模式时，为不打扰会议，按键、通知提示音和振动会关闭。情景模式不能少于4种模式；</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rPr>
              <w:t>11、对讲机须支持喇叭导水功能，因雨天环境或其他因素导致对讲机音腔存在积水时，现场工作人员无需甩动对讲机，水就能正常导出，保证对讲机音质清晰、声音响亮；</w:t>
            </w:r>
          </w:p>
        </w:tc>
        <w:tc>
          <w:tcPr>
            <w:tcW w:w="653" w:type="dxa"/>
            <w:vAlign w:val="center"/>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7" w:type="dxa"/>
            <w:vAlign w:val="center"/>
          </w:tcPr>
          <w:p>
            <w:pPr>
              <w:pStyle w:val="229"/>
              <w:ind w:left="0" w:leftChars="0" w:firstLine="0" w:firstLineChars="0"/>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通信指挥设备（北斗终端）</w:t>
            </w:r>
          </w:p>
        </w:tc>
        <w:tc>
          <w:tcPr>
            <w:tcW w:w="5955" w:type="dxa"/>
            <w:vAlign w:val="center"/>
          </w:tcPr>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单北斗:定位需符合《卫星定位导航授时设备单北斗测试技术规范》相关技术要求，首次定位时间30秒，数据更新率1Hz，单点定位精度5m北斗终端具有北斗三号短报文通信功能，RSMC通信成功率≥95%（无遮挡、无干扰情况下），发射频点支持Lf1、Lf2频点，支持接收S频点，具备一键报警和关机报警等功能，防护等级≥IP67；</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2、智能便携：安卓系统版本≥10.0，屏幕3.0-5.0寸，分辨率不低于720×1280，重量≤500g；</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3、处理器：8核处理器，主频≥2.0G；</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4、存储：标配≥4+64G，最大支持512GB的T-Flash卡扩展</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5、触控：5点触控，支持电容屏手套操作，带水珠触摸；</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6、摄像头：前置摄像头≥800W，后置摄像头≥4000W，支持闪光灯，支持自动对焦，支持音视频会商通话功能，支持后台和终端双向发起呼叫实现远程指挥协助；</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7、传感器：加速度感应器、角速度计感应器、地磁感应器、气压计、距离感应器、光线感应器；</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8、移动通讯制式:支持5G、4G、3G、2G通讯；</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9、WiFi：支持2.4G和5G WiFi连接，支持WiFi直连；</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10、蓝牙：BlueTooth≥ 5.1，支持音频传输和文件传输；</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11、数据传输：USB3.0，Type-C接口，支持OTG功能；</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12、电池特性：</w:t>
            </w:r>
            <w:r>
              <w:rPr>
                <w:rFonts w:hint="eastAsia" w:ascii="仿宋" w:hAnsi="仿宋" w:eastAsia="仿宋" w:cs="仿宋"/>
                <w:color w:val="auto"/>
                <w:kern w:val="0"/>
                <w:sz w:val="21"/>
                <w:szCs w:val="21"/>
                <w:highlight w:val="none"/>
              </w:rPr>
              <w:fldChar w:fldCharType="begin"/>
            </w:r>
            <w:r>
              <w:rPr>
                <w:rFonts w:hint="eastAsia" w:ascii="仿宋" w:hAnsi="仿宋" w:eastAsia="仿宋" w:cs="仿宋"/>
                <w:color w:val="auto"/>
                <w:kern w:val="0"/>
                <w:sz w:val="21"/>
                <w:szCs w:val="21"/>
                <w:highlight w:val="none"/>
              </w:rPr>
              <w:instrText xml:space="preserve"> HYPERLINK "mailto:3000mAh@7.4V，或者6000m4h@3.7V，电池不借助工具可拆卸、可座充，充电时间≤4小时，工作时间:≥8小时" </w:instrText>
            </w:r>
            <w:r>
              <w:rPr>
                <w:rFonts w:hint="eastAsia" w:ascii="仿宋" w:hAnsi="仿宋" w:eastAsia="仿宋" w:cs="仿宋"/>
                <w:color w:val="auto"/>
                <w:kern w:val="0"/>
                <w:sz w:val="21"/>
                <w:szCs w:val="21"/>
                <w:highlight w:val="none"/>
              </w:rPr>
              <w:fldChar w:fldCharType="separate"/>
            </w:r>
            <w:r>
              <w:rPr>
                <w:rFonts w:hint="eastAsia" w:ascii="仿宋" w:hAnsi="仿宋" w:eastAsia="仿宋" w:cs="仿宋"/>
                <w:color w:val="auto"/>
                <w:kern w:val="0"/>
                <w:sz w:val="21"/>
                <w:szCs w:val="21"/>
                <w:highlight w:val="none"/>
              </w:rPr>
              <w:t>3000mAh@7.4V，或者6000m4h@3.7V，电池不借助工具可拆卸、可座充，充电时间≤4小时，工作时间:≥8小时</w:t>
            </w:r>
            <w:r>
              <w:rPr>
                <w:rFonts w:hint="eastAsia" w:ascii="仿宋" w:hAnsi="仿宋" w:eastAsia="仿宋" w:cs="仿宋"/>
                <w:color w:val="auto"/>
                <w:kern w:val="0"/>
                <w:sz w:val="21"/>
                <w:szCs w:val="21"/>
                <w:highlight w:val="none"/>
              </w:rPr>
              <w:fldChar w:fldCharType="end"/>
            </w:r>
            <w:r>
              <w:rPr>
                <w:rFonts w:hint="eastAsia" w:ascii="仿宋" w:hAnsi="仿宋" w:eastAsia="仿宋" w:cs="仿宋"/>
                <w:color w:val="auto"/>
                <w:kern w:val="0"/>
                <w:sz w:val="21"/>
                <w:szCs w:val="21"/>
                <w:highlight w:val="none"/>
              </w:rPr>
              <w:t>；</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13、大喇叭：功率≥2W，满足野外嘈杂环境下正常使用；</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14、工作温度：-20°C~+55°C；存储温度：-30°C ~ +65°C。</w:t>
            </w:r>
          </w:p>
        </w:tc>
        <w:tc>
          <w:tcPr>
            <w:tcW w:w="653" w:type="dxa"/>
            <w:vAlign w:val="center"/>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118</w:t>
            </w:r>
          </w:p>
        </w:tc>
      </w:tr>
    </w:tbl>
    <w:p>
      <w:pPr>
        <w:pStyle w:val="229"/>
        <w:rPr>
          <w:rFonts w:hint="eastAsia" w:ascii="仿宋" w:hAnsi="仿宋" w:eastAsia="仿宋" w:cs="仿宋"/>
          <w:color w:val="auto"/>
          <w:spacing w:val="14"/>
          <w:kern w:val="2"/>
          <w:sz w:val="21"/>
          <w:szCs w:val="21"/>
          <w:highlight w:val="none"/>
          <w:lang w:val="en-US" w:eastAsia="zh-CN" w:bidi="ar-SA"/>
        </w:rPr>
      </w:pPr>
    </w:p>
    <w:p>
      <w:pPr>
        <w:pStyle w:val="229"/>
        <w:rPr>
          <w:rFonts w:hint="eastAsia" w:ascii="仿宋" w:hAnsi="仿宋" w:eastAsia="仿宋" w:cs="仿宋"/>
          <w:color w:val="auto"/>
          <w:spacing w:val="14"/>
          <w:kern w:val="2"/>
          <w:sz w:val="21"/>
          <w:szCs w:val="21"/>
          <w:highlight w:val="none"/>
          <w:lang w:val="en-US" w:eastAsia="zh-CN" w:bidi="ar-SA"/>
        </w:rPr>
      </w:pPr>
    </w:p>
    <w:p>
      <w:pPr>
        <w:pStyle w:val="229"/>
        <w:rPr>
          <w:rFonts w:hint="eastAsia" w:ascii="仿宋" w:hAnsi="仿宋" w:eastAsia="仿宋" w:cs="仿宋"/>
          <w:color w:val="auto"/>
          <w:spacing w:val="14"/>
          <w:kern w:val="2"/>
          <w:sz w:val="21"/>
          <w:szCs w:val="21"/>
          <w:highlight w:val="none"/>
          <w:lang w:val="en-US" w:eastAsia="zh-CN" w:bidi="ar-SA"/>
        </w:rPr>
      </w:pPr>
    </w:p>
    <w:p>
      <w:pPr>
        <w:pStyle w:val="229"/>
        <w:rPr>
          <w:rFonts w:hint="eastAsia" w:ascii="仿宋" w:hAnsi="仿宋" w:eastAsia="仿宋" w:cs="仿宋"/>
          <w:b/>
          <w:bCs/>
          <w:color w:val="auto"/>
          <w:spacing w:val="14"/>
          <w:kern w:val="2"/>
          <w:sz w:val="21"/>
          <w:szCs w:val="21"/>
          <w:highlight w:val="none"/>
          <w:lang w:val="en-US" w:eastAsia="zh-CN" w:bidi="ar-SA"/>
        </w:rPr>
      </w:pPr>
      <w:r>
        <w:rPr>
          <w:rFonts w:hint="eastAsia" w:ascii="仿宋" w:hAnsi="仿宋" w:eastAsia="仿宋" w:cs="仿宋"/>
          <w:b/>
          <w:bCs/>
          <w:color w:val="auto"/>
          <w:spacing w:val="14"/>
          <w:kern w:val="2"/>
          <w:sz w:val="21"/>
          <w:szCs w:val="21"/>
          <w:highlight w:val="none"/>
          <w:lang w:val="en-US" w:eastAsia="zh-CN" w:bidi="ar-SA"/>
        </w:rPr>
        <w:t>包2技术参数：</w:t>
      </w:r>
    </w:p>
    <w:tbl>
      <w:tblPr>
        <w:tblStyle w:val="63"/>
        <w:tblpPr w:leftFromText="180" w:rightFromText="180" w:vertAnchor="text" w:horzAnchor="page" w:tblpX="1837" w:tblpY="41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6"/>
        <w:gridCol w:w="5547"/>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086" w:type="dxa"/>
            <w:vAlign w:val="center"/>
          </w:tcPr>
          <w:p>
            <w:pPr>
              <w:pStyle w:val="229"/>
              <w:ind w:left="0" w:leftChars="0" w:firstLine="414" w:firstLineChars="200"/>
              <w:jc w:val="both"/>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设备名称</w:t>
            </w:r>
          </w:p>
        </w:tc>
        <w:tc>
          <w:tcPr>
            <w:tcW w:w="5547" w:type="dxa"/>
            <w:vAlign w:val="center"/>
          </w:tcPr>
          <w:p>
            <w:pPr>
              <w:pStyle w:val="229"/>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技术参数及功能要求</w:t>
            </w:r>
          </w:p>
        </w:tc>
        <w:tc>
          <w:tcPr>
            <w:tcW w:w="786" w:type="dxa"/>
            <w:vAlign w:val="center"/>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086" w:type="dxa"/>
            <w:vAlign w:val="center"/>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大功率车载送风机</w:t>
            </w:r>
          </w:p>
        </w:tc>
        <w:tc>
          <w:tcPr>
            <w:tcW w:w="5547" w:type="dxa"/>
          </w:tcPr>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1、车载式，配备消音装置、快速连接风管；</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2、送风功率≥30kW，风速≥30m/s，风量≥30m³/s；</w:t>
            </w:r>
          </w:p>
          <w:p>
            <w:pP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3、危险气体探测（二氧化碳、一氧化碳、甲烷、硫化氢等）+视频监控传输。</w:t>
            </w:r>
          </w:p>
        </w:tc>
        <w:tc>
          <w:tcPr>
            <w:tcW w:w="786" w:type="dxa"/>
            <w:vAlign w:val="center"/>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086" w:type="dxa"/>
            <w:vAlign w:val="center"/>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后勤保障车（淋浴车）</w:t>
            </w:r>
          </w:p>
        </w:tc>
        <w:tc>
          <w:tcPr>
            <w:tcW w:w="5547" w:type="dxa"/>
            <w:vAlign w:val="center"/>
          </w:tcPr>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1、发动机功率≥200KW；</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2、总质量≥16000kg；</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3、驱动型式4×2；</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4、驾驶室配备集 360°全景行车记录仪和定位、导航等多功能一体的智能终端；</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5、整车分为设备区，淋浴区和更衣区，配备空调和暖风机；</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6、同时洗浴人数≥8人；</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7、配备液压支腿，支腿带自动调平功能；</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8、燃油锅炉：≥10万大卡/小时热水量，常压锅炉，含热交换器及附件；</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9、淋浴区制作：含防水处理，花洒、混合阀、香皂盒等淋浴附件；整个淋浴区排水要设置合理的排水坡度。淋浴区地面应进行防滑处理及设置防滑设施；淋浴区隔断采用可拆卸结构，隔板材质为pvc，每个淋浴位配备浴帘；</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10、净水箱：不锈钢材质，防冻处理；容量≥1300L；</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配备加水及废水排水管路、配备水囊袋及潜水泵便于野外取水；</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11、保温水箱（热水）：不锈钢材质，保温处理；容量≥500L；</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12、更衣座椅：采用木质更衣座椅并配备皮质坐垫，可供两人以上同时更换衣服；要求座椅下部安装暖风机；</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13、更衣柜：含衣柜、鞋柜，采用不锈钢材质制作。</w:t>
            </w:r>
          </w:p>
        </w:tc>
        <w:tc>
          <w:tcPr>
            <w:tcW w:w="786" w:type="dxa"/>
            <w:vAlign w:val="center"/>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086" w:type="dxa"/>
            <w:vAlign w:val="center"/>
          </w:tcPr>
          <w:p>
            <w:pPr>
              <w:pStyle w:val="229"/>
              <w:ind w:left="0" w:leftChars="0" w:firstLine="0" w:firstLineChars="0"/>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后勤保障车（饮食保障车）</w:t>
            </w:r>
          </w:p>
        </w:tc>
        <w:tc>
          <w:tcPr>
            <w:tcW w:w="5547" w:type="dxa"/>
          </w:tcPr>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1、发动机功率≥220kW；</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2、总质量≥16000kg；</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3、车速≥90km/h；</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4、驾驶室乘坐人数≥2人；</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5、驱动型式4×2；</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6、配备集360°全景行车记录仪和定位、导航等多功能一体的智能终端；</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7、配备冷暖空调，室内LED照明；</w:t>
            </w:r>
          </w:p>
          <w:p>
            <w:pP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8、餐饮设备：单次满足100人以上用餐需求，可拓展舱体，配备蒸饭柜、炖锅和炒锅、洗菜池、切菜台、开水机、水净化系统、增压水泵、油烟机、储物柜、冰箱，可满足煮饭、炖菜、炒菜、料理食材等不同需求。</w:t>
            </w:r>
          </w:p>
        </w:tc>
        <w:tc>
          <w:tcPr>
            <w:tcW w:w="786" w:type="dxa"/>
            <w:vAlign w:val="center"/>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086" w:type="dxa"/>
            <w:vAlign w:val="center"/>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后勤保障车（宿营车）</w:t>
            </w:r>
          </w:p>
        </w:tc>
        <w:tc>
          <w:tcPr>
            <w:tcW w:w="5547" w:type="dxa"/>
          </w:tcPr>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1、宿营车配备休息床铺、洗漱卫生间、内置空调等配套设施；</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2、整备质量≤6500kg；</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3、方舱自重≤3500kg；</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4、爬坡度≥30°；</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5、转弯半径≤12m；</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6、发动机额定功率≥130kW；</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7、时速≥90km/h；</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8、住宿人数≥20人；</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9、淋浴卫生间≥2间；</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10、驱动型式4×2；</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11、厢体布局：休息区及卫浴区；</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12、厢门：采用具有防蚊功能的房车门；</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13、抽拉梯：尾门下部不锈钢抽拉梯，带折叠护栏扶手；</w:t>
            </w:r>
          </w:p>
          <w:p>
            <w:pP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14、设置电视机、卫生间、空调等设备提高保障能力。</w:t>
            </w:r>
          </w:p>
        </w:tc>
        <w:tc>
          <w:tcPr>
            <w:tcW w:w="786" w:type="dxa"/>
            <w:vAlign w:val="center"/>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086" w:type="dxa"/>
            <w:vAlign w:val="center"/>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后勤保障车辆（应急电源车）</w:t>
            </w:r>
          </w:p>
        </w:tc>
        <w:tc>
          <w:tcPr>
            <w:tcW w:w="5547" w:type="dxa"/>
          </w:tcPr>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1、应急电源车电池能量≥2000Wh；</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2、输出电压≥220V-50Hz；</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3、功率≥50kW；</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4、总质量：≥4000kg；</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5、车速：≥90km/h；</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6、轴距：≥3200mm；</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7、平头全金属前翻驾驶室,液压支撑前翻；</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 xml:space="preserve">8、配置暖风/通风系统，空调系统； </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9、厢体分舱：整车分为发电机组舱、电缆舱；</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10、厢体保温隔音处理：配置降噪网孔板；</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11、上车梯：设置在侧门下方，设计成翻转踏步，采用铝合金制作，踏步防滑设计。厢体前端设计上下车顶检修爬梯；</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12、车厢后门形式：双开门、车厢右侧门形式：侧开；</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13、交流输出电缆采用阻燃耐磨的柔性单芯软电缆，专用于各种移动电源设备，可承受较大机械力作用；</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14、工作电压：450～750V，规格：≥1×60mm2；</w:t>
            </w:r>
          </w:p>
          <w:p>
            <w:pP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15、连接方式：电缆一端采用快速插头，一端采用通用镀锡铜鼻子；</w:t>
            </w:r>
          </w:p>
          <w:p>
            <w:pP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16、车辆驾驶室顶部安装倒伏式升降照明灯系统，液压控制。升降高度≥1.8米，采用LED灯2×250瓦；具备有线控制和50米无线遥控功能。防护等级：≥IP65。</w:t>
            </w:r>
          </w:p>
        </w:tc>
        <w:tc>
          <w:tcPr>
            <w:tcW w:w="786" w:type="dxa"/>
            <w:vAlign w:val="center"/>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1</w:t>
            </w:r>
          </w:p>
        </w:tc>
      </w:tr>
    </w:tbl>
    <w:p>
      <w:pPr>
        <w:pStyle w:val="229"/>
        <w:rPr>
          <w:rFonts w:hint="eastAsia" w:ascii="仿宋" w:hAnsi="仿宋" w:eastAsia="仿宋" w:cs="仿宋"/>
          <w:color w:val="auto"/>
          <w:spacing w:val="14"/>
          <w:kern w:val="2"/>
          <w:sz w:val="21"/>
          <w:szCs w:val="21"/>
          <w:highlight w:val="none"/>
          <w:lang w:val="en-US" w:eastAsia="zh-CN" w:bidi="ar-SA"/>
        </w:rPr>
      </w:pPr>
    </w:p>
    <w:p>
      <w:pPr>
        <w:pStyle w:val="229"/>
        <w:rPr>
          <w:rFonts w:hint="eastAsia" w:ascii="仿宋" w:hAnsi="仿宋" w:eastAsia="仿宋" w:cs="仿宋"/>
          <w:b/>
          <w:bCs/>
          <w:color w:val="auto"/>
          <w:spacing w:val="14"/>
          <w:kern w:val="2"/>
          <w:sz w:val="21"/>
          <w:szCs w:val="21"/>
          <w:highlight w:val="none"/>
          <w:lang w:val="en-US" w:eastAsia="zh-CN" w:bidi="ar-SA"/>
        </w:rPr>
      </w:pPr>
      <w:r>
        <w:rPr>
          <w:rFonts w:hint="eastAsia" w:ascii="仿宋" w:hAnsi="仿宋" w:eastAsia="仿宋" w:cs="仿宋"/>
          <w:b/>
          <w:bCs/>
          <w:color w:val="auto"/>
          <w:spacing w:val="14"/>
          <w:kern w:val="2"/>
          <w:sz w:val="21"/>
          <w:szCs w:val="21"/>
          <w:highlight w:val="none"/>
          <w:lang w:val="en-US" w:eastAsia="zh-CN" w:bidi="ar-SA"/>
        </w:rPr>
        <w:t>包3技术参数：</w:t>
      </w:r>
    </w:p>
    <w:tbl>
      <w:tblPr>
        <w:tblStyle w:val="63"/>
        <w:tblW w:w="0" w:type="auto"/>
        <w:tblInd w:w="4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5976"/>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设备名称</w:t>
            </w:r>
          </w:p>
        </w:tc>
        <w:tc>
          <w:tcPr>
            <w:tcW w:w="5976" w:type="dxa"/>
            <w:vAlign w:val="center"/>
          </w:tcPr>
          <w:p>
            <w:pPr>
              <w:pStyle w:val="229"/>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技术参数及功能要求</w:t>
            </w:r>
          </w:p>
        </w:tc>
        <w:tc>
          <w:tcPr>
            <w:tcW w:w="780" w:type="dxa"/>
            <w:vAlign w:val="center"/>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救援无人机（灭火无人机）</w:t>
            </w:r>
          </w:p>
        </w:tc>
        <w:tc>
          <w:tcPr>
            <w:tcW w:w="5976" w:type="dxa"/>
          </w:tcPr>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1、灭火无人机可挂载水枪、干粉灭火弹、小型水桶等执行灭火作业，载重≥30kg，抛投挂点≥2个，遥控距离≥2km，工作温度≥150℃；</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2、多旋翼无人机；</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3、机身前置1080P高清FPV摄像头，搭配≥5.5吋高亮屏遥控器，图传距离≥15KM；</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4、无人机可同时搭载≥2个以上的不同载荷，载荷模块免工具快拆设计，支持灭火弹平射装置，破窗发射筒装置，喊话模块，通讯模块的组合作业；</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5、最大起降海拔高度≥4000m；</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6、飞行器抗风能力5级；</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7、防护等级≥IP54；</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w:t>
            </w:r>
            <w:r>
              <w:rPr>
                <w:rFonts w:hint="eastAsia" w:ascii="仿宋" w:hAnsi="仿宋" w:eastAsia="仿宋" w:cs="仿宋"/>
                <w:color w:val="auto"/>
                <w:kern w:val="0"/>
                <w:sz w:val="21"/>
                <w:szCs w:val="21"/>
                <w:highlight w:val="none"/>
                <w:lang w:val="en-US" w:eastAsia="zh-CN"/>
              </w:rPr>
              <w:t>无</w:t>
            </w:r>
            <w:r>
              <w:rPr>
                <w:rFonts w:hint="eastAsia" w:ascii="仿宋" w:hAnsi="仿宋" w:eastAsia="仿宋" w:cs="仿宋"/>
                <w:color w:val="auto"/>
                <w:kern w:val="0"/>
                <w:sz w:val="21"/>
                <w:szCs w:val="21"/>
                <w:highlight w:val="none"/>
              </w:rPr>
              <w:t>人机具备高温异常自动识别系统，当周边温度异常时可自动采取措施；</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9、</w:t>
            </w:r>
            <w:r>
              <w:rPr>
                <w:rFonts w:hint="eastAsia" w:ascii="仿宋" w:hAnsi="仿宋" w:eastAsia="仿宋" w:cs="仿宋"/>
                <w:color w:val="auto"/>
                <w:kern w:val="0"/>
                <w:sz w:val="21"/>
                <w:szCs w:val="21"/>
                <w:highlight w:val="none"/>
                <w:lang w:val="en-US" w:eastAsia="zh-CN"/>
              </w:rPr>
              <w:t>智能</w:t>
            </w:r>
            <w:r>
              <w:rPr>
                <w:rFonts w:hint="eastAsia" w:ascii="仿宋" w:hAnsi="仿宋" w:eastAsia="仿宋" w:cs="仿宋"/>
                <w:color w:val="auto"/>
                <w:kern w:val="0"/>
                <w:sz w:val="21"/>
                <w:szCs w:val="21"/>
                <w:highlight w:val="none"/>
              </w:rPr>
              <w:t>瞄准稳定系统，通过瞄准辅助线实现精准投弹；</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w:t>
            </w:r>
            <w:r>
              <w:rPr>
                <w:rFonts w:hint="eastAsia" w:ascii="仿宋" w:hAnsi="仿宋" w:eastAsia="仿宋" w:cs="仿宋"/>
                <w:color w:val="auto"/>
                <w:kern w:val="0"/>
                <w:sz w:val="21"/>
                <w:szCs w:val="21"/>
                <w:highlight w:val="none"/>
                <w:lang w:val="en-US" w:eastAsia="zh-CN"/>
              </w:rPr>
              <w:t>遥控器</w:t>
            </w:r>
            <w:r>
              <w:rPr>
                <w:rFonts w:hint="eastAsia" w:ascii="仿宋" w:hAnsi="仿宋" w:eastAsia="仿宋" w:cs="仿宋"/>
                <w:color w:val="auto"/>
                <w:kern w:val="0"/>
                <w:sz w:val="21"/>
                <w:szCs w:val="21"/>
                <w:highlight w:val="none"/>
              </w:rPr>
              <w:t>电台双数传链路冗余设计，在不依托4/5G网络通讯条件下，遥控距离≥15KM；</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11、</w:t>
            </w:r>
            <w:r>
              <w:rPr>
                <w:rFonts w:hint="eastAsia" w:ascii="仿宋" w:hAnsi="仿宋" w:eastAsia="仿宋" w:cs="仿宋"/>
                <w:color w:val="auto"/>
                <w:kern w:val="0"/>
                <w:sz w:val="21"/>
                <w:szCs w:val="21"/>
                <w:highlight w:val="none"/>
                <w:lang w:val="en-US" w:eastAsia="zh-CN"/>
              </w:rPr>
              <w:t>具备</w:t>
            </w:r>
            <w:r>
              <w:rPr>
                <w:rFonts w:hint="eastAsia" w:ascii="仿宋" w:hAnsi="仿宋" w:eastAsia="仿宋" w:cs="仿宋"/>
                <w:color w:val="auto"/>
                <w:kern w:val="0"/>
                <w:sz w:val="21"/>
                <w:szCs w:val="21"/>
                <w:highlight w:val="none"/>
              </w:rPr>
              <w:t>毫米波雷达避障和距离智能感知功能；</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12、</w:t>
            </w:r>
            <w:r>
              <w:rPr>
                <w:rFonts w:hint="eastAsia" w:ascii="仿宋" w:hAnsi="仿宋" w:eastAsia="仿宋" w:cs="仿宋"/>
                <w:color w:val="auto"/>
                <w:kern w:val="0"/>
                <w:sz w:val="21"/>
                <w:szCs w:val="21"/>
                <w:highlight w:val="none"/>
                <w:lang w:val="en-US" w:eastAsia="zh-CN"/>
              </w:rPr>
              <w:t>支持</w:t>
            </w:r>
            <w:r>
              <w:rPr>
                <w:rFonts w:hint="eastAsia" w:ascii="仿宋" w:hAnsi="仿宋" w:eastAsia="仿宋" w:cs="仿宋"/>
                <w:color w:val="auto"/>
                <w:kern w:val="0"/>
                <w:sz w:val="21"/>
                <w:szCs w:val="21"/>
                <w:highlight w:val="none"/>
              </w:rPr>
              <w:t>远程监控与控制功能；</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13、</w:t>
            </w:r>
            <w:r>
              <w:rPr>
                <w:rFonts w:hint="eastAsia" w:ascii="仿宋" w:hAnsi="仿宋" w:eastAsia="仿宋" w:cs="仿宋"/>
                <w:color w:val="auto"/>
                <w:kern w:val="0"/>
                <w:sz w:val="21"/>
                <w:szCs w:val="21"/>
                <w:highlight w:val="none"/>
                <w:lang w:val="en-US" w:eastAsia="zh-CN"/>
              </w:rPr>
              <w:t>无人</w:t>
            </w:r>
            <w:r>
              <w:rPr>
                <w:rFonts w:hint="eastAsia" w:ascii="仿宋" w:hAnsi="仿宋" w:eastAsia="仿宋" w:cs="仿宋"/>
                <w:color w:val="auto"/>
                <w:kern w:val="0"/>
                <w:sz w:val="21"/>
                <w:szCs w:val="21"/>
                <w:highlight w:val="none"/>
              </w:rPr>
              <w:t>采用GPS惯导和视觉融合定位，保证gps信号丢失情况下的精准悬停；</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14、</w:t>
            </w:r>
            <w:r>
              <w:rPr>
                <w:rFonts w:hint="eastAsia" w:ascii="仿宋" w:hAnsi="仿宋" w:eastAsia="仿宋" w:cs="仿宋"/>
                <w:color w:val="auto"/>
                <w:kern w:val="0"/>
                <w:sz w:val="21"/>
                <w:szCs w:val="21"/>
                <w:highlight w:val="none"/>
                <w:lang w:val="en-US" w:eastAsia="zh-CN"/>
              </w:rPr>
              <w:t>灭</w:t>
            </w:r>
            <w:r>
              <w:rPr>
                <w:rFonts w:hint="eastAsia" w:ascii="仿宋" w:hAnsi="仿宋" w:eastAsia="仿宋" w:cs="仿宋"/>
                <w:color w:val="auto"/>
                <w:kern w:val="0"/>
                <w:sz w:val="21"/>
                <w:szCs w:val="21"/>
                <w:highlight w:val="none"/>
              </w:rPr>
              <w:t>火弹重量≥4kg，单次灭火面积≥9m³；</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15、</w:t>
            </w:r>
            <w:r>
              <w:rPr>
                <w:rFonts w:hint="eastAsia" w:ascii="仿宋" w:hAnsi="仿宋" w:eastAsia="仿宋" w:cs="仿宋"/>
                <w:color w:val="auto"/>
                <w:kern w:val="0"/>
                <w:sz w:val="21"/>
                <w:szCs w:val="21"/>
                <w:highlight w:val="none"/>
                <w:lang w:val="en-US" w:eastAsia="zh-CN"/>
              </w:rPr>
              <w:t>水</w:t>
            </w:r>
            <w:r>
              <w:rPr>
                <w:rFonts w:hint="eastAsia" w:ascii="仿宋" w:hAnsi="仿宋" w:eastAsia="仿宋" w:cs="仿宋"/>
                <w:color w:val="auto"/>
                <w:kern w:val="0"/>
                <w:sz w:val="21"/>
                <w:szCs w:val="21"/>
                <w:highlight w:val="none"/>
              </w:rPr>
              <w:t>桶容量≥5升；</w:t>
            </w:r>
          </w:p>
          <w:p>
            <w:pP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kern w:val="0"/>
                <w:sz w:val="21"/>
                <w:szCs w:val="21"/>
                <w:highlight w:val="none"/>
              </w:rPr>
              <w:t>16、</w:t>
            </w:r>
            <w:r>
              <w:rPr>
                <w:rFonts w:hint="eastAsia" w:ascii="仿宋" w:hAnsi="仿宋" w:eastAsia="仿宋" w:cs="仿宋"/>
                <w:color w:val="auto"/>
                <w:kern w:val="0"/>
                <w:sz w:val="21"/>
                <w:szCs w:val="21"/>
                <w:highlight w:val="none"/>
                <w:lang w:val="en-US" w:eastAsia="zh-CN"/>
              </w:rPr>
              <w:t>水枪</w:t>
            </w:r>
            <w:r>
              <w:rPr>
                <w:rFonts w:hint="eastAsia" w:ascii="仿宋" w:hAnsi="仿宋" w:eastAsia="仿宋" w:cs="仿宋"/>
                <w:color w:val="auto"/>
                <w:kern w:val="0"/>
                <w:sz w:val="21"/>
                <w:szCs w:val="21"/>
                <w:highlight w:val="none"/>
              </w:rPr>
              <w:t>长度≥1.8米，配套专用无人机超轻水带≥30米。</w:t>
            </w:r>
          </w:p>
        </w:tc>
        <w:tc>
          <w:tcPr>
            <w:tcW w:w="780" w:type="dxa"/>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救援无人机（巡堤查险无人机）</w:t>
            </w:r>
          </w:p>
        </w:tc>
        <w:tc>
          <w:tcPr>
            <w:tcW w:w="5976" w:type="dxa"/>
          </w:tcPr>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具备空中快速智能识别堤坝管涌等功能</w:t>
            </w:r>
          </w:p>
          <w:p>
            <w:pP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一、飞行器主机参数：</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1、最大上升速度：6 米/秒；最大下降速度：6 米/秒；</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2、最大水平飞行速度（海平面附近无风）：≥20米/秒；</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3、最大抗风速度：≥12 米/秒；</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4、最长飞行时间（无风环境）：≥30分钟</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5、GNSS：GPS 或 BeiDou </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6、悬停精度（无风或微风环境）</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垂直：±0.1 米（视觉定位正常工作时）；±0.5 米（GNSS 正常工作时）；±0.1 米（RTK 正常工作时）</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水平：±0.3 米（视觉定位正常工作时）；±0.5 米（高精度定位系统正常工作时）；±0.1 米（RTK 正常工作时）</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7、工作环境温度：-10°C 至 40°C。</w:t>
            </w:r>
          </w:p>
          <w:p>
            <w:pP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二、广角相机：</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1、影像传感器：1/2" CMOS，有效像素≥ 4800 万；</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2、镜头：</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视角：≥84°，等效焦距：24 毫米，光圈：f/2.8</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对焦点：1 米至无穷远；</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3、ISO 范围：100 至 25600；</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4、快门速度：电子快门：8 秒至 1/8000 秒；</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5、最大照片尺寸：4000×3000。</w:t>
            </w:r>
          </w:p>
          <w:p>
            <w:pP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三、长焦相机：</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1、影像传感器：1/2" CMOS，有效像素 1200 万；</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2、ISO 范围：100 至 25600；</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3、快门速度：电子快门：8 秒至 1/8000 秒；</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4、最大照片尺寸：4000×3000。</w:t>
            </w:r>
          </w:p>
          <w:p>
            <w:pP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四、热成像相机：</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1、热成像传感器类型：非制冷氧化钒（VOx）；</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2、镜头：光圈：f/1.0；</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3、测温方式：点测温、区域测温；</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测温范围：-20℃ 至 150℃（高增益模式），0℃ 至 500℃（低增益模式）；</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4、红外测温精度：±3℃ 或 ±3%，取较大值。</w:t>
            </w:r>
          </w:p>
          <w:p>
            <w:pP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五、遥控器：</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1、最大信号有效距离（无干扰、无遮挡）：15km（FFC）、8km（CE）；</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2、工作频段：2.4GHZ/5.8GHZ。</w:t>
            </w:r>
          </w:p>
          <w:p>
            <w:pP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六、电池：</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容量：≥5000 mAh。</w:t>
            </w:r>
          </w:p>
          <w:p>
            <w:pP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七、堤坝管涌识别系统：</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1、支持实时识别堤坝管涌并自动报警；</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2、支持实时定位管涌点位置；</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3、可以保存记录管涌位置，支持历史任务查看；</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4、可实时上传指挥中心云平台；</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5、支持多路视频直播，同时观看；</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6、设备激活：支持新用户安装设备后自动激活，可查看激活时间、质保到期时间；</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7、无人机控制：支持指点飞行，在线远程控制无人机动作，远程更改航线（飞行状态下）；</w:t>
            </w:r>
          </w:p>
          <w:p>
            <w:pPr>
              <w:pStyle w:val="229"/>
              <w:ind w:left="0" w:leftChars="0" w:firstLine="0" w:firstLineChars="0"/>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kern w:val="0"/>
                <w:sz w:val="21"/>
                <w:szCs w:val="21"/>
                <w:highlight w:val="none"/>
              </w:rPr>
              <w:t>8、支持地址搜索：可搜索目标地点名称，快速定位。</w:t>
            </w:r>
          </w:p>
        </w:tc>
        <w:tc>
          <w:tcPr>
            <w:tcW w:w="780" w:type="dxa"/>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救援无人机（照明无人机）</w:t>
            </w:r>
          </w:p>
        </w:tc>
        <w:tc>
          <w:tcPr>
            <w:tcW w:w="5976" w:type="dxa"/>
          </w:tcPr>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照明无人机具有LED光源、高清无线图传、闪烁警示等功能，升空照明功率≥500W，抗风等级≥5级，防水防雨≥IP67。</w:t>
            </w:r>
          </w:p>
          <w:p>
            <w:pPr>
              <w:rPr>
                <w:rFonts w:hint="eastAsia" w:ascii="仿宋" w:hAnsi="仿宋" w:eastAsia="仿宋" w:cs="仿宋"/>
                <w:color w:val="auto"/>
                <w:kern w:val="0"/>
                <w:sz w:val="21"/>
                <w:szCs w:val="21"/>
                <w:highlight w:val="none"/>
              </w:rPr>
            </w:pPr>
            <w:r>
              <w:rPr>
                <w:rFonts w:hint="eastAsia" w:ascii="仿宋" w:hAnsi="仿宋" w:eastAsia="仿宋" w:cs="仿宋"/>
                <w:b/>
                <w:bCs/>
                <w:color w:val="auto"/>
                <w:kern w:val="0"/>
                <w:sz w:val="21"/>
                <w:szCs w:val="21"/>
                <w:highlight w:val="none"/>
              </w:rPr>
              <w:t>一、无人机主机参数</w:t>
            </w:r>
            <w:r>
              <w:rPr>
                <w:rFonts w:hint="eastAsia" w:ascii="仿宋" w:hAnsi="仿宋" w:eastAsia="仿宋" w:cs="仿宋"/>
                <w:color w:val="auto"/>
                <w:kern w:val="0"/>
                <w:sz w:val="21"/>
                <w:szCs w:val="21"/>
                <w:highlight w:val="none"/>
              </w:rPr>
              <w:t>：</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1、多旋翼无人机，机臂采用折叠机构；</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2、最大起降海拔高度≥4000m；</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3、最大爬升速度≥6m/s；最大下降速度≥6m/s；</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4、遥控器屏幕≥5吋；</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5、无人机智能电池，具有电量LED显示，记录电池历史数据、使用次数；</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6、无人机采用气压计或激光模块定高。      </w:t>
            </w:r>
          </w:p>
          <w:p>
            <w:pPr>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7、导航卫星系统：GPS,BeiDou；</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8、无人机定位精度可达1cm+1ppm（水平）1.5cm+1ppm(垂直）；</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9、遥控器采用图数一体双链路，数传遥控距离≥15km，支持1080P高清无线图传；</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10、无人机可识别系留箱供电异常状态，采取紧急降落程序；</w:t>
            </w:r>
          </w:p>
          <w:p>
            <w:pP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二、系留系统：</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12、系留箱重量≤15kg(包含线缆)，滞空时间≥24h；系留线缆长度≥100m；</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13、输出功率≥3500w，最大过流能力≥10A；</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14、配备双路USB输出口；</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15、配备可伸缩的线缆支架，线缆支架顶端安装有近场照明灯，照明灯具有常规亮度、高亮、闪烁切换功能；</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16、配备液晶显示屏，实时显示电压、电流、功率、电量、线缆长度等参数，具备现场语音报警及后台远程同步报警功能；</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17、工作温度-20℃-+45℃；</w:t>
            </w:r>
          </w:p>
          <w:p>
            <w:pP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三、照明灯：</w:t>
            </w:r>
          </w:p>
          <w:p>
            <w:pPr>
              <w:pStyle w:val="229"/>
              <w:ind w:left="0" w:leftChars="0" w:firstLine="0" w:firstLineChars="0"/>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kern w:val="0"/>
                <w:sz w:val="21"/>
                <w:szCs w:val="21"/>
                <w:highlight w:val="none"/>
              </w:rPr>
              <w:t>18、升空照明功率≥500w，照明灯重量≤800g，照明灯防护等级≥IP67，光通量12万流明；悬停100米高空可照亮30000平方米面积。</w:t>
            </w:r>
          </w:p>
        </w:tc>
        <w:tc>
          <w:tcPr>
            <w:tcW w:w="780" w:type="dxa"/>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救援无人机（侦察无人机）</w:t>
            </w:r>
          </w:p>
        </w:tc>
        <w:tc>
          <w:tcPr>
            <w:tcW w:w="5976" w:type="dxa"/>
          </w:tcPr>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侦察无人机用于火情、洪水、地形、搜索等侦察活动，搭载可见光及红外热成像相机、模块化照明与喊话系统，完成野外应急搜索、人员搜救等工作，单次作业续航时间≥2h，巡逻覆盖覆盖半径≥15km。</w:t>
            </w:r>
          </w:p>
          <w:p>
            <w:pP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一、无人机主机参数</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1、多旋翼无人机，机臂采用折叠机构；</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2、最大水平飞行速度：≥20 m/s；</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3、最大上升速度:≥6 m/s；</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4、最大下降速度:≥4 m/s；</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5、最长飞行时间≥30min；</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6、最大抗风速度:≥12 m/s；</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7、IP防护等级:≥IP43；</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8、GNSS:GPS，BeiDou。</w:t>
            </w:r>
          </w:p>
          <w:p>
            <w:pP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二、热成像相机</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1、传感器类型:非制冷氧化钒；</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2、测温方式:点测温、区域测温；</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3、测温范围:</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-20℃ 至 150℃（高增益模式）、</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0℃ 至 550℃（低增益模式）；</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4、数字变焦:≥10倍；</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5、视频分辨率:≥640*512；</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6、红外测温精度:±3℃或±3%。</w:t>
            </w:r>
          </w:p>
          <w:p>
            <w:pP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三、遥控器</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1、最大信号有效距离（无干扰、无遮挡）:15km（FFC）、8km（CE）；</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2、工作频段:2.4GHz/5.8GHz；</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3、续航:≥ 3小时；</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4、屏幕尺寸:≥7.0吋；</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5、充电时间:≤120分钟；</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6、存储空间:机身内存（ROM）128GB。</w:t>
            </w:r>
          </w:p>
          <w:p>
            <w:pP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四、动力电池</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1、标称电压:≥14.0V；</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2、充电环境温度:0℃至40℃。</w:t>
            </w:r>
          </w:p>
          <w:p>
            <w:pPr>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五、喊话、照明模块</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1、尺寸：≤150*120*85（mm）；</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2、喊话器功率：≥10W；</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3、探照灯功率：≥30W；</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4、TTS1米处声压：≥100db；</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5、广播距离：≥300 米；</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6、照明方式：组合照明；</w:t>
            </w:r>
          </w:p>
          <w:p>
            <w:pPr>
              <w:pStyle w:val="229"/>
              <w:ind w:left="0" w:leftChars="0" w:firstLine="0" w:firstLineChars="0"/>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kern w:val="0"/>
                <w:sz w:val="21"/>
                <w:szCs w:val="21"/>
                <w:highlight w:val="none"/>
              </w:rPr>
              <w:t>7、云台：30至-90°可控云台。</w:t>
            </w:r>
          </w:p>
        </w:tc>
        <w:tc>
          <w:tcPr>
            <w:tcW w:w="780" w:type="dxa"/>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10</w:t>
            </w:r>
          </w:p>
        </w:tc>
      </w:tr>
    </w:tbl>
    <w:p>
      <w:pPr>
        <w:pStyle w:val="229"/>
        <w:rPr>
          <w:rFonts w:hint="eastAsia" w:ascii="仿宋" w:hAnsi="仿宋" w:eastAsia="仿宋" w:cs="仿宋"/>
          <w:color w:val="auto"/>
          <w:spacing w:val="14"/>
          <w:kern w:val="2"/>
          <w:sz w:val="21"/>
          <w:szCs w:val="21"/>
          <w:highlight w:val="none"/>
          <w:lang w:val="en-US" w:eastAsia="zh-CN" w:bidi="ar-SA"/>
        </w:rPr>
      </w:pPr>
    </w:p>
    <w:p>
      <w:pPr>
        <w:pStyle w:val="229"/>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b/>
          <w:bCs/>
          <w:color w:val="auto"/>
          <w:spacing w:val="14"/>
          <w:kern w:val="2"/>
          <w:sz w:val="21"/>
          <w:szCs w:val="21"/>
          <w:highlight w:val="none"/>
          <w:lang w:val="en-US" w:eastAsia="zh-CN" w:bidi="ar-SA"/>
        </w:rPr>
        <w:t>包4技术参数：</w:t>
      </w:r>
    </w:p>
    <w:tbl>
      <w:tblPr>
        <w:tblStyle w:val="63"/>
        <w:tblW w:w="0" w:type="auto"/>
        <w:tblInd w:w="4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2"/>
        <w:gridCol w:w="5988"/>
        <w:gridCol w:w="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692" w:type="dxa"/>
            <w:vAlign w:val="center"/>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设备名称</w:t>
            </w:r>
          </w:p>
        </w:tc>
        <w:tc>
          <w:tcPr>
            <w:tcW w:w="5988" w:type="dxa"/>
            <w:vAlign w:val="center"/>
          </w:tcPr>
          <w:p>
            <w:pPr>
              <w:pStyle w:val="229"/>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技术参数及功能要求</w:t>
            </w:r>
          </w:p>
        </w:tc>
        <w:tc>
          <w:tcPr>
            <w:tcW w:w="768" w:type="dxa"/>
            <w:vAlign w:val="center"/>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vAlign w:val="center"/>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后勤保障车辆（救援运兵车）</w:t>
            </w:r>
          </w:p>
        </w:tc>
        <w:tc>
          <w:tcPr>
            <w:tcW w:w="5988" w:type="dxa"/>
          </w:tcPr>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1、救援运兵车采用四驱驱动配置；</w:t>
            </w:r>
          </w:p>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2、搭乘人数≥10人；</w:t>
            </w:r>
          </w:p>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3、轴距≥3300mm；</w:t>
            </w:r>
          </w:p>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4、总质量≥4000kg；</w:t>
            </w:r>
          </w:p>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5、发动机功率≥95KW；</w:t>
            </w:r>
          </w:p>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6、车速≥120km/h；</w:t>
            </w:r>
          </w:p>
          <w:p>
            <w:pPr>
              <w:pStyle w:val="229"/>
              <w:ind w:left="0" w:leftChars="0" w:firstLine="0" w:firstLineChars="0"/>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z w:val="21"/>
                <w:szCs w:val="21"/>
                <w:highlight w:val="none"/>
              </w:rPr>
              <w:t>7、配置：前阅读灯、前电动窗、冷暖空调、倒车雷达、行驶记录仪、后暖风、电动调节大灯、中控锁+遥控钥匙、发动机舱自动灭火装置、驾驶室顶部前端装配应急管理专用红黄警灯，实现喊话警示作用。</w:t>
            </w:r>
          </w:p>
        </w:tc>
        <w:tc>
          <w:tcPr>
            <w:tcW w:w="768" w:type="dxa"/>
            <w:vAlign w:val="center"/>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40</w:t>
            </w:r>
          </w:p>
        </w:tc>
      </w:tr>
    </w:tbl>
    <w:p>
      <w:pPr>
        <w:pStyle w:val="229"/>
        <w:rPr>
          <w:rFonts w:hint="eastAsia" w:ascii="仿宋" w:hAnsi="仿宋" w:eastAsia="仿宋" w:cs="仿宋"/>
          <w:color w:val="auto"/>
          <w:spacing w:val="14"/>
          <w:kern w:val="2"/>
          <w:sz w:val="21"/>
          <w:szCs w:val="21"/>
          <w:highlight w:val="none"/>
          <w:lang w:val="en-US" w:eastAsia="zh-CN" w:bidi="ar-SA"/>
        </w:rPr>
      </w:pPr>
    </w:p>
    <w:p>
      <w:pPr>
        <w:pStyle w:val="229"/>
        <w:rPr>
          <w:rFonts w:hint="eastAsia" w:ascii="仿宋" w:hAnsi="仿宋" w:eastAsia="仿宋" w:cs="仿宋"/>
          <w:b/>
          <w:bCs/>
          <w:color w:val="auto"/>
          <w:spacing w:val="14"/>
          <w:kern w:val="2"/>
          <w:sz w:val="21"/>
          <w:szCs w:val="21"/>
          <w:highlight w:val="none"/>
          <w:lang w:val="en-US" w:eastAsia="zh-CN" w:bidi="ar-SA"/>
        </w:rPr>
      </w:pPr>
      <w:r>
        <w:rPr>
          <w:rFonts w:hint="eastAsia" w:ascii="仿宋" w:hAnsi="仿宋" w:eastAsia="仿宋" w:cs="仿宋"/>
          <w:b/>
          <w:bCs/>
          <w:color w:val="auto"/>
          <w:spacing w:val="14"/>
          <w:kern w:val="2"/>
          <w:sz w:val="21"/>
          <w:szCs w:val="21"/>
          <w:highlight w:val="none"/>
          <w:lang w:val="en-US" w:eastAsia="zh-CN" w:bidi="ar-SA"/>
        </w:rPr>
        <w:t>包5技术参数：</w:t>
      </w:r>
    </w:p>
    <w:tbl>
      <w:tblPr>
        <w:tblStyle w:val="63"/>
        <w:tblW w:w="0" w:type="auto"/>
        <w:tblInd w:w="4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2"/>
        <w:gridCol w:w="6000"/>
        <w:gridCol w:w="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2" w:type="dxa"/>
            <w:vAlign w:val="center"/>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设备名称</w:t>
            </w:r>
          </w:p>
        </w:tc>
        <w:tc>
          <w:tcPr>
            <w:tcW w:w="6000" w:type="dxa"/>
            <w:vAlign w:val="center"/>
          </w:tcPr>
          <w:p>
            <w:pPr>
              <w:pStyle w:val="229"/>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技术参数及功能要求</w:t>
            </w:r>
          </w:p>
        </w:tc>
        <w:tc>
          <w:tcPr>
            <w:tcW w:w="768" w:type="dxa"/>
            <w:vAlign w:val="center"/>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vAlign w:val="center"/>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后勤保障车辆（装备运输车）</w:t>
            </w:r>
          </w:p>
        </w:tc>
        <w:tc>
          <w:tcPr>
            <w:tcW w:w="6000" w:type="dxa"/>
          </w:tcPr>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1、燃油种类：柴油；</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2、轴距：≥3300mm；</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3、发动机功率：≥110kW；</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4、车速：≥100Km/h；</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5、总质量：≥7000Kg；</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车辆标准配置:四轮驱动、动力转向、排气制动、断气制动、可调方向盘、空调、多媒体音响、ABS制动、遥控中控锁、电动玻璃升降器、车厢左右两侧及后尾门均为对开门，开闭灵活且密封严实。警灯、警报、宣传扩音器；</w:t>
            </w:r>
          </w:p>
          <w:p>
            <w:pPr>
              <w:pStyle w:val="229"/>
              <w:ind w:left="0" w:leftChars="0" w:firstLine="0" w:firstLineChars="0"/>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kern w:val="0"/>
                <w:sz w:val="21"/>
                <w:szCs w:val="21"/>
                <w:highlight w:val="none"/>
              </w:rPr>
              <w:t>7、主要专用装置有液压尾板，尾板起重1000Kg。</w:t>
            </w:r>
          </w:p>
        </w:tc>
        <w:tc>
          <w:tcPr>
            <w:tcW w:w="768" w:type="dxa"/>
            <w:vAlign w:val="center"/>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13</w:t>
            </w:r>
          </w:p>
        </w:tc>
      </w:tr>
    </w:tbl>
    <w:p>
      <w:pPr>
        <w:pStyle w:val="229"/>
        <w:rPr>
          <w:rFonts w:hint="eastAsia" w:ascii="仿宋" w:hAnsi="仿宋" w:eastAsia="仿宋" w:cs="仿宋"/>
          <w:color w:val="auto"/>
          <w:spacing w:val="14"/>
          <w:kern w:val="2"/>
          <w:sz w:val="21"/>
          <w:szCs w:val="21"/>
          <w:highlight w:val="none"/>
          <w:lang w:val="en-US" w:eastAsia="zh-CN" w:bidi="ar-SA"/>
        </w:rPr>
      </w:pPr>
    </w:p>
    <w:p>
      <w:pPr>
        <w:pStyle w:val="229"/>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包6技术参数：</w:t>
      </w:r>
    </w:p>
    <w:tbl>
      <w:tblPr>
        <w:tblStyle w:val="63"/>
        <w:tblW w:w="0" w:type="auto"/>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6012"/>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设备名称</w:t>
            </w:r>
          </w:p>
        </w:tc>
        <w:tc>
          <w:tcPr>
            <w:tcW w:w="6012" w:type="dxa"/>
          </w:tcPr>
          <w:p>
            <w:pPr>
              <w:pStyle w:val="229"/>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技术参数及功能要求</w:t>
            </w:r>
          </w:p>
        </w:tc>
        <w:tc>
          <w:tcPr>
            <w:tcW w:w="732" w:type="dxa"/>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后勤保障车辆（装备运输车皮卡车）</w:t>
            </w:r>
          </w:p>
        </w:tc>
        <w:tc>
          <w:tcPr>
            <w:tcW w:w="6012" w:type="dxa"/>
          </w:tcPr>
          <w:p>
            <w:pPr>
              <w:numPr>
                <w:ilvl w:val="0"/>
                <w:numId w:val="11"/>
              </w:num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最高时速≥100KM/H；</w:t>
            </w:r>
          </w:p>
          <w:p>
            <w:pPr>
              <w:numPr>
                <w:ilvl w:val="0"/>
                <w:numId w:val="11"/>
              </w:num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驱动：4×4；</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3、功率：≥120kW，变速箱：自动挡；</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4、总质量：≥2800kg；</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5、乘员数：5人；</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6、轴距：≥3200mm；</w:t>
            </w:r>
          </w:p>
          <w:p>
            <w:pPr>
              <w:pStyle w:val="229"/>
              <w:ind w:left="0" w:leftChars="0" w:firstLine="0" w:firstLineChars="0"/>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kern w:val="0"/>
                <w:sz w:val="21"/>
                <w:szCs w:val="21"/>
                <w:highlight w:val="none"/>
              </w:rPr>
              <w:t>7、燃料种类：柴油。</w:t>
            </w:r>
          </w:p>
        </w:tc>
        <w:tc>
          <w:tcPr>
            <w:tcW w:w="732" w:type="dxa"/>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20</w:t>
            </w:r>
          </w:p>
        </w:tc>
      </w:tr>
    </w:tbl>
    <w:p>
      <w:pPr>
        <w:pStyle w:val="229"/>
        <w:rPr>
          <w:rFonts w:hint="eastAsia" w:ascii="仿宋" w:hAnsi="仿宋" w:eastAsia="仿宋" w:cs="仿宋"/>
          <w:color w:val="auto"/>
          <w:spacing w:val="14"/>
          <w:kern w:val="2"/>
          <w:sz w:val="21"/>
          <w:szCs w:val="21"/>
          <w:highlight w:val="none"/>
          <w:lang w:val="en-US" w:eastAsia="zh-CN" w:bidi="ar-SA"/>
        </w:rPr>
      </w:pPr>
    </w:p>
    <w:p>
      <w:pPr>
        <w:pStyle w:val="229"/>
        <w:rPr>
          <w:rFonts w:hint="eastAsia" w:ascii="仿宋" w:hAnsi="仿宋" w:eastAsia="仿宋" w:cs="仿宋"/>
          <w:color w:val="auto"/>
          <w:spacing w:val="14"/>
          <w:kern w:val="2"/>
          <w:sz w:val="21"/>
          <w:szCs w:val="21"/>
          <w:highlight w:val="none"/>
          <w:lang w:val="en-US" w:eastAsia="zh-CN" w:bidi="ar-SA"/>
        </w:rPr>
      </w:pPr>
    </w:p>
    <w:p>
      <w:pPr>
        <w:pStyle w:val="229"/>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包7技术参数：</w:t>
      </w:r>
    </w:p>
    <w:tbl>
      <w:tblPr>
        <w:tblStyle w:val="63"/>
        <w:tblW w:w="0" w:type="auto"/>
        <w:tblInd w:w="4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2"/>
        <w:gridCol w:w="6012"/>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设备名称</w:t>
            </w:r>
          </w:p>
        </w:tc>
        <w:tc>
          <w:tcPr>
            <w:tcW w:w="6012" w:type="dxa"/>
          </w:tcPr>
          <w:p>
            <w:pPr>
              <w:pStyle w:val="229"/>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技术参数及功能要求</w:t>
            </w:r>
          </w:p>
        </w:tc>
        <w:tc>
          <w:tcPr>
            <w:tcW w:w="720" w:type="dxa"/>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便携式除颤仪</w:t>
            </w:r>
          </w:p>
        </w:tc>
        <w:tc>
          <w:tcPr>
            <w:tcW w:w="6012" w:type="dxa"/>
          </w:tcPr>
          <w:p>
            <w:pPr>
              <w:numPr>
                <w:ilvl w:val="0"/>
                <w:numId w:val="12"/>
              </w:num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充电到200J时间≤10s；</w:t>
            </w:r>
          </w:p>
          <w:p>
            <w:pPr>
              <w:numPr>
                <w:ilvl w:val="0"/>
                <w:numId w:val="12"/>
              </w:num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电池寿命≥5年；</w:t>
            </w:r>
          </w:p>
          <w:p>
            <w:pPr>
              <w:numPr>
                <w:ilvl w:val="0"/>
                <w:numId w:val="12"/>
              </w:num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整机重量(含电池，电极片)≤3Kg，具备与主机一体的便携把手；</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4、主机防尘防水级别≥IP55； </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5、工作温度范围：-10℃至50℃；</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6、除颤技术:采用低能量除颤脉冲双相波技术，阻抗自动调节；</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7、具有成人、儿童模式调节；</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8、设备具备自检功能，关机情况下可设定每天、每周或每月自检；</w:t>
            </w:r>
          </w:p>
          <w:p>
            <w:pPr>
              <w:pStyle w:val="229"/>
              <w:ind w:left="0" w:leftChars="0" w:firstLine="0" w:firstLineChars="0"/>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kern w:val="0"/>
                <w:sz w:val="21"/>
                <w:szCs w:val="21"/>
                <w:highlight w:val="none"/>
              </w:rPr>
              <w:t>9、设备具有自检视窗，并通过易于区分的不同颜色和不同形状图形标识直观显示设备自检状态，无需开机即可查看，红绿色盲亦可准确判断。</w:t>
            </w:r>
          </w:p>
        </w:tc>
        <w:tc>
          <w:tcPr>
            <w:tcW w:w="720" w:type="dxa"/>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便携式担架</w:t>
            </w:r>
          </w:p>
        </w:tc>
        <w:tc>
          <w:tcPr>
            <w:tcW w:w="6012" w:type="dxa"/>
          </w:tcPr>
          <w:p>
            <w:pPr>
              <w:pStyle w:val="229"/>
              <w:ind w:left="0" w:leftChars="0" w:firstLine="0" w:firstLineChars="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金属框架，高分子材料表面质材，两个颜色，便于洗消。</w:t>
            </w:r>
          </w:p>
          <w:p>
            <w:pPr>
              <w:pStyle w:val="229"/>
              <w:ind w:left="0" w:leftChars="0" w:firstLine="0" w:firstLineChars="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展开尺寸（长×宽×高）：≥2000×500×150（mm）</w:t>
            </w:r>
          </w:p>
          <w:p>
            <w:pPr>
              <w:pStyle w:val="229"/>
              <w:ind w:left="0" w:leftChars="0" w:firstLine="0" w:firstLineChars="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折叠尺寸（长×宽×高）：≥1000×300×100（mm）</w:t>
            </w:r>
          </w:p>
          <w:p>
            <w:pPr>
              <w:pStyle w:val="229"/>
              <w:ind w:left="0" w:leftChars="0" w:firstLine="0" w:firstLineChars="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管身材料：碳纤维</w:t>
            </w:r>
          </w:p>
          <w:p>
            <w:pPr>
              <w:pStyle w:val="229"/>
              <w:ind w:left="0" w:leftChars="0" w:firstLine="0" w:firstLineChars="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布面材料：牛筋面料</w:t>
            </w:r>
          </w:p>
        </w:tc>
        <w:tc>
          <w:tcPr>
            <w:tcW w:w="720"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315</w:t>
            </w:r>
          </w:p>
        </w:tc>
      </w:tr>
    </w:tbl>
    <w:p>
      <w:pPr>
        <w:ind w:firstLine="358" w:firstLineChars="200"/>
        <w:rPr>
          <w:rFonts w:hint="eastAsia" w:ascii="仿宋" w:hAnsi="仿宋" w:eastAsia="仿宋" w:cs="仿宋"/>
          <w:color w:val="auto"/>
          <w:sz w:val="21"/>
          <w:szCs w:val="21"/>
          <w:highlight w:val="none"/>
        </w:rPr>
      </w:pPr>
    </w:p>
    <w:p>
      <w:pPr>
        <w:pStyle w:val="229"/>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包8技术参数：</w:t>
      </w:r>
    </w:p>
    <w:tbl>
      <w:tblPr>
        <w:tblStyle w:val="63"/>
        <w:tblW w:w="0" w:type="auto"/>
        <w:tblInd w:w="4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6036"/>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设备名称</w:t>
            </w:r>
          </w:p>
        </w:tc>
        <w:tc>
          <w:tcPr>
            <w:tcW w:w="6036" w:type="dxa"/>
          </w:tcPr>
          <w:p>
            <w:pPr>
              <w:pStyle w:val="229"/>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技术参数及功能要求</w:t>
            </w:r>
          </w:p>
        </w:tc>
        <w:tc>
          <w:tcPr>
            <w:tcW w:w="708" w:type="dxa"/>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便携式气象仪</w:t>
            </w:r>
          </w:p>
        </w:tc>
        <w:tc>
          <w:tcPr>
            <w:tcW w:w="6036" w:type="dxa"/>
          </w:tcPr>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1、液晶屏幕显示参数；大气温度≥-50℃~80℃，大气压力10～1100Pa；</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2、特制的风向刻度盘（16个方位）；</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3、可存储40000条气象数据（数据记录间隔可在1~60分钟之间设置）；</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4、通用USB通讯接口；</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5、风速：0-45m/s；  </w:t>
            </w:r>
          </w:p>
          <w:p>
            <w:pPr>
              <w:pStyle w:val="229"/>
              <w:ind w:left="0" w:leftChars="0" w:firstLine="0" w:firstLineChars="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6、风向：16方位。</w:t>
            </w:r>
          </w:p>
        </w:tc>
        <w:tc>
          <w:tcPr>
            <w:tcW w:w="708"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22</w:t>
            </w:r>
          </w:p>
        </w:tc>
      </w:tr>
    </w:tbl>
    <w:p>
      <w:pPr>
        <w:pStyle w:val="229"/>
        <w:rPr>
          <w:rFonts w:hint="eastAsia" w:ascii="仿宋" w:hAnsi="仿宋" w:eastAsia="仿宋" w:cs="仿宋"/>
          <w:color w:val="auto"/>
          <w:spacing w:val="14"/>
          <w:kern w:val="2"/>
          <w:sz w:val="21"/>
          <w:szCs w:val="21"/>
          <w:highlight w:val="none"/>
          <w:lang w:val="en-US" w:eastAsia="zh-CN" w:bidi="ar-SA"/>
        </w:rPr>
      </w:pPr>
    </w:p>
    <w:p>
      <w:pPr>
        <w:pStyle w:val="229"/>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包9技术参数：</w:t>
      </w:r>
    </w:p>
    <w:tbl>
      <w:tblPr>
        <w:tblStyle w:val="63"/>
        <w:tblW w:w="0" w:type="auto"/>
        <w:tblInd w:w="4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2"/>
        <w:gridCol w:w="6036"/>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设备名称</w:t>
            </w:r>
          </w:p>
        </w:tc>
        <w:tc>
          <w:tcPr>
            <w:tcW w:w="6036" w:type="dxa"/>
          </w:tcPr>
          <w:p>
            <w:pPr>
              <w:pStyle w:val="229"/>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技术参数及功能要求</w:t>
            </w:r>
          </w:p>
        </w:tc>
        <w:tc>
          <w:tcPr>
            <w:tcW w:w="708" w:type="dxa"/>
          </w:tcPr>
          <w:p>
            <w:pPr>
              <w:pStyle w:val="229"/>
              <w:ind w:left="0" w:leftChars="0" w:firstLine="0" w:firstLineChars="0"/>
              <w:jc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spacing w:val="14"/>
                <w:kern w:val="2"/>
                <w:sz w:val="21"/>
                <w:szCs w:val="21"/>
                <w:highlight w:val="none"/>
                <w:lang w:val="en-US" w:eastAsia="zh-CN"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应急电源</w:t>
            </w:r>
          </w:p>
        </w:tc>
        <w:tc>
          <w:tcPr>
            <w:tcW w:w="6036" w:type="dxa"/>
          </w:tcPr>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1、交流输出功率：≥1kW；</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2、温度范围: -20 ℃~+50℃；</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3、重    量：≤10kg；</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4、LCD显示屏：配有LED数码管家充电指示；</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5、充电时间：≤</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h（市电）；</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6、直流输出：2个USB输出端口、1个汽车点烟器端口；</w:t>
            </w:r>
          </w:p>
          <w:p>
            <w:pP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color w:val="auto"/>
                <w:kern w:val="0"/>
                <w:sz w:val="21"/>
                <w:szCs w:val="21"/>
                <w:highlight w:val="none"/>
              </w:rPr>
              <w:t>7、控制开关：AC开关、LED灯照明开关、USB开关。</w:t>
            </w:r>
          </w:p>
        </w:tc>
        <w:tc>
          <w:tcPr>
            <w:tcW w:w="708" w:type="dxa"/>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应急照明系统（全方位升降灯）</w:t>
            </w:r>
          </w:p>
        </w:tc>
        <w:tc>
          <w:tcPr>
            <w:tcW w:w="6036" w:type="dxa"/>
          </w:tcPr>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1、LED灯头功率≥1000W；</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2、发电机功率≥5000W。发电机组输出电压≥220V，燃油油箱≥25L(可外加油箱)；连续工作时间≥13h，</w:t>
            </w:r>
            <w:r>
              <w:rPr>
                <w:rFonts w:hint="eastAsia" w:ascii="仿宋" w:hAnsi="仿宋" w:eastAsia="仿宋" w:cs="仿宋"/>
                <w:bCs/>
                <w:color w:val="auto"/>
                <w:sz w:val="21"/>
                <w:szCs w:val="21"/>
                <w:highlight w:val="none"/>
              </w:rPr>
              <w:t>手启动和电启动；</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3、抗风等级≥8级；</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4、灯塔升降方式采用液压或气动调节方式，操作控制方式：集成面板控制和遥控控制；</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5、灯组角度调节：垂直45°，水平180°，四面照射；</w:t>
            </w:r>
          </w:p>
          <w:p>
            <w:pP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6、云台水平旋转可360°连续旋转，垂直旋转-30°~60°度；</w:t>
            </w:r>
          </w:p>
          <w:p>
            <w:pPr>
              <w:pStyle w:val="229"/>
              <w:ind w:left="0" w:leftChars="0" w:firstLine="0" w:firstLineChars="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7、防护等级≥IP65。</w:t>
            </w:r>
          </w:p>
        </w:tc>
        <w:tc>
          <w:tcPr>
            <w:tcW w:w="708"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vAlign w:val="center"/>
          </w:tcPr>
          <w:p>
            <w:pPr>
              <w:keepNext w:val="0"/>
              <w:keepLines w:val="0"/>
              <w:widowControl/>
              <w:suppressLineNumbers w:val="0"/>
              <w:jc w:val="center"/>
              <w:textAlignment w:val="center"/>
              <w:rPr>
                <w:rFonts w:hint="eastAsia" w:ascii="仿宋" w:hAnsi="仿宋" w:eastAsia="仿宋" w:cs="仿宋"/>
                <w:color w:val="auto"/>
                <w:spacing w:val="14"/>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应急照明系统</w:t>
            </w:r>
          </w:p>
        </w:tc>
        <w:tc>
          <w:tcPr>
            <w:tcW w:w="6036" w:type="dxa"/>
          </w:tcPr>
          <w:p>
            <w:pPr>
              <w:pStyle w:val="229"/>
              <w:ind w:left="0" w:leftChars="0" w:firstLine="0" w:firstLineChars="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1、液压</w:t>
            </w:r>
            <w:r>
              <w:rPr>
                <w:rFonts w:hint="eastAsia" w:ascii="仿宋" w:hAnsi="仿宋" w:eastAsia="仿宋" w:cs="仿宋"/>
                <w:color w:val="auto"/>
                <w:kern w:val="0"/>
                <w:sz w:val="21"/>
                <w:szCs w:val="21"/>
                <w:highlight w:val="none"/>
                <w:lang w:val="en-US" w:eastAsia="zh-CN"/>
              </w:rPr>
              <w:t>或气动</w:t>
            </w:r>
            <w:r>
              <w:rPr>
                <w:rFonts w:hint="eastAsia" w:ascii="仿宋" w:hAnsi="仿宋" w:eastAsia="仿宋" w:cs="仿宋"/>
                <w:color w:val="auto"/>
                <w:kern w:val="0"/>
                <w:sz w:val="21"/>
                <w:szCs w:val="21"/>
                <w:highlight w:val="none"/>
              </w:rPr>
              <w:t>升降调节方式，升降高度≥4.5m,抗风等级8级；灯具可10%-100%无极调光；</w:t>
            </w:r>
          </w:p>
          <w:p>
            <w:pPr>
              <w:pStyle w:val="229"/>
              <w:ind w:left="0" w:leftChars="0" w:firstLine="0" w:firstLineChars="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2、灯头实现多角度、360°全方位照明；</w:t>
            </w:r>
          </w:p>
          <w:p>
            <w:pPr>
              <w:pStyle w:val="229"/>
              <w:ind w:left="0" w:leftChars="0" w:firstLine="0" w:firstLineChars="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3、工作时间≥13h；</w:t>
            </w:r>
          </w:p>
          <w:p>
            <w:pPr>
              <w:pStyle w:val="229"/>
              <w:ind w:left="0" w:leftChars="0" w:firstLine="0" w:firstLineChars="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4、灯具内置控制面板、LCD显示屏、支持蓝牙、无线喊话、U盘播放音频、录音功能、不小于30W大功率喇叭、可用于现场指挥、人员调度；</w:t>
            </w:r>
          </w:p>
          <w:p>
            <w:pPr>
              <w:pStyle w:val="229"/>
              <w:ind w:left="0" w:leftChars="0" w:firstLine="0" w:firstLineChars="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5、配备大号10寸行走轮，道路通过性好，可实现单人拖行，自带4个高度可调节支脚增加稳定性；同时具有5V4.5A USB输出接口，可为手机等小型设备供电、具有12V2A输出接口；</w:t>
            </w:r>
          </w:p>
          <w:p>
            <w:pPr>
              <w:pStyle w:val="229"/>
              <w:ind w:left="0" w:leftChars="0" w:firstLine="0" w:firstLineChars="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6、防护等级：灯头及电气箱防护灯具≥IP65；</w:t>
            </w:r>
          </w:p>
          <w:p>
            <w:pPr>
              <w:pStyle w:val="229"/>
              <w:ind w:left="0" w:leftChars="0" w:firstLine="0" w:firstLineChars="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7、10米处照度≥1000LX；</w:t>
            </w:r>
          </w:p>
          <w:p>
            <w:pPr>
              <w:pStyle w:val="229"/>
              <w:ind w:left="0" w:leftChars="0" w:firstLine="0" w:firstLineChars="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8、配备发电机额定电压：220V/380V、频率：50Hz、额定功率：≥2KW；</w:t>
            </w:r>
          </w:p>
          <w:p>
            <w:pPr>
              <w:pStyle w:val="229"/>
              <w:ind w:left="0" w:leftChars="0" w:firstLine="0" w:firstLineChars="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9、配套头灯：功率≥1W；电压≥3.7V；</w:t>
            </w:r>
          </w:p>
          <w:p>
            <w:pPr>
              <w:pStyle w:val="229"/>
              <w:ind w:left="0" w:leftChars="0" w:firstLine="0" w:firstLineChars="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10、外壳防护等级：防护等级IP66/IP68；</w:t>
            </w:r>
          </w:p>
          <w:p>
            <w:pPr>
              <w:pStyle w:val="229"/>
              <w:ind w:left="0" w:leftChars="0" w:firstLine="0" w:firstLineChars="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11、抗强力冲击，防水、防尘，绝缘、耐腐蚀性能好，可在各种恶劣环境下安全可靠使用。</w:t>
            </w:r>
          </w:p>
          <w:p>
            <w:pPr>
              <w:pStyle w:val="229"/>
              <w:ind w:left="0" w:leftChars="0" w:firstLine="0" w:firstLineChars="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12、连续放电时间≥8h（强光）/≥16h（工作光）/重量≤100g。</w:t>
            </w:r>
          </w:p>
        </w:tc>
        <w:tc>
          <w:tcPr>
            <w:tcW w:w="708"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176</w:t>
            </w:r>
          </w:p>
        </w:tc>
      </w:tr>
    </w:tbl>
    <w:p>
      <w:pPr>
        <w:pStyle w:val="229"/>
        <w:rPr>
          <w:rFonts w:hint="eastAsia" w:ascii="仿宋" w:hAnsi="仿宋" w:eastAsia="仿宋" w:cs="仿宋"/>
          <w:color w:val="auto"/>
          <w:spacing w:val="14"/>
          <w:kern w:val="2"/>
          <w:sz w:val="21"/>
          <w:szCs w:val="21"/>
          <w:highlight w:val="none"/>
          <w:lang w:val="en-US" w:eastAsia="zh-CN" w:bidi="ar-SA"/>
        </w:rPr>
      </w:pPr>
    </w:p>
    <w:p>
      <w:pPr>
        <w:pStyle w:val="229"/>
        <w:ind w:left="0" w:leftChars="0" w:firstLine="0" w:firstLineChars="0"/>
        <w:rPr>
          <w:rFonts w:hint="eastAsia" w:ascii="仿宋" w:hAnsi="仿宋" w:eastAsia="仿宋" w:cs="仿宋"/>
          <w:b/>
          <w:bCs/>
          <w:color w:val="auto"/>
          <w:kern w:val="0"/>
          <w:sz w:val="21"/>
          <w:szCs w:val="21"/>
          <w:highlight w:val="none"/>
          <w:lang w:val="en-US" w:eastAsia="zh-CN"/>
        </w:rPr>
      </w:pPr>
      <w:r>
        <w:rPr>
          <w:rFonts w:hint="eastAsia" w:ascii="仿宋" w:hAnsi="仿宋" w:eastAsia="仿宋" w:cs="仿宋"/>
          <w:b/>
          <w:bCs/>
          <w:color w:val="auto"/>
          <w:kern w:val="0"/>
          <w:sz w:val="21"/>
          <w:szCs w:val="21"/>
          <w:highlight w:val="none"/>
          <w:lang w:val="en-US" w:eastAsia="zh-CN"/>
        </w:rPr>
        <w:t>注：投标人应如实描述所投产品的技术参数和性能，不得完全复制粘贴上表技术参数和性能描述。因完全复制粘贴上表技术参数和性能描述而产生的不利于投标人的评审风险由投标人自行承担。</w:t>
      </w:r>
    </w:p>
    <w:bookmarkEnd w:id="126"/>
    <w:p>
      <w:pPr>
        <w:pStyle w:val="58"/>
        <w:numPr>
          <w:ilvl w:val="0"/>
          <w:numId w:val="13"/>
        </w:numPr>
        <w:spacing w:line="440" w:lineRule="exact"/>
        <w:jc w:val="left"/>
        <w:rPr>
          <w:rFonts w:hint="eastAsia" w:ascii="仿宋" w:hAnsi="仿宋" w:eastAsia="仿宋" w:cs="仿宋"/>
          <w:color w:val="auto"/>
          <w:sz w:val="24"/>
          <w:szCs w:val="24"/>
          <w:highlight w:val="none"/>
          <w:lang w:eastAsia="zh-CN"/>
        </w:rPr>
      </w:pPr>
      <w:bookmarkStart w:id="127" w:name="_Toc571"/>
      <w:bookmarkStart w:id="128" w:name="_Toc504741950"/>
      <w:r>
        <w:rPr>
          <w:rFonts w:hint="eastAsia" w:ascii="仿宋" w:hAnsi="仿宋" w:eastAsia="仿宋" w:cs="仿宋"/>
          <w:color w:val="auto"/>
          <w:sz w:val="24"/>
          <w:szCs w:val="24"/>
          <w:highlight w:val="none"/>
          <w:lang w:eastAsia="zh-CN"/>
        </w:rPr>
        <w:t>供货要求</w:t>
      </w:r>
      <w:bookmarkEnd w:id="127"/>
    </w:p>
    <w:p>
      <w:pPr>
        <w:pStyle w:val="33"/>
        <w:spacing w:line="440" w:lineRule="exact"/>
        <w:ind w:firstLine="414" w:firstLineChars="20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lang w:val="en-US" w:eastAsia="zh-CN"/>
        </w:rPr>
        <w:t>1</w:t>
      </w:r>
      <w:r>
        <w:rPr>
          <w:rFonts w:hint="eastAsia" w:ascii="仿宋" w:hAnsi="仿宋" w:eastAsia="仿宋" w:cs="仿宋"/>
          <w:color w:val="auto"/>
          <w:spacing w:val="14"/>
          <w:szCs w:val="21"/>
          <w:highlight w:val="none"/>
        </w:rPr>
        <w:t>、供应商须提供符合国家质量标准、部颁标准、行业标准或本招标文件规定标准的、供货渠道合法的全新原装合格正品(包括零部件)，如安装或配置软件的，须为正版软件。所提供的货物应当同时符合国家有关安全、卫生、环保规定。本项目中所投产品涉及纳入国家认证认可监督管理委员会现行《强制性产品认证目录描述与界定表》管理的强制性认证产品（简称 3C 认证产品）的，该产品应具有由认证机构颁发给制造商的该产品强制性认证证书。</w:t>
      </w:r>
    </w:p>
    <w:p>
      <w:pPr>
        <w:pStyle w:val="33"/>
        <w:spacing w:line="440" w:lineRule="exact"/>
        <w:ind w:firstLine="414" w:firstLineChars="20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lang w:val="en-US" w:eastAsia="zh-CN"/>
        </w:rPr>
        <w:t>2</w:t>
      </w:r>
      <w:r>
        <w:rPr>
          <w:rFonts w:hint="eastAsia" w:ascii="仿宋" w:hAnsi="仿宋" w:eastAsia="仿宋" w:cs="仿宋"/>
          <w:color w:val="auto"/>
          <w:spacing w:val="14"/>
          <w:szCs w:val="21"/>
          <w:highlight w:val="none"/>
        </w:rPr>
        <w:t>、采购人使用成交人提供的货物、技术、资料、服务或其他任何一部分时，享有无偿使用权。免受第三方提出的侵犯其专利权、著作权、商标权或其它知识产权的起诉。如果第三方提出侵权指控，成交人应承担由此而引起的一切法律责任和费用。</w:t>
      </w:r>
    </w:p>
    <w:p>
      <w:pPr>
        <w:pStyle w:val="33"/>
        <w:spacing w:line="440" w:lineRule="exact"/>
        <w:ind w:firstLine="414" w:firstLineChars="20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lang w:val="en-US" w:eastAsia="zh-CN"/>
        </w:rPr>
        <w:t>3</w:t>
      </w:r>
      <w:r>
        <w:rPr>
          <w:rFonts w:hint="eastAsia" w:ascii="仿宋" w:hAnsi="仿宋" w:eastAsia="仿宋" w:cs="仿宋"/>
          <w:color w:val="auto"/>
          <w:spacing w:val="14"/>
          <w:szCs w:val="21"/>
          <w:highlight w:val="none"/>
        </w:rPr>
        <w:t xml:space="preserve"> 、商品包装和快递包装应符合《商品包装政府采购需求标准（试行）》和《快递包装政府采购需求标准（试行）》规定。</w:t>
      </w:r>
    </w:p>
    <w:p>
      <w:pPr>
        <w:pStyle w:val="33"/>
        <w:spacing w:line="440" w:lineRule="exact"/>
        <w:ind w:firstLine="414" w:firstLineChars="20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lang w:val="en-US" w:eastAsia="zh-CN"/>
        </w:rPr>
        <w:t>4、</w:t>
      </w:r>
      <w:r>
        <w:rPr>
          <w:rFonts w:hint="eastAsia" w:ascii="仿宋" w:hAnsi="仿宋" w:eastAsia="仿宋" w:cs="仿宋"/>
          <w:color w:val="auto"/>
          <w:spacing w:val="14"/>
          <w:szCs w:val="21"/>
          <w:highlight w:val="none"/>
        </w:rPr>
        <w:t>投标人报价需包括本招标项目所包含的货物、标准附件、备品备件、专用工具、图纸资料、技术服务，仓储、运输、装卸、保险、税金、代理服务费，货到就位以及安装、保修等一切税金和费用。</w:t>
      </w:r>
    </w:p>
    <w:p>
      <w:pPr>
        <w:pStyle w:val="33"/>
        <w:spacing w:line="440" w:lineRule="exact"/>
        <w:ind w:firstLine="414" w:firstLineChars="20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lang w:val="en-US" w:eastAsia="zh-CN"/>
        </w:rPr>
        <w:t>5、</w:t>
      </w:r>
      <w:r>
        <w:rPr>
          <w:rFonts w:hint="eastAsia" w:ascii="仿宋" w:hAnsi="仿宋" w:eastAsia="仿宋" w:cs="仿宋"/>
          <w:color w:val="auto"/>
          <w:spacing w:val="14"/>
          <w:szCs w:val="21"/>
          <w:highlight w:val="none"/>
        </w:rPr>
        <w:t>该设备投入使用过程中涉及原厂专用耗材，须列出详细清单及报价。</w:t>
      </w:r>
    </w:p>
    <w:p>
      <w:pPr>
        <w:pStyle w:val="58"/>
        <w:numPr>
          <w:ilvl w:val="0"/>
          <w:numId w:val="13"/>
        </w:numPr>
        <w:spacing w:line="440" w:lineRule="exact"/>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服务</w:t>
      </w:r>
      <w:r>
        <w:rPr>
          <w:rFonts w:hint="eastAsia" w:ascii="仿宋" w:hAnsi="仿宋" w:eastAsia="仿宋" w:cs="仿宋"/>
          <w:color w:val="auto"/>
          <w:sz w:val="24"/>
          <w:szCs w:val="24"/>
          <w:highlight w:val="none"/>
          <w:lang w:eastAsia="zh-CN"/>
        </w:rPr>
        <w:t>要求</w:t>
      </w:r>
    </w:p>
    <w:p>
      <w:pPr>
        <w:pStyle w:val="33"/>
        <w:spacing w:line="440" w:lineRule="exact"/>
        <w:ind w:firstLine="414" w:firstLineChars="20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（1）售后服务机构：</w:t>
      </w:r>
    </w:p>
    <w:p>
      <w:pPr>
        <w:pStyle w:val="33"/>
        <w:spacing w:line="440" w:lineRule="exact"/>
        <w:ind w:firstLine="414" w:firstLineChars="20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①提供所投产品投标人或制造商售后服务机构情况，包括地址、技术人员及联系方式，售后技术人员力量、设备实力等。</w:t>
      </w:r>
    </w:p>
    <w:p>
      <w:pPr>
        <w:pStyle w:val="33"/>
        <w:spacing w:line="440" w:lineRule="exact"/>
        <w:ind w:firstLine="414" w:firstLineChars="20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②投标人应在投标文件中声明售后服务承诺、售后服务方式和能力（须提供售后服务承诺书）。</w:t>
      </w:r>
    </w:p>
    <w:p>
      <w:pPr>
        <w:pStyle w:val="33"/>
        <w:spacing w:line="440" w:lineRule="exact"/>
        <w:ind w:firstLine="414" w:firstLineChars="20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（2）质保期内（以本项目验收合格之日算起）应当为采购人提供以下技术支持和服务：</w:t>
      </w:r>
    </w:p>
    <w:p>
      <w:pPr>
        <w:pStyle w:val="33"/>
        <w:spacing w:line="440" w:lineRule="exact"/>
        <w:ind w:firstLine="414" w:firstLineChars="20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①电话咨询。中标人或制造商应当为采购人提供技术援助电话，解答采购人在使用中遇到的问题，及时为采购人提出解决问题的建议和办法。</w:t>
      </w:r>
    </w:p>
    <w:p>
      <w:pPr>
        <w:pStyle w:val="33"/>
        <w:spacing w:line="440" w:lineRule="exact"/>
        <w:ind w:firstLine="414" w:firstLineChars="20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②现场响应。设备整个使用期内，投标人应确保设备的正常使用。故障响应时间≤</w:t>
      </w:r>
      <w:r>
        <w:rPr>
          <w:rFonts w:hint="eastAsia" w:ascii="仿宋" w:hAnsi="仿宋" w:eastAsia="仿宋" w:cs="仿宋"/>
          <w:color w:val="auto"/>
          <w:spacing w:val="14"/>
          <w:szCs w:val="21"/>
          <w:highlight w:val="none"/>
          <w:lang w:val="en-US" w:eastAsia="zh-CN"/>
        </w:rPr>
        <w:t>2</w:t>
      </w:r>
      <w:r>
        <w:rPr>
          <w:rFonts w:hint="eastAsia" w:ascii="仿宋" w:hAnsi="仿宋" w:eastAsia="仿宋" w:cs="仿宋"/>
          <w:color w:val="auto"/>
          <w:spacing w:val="14"/>
          <w:szCs w:val="21"/>
          <w:highlight w:val="none"/>
        </w:rPr>
        <w:t>小时，应急上门服务响应时间≤</w:t>
      </w:r>
      <w:r>
        <w:rPr>
          <w:rFonts w:hint="eastAsia" w:ascii="仿宋" w:hAnsi="仿宋" w:eastAsia="仿宋" w:cs="仿宋"/>
          <w:color w:val="auto"/>
          <w:spacing w:val="14"/>
          <w:szCs w:val="21"/>
          <w:highlight w:val="none"/>
          <w:lang w:val="en-US" w:eastAsia="zh-CN"/>
        </w:rPr>
        <w:t>8</w:t>
      </w:r>
      <w:r>
        <w:rPr>
          <w:rFonts w:hint="eastAsia" w:ascii="仿宋" w:hAnsi="仿宋" w:eastAsia="仿宋" w:cs="仿宋"/>
          <w:color w:val="auto"/>
          <w:spacing w:val="14"/>
          <w:szCs w:val="21"/>
          <w:highlight w:val="none"/>
        </w:rPr>
        <w:t>小时，确保设备系统正常工作</w:t>
      </w:r>
      <w:r>
        <w:rPr>
          <w:rFonts w:hint="eastAsia" w:ascii="仿宋" w:hAnsi="仿宋" w:eastAsia="仿宋" w:cs="仿宋"/>
          <w:color w:val="auto"/>
          <w:spacing w:val="14"/>
          <w:szCs w:val="21"/>
          <w:highlight w:val="none"/>
          <w:lang w:eastAsia="zh-CN"/>
        </w:rPr>
        <w:t>，</w:t>
      </w:r>
      <w:r>
        <w:rPr>
          <w:rFonts w:hint="eastAsia" w:ascii="仿宋" w:hAnsi="仿宋" w:eastAsia="仿宋" w:cs="仿宋"/>
          <w:color w:val="auto"/>
          <w:spacing w:val="14"/>
          <w:szCs w:val="21"/>
          <w:highlight w:val="none"/>
        </w:rPr>
        <w:t>并在 24 小时内提供解决方案。</w:t>
      </w:r>
    </w:p>
    <w:p>
      <w:pPr>
        <w:pStyle w:val="33"/>
        <w:spacing w:line="440" w:lineRule="exact"/>
        <w:ind w:firstLine="414" w:firstLineChars="20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③中标人应当定期对所供设备系统运行情况进行检测、维护，消除故障隐患，以保证设备的正常运行。</w:t>
      </w:r>
    </w:p>
    <w:p>
      <w:pPr>
        <w:pStyle w:val="33"/>
        <w:spacing w:line="440" w:lineRule="exact"/>
        <w:ind w:firstLine="414" w:firstLineChars="20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（3）质保期后应当为采购人提供以下技术支持和服务：</w:t>
      </w:r>
    </w:p>
    <w:p>
      <w:pPr>
        <w:pStyle w:val="33"/>
        <w:spacing w:line="440" w:lineRule="exact"/>
        <w:ind w:firstLine="414" w:firstLineChars="20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①应同样提供免费电话咨询服务，并应承诺提供产品上门维护服务。</w:t>
      </w:r>
    </w:p>
    <w:p>
      <w:pPr>
        <w:pStyle w:val="33"/>
        <w:spacing w:line="440" w:lineRule="exact"/>
        <w:ind w:firstLine="414" w:firstLineChars="20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②应以优惠价格继续提供售后服务。</w:t>
      </w:r>
    </w:p>
    <w:p>
      <w:pPr>
        <w:pStyle w:val="33"/>
        <w:spacing w:line="440" w:lineRule="exact"/>
        <w:ind w:firstLine="414" w:firstLineChars="20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（4）技术培训：</w:t>
      </w:r>
    </w:p>
    <w:p>
      <w:pPr>
        <w:pStyle w:val="33"/>
        <w:spacing w:line="440" w:lineRule="exact"/>
        <w:ind w:firstLine="414" w:firstLineChars="20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①中标方应对设备操作及维修人员进行操作及维修培训。</w:t>
      </w:r>
    </w:p>
    <w:p>
      <w:pPr>
        <w:pStyle w:val="33"/>
        <w:spacing w:line="440" w:lineRule="exact"/>
        <w:ind w:firstLine="414" w:firstLineChars="20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②对</w:t>
      </w:r>
      <w:r>
        <w:rPr>
          <w:rFonts w:hint="eastAsia" w:ascii="仿宋" w:hAnsi="仿宋" w:eastAsia="仿宋" w:cs="仿宋"/>
          <w:color w:val="auto"/>
          <w:spacing w:val="14"/>
          <w:szCs w:val="21"/>
          <w:highlight w:val="none"/>
          <w:lang w:val="en-US" w:eastAsia="zh-CN"/>
        </w:rPr>
        <w:t>操作</w:t>
      </w:r>
      <w:r>
        <w:rPr>
          <w:rFonts w:hint="eastAsia" w:ascii="仿宋" w:hAnsi="仿宋" w:eastAsia="仿宋" w:cs="仿宋"/>
          <w:color w:val="auto"/>
          <w:spacing w:val="14"/>
          <w:szCs w:val="21"/>
          <w:highlight w:val="none"/>
        </w:rPr>
        <w:t>及维修人员关于机器常见故障及解决方案进行培训，达到能解决常见故障。</w:t>
      </w:r>
    </w:p>
    <w:p>
      <w:pPr>
        <w:pStyle w:val="33"/>
        <w:spacing w:line="440" w:lineRule="exact"/>
        <w:ind w:firstLine="414" w:firstLineChars="20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（5）备品备件及易损件：</w:t>
      </w:r>
    </w:p>
    <w:p>
      <w:pPr>
        <w:pStyle w:val="33"/>
        <w:spacing w:line="440" w:lineRule="exact"/>
        <w:ind w:firstLine="414" w:firstLineChars="20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成交人或制造商售后服务中，维修使用的备品备件及易损件应为原厂配件（非翻新件）。成交人应提供原厂标准的备品备件、易损件、消耗资料价格清单及折扣率。</w:t>
      </w:r>
    </w:p>
    <w:p>
      <w:pPr>
        <w:pStyle w:val="33"/>
        <w:spacing w:line="440" w:lineRule="exact"/>
        <w:ind w:firstLine="414" w:firstLineChars="20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（6）安装、调试：</w:t>
      </w:r>
    </w:p>
    <w:p>
      <w:pPr>
        <w:pStyle w:val="33"/>
        <w:spacing w:line="440" w:lineRule="exact"/>
        <w:ind w:firstLine="414" w:firstLineChars="200"/>
        <w:jc w:val="left"/>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①成交人应派专业技术人员到最终用户指定地点安装，确保安装质量符合设计、使用要求。</w:t>
      </w:r>
    </w:p>
    <w:p>
      <w:pPr>
        <w:pStyle w:val="33"/>
        <w:spacing w:line="440" w:lineRule="exact"/>
        <w:ind w:firstLine="414" w:firstLineChars="200"/>
        <w:jc w:val="left"/>
        <w:rPr>
          <w:rFonts w:hint="eastAsia" w:ascii="仿宋" w:hAnsi="仿宋" w:eastAsia="仿宋" w:cs="仿宋"/>
          <w:color w:val="auto"/>
          <w:highlight w:val="none"/>
          <w:lang w:eastAsia="zh-CN"/>
        </w:rPr>
      </w:pPr>
      <w:r>
        <w:rPr>
          <w:rFonts w:hint="eastAsia" w:ascii="仿宋" w:hAnsi="仿宋" w:eastAsia="仿宋" w:cs="仿宋"/>
          <w:color w:val="auto"/>
          <w:spacing w:val="14"/>
          <w:szCs w:val="21"/>
          <w:highlight w:val="none"/>
        </w:rPr>
        <w:t>②测试工作所需的仪器仪表、工具、材料均由成交投标人负责。</w:t>
      </w:r>
      <w:r>
        <w:rPr>
          <w:rFonts w:hint="eastAsia" w:ascii="仿宋" w:hAnsi="仿宋" w:eastAsia="仿宋" w:cs="仿宋"/>
          <w:color w:val="auto"/>
          <w:spacing w:val="14"/>
          <w:szCs w:val="21"/>
          <w:highlight w:val="none"/>
          <w:lang w:eastAsia="zh-CN"/>
        </w:rPr>
        <w:br w:type="page"/>
      </w:r>
      <w:bookmarkStart w:id="129" w:name="_Toc14531"/>
      <w:r>
        <w:rPr>
          <w:rFonts w:hint="eastAsia" w:ascii="仿宋" w:hAnsi="仿宋" w:eastAsia="仿宋" w:cs="仿宋"/>
          <w:b/>
          <w:bCs/>
          <w:color w:val="auto"/>
          <w:kern w:val="28"/>
          <w:sz w:val="44"/>
          <w:highlight w:val="none"/>
          <w:lang w:val="en-US" w:eastAsia="zh-CN" w:bidi="en-US"/>
        </w:rPr>
        <w:t>第四章   合 同(样本)</w:t>
      </w:r>
      <w:bookmarkEnd w:id="128"/>
      <w:bookmarkEnd w:id="129"/>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双方应根据招标文件、中标通知书、中标人的投标文件（包括澄清说明），以及与本项目招标相关的资料签订采购合同。所签订的合同不得背离招标文件的实质性内容要求和投标文件的承诺。</w:t>
      </w:r>
    </w:p>
    <w:p>
      <w:pPr>
        <w:rPr>
          <w:rFonts w:hint="eastAsia" w:ascii="仿宋" w:hAnsi="仿宋" w:eastAsia="仿宋" w:cs="仿宋"/>
          <w:color w:val="auto"/>
          <w:spacing w:val="14"/>
          <w:szCs w:val="21"/>
          <w:highlight w:val="none"/>
        </w:rPr>
      </w:pPr>
    </w:p>
    <w:p>
      <w:pPr>
        <w:pStyle w:val="33"/>
        <w:rPr>
          <w:rFonts w:hint="eastAsia" w:ascii="仿宋" w:hAnsi="仿宋" w:eastAsia="仿宋" w:cs="仿宋"/>
          <w:color w:val="auto"/>
          <w:spacing w:val="14"/>
          <w:szCs w:val="21"/>
          <w:highlight w:val="none"/>
        </w:rPr>
      </w:pPr>
    </w:p>
    <w:p>
      <w:pPr>
        <w:ind w:firstLine="535" w:firstLineChars="299"/>
        <w:rPr>
          <w:rFonts w:hint="eastAsia" w:ascii="仿宋" w:hAnsi="仿宋" w:eastAsia="仿宋" w:cs="仿宋"/>
          <w:b/>
          <w:color w:val="auto"/>
          <w:sz w:val="28"/>
          <w:szCs w:val="28"/>
          <w:highlight w:val="none"/>
        </w:rPr>
      </w:pPr>
      <w:r>
        <w:rPr>
          <w:rFonts w:hint="eastAsia" w:ascii="仿宋" w:hAnsi="仿宋" w:eastAsia="仿宋" w:cs="仿宋"/>
          <w:b/>
          <w:color w:val="auto"/>
          <w:sz w:val="21"/>
          <w:szCs w:val="21"/>
          <w:highlight w:val="none"/>
        </w:rPr>
        <w:t>《洛阳市市级政府采购支持中小微企业信用融资信用担保合作金融机构名单》</w:t>
      </w:r>
      <w:r>
        <w:rPr>
          <w:rFonts w:hint="eastAsia" w:ascii="仿宋" w:hAnsi="仿宋" w:eastAsia="仿宋" w:cs="仿宋"/>
          <w:color w:val="auto"/>
          <w:spacing w:val="14"/>
          <w:sz w:val="21"/>
          <w:szCs w:val="21"/>
          <w:highlight w:val="none"/>
        </w:rPr>
        <w:t>下载地</w:t>
      </w:r>
      <w:r>
        <w:rPr>
          <w:rFonts w:hint="eastAsia" w:ascii="仿宋" w:hAnsi="仿宋" w:eastAsia="仿宋" w:cs="仿宋"/>
          <w:color w:val="auto"/>
          <w:spacing w:val="14"/>
          <w:szCs w:val="21"/>
          <w:highlight w:val="none"/>
        </w:rPr>
        <w:t xml:space="preserve">址： </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洛阳市政府采购网（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"http://luoyang.hngp.gov.cn/" </w:instrText>
      </w:r>
      <w:r>
        <w:rPr>
          <w:rFonts w:hint="eastAsia" w:ascii="仿宋" w:hAnsi="仿宋" w:eastAsia="仿宋" w:cs="仿宋"/>
          <w:color w:val="auto"/>
          <w:highlight w:val="none"/>
        </w:rPr>
        <w:fldChar w:fldCharType="separate"/>
      </w:r>
      <w:r>
        <w:rPr>
          <w:rStyle w:val="70"/>
          <w:rFonts w:hint="eastAsia" w:ascii="仿宋" w:hAnsi="仿宋" w:eastAsia="仿宋" w:cs="仿宋"/>
          <w:color w:val="auto"/>
          <w:spacing w:val="14"/>
          <w:szCs w:val="21"/>
          <w:highlight w:val="none"/>
        </w:rPr>
        <w:t>http://luoyang.hngp.gov.cn/</w:t>
      </w:r>
      <w:r>
        <w:rPr>
          <w:rStyle w:val="70"/>
          <w:rFonts w:hint="eastAsia" w:ascii="仿宋" w:hAnsi="仿宋" w:eastAsia="仿宋" w:cs="仿宋"/>
          <w:color w:val="auto"/>
          <w:spacing w:val="14"/>
          <w:szCs w:val="21"/>
          <w:highlight w:val="none"/>
        </w:rPr>
        <w:fldChar w:fldCharType="end"/>
      </w:r>
      <w:r>
        <w:rPr>
          <w:rFonts w:hint="eastAsia" w:ascii="仿宋" w:hAnsi="仿宋" w:eastAsia="仿宋" w:cs="仿宋"/>
          <w:color w:val="auto"/>
          <w:spacing w:val="14"/>
          <w:szCs w:val="21"/>
          <w:highlight w:val="none"/>
        </w:rPr>
        <w:t>）首页“文件下载”栏。</w:t>
      </w:r>
    </w:p>
    <w:p>
      <w:pPr>
        <w:jc w:val="center"/>
        <w:rPr>
          <w:rFonts w:hint="eastAsia" w:ascii="仿宋" w:hAnsi="仿宋" w:eastAsia="仿宋" w:cs="仿宋"/>
          <w:bCs/>
          <w:color w:val="auto"/>
          <w:spacing w:val="10"/>
          <w:sz w:val="24"/>
          <w:szCs w:val="24"/>
          <w:highlight w:val="none"/>
        </w:rPr>
      </w:pPr>
      <w:r>
        <w:rPr>
          <w:rFonts w:hint="eastAsia" w:ascii="仿宋" w:hAnsi="仿宋" w:eastAsia="仿宋" w:cs="仿宋"/>
          <w:b/>
          <w:color w:val="auto"/>
          <w:spacing w:val="10"/>
          <w:sz w:val="24"/>
          <w:szCs w:val="24"/>
          <w:highlight w:val="none"/>
        </w:rPr>
        <w:t>洛阳市政府采购合同融资政策告知函</w:t>
      </w:r>
    </w:p>
    <w:p>
      <w:pPr>
        <w:spacing w:line="440" w:lineRule="exact"/>
        <w:jc w:val="left"/>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各供应商:</w:t>
      </w:r>
    </w:p>
    <w:p>
      <w:pPr>
        <w:spacing w:line="440" w:lineRule="exact"/>
        <w:jc w:val="left"/>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欢迎贵公司参与洛阳市政府采购活动！</w:t>
      </w:r>
    </w:p>
    <w:p>
      <w:pPr>
        <w:spacing w:line="440" w:lineRule="exact"/>
        <w:ind w:firstLine="414" w:firstLineChars="200"/>
        <w:jc w:val="left"/>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政府采购合同融资是洛阳市财政局联合人民银行洛阳市中心支行支持中小微企业发展，针对参与政府采购活动的供应商融资难、融资贵问题推出的一项融资政策。贵公司若成为本次政府采购项目的中标(成交)供应商，可持政府采购合同向金融机构申请贷款，无需抵押、担保，金融机构将根据《洛阳市财政局、中国人民银行洛阳市中心支行关于印发深入推进政府采购合同融资工作实施方案》(洛财购〔2021〕4号)，按照双方自愿的原则提供便捷、优惠的贷款服务。</w:t>
      </w:r>
    </w:p>
    <w:p>
      <w:pPr>
        <w:spacing w:line="440" w:lineRule="exact"/>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贷款渠道和提供贷款的金融机构，可在河南省政府采购网“河南省政府采购合同融资平台”或洛阳市政府采购网“政府采购合同融资业务入口”查询联系。</w:t>
      </w:r>
    </w:p>
    <w:p>
      <w:pPr>
        <w:pStyle w:val="33"/>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br w:type="page"/>
      </w:r>
      <w:r>
        <w:rPr>
          <w:rFonts w:hint="eastAsia" w:ascii="仿宋" w:hAnsi="仿宋" w:eastAsia="仿宋" w:cs="仿宋"/>
          <w:color w:val="auto"/>
          <w:spacing w:val="14"/>
          <w:szCs w:val="21"/>
          <w:highlight w:val="none"/>
        </w:rPr>
        <w:t>本合同样本仅供参考</w:t>
      </w:r>
    </w:p>
    <w:p>
      <w:pPr>
        <w:jc w:val="center"/>
        <w:rPr>
          <w:rFonts w:hint="eastAsia" w:ascii="仿宋" w:hAnsi="仿宋" w:eastAsia="仿宋" w:cs="仿宋"/>
          <w:b/>
          <w:color w:val="auto"/>
          <w:sz w:val="84"/>
          <w:szCs w:val="84"/>
          <w:highlight w:val="none"/>
        </w:rPr>
      </w:pPr>
      <w:r>
        <w:rPr>
          <w:rFonts w:hint="eastAsia" w:ascii="仿宋" w:hAnsi="仿宋" w:eastAsia="仿宋" w:cs="仿宋"/>
          <w:b/>
          <w:color w:val="auto"/>
          <w:sz w:val="84"/>
          <w:szCs w:val="84"/>
          <w:highlight w:val="none"/>
        </w:rPr>
        <w:t>政府采购合同</w:t>
      </w:r>
    </w:p>
    <w:p>
      <w:pPr>
        <w:jc w:val="center"/>
        <w:rPr>
          <w:rFonts w:hint="eastAsia" w:ascii="仿宋" w:hAnsi="仿宋" w:eastAsia="仿宋" w:cs="仿宋"/>
          <w:b/>
          <w:color w:val="auto"/>
          <w:sz w:val="30"/>
          <w:szCs w:val="30"/>
          <w:highlight w:val="none"/>
        </w:rPr>
      </w:pPr>
    </w:p>
    <w:p>
      <w:pPr>
        <w:jc w:val="center"/>
        <w:rPr>
          <w:rFonts w:hint="eastAsia" w:ascii="仿宋" w:hAnsi="仿宋" w:eastAsia="仿宋" w:cs="仿宋"/>
          <w:b/>
          <w:color w:val="auto"/>
          <w:sz w:val="30"/>
          <w:szCs w:val="30"/>
          <w:highlight w:val="none"/>
        </w:rPr>
      </w:pPr>
    </w:p>
    <w:p>
      <w:pPr>
        <w:ind w:firstLine="538"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项目名称：</w:t>
      </w:r>
      <w:r>
        <w:rPr>
          <w:rFonts w:hint="eastAsia" w:ascii="仿宋" w:hAnsi="仿宋" w:eastAsia="仿宋" w:cs="仿宋"/>
          <w:color w:val="auto"/>
          <w:sz w:val="30"/>
          <w:szCs w:val="30"/>
          <w:highlight w:val="none"/>
          <w:u w:val="single"/>
        </w:rPr>
        <w:t xml:space="preserve">                                   </w:t>
      </w:r>
    </w:p>
    <w:p>
      <w:pPr>
        <w:ind w:firstLine="538" w:firstLineChars="200"/>
        <w:rPr>
          <w:rFonts w:hint="eastAsia" w:ascii="仿宋" w:hAnsi="仿宋" w:eastAsia="仿宋" w:cs="仿宋"/>
          <w:color w:val="auto"/>
          <w:sz w:val="30"/>
          <w:szCs w:val="30"/>
          <w:highlight w:val="none"/>
          <w:u w:val="single"/>
        </w:rPr>
      </w:pPr>
      <w:r>
        <w:rPr>
          <w:rFonts w:hint="eastAsia" w:ascii="仿宋" w:hAnsi="仿宋" w:eastAsia="仿宋" w:cs="仿宋"/>
          <w:color w:val="auto"/>
          <w:sz w:val="30"/>
          <w:szCs w:val="30"/>
          <w:highlight w:val="none"/>
        </w:rPr>
        <w:t>政府采购管理部门备案编号：</w:t>
      </w:r>
      <w:r>
        <w:rPr>
          <w:rFonts w:hint="eastAsia" w:ascii="仿宋" w:hAnsi="仿宋" w:eastAsia="仿宋" w:cs="仿宋"/>
          <w:color w:val="auto"/>
          <w:sz w:val="30"/>
          <w:szCs w:val="30"/>
          <w:highlight w:val="none"/>
          <w:u w:val="single"/>
        </w:rPr>
        <w:t xml:space="preserve">                   </w:t>
      </w:r>
    </w:p>
    <w:p>
      <w:pPr>
        <w:ind w:firstLine="538"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招标采购文件编号：</w:t>
      </w:r>
      <w:r>
        <w:rPr>
          <w:rFonts w:hint="eastAsia" w:ascii="仿宋" w:hAnsi="仿宋" w:eastAsia="仿宋" w:cs="仿宋"/>
          <w:color w:val="auto"/>
          <w:sz w:val="30"/>
          <w:szCs w:val="30"/>
          <w:highlight w:val="none"/>
          <w:u w:val="single"/>
        </w:rPr>
        <w:t xml:space="preserve">                           </w:t>
      </w:r>
    </w:p>
    <w:p>
      <w:pPr>
        <w:ind w:firstLine="538"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甲方合同编号：</w:t>
      </w:r>
      <w:r>
        <w:rPr>
          <w:rFonts w:hint="eastAsia" w:ascii="仿宋" w:hAnsi="仿宋" w:eastAsia="仿宋" w:cs="仿宋"/>
          <w:color w:val="auto"/>
          <w:sz w:val="30"/>
          <w:szCs w:val="30"/>
          <w:highlight w:val="none"/>
          <w:u w:val="single"/>
        </w:rPr>
        <w:t xml:space="preserve">                               </w:t>
      </w:r>
    </w:p>
    <w:p>
      <w:pPr>
        <w:ind w:firstLine="538" w:firstLineChars="200"/>
        <w:rPr>
          <w:rFonts w:hint="eastAsia" w:ascii="仿宋" w:hAnsi="仿宋" w:eastAsia="仿宋" w:cs="仿宋"/>
          <w:color w:val="auto"/>
          <w:sz w:val="30"/>
          <w:szCs w:val="30"/>
          <w:highlight w:val="none"/>
          <w:u w:val="single"/>
        </w:rPr>
      </w:pPr>
      <w:r>
        <w:rPr>
          <w:rFonts w:hint="eastAsia" w:ascii="仿宋" w:hAnsi="仿宋" w:eastAsia="仿宋" w:cs="仿宋"/>
          <w:color w:val="auto"/>
          <w:sz w:val="30"/>
          <w:szCs w:val="30"/>
          <w:highlight w:val="none"/>
        </w:rPr>
        <w:t>甲方：</w:t>
      </w:r>
      <w:r>
        <w:rPr>
          <w:rFonts w:hint="eastAsia" w:ascii="仿宋" w:hAnsi="仿宋" w:eastAsia="仿宋" w:cs="仿宋"/>
          <w:color w:val="auto"/>
          <w:sz w:val="30"/>
          <w:szCs w:val="30"/>
          <w:highlight w:val="none"/>
          <w:u w:val="single"/>
        </w:rPr>
        <w:t xml:space="preserve">                                       </w:t>
      </w:r>
    </w:p>
    <w:p>
      <w:pPr>
        <w:ind w:firstLine="538"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乙方：</w:t>
      </w:r>
      <w:r>
        <w:rPr>
          <w:rFonts w:hint="eastAsia" w:ascii="仿宋" w:hAnsi="仿宋" w:eastAsia="仿宋" w:cs="仿宋"/>
          <w:color w:val="auto"/>
          <w:sz w:val="30"/>
          <w:szCs w:val="30"/>
          <w:highlight w:val="none"/>
          <w:u w:val="single"/>
        </w:rPr>
        <w:t xml:space="preserve">                                       </w:t>
      </w:r>
    </w:p>
    <w:p>
      <w:pPr>
        <w:ind w:firstLine="538" w:firstLineChars="200"/>
        <w:rPr>
          <w:rFonts w:hint="eastAsia" w:ascii="仿宋" w:hAnsi="仿宋" w:eastAsia="仿宋" w:cs="仿宋"/>
          <w:color w:val="auto"/>
          <w:sz w:val="30"/>
          <w:szCs w:val="30"/>
          <w:highlight w:val="none"/>
          <w:u w:val="single"/>
        </w:rPr>
      </w:pPr>
      <w:r>
        <w:rPr>
          <w:rFonts w:hint="eastAsia" w:ascii="仿宋" w:hAnsi="仿宋" w:eastAsia="仿宋" w:cs="仿宋"/>
          <w:color w:val="auto"/>
          <w:sz w:val="30"/>
          <w:szCs w:val="30"/>
          <w:highlight w:val="none"/>
        </w:rPr>
        <w:t>甲方合同法律审核部门：</w:t>
      </w:r>
      <w:r>
        <w:rPr>
          <w:rFonts w:hint="eastAsia" w:ascii="仿宋" w:hAnsi="仿宋" w:eastAsia="仿宋" w:cs="仿宋"/>
          <w:color w:val="auto"/>
          <w:sz w:val="30"/>
          <w:szCs w:val="30"/>
          <w:highlight w:val="none"/>
          <w:u w:val="single"/>
        </w:rPr>
        <w:t xml:space="preserve">                       </w:t>
      </w:r>
    </w:p>
    <w:p>
      <w:pPr>
        <w:rPr>
          <w:rFonts w:hint="eastAsia" w:ascii="仿宋" w:hAnsi="仿宋" w:eastAsia="仿宋" w:cs="仿宋"/>
          <w:color w:val="auto"/>
          <w:sz w:val="30"/>
          <w:szCs w:val="30"/>
          <w:highlight w:val="none"/>
        </w:rPr>
      </w:pPr>
    </w:p>
    <w:p>
      <w:pPr>
        <w:rPr>
          <w:rFonts w:hint="eastAsia" w:ascii="仿宋" w:hAnsi="仿宋" w:eastAsia="仿宋" w:cs="仿宋"/>
          <w:color w:val="auto"/>
          <w:sz w:val="30"/>
          <w:szCs w:val="30"/>
          <w:highlight w:val="none"/>
        </w:rPr>
      </w:pPr>
    </w:p>
    <w:p>
      <w:pPr>
        <w:rPr>
          <w:rFonts w:hint="eastAsia" w:ascii="仿宋" w:hAnsi="仿宋" w:eastAsia="仿宋" w:cs="仿宋"/>
          <w:color w:val="auto"/>
          <w:sz w:val="30"/>
          <w:szCs w:val="30"/>
          <w:highlight w:val="none"/>
        </w:rPr>
      </w:pPr>
    </w:p>
    <w:p>
      <w:pPr>
        <w:jc w:val="cente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签订时间：      年    月    日</w:t>
      </w:r>
    </w:p>
    <w:p>
      <w:pPr>
        <w:ind w:firstLine="1058" w:firstLineChars="393"/>
        <w:rPr>
          <w:rFonts w:hint="eastAsia" w:ascii="仿宋" w:hAnsi="仿宋" w:eastAsia="仿宋" w:cs="仿宋"/>
          <w:color w:val="auto"/>
          <w:sz w:val="30"/>
          <w:szCs w:val="30"/>
          <w:highlight w:val="none"/>
        </w:rPr>
      </w:pPr>
    </w:p>
    <w:p>
      <w:pPr>
        <w:spacing w:line="360" w:lineRule="auto"/>
        <w:ind w:firstLine="418" w:firstLineChars="200"/>
        <w:rPr>
          <w:rFonts w:hint="eastAsia" w:ascii="仿宋" w:hAnsi="仿宋" w:eastAsia="仿宋" w:cs="仿宋"/>
          <w:color w:val="auto"/>
          <w:sz w:val="24"/>
          <w:szCs w:val="24"/>
          <w:highlight w:val="none"/>
        </w:rPr>
      </w:pPr>
    </w:p>
    <w:p>
      <w:pPr>
        <w:spacing w:line="360" w:lineRule="auto"/>
        <w:ind w:firstLine="418" w:firstLineChars="200"/>
        <w:rPr>
          <w:rFonts w:hint="eastAsia" w:ascii="仿宋" w:hAnsi="仿宋" w:eastAsia="仿宋" w:cs="仿宋"/>
          <w:color w:val="auto"/>
          <w:sz w:val="24"/>
          <w:szCs w:val="24"/>
          <w:highlight w:val="none"/>
        </w:rPr>
      </w:pPr>
    </w:p>
    <w:p>
      <w:pPr>
        <w:spacing w:line="360" w:lineRule="auto"/>
        <w:ind w:firstLine="418" w:firstLineChars="200"/>
        <w:rPr>
          <w:rFonts w:hint="eastAsia" w:ascii="仿宋" w:hAnsi="仿宋" w:eastAsia="仿宋" w:cs="仿宋"/>
          <w:color w:val="auto"/>
          <w:sz w:val="24"/>
          <w:szCs w:val="24"/>
          <w:highlight w:val="none"/>
        </w:rPr>
      </w:pPr>
    </w:p>
    <w:p>
      <w:pPr>
        <w:spacing w:line="360" w:lineRule="auto"/>
        <w:ind w:firstLine="418" w:firstLineChars="200"/>
        <w:rPr>
          <w:rFonts w:hint="eastAsia" w:ascii="仿宋" w:hAnsi="仿宋" w:eastAsia="仿宋" w:cs="仿宋"/>
          <w:color w:val="auto"/>
          <w:sz w:val="24"/>
          <w:szCs w:val="24"/>
          <w:highlight w:val="none"/>
        </w:rPr>
      </w:pPr>
    </w:p>
    <w:p>
      <w:pPr>
        <w:spacing w:line="440" w:lineRule="exact"/>
        <w:ind w:firstLine="358" w:firstLineChars="200"/>
        <w:rPr>
          <w:rFonts w:hint="eastAsia" w:ascii="仿宋" w:hAnsi="仿宋" w:eastAsia="仿宋" w:cs="仿宋"/>
          <w:color w:val="auto"/>
          <w:sz w:val="21"/>
          <w:szCs w:val="21"/>
          <w:highlight w:val="none"/>
        </w:rPr>
      </w:pPr>
    </w:p>
    <w:p>
      <w:pPr>
        <w:spacing w:line="440" w:lineRule="exact"/>
        <w:ind w:firstLine="358" w:firstLineChars="200"/>
        <w:rPr>
          <w:rFonts w:hint="eastAsia" w:ascii="仿宋" w:hAnsi="仿宋" w:eastAsia="仿宋" w:cs="仿宋"/>
          <w:color w:val="auto"/>
          <w:sz w:val="21"/>
          <w:szCs w:val="21"/>
          <w:highlight w:val="none"/>
        </w:rPr>
      </w:pPr>
    </w:p>
    <w:p>
      <w:pPr>
        <w:spacing w:line="440" w:lineRule="exact"/>
        <w:ind w:firstLine="358" w:firstLineChars="200"/>
        <w:rPr>
          <w:rFonts w:hint="eastAsia" w:ascii="仿宋" w:hAnsi="仿宋" w:eastAsia="仿宋" w:cs="仿宋"/>
          <w:color w:val="auto"/>
          <w:sz w:val="21"/>
          <w:szCs w:val="21"/>
          <w:highlight w:val="none"/>
        </w:rPr>
      </w:pPr>
    </w:p>
    <w:p>
      <w:pPr>
        <w:spacing w:line="440" w:lineRule="exact"/>
        <w:ind w:firstLine="358" w:firstLineChars="200"/>
        <w:rPr>
          <w:rFonts w:hint="eastAsia" w:ascii="仿宋" w:hAnsi="仿宋" w:eastAsia="仿宋" w:cs="仿宋"/>
          <w:color w:val="auto"/>
          <w:sz w:val="21"/>
          <w:szCs w:val="21"/>
          <w:highlight w:val="none"/>
        </w:rPr>
      </w:pPr>
    </w:p>
    <w:p>
      <w:pPr>
        <w:spacing w:line="440" w:lineRule="exact"/>
        <w:ind w:firstLine="358" w:firstLineChars="200"/>
        <w:rPr>
          <w:rFonts w:hint="eastAsia" w:ascii="仿宋" w:hAnsi="仿宋" w:eastAsia="仿宋" w:cs="仿宋"/>
          <w:color w:val="auto"/>
          <w:sz w:val="21"/>
          <w:szCs w:val="21"/>
          <w:highlight w:val="none"/>
        </w:rPr>
      </w:pPr>
    </w:p>
    <w:p>
      <w:pPr>
        <w:spacing w:line="440" w:lineRule="exact"/>
        <w:ind w:firstLine="358" w:firstLineChars="200"/>
        <w:rPr>
          <w:rFonts w:hint="eastAsia" w:ascii="仿宋" w:hAnsi="仿宋" w:eastAsia="仿宋" w:cs="仿宋"/>
          <w:color w:val="auto"/>
          <w:sz w:val="21"/>
          <w:szCs w:val="21"/>
          <w:highlight w:val="none"/>
        </w:rPr>
      </w:pP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（甲方）（××项目）委托（代理机构名称）进行了政府采购。按照评委会评审推荐、甲方确定乙方为中标单位。现甲乙双方协商同意签订本合同。</w:t>
      </w:r>
    </w:p>
    <w:p>
      <w:pPr>
        <w:numPr>
          <w:ilvl w:val="0"/>
          <w:numId w:val="14"/>
        </w:numPr>
        <w:spacing w:line="440" w:lineRule="exact"/>
        <w:rPr>
          <w:rFonts w:hint="eastAsia" w:ascii="仿宋" w:hAnsi="仿宋" w:eastAsia="仿宋" w:cs="仿宋"/>
          <w:b/>
          <w:color w:val="auto"/>
          <w:spacing w:val="20"/>
          <w:sz w:val="21"/>
          <w:szCs w:val="21"/>
          <w:highlight w:val="none"/>
        </w:rPr>
      </w:pPr>
      <w:r>
        <w:rPr>
          <w:rFonts w:hint="eastAsia" w:ascii="仿宋" w:hAnsi="仿宋" w:eastAsia="仿宋" w:cs="仿宋"/>
          <w:b/>
          <w:color w:val="auto"/>
          <w:spacing w:val="20"/>
          <w:sz w:val="21"/>
          <w:szCs w:val="21"/>
          <w:highlight w:val="none"/>
        </w:rPr>
        <w:t xml:space="preserve">  合同文件</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下列与本次采购活动有关的文件及附件是本合同不可分割的组成部分，与本合同具有同等法律效力，这些文件包括但不限于：</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1.（××号）招标采购文件</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2.投标文件</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3.乙方在投标时的书面承诺</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4.（××号）中标通知书</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5.合同补充条款或说明</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6.保密协议或条款</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7.相关附件、图纸</w:t>
      </w:r>
    </w:p>
    <w:p>
      <w:pPr>
        <w:spacing w:line="440" w:lineRule="exact"/>
        <w:ind w:left="482"/>
        <w:rPr>
          <w:rFonts w:hint="eastAsia" w:ascii="仿宋" w:hAnsi="仿宋" w:eastAsia="仿宋" w:cs="仿宋"/>
          <w:b/>
          <w:color w:val="auto"/>
          <w:spacing w:val="20"/>
          <w:sz w:val="21"/>
          <w:szCs w:val="21"/>
          <w:highlight w:val="none"/>
        </w:rPr>
      </w:pPr>
      <w:r>
        <w:rPr>
          <w:rFonts w:hint="eastAsia" w:ascii="仿宋" w:hAnsi="仿宋" w:eastAsia="仿宋" w:cs="仿宋"/>
          <w:b/>
          <w:color w:val="auto"/>
          <w:spacing w:val="20"/>
          <w:sz w:val="21"/>
          <w:szCs w:val="21"/>
          <w:highlight w:val="none"/>
        </w:rPr>
        <w:t>第二条  合同标的</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乙方根据甲方需求提供下列货物，货物名称、规格及数量，备件、易损件和专用工具等（详见《供货一览表》）。</w:t>
      </w:r>
    </w:p>
    <w:p>
      <w:pPr>
        <w:spacing w:line="440" w:lineRule="exact"/>
        <w:ind w:left="482"/>
        <w:rPr>
          <w:rFonts w:hint="eastAsia" w:ascii="仿宋" w:hAnsi="仿宋" w:eastAsia="仿宋" w:cs="仿宋"/>
          <w:b/>
          <w:color w:val="auto"/>
          <w:spacing w:val="20"/>
          <w:sz w:val="21"/>
          <w:szCs w:val="21"/>
          <w:highlight w:val="none"/>
        </w:rPr>
      </w:pPr>
      <w:r>
        <w:rPr>
          <w:rFonts w:hint="eastAsia" w:ascii="仿宋" w:hAnsi="仿宋" w:eastAsia="仿宋" w:cs="仿宋"/>
          <w:b/>
          <w:color w:val="auto"/>
          <w:spacing w:val="20"/>
          <w:sz w:val="21"/>
          <w:szCs w:val="21"/>
          <w:highlight w:val="none"/>
        </w:rPr>
        <w:t>第三条  合同总金额</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大写：</w:t>
      </w:r>
      <w:r>
        <w:rPr>
          <w:rFonts w:hint="eastAsia" w:ascii="仿宋" w:hAnsi="仿宋" w:eastAsia="仿宋" w:cs="仿宋"/>
          <w:color w:val="auto"/>
          <w:spacing w:val="20"/>
          <w:sz w:val="21"/>
          <w:szCs w:val="21"/>
          <w:highlight w:val="none"/>
          <w:u w:val="single"/>
        </w:rPr>
        <w:t xml:space="preserve">                                      </w:t>
      </w:r>
      <w:r>
        <w:rPr>
          <w:rFonts w:hint="eastAsia" w:ascii="仿宋" w:hAnsi="仿宋" w:eastAsia="仿宋" w:cs="仿宋"/>
          <w:color w:val="auto"/>
          <w:spacing w:val="20"/>
          <w:sz w:val="21"/>
          <w:szCs w:val="21"/>
          <w:highlight w:val="none"/>
        </w:rPr>
        <w:t>元。</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本合同项下货物总金额：￥</w:t>
      </w:r>
      <w:r>
        <w:rPr>
          <w:rFonts w:hint="eastAsia" w:ascii="仿宋" w:hAnsi="仿宋" w:eastAsia="仿宋" w:cs="仿宋"/>
          <w:color w:val="auto"/>
          <w:spacing w:val="20"/>
          <w:sz w:val="21"/>
          <w:szCs w:val="21"/>
          <w:highlight w:val="none"/>
          <w:u w:val="single"/>
        </w:rPr>
        <w:t xml:space="preserve">                   </w:t>
      </w:r>
      <w:r>
        <w:rPr>
          <w:rFonts w:hint="eastAsia" w:ascii="仿宋" w:hAnsi="仿宋" w:eastAsia="仿宋" w:cs="仿宋"/>
          <w:color w:val="auto"/>
          <w:spacing w:val="20"/>
          <w:sz w:val="21"/>
          <w:szCs w:val="21"/>
          <w:highlight w:val="none"/>
        </w:rPr>
        <w:t>元。</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分项价款在《供货一览表》中有明确规定。</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本合同总价款包括货物、软件、标准附件、备品备件、专用工具、图纸资料、技术服务，包装、运输、装卸、保险、税金，货到就位以及安装、调试、培训、保修等验收合格之前和质保期内的售后服务一切税金和费用。</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本合同执行期间合同总价款不变。</w:t>
      </w:r>
    </w:p>
    <w:p>
      <w:pPr>
        <w:spacing w:line="440" w:lineRule="exact"/>
        <w:ind w:left="482"/>
        <w:rPr>
          <w:rFonts w:hint="eastAsia" w:ascii="仿宋" w:hAnsi="仿宋" w:eastAsia="仿宋" w:cs="仿宋"/>
          <w:b/>
          <w:color w:val="auto"/>
          <w:spacing w:val="20"/>
          <w:sz w:val="21"/>
          <w:szCs w:val="21"/>
          <w:highlight w:val="none"/>
        </w:rPr>
      </w:pPr>
      <w:r>
        <w:rPr>
          <w:rFonts w:hint="eastAsia" w:ascii="仿宋" w:hAnsi="仿宋" w:eastAsia="仿宋" w:cs="仿宋"/>
          <w:b/>
          <w:color w:val="auto"/>
          <w:spacing w:val="20"/>
          <w:sz w:val="21"/>
          <w:szCs w:val="21"/>
          <w:highlight w:val="none"/>
        </w:rPr>
        <w:t>第四条  权利和质量保证</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1.乙方应保证甲方在使用该货物或其任何一部分时不受第三方提出侵犯其专利权、版权、商标权或其他权利的起诉。一旦出现侵权，索赔或诉讼，乙方应承担全部责任，给甲方造成损失的，还应赔偿甲方全部损失。</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2.乙方保证货物是全新的、未使用过的，完全符合国家规范及甲乙双方确认的投标文件、本合同关于货物数量、质量的要求。货物符合实行国家“三包”规定的，应执行“三包”规定。</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本项目质保期</w:t>
      </w:r>
      <w:r>
        <w:rPr>
          <w:rFonts w:hint="eastAsia" w:ascii="仿宋" w:hAnsi="仿宋" w:eastAsia="仿宋" w:cs="仿宋"/>
          <w:color w:val="auto"/>
          <w:spacing w:val="20"/>
          <w:sz w:val="21"/>
          <w:szCs w:val="21"/>
          <w:highlight w:val="none"/>
          <w:u w:val="single"/>
        </w:rPr>
        <w:t xml:space="preserve">      </w:t>
      </w:r>
      <w:r>
        <w:rPr>
          <w:rFonts w:hint="eastAsia" w:ascii="仿宋" w:hAnsi="仿宋" w:eastAsia="仿宋" w:cs="仿宋"/>
          <w:color w:val="auto"/>
          <w:spacing w:val="20"/>
          <w:sz w:val="21"/>
          <w:szCs w:val="21"/>
          <w:highlight w:val="none"/>
        </w:rPr>
        <w:t>年，保修期</w:t>
      </w:r>
      <w:r>
        <w:rPr>
          <w:rFonts w:hint="eastAsia" w:ascii="仿宋" w:hAnsi="仿宋" w:eastAsia="仿宋" w:cs="仿宋"/>
          <w:color w:val="auto"/>
          <w:spacing w:val="20"/>
          <w:sz w:val="21"/>
          <w:szCs w:val="21"/>
          <w:highlight w:val="none"/>
          <w:u w:val="single"/>
        </w:rPr>
        <w:t xml:space="preserve">     </w:t>
      </w:r>
      <w:r>
        <w:rPr>
          <w:rFonts w:hint="eastAsia" w:ascii="仿宋" w:hAnsi="仿宋" w:eastAsia="仿宋" w:cs="仿宋"/>
          <w:color w:val="auto"/>
          <w:spacing w:val="20"/>
          <w:sz w:val="21"/>
          <w:szCs w:val="21"/>
          <w:highlight w:val="none"/>
        </w:rPr>
        <w:t>年。</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3.乙方提交的货物应符合投标文件中所记载的详细配置、技术参数、参数及性能，并应附有此类货物完整、详细的技术资料和说明文件。</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4.乙方提交的货物必须按照招标采购文件的要求和中标人投标文件的承诺，以约定标准进行制造、安装；经政府采购管理部门批准采购的进口产品应执行原产地国家有关部门最新颁布的相应正式标准并提供国家商检、海关报关等手续。</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5.乙方应保证将货物按照国家或专业标准包装、确保货物安全无损运抵合同规定的交货地点，并进行安装、试运行。</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6、乙方保证货物不存在危及人身及财产安全的产品缺陷，否则应承担全部法律责任。</w:t>
      </w:r>
    </w:p>
    <w:p>
      <w:pPr>
        <w:spacing w:line="440" w:lineRule="exact"/>
        <w:ind w:left="482"/>
        <w:rPr>
          <w:rFonts w:hint="eastAsia" w:ascii="仿宋" w:hAnsi="仿宋" w:eastAsia="仿宋" w:cs="仿宋"/>
          <w:b/>
          <w:color w:val="auto"/>
          <w:spacing w:val="20"/>
          <w:sz w:val="21"/>
          <w:szCs w:val="21"/>
          <w:highlight w:val="none"/>
        </w:rPr>
      </w:pPr>
      <w:r>
        <w:rPr>
          <w:rFonts w:hint="eastAsia" w:ascii="仿宋" w:hAnsi="仿宋" w:eastAsia="仿宋" w:cs="仿宋"/>
          <w:b/>
          <w:color w:val="auto"/>
          <w:spacing w:val="20"/>
          <w:sz w:val="21"/>
          <w:szCs w:val="21"/>
          <w:highlight w:val="none"/>
        </w:rPr>
        <w:t>第五条  付款方式</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1.本合同项下所有款项均以人民币支付。</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2.乙方向甲方提交下列文件材料，经甲方审核无误后支付采购资金：</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（1）经甲方确认的发票；</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（2）经甲乙双方确认签署的《验收报告》（或按项目进度阶段性《验收报告》）；</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（3）其他材料。</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3.款项的支付进度以招标采购文件的有关规定为准。如招标采购文件未作特别规定，则付款进度应符合如下约定：</w:t>
      </w:r>
    </w:p>
    <w:p>
      <w:pPr>
        <w:spacing w:line="440" w:lineRule="exact"/>
        <w:ind w:left="482"/>
        <w:rPr>
          <w:rFonts w:hint="eastAsia" w:ascii="仿宋" w:hAnsi="仿宋" w:eastAsia="仿宋" w:cs="仿宋"/>
          <w:bCs/>
          <w:color w:val="auto"/>
          <w:spacing w:val="20"/>
          <w:sz w:val="21"/>
          <w:szCs w:val="21"/>
          <w:highlight w:val="none"/>
          <w:u w:val="single"/>
        </w:rPr>
      </w:pPr>
      <w:r>
        <w:rPr>
          <w:rFonts w:hint="eastAsia" w:ascii="仿宋" w:hAnsi="仿宋" w:eastAsia="仿宋" w:cs="仿宋"/>
          <w:bCs/>
          <w:color w:val="auto"/>
          <w:spacing w:val="20"/>
          <w:sz w:val="21"/>
          <w:szCs w:val="21"/>
          <w:highlight w:val="none"/>
          <w:u w:val="single"/>
        </w:rPr>
        <w:t xml:space="preserve">                                                    。</w:t>
      </w:r>
    </w:p>
    <w:p>
      <w:pPr>
        <w:spacing w:line="440" w:lineRule="exact"/>
        <w:ind w:left="482"/>
        <w:rPr>
          <w:rFonts w:hint="eastAsia" w:ascii="仿宋" w:hAnsi="仿宋" w:eastAsia="仿宋" w:cs="仿宋"/>
          <w:b/>
          <w:color w:val="auto"/>
          <w:spacing w:val="20"/>
          <w:sz w:val="21"/>
          <w:szCs w:val="21"/>
          <w:highlight w:val="none"/>
        </w:rPr>
      </w:pPr>
      <w:r>
        <w:rPr>
          <w:rFonts w:hint="eastAsia" w:ascii="仿宋" w:hAnsi="仿宋" w:eastAsia="仿宋" w:cs="仿宋"/>
          <w:b/>
          <w:color w:val="auto"/>
          <w:spacing w:val="20"/>
          <w:sz w:val="21"/>
          <w:szCs w:val="21"/>
          <w:highlight w:val="none"/>
        </w:rPr>
        <w:t>第六条  交货和验收</w:t>
      </w:r>
    </w:p>
    <w:p>
      <w:pPr>
        <w:spacing w:line="440" w:lineRule="exact"/>
        <w:ind w:firstLine="438" w:firstLineChars="200"/>
        <w:rPr>
          <w:rFonts w:hint="eastAsia" w:ascii="仿宋" w:hAnsi="仿宋" w:eastAsia="仿宋" w:cs="仿宋"/>
          <w:color w:val="auto"/>
          <w:spacing w:val="20"/>
          <w:sz w:val="21"/>
          <w:szCs w:val="21"/>
          <w:highlight w:val="none"/>
          <w:u w:val="single"/>
        </w:rPr>
      </w:pPr>
      <w:r>
        <w:rPr>
          <w:rFonts w:hint="eastAsia" w:ascii="仿宋" w:hAnsi="仿宋" w:eastAsia="仿宋" w:cs="仿宋"/>
          <w:color w:val="auto"/>
          <w:spacing w:val="20"/>
          <w:sz w:val="21"/>
          <w:szCs w:val="21"/>
          <w:highlight w:val="none"/>
        </w:rPr>
        <w:t xml:space="preserve">1.交货时间： </w:t>
      </w:r>
      <w:r>
        <w:rPr>
          <w:rFonts w:hint="eastAsia" w:ascii="仿宋" w:hAnsi="仿宋" w:eastAsia="仿宋" w:cs="仿宋"/>
          <w:color w:val="auto"/>
          <w:spacing w:val="20"/>
          <w:sz w:val="21"/>
          <w:szCs w:val="21"/>
          <w:highlight w:val="none"/>
          <w:u w:val="single"/>
        </w:rPr>
        <w:t xml:space="preserve">                                        </w:t>
      </w:r>
      <w:r>
        <w:rPr>
          <w:rFonts w:hint="eastAsia" w:ascii="仿宋" w:hAnsi="仿宋" w:eastAsia="仿宋" w:cs="仿宋"/>
          <w:color w:val="auto"/>
          <w:spacing w:val="20"/>
          <w:sz w:val="21"/>
          <w:szCs w:val="21"/>
          <w:highlight w:val="none"/>
        </w:rPr>
        <w:t>。</w:t>
      </w:r>
    </w:p>
    <w:p>
      <w:pPr>
        <w:spacing w:line="440" w:lineRule="exact"/>
        <w:ind w:firstLine="657" w:firstLineChars="3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 xml:space="preserve">交货地点： </w:t>
      </w:r>
      <w:r>
        <w:rPr>
          <w:rFonts w:hint="eastAsia" w:ascii="仿宋" w:hAnsi="仿宋" w:eastAsia="仿宋" w:cs="仿宋"/>
          <w:color w:val="auto"/>
          <w:spacing w:val="20"/>
          <w:sz w:val="21"/>
          <w:szCs w:val="21"/>
          <w:highlight w:val="none"/>
          <w:u w:val="single"/>
        </w:rPr>
        <w:t xml:space="preserve">                                        </w:t>
      </w:r>
      <w:r>
        <w:rPr>
          <w:rFonts w:hint="eastAsia" w:ascii="仿宋" w:hAnsi="仿宋" w:eastAsia="仿宋" w:cs="仿宋"/>
          <w:color w:val="auto"/>
          <w:spacing w:val="20"/>
          <w:sz w:val="21"/>
          <w:szCs w:val="21"/>
          <w:highlight w:val="none"/>
        </w:rPr>
        <w:t>。</w:t>
      </w:r>
    </w:p>
    <w:p>
      <w:pPr>
        <w:spacing w:line="440" w:lineRule="exact"/>
        <w:ind w:firstLine="657" w:firstLineChars="3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 xml:space="preserve">安装调试时间： </w:t>
      </w:r>
      <w:r>
        <w:rPr>
          <w:rFonts w:hint="eastAsia" w:ascii="仿宋" w:hAnsi="仿宋" w:eastAsia="仿宋" w:cs="仿宋"/>
          <w:color w:val="auto"/>
          <w:spacing w:val="20"/>
          <w:sz w:val="21"/>
          <w:szCs w:val="21"/>
          <w:highlight w:val="none"/>
          <w:u w:val="single"/>
        </w:rPr>
        <w:t xml:space="preserve">                                    </w:t>
      </w:r>
      <w:r>
        <w:rPr>
          <w:rFonts w:hint="eastAsia" w:ascii="仿宋" w:hAnsi="仿宋" w:eastAsia="仿宋" w:cs="仿宋"/>
          <w:color w:val="auto"/>
          <w:spacing w:val="20"/>
          <w:sz w:val="21"/>
          <w:szCs w:val="21"/>
          <w:highlight w:val="none"/>
        </w:rPr>
        <w:t>。</w:t>
      </w:r>
    </w:p>
    <w:p>
      <w:pPr>
        <w:pStyle w:val="33"/>
        <w:tabs>
          <w:tab w:val="left" w:pos="0"/>
        </w:tabs>
        <w:spacing w:line="440" w:lineRule="exact"/>
        <w:ind w:firstLine="438" w:firstLineChars="200"/>
        <w:rPr>
          <w:rFonts w:hint="eastAsia" w:ascii="仿宋" w:hAnsi="仿宋" w:eastAsia="仿宋" w:cs="仿宋"/>
          <w:color w:val="auto"/>
          <w:spacing w:val="20"/>
          <w:szCs w:val="21"/>
          <w:highlight w:val="none"/>
        </w:rPr>
      </w:pPr>
      <w:r>
        <w:rPr>
          <w:rFonts w:hint="eastAsia" w:ascii="仿宋" w:hAnsi="仿宋" w:eastAsia="仿宋" w:cs="仿宋"/>
          <w:color w:val="auto"/>
          <w:spacing w:val="20"/>
          <w:szCs w:val="21"/>
          <w:highlight w:val="none"/>
        </w:rPr>
        <w:t>2. 乙方应对提供的货物作出全面自查和整理，并列出清单，作为甲方验收和使用的技术条件依据，清单应随提供的验收资料交给甲方。</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3.乙方提供的货物应包括本合同“第一条 合同文件”规定的全部货物及其附（辅）件、资料。</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4.货物验收时，甲乙双方必须同时在场，双方共同确认货物与本合同规定的生产厂家产地、品牌、规格型号、数量、质量、技术参数和性能等是否一致。乙方所交付的货物不符合合同规定的，甲方有权拒收。乙方应及时按本合同规定和甲方要求免费对拒收货物采取更换或其他必要的补救措施，直至验收合格，方视为乙方按本合同规定完成交货。验收合格的，由双方共同签署《验收报告》。</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5.需要乙方对货物（包括软件）或系统进行安装调试的，甲乙双方应在货物安装调试完毕后进行运行效果验收。在验收之前，乙方需提前提交相应的调试计划（包括调试程序、环境、内容和检验标准、调试时间安排等）供甲方确认，乙方还应对所有检验验收调试的结果、步骤、原始数据等作妥善记录。如甲方要求，乙方应将记录提供给甲方。调试检验出现全部或部分未达到本合同所约定的技术指标，甲方有权选择下列任一处理方式：</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a.重新调试直至合格为止；</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b.要求乙方对货物进行免费更换，然后重新调试直至合格为止。</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甲方因乙方原因所产生的所有费用均由乙方负担。</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6.验收合格的，由双方共同签署《验收报告》。</w:t>
      </w:r>
    </w:p>
    <w:p>
      <w:pPr>
        <w:snapToGrid w:val="0"/>
        <w:spacing w:line="440" w:lineRule="exact"/>
        <w:ind w:firstLine="482"/>
        <w:textAlignment w:val="baseline"/>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7.甲方可以视项目规模或复杂情况聘请本项目所涉及产品的售后服务机构参与验收，聘请专业人员参与验收，大型或复杂项目，以及特种货物应当邀请国家认可的第三方质量检测机构参与验收，也可以视项目情况邀请参加本项目投标的落标人参与验收。</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8.货物验收包括：货物包装是否完好，产地生产厂家名称、品牌、型号、规格、数量、外观质量、配置、内在质量，以及调试运行是否达到“第一条合同文件”规定的效果。乙方应将所提供货物的装箱清单、产品合格证、甲方手册、原厂保修卡、随机资料及备品备件、易损件、专用工具等交付给甲方；乙方不能完整交付货物、附（辅）件和资料的，视为未按合同约定交货，乙方负责补齐，因此导致逾期交付的，由乙方承担相关的违约责任。</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9.货物达不到本合同“第一条合同文件”规定的数量、质量要求和运行效果，甲方有权拒收，并可以解除合同；由此引起甲方损失及赔偿责任由乙方承担。</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10.如果合同双方对《验收报告》有分歧，双方须于出现分歧后</w:t>
      </w:r>
      <w:r>
        <w:rPr>
          <w:rFonts w:hint="eastAsia" w:ascii="仿宋" w:hAnsi="仿宋" w:eastAsia="仿宋" w:cs="仿宋"/>
          <w:color w:val="auto"/>
          <w:spacing w:val="20"/>
          <w:sz w:val="21"/>
          <w:szCs w:val="21"/>
          <w:highlight w:val="none"/>
          <w:u w:val="single"/>
        </w:rPr>
        <w:t xml:space="preserve">    </w:t>
      </w:r>
      <w:r>
        <w:rPr>
          <w:rFonts w:hint="eastAsia" w:ascii="仿宋" w:hAnsi="仿宋" w:eastAsia="仿宋" w:cs="仿宋"/>
          <w:color w:val="auto"/>
          <w:spacing w:val="20"/>
          <w:sz w:val="21"/>
          <w:szCs w:val="21"/>
          <w:highlight w:val="none"/>
        </w:rPr>
        <w:t>天内给对方书面声明，以陈述己方的理由及要求，并附有关证据。分歧应通过协商解决。</w:t>
      </w:r>
    </w:p>
    <w:p>
      <w:pPr>
        <w:spacing w:line="440" w:lineRule="exact"/>
        <w:ind w:left="482"/>
        <w:rPr>
          <w:rFonts w:hint="eastAsia" w:ascii="仿宋" w:hAnsi="仿宋" w:eastAsia="仿宋" w:cs="仿宋"/>
          <w:b/>
          <w:color w:val="auto"/>
          <w:spacing w:val="20"/>
          <w:sz w:val="21"/>
          <w:szCs w:val="21"/>
          <w:highlight w:val="none"/>
        </w:rPr>
      </w:pPr>
      <w:r>
        <w:rPr>
          <w:rFonts w:hint="eastAsia" w:ascii="仿宋" w:hAnsi="仿宋" w:eastAsia="仿宋" w:cs="仿宋"/>
          <w:b/>
          <w:color w:val="auto"/>
          <w:spacing w:val="20"/>
          <w:sz w:val="21"/>
          <w:szCs w:val="21"/>
          <w:highlight w:val="none"/>
        </w:rPr>
        <w:t>第七条  项目管理服务</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乙方应指定不少于一人全权全程负责本项目的商务服务，以及货物安装、调试、咨询、培训和售后等技术服务工作。</w:t>
      </w:r>
    </w:p>
    <w:p>
      <w:pPr>
        <w:snapToGrid w:val="0"/>
        <w:spacing w:line="440" w:lineRule="exact"/>
        <w:ind w:firstLine="481"/>
        <w:textAlignment w:val="baseline"/>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 xml:space="preserve">项目负责人姓名： </w:t>
      </w:r>
      <w:r>
        <w:rPr>
          <w:rFonts w:hint="eastAsia" w:ascii="仿宋" w:hAnsi="仿宋" w:eastAsia="仿宋" w:cs="仿宋"/>
          <w:color w:val="auto"/>
          <w:spacing w:val="20"/>
          <w:sz w:val="21"/>
          <w:szCs w:val="21"/>
          <w:highlight w:val="none"/>
          <w:u w:val="single" w:color="000000"/>
        </w:rPr>
        <w:t xml:space="preserve">              </w:t>
      </w:r>
      <w:r>
        <w:rPr>
          <w:rFonts w:hint="eastAsia" w:ascii="仿宋" w:hAnsi="仿宋" w:eastAsia="仿宋" w:cs="仿宋"/>
          <w:color w:val="auto"/>
          <w:spacing w:val="20"/>
          <w:sz w:val="21"/>
          <w:szCs w:val="21"/>
          <w:highlight w:val="none"/>
        </w:rPr>
        <w:t>； 联系电话：</w:t>
      </w:r>
      <w:r>
        <w:rPr>
          <w:rFonts w:hint="eastAsia" w:ascii="仿宋" w:hAnsi="仿宋" w:eastAsia="仿宋" w:cs="仿宋"/>
          <w:color w:val="auto"/>
          <w:spacing w:val="20"/>
          <w:sz w:val="21"/>
          <w:szCs w:val="21"/>
          <w:highlight w:val="none"/>
          <w:u w:val="single" w:color="000000"/>
        </w:rPr>
        <w:t xml:space="preserve">                      </w:t>
      </w:r>
      <w:r>
        <w:rPr>
          <w:rFonts w:hint="eastAsia" w:ascii="仿宋" w:hAnsi="仿宋" w:eastAsia="仿宋" w:cs="仿宋"/>
          <w:color w:val="auto"/>
          <w:spacing w:val="20"/>
          <w:sz w:val="21"/>
          <w:szCs w:val="21"/>
          <w:highlight w:val="none"/>
        </w:rPr>
        <w:t>。</w:t>
      </w:r>
    </w:p>
    <w:p>
      <w:pPr>
        <w:spacing w:line="440" w:lineRule="exact"/>
        <w:ind w:firstLine="438" w:firstLineChars="200"/>
        <w:rPr>
          <w:rFonts w:hint="eastAsia" w:ascii="仿宋" w:hAnsi="仿宋" w:eastAsia="仿宋" w:cs="仿宋"/>
          <w:b/>
          <w:color w:val="auto"/>
          <w:spacing w:val="20"/>
          <w:sz w:val="21"/>
          <w:szCs w:val="21"/>
          <w:highlight w:val="none"/>
        </w:rPr>
      </w:pPr>
      <w:r>
        <w:rPr>
          <w:rFonts w:hint="eastAsia" w:ascii="仿宋" w:hAnsi="仿宋" w:eastAsia="仿宋" w:cs="仿宋"/>
          <w:b/>
          <w:color w:val="auto"/>
          <w:spacing w:val="20"/>
          <w:sz w:val="21"/>
          <w:szCs w:val="21"/>
          <w:highlight w:val="none"/>
        </w:rPr>
        <w:t>第八条  售后服务</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1.质量保证期为自货物通过最终验收之日起</w:t>
      </w:r>
      <w:r>
        <w:rPr>
          <w:rFonts w:hint="eastAsia" w:ascii="仿宋" w:hAnsi="仿宋" w:eastAsia="仿宋" w:cs="仿宋"/>
          <w:color w:val="auto"/>
          <w:spacing w:val="20"/>
          <w:sz w:val="21"/>
          <w:szCs w:val="21"/>
          <w:highlight w:val="none"/>
          <w:u w:val="single"/>
        </w:rPr>
        <w:t xml:space="preserve">    </w:t>
      </w:r>
      <w:r>
        <w:rPr>
          <w:rFonts w:hint="eastAsia" w:ascii="仿宋" w:hAnsi="仿宋" w:eastAsia="仿宋" w:cs="仿宋"/>
          <w:color w:val="auto"/>
          <w:spacing w:val="20"/>
          <w:sz w:val="21"/>
          <w:szCs w:val="21"/>
          <w:highlight w:val="none"/>
        </w:rPr>
        <w:t>个月。若国家有明确规定的质量保证期高于此质量保证期的，执行国家规定。</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2.在货物质保期内，乙方应对由于设计、工艺、质量（含环保节能要求）、材料和的缺陷而发生的任何不足或故障负责，并解决存在的问题。</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3.对不符合本合同第四条规定要求的货物应立即进行调换，调换本身并不影响甲方就其损失向乙方索赔的权利。</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4.货物安装调试完成后，乙方应继续向甲方提供良好的技术支持。应当由专门队伍从事此项工作，并提供全天候的热线技术支持服务，应当对甲方所反映的任何问题在</w:t>
      </w:r>
      <w:r>
        <w:rPr>
          <w:rFonts w:hint="eastAsia" w:ascii="仿宋" w:hAnsi="仿宋" w:eastAsia="仿宋" w:cs="仿宋"/>
          <w:color w:val="auto"/>
          <w:spacing w:val="20"/>
          <w:sz w:val="21"/>
          <w:szCs w:val="21"/>
          <w:highlight w:val="none"/>
          <w:u w:val="single"/>
        </w:rPr>
        <w:t xml:space="preserve">    </w:t>
      </w:r>
      <w:r>
        <w:rPr>
          <w:rFonts w:hint="eastAsia" w:ascii="仿宋" w:hAnsi="仿宋" w:eastAsia="仿宋" w:cs="仿宋"/>
          <w:color w:val="auto"/>
          <w:spacing w:val="20"/>
          <w:sz w:val="21"/>
          <w:szCs w:val="21"/>
          <w:highlight w:val="none"/>
        </w:rPr>
        <w:t>日（小时）之内做出及时响应，在</w:t>
      </w:r>
      <w:r>
        <w:rPr>
          <w:rFonts w:hint="eastAsia" w:ascii="仿宋" w:hAnsi="仿宋" w:eastAsia="仿宋" w:cs="仿宋"/>
          <w:color w:val="auto"/>
          <w:spacing w:val="20"/>
          <w:sz w:val="21"/>
          <w:szCs w:val="21"/>
          <w:highlight w:val="none"/>
          <w:u w:val="single"/>
        </w:rPr>
        <w:t xml:space="preserve">    </w:t>
      </w:r>
      <w:r>
        <w:rPr>
          <w:rFonts w:hint="eastAsia" w:ascii="仿宋" w:hAnsi="仿宋" w:eastAsia="仿宋" w:cs="仿宋"/>
          <w:color w:val="auto"/>
          <w:spacing w:val="20"/>
          <w:sz w:val="21"/>
          <w:szCs w:val="21"/>
          <w:highlight w:val="none"/>
        </w:rPr>
        <w:t>日（小时）之内赶到现场实地解决问题。质保期内，乙方不能及时响应或者拒绝响应，甲方有权自行组织人员维修，由此产生的后果和费用有乙方承担。</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5.乙方应当建立健全售后服务体系，确保货物正常运行。乙方应当遵守甲方的有关管理制度、操作规程。对于乙方违规操作造成甲方损失的，由乙方按照本合同第十二条的约定承担赔偿责任。</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6.乙方应负责货物及主要部件、配件维修更换。质保期内，乙方对货物（人为故意损坏除外）提供全免费保修或免费更换；质保期后，收取维修成本费（备品备件乙方应以投标文件承诺的优惠价格提供）。</w:t>
      </w:r>
    </w:p>
    <w:p>
      <w:pPr>
        <w:spacing w:line="440" w:lineRule="exact"/>
        <w:ind w:left="482"/>
        <w:rPr>
          <w:rFonts w:hint="eastAsia" w:ascii="仿宋" w:hAnsi="仿宋" w:eastAsia="仿宋" w:cs="仿宋"/>
          <w:b/>
          <w:color w:val="auto"/>
          <w:spacing w:val="20"/>
          <w:sz w:val="21"/>
          <w:szCs w:val="21"/>
          <w:highlight w:val="none"/>
        </w:rPr>
      </w:pPr>
      <w:r>
        <w:rPr>
          <w:rFonts w:hint="eastAsia" w:ascii="仿宋" w:hAnsi="仿宋" w:eastAsia="仿宋" w:cs="仿宋"/>
          <w:b/>
          <w:color w:val="auto"/>
          <w:spacing w:val="20"/>
          <w:sz w:val="21"/>
          <w:szCs w:val="21"/>
          <w:highlight w:val="none"/>
        </w:rPr>
        <w:t>第九条  分包</w:t>
      </w:r>
    </w:p>
    <w:p>
      <w:pPr>
        <w:spacing w:line="440" w:lineRule="exact"/>
        <w:ind w:firstLine="438" w:firstLineChars="200"/>
        <w:rPr>
          <w:rFonts w:hint="eastAsia" w:ascii="仿宋" w:hAnsi="仿宋" w:eastAsia="仿宋" w:cs="仿宋"/>
          <w:strike/>
          <w:color w:val="auto"/>
          <w:spacing w:val="20"/>
          <w:sz w:val="21"/>
          <w:szCs w:val="21"/>
          <w:highlight w:val="none"/>
        </w:rPr>
      </w:pPr>
      <w:r>
        <w:rPr>
          <w:rFonts w:hint="eastAsia" w:ascii="仿宋" w:hAnsi="仿宋" w:eastAsia="仿宋" w:cs="仿宋"/>
          <w:color w:val="auto"/>
          <w:spacing w:val="20"/>
          <w:sz w:val="21"/>
          <w:szCs w:val="21"/>
          <w:highlight w:val="none"/>
        </w:rPr>
        <w:t>除招标采购文件事先说明、且经甲方事先书面同意外，乙方不得分包其应履行的合同义务。</w:t>
      </w:r>
    </w:p>
    <w:p>
      <w:pPr>
        <w:spacing w:line="440" w:lineRule="exact"/>
        <w:ind w:firstLine="438" w:firstLineChars="200"/>
        <w:rPr>
          <w:rFonts w:hint="eastAsia" w:ascii="仿宋" w:hAnsi="仿宋" w:eastAsia="仿宋" w:cs="仿宋"/>
          <w:b/>
          <w:color w:val="auto"/>
          <w:spacing w:val="20"/>
          <w:sz w:val="21"/>
          <w:szCs w:val="21"/>
          <w:highlight w:val="none"/>
        </w:rPr>
      </w:pPr>
      <w:r>
        <w:rPr>
          <w:rFonts w:hint="eastAsia" w:ascii="仿宋" w:hAnsi="仿宋" w:eastAsia="仿宋" w:cs="仿宋"/>
          <w:b/>
          <w:color w:val="auto"/>
          <w:spacing w:val="20"/>
          <w:sz w:val="21"/>
          <w:szCs w:val="21"/>
          <w:highlight w:val="none"/>
        </w:rPr>
        <w:t>第十条  合同的生效</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1.本合同经甲乙双方授权代表签订并加盖公章或合同专用章后生效。</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2.生效后，除《政府采购法》第49条、第50条第二款规定的情形外，甲乙双方不得擅自变更、中止或终止合同。</w:t>
      </w:r>
    </w:p>
    <w:p>
      <w:pPr>
        <w:spacing w:line="440" w:lineRule="exact"/>
        <w:ind w:left="482"/>
        <w:rPr>
          <w:rFonts w:hint="eastAsia" w:ascii="仿宋" w:hAnsi="仿宋" w:eastAsia="仿宋" w:cs="仿宋"/>
          <w:b/>
          <w:color w:val="auto"/>
          <w:spacing w:val="20"/>
          <w:sz w:val="21"/>
          <w:szCs w:val="21"/>
          <w:highlight w:val="none"/>
        </w:rPr>
      </w:pPr>
      <w:r>
        <w:rPr>
          <w:rFonts w:hint="eastAsia" w:ascii="仿宋" w:hAnsi="仿宋" w:eastAsia="仿宋" w:cs="仿宋"/>
          <w:b/>
          <w:color w:val="auto"/>
          <w:spacing w:val="20"/>
          <w:sz w:val="21"/>
          <w:szCs w:val="21"/>
          <w:highlight w:val="none"/>
        </w:rPr>
        <w:t>第十一条  违约责任</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1.乙方 所交付的货物不符合本合同规定的 ， 甲方有权拒收，乙方在得到甲方通知之日起</w:t>
      </w:r>
      <w:r>
        <w:rPr>
          <w:rFonts w:hint="eastAsia" w:ascii="仿宋" w:hAnsi="仿宋" w:eastAsia="仿宋" w:cs="仿宋"/>
          <w:color w:val="auto"/>
          <w:spacing w:val="20"/>
          <w:sz w:val="21"/>
          <w:szCs w:val="21"/>
          <w:highlight w:val="none"/>
          <w:u w:val="single"/>
        </w:rPr>
        <w:t xml:space="preserve">     </w:t>
      </w:r>
      <w:r>
        <w:rPr>
          <w:rFonts w:hint="eastAsia" w:ascii="仿宋" w:hAnsi="仿宋" w:eastAsia="仿宋" w:cs="仿宋"/>
          <w:color w:val="auto"/>
          <w:spacing w:val="20"/>
          <w:sz w:val="21"/>
          <w:szCs w:val="21"/>
          <w:highlight w:val="none"/>
        </w:rPr>
        <w:t>个工作日内采取补救措施，逾期仍未采取有效措施的，甲方有权要求乙方赔偿因此造成的损失；同时乙方应向甲方支付合同总价</w:t>
      </w:r>
      <w:r>
        <w:rPr>
          <w:rFonts w:hint="eastAsia" w:ascii="仿宋" w:hAnsi="仿宋" w:eastAsia="仿宋" w:cs="仿宋"/>
          <w:color w:val="auto"/>
          <w:spacing w:val="20"/>
          <w:sz w:val="21"/>
          <w:szCs w:val="21"/>
          <w:highlight w:val="none"/>
          <w:u w:val="single"/>
        </w:rPr>
        <w:t xml:space="preserve">      </w:t>
      </w:r>
      <w:r>
        <w:rPr>
          <w:rFonts w:hint="eastAsia" w:ascii="仿宋" w:hAnsi="仿宋" w:eastAsia="仿宋" w:cs="仿宋"/>
          <w:color w:val="auto"/>
          <w:spacing w:val="20"/>
          <w:sz w:val="21"/>
          <w:szCs w:val="21"/>
          <w:highlight w:val="none"/>
        </w:rPr>
        <w:t>％的违约金。</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2.甲方无正当理由拒收货物、拒付货款的，甲方应向乙方偿付拒付货款</w:t>
      </w:r>
      <w:r>
        <w:rPr>
          <w:rFonts w:hint="eastAsia" w:ascii="仿宋" w:hAnsi="仿宋" w:eastAsia="仿宋" w:cs="仿宋"/>
          <w:color w:val="auto"/>
          <w:spacing w:val="20"/>
          <w:sz w:val="21"/>
          <w:szCs w:val="21"/>
          <w:highlight w:val="none"/>
          <w:u w:val="single"/>
        </w:rPr>
        <w:t xml:space="preserve">    </w:t>
      </w:r>
      <w:r>
        <w:rPr>
          <w:rFonts w:hint="eastAsia" w:ascii="仿宋" w:hAnsi="仿宋" w:eastAsia="仿宋" w:cs="仿宋"/>
          <w:color w:val="auto"/>
          <w:spacing w:val="20"/>
          <w:sz w:val="21"/>
          <w:szCs w:val="21"/>
          <w:highlight w:val="none"/>
        </w:rPr>
        <w:t>％的违约金。</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3.乙方无正当理由逾期交付货物的，每逾期1天，乙方向甲方偿付逾期交货部分货款总额的</w:t>
      </w:r>
      <w:r>
        <w:rPr>
          <w:rFonts w:hint="eastAsia" w:ascii="仿宋" w:hAnsi="仿宋" w:eastAsia="仿宋" w:cs="仿宋"/>
          <w:color w:val="auto"/>
          <w:spacing w:val="20"/>
          <w:sz w:val="21"/>
          <w:szCs w:val="21"/>
          <w:highlight w:val="none"/>
          <w:u w:val="single"/>
        </w:rPr>
        <w:t xml:space="preserve">    </w:t>
      </w:r>
      <w:r>
        <w:rPr>
          <w:rFonts w:hint="eastAsia" w:ascii="仿宋" w:hAnsi="仿宋" w:eastAsia="仿宋" w:cs="仿宋"/>
          <w:color w:val="auto"/>
          <w:spacing w:val="20"/>
          <w:sz w:val="21"/>
          <w:szCs w:val="21"/>
          <w:highlight w:val="none"/>
        </w:rPr>
        <w:t>‰的违约金。如乙方逾期交货达</w:t>
      </w:r>
      <w:r>
        <w:rPr>
          <w:rFonts w:hint="eastAsia" w:ascii="仿宋" w:hAnsi="仿宋" w:eastAsia="仿宋" w:cs="仿宋"/>
          <w:color w:val="auto"/>
          <w:spacing w:val="20"/>
          <w:sz w:val="21"/>
          <w:szCs w:val="21"/>
          <w:highlight w:val="none"/>
          <w:u w:val="single"/>
        </w:rPr>
        <w:t xml:space="preserve">    </w:t>
      </w:r>
      <w:r>
        <w:rPr>
          <w:rFonts w:hint="eastAsia" w:ascii="仿宋" w:hAnsi="仿宋" w:eastAsia="仿宋" w:cs="仿宋"/>
          <w:color w:val="auto"/>
          <w:spacing w:val="20"/>
          <w:sz w:val="21"/>
          <w:szCs w:val="21"/>
          <w:highlight w:val="none"/>
        </w:rPr>
        <w:t>天，甲方有权解除合同，甲方解除合同的通知自到达乙方时生效。在此情况下，乙方给甲方造成的实际损失高于违约金的，对高出违约金的部分乙方应予以赔偿。</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4.在乙方承诺的或国家规定的质量保证期内（取两者中最长的期限），如经乙方两次维修，货物仍不能达到合同约定的质量标准、运行效果的，甲方有权要求乙方更换为全新合格货物并按本条第1款处理，同时，乙方还须赔偿甲方因此遭受的损失。</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6.其它未尽事宜，以《中华人民共和国民法典》和《政府采购法》等有关法律法规规定为准，无相关规定的，双方协商解决。</w:t>
      </w:r>
    </w:p>
    <w:p>
      <w:pPr>
        <w:spacing w:line="440" w:lineRule="exact"/>
        <w:ind w:left="482"/>
        <w:rPr>
          <w:rFonts w:hint="eastAsia" w:ascii="仿宋" w:hAnsi="仿宋" w:eastAsia="仿宋" w:cs="仿宋"/>
          <w:b/>
          <w:color w:val="auto"/>
          <w:spacing w:val="20"/>
          <w:sz w:val="21"/>
          <w:szCs w:val="21"/>
          <w:highlight w:val="none"/>
        </w:rPr>
      </w:pPr>
      <w:r>
        <w:rPr>
          <w:rFonts w:hint="eastAsia" w:ascii="仿宋" w:hAnsi="仿宋" w:eastAsia="仿宋" w:cs="仿宋"/>
          <w:b/>
          <w:color w:val="auto"/>
          <w:spacing w:val="20"/>
          <w:sz w:val="21"/>
          <w:szCs w:val="21"/>
          <w:highlight w:val="none"/>
        </w:rPr>
        <w:t>第十二条  不可抗力</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甲、 乙方中任何一方，因不可抗力不能按时或完全履行合同的， 应及时通知对方 ，并在</w:t>
      </w:r>
      <w:r>
        <w:rPr>
          <w:rFonts w:hint="eastAsia" w:ascii="仿宋" w:hAnsi="仿宋" w:eastAsia="仿宋" w:cs="仿宋"/>
          <w:color w:val="auto"/>
          <w:spacing w:val="20"/>
          <w:sz w:val="21"/>
          <w:szCs w:val="21"/>
          <w:highlight w:val="none"/>
          <w:u w:val="single"/>
        </w:rPr>
        <w:t xml:space="preserve">    </w:t>
      </w:r>
      <w:r>
        <w:rPr>
          <w:rFonts w:hint="eastAsia" w:ascii="仿宋" w:hAnsi="仿宋" w:eastAsia="仿宋" w:cs="仿宋"/>
          <w:color w:val="auto"/>
          <w:spacing w:val="20"/>
          <w:sz w:val="21"/>
          <w:szCs w:val="21"/>
          <w:highlight w:val="none"/>
        </w:rPr>
        <w:t>个工作日内提供相应证明。未履行完合同部分是否继续履行、如何履行等问题，可由双方初步协商，并向主管部门和政府采购管理部门报告。确定为不可抗力原因造成的损失，免予承担责任。</w:t>
      </w:r>
    </w:p>
    <w:p>
      <w:pPr>
        <w:spacing w:line="440" w:lineRule="exact"/>
        <w:ind w:left="482"/>
        <w:rPr>
          <w:rFonts w:hint="eastAsia" w:ascii="仿宋" w:hAnsi="仿宋" w:eastAsia="仿宋" w:cs="仿宋"/>
          <w:b/>
          <w:color w:val="auto"/>
          <w:spacing w:val="20"/>
          <w:sz w:val="21"/>
          <w:szCs w:val="21"/>
          <w:highlight w:val="none"/>
        </w:rPr>
      </w:pPr>
      <w:r>
        <w:rPr>
          <w:rFonts w:hint="eastAsia" w:ascii="仿宋" w:hAnsi="仿宋" w:eastAsia="仿宋" w:cs="仿宋"/>
          <w:b/>
          <w:color w:val="auto"/>
          <w:spacing w:val="20"/>
          <w:sz w:val="21"/>
          <w:szCs w:val="21"/>
          <w:highlight w:val="none"/>
        </w:rPr>
        <w:t>第十三条  争议的解决方式</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1.因货物的质量问题发生争议的，应当邀请国家认可的质量检测机构对货物质量进行鉴定。货物符合标准的，鉴定费由甲方承担；货物不符合质量标准的，鉴定费由乙方承担。</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2.在解释或者执行本合同的过程中发生争议时，双方应通过协商方式解决。</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3.经协商不能解决的争议，双方可选择以下第</w:t>
      </w:r>
      <w:r>
        <w:rPr>
          <w:rFonts w:hint="eastAsia" w:ascii="仿宋" w:hAnsi="仿宋" w:eastAsia="仿宋" w:cs="仿宋"/>
          <w:color w:val="auto"/>
          <w:spacing w:val="20"/>
          <w:sz w:val="21"/>
          <w:szCs w:val="21"/>
          <w:highlight w:val="none"/>
          <w:u w:val="single"/>
        </w:rPr>
        <w:t xml:space="preserve">   </w:t>
      </w:r>
      <w:r>
        <w:rPr>
          <w:rFonts w:hint="eastAsia" w:ascii="仿宋" w:hAnsi="仿宋" w:eastAsia="仿宋" w:cs="仿宋"/>
          <w:color w:val="auto"/>
          <w:spacing w:val="20"/>
          <w:sz w:val="21"/>
          <w:szCs w:val="21"/>
          <w:highlight w:val="none"/>
        </w:rPr>
        <w:t>种方式解决：</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①向甲方有管辖权的法院提起诉讼；</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②向甲方仲裁委员会提出仲裁。</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4.在法院审理和仲裁期间，除有争议部分外，本合同其他部分可以履行的仍应按合同条款继续履行。</w:t>
      </w:r>
    </w:p>
    <w:p>
      <w:pPr>
        <w:spacing w:line="440" w:lineRule="exact"/>
        <w:ind w:left="482"/>
        <w:rPr>
          <w:rFonts w:hint="eastAsia" w:ascii="仿宋" w:hAnsi="仿宋" w:eastAsia="仿宋" w:cs="仿宋"/>
          <w:b/>
          <w:color w:val="auto"/>
          <w:spacing w:val="20"/>
          <w:sz w:val="21"/>
          <w:szCs w:val="21"/>
          <w:highlight w:val="none"/>
        </w:rPr>
      </w:pPr>
      <w:r>
        <w:rPr>
          <w:rFonts w:hint="eastAsia" w:ascii="仿宋" w:hAnsi="仿宋" w:eastAsia="仿宋" w:cs="仿宋"/>
          <w:b/>
          <w:color w:val="auto"/>
          <w:spacing w:val="20"/>
          <w:sz w:val="21"/>
          <w:szCs w:val="21"/>
          <w:highlight w:val="none"/>
        </w:rPr>
        <w:t>第十四条  其他</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符合《政府采购法》第49条规定的，经双方协商，办理政府采购手续后，可签订补充合同，所签订的补充合同与本合同具有同等法律效力。</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本合同一式</w:t>
      </w:r>
      <w:r>
        <w:rPr>
          <w:rFonts w:hint="eastAsia" w:ascii="仿宋" w:hAnsi="仿宋" w:eastAsia="仿宋" w:cs="仿宋"/>
          <w:color w:val="auto"/>
          <w:spacing w:val="20"/>
          <w:sz w:val="21"/>
          <w:szCs w:val="21"/>
          <w:highlight w:val="none"/>
          <w:u w:val="single"/>
        </w:rPr>
        <w:t xml:space="preserve">    </w:t>
      </w:r>
      <w:r>
        <w:rPr>
          <w:rFonts w:hint="eastAsia" w:ascii="仿宋" w:hAnsi="仿宋" w:eastAsia="仿宋" w:cs="仿宋"/>
          <w:color w:val="auto"/>
          <w:spacing w:val="20"/>
          <w:sz w:val="21"/>
          <w:szCs w:val="21"/>
          <w:highlight w:val="none"/>
        </w:rPr>
        <w:t>份，甲、乙双方各执</w:t>
      </w:r>
      <w:r>
        <w:rPr>
          <w:rFonts w:hint="eastAsia" w:ascii="仿宋" w:hAnsi="仿宋" w:eastAsia="仿宋" w:cs="仿宋"/>
          <w:color w:val="auto"/>
          <w:spacing w:val="20"/>
          <w:sz w:val="21"/>
          <w:szCs w:val="21"/>
          <w:highlight w:val="none"/>
          <w:u w:val="single"/>
        </w:rPr>
        <w:t xml:space="preserve">    </w:t>
      </w:r>
      <w:r>
        <w:rPr>
          <w:rFonts w:hint="eastAsia" w:ascii="仿宋" w:hAnsi="仿宋" w:eastAsia="仿宋" w:cs="仿宋"/>
          <w:color w:val="auto"/>
          <w:spacing w:val="20"/>
          <w:sz w:val="21"/>
          <w:szCs w:val="21"/>
          <w:highlight w:val="none"/>
        </w:rPr>
        <w:t>份。</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甲   方：                        乙   方：</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名称：（盖章）                    名称：（盖章）</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地址：                           地址：</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法定代表人（签字）：              法定代表人（签字）：</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授权代表（签字）：                授权代表（签字）：</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开户银行：                       开户银行：</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银行帐号：                       银行帐号：</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合同法律审核（盖章）：</w:t>
      </w:r>
    </w:p>
    <w:p>
      <w:pPr>
        <w:spacing w:line="440" w:lineRule="exact"/>
        <w:ind w:firstLine="438" w:firstLineChars="200"/>
        <w:rPr>
          <w:rFonts w:hint="eastAsia" w:ascii="仿宋" w:hAnsi="仿宋" w:eastAsia="仿宋" w:cs="仿宋"/>
          <w:color w:val="auto"/>
          <w:spacing w:val="20"/>
          <w:sz w:val="21"/>
          <w:szCs w:val="21"/>
          <w:highlight w:val="none"/>
        </w:rPr>
      </w:pPr>
      <w:r>
        <w:rPr>
          <w:rFonts w:hint="eastAsia" w:ascii="仿宋" w:hAnsi="仿宋" w:eastAsia="仿宋" w:cs="仿宋"/>
          <w:color w:val="auto"/>
          <w:spacing w:val="20"/>
          <w:sz w:val="21"/>
          <w:szCs w:val="21"/>
          <w:highlight w:val="none"/>
        </w:rPr>
        <w:t>时  间：         年     月     日</w:t>
      </w:r>
    </w:p>
    <w:p>
      <w:pPr>
        <w:spacing w:line="440" w:lineRule="exact"/>
        <w:ind w:firstLine="438" w:firstLineChars="200"/>
        <w:rPr>
          <w:rFonts w:hint="eastAsia" w:ascii="仿宋" w:hAnsi="仿宋" w:eastAsia="仿宋" w:cs="仿宋"/>
          <w:b/>
          <w:color w:val="auto"/>
          <w:spacing w:val="20"/>
          <w:sz w:val="21"/>
          <w:szCs w:val="21"/>
          <w:highlight w:val="none"/>
        </w:rPr>
      </w:pPr>
      <w:bookmarkStart w:id="130" w:name="_Toc310580633"/>
      <w:r>
        <w:rPr>
          <w:rFonts w:hint="eastAsia" w:ascii="仿宋" w:hAnsi="仿宋" w:eastAsia="仿宋" w:cs="仿宋"/>
          <w:b/>
          <w:color w:val="auto"/>
          <w:spacing w:val="20"/>
          <w:sz w:val="21"/>
          <w:szCs w:val="21"/>
          <w:highlight w:val="none"/>
        </w:rPr>
        <w:t>特别说明：</w:t>
      </w:r>
    </w:p>
    <w:p>
      <w:pPr>
        <w:spacing w:line="440" w:lineRule="exact"/>
        <w:ind w:firstLine="438" w:firstLineChars="200"/>
        <w:rPr>
          <w:rFonts w:hint="eastAsia" w:ascii="仿宋" w:hAnsi="仿宋" w:eastAsia="仿宋" w:cs="仿宋"/>
          <w:b/>
          <w:color w:val="auto"/>
          <w:spacing w:val="20"/>
          <w:sz w:val="21"/>
          <w:szCs w:val="21"/>
          <w:highlight w:val="none"/>
        </w:rPr>
      </w:pPr>
      <w:r>
        <w:rPr>
          <w:rFonts w:hint="eastAsia" w:ascii="仿宋" w:hAnsi="仿宋" w:eastAsia="仿宋" w:cs="仿宋"/>
          <w:b/>
          <w:color w:val="auto"/>
          <w:spacing w:val="20"/>
          <w:sz w:val="21"/>
          <w:szCs w:val="21"/>
          <w:highlight w:val="none"/>
        </w:rPr>
        <w:t>1.本范本根据《政府采购法》、《中华人民共和国民法典》等法律法规制定。具体项目的采购合同条款，在本范本框架内由甲乙双方协商一致签订。空格处划横线。</w:t>
      </w:r>
    </w:p>
    <w:p>
      <w:pPr>
        <w:spacing w:line="440" w:lineRule="exact"/>
        <w:ind w:firstLine="438" w:firstLineChars="200"/>
        <w:rPr>
          <w:rFonts w:hint="eastAsia" w:ascii="仿宋" w:hAnsi="仿宋" w:eastAsia="仿宋" w:cs="仿宋"/>
          <w:b/>
          <w:color w:val="auto"/>
          <w:spacing w:val="20"/>
          <w:sz w:val="21"/>
          <w:szCs w:val="21"/>
          <w:highlight w:val="none"/>
        </w:rPr>
      </w:pPr>
      <w:r>
        <w:rPr>
          <w:rFonts w:hint="eastAsia" w:ascii="仿宋" w:hAnsi="仿宋" w:eastAsia="仿宋" w:cs="仿宋"/>
          <w:b/>
          <w:color w:val="auto"/>
          <w:spacing w:val="20"/>
          <w:sz w:val="21"/>
          <w:szCs w:val="21"/>
          <w:highlight w:val="none"/>
        </w:rPr>
        <w:t>2.收款单位名称应与本合同乙方单位名称、项目中标单位名称、开具发票单位名称相一致。</w:t>
      </w:r>
    </w:p>
    <w:p>
      <w:pPr>
        <w:spacing w:line="440" w:lineRule="exact"/>
        <w:ind w:firstLine="438" w:firstLineChars="200"/>
        <w:rPr>
          <w:rFonts w:hint="eastAsia" w:ascii="仿宋" w:hAnsi="仿宋" w:eastAsia="仿宋" w:cs="仿宋"/>
          <w:b/>
          <w:color w:val="auto"/>
          <w:spacing w:val="20"/>
          <w:sz w:val="21"/>
          <w:szCs w:val="21"/>
          <w:highlight w:val="none"/>
        </w:rPr>
      </w:pPr>
      <w:r>
        <w:rPr>
          <w:rFonts w:hint="eastAsia" w:ascii="仿宋" w:hAnsi="仿宋" w:eastAsia="仿宋" w:cs="仿宋"/>
          <w:b/>
          <w:color w:val="auto"/>
          <w:spacing w:val="20"/>
          <w:sz w:val="21"/>
          <w:szCs w:val="21"/>
          <w:highlight w:val="none"/>
        </w:rPr>
        <w:t>3.甲方（采购单位）应盖本单位公章（不允许盖内设科室章），乙方应盖单位公章或合同专用章，合同双方应盖骑缝章。</w:t>
      </w:r>
    </w:p>
    <w:p>
      <w:pPr>
        <w:spacing w:line="440" w:lineRule="exact"/>
        <w:ind w:firstLine="438" w:firstLineChars="200"/>
        <w:rPr>
          <w:rFonts w:hint="eastAsia" w:ascii="仿宋" w:hAnsi="仿宋" w:eastAsia="仿宋" w:cs="仿宋"/>
          <w:b/>
          <w:color w:val="auto"/>
          <w:spacing w:val="20"/>
          <w:sz w:val="21"/>
          <w:szCs w:val="21"/>
          <w:highlight w:val="none"/>
        </w:rPr>
      </w:pPr>
      <w:r>
        <w:rPr>
          <w:rFonts w:hint="eastAsia" w:ascii="仿宋" w:hAnsi="仿宋" w:eastAsia="仿宋" w:cs="仿宋"/>
          <w:b/>
          <w:color w:val="auto"/>
          <w:spacing w:val="20"/>
          <w:sz w:val="21"/>
          <w:szCs w:val="21"/>
          <w:highlight w:val="none"/>
        </w:rPr>
        <w:t>4. 除涉密项目外，根据《政府采购法实施条例》第50条规定：采购人应当自政府采购合同签订之日起2个工作日内，将政府采购合同在省级以上人民政府财政部门指定的媒体上公告。</w:t>
      </w:r>
    </w:p>
    <w:bookmarkEnd w:id="130"/>
    <w:p>
      <w:pPr>
        <w:pStyle w:val="33"/>
        <w:rPr>
          <w:rFonts w:hint="eastAsia" w:ascii="仿宋" w:hAnsi="仿宋" w:eastAsia="仿宋" w:cs="仿宋"/>
          <w:color w:val="auto"/>
          <w:spacing w:val="14"/>
          <w:szCs w:val="21"/>
          <w:highlight w:val="none"/>
        </w:rPr>
      </w:pPr>
    </w:p>
    <w:p>
      <w:pPr>
        <w:spacing w:line="440" w:lineRule="exact"/>
        <w:rPr>
          <w:rFonts w:hint="eastAsia" w:ascii="仿宋" w:hAnsi="仿宋" w:eastAsia="仿宋" w:cs="仿宋"/>
          <w:color w:val="auto"/>
          <w:highlight w:val="none"/>
          <w:lang w:eastAsia="zh-CN"/>
        </w:rPr>
      </w:pPr>
      <w:bookmarkStart w:id="131" w:name="_Toc504741948"/>
      <w:r>
        <w:rPr>
          <w:rFonts w:hint="eastAsia" w:ascii="仿宋" w:hAnsi="仿宋" w:eastAsia="仿宋" w:cs="仿宋"/>
          <w:color w:val="auto"/>
          <w:highlight w:val="none"/>
          <w:lang w:eastAsia="zh-CN"/>
        </w:rPr>
        <w:br w:type="page"/>
      </w:r>
      <w:bookmarkStart w:id="132" w:name="_Toc26290"/>
    </w:p>
    <w:p>
      <w:pPr>
        <w:pStyle w:val="5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第五章   资格审查与评标办法</w:t>
      </w:r>
      <w:bookmarkEnd w:id="131"/>
      <w:bookmarkEnd w:id="132"/>
    </w:p>
    <w:p>
      <w:pPr>
        <w:pStyle w:val="4"/>
        <w:rPr>
          <w:rFonts w:hint="eastAsia" w:ascii="仿宋" w:hAnsi="仿宋" w:eastAsia="仿宋" w:cs="仿宋"/>
          <w:color w:val="auto"/>
          <w:highlight w:val="none"/>
        </w:rPr>
      </w:pPr>
      <w:bookmarkStart w:id="133" w:name="_Toc1660842"/>
      <w:bookmarkStart w:id="134" w:name="_Toc20803"/>
      <w:r>
        <w:rPr>
          <w:rFonts w:hint="eastAsia" w:ascii="仿宋" w:hAnsi="仿宋" w:eastAsia="仿宋" w:cs="仿宋"/>
          <w:color w:val="auto"/>
          <w:highlight w:val="none"/>
        </w:rPr>
        <w:t>1、资格审查与评标方法</w:t>
      </w:r>
      <w:bookmarkEnd w:id="133"/>
      <w:bookmarkEnd w:id="134"/>
    </w:p>
    <w:p>
      <w:pPr>
        <w:pStyle w:val="4"/>
        <w:ind w:firstLine="414" w:firstLineChars="200"/>
        <w:rPr>
          <w:rFonts w:hint="eastAsia" w:ascii="仿宋" w:hAnsi="仿宋" w:eastAsia="仿宋" w:cs="仿宋"/>
          <w:b w:val="0"/>
          <w:bCs w:val="0"/>
          <w:color w:val="auto"/>
          <w:spacing w:val="14"/>
          <w:sz w:val="21"/>
          <w:szCs w:val="21"/>
          <w:highlight w:val="none"/>
          <w:lang w:val="en-US" w:eastAsia="zh-CN" w:bidi="ar-SA"/>
        </w:rPr>
      </w:pPr>
      <w:bookmarkStart w:id="135" w:name="_Toc14754"/>
      <w:bookmarkStart w:id="136" w:name="_Toc1660843"/>
      <w:r>
        <w:rPr>
          <w:rFonts w:hint="eastAsia" w:ascii="仿宋" w:hAnsi="仿宋" w:eastAsia="仿宋" w:cs="仿宋"/>
          <w:b w:val="0"/>
          <w:bCs w:val="0"/>
          <w:color w:val="auto"/>
          <w:spacing w:val="14"/>
          <w:sz w:val="21"/>
          <w:szCs w:val="21"/>
          <w:highlight w:val="none"/>
          <w:lang w:val="en-US" w:eastAsia="zh-CN" w:bidi="ar-SA"/>
        </w:rPr>
        <w:t>本次资格审查和符合性审查采用合格制，评标方法采用综合评分法。评标委员会对满足招标文件实质性要求的投标文件进行打分，根据评标排列顺序推荐每标段第一名、第二名、第三名为中标候选人，并确定第一名为中标人。评标结果按评审后得分由高到低的顺序排列。得分相同的，按投标报价由低到高顺序排列。得分且投标报价相同的并列，由评标委员会投票确定中标人。</w:t>
      </w:r>
    </w:p>
    <w:p>
      <w:pPr>
        <w:pStyle w:val="4"/>
        <w:rPr>
          <w:rFonts w:hint="eastAsia" w:ascii="仿宋" w:hAnsi="仿宋" w:eastAsia="仿宋" w:cs="仿宋"/>
          <w:color w:val="auto"/>
          <w:highlight w:val="none"/>
        </w:rPr>
      </w:pPr>
      <w:r>
        <w:rPr>
          <w:rFonts w:hint="eastAsia" w:ascii="仿宋" w:hAnsi="仿宋" w:eastAsia="仿宋" w:cs="仿宋"/>
          <w:color w:val="auto"/>
          <w:highlight w:val="none"/>
        </w:rPr>
        <w:t>2、资格审查与评审标准</w:t>
      </w:r>
      <w:bookmarkEnd w:id="135"/>
      <w:bookmarkEnd w:id="136"/>
    </w:p>
    <w:p>
      <w:pPr>
        <w:pStyle w:val="5"/>
        <w:rPr>
          <w:rFonts w:hint="eastAsia" w:ascii="仿宋" w:hAnsi="仿宋" w:eastAsia="仿宋" w:cs="仿宋"/>
          <w:color w:val="auto"/>
          <w:highlight w:val="none"/>
        </w:rPr>
      </w:pPr>
      <w:bookmarkStart w:id="137" w:name="_Toc14529"/>
      <w:bookmarkStart w:id="138" w:name="_Toc1660844"/>
      <w:r>
        <w:rPr>
          <w:rFonts w:hint="eastAsia" w:ascii="仿宋" w:hAnsi="仿宋" w:eastAsia="仿宋" w:cs="仿宋"/>
          <w:color w:val="auto"/>
          <w:highlight w:val="none"/>
        </w:rPr>
        <w:t>2.1 资格审查与符合性审查标准</w:t>
      </w:r>
      <w:bookmarkEnd w:id="137"/>
      <w:bookmarkEnd w:id="138"/>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2.1.1 资格审查标准：见第六章。</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2.1.2 符合性审查标准：见第六章。</w:t>
      </w:r>
    </w:p>
    <w:p>
      <w:pPr>
        <w:pStyle w:val="5"/>
        <w:rPr>
          <w:rFonts w:hint="eastAsia" w:ascii="仿宋" w:hAnsi="仿宋" w:eastAsia="仿宋" w:cs="仿宋"/>
          <w:color w:val="auto"/>
          <w:highlight w:val="none"/>
        </w:rPr>
      </w:pPr>
      <w:bookmarkStart w:id="139" w:name="_Toc1660845"/>
      <w:bookmarkStart w:id="140" w:name="_Toc16737"/>
      <w:r>
        <w:rPr>
          <w:rFonts w:hint="eastAsia" w:ascii="仿宋" w:hAnsi="仿宋" w:eastAsia="仿宋" w:cs="仿宋"/>
          <w:color w:val="auto"/>
          <w:highlight w:val="none"/>
        </w:rPr>
        <w:t>2.2 分值构成与评分标准</w:t>
      </w:r>
      <w:bookmarkEnd w:id="139"/>
      <w:bookmarkEnd w:id="140"/>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2.2.1 分值构成见评分标准。</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2.2.2 评分标准：具体评分标准见第六章。</w:t>
      </w:r>
    </w:p>
    <w:p>
      <w:pPr>
        <w:pStyle w:val="4"/>
        <w:rPr>
          <w:rFonts w:hint="eastAsia" w:ascii="仿宋" w:hAnsi="仿宋" w:eastAsia="仿宋" w:cs="仿宋"/>
          <w:color w:val="auto"/>
          <w:highlight w:val="none"/>
        </w:rPr>
      </w:pPr>
      <w:bookmarkStart w:id="141" w:name="_Toc1660846"/>
      <w:bookmarkStart w:id="142" w:name="_Toc18810"/>
      <w:r>
        <w:rPr>
          <w:rFonts w:hint="eastAsia" w:ascii="仿宋" w:hAnsi="仿宋" w:eastAsia="仿宋" w:cs="仿宋"/>
          <w:color w:val="auto"/>
          <w:highlight w:val="none"/>
        </w:rPr>
        <w:t>3、资格审查与评标程序</w:t>
      </w:r>
      <w:bookmarkEnd w:id="141"/>
      <w:bookmarkEnd w:id="142"/>
    </w:p>
    <w:p>
      <w:pPr>
        <w:pStyle w:val="5"/>
        <w:rPr>
          <w:rFonts w:hint="eastAsia" w:ascii="仿宋" w:hAnsi="仿宋" w:eastAsia="仿宋" w:cs="仿宋"/>
          <w:color w:val="auto"/>
          <w:highlight w:val="none"/>
        </w:rPr>
      </w:pPr>
      <w:bookmarkStart w:id="143" w:name="_Toc28526"/>
      <w:bookmarkStart w:id="144" w:name="_Toc1660847"/>
      <w:r>
        <w:rPr>
          <w:rFonts w:hint="eastAsia" w:ascii="仿宋" w:hAnsi="仿宋" w:eastAsia="仿宋" w:cs="仿宋"/>
          <w:color w:val="auto"/>
          <w:highlight w:val="none"/>
        </w:rPr>
        <w:t>3.1 资格审查与符合性审查</w:t>
      </w:r>
      <w:bookmarkEnd w:id="143"/>
      <w:bookmarkEnd w:id="144"/>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3.1.1资格审查小组依据本章第 2.1.1款规定的标准对投标文件进行资格审查。有一项不符合审查标准的，应当否决其投标。评标委员会依据本章第 2.1.2款规定的标准对投标文件进行符合性审查。有一项不符合审查标准的，应当否决其投标。</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3.1.2 投标人有以下情形之一的，评标委员会应当否决其投标：</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（1）投标文件没有对招标文件的实质性要求和条件作出响应，或者对招标文件的偏差超出招标文件规定的偏差范围或最高项数；</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（2）有串通投标、弄虚作假、行贿等违法行为。</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3.1.3有下列情形之一的，视为投标人串通投标，其投标无效：</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（1）不同投标人的投标文件由同一单位或者个人编制；</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（2）不同投标人委托同一单位或者个人办理投标事宜；</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（3）不同投标人的投标文件载明的项目管理成员或者联系人员为同一人；</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（4）不同投标人的投标文件异常一致或者投标报价呈规律性差异；</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（5）不同投标人的投标文件相互混装；</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（6）不同投标人的投标保证金从同一单位或者个人的账户转出。</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3.1.4投标文件报价出现前后不一致的，评标委员会按以下原则要求投标人对投标报价进行修正，并要求投标人书面澄清确认。投标人拒不澄清确认的，评标委员会应当否决其投标：</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（1）投标文件中开标一览表内容与投标文件中相应内容不一致的，以开标一览表为准；</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（2）大写金额和小写金额不一致的，以大写金额为准；</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（3）单价金额小数点或者百分比有明显错位的，以开标一览表的总价为准，并修改单价；</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（4）总价金额与按单价汇总金额不一致的，以单价金额计算结果为准。</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同时出现两种以上不一致的，按照前款规定的顺序修正。</w:t>
      </w:r>
    </w:p>
    <w:p>
      <w:pPr>
        <w:pStyle w:val="5"/>
        <w:rPr>
          <w:rFonts w:hint="eastAsia" w:ascii="仿宋" w:hAnsi="仿宋" w:eastAsia="仿宋" w:cs="仿宋"/>
          <w:color w:val="auto"/>
          <w:highlight w:val="none"/>
        </w:rPr>
      </w:pPr>
      <w:bookmarkStart w:id="145" w:name="_Toc5705"/>
      <w:bookmarkStart w:id="146" w:name="_Toc1660848"/>
      <w:r>
        <w:rPr>
          <w:rFonts w:hint="eastAsia" w:ascii="仿宋" w:hAnsi="仿宋" w:eastAsia="仿宋" w:cs="仿宋"/>
          <w:color w:val="auto"/>
          <w:highlight w:val="none"/>
        </w:rPr>
        <w:t>3.2 详细评审</w:t>
      </w:r>
      <w:bookmarkEnd w:id="145"/>
      <w:bookmarkEnd w:id="146"/>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3.2.1 评标委员会按本章第 2.2 款规定的量化因素和分值进行打分，取所有评委打分分数的算术平均值作为该投标人的各项得分。</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3.2.2 评分分值计算保留小数点后两位，小数点后第三位“四舍五入”。</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3.2.3评标委员会汇总投标人的各项得分，相加后为投标人最终得分。</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3.2.4若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5"/>
        <w:rPr>
          <w:rFonts w:hint="eastAsia" w:ascii="仿宋" w:hAnsi="仿宋" w:eastAsia="仿宋" w:cs="仿宋"/>
          <w:color w:val="auto"/>
          <w:highlight w:val="none"/>
        </w:rPr>
      </w:pPr>
      <w:bookmarkStart w:id="147" w:name="_Toc7494"/>
      <w:bookmarkStart w:id="148" w:name="_Toc1660849"/>
      <w:r>
        <w:rPr>
          <w:rFonts w:hint="eastAsia" w:ascii="仿宋" w:hAnsi="仿宋" w:eastAsia="仿宋" w:cs="仿宋"/>
          <w:color w:val="auto"/>
          <w:highlight w:val="none"/>
        </w:rPr>
        <w:t>3.3 投标文件的澄清</w:t>
      </w:r>
      <w:bookmarkEnd w:id="147"/>
      <w:bookmarkEnd w:id="148"/>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3.3.1 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3.3.2 澄清、说明或补正不得超出投标文件的范围且不得改变投标文件的实质性内容，并构成投标文件的组成部分。</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3.3.3 评标委员会对投标人提交的澄清、说明或补正有疑问的，可以要求投标人进一步澄清、说明或补正，直至满足评标委员会的要求。</w:t>
      </w:r>
    </w:p>
    <w:p>
      <w:pPr>
        <w:pStyle w:val="5"/>
        <w:rPr>
          <w:rFonts w:hint="eastAsia" w:ascii="仿宋" w:hAnsi="仿宋" w:eastAsia="仿宋" w:cs="仿宋"/>
          <w:color w:val="auto"/>
          <w:highlight w:val="none"/>
        </w:rPr>
      </w:pPr>
      <w:bookmarkStart w:id="149" w:name="_Toc1660850"/>
      <w:bookmarkStart w:id="150" w:name="_Toc1170"/>
      <w:r>
        <w:rPr>
          <w:rFonts w:hint="eastAsia" w:ascii="仿宋" w:hAnsi="仿宋" w:eastAsia="仿宋" w:cs="仿宋"/>
          <w:color w:val="auto"/>
          <w:highlight w:val="none"/>
        </w:rPr>
        <w:t>3.4 评标结果</w:t>
      </w:r>
      <w:bookmarkEnd w:id="149"/>
      <w:bookmarkEnd w:id="150"/>
    </w:p>
    <w:p>
      <w:pPr>
        <w:pStyle w:val="154"/>
        <w:rPr>
          <w:rFonts w:hint="eastAsia" w:ascii="仿宋" w:hAnsi="仿宋" w:eastAsia="仿宋" w:cs="仿宋"/>
          <w:color w:val="auto"/>
          <w:spacing w:val="14"/>
          <w:szCs w:val="21"/>
          <w:highlight w:val="none"/>
          <w:lang w:val="en-US" w:eastAsia="zh-CN"/>
        </w:rPr>
      </w:pPr>
      <w:r>
        <w:rPr>
          <w:rFonts w:hint="eastAsia" w:ascii="仿宋" w:hAnsi="仿宋" w:eastAsia="仿宋" w:cs="仿宋"/>
          <w:color w:val="auto"/>
          <w:spacing w:val="14"/>
          <w:szCs w:val="21"/>
          <w:highlight w:val="none"/>
          <w:lang w:val="en-US" w:eastAsia="zh-CN"/>
        </w:rPr>
        <w:t>3.4.1评标委员会严格按照招标文件的要求和条件进行评标和打分，评标结果按评审后得分由高到低的顺序排列。得分相同的，按投标报价由低到高顺序排列。得分且投标报价相同的并列，由评标委员会投票确定中标人。</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3.4.2评标委员会完成评标后，应当向采购人提交书面评标报告和中标候选人名单。</w:t>
      </w:r>
    </w:p>
    <w:p>
      <w:pPr>
        <w:pStyle w:val="4"/>
        <w:rPr>
          <w:rFonts w:hint="eastAsia" w:ascii="仿宋" w:hAnsi="仿宋" w:eastAsia="仿宋" w:cs="仿宋"/>
          <w:color w:val="auto"/>
          <w:highlight w:val="none"/>
        </w:rPr>
      </w:pPr>
      <w:bookmarkStart w:id="151" w:name="_Toc1660851"/>
      <w:bookmarkStart w:id="152" w:name="_Toc19734"/>
      <w:r>
        <w:rPr>
          <w:rFonts w:hint="eastAsia" w:ascii="仿宋" w:hAnsi="仿宋" w:eastAsia="仿宋" w:cs="仿宋"/>
          <w:color w:val="auto"/>
          <w:highlight w:val="none"/>
        </w:rPr>
        <w:t>4、评分标准说明</w:t>
      </w:r>
      <w:bookmarkEnd w:id="151"/>
      <w:bookmarkEnd w:id="152"/>
    </w:p>
    <w:p>
      <w:pPr>
        <w:pStyle w:val="5"/>
        <w:rPr>
          <w:rFonts w:hint="eastAsia" w:ascii="仿宋" w:hAnsi="仿宋" w:eastAsia="仿宋" w:cs="仿宋"/>
          <w:color w:val="auto"/>
          <w:highlight w:val="none"/>
        </w:rPr>
      </w:pPr>
      <w:bookmarkStart w:id="153" w:name="_Toc24259"/>
      <w:bookmarkStart w:id="154" w:name="_Toc1660852"/>
      <w:r>
        <w:rPr>
          <w:rFonts w:hint="eastAsia" w:ascii="仿宋" w:hAnsi="仿宋" w:eastAsia="仿宋" w:cs="仿宋"/>
          <w:color w:val="auto"/>
          <w:highlight w:val="none"/>
        </w:rPr>
        <w:t>4.1关于价格扣除和评标报价的说明</w:t>
      </w:r>
      <w:bookmarkEnd w:id="153"/>
      <w:bookmarkEnd w:id="154"/>
      <w:r>
        <w:rPr>
          <w:rFonts w:hint="eastAsia" w:ascii="仿宋" w:hAnsi="仿宋" w:eastAsia="仿宋" w:cs="仿宋"/>
          <w:color w:val="auto"/>
          <w:highlight w:val="none"/>
        </w:rPr>
        <w:t xml:space="preserve"> </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4.1.1价格扣除</w:t>
      </w:r>
    </w:p>
    <w:p>
      <w:pPr>
        <w:pStyle w:val="5"/>
        <w:ind w:firstLine="414" w:firstLineChars="200"/>
        <w:rPr>
          <w:rFonts w:hint="eastAsia" w:ascii="仿宋" w:hAnsi="仿宋" w:eastAsia="仿宋" w:cs="仿宋"/>
          <w:b w:val="0"/>
          <w:bCs w:val="0"/>
          <w:color w:val="auto"/>
          <w:spacing w:val="14"/>
          <w:sz w:val="21"/>
          <w:szCs w:val="21"/>
          <w:highlight w:val="none"/>
        </w:rPr>
      </w:pPr>
      <w:bookmarkStart w:id="155" w:name="_Toc29883"/>
      <w:bookmarkStart w:id="156" w:name="_Toc1660853"/>
      <w:r>
        <w:rPr>
          <w:rFonts w:hint="eastAsia" w:ascii="仿宋" w:hAnsi="仿宋" w:eastAsia="仿宋" w:cs="仿宋"/>
          <w:b w:val="0"/>
          <w:bCs w:val="0"/>
          <w:color w:val="auto"/>
          <w:spacing w:val="14"/>
          <w:sz w:val="21"/>
          <w:szCs w:val="21"/>
          <w:highlight w:val="none"/>
        </w:rPr>
        <w:t>投标人所提供的货物由小微企业制造（即货物由小微企业生产且使用该小微企业商号或者注册</w:t>
      </w:r>
      <w:bookmarkEnd w:id="155"/>
    </w:p>
    <w:p>
      <w:pPr>
        <w:pStyle w:val="5"/>
        <w:rPr>
          <w:rFonts w:hint="eastAsia" w:ascii="仿宋" w:hAnsi="仿宋" w:eastAsia="仿宋" w:cs="仿宋"/>
          <w:b w:val="0"/>
          <w:bCs w:val="0"/>
          <w:color w:val="auto"/>
          <w:spacing w:val="14"/>
          <w:sz w:val="21"/>
          <w:szCs w:val="21"/>
          <w:highlight w:val="none"/>
        </w:rPr>
      </w:pPr>
      <w:bookmarkStart w:id="157" w:name="_Toc27595"/>
      <w:r>
        <w:rPr>
          <w:rFonts w:hint="eastAsia" w:ascii="仿宋" w:hAnsi="仿宋" w:eastAsia="仿宋" w:cs="仿宋"/>
          <w:b w:val="0"/>
          <w:bCs w:val="0"/>
          <w:color w:val="auto"/>
          <w:spacing w:val="14"/>
          <w:sz w:val="21"/>
          <w:szCs w:val="21"/>
          <w:highlight w:val="none"/>
        </w:rPr>
        <w:t>商标）的投标报价给予10%的扣除，用扣除后的价格参与评审。参加投标的小微企业，应当按照《政</w:t>
      </w:r>
      <w:bookmarkEnd w:id="157"/>
      <w:bookmarkStart w:id="158" w:name="_Toc19941"/>
      <w:r>
        <w:rPr>
          <w:rFonts w:hint="eastAsia" w:ascii="仿宋" w:hAnsi="仿宋" w:eastAsia="仿宋" w:cs="仿宋"/>
          <w:b w:val="0"/>
          <w:bCs w:val="0"/>
          <w:color w:val="auto"/>
          <w:spacing w:val="14"/>
          <w:sz w:val="21"/>
          <w:szCs w:val="21"/>
          <w:highlight w:val="none"/>
        </w:rPr>
        <w:t>府采购促进中小企业发展管理办法》（财库〔2020〕46 号）的规定提供《中小企业声明函》，中小企业划型标准详见《关于印发中小企业划型标准规定的通知》工信部联企业〔2011〕300 号。根据财政部司法部《关于政府采购支持监狱企业发展有关问题的通知》（财库〔2014〕68 号）和财政部民政部中国残疾人联合会《关于促进残疾人就业政府采购政策的通知》（财库〔2017〕141 号）规定，监狱企业/残疾人福利性企业视同小型、微型企业。</w:t>
      </w:r>
      <w:bookmarkEnd w:id="158"/>
    </w:p>
    <w:p>
      <w:pPr>
        <w:ind w:firstLine="414" w:firstLineChars="200"/>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评审报价=投标报价-投标报价×10%</w:t>
      </w:r>
    </w:p>
    <w:p>
      <w:pPr>
        <w:pStyle w:val="5"/>
        <w:rPr>
          <w:rFonts w:hint="eastAsia" w:ascii="仿宋" w:hAnsi="仿宋" w:eastAsia="仿宋" w:cs="仿宋"/>
          <w:color w:val="auto"/>
          <w:highlight w:val="none"/>
        </w:rPr>
      </w:pPr>
      <w:bookmarkStart w:id="159" w:name="_Toc15142"/>
      <w:r>
        <w:rPr>
          <w:rFonts w:hint="eastAsia" w:ascii="仿宋" w:hAnsi="仿宋" w:eastAsia="仿宋" w:cs="仿宋"/>
          <w:color w:val="auto"/>
          <w:highlight w:val="none"/>
        </w:rPr>
        <w:t>4.2关于节能环保政策的说明</w:t>
      </w:r>
      <w:bookmarkEnd w:id="156"/>
      <w:bookmarkEnd w:id="159"/>
    </w:p>
    <w:p>
      <w:pPr>
        <w:ind w:firstLine="414" w:firstLineChars="200"/>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4.2.1节能产品：所投货物（除政府强制采购节能产品外）有《中国节能产品认证证书》的加分（以所投货物的《中国节能产品认证证书》扫描件为依据；证书不显示规格型号的，还须同时提供证书配套附件；证书应是由《市场监管总局关于发布参与实施政府采购节能产品、环境标志产品认证机构名录的公告》的认证机构出具的、处于有效期之内的）。</w:t>
      </w:r>
    </w:p>
    <w:p>
      <w:pPr>
        <w:ind w:firstLine="414" w:firstLineChars="200"/>
        <w:rPr>
          <w:rFonts w:hint="eastAsia" w:ascii="仿宋" w:hAnsi="仿宋" w:eastAsia="仿宋" w:cs="仿宋"/>
          <w:color w:val="auto"/>
          <w:highlight w:val="none"/>
        </w:rPr>
      </w:pPr>
      <w:r>
        <w:rPr>
          <w:rFonts w:hint="eastAsia" w:ascii="仿宋" w:hAnsi="仿宋" w:eastAsia="仿宋" w:cs="仿宋"/>
          <w:color w:val="auto"/>
          <w:spacing w:val="14"/>
          <w:sz w:val="21"/>
          <w:szCs w:val="21"/>
          <w:highlight w:val="none"/>
        </w:rPr>
        <w:t>4.2.2环境标志产品：所投货物有《中国环境标志产品认证证书》（有效期内）的加分（以所投货物的《中国环境标志产品认证证书》扫描件为依据；证书不显示规格型号的，还须同时提供证书配套附件；证书应是由《市场监管总局关于发布参与实施政府采购节能产品、环境标志产品认证机构名录的公告》的认证机构出具的、处于有效期之内的）。</w:t>
      </w:r>
      <w:r>
        <w:rPr>
          <w:rFonts w:hint="eastAsia" w:ascii="仿宋" w:hAnsi="仿宋" w:eastAsia="仿宋" w:cs="仿宋"/>
          <w:color w:val="auto"/>
          <w:highlight w:val="none"/>
        </w:rPr>
        <w:br w:type="page"/>
      </w:r>
    </w:p>
    <w:p>
      <w:pPr>
        <w:pStyle w:val="58"/>
        <w:rPr>
          <w:rFonts w:hint="eastAsia" w:ascii="仿宋" w:hAnsi="仿宋" w:eastAsia="仿宋" w:cs="仿宋"/>
          <w:color w:val="auto"/>
          <w:highlight w:val="none"/>
          <w:lang w:eastAsia="zh-CN"/>
        </w:rPr>
      </w:pPr>
      <w:bookmarkStart w:id="160" w:name="_Toc15466"/>
      <w:r>
        <w:rPr>
          <w:rFonts w:hint="eastAsia" w:ascii="仿宋" w:hAnsi="仿宋" w:eastAsia="仿宋" w:cs="仿宋"/>
          <w:color w:val="auto"/>
          <w:highlight w:val="none"/>
          <w:lang w:eastAsia="zh-CN"/>
        </w:rPr>
        <w:t>第六章   资格审查与评审标准</w:t>
      </w:r>
      <w:bookmarkEnd w:id="160"/>
    </w:p>
    <w:p>
      <w:pPr>
        <w:widowControl/>
        <w:spacing w:line="360" w:lineRule="exact"/>
        <w:jc w:val="center"/>
        <w:rPr>
          <w:rFonts w:hint="eastAsia" w:ascii="仿宋" w:hAnsi="仿宋" w:eastAsia="仿宋" w:cs="仿宋"/>
          <w:b/>
          <w:bCs/>
          <w:color w:val="auto"/>
          <w:sz w:val="28"/>
          <w:szCs w:val="32"/>
          <w:highlight w:val="none"/>
        </w:rPr>
      </w:pPr>
    </w:p>
    <w:tbl>
      <w:tblPr>
        <w:tblStyle w:val="62"/>
        <w:tblW w:w="5000" w:type="pct"/>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autofit"/>
        <w:tblCellMar>
          <w:top w:w="75" w:type="dxa"/>
          <w:left w:w="75" w:type="dxa"/>
          <w:bottom w:w="75" w:type="dxa"/>
          <w:right w:w="75" w:type="dxa"/>
        </w:tblCellMar>
      </w:tblPr>
      <w:tblGrid>
        <w:gridCol w:w="1470"/>
        <w:gridCol w:w="921"/>
        <w:gridCol w:w="1616"/>
        <w:gridCol w:w="1354"/>
        <w:gridCol w:w="3861"/>
      </w:tblGrid>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PrEx>
        <w:tc>
          <w:tcPr>
            <w:tcW w:w="797" w:type="pct"/>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highlight w:val="none"/>
              </w:rPr>
            </w:pPr>
            <w:r>
              <w:rPr>
                <w:rFonts w:hint="eastAsia" w:ascii="仿宋" w:hAnsi="仿宋" w:eastAsia="仿宋" w:cs="仿宋"/>
                <w:color w:val="auto"/>
                <w:spacing w:val="30"/>
                <w:sz w:val="30"/>
                <w:highlight w:val="none"/>
              </w:rPr>
              <w:t>初步条款</w:t>
            </w:r>
          </w:p>
        </w:tc>
        <w:tc>
          <w:tcPr>
            <w:tcW w:w="1375" w:type="pct"/>
            <w:gridSpan w:val="2"/>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highlight w:val="none"/>
              </w:rPr>
            </w:pPr>
            <w:r>
              <w:rPr>
                <w:rFonts w:hint="eastAsia" w:ascii="仿宋" w:hAnsi="仿宋" w:eastAsia="仿宋" w:cs="仿宋"/>
                <w:color w:val="auto"/>
                <w:spacing w:val="30"/>
                <w:sz w:val="30"/>
                <w:highlight w:val="none"/>
              </w:rPr>
              <w:t>评分点名称</w:t>
            </w:r>
          </w:p>
        </w:tc>
        <w:tc>
          <w:tcPr>
            <w:tcW w:w="2827" w:type="pct"/>
            <w:gridSpan w:val="2"/>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highlight w:val="none"/>
              </w:rPr>
            </w:pPr>
            <w:r>
              <w:rPr>
                <w:rFonts w:hint="eastAsia" w:ascii="仿宋" w:hAnsi="仿宋" w:eastAsia="仿宋" w:cs="仿宋"/>
                <w:color w:val="auto"/>
                <w:spacing w:val="30"/>
                <w:sz w:val="30"/>
                <w:highlight w:val="none"/>
              </w:rPr>
              <w:t>评审标准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restart"/>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highlight w:val="none"/>
              </w:rPr>
            </w:pPr>
            <w:r>
              <w:rPr>
                <w:rFonts w:hint="eastAsia" w:ascii="仿宋" w:hAnsi="仿宋" w:eastAsia="仿宋" w:cs="仿宋"/>
                <w:color w:val="auto"/>
                <w:spacing w:val="30"/>
                <w:highlight w:val="none"/>
              </w:rPr>
              <w:t>符合性评审</w:t>
            </w:r>
          </w:p>
        </w:tc>
        <w:tc>
          <w:tcPr>
            <w:tcW w:w="1375" w:type="pct"/>
            <w:gridSpan w:val="2"/>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r>
              <w:rPr>
                <w:rFonts w:hint="eastAsia" w:ascii="仿宋" w:hAnsi="仿宋" w:eastAsia="仿宋" w:cs="仿宋"/>
                <w:color w:val="auto"/>
                <w:spacing w:val="30"/>
                <w:highlight w:val="none"/>
              </w:rPr>
              <w:t>投标人名称</w:t>
            </w:r>
          </w:p>
        </w:tc>
        <w:tc>
          <w:tcPr>
            <w:tcW w:w="2827" w:type="pct"/>
            <w:gridSpan w:val="2"/>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r>
              <w:rPr>
                <w:rFonts w:hint="eastAsia" w:ascii="仿宋" w:hAnsi="仿宋" w:eastAsia="仿宋" w:cs="仿宋"/>
                <w:color w:val="auto"/>
                <w:spacing w:val="30"/>
                <w:highlight w:val="none"/>
              </w:rPr>
              <w:t>与营业执照或事业单位法人证书一致</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p>
        </w:tc>
        <w:tc>
          <w:tcPr>
            <w:tcW w:w="1375" w:type="pct"/>
            <w:gridSpan w:val="2"/>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r>
              <w:rPr>
                <w:rFonts w:hint="eastAsia" w:ascii="仿宋" w:hAnsi="仿宋" w:eastAsia="仿宋" w:cs="仿宋"/>
                <w:color w:val="auto"/>
                <w:spacing w:val="30"/>
                <w:highlight w:val="none"/>
              </w:rPr>
              <w:t>投标文件签字盖章</w:t>
            </w:r>
          </w:p>
        </w:tc>
        <w:tc>
          <w:tcPr>
            <w:tcW w:w="2827" w:type="pct"/>
            <w:gridSpan w:val="2"/>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r>
              <w:rPr>
                <w:rFonts w:hint="eastAsia" w:ascii="仿宋" w:hAnsi="仿宋" w:eastAsia="仿宋" w:cs="仿宋"/>
                <w:color w:val="auto"/>
                <w:spacing w:val="30"/>
                <w:highlight w:val="none"/>
              </w:rPr>
              <w:t>符合招标文件要求</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p>
        </w:tc>
        <w:tc>
          <w:tcPr>
            <w:tcW w:w="1375" w:type="pct"/>
            <w:gridSpan w:val="2"/>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r>
              <w:rPr>
                <w:rFonts w:hint="eastAsia" w:ascii="仿宋" w:hAnsi="仿宋" w:eastAsia="仿宋" w:cs="仿宋"/>
                <w:color w:val="auto"/>
                <w:spacing w:val="30"/>
                <w:highlight w:val="none"/>
              </w:rPr>
              <w:t>投标报价</w:t>
            </w:r>
          </w:p>
        </w:tc>
        <w:tc>
          <w:tcPr>
            <w:tcW w:w="2827" w:type="pct"/>
            <w:gridSpan w:val="2"/>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r>
              <w:rPr>
                <w:rFonts w:hint="eastAsia" w:ascii="仿宋" w:hAnsi="仿宋" w:eastAsia="仿宋" w:cs="仿宋"/>
                <w:color w:val="auto"/>
                <w:spacing w:val="30"/>
                <w:highlight w:val="none"/>
              </w:rPr>
              <w:t>只能有一个有效报价，且报价未超过预算控制金额</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p>
        </w:tc>
        <w:tc>
          <w:tcPr>
            <w:tcW w:w="1375" w:type="pct"/>
            <w:gridSpan w:val="2"/>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sz w:val="22"/>
                <w:highlight w:val="none"/>
              </w:rPr>
            </w:pPr>
            <w:r>
              <w:rPr>
                <w:rFonts w:hint="eastAsia" w:ascii="仿宋" w:hAnsi="仿宋" w:eastAsia="仿宋" w:cs="仿宋"/>
                <w:color w:val="auto"/>
                <w:spacing w:val="30"/>
                <w:sz w:val="22"/>
                <w:highlight w:val="none"/>
              </w:rPr>
              <w:t>投标有效期</w:t>
            </w:r>
          </w:p>
        </w:tc>
        <w:tc>
          <w:tcPr>
            <w:tcW w:w="2827" w:type="pct"/>
            <w:gridSpan w:val="2"/>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sz w:val="22"/>
                <w:highlight w:val="none"/>
              </w:rPr>
            </w:pPr>
            <w:r>
              <w:rPr>
                <w:rFonts w:hint="eastAsia" w:ascii="仿宋" w:hAnsi="仿宋" w:eastAsia="仿宋" w:cs="仿宋"/>
                <w:color w:val="auto"/>
                <w:spacing w:val="30"/>
                <w:sz w:val="22"/>
                <w:highlight w:val="none"/>
              </w:rPr>
              <w:t>符合投标人须知前附表的规定</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p>
        </w:tc>
        <w:tc>
          <w:tcPr>
            <w:tcW w:w="1375" w:type="pct"/>
            <w:gridSpan w:val="2"/>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r>
              <w:rPr>
                <w:rFonts w:hint="eastAsia" w:ascii="仿宋" w:hAnsi="仿宋" w:eastAsia="仿宋" w:cs="仿宋"/>
                <w:color w:val="auto"/>
                <w:spacing w:val="30"/>
                <w:highlight w:val="none"/>
              </w:rPr>
              <w:t>实质性要求和条件</w:t>
            </w:r>
          </w:p>
        </w:tc>
        <w:tc>
          <w:tcPr>
            <w:tcW w:w="2827" w:type="pct"/>
            <w:gridSpan w:val="2"/>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r>
              <w:rPr>
                <w:rFonts w:hint="eastAsia" w:ascii="仿宋" w:hAnsi="仿宋" w:eastAsia="仿宋" w:cs="仿宋"/>
                <w:color w:val="auto"/>
                <w:spacing w:val="30"/>
                <w:highlight w:val="none"/>
              </w:rPr>
              <w:t>符合投标人须知前附表的规定</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restart"/>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highlight w:val="none"/>
              </w:rPr>
            </w:pPr>
            <w:r>
              <w:rPr>
                <w:rFonts w:hint="eastAsia" w:ascii="仿宋" w:hAnsi="仿宋" w:eastAsia="仿宋" w:cs="仿宋"/>
                <w:color w:val="auto"/>
                <w:spacing w:val="30"/>
                <w:highlight w:val="none"/>
              </w:rPr>
              <w:t>资格评审</w:t>
            </w:r>
          </w:p>
        </w:tc>
        <w:tc>
          <w:tcPr>
            <w:tcW w:w="1375" w:type="pct"/>
            <w:gridSpan w:val="2"/>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r>
              <w:rPr>
                <w:rFonts w:hint="eastAsia" w:ascii="仿宋" w:hAnsi="仿宋" w:eastAsia="仿宋" w:cs="仿宋"/>
                <w:color w:val="auto"/>
                <w:spacing w:val="30"/>
                <w:highlight w:val="none"/>
              </w:rPr>
              <w:t>营业执照或事业单位法人证书</w:t>
            </w:r>
          </w:p>
        </w:tc>
        <w:tc>
          <w:tcPr>
            <w:tcW w:w="2827" w:type="pct"/>
            <w:gridSpan w:val="2"/>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r>
              <w:rPr>
                <w:rFonts w:hint="eastAsia" w:ascii="仿宋" w:hAnsi="仿宋" w:eastAsia="仿宋" w:cs="仿宋"/>
                <w:color w:val="auto"/>
                <w:spacing w:val="30"/>
                <w:highlight w:val="none"/>
              </w:rPr>
              <w:t>具备有效的营业执照或事业单位法人证书</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p>
        </w:tc>
        <w:tc>
          <w:tcPr>
            <w:tcW w:w="1375" w:type="pct"/>
            <w:gridSpan w:val="2"/>
            <w:tcBorders>
              <w:top w:val="outset" w:color="auto" w:sz="6" w:space="0"/>
              <w:left w:val="outset" w:color="auto" w:sz="6" w:space="0"/>
              <w:bottom w:val="outset" w:color="auto" w:sz="6" w:space="0"/>
              <w:right w:val="outset" w:color="auto" w:sz="6" w:space="0"/>
            </w:tcBorders>
            <w:vAlign w:val="center"/>
          </w:tcPr>
          <w:p>
            <w:pPr>
              <w:jc w:val="left"/>
              <w:rPr>
                <w:rFonts w:hint="eastAsia" w:ascii="仿宋" w:hAnsi="仿宋" w:eastAsia="仿宋" w:cs="仿宋"/>
                <w:color w:val="auto"/>
                <w:spacing w:val="30"/>
                <w:highlight w:val="none"/>
              </w:rPr>
            </w:pPr>
            <w:r>
              <w:rPr>
                <w:rFonts w:hint="eastAsia" w:ascii="仿宋" w:hAnsi="仿宋" w:eastAsia="仿宋" w:cs="仿宋"/>
                <w:color w:val="auto"/>
                <w:spacing w:val="30"/>
                <w:highlight w:val="none"/>
              </w:rPr>
              <w:t>资质证书（七标段）</w:t>
            </w:r>
          </w:p>
        </w:tc>
        <w:tc>
          <w:tcPr>
            <w:tcW w:w="2827" w:type="pct"/>
            <w:gridSpan w:val="2"/>
            <w:tcBorders>
              <w:top w:val="outset" w:color="auto" w:sz="6" w:space="0"/>
              <w:left w:val="outset" w:color="auto" w:sz="6" w:space="0"/>
              <w:bottom w:val="outset" w:color="auto" w:sz="6" w:space="0"/>
              <w:right w:val="outset" w:color="auto" w:sz="6" w:space="0"/>
            </w:tcBorders>
            <w:vAlign w:val="center"/>
          </w:tcPr>
          <w:p>
            <w:pPr>
              <w:jc w:val="left"/>
              <w:rPr>
                <w:rFonts w:hint="eastAsia" w:ascii="仿宋" w:hAnsi="仿宋" w:eastAsia="仿宋" w:cs="仿宋"/>
                <w:color w:val="auto"/>
                <w:spacing w:val="30"/>
                <w:highlight w:val="none"/>
              </w:rPr>
            </w:pPr>
            <w:r>
              <w:rPr>
                <w:rFonts w:hint="eastAsia" w:ascii="仿宋" w:hAnsi="仿宋" w:eastAsia="仿宋" w:cs="仿宋"/>
                <w:color w:val="auto"/>
                <w:spacing w:val="30"/>
                <w:highlight w:val="none"/>
              </w:rPr>
              <w:t>符合投标人须知前附表的规定</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p>
        </w:tc>
        <w:tc>
          <w:tcPr>
            <w:tcW w:w="1375" w:type="pct"/>
            <w:gridSpan w:val="2"/>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spacing w:val="30"/>
                <w:highlight w:val="none"/>
              </w:rPr>
            </w:pPr>
            <w:r>
              <w:rPr>
                <w:rFonts w:hint="eastAsia" w:ascii="仿宋" w:hAnsi="仿宋" w:eastAsia="仿宋" w:cs="仿宋"/>
                <w:color w:val="auto"/>
                <w:spacing w:val="30"/>
                <w:highlight w:val="none"/>
              </w:rPr>
              <w:t>单位负责人为同一人或者存在直接控股、管理关系的不同供应商，不得参加同一合同项下的政府采购活动</w:t>
            </w:r>
          </w:p>
        </w:tc>
        <w:tc>
          <w:tcPr>
            <w:tcW w:w="2827" w:type="pct"/>
            <w:gridSpan w:val="2"/>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spacing w:val="30"/>
                <w:highlight w:val="none"/>
              </w:rPr>
            </w:pPr>
            <w:r>
              <w:rPr>
                <w:rFonts w:hint="eastAsia" w:ascii="仿宋" w:hAnsi="仿宋" w:eastAsia="仿宋" w:cs="仿宋"/>
                <w:color w:val="auto"/>
                <w:spacing w:val="30"/>
                <w:highlight w:val="none"/>
              </w:rPr>
              <w:t>符合投标人须知前附表的规定</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p>
        </w:tc>
        <w:tc>
          <w:tcPr>
            <w:tcW w:w="1375" w:type="pct"/>
            <w:gridSpan w:val="2"/>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spacing w:val="30"/>
                <w:highlight w:val="none"/>
              </w:rPr>
            </w:pPr>
            <w:r>
              <w:rPr>
                <w:rFonts w:hint="eastAsia" w:ascii="仿宋" w:hAnsi="仿宋" w:eastAsia="仿宋" w:cs="仿宋"/>
                <w:color w:val="auto"/>
                <w:spacing w:val="30"/>
                <w:highlight w:val="none"/>
              </w:rPr>
              <w:t>信用承诺函</w:t>
            </w:r>
          </w:p>
        </w:tc>
        <w:tc>
          <w:tcPr>
            <w:tcW w:w="2827" w:type="pct"/>
            <w:gridSpan w:val="2"/>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spacing w:val="30"/>
                <w:highlight w:val="none"/>
              </w:rPr>
            </w:pPr>
            <w:r>
              <w:rPr>
                <w:rFonts w:hint="eastAsia" w:ascii="仿宋" w:hAnsi="仿宋" w:eastAsia="仿宋" w:cs="仿宋"/>
                <w:color w:val="auto"/>
                <w:spacing w:val="30"/>
                <w:highlight w:val="none"/>
              </w:rPr>
              <w:t>按照承诺函模板提供承诺函</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p>
        </w:tc>
        <w:tc>
          <w:tcPr>
            <w:tcW w:w="1375" w:type="pct"/>
            <w:gridSpan w:val="2"/>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r>
              <w:rPr>
                <w:rFonts w:hint="eastAsia" w:ascii="仿宋" w:hAnsi="仿宋" w:eastAsia="仿宋" w:cs="仿宋"/>
                <w:color w:val="auto"/>
                <w:spacing w:val="30"/>
                <w:highlight w:val="none"/>
              </w:rPr>
              <w:t>不存在禁止投标的情形</w:t>
            </w:r>
          </w:p>
        </w:tc>
        <w:tc>
          <w:tcPr>
            <w:tcW w:w="2827" w:type="pct"/>
            <w:gridSpan w:val="2"/>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r>
              <w:rPr>
                <w:rFonts w:hint="eastAsia" w:ascii="仿宋" w:hAnsi="仿宋" w:eastAsia="仿宋" w:cs="仿宋"/>
                <w:color w:val="auto"/>
                <w:spacing w:val="30"/>
                <w:highlight w:val="none"/>
              </w:rPr>
              <w:t>不存在第二章“投标人须知”第 1.4.3 项规定的任何一种情形</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sz w:val="13"/>
                <w:szCs w:val="13"/>
                <w:highlight w:val="none"/>
              </w:rPr>
            </w:pPr>
            <w:r>
              <w:rPr>
                <w:rFonts w:hint="eastAsia" w:ascii="仿宋" w:hAnsi="仿宋" w:eastAsia="仿宋" w:cs="仿宋"/>
                <w:color w:val="auto"/>
                <w:spacing w:val="30"/>
                <w:szCs w:val="13"/>
                <w:highlight w:val="none"/>
              </w:rPr>
              <w:t>详细条款</w:t>
            </w:r>
          </w:p>
        </w:tc>
        <w:tc>
          <w:tcPr>
            <w:tcW w:w="499" w:type="pct"/>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sz w:val="13"/>
                <w:szCs w:val="13"/>
                <w:highlight w:val="none"/>
              </w:rPr>
            </w:pPr>
            <w:r>
              <w:rPr>
                <w:rFonts w:hint="eastAsia" w:ascii="仿宋" w:hAnsi="仿宋" w:eastAsia="仿宋" w:cs="仿宋"/>
                <w:color w:val="auto"/>
                <w:spacing w:val="30"/>
                <w:szCs w:val="13"/>
                <w:highlight w:val="none"/>
              </w:rPr>
              <w:t>最低分</w:t>
            </w:r>
          </w:p>
        </w:tc>
        <w:tc>
          <w:tcPr>
            <w:tcW w:w="876" w:type="pct"/>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sz w:val="13"/>
                <w:szCs w:val="13"/>
                <w:highlight w:val="none"/>
              </w:rPr>
            </w:pPr>
            <w:r>
              <w:rPr>
                <w:rFonts w:hint="eastAsia" w:ascii="仿宋" w:hAnsi="仿宋" w:eastAsia="仿宋" w:cs="仿宋"/>
                <w:color w:val="auto"/>
                <w:spacing w:val="30"/>
                <w:szCs w:val="13"/>
                <w:highlight w:val="none"/>
              </w:rPr>
              <w:t>最高分</w:t>
            </w:r>
          </w:p>
        </w:tc>
        <w:tc>
          <w:tcPr>
            <w:tcW w:w="734" w:type="pct"/>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sz w:val="13"/>
                <w:szCs w:val="13"/>
                <w:highlight w:val="none"/>
              </w:rPr>
            </w:pPr>
            <w:r>
              <w:rPr>
                <w:rFonts w:hint="eastAsia" w:ascii="仿宋" w:hAnsi="仿宋" w:eastAsia="仿宋" w:cs="仿宋"/>
                <w:color w:val="auto"/>
                <w:spacing w:val="30"/>
                <w:sz w:val="20"/>
                <w:szCs w:val="11"/>
                <w:highlight w:val="none"/>
              </w:rPr>
              <w:t>评分点名称</w:t>
            </w:r>
          </w:p>
        </w:tc>
        <w:tc>
          <w:tcPr>
            <w:tcW w:w="2093" w:type="pct"/>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sz w:val="13"/>
                <w:szCs w:val="13"/>
                <w:highlight w:val="none"/>
              </w:rPr>
            </w:pPr>
            <w:r>
              <w:rPr>
                <w:rFonts w:hint="eastAsia" w:ascii="仿宋" w:hAnsi="仿宋" w:eastAsia="仿宋" w:cs="仿宋"/>
                <w:color w:val="auto"/>
                <w:spacing w:val="30"/>
                <w:szCs w:val="13"/>
                <w:highlight w:val="none"/>
              </w:rPr>
              <w:t>评审标准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highlight w:val="none"/>
              </w:rPr>
            </w:pPr>
            <w:r>
              <w:rPr>
                <w:rFonts w:hint="eastAsia" w:ascii="仿宋" w:hAnsi="仿宋" w:eastAsia="仿宋" w:cs="仿宋"/>
                <w:color w:val="auto"/>
                <w:spacing w:val="30"/>
                <w:highlight w:val="none"/>
              </w:rPr>
              <w:t>经济标评分参数</w:t>
            </w:r>
          </w:p>
        </w:tc>
        <w:tc>
          <w:tcPr>
            <w:tcW w:w="0" w:type="auto"/>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highlight w:val="none"/>
              </w:rPr>
            </w:pPr>
            <w:r>
              <w:rPr>
                <w:rFonts w:hint="eastAsia" w:ascii="仿宋" w:hAnsi="仿宋" w:eastAsia="仿宋" w:cs="仿宋"/>
                <w:color w:val="auto"/>
                <w:highlight w:val="none"/>
              </w:rPr>
              <w:t>0.00</w:t>
            </w:r>
          </w:p>
        </w:tc>
        <w:tc>
          <w:tcPr>
            <w:tcW w:w="876" w:type="pct"/>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highlight w:val="none"/>
              </w:rPr>
            </w:pPr>
            <w:r>
              <w:rPr>
                <w:rFonts w:hint="eastAsia" w:ascii="仿宋" w:hAnsi="仿宋" w:eastAsia="仿宋" w:cs="仿宋"/>
                <w:color w:val="auto"/>
                <w:spacing w:val="30"/>
                <w:highlight w:val="none"/>
              </w:rPr>
              <w:t>30.00</w:t>
            </w:r>
          </w:p>
        </w:tc>
        <w:tc>
          <w:tcPr>
            <w:tcW w:w="734" w:type="pct"/>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r>
              <w:rPr>
                <w:rFonts w:hint="eastAsia" w:ascii="仿宋" w:hAnsi="仿宋" w:eastAsia="仿宋" w:cs="仿宋"/>
                <w:color w:val="auto"/>
                <w:spacing w:val="30"/>
                <w:highlight w:val="none"/>
              </w:rPr>
              <w:t>投标报价</w:t>
            </w:r>
          </w:p>
        </w:tc>
        <w:tc>
          <w:tcPr>
            <w:tcW w:w="2093" w:type="pct"/>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spacing w:val="30"/>
                <w:sz w:val="22"/>
                <w:highlight w:val="none"/>
              </w:rPr>
            </w:pPr>
            <w:r>
              <w:rPr>
                <w:rFonts w:hint="eastAsia" w:ascii="仿宋" w:hAnsi="仿宋" w:eastAsia="仿宋" w:cs="仿宋"/>
                <w:color w:val="auto"/>
                <w:spacing w:val="30"/>
                <w:sz w:val="22"/>
                <w:highlight w:val="none"/>
              </w:rPr>
              <w:t>价格分采用低价优先法计算，即满足招标文件要求且评标报价最低的评标报价为评标基准价，其价格分为满分。其他供应商的价格分统一按照下列公式计算：投标报价得分=(评标基准价／评标报价)×投标报价权重。</w:t>
            </w:r>
          </w:p>
          <w:p>
            <w:pPr>
              <w:jc w:val="left"/>
              <w:rPr>
                <w:rFonts w:hint="eastAsia" w:ascii="仿宋" w:hAnsi="仿宋" w:eastAsia="仿宋" w:cs="仿宋"/>
                <w:color w:val="auto"/>
                <w:spacing w:val="30"/>
                <w:sz w:val="22"/>
                <w:highlight w:val="none"/>
              </w:rPr>
            </w:pPr>
            <w:r>
              <w:rPr>
                <w:rFonts w:hint="eastAsia" w:ascii="仿宋" w:hAnsi="仿宋" w:eastAsia="仿宋" w:cs="仿宋"/>
                <w:color w:val="auto"/>
                <w:spacing w:val="30"/>
                <w:sz w:val="22"/>
                <w:highlight w:val="none"/>
              </w:rPr>
              <w:t>注：价格扣除：投标人根据《政府采购促进中小企业发展管理办法》(财库〔2020〕46号)、财政部司法部《关于政府采购支持监狱企业发展有关问题的通知》（财库〔2014〕68号）和财政部民政部中国残疾人联合会《关于促进残疾人就业政府采购政策的通知》（财库〔2017〕141 号）规定，投标人提供的货物全部由符合政策要求的中小企业制造，对所投标的小型和微型企业产品的价格给予10%的扣除，监狱企业、残疾人福利性企业作为供应商所提供的本企业生产的产品的价格给予10%的扣除。同一投标人（包括联合体），小微企业、监狱、残疾人福利性企业同一产品价格扣除优惠只享受一次，不得重复享受。</w:t>
            </w:r>
          </w:p>
          <w:p>
            <w:pPr>
              <w:jc w:val="left"/>
              <w:rPr>
                <w:rFonts w:hint="eastAsia" w:ascii="仿宋" w:hAnsi="仿宋" w:eastAsia="仿宋" w:cs="仿宋"/>
                <w:color w:val="auto"/>
                <w:spacing w:val="30"/>
                <w:sz w:val="22"/>
                <w:highlight w:val="none"/>
              </w:rPr>
            </w:pPr>
            <w:r>
              <w:rPr>
                <w:rFonts w:hint="eastAsia" w:ascii="仿宋" w:hAnsi="仿宋" w:eastAsia="仿宋" w:cs="仿宋"/>
                <w:b/>
                <w:bCs/>
                <w:color w:val="auto"/>
                <w:spacing w:val="30"/>
                <w:sz w:val="22"/>
                <w:highlight w:val="none"/>
                <w:lang w:val="en-US" w:eastAsia="zh-CN"/>
              </w:rPr>
              <w:t>注：</w:t>
            </w:r>
            <w:r>
              <w:rPr>
                <w:rFonts w:hint="eastAsia" w:ascii="仿宋" w:hAnsi="仿宋" w:eastAsia="仿宋" w:cs="仿宋"/>
                <w:b/>
                <w:bCs/>
                <w:color w:val="auto"/>
                <w:spacing w:val="30"/>
                <w:sz w:val="22"/>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highlight w:val="none"/>
              </w:rPr>
            </w:pPr>
            <w:r>
              <w:rPr>
                <w:rFonts w:hint="eastAsia" w:ascii="仿宋" w:hAnsi="仿宋" w:eastAsia="仿宋" w:cs="仿宋"/>
                <w:color w:val="auto"/>
                <w:spacing w:val="30"/>
                <w:highlight w:val="none"/>
              </w:rPr>
              <w:t>技术标评分参数</w:t>
            </w:r>
          </w:p>
        </w:tc>
        <w:tc>
          <w:tcPr>
            <w:tcW w:w="0" w:type="auto"/>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highlight w:val="none"/>
              </w:rPr>
            </w:pPr>
            <w:r>
              <w:rPr>
                <w:rFonts w:hint="eastAsia" w:ascii="仿宋" w:hAnsi="仿宋" w:eastAsia="仿宋" w:cs="仿宋"/>
                <w:color w:val="auto"/>
                <w:spacing w:val="30"/>
                <w:highlight w:val="none"/>
              </w:rPr>
              <w:t>0.00</w:t>
            </w:r>
          </w:p>
        </w:tc>
        <w:tc>
          <w:tcPr>
            <w:tcW w:w="876" w:type="pct"/>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highlight w:val="none"/>
              </w:rPr>
            </w:pPr>
            <w:r>
              <w:rPr>
                <w:rFonts w:hint="eastAsia" w:ascii="仿宋" w:hAnsi="仿宋" w:eastAsia="仿宋" w:cs="仿宋"/>
                <w:color w:val="auto"/>
                <w:spacing w:val="30"/>
                <w:highlight w:val="none"/>
                <w:lang w:val="en-US" w:eastAsia="zh-CN"/>
              </w:rPr>
              <w:t>2</w:t>
            </w:r>
            <w:r>
              <w:rPr>
                <w:rFonts w:hint="eastAsia" w:ascii="仿宋" w:hAnsi="仿宋" w:eastAsia="仿宋" w:cs="仿宋"/>
                <w:color w:val="auto"/>
                <w:spacing w:val="30"/>
                <w:highlight w:val="none"/>
              </w:rPr>
              <w:t>0.00</w:t>
            </w:r>
          </w:p>
        </w:tc>
        <w:tc>
          <w:tcPr>
            <w:tcW w:w="734" w:type="pct"/>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r>
              <w:rPr>
                <w:rFonts w:hint="eastAsia" w:ascii="仿宋" w:hAnsi="仿宋" w:eastAsia="仿宋" w:cs="仿宋"/>
                <w:color w:val="auto"/>
                <w:spacing w:val="30"/>
                <w:highlight w:val="none"/>
              </w:rPr>
              <w:t>技术参数</w:t>
            </w:r>
          </w:p>
        </w:tc>
        <w:tc>
          <w:tcPr>
            <w:tcW w:w="2093" w:type="pct"/>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spacing w:val="30"/>
                <w:highlight w:val="none"/>
              </w:rPr>
            </w:pPr>
            <w:r>
              <w:rPr>
                <w:rFonts w:hint="eastAsia" w:ascii="仿宋" w:hAnsi="仿宋" w:eastAsia="仿宋" w:cs="仿宋"/>
                <w:color w:val="auto"/>
                <w:spacing w:val="30"/>
                <w:highlight w:val="none"/>
              </w:rPr>
              <w:t>（1）投标货物产品技术参数、性能及产品功能全部满足招标文件要求得</w:t>
            </w:r>
            <w:r>
              <w:rPr>
                <w:rFonts w:hint="eastAsia" w:ascii="仿宋" w:hAnsi="仿宋" w:eastAsia="仿宋" w:cs="仿宋"/>
                <w:color w:val="auto"/>
                <w:spacing w:val="30"/>
                <w:highlight w:val="none"/>
                <w:lang w:val="en-US" w:eastAsia="zh-CN"/>
              </w:rPr>
              <w:t>20</w:t>
            </w:r>
            <w:r>
              <w:rPr>
                <w:rFonts w:hint="eastAsia" w:ascii="仿宋" w:hAnsi="仿宋" w:eastAsia="仿宋" w:cs="仿宋"/>
                <w:color w:val="auto"/>
                <w:spacing w:val="30"/>
                <w:highlight w:val="none"/>
              </w:rPr>
              <w:t xml:space="preserve">分； </w:t>
            </w:r>
          </w:p>
          <w:p>
            <w:pPr>
              <w:jc w:val="left"/>
              <w:rPr>
                <w:rFonts w:hint="eastAsia" w:ascii="仿宋" w:hAnsi="仿宋" w:eastAsia="仿宋" w:cs="仿宋"/>
                <w:color w:val="auto"/>
                <w:spacing w:val="30"/>
                <w:highlight w:val="none"/>
                <w:lang w:val="en-US" w:eastAsia="zh-CN"/>
              </w:rPr>
            </w:pPr>
            <w:r>
              <w:rPr>
                <w:rFonts w:hint="eastAsia" w:ascii="仿宋" w:hAnsi="仿宋" w:eastAsia="仿宋" w:cs="仿宋"/>
                <w:color w:val="auto"/>
                <w:highlight w:val="none"/>
              </w:rPr>
              <w:t>（2）</w:t>
            </w:r>
            <w:r>
              <w:rPr>
                <w:rFonts w:hint="eastAsia" w:ascii="仿宋" w:hAnsi="仿宋" w:eastAsia="仿宋" w:cs="仿宋"/>
                <w:color w:val="auto"/>
                <w:spacing w:val="30"/>
                <w:highlight w:val="none"/>
              </w:rPr>
              <w:t>投标产品参数，每有一项不满足要求的扣</w:t>
            </w:r>
            <w:r>
              <w:rPr>
                <w:rFonts w:hint="eastAsia" w:ascii="仿宋" w:hAnsi="仿宋" w:eastAsia="仿宋" w:cs="仿宋"/>
                <w:color w:val="auto"/>
                <w:spacing w:val="30"/>
                <w:highlight w:val="none"/>
                <w:lang w:val="en-US" w:eastAsia="zh-CN"/>
              </w:rPr>
              <w:t>1</w:t>
            </w:r>
            <w:r>
              <w:rPr>
                <w:rFonts w:hint="eastAsia" w:ascii="仿宋" w:hAnsi="仿宋" w:eastAsia="仿宋" w:cs="仿宋"/>
                <w:color w:val="auto"/>
                <w:spacing w:val="30"/>
                <w:highlight w:val="none"/>
              </w:rPr>
              <w:t>分，</w:t>
            </w:r>
            <w:r>
              <w:rPr>
                <w:rFonts w:hint="eastAsia" w:ascii="仿宋" w:hAnsi="仿宋" w:eastAsia="仿宋" w:cs="仿宋"/>
                <w:color w:val="auto"/>
                <w:spacing w:val="30"/>
                <w:highlight w:val="none"/>
                <w:lang w:val="en-US" w:eastAsia="zh-CN"/>
              </w:rPr>
              <w:t>扣完为止。</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97" w:type="pct"/>
            <w:vMerge w:val="restart"/>
            <w:tcBorders>
              <w:top w:val="outset" w:color="auto" w:sz="6" w:space="0"/>
              <w:left w:val="outset" w:color="auto" w:sz="6" w:space="0"/>
              <w:right w:val="outset" w:color="auto" w:sz="6" w:space="0"/>
            </w:tcBorders>
            <w:vAlign w:val="center"/>
          </w:tcPr>
          <w:p>
            <w:pPr>
              <w:jc w:val="left"/>
              <w:rPr>
                <w:rFonts w:ascii="仿宋" w:hAnsi="仿宋" w:eastAsia="仿宋" w:cs="仿宋"/>
                <w:color w:val="auto"/>
                <w:highlight w:val="none"/>
              </w:rPr>
            </w:pPr>
          </w:p>
        </w:tc>
        <w:tc>
          <w:tcPr>
            <w:tcW w:w="499" w:type="pct"/>
            <w:vMerge w:val="restart"/>
            <w:tcBorders>
              <w:top w:val="outset" w:color="auto" w:sz="6" w:space="0"/>
              <w:left w:val="outset" w:color="auto" w:sz="6" w:space="0"/>
              <w:right w:val="outset" w:color="auto" w:sz="6" w:space="0"/>
            </w:tcBorders>
            <w:vAlign w:val="center"/>
          </w:tcPr>
          <w:p>
            <w:pPr>
              <w:jc w:val="center"/>
              <w:rPr>
                <w:rFonts w:ascii="仿宋" w:hAnsi="仿宋" w:eastAsia="仿宋" w:cs="仿宋"/>
                <w:color w:val="auto"/>
                <w:spacing w:val="30"/>
                <w:highlight w:val="none"/>
              </w:rPr>
            </w:pPr>
            <w:r>
              <w:rPr>
                <w:rFonts w:hint="eastAsia" w:ascii="仿宋" w:hAnsi="仿宋" w:eastAsia="仿宋" w:cs="仿宋"/>
                <w:color w:val="auto"/>
                <w:spacing w:val="30"/>
                <w:highlight w:val="none"/>
              </w:rPr>
              <w:t>0.00</w:t>
            </w:r>
          </w:p>
        </w:tc>
        <w:tc>
          <w:tcPr>
            <w:tcW w:w="876" w:type="pct"/>
            <w:vMerge w:val="restart"/>
            <w:tcBorders>
              <w:top w:val="outset" w:color="auto" w:sz="6" w:space="0"/>
              <w:left w:val="outset" w:color="auto" w:sz="6" w:space="0"/>
              <w:right w:val="outset" w:color="auto" w:sz="6" w:space="0"/>
            </w:tcBorders>
            <w:vAlign w:val="center"/>
          </w:tcPr>
          <w:p>
            <w:pPr>
              <w:jc w:val="center"/>
              <w:rPr>
                <w:rFonts w:ascii="仿宋" w:hAnsi="仿宋" w:eastAsia="仿宋" w:cs="仿宋"/>
                <w:color w:val="auto"/>
                <w:spacing w:val="30"/>
                <w:highlight w:val="none"/>
              </w:rPr>
            </w:pPr>
            <w:r>
              <w:rPr>
                <w:rFonts w:hint="eastAsia" w:ascii="仿宋" w:hAnsi="仿宋" w:eastAsia="仿宋" w:cs="仿宋"/>
                <w:color w:val="auto"/>
                <w:spacing w:val="30"/>
                <w:highlight w:val="none"/>
                <w:lang w:val="en-US" w:eastAsia="zh-CN"/>
              </w:rPr>
              <w:t>2</w:t>
            </w:r>
            <w:r>
              <w:rPr>
                <w:rFonts w:hint="eastAsia" w:ascii="仿宋" w:hAnsi="仿宋" w:eastAsia="仿宋" w:cs="仿宋"/>
                <w:color w:val="auto"/>
                <w:spacing w:val="30"/>
                <w:highlight w:val="none"/>
              </w:rPr>
              <w:t>0.00</w:t>
            </w:r>
          </w:p>
        </w:tc>
        <w:tc>
          <w:tcPr>
            <w:tcW w:w="734" w:type="pct"/>
            <w:vMerge w:val="restart"/>
            <w:tcBorders>
              <w:top w:val="outset" w:color="auto" w:sz="6" w:space="0"/>
              <w:left w:val="outset" w:color="auto" w:sz="6" w:space="0"/>
              <w:right w:val="outset" w:color="auto" w:sz="6" w:space="0"/>
            </w:tcBorders>
            <w:vAlign w:val="center"/>
          </w:tcPr>
          <w:p>
            <w:pPr>
              <w:jc w:val="left"/>
              <w:rPr>
                <w:rFonts w:ascii="仿宋" w:hAnsi="仿宋" w:eastAsia="仿宋" w:cs="仿宋"/>
                <w:color w:val="auto"/>
                <w:spacing w:val="30"/>
                <w:highlight w:val="none"/>
              </w:rPr>
            </w:pPr>
            <w:r>
              <w:rPr>
                <w:rFonts w:hint="eastAsia" w:ascii="仿宋" w:hAnsi="仿宋" w:eastAsia="仿宋" w:cs="仿宋"/>
                <w:color w:val="auto"/>
                <w:spacing w:val="30"/>
                <w:highlight w:val="none"/>
              </w:rPr>
              <w:t>对产品的先进性、实用性、耐用性进行综合评价</w:t>
            </w:r>
          </w:p>
          <w:p>
            <w:pPr>
              <w:jc w:val="left"/>
              <w:rPr>
                <w:rFonts w:ascii="仿宋" w:hAnsi="仿宋" w:eastAsia="仿宋" w:cs="仿宋"/>
                <w:color w:val="auto"/>
                <w:spacing w:val="30"/>
                <w:highlight w:val="none"/>
              </w:rPr>
            </w:pPr>
          </w:p>
        </w:tc>
        <w:tc>
          <w:tcPr>
            <w:tcW w:w="2093" w:type="pct"/>
            <w:tcBorders>
              <w:top w:val="outset" w:color="auto" w:sz="6" w:space="0"/>
              <w:left w:val="outset" w:color="auto" w:sz="6" w:space="0"/>
              <w:bottom w:val="outset" w:color="auto" w:sz="6" w:space="0"/>
              <w:right w:val="outset" w:color="auto" w:sz="6" w:space="0"/>
            </w:tcBorders>
            <w:vAlign w:val="center"/>
          </w:tcPr>
          <w:p>
            <w:pPr>
              <w:jc w:val="left"/>
              <w:rPr>
                <w:rFonts w:hint="eastAsia" w:ascii="仿宋" w:hAnsi="仿宋" w:eastAsia="仿宋" w:cs="仿宋"/>
                <w:color w:val="auto"/>
                <w:spacing w:val="30"/>
                <w:szCs w:val="21"/>
                <w:highlight w:val="none"/>
              </w:rPr>
            </w:pPr>
            <w:r>
              <w:rPr>
                <w:rFonts w:hint="eastAsia" w:ascii="仿宋" w:hAnsi="仿宋" w:eastAsia="仿宋" w:cs="仿宋"/>
                <w:color w:val="auto"/>
                <w:spacing w:val="30"/>
                <w:szCs w:val="21"/>
                <w:highlight w:val="none"/>
              </w:rPr>
              <w:t>根据供应商提供的所投产品的相关检测（检验）报告关键页、认证证书或证明材料（产品正偏离项数、说明书、专利、产品介绍的文字表述等材料），对产品的先进性、实用性、耐用性进行综合评价：</w:t>
            </w:r>
          </w:p>
          <w:p>
            <w:pPr>
              <w:jc w:val="left"/>
              <w:rPr>
                <w:rFonts w:hint="eastAsia" w:ascii="仿宋" w:hAnsi="仿宋" w:eastAsia="仿宋" w:cs="仿宋"/>
                <w:b/>
                <w:bCs/>
                <w:color w:val="auto"/>
                <w:spacing w:val="30"/>
                <w:szCs w:val="21"/>
                <w:highlight w:val="none"/>
              </w:rPr>
            </w:pPr>
            <w:r>
              <w:rPr>
                <w:rFonts w:hint="eastAsia" w:ascii="仿宋" w:hAnsi="仿宋" w:eastAsia="仿宋" w:cs="仿宋"/>
                <w:b/>
                <w:bCs/>
                <w:color w:val="auto"/>
                <w:spacing w:val="30"/>
                <w:szCs w:val="21"/>
                <w:highlight w:val="none"/>
              </w:rPr>
              <w:t>先进性：</w:t>
            </w:r>
          </w:p>
          <w:p>
            <w:pPr>
              <w:jc w:val="left"/>
              <w:rPr>
                <w:rFonts w:hint="eastAsia" w:ascii="仿宋" w:hAnsi="仿宋" w:eastAsia="仿宋" w:cs="仿宋"/>
                <w:color w:val="auto"/>
                <w:spacing w:val="30"/>
                <w:szCs w:val="21"/>
                <w:highlight w:val="none"/>
              </w:rPr>
            </w:pPr>
            <w:r>
              <w:rPr>
                <w:rFonts w:hint="eastAsia" w:ascii="仿宋" w:hAnsi="仿宋" w:eastAsia="仿宋" w:cs="仿宋"/>
                <w:color w:val="auto"/>
                <w:spacing w:val="30"/>
                <w:szCs w:val="21"/>
                <w:highlight w:val="none"/>
              </w:rPr>
              <w:t>1、对产品先进性描述详细、真实、准确，技术参数正偏离项数明显高于其他家，相关资料能充分体现所投产品在同行业同类产品中具备非常先进性的特点且符合项目需求的得</w:t>
            </w:r>
            <w:r>
              <w:rPr>
                <w:rFonts w:hint="eastAsia" w:ascii="仿宋" w:hAnsi="仿宋" w:eastAsia="仿宋" w:cs="仿宋"/>
                <w:color w:val="auto"/>
                <w:spacing w:val="30"/>
                <w:szCs w:val="21"/>
                <w:highlight w:val="none"/>
                <w:lang w:val="en-US" w:eastAsia="zh-CN"/>
              </w:rPr>
              <w:t>7</w:t>
            </w:r>
            <w:r>
              <w:rPr>
                <w:rFonts w:hint="eastAsia" w:ascii="仿宋" w:hAnsi="仿宋" w:eastAsia="仿宋" w:cs="仿宋"/>
                <w:color w:val="auto"/>
                <w:spacing w:val="30"/>
                <w:szCs w:val="21"/>
                <w:highlight w:val="none"/>
              </w:rPr>
              <w:t>分；</w:t>
            </w:r>
          </w:p>
          <w:p>
            <w:pPr>
              <w:jc w:val="left"/>
              <w:rPr>
                <w:rFonts w:hint="eastAsia" w:ascii="仿宋" w:hAnsi="仿宋" w:eastAsia="仿宋" w:cs="仿宋"/>
                <w:color w:val="auto"/>
                <w:spacing w:val="30"/>
                <w:szCs w:val="21"/>
                <w:highlight w:val="none"/>
              </w:rPr>
            </w:pPr>
            <w:r>
              <w:rPr>
                <w:rFonts w:hint="eastAsia" w:ascii="仿宋" w:hAnsi="仿宋" w:eastAsia="仿宋" w:cs="仿宋"/>
                <w:color w:val="auto"/>
                <w:spacing w:val="30"/>
                <w:szCs w:val="21"/>
                <w:highlight w:val="none"/>
              </w:rPr>
              <w:t>2、对产品先进性描述基本准确，技术参数具有一定数量的正偏离项数，相关资料能体现所投产品在同行业同类产品中具备较为先进性的特点得</w:t>
            </w:r>
            <w:r>
              <w:rPr>
                <w:rFonts w:hint="eastAsia" w:ascii="仿宋" w:hAnsi="仿宋" w:eastAsia="仿宋" w:cs="仿宋"/>
                <w:color w:val="auto"/>
                <w:spacing w:val="30"/>
                <w:szCs w:val="21"/>
                <w:highlight w:val="none"/>
                <w:lang w:val="en-US" w:eastAsia="zh-CN"/>
              </w:rPr>
              <w:t>3</w:t>
            </w:r>
            <w:r>
              <w:rPr>
                <w:rFonts w:hint="eastAsia" w:ascii="仿宋" w:hAnsi="仿宋" w:eastAsia="仿宋" w:cs="仿宋"/>
                <w:color w:val="auto"/>
                <w:spacing w:val="30"/>
                <w:szCs w:val="21"/>
                <w:highlight w:val="none"/>
              </w:rPr>
              <w:t>分；</w:t>
            </w:r>
          </w:p>
          <w:p>
            <w:pPr>
              <w:jc w:val="left"/>
              <w:rPr>
                <w:rFonts w:hint="eastAsia" w:ascii="仿宋" w:hAnsi="仿宋" w:eastAsia="仿宋" w:cs="仿宋"/>
                <w:color w:val="auto"/>
                <w:spacing w:val="30"/>
                <w:szCs w:val="21"/>
                <w:highlight w:val="none"/>
              </w:rPr>
            </w:pPr>
            <w:r>
              <w:rPr>
                <w:rFonts w:hint="eastAsia" w:ascii="仿宋" w:hAnsi="仿宋" w:eastAsia="仿宋" w:cs="仿宋"/>
                <w:color w:val="auto"/>
                <w:spacing w:val="30"/>
                <w:szCs w:val="21"/>
                <w:highlight w:val="none"/>
              </w:rPr>
              <w:t>3、对产品先进性描述基本准确，相关资料不够完善，但能体现所投产品在同行业同类产品中具备一定先进性的特点得1分；</w:t>
            </w:r>
          </w:p>
          <w:p>
            <w:pPr>
              <w:jc w:val="left"/>
              <w:rPr>
                <w:rFonts w:ascii="仿宋" w:hAnsi="仿宋" w:eastAsia="仿宋" w:cs="仿宋"/>
                <w:color w:val="auto"/>
                <w:spacing w:val="30"/>
                <w:szCs w:val="21"/>
                <w:highlight w:val="none"/>
              </w:rPr>
            </w:pPr>
            <w:r>
              <w:rPr>
                <w:rFonts w:hint="eastAsia" w:ascii="仿宋" w:hAnsi="仿宋" w:eastAsia="仿宋" w:cs="仿宋"/>
                <w:color w:val="auto"/>
                <w:spacing w:val="30"/>
                <w:szCs w:val="21"/>
                <w:highlight w:val="none"/>
              </w:rPr>
              <w:t>4、不响应不得分。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97" w:type="pct"/>
            <w:vMerge w:val="continue"/>
            <w:tcBorders>
              <w:left w:val="outset" w:color="auto" w:sz="6" w:space="0"/>
              <w:right w:val="outset" w:color="auto" w:sz="6" w:space="0"/>
            </w:tcBorders>
            <w:vAlign w:val="center"/>
          </w:tcPr>
          <w:p>
            <w:pPr>
              <w:jc w:val="left"/>
              <w:rPr>
                <w:rFonts w:ascii="仿宋" w:hAnsi="仿宋" w:eastAsia="仿宋" w:cs="仿宋"/>
                <w:color w:val="auto"/>
                <w:highlight w:val="none"/>
              </w:rPr>
            </w:pPr>
          </w:p>
        </w:tc>
        <w:tc>
          <w:tcPr>
            <w:tcW w:w="499" w:type="pct"/>
            <w:vMerge w:val="continue"/>
            <w:tcBorders>
              <w:left w:val="outset" w:color="auto" w:sz="6" w:space="0"/>
              <w:right w:val="outset" w:color="auto" w:sz="6" w:space="0"/>
            </w:tcBorders>
            <w:vAlign w:val="center"/>
          </w:tcPr>
          <w:p>
            <w:pPr>
              <w:jc w:val="center"/>
              <w:rPr>
                <w:rFonts w:ascii="仿宋" w:hAnsi="仿宋" w:eastAsia="仿宋" w:cs="仿宋"/>
                <w:color w:val="auto"/>
                <w:spacing w:val="30"/>
                <w:highlight w:val="none"/>
              </w:rPr>
            </w:pPr>
          </w:p>
        </w:tc>
        <w:tc>
          <w:tcPr>
            <w:tcW w:w="876" w:type="pct"/>
            <w:vMerge w:val="continue"/>
            <w:tcBorders>
              <w:left w:val="outset" w:color="auto" w:sz="6" w:space="0"/>
              <w:right w:val="outset" w:color="auto" w:sz="6" w:space="0"/>
            </w:tcBorders>
            <w:vAlign w:val="center"/>
          </w:tcPr>
          <w:p>
            <w:pPr>
              <w:jc w:val="center"/>
              <w:rPr>
                <w:rFonts w:ascii="仿宋" w:hAnsi="仿宋" w:eastAsia="仿宋" w:cs="仿宋"/>
                <w:color w:val="auto"/>
                <w:spacing w:val="30"/>
                <w:highlight w:val="none"/>
              </w:rPr>
            </w:pPr>
          </w:p>
        </w:tc>
        <w:tc>
          <w:tcPr>
            <w:tcW w:w="734" w:type="pct"/>
            <w:vMerge w:val="continue"/>
            <w:tcBorders>
              <w:left w:val="outset" w:color="auto" w:sz="6" w:space="0"/>
              <w:right w:val="outset" w:color="auto" w:sz="6" w:space="0"/>
            </w:tcBorders>
            <w:vAlign w:val="center"/>
          </w:tcPr>
          <w:p>
            <w:pPr>
              <w:jc w:val="left"/>
              <w:rPr>
                <w:rFonts w:ascii="仿宋" w:hAnsi="仿宋" w:eastAsia="仿宋" w:cs="仿宋"/>
                <w:color w:val="auto"/>
                <w:spacing w:val="30"/>
                <w:highlight w:val="none"/>
              </w:rPr>
            </w:pPr>
          </w:p>
        </w:tc>
        <w:tc>
          <w:tcPr>
            <w:tcW w:w="2093" w:type="pct"/>
            <w:tcBorders>
              <w:top w:val="outset" w:color="auto" w:sz="6" w:space="0"/>
              <w:left w:val="outset" w:color="auto" w:sz="6" w:space="0"/>
              <w:bottom w:val="outset" w:color="auto" w:sz="6" w:space="0"/>
              <w:right w:val="outset" w:color="auto" w:sz="6" w:space="0"/>
            </w:tcBorders>
            <w:vAlign w:val="center"/>
          </w:tcPr>
          <w:p>
            <w:pPr>
              <w:jc w:val="left"/>
              <w:rPr>
                <w:rFonts w:hint="eastAsia" w:ascii="仿宋" w:hAnsi="仿宋" w:eastAsia="仿宋" w:cs="仿宋"/>
                <w:b/>
                <w:bCs/>
                <w:color w:val="auto"/>
                <w:spacing w:val="30"/>
                <w:szCs w:val="21"/>
                <w:highlight w:val="none"/>
              </w:rPr>
            </w:pPr>
            <w:r>
              <w:rPr>
                <w:rFonts w:hint="eastAsia" w:ascii="仿宋" w:hAnsi="仿宋" w:eastAsia="仿宋" w:cs="仿宋"/>
                <w:b/>
                <w:bCs/>
                <w:color w:val="auto"/>
                <w:spacing w:val="30"/>
                <w:szCs w:val="21"/>
                <w:highlight w:val="none"/>
              </w:rPr>
              <w:t>实用性：</w:t>
            </w:r>
          </w:p>
          <w:p>
            <w:pPr>
              <w:jc w:val="left"/>
              <w:rPr>
                <w:rFonts w:hint="eastAsia" w:ascii="仿宋" w:hAnsi="仿宋" w:eastAsia="仿宋" w:cs="仿宋"/>
                <w:color w:val="auto"/>
                <w:spacing w:val="30"/>
                <w:szCs w:val="21"/>
                <w:highlight w:val="none"/>
              </w:rPr>
            </w:pPr>
            <w:r>
              <w:rPr>
                <w:rFonts w:hint="eastAsia" w:ascii="仿宋" w:hAnsi="仿宋" w:eastAsia="仿宋" w:cs="仿宋"/>
                <w:color w:val="auto"/>
                <w:spacing w:val="30"/>
                <w:szCs w:val="21"/>
                <w:highlight w:val="none"/>
              </w:rPr>
              <w:t>1、对产品实用性描述详细、真实、准确，相关资料能充分体现所投产品在实际应急救援活动中具备非常鲜明的实用性特点且符合项目需求的得</w:t>
            </w:r>
            <w:r>
              <w:rPr>
                <w:rFonts w:hint="eastAsia" w:ascii="仿宋" w:hAnsi="仿宋" w:eastAsia="仿宋" w:cs="仿宋"/>
                <w:color w:val="auto"/>
                <w:spacing w:val="30"/>
                <w:szCs w:val="21"/>
                <w:highlight w:val="none"/>
                <w:lang w:val="en-US" w:eastAsia="zh-CN"/>
              </w:rPr>
              <w:t>7</w:t>
            </w:r>
            <w:r>
              <w:rPr>
                <w:rFonts w:hint="eastAsia" w:ascii="仿宋" w:hAnsi="仿宋" w:eastAsia="仿宋" w:cs="仿宋"/>
                <w:color w:val="auto"/>
                <w:spacing w:val="30"/>
                <w:szCs w:val="21"/>
                <w:highlight w:val="none"/>
              </w:rPr>
              <w:t>分；</w:t>
            </w:r>
          </w:p>
          <w:p>
            <w:pPr>
              <w:jc w:val="left"/>
              <w:rPr>
                <w:rFonts w:hint="eastAsia" w:ascii="仿宋" w:hAnsi="仿宋" w:eastAsia="仿宋" w:cs="仿宋"/>
                <w:color w:val="auto"/>
                <w:spacing w:val="30"/>
                <w:szCs w:val="21"/>
                <w:highlight w:val="none"/>
              </w:rPr>
            </w:pPr>
            <w:r>
              <w:rPr>
                <w:rFonts w:hint="eastAsia" w:ascii="仿宋" w:hAnsi="仿宋" w:eastAsia="仿宋" w:cs="仿宋"/>
                <w:color w:val="auto"/>
                <w:spacing w:val="30"/>
                <w:szCs w:val="21"/>
                <w:highlight w:val="none"/>
              </w:rPr>
              <w:t>2、对产品实用性描述较为详细、真实、准确，相关资料能体现所投产品在实际应急救援活动中具备一定实用性特点得</w:t>
            </w:r>
            <w:r>
              <w:rPr>
                <w:rFonts w:hint="eastAsia" w:ascii="仿宋" w:hAnsi="仿宋" w:eastAsia="仿宋" w:cs="仿宋"/>
                <w:color w:val="auto"/>
                <w:spacing w:val="30"/>
                <w:szCs w:val="21"/>
                <w:highlight w:val="none"/>
                <w:lang w:val="en-US" w:eastAsia="zh-CN"/>
              </w:rPr>
              <w:t>3</w:t>
            </w:r>
            <w:r>
              <w:rPr>
                <w:rFonts w:hint="eastAsia" w:ascii="仿宋" w:hAnsi="仿宋" w:eastAsia="仿宋" w:cs="仿宋"/>
                <w:color w:val="auto"/>
                <w:spacing w:val="30"/>
                <w:szCs w:val="21"/>
                <w:highlight w:val="none"/>
              </w:rPr>
              <w:t>分；</w:t>
            </w:r>
          </w:p>
          <w:p>
            <w:pPr>
              <w:jc w:val="left"/>
              <w:rPr>
                <w:rFonts w:hint="eastAsia" w:ascii="仿宋" w:hAnsi="仿宋" w:eastAsia="仿宋" w:cs="仿宋"/>
                <w:color w:val="auto"/>
                <w:spacing w:val="30"/>
                <w:szCs w:val="21"/>
                <w:highlight w:val="none"/>
              </w:rPr>
            </w:pPr>
            <w:r>
              <w:rPr>
                <w:rFonts w:hint="eastAsia" w:ascii="仿宋" w:hAnsi="仿宋" w:eastAsia="仿宋" w:cs="仿宋"/>
                <w:color w:val="auto"/>
                <w:spacing w:val="30"/>
                <w:szCs w:val="21"/>
                <w:highlight w:val="none"/>
              </w:rPr>
              <w:t>3、对产品实用性描述基本准确，相关资料不够充分，但能体现所投产品在实际应急救援活动中能体现一定实用性特点得</w:t>
            </w:r>
            <w:r>
              <w:rPr>
                <w:rFonts w:hint="eastAsia" w:ascii="仿宋" w:hAnsi="仿宋" w:eastAsia="仿宋" w:cs="仿宋"/>
                <w:color w:val="auto"/>
                <w:spacing w:val="30"/>
                <w:szCs w:val="21"/>
                <w:highlight w:val="none"/>
                <w:lang w:val="en-US" w:eastAsia="zh-CN"/>
              </w:rPr>
              <w:t>1</w:t>
            </w:r>
            <w:r>
              <w:rPr>
                <w:rFonts w:hint="eastAsia" w:ascii="仿宋" w:hAnsi="仿宋" w:eastAsia="仿宋" w:cs="仿宋"/>
                <w:color w:val="auto"/>
                <w:spacing w:val="30"/>
                <w:szCs w:val="21"/>
                <w:highlight w:val="none"/>
              </w:rPr>
              <w:t>分；</w:t>
            </w:r>
          </w:p>
          <w:p>
            <w:pPr>
              <w:jc w:val="left"/>
              <w:rPr>
                <w:rFonts w:ascii="仿宋" w:hAnsi="仿宋" w:eastAsia="仿宋" w:cs="仿宋"/>
                <w:color w:val="auto"/>
                <w:spacing w:val="30"/>
                <w:szCs w:val="21"/>
                <w:highlight w:val="none"/>
              </w:rPr>
            </w:pPr>
            <w:r>
              <w:rPr>
                <w:rFonts w:hint="eastAsia" w:ascii="仿宋" w:hAnsi="仿宋" w:eastAsia="仿宋" w:cs="仿宋"/>
                <w:color w:val="auto"/>
                <w:spacing w:val="30"/>
                <w:szCs w:val="21"/>
                <w:highlight w:val="none"/>
              </w:rPr>
              <w:t>4、不响应不得分。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tcBorders>
              <w:top w:val="outset" w:color="auto" w:sz="6" w:space="0"/>
              <w:left w:val="outset" w:color="auto" w:sz="6" w:space="0"/>
              <w:right w:val="outset" w:color="auto" w:sz="6" w:space="0"/>
            </w:tcBorders>
            <w:vAlign w:val="center"/>
          </w:tcPr>
          <w:p>
            <w:pPr>
              <w:jc w:val="left"/>
              <w:rPr>
                <w:rFonts w:ascii="仿宋" w:hAnsi="仿宋" w:eastAsia="仿宋" w:cs="仿宋"/>
                <w:color w:val="auto"/>
                <w:highlight w:val="none"/>
              </w:rPr>
            </w:pPr>
          </w:p>
        </w:tc>
        <w:tc>
          <w:tcPr>
            <w:tcW w:w="499" w:type="pct"/>
            <w:vMerge w:val="continue"/>
            <w:tcBorders>
              <w:left w:val="outset" w:color="auto" w:sz="6" w:space="0"/>
              <w:right w:val="outset" w:color="auto" w:sz="6" w:space="0"/>
            </w:tcBorders>
            <w:vAlign w:val="center"/>
          </w:tcPr>
          <w:p>
            <w:pPr>
              <w:jc w:val="center"/>
              <w:rPr>
                <w:rFonts w:ascii="仿宋" w:hAnsi="仿宋" w:eastAsia="仿宋" w:cs="仿宋"/>
                <w:color w:val="auto"/>
                <w:spacing w:val="30"/>
                <w:highlight w:val="none"/>
              </w:rPr>
            </w:pPr>
          </w:p>
        </w:tc>
        <w:tc>
          <w:tcPr>
            <w:tcW w:w="876" w:type="pct"/>
            <w:vMerge w:val="continue"/>
            <w:tcBorders>
              <w:left w:val="outset" w:color="auto" w:sz="6" w:space="0"/>
              <w:right w:val="outset" w:color="auto" w:sz="6" w:space="0"/>
            </w:tcBorders>
            <w:vAlign w:val="center"/>
          </w:tcPr>
          <w:p>
            <w:pPr>
              <w:jc w:val="center"/>
              <w:rPr>
                <w:rFonts w:ascii="仿宋" w:hAnsi="仿宋" w:eastAsia="仿宋" w:cs="仿宋"/>
                <w:color w:val="auto"/>
                <w:spacing w:val="30"/>
                <w:highlight w:val="none"/>
              </w:rPr>
            </w:pPr>
          </w:p>
        </w:tc>
        <w:tc>
          <w:tcPr>
            <w:tcW w:w="734" w:type="pct"/>
            <w:vMerge w:val="continue"/>
            <w:tcBorders>
              <w:left w:val="outset" w:color="auto" w:sz="6" w:space="0"/>
              <w:right w:val="outset" w:color="auto" w:sz="6" w:space="0"/>
            </w:tcBorders>
            <w:vAlign w:val="center"/>
          </w:tcPr>
          <w:p>
            <w:pPr>
              <w:jc w:val="left"/>
              <w:rPr>
                <w:rFonts w:ascii="仿宋" w:hAnsi="仿宋" w:eastAsia="仿宋" w:cs="仿宋"/>
                <w:color w:val="auto"/>
                <w:spacing w:val="30"/>
                <w:highlight w:val="none"/>
              </w:rPr>
            </w:pPr>
          </w:p>
        </w:tc>
        <w:tc>
          <w:tcPr>
            <w:tcW w:w="2093" w:type="pct"/>
            <w:tcBorders>
              <w:top w:val="outset" w:color="auto" w:sz="6" w:space="0"/>
              <w:left w:val="outset" w:color="auto" w:sz="6" w:space="0"/>
              <w:bottom w:val="outset" w:color="auto" w:sz="6" w:space="0"/>
              <w:right w:val="outset" w:color="auto" w:sz="6" w:space="0"/>
            </w:tcBorders>
            <w:vAlign w:val="center"/>
          </w:tcPr>
          <w:p>
            <w:pPr>
              <w:jc w:val="left"/>
              <w:rPr>
                <w:rFonts w:hint="eastAsia" w:ascii="仿宋" w:hAnsi="仿宋" w:eastAsia="仿宋" w:cs="仿宋"/>
                <w:b/>
                <w:bCs/>
                <w:color w:val="auto"/>
                <w:spacing w:val="30"/>
                <w:szCs w:val="21"/>
                <w:highlight w:val="none"/>
              </w:rPr>
            </w:pPr>
            <w:r>
              <w:rPr>
                <w:rFonts w:hint="eastAsia" w:ascii="仿宋" w:hAnsi="仿宋" w:eastAsia="仿宋" w:cs="仿宋"/>
                <w:b/>
                <w:bCs/>
                <w:color w:val="auto"/>
                <w:spacing w:val="30"/>
                <w:szCs w:val="21"/>
                <w:highlight w:val="none"/>
              </w:rPr>
              <w:t>耐用性：</w:t>
            </w:r>
          </w:p>
          <w:p>
            <w:pPr>
              <w:jc w:val="left"/>
              <w:rPr>
                <w:rFonts w:hint="eastAsia" w:ascii="仿宋" w:hAnsi="仿宋" w:eastAsia="仿宋" w:cs="仿宋"/>
                <w:color w:val="auto"/>
                <w:spacing w:val="30"/>
                <w:szCs w:val="21"/>
                <w:highlight w:val="none"/>
              </w:rPr>
            </w:pPr>
            <w:r>
              <w:rPr>
                <w:rFonts w:hint="eastAsia" w:ascii="仿宋" w:hAnsi="仿宋" w:eastAsia="仿宋" w:cs="仿宋"/>
                <w:color w:val="auto"/>
                <w:spacing w:val="30"/>
                <w:szCs w:val="21"/>
                <w:highlight w:val="none"/>
              </w:rPr>
              <w:t>1、对产品耐用性描述详细、真实、准确，相关资料能充分体现所投产品在同行业同类产品中具备非常耐用性的特点且符合项目需求的得</w:t>
            </w:r>
            <w:r>
              <w:rPr>
                <w:rFonts w:hint="eastAsia" w:ascii="仿宋" w:hAnsi="仿宋" w:eastAsia="仿宋" w:cs="仿宋"/>
                <w:color w:val="auto"/>
                <w:spacing w:val="30"/>
                <w:szCs w:val="21"/>
                <w:highlight w:val="none"/>
                <w:lang w:val="en-US" w:eastAsia="zh-CN"/>
              </w:rPr>
              <w:t>6</w:t>
            </w:r>
            <w:r>
              <w:rPr>
                <w:rFonts w:hint="eastAsia" w:ascii="仿宋" w:hAnsi="仿宋" w:eastAsia="仿宋" w:cs="仿宋"/>
                <w:color w:val="auto"/>
                <w:spacing w:val="30"/>
                <w:szCs w:val="21"/>
                <w:highlight w:val="none"/>
              </w:rPr>
              <w:t>分；</w:t>
            </w:r>
          </w:p>
          <w:p>
            <w:pPr>
              <w:jc w:val="left"/>
              <w:rPr>
                <w:rFonts w:hint="eastAsia" w:ascii="仿宋" w:hAnsi="仿宋" w:eastAsia="仿宋" w:cs="仿宋"/>
                <w:color w:val="auto"/>
                <w:spacing w:val="30"/>
                <w:szCs w:val="21"/>
                <w:highlight w:val="none"/>
              </w:rPr>
            </w:pPr>
            <w:r>
              <w:rPr>
                <w:rFonts w:hint="eastAsia" w:ascii="仿宋" w:hAnsi="仿宋" w:eastAsia="仿宋" w:cs="仿宋"/>
                <w:color w:val="auto"/>
                <w:spacing w:val="30"/>
                <w:szCs w:val="21"/>
                <w:highlight w:val="none"/>
              </w:rPr>
              <w:t>2、对产品耐用性描述较为详细、真实、准确，相关资料能体现所投产品在同行业同类产品中具备较为耐用性的特点得</w:t>
            </w:r>
            <w:r>
              <w:rPr>
                <w:rFonts w:hint="eastAsia" w:ascii="仿宋" w:hAnsi="仿宋" w:eastAsia="仿宋" w:cs="仿宋"/>
                <w:color w:val="auto"/>
                <w:spacing w:val="30"/>
                <w:szCs w:val="21"/>
                <w:highlight w:val="none"/>
                <w:lang w:val="en-US" w:eastAsia="zh-CN"/>
              </w:rPr>
              <w:t>3</w:t>
            </w:r>
            <w:r>
              <w:rPr>
                <w:rFonts w:hint="eastAsia" w:ascii="仿宋" w:hAnsi="仿宋" w:eastAsia="仿宋" w:cs="仿宋"/>
                <w:color w:val="auto"/>
                <w:spacing w:val="30"/>
                <w:szCs w:val="21"/>
                <w:highlight w:val="none"/>
              </w:rPr>
              <w:t>分；</w:t>
            </w:r>
          </w:p>
          <w:p>
            <w:pPr>
              <w:jc w:val="left"/>
              <w:rPr>
                <w:rFonts w:hint="eastAsia" w:ascii="仿宋" w:hAnsi="仿宋" w:eastAsia="仿宋" w:cs="仿宋"/>
                <w:color w:val="auto"/>
                <w:spacing w:val="30"/>
                <w:szCs w:val="21"/>
                <w:highlight w:val="none"/>
              </w:rPr>
            </w:pPr>
            <w:r>
              <w:rPr>
                <w:rFonts w:hint="eastAsia" w:ascii="仿宋" w:hAnsi="仿宋" w:eastAsia="仿宋" w:cs="仿宋"/>
                <w:color w:val="auto"/>
                <w:spacing w:val="30"/>
                <w:szCs w:val="21"/>
                <w:highlight w:val="none"/>
              </w:rPr>
              <w:t>3、对产品耐用描述基本准确，相关资料不够完善，但能体现所投产品在同行业同类产品中具备一定耐用的特点得</w:t>
            </w:r>
            <w:r>
              <w:rPr>
                <w:rFonts w:hint="eastAsia" w:ascii="仿宋" w:hAnsi="仿宋" w:eastAsia="仿宋" w:cs="仿宋"/>
                <w:color w:val="auto"/>
                <w:spacing w:val="30"/>
                <w:szCs w:val="21"/>
                <w:highlight w:val="none"/>
                <w:lang w:val="en-US" w:eastAsia="zh-CN"/>
              </w:rPr>
              <w:t>1</w:t>
            </w:r>
            <w:r>
              <w:rPr>
                <w:rFonts w:hint="eastAsia" w:ascii="仿宋" w:hAnsi="仿宋" w:eastAsia="仿宋" w:cs="仿宋"/>
                <w:color w:val="auto"/>
                <w:spacing w:val="30"/>
                <w:szCs w:val="21"/>
                <w:highlight w:val="none"/>
              </w:rPr>
              <w:t>分；</w:t>
            </w:r>
          </w:p>
          <w:p>
            <w:pPr>
              <w:jc w:val="left"/>
              <w:rPr>
                <w:rFonts w:ascii="仿宋" w:hAnsi="仿宋" w:eastAsia="仿宋" w:cs="仿宋"/>
                <w:color w:val="auto"/>
                <w:spacing w:val="30"/>
                <w:szCs w:val="21"/>
                <w:highlight w:val="none"/>
              </w:rPr>
            </w:pPr>
            <w:r>
              <w:rPr>
                <w:rFonts w:hint="eastAsia" w:ascii="仿宋" w:hAnsi="仿宋" w:eastAsia="仿宋" w:cs="仿宋"/>
                <w:color w:val="auto"/>
                <w:spacing w:val="30"/>
                <w:szCs w:val="21"/>
                <w:highlight w:val="none"/>
              </w:rPr>
              <w:t>4、不响应不得分。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restart"/>
            <w:tcBorders>
              <w:top w:val="outset" w:color="auto" w:sz="6" w:space="0"/>
              <w:left w:val="outset" w:color="auto" w:sz="6" w:space="0"/>
              <w:right w:val="outset" w:color="auto" w:sz="6" w:space="0"/>
            </w:tcBorders>
            <w:vAlign w:val="center"/>
          </w:tcPr>
          <w:p>
            <w:pPr>
              <w:jc w:val="left"/>
              <w:rPr>
                <w:rFonts w:ascii="仿宋" w:hAnsi="仿宋" w:eastAsia="仿宋" w:cs="仿宋"/>
                <w:color w:val="auto"/>
                <w:highlight w:val="none"/>
              </w:rPr>
            </w:pPr>
            <w:r>
              <w:rPr>
                <w:rFonts w:hint="eastAsia" w:ascii="仿宋" w:hAnsi="仿宋" w:eastAsia="仿宋" w:cs="仿宋"/>
                <w:color w:val="auto"/>
                <w:spacing w:val="30"/>
                <w:highlight w:val="none"/>
              </w:rPr>
              <w:t>综合标评分参数</w:t>
            </w:r>
          </w:p>
        </w:tc>
        <w:tc>
          <w:tcPr>
            <w:tcW w:w="0" w:type="auto"/>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highlight w:val="none"/>
              </w:rPr>
            </w:pPr>
            <w:r>
              <w:rPr>
                <w:rFonts w:hint="eastAsia" w:ascii="仿宋" w:hAnsi="仿宋" w:eastAsia="仿宋" w:cs="仿宋"/>
                <w:color w:val="auto"/>
                <w:spacing w:val="30"/>
                <w:highlight w:val="none"/>
              </w:rPr>
              <w:t>0.00</w:t>
            </w:r>
          </w:p>
        </w:tc>
        <w:tc>
          <w:tcPr>
            <w:tcW w:w="876" w:type="pct"/>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highlight w:val="none"/>
              </w:rPr>
            </w:pPr>
            <w:r>
              <w:rPr>
                <w:rFonts w:hint="eastAsia" w:ascii="仿宋" w:hAnsi="仿宋" w:eastAsia="仿宋" w:cs="仿宋"/>
                <w:color w:val="auto"/>
                <w:spacing w:val="30"/>
                <w:highlight w:val="none"/>
              </w:rPr>
              <w:t>0.50</w:t>
            </w:r>
          </w:p>
        </w:tc>
        <w:tc>
          <w:tcPr>
            <w:tcW w:w="734" w:type="pct"/>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r>
              <w:rPr>
                <w:rFonts w:hint="eastAsia" w:ascii="仿宋" w:hAnsi="仿宋" w:eastAsia="仿宋" w:cs="仿宋"/>
                <w:color w:val="auto"/>
                <w:spacing w:val="30"/>
                <w:highlight w:val="none"/>
              </w:rPr>
              <w:t>节能产品</w:t>
            </w:r>
          </w:p>
        </w:tc>
        <w:tc>
          <w:tcPr>
            <w:tcW w:w="2093" w:type="pct"/>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sz w:val="18"/>
                <w:szCs w:val="18"/>
                <w:highlight w:val="none"/>
              </w:rPr>
            </w:pPr>
            <w:r>
              <w:rPr>
                <w:rFonts w:hint="eastAsia" w:ascii="仿宋" w:hAnsi="仿宋" w:eastAsia="仿宋" w:cs="仿宋"/>
                <w:color w:val="auto"/>
                <w:spacing w:val="30"/>
                <w:szCs w:val="21"/>
                <w:highlight w:val="none"/>
              </w:rPr>
              <w:t>除政府采购强制节能产品外，投标产品为节能产品政府采购品目清单内产品，每有一项加0.25分，最多加0.5分。应提供所报节能产品的《中国节能产品认证证书》扫描件（认证证书未载明规格型号的，须同时提供认证证书配套附件），认证证书应在有效期内，且认证机构在《市场监管总局关于发布参与实施政府采购节能产品、环境标志产品认证机构名录的公告》目录内，否则不予确认。</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p>
        </w:tc>
        <w:tc>
          <w:tcPr>
            <w:tcW w:w="0" w:type="auto"/>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highlight w:val="none"/>
              </w:rPr>
            </w:pPr>
            <w:r>
              <w:rPr>
                <w:rFonts w:hint="eastAsia" w:ascii="仿宋" w:hAnsi="仿宋" w:eastAsia="仿宋" w:cs="仿宋"/>
                <w:color w:val="auto"/>
                <w:spacing w:val="30"/>
                <w:highlight w:val="none"/>
              </w:rPr>
              <w:t>0.00</w:t>
            </w:r>
          </w:p>
        </w:tc>
        <w:tc>
          <w:tcPr>
            <w:tcW w:w="876" w:type="pct"/>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highlight w:val="none"/>
              </w:rPr>
            </w:pPr>
            <w:r>
              <w:rPr>
                <w:rFonts w:hint="eastAsia" w:ascii="仿宋" w:hAnsi="仿宋" w:eastAsia="仿宋" w:cs="仿宋"/>
                <w:color w:val="auto"/>
                <w:spacing w:val="30"/>
                <w:highlight w:val="none"/>
              </w:rPr>
              <w:t>0.50</w:t>
            </w:r>
          </w:p>
        </w:tc>
        <w:tc>
          <w:tcPr>
            <w:tcW w:w="734" w:type="pct"/>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r>
              <w:rPr>
                <w:rFonts w:hint="eastAsia" w:ascii="仿宋" w:hAnsi="仿宋" w:eastAsia="仿宋" w:cs="仿宋"/>
                <w:color w:val="auto"/>
                <w:spacing w:val="30"/>
                <w:highlight w:val="none"/>
              </w:rPr>
              <w:t>环境标志产品</w:t>
            </w:r>
          </w:p>
        </w:tc>
        <w:tc>
          <w:tcPr>
            <w:tcW w:w="2093" w:type="pct"/>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sz w:val="18"/>
                <w:szCs w:val="18"/>
                <w:highlight w:val="none"/>
              </w:rPr>
            </w:pPr>
            <w:r>
              <w:rPr>
                <w:rFonts w:hint="eastAsia" w:ascii="仿宋" w:hAnsi="仿宋" w:eastAsia="仿宋" w:cs="仿宋"/>
                <w:color w:val="auto"/>
                <w:spacing w:val="30"/>
                <w:szCs w:val="21"/>
                <w:highlight w:val="none"/>
              </w:rPr>
              <w:t>投标产品为环境标志产品政府采购品目清单内的产品，每有一项加0.25分，最多加0.5分。应提供所报环境标志产品的《中国环境标志产品认证证书》扫描件（认证证书未载明规格型号的，须同时提供认证证书配套附件），认证证书应在有效期内，且认证机构在《市场监管总局关于发布参与实施政府采购节能产品、环境标志产品认证机构名录的公告》目录内，否则不予确认。</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p>
        </w:tc>
        <w:tc>
          <w:tcPr>
            <w:tcW w:w="0" w:type="auto"/>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highlight w:val="none"/>
              </w:rPr>
            </w:pPr>
            <w:r>
              <w:rPr>
                <w:rFonts w:hint="eastAsia" w:ascii="仿宋" w:hAnsi="仿宋" w:eastAsia="仿宋" w:cs="仿宋"/>
                <w:color w:val="auto"/>
                <w:spacing w:val="30"/>
                <w:highlight w:val="none"/>
              </w:rPr>
              <w:t>0.00</w:t>
            </w:r>
          </w:p>
        </w:tc>
        <w:tc>
          <w:tcPr>
            <w:tcW w:w="876" w:type="pct"/>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highlight w:val="none"/>
              </w:rPr>
            </w:pPr>
            <w:r>
              <w:rPr>
                <w:rFonts w:hint="eastAsia" w:ascii="仿宋" w:hAnsi="仿宋" w:eastAsia="仿宋" w:cs="仿宋"/>
                <w:color w:val="auto"/>
                <w:spacing w:val="30"/>
                <w:highlight w:val="none"/>
              </w:rPr>
              <w:t>8.00</w:t>
            </w:r>
          </w:p>
        </w:tc>
        <w:tc>
          <w:tcPr>
            <w:tcW w:w="734" w:type="pct"/>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r>
              <w:rPr>
                <w:rFonts w:hint="eastAsia" w:ascii="仿宋" w:hAnsi="仿宋" w:eastAsia="仿宋" w:cs="仿宋"/>
                <w:color w:val="auto"/>
                <w:spacing w:val="30"/>
                <w:highlight w:val="none"/>
              </w:rPr>
              <w:t>售后服务方案</w:t>
            </w:r>
          </w:p>
        </w:tc>
        <w:tc>
          <w:tcPr>
            <w:tcW w:w="2093" w:type="pct"/>
            <w:tcBorders>
              <w:top w:val="outset" w:color="auto" w:sz="6" w:space="0"/>
              <w:left w:val="outset" w:color="auto" w:sz="6" w:space="0"/>
              <w:bottom w:val="outset" w:color="auto" w:sz="6" w:space="0"/>
              <w:right w:val="outset" w:color="auto" w:sz="6" w:space="0"/>
            </w:tcBorders>
            <w:vAlign w:val="center"/>
          </w:tcPr>
          <w:p>
            <w:pPr>
              <w:jc w:val="left"/>
              <w:rPr>
                <w:rFonts w:hint="eastAsia" w:ascii="仿宋" w:hAnsi="仿宋" w:eastAsia="仿宋" w:cs="仿宋"/>
                <w:color w:val="auto"/>
                <w:spacing w:val="30"/>
                <w:szCs w:val="21"/>
                <w:highlight w:val="none"/>
              </w:rPr>
            </w:pPr>
            <w:r>
              <w:rPr>
                <w:rFonts w:hint="eastAsia" w:ascii="仿宋" w:hAnsi="仿宋" w:eastAsia="仿宋" w:cs="仿宋"/>
                <w:color w:val="auto"/>
                <w:spacing w:val="30"/>
                <w:szCs w:val="21"/>
                <w:highlight w:val="none"/>
                <w:lang w:val="en-US" w:eastAsia="zh-CN"/>
              </w:rPr>
              <w:t>1.售后服务方案：包括售后服务保证、服务方案、质保期、售后服务团队规模、售后服务机构人员配置、售后服务网点配置、配件储备情况以及其他优惠的售后服务措施，内容完整、合理、详实、符合项目需要的得7分；内容完整、较合理的得3分；内容不够完整，不清晰的得1分 ；无本项内容不得分。</w:t>
            </w:r>
          </w:p>
          <w:p>
            <w:pPr>
              <w:numPr>
                <w:ilvl w:val="0"/>
                <w:numId w:val="0"/>
              </w:numPr>
              <w:jc w:val="left"/>
              <w:rPr>
                <w:rFonts w:ascii="仿宋" w:hAnsi="仿宋" w:eastAsia="仿宋" w:cs="仿宋"/>
                <w:color w:val="auto"/>
                <w:spacing w:val="30"/>
                <w:highlight w:val="none"/>
              </w:rPr>
            </w:pPr>
            <w:r>
              <w:rPr>
                <w:rFonts w:hint="eastAsia" w:ascii="仿宋" w:hAnsi="仿宋" w:eastAsia="仿宋" w:cs="仿宋"/>
                <w:color w:val="auto"/>
                <w:spacing w:val="30"/>
                <w:szCs w:val="21"/>
                <w:highlight w:val="none"/>
                <w:lang w:val="en-US" w:eastAsia="zh-CN"/>
              </w:rPr>
              <w:t>2.质保期承诺：质保期每延长1年得0.5分，最多得1分。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p>
        </w:tc>
        <w:tc>
          <w:tcPr>
            <w:tcW w:w="0" w:type="auto"/>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highlight w:val="none"/>
              </w:rPr>
            </w:pPr>
            <w:r>
              <w:rPr>
                <w:rFonts w:hint="eastAsia" w:ascii="仿宋" w:hAnsi="仿宋" w:eastAsia="仿宋" w:cs="仿宋"/>
                <w:color w:val="auto"/>
                <w:spacing w:val="30"/>
                <w:highlight w:val="none"/>
              </w:rPr>
              <w:t>0.00</w:t>
            </w:r>
          </w:p>
        </w:tc>
        <w:tc>
          <w:tcPr>
            <w:tcW w:w="876" w:type="pct"/>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highlight w:val="none"/>
              </w:rPr>
            </w:pPr>
            <w:r>
              <w:rPr>
                <w:rFonts w:hint="eastAsia" w:ascii="仿宋" w:hAnsi="仿宋" w:eastAsia="仿宋" w:cs="仿宋"/>
                <w:color w:val="auto"/>
                <w:spacing w:val="30"/>
                <w:highlight w:val="none"/>
              </w:rPr>
              <w:t>5.00</w:t>
            </w:r>
          </w:p>
        </w:tc>
        <w:tc>
          <w:tcPr>
            <w:tcW w:w="734" w:type="pct"/>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r>
              <w:rPr>
                <w:rFonts w:hint="eastAsia" w:ascii="仿宋" w:hAnsi="仿宋" w:eastAsia="仿宋" w:cs="仿宋"/>
                <w:color w:val="auto"/>
                <w:spacing w:val="30"/>
                <w:highlight w:val="none"/>
              </w:rPr>
              <w:t>人员培训承诺</w:t>
            </w:r>
          </w:p>
        </w:tc>
        <w:tc>
          <w:tcPr>
            <w:tcW w:w="2093" w:type="pct"/>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r>
              <w:rPr>
                <w:rFonts w:hint="eastAsia" w:ascii="仿宋" w:hAnsi="仿宋" w:eastAsia="仿宋" w:cs="仿宋"/>
                <w:color w:val="auto"/>
                <w:spacing w:val="30"/>
                <w:szCs w:val="21"/>
                <w:highlight w:val="none"/>
                <w:lang w:val="en-US" w:eastAsia="zh-CN"/>
              </w:rPr>
              <w:t>含培训目标、培训对象、培训方式、培训内容、培训时间、培训资源。内容完整、合理、详实、符合项目需求的得5分；内容完整、较为合理的得3分；内容不够完整、不清晰的得1分；无本项内容不得分。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p>
        </w:tc>
        <w:tc>
          <w:tcPr>
            <w:tcW w:w="0" w:type="auto"/>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highlight w:val="none"/>
              </w:rPr>
            </w:pPr>
            <w:r>
              <w:rPr>
                <w:rFonts w:hint="eastAsia" w:ascii="仿宋" w:hAnsi="仿宋" w:eastAsia="仿宋" w:cs="仿宋"/>
                <w:color w:val="auto"/>
                <w:spacing w:val="30"/>
                <w:highlight w:val="none"/>
              </w:rPr>
              <w:t>0.00</w:t>
            </w:r>
          </w:p>
        </w:tc>
        <w:tc>
          <w:tcPr>
            <w:tcW w:w="876" w:type="pct"/>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highlight w:val="none"/>
              </w:rPr>
            </w:pPr>
            <w:r>
              <w:rPr>
                <w:rFonts w:hint="eastAsia" w:ascii="仿宋" w:hAnsi="仿宋" w:eastAsia="仿宋" w:cs="仿宋"/>
                <w:color w:val="auto"/>
                <w:spacing w:val="30"/>
                <w:highlight w:val="none"/>
              </w:rPr>
              <w:t>5.00</w:t>
            </w:r>
          </w:p>
        </w:tc>
        <w:tc>
          <w:tcPr>
            <w:tcW w:w="734" w:type="pct"/>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r>
              <w:rPr>
                <w:rFonts w:hint="eastAsia" w:ascii="仿宋" w:hAnsi="仿宋" w:eastAsia="仿宋" w:cs="仿宋"/>
                <w:color w:val="auto"/>
                <w:spacing w:val="30"/>
                <w:highlight w:val="none"/>
              </w:rPr>
              <w:t>供货实施方案</w:t>
            </w:r>
          </w:p>
        </w:tc>
        <w:tc>
          <w:tcPr>
            <w:tcW w:w="2093" w:type="pct"/>
            <w:tcBorders>
              <w:top w:val="outset" w:color="auto" w:sz="6" w:space="0"/>
              <w:left w:val="outset" w:color="auto" w:sz="6" w:space="0"/>
              <w:bottom w:val="outset" w:color="auto" w:sz="6" w:space="0"/>
              <w:right w:val="outset" w:color="auto" w:sz="6" w:space="0"/>
            </w:tcBorders>
            <w:vAlign w:val="center"/>
          </w:tcPr>
          <w:p>
            <w:pPr>
              <w:jc w:val="left"/>
              <w:rPr>
                <w:rFonts w:hint="eastAsia" w:ascii="仿宋" w:hAnsi="仿宋" w:eastAsia="仿宋" w:cs="仿宋"/>
                <w:color w:val="auto"/>
                <w:spacing w:val="30"/>
                <w:szCs w:val="21"/>
                <w:highlight w:val="none"/>
                <w:lang w:val="en-US" w:eastAsia="zh-CN"/>
              </w:rPr>
            </w:pPr>
            <w:r>
              <w:rPr>
                <w:rFonts w:hint="eastAsia" w:ascii="仿宋" w:hAnsi="仿宋" w:eastAsia="仿宋" w:cs="仿宋"/>
                <w:color w:val="auto"/>
                <w:spacing w:val="30"/>
                <w:szCs w:val="21"/>
                <w:highlight w:val="none"/>
                <w:lang w:val="en-US" w:eastAsia="zh-CN"/>
              </w:rPr>
              <w:t>供货实施方案：包括项目实施计划、实施方案、项目成员组成、项目进度方案及措施、风险防范及措施、质量保证方案及措施、文档管理、验收交付。内容合理、完整、详实、措施得当，符合项目需求的得5分；内容完整措施基本合理的得3分；缺漏项或不合理、不完整的得1分。</w:t>
            </w:r>
          </w:p>
          <w:p>
            <w:pPr>
              <w:jc w:val="left"/>
              <w:rPr>
                <w:rFonts w:ascii="仿宋" w:hAnsi="仿宋" w:eastAsia="仿宋" w:cs="仿宋"/>
                <w:color w:val="auto"/>
                <w:spacing w:val="30"/>
                <w:highlight w:val="none"/>
              </w:rPr>
            </w:pPr>
            <w:r>
              <w:rPr>
                <w:rFonts w:hint="eastAsia" w:ascii="仿宋" w:hAnsi="仿宋" w:eastAsia="仿宋" w:cs="仿宋"/>
                <w:color w:val="auto"/>
                <w:spacing w:val="30"/>
                <w:szCs w:val="21"/>
                <w:highlight w:val="none"/>
                <w:lang w:val="en-US" w:eastAsia="zh-CN"/>
              </w:rPr>
              <w:t>未提供不得分。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p>
        </w:tc>
        <w:tc>
          <w:tcPr>
            <w:tcW w:w="0" w:type="auto"/>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highlight w:val="none"/>
              </w:rPr>
            </w:pPr>
            <w:r>
              <w:rPr>
                <w:rFonts w:hint="eastAsia" w:ascii="仿宋" w:hAnsi="仿宋" w:eastAsia="仿宋" w:cs="仿宋"/>
                <w:color w:val="auto"/>
                <w:spacing w:val="30"/>
                <w:highlight w:val="none"/>
              </w:rPr>
              <w:t>0.00</w:t>
            </w:r>
          </w:p>
        </w:tc>
        <w:tc>
          <w:tcPr>
            <w:tcW w:w="876" w:type="pct"/>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highlight w:val="none"/>
              </w:rPr>
            </w:pPr>
            <w:r>
              <w:rPr>
                <w:rFonts w:hint="eastAsia" w:ascii="仿宋" w:hAnsi="仿宋" w:eastAsia="仿宋" w:cs="仿宋"/>
                <w:color w:val="auto"/>
                <w:spacing w:val="30"/>
                <w:highlight w:val="none"/>
              </w:rPr>
              <w:t>5.00</w:t>
            </w:r>
          </w:p>
        </w:tc>
        <w:tc>
          <w:tcPr>
            <w:tcW w:w="734" w:type="pct"/>
            <w:tcBorders>
              <w:top w:val="outset" w:color="auto" w:sz="6" w:space="0"/>
              <w:left w:val="outset" w:color="auto" w:sz="6" w:space="0"/>
              <w:bottom w:val="outset" w:color="auto" w:sz="6" w:space="0"/>
              <w:right w:val="outset" w:color="auto" w:sz="6" w:space="0"/>
            </w:tcBorders>
            <w:vAlign w:val="center"/>
          </w:tcPr>
          <w:p>
            <w:pPr>
              <w:jc w:val="left"/>
              <w:rPr>
                <w:rFonts w:hint="default" w:ascii="仿宋" w:hAnsi="仿宋" w:eastAsia="仿宋" w:cs="仿宋"/>
                <w:color w:val="auto"/>
                <w:highlight w:val="none"/>
                <w:lang w:val="en-US" w:eastAsia="zh-CN"/>
              </w:rPr>
            </w:pPr>
            <w:r>
              <w:rPr>
                <w:rFonts w:hint="eastAsia" w:ascii="仿宋" w:hAnsi="仿宋" w:eastAsia="仿宋" w:cs="仿宋"/>
                <w:color w:val="auto"/>
                <w:spacing w:val="30"/>
                <w:highlight w:val="none"/>
                <w:lang w:val="en-US" w:eastAsia="zh-CN"/>
              </w:rPr>
              <w:t>服务承诺</w:t>
            </w:r>
          </w:p>
        </w:tc>
        <w:tc>
          <w:tcPr>
            <w:tcW w:w="2093" w:type="pct"/>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r>
              <w:rPr>
                <w:rFonts w:hint="eastAsia" w:ascii="仿宋" w:hAnsi="仿宋" w:eastAsia="仿宋" w:cs="仿宋"/>
                <w:color w:val="auto"/>
                <w:spacing w:val="30"/>
                <w:szCs w:val="21"/>
                <w:highlight w:val="none"/>
                <w:lang w:val="en-US" w:eastAsia="zh-CN"/>
              </w:rPr>
              <w:t>针对本项目的实际需要提供延伸服务或特色服务方案，包括但不限于设备类货物后期保养、使用过程中易损件的更换折扣率优惠、货物配送过程中的时效性等。内容详实、特色突出，符合项目需求的为5分；内容完整、特色明显的为3分；内容较完整、特色不明显的为1分；无描述或描述无实质内容的不得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spacing w:val="30"/>
                <w:highlight w:val="none"/>
              </w:rPr>
            </w:pPr>
          </w:p>
        </w:tc>
        <w:tc>
          <w:tcPr>
            <w:tcW w:w="0" w:type="auto"/>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spacing w:val="30"/>
                <w:sz w:val="22"/>
                <w:highlight w:val="none"/>
              </w:rPr>
            </w:pPr>
            <w:r>
              <w:rPr>
                <w:rFonts w:hint="eastAsia" w:ascii="仿宋" w:hAnsi="仿宋" w:eastAsia="仿宋" w:cs="仿宋"/>
                <w:color w:val="auto"/>
                <w:spacing w:val="30"/>
                <w:sz w:val="22"/>
                <w:highlight w:val="none"/>
              </w:rPr>
              <w:t>0.00</w:t>
            </w:r>
          </w:p>
        </w:tc>
        <w:tc>
          <w:tcPr>
            <w:tcW w:w="876" w:type="pct"/>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spacing w:val="30"/>
                <w:sz w:val="22"/>
                <w:highlight w:val="none"/>
              </w:rPr>
            </w:pPr>
            <w:r>
              <w:rPr>
                <w:rFonts w:hint="eastAsia" w:ascii="仿宋" w:hAnsi="仿宋" w:eastAsia="仿宋" w:cs="仿宋"/>
                <w:color w:val="auto"/>
                <w:spacing w:val="30"/>
                <w:sz w:val="22"/>
                <w:highlight w:val="none"/>
              </w:rPr>
              <w:t>3.00</w:t>
            </w:r>
          </w:p>
        </w:tc>
        <w:tc>
          <w:tcPr>
            <w:tcW w:w="734" w:type="pct"/>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spacing w:val="30"/>
                <w:sz w:val="22"/>
                <w:highlight w:val="none"/>
              </w:rPr>
            </w:pPr>
            <w:r>
              <w:rPr>
                <w:rFonts w:hint="eastAsia" w:ascii="仿宋" w:hAnsi="仿宋" w:eastAsia="仿宋" w:cs="仿宋"/>
                <w:color w:val="auto"/>
                <w:spacing w:val="30"/>
                <w:sz w:val="22"/>
                <w:highlight w:val="none"/>
              </w:rPr>
              <w:t>应急方案</w:t>
            </w:r>
          </w:p>
        </w:tc>
        <w:tc>
          <w:tcPr>
            <w:tcW w:w="2093" w:type="pct"/>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spacing w:val="30"/>
                <w:sz w:val="22"/>
                <w:highlight w:val="none"/>
              </w:rPr>
            </w:pPr>
            <w:r>
              <w:rPr>
                <w:rFonts w:hint="eastAsia" w:ascii="仿宋" w:hAnsi="仿宋" w:eastAsia="仿宋" w:cs="仿宋"/>
                <w:color w:val="auto"/>
                <w:spacing w:val="30"/>
                <w:szCs w:val="21"/>
                <w:highlight w:val="none"/>
                <w:lang w:val="en-US" w:eastAsia="zh-CN"/>
              </w:rPr>
              <w:t>遇到紧急情况的应急方案，包括遇到紧急情况能够及时补给的后期保障、遇到突发事件对于设备的使用人员紧急培训、提供其他应急救援方面的应急预案。内容全面、切实可行、服务明晰，符合项目需求的得3分；内容较全面、基本可行、针对性一般的得1.5分；内容不完整，描述简略得0.5分；未针对本项目描述的得0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highlight w:val="none"/>
              </w:rPr>
            </w:pPr>
            <w:r>
              <w:rPr>
                <w:rFonts w:hint="eastAsia" w:ascii="仿宋" w:hAnsi="仿宋" w:eastAsia="仿宋" w:cs="仿宋"/>
                <w:color w:val="auto"/>
                <w:spacing w:val="30"/>
                <w:highlight w:val="none"/>
              </w:rPr>
              <w:t>业绩信誉</w:t>
            </w:r>
          </w:p>
        </w:tc>
        <w:tc>
          <w:tcPr>
            <w:tcW w:w="0" w:type="auto"/>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highlight w:val="none"/>
              </w:rPr>
            </w:pPr>
            <w:r>
              <w:rPr>
                <w:rFonts w:hint="eastAsia" w:ascii="仿宋" w:hAnsi="仿宋" w:eastAsia="仿宋" w:cs="仿宋"/>
                <w:color w:val="auto"/>
                <w:spacing w:val="30"/>
                <w:highlight w:val="none"/>
              </w:rPr>
              <w:t>0.00</w:t>
            </w:r>
          </w:p>
        </w:tc>
        <w:tc>
          <w:tcPr>
            <w:tcW w:w="876" w:type="pct"/>
            <w:tcBorders>
              <w:top w:val="outset" w:color="auto" w:sz="6" w:space="0"/>
              <w:left w:val="outset" w:color="auto" w:sz="6" w:space="0"/>
              <w:bottom w:val="outset" w:color="auto" w:sz="6" w:space="0"/>
              <w:right w:val="outset" w:color="auto" w:sz="6" w:space="0"/>
            </w:tcBorders>
            <w:vAlign w:val="center"/>
          </w:tcPr>
          <w:p>
            <w:pPr>
              <w:jc w:val="center"/>
              <w:rPr>
                <w:rFonts w:ascii="仿宋" w:hAnsi="仿宋" w:eastAsia="仿宋" w:cs="仿宋"/>
                <w:color w:val="auto"/>
                <w:highlight w:val="none"/>
              </w:rPr>
            </w:pPr>
            <w:r>
              <w:rPr>
                <w:rFonts w:hint="eastAsia" w:ascii="仿宋" w:hAnsi="仿宋" w:eastAsia="仿宋" w:cs="仿宋"/>
                <w:color w:val="auto"/>
                <w:spacing w:val="30"/>
                <w:highlight w:val="none"/>
              </w:rPr>
              <w:t>3.00</w:t>
            </w:r>
          </w:p>
        </w:tc>
        <w:tc>
          <w:tcPr>
            <w:tcW w:w="734" w:type="pct"/>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r>
              <w:rPr>
                <w:rFonts w:hint="eastAsia" w:ascii="仿宋" w:hAnsi="仿宋" w:eastAsia="仿宋" w:cs="仿宋"/>
                <w:color w:val="auto"/>
                <w:spacing w:val="30"/>
                <w:highlight w:val="none"/>
              </w:rPr>
              <w:t>产品业绩</w:t>
            </w:r>
          </w:p>
        </w:tc>
        <w:tc>
          <w:tcPr>
            <w:tcW w:w="2093" w:type="pct"/>
            <w:tcBorders>
              <w:top w:val="outset" w:color="auto" w:sz="6" w:space="0"/>
              <w:left w:val="outset" w:color="auto" w:sz="6" w:space="0"/>
              <w:bottom w:val="outset" w:color="auto" w:sz="6" w:space="0"/>
              <w:right w:val="outset" w:color="auto" w:sz="6" w:space="0"/>
            </w:tcBorders>
            <w:vAlign w:val="center"/>
          </w:tcPr>
          <w:p>
            <w:pPr>
              <w:jc w:val="left"/>
              <w:rPr>
                <w:rFonts w:ascii="仿宋" w:hAnsi="仿宋" w:eastAsia="仿宋" w:cs="仿宋"/>
                <w:color w:val="auto"/>
                <w:highlight w:val="none"/>
              </w:rPr>
            </w:pPr>
            <w:r>
              <w:rPr>
                <w:rFonts w:hint="eastAsia" w:ascii="仿宋" w:hAnsi="仿宋" w:eastAsia="仿宋" w:cs="仿宋"/>
                <w:color w:val="auto"/>
                <w:spacing w:val="30"/>
                <w:highlight w:val="none"/>
              </w:rPr>
              <w:t>投标人提供</w:t>
            </w:r>
            <w:r>
              <w:rPr>
                <w:rFonts w:hint="eastAsia" w:ascii="仿宋" w:hAnsi="仿宋" w:eastAsia="仿宋" w:cs="仿宋"/>
                <w:color w:val="auto"/>
                <w:spacing w:val="30"/>
                <w:highlight w:val="none"/>
                <w:lang w:val="en-US" w:eastAsia="zh-CN"/>
              </w:rPr>
              <w:t>2021</w:t>
            </w:r>
            <w:r>
              <w:rPr>
                <w:rFonts w:hint="eastAsia" w:ascii="仿宋" w:hAnsi="仿宋" w:eastAsia="仿宋" w:cs="仿宋"/>
                <w:color w:val="auto"/>
                <w:spacing w:val="30"/>
                <w:highlight w:val="none"/>
              </w:rPr>
              <w:t>年1月1日以来（以合同签订时间为准）所投产品</w:t>
            </w:r>
            <w:r>
              <w:rPr>
                <w:rFonts w:hint="eastAsia" w:ascii="仿宋" w:hAnsi="仿宋" w:eastAsia="仿宋" w:cs="仿宋"/>
                <w:color w:val="auto"/>
                <w:spacing w:val="30"/>
                <w:highlight w:val="none"/>
                <w:lang w:val="en-US" w:eastAsia="zh-CN"/>
              </w:rPr>
              <w:t>制造商或供应商</w:t>
            </w:r>
            <w:r>
              <w:rPr>
                <w:rFonts w:hint="eastAsia" w:ascii="仿宋" w:hAnsi="仿宋" w:eastAsia="仿宋" w:cs="仿宋"/>
                <w:color w:val="auto"/>
                <w:spacing w:val="30"/>
                <w:highlight w:val="none"/>
                <w:lang w:eastAsia="zh-CN"/>
              </w:rPr>
              <w:t>同类</w:t>
            </w:r>
            <w:r>
              <w:rPr>
                <w:rFonts w:hint="eastAsia" w:ascii="仿宋" w:hAnsi="仿宋" w:eastAsia="仿宋" w:cs="仿宋"/>
                <w:color w:val="auto"/>
                <w:spacing w:val="30"/>
                <w:highlight w:val="none"/>
              </w:rPr>
              <w:t>业绩（需包含核心产品）的，每有一份得</w:t>
            </w:r>
            <w:r>
              <w:rPr>
                <w:rFonts w:hint="eastAsia" w:ascii="仿宋" w:hAnsi="仿宋" w:eastAsia="仿宋" w:cs="仿宋"/>
                <w:color w:val="auto"/>
                <w:spacing w:val="30"/>
                <w:highlight w:val="none"/>
                <w:lang w:val="en-US" w:eastAsia="zh-CN"/>
              </w:rPr>
              <w:t>1</w:t>
            </w:r>
            <w:r>
              <w:rPr>
                <w:rFonts w:hint="eastAsia" w:ascii="仿宋" w:hAnsi="仿宋" w:eastAsia="仿宋" w:cs="仿宋"/>
                <w:color w:val="auto"/>
                <w:spacing w:val="30"/>
                <w:highlight w:val="none"/>
              </w:rPr>
              <w:t>分，最高得</w:t>
            </w:r>
            <w:r>
              <w:rPr>
                <w:rFonts w:hint="eastAsia" w:ascii="仿宋" w:hAnsi="仿宋" w:eastAsia="仿宋" w:cs="仿宋"/>
                <w:color w:val="auto"/>
                <w:spacing w:val="30"/>
                <w:highlight w:val="none"/>
                <w:lang w:val="en-US" w:eastAsia="zh-CN"/>
              </w:rPr>
              <w:t>3</w:t>
            </w:r>
            <w:r>
              <w:rPr>
                <w:rFonts w:hint="eastAsia" w:ascii="仿宋" w:hAnsi="仿宋" w:eastAsia="仿宋" w:cs="仿宋"/>
                <w:color w:val="auto"/>
                <w:spacing w:val="30"/>
                <w:highlight w:val="none"/>
              </w:rPr>
              <w:t>分。（投标文件中需附供货合同扫描件）；</w:t>
            </w:r>
          </w:p>
        </w:tc>
      </w:tr>
    </w:tbl>
    <w:p>
      <w:pPr>
        <w:pStyle w:val="58"/>
        <w:rPr>
          <w:rFonts w:hint="eastAsia" w:ascii="仿宋" w:hAnsi="仿宋" w:eastAsia="仿宋" w:cs="仿宋"/>
          <w:color w:val="auto"/>
          <w:highlight w:val="none"/>
          <w:lang w:eastAsia="zh-CN"/>
        </w:rPr>
      </w:pPr>
      <w:r>
        <w:rPr>
          <w:rFonts w:hint="eastAsia" w:ascii="仿宋" w:hAnsi="仿宋" w:eastAsia="仿宋" w:cs="仿宋"/>
          <w:color w:val="auto"/>
          <w:sz w:val="24"/>
          <w:szCs w:val="28"/>
          <w:highlight w:val="none"/>
        </w:rPr>
        <w:br w:type="page"/>
      </w:r>
      <w:bookmarkStart w:id="161" w:name="_Toc504741951"/>
      <w:bookmarkStart w:id="162" w:name="_Toc9221"/>
      <w:r>
        <w:rPr>
          <w:rFonts w:hint="eastAsia" w:ascii="仿宋" w:hAnsi="仿宋" w:eastAsia="仿宋" w:cs="仿宋"/>
          <w:color w:val="auto"/>
          <w:highlight w:val="none"/>
          <w:lang w:eastAsia="zh-CN"/>
        </w:rPr>
        <w:t>第七章   投标文件格式</w:t>
      </w:r>
      <w:bookmarkEnd w:id="161"/>
      <w:bookmarkEnd w:id="162"/>
    </w:p>
    <w:p>
      <w:pPr>
        <w:pStyle w:val="58"/>
        <w:rPr>
          <w:rFonts w:hint="eastAsia" w:ascii="仿宋" w:hAnsi="仿宋" w:eastAsia="仿宋" w:cs="仿宋"/>
          <w:color w:val="auto"/>
          <w:highlight w:val="none"/>
        </w:rPr>
      </w:pPr>
      <w:r>
        <w:rPr>
          <w:rFonts w:hint="eastAsia" w:ascii="仿宋" w:hAnsi="仿宋" w:eastAsia="仿宋" w:cs="仿宋"/>
          <w:color w:val="auto"/>
          <w:highlight w:val="none"/>
        </w:rPr>
        <w:t>目 录</w:t>
      </w:r>
    </w:p>
    <w:p>
      <w:pPr>
        <w:pStyle w:val="33"/>
        <w:rPr>
          <w:rFonts w:hint="eastAsia" w:ascii="仿宋" w:hAnsi="仿宋" w:eastAsia="仿宋" w:cs="仿宋"/>
          <w:color w:val="auto"/>
          <w:highlight w:val="none"/>
        </w:rPr>
      </w:pPr>
    </w:p>
    <w:p>
      <w:pPr>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一、封面</w:t>
      </w:r>
    </w:p>
    <w:p>
      <w:pPr>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二、投标函</w:t>
      </w:r>
    </w:p>
    <w:p>
      <w:pPr>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三、法定代表人授权书</w:t>
      </w:r>
    </w:p>
    <w:p>
      <w:pPr>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四、法人被授权人身份证</w:t>
      </w:r>
    </w:p>
    <w:p>
      <w:pPr>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五、资格证明材料</w:t>
      </w:r>
    </w:p>
    <w:p>
      <w:pPr>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六、开标一览表</w:t>
      </w:r>
    </w:p>
    <w:p>
      <w:pPr>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七、报价明细表</w:t>
      </w:r>
    </w:p>
    <w:p>
      <w:pPr>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八、中小微企业声明函（投标人）</w:t>
      </w:r>
    </w:p>
    <w:p>
      <w:pPr>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九、残疾人福利性单位声明函</w:t>
      </w:r>
    </w:p>
    <w:p>
      <w:pPr>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十、监狱企业证明文件</w:t>
      </w:r>
    </w:p>
    <w:p>
      <w:pPr>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十一、技术要求响应与偏差表</w:t>
      </w:r>
    </w:p>
    <w:p>
      <w:pPr>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十二、商务要求响应与偏差表</w:t>
      </w:r>
    </w:p>
    <w:p>
      <w:pPr>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十三、产品的先进性、实用性、耐用性支持资料</w:t>
      </w:r>
    </w:p>
    <w:p>
      <w:pPr>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十四、节能产品、环境标志产品明细表</w:t>
      </w:r>
    </w:p>
    <w:p>
      <w:pPr>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十五、</w:t>
      </w:r>
      <w:r>
        <w:rPr>
          <w:rFonts w:hint="eastAsia" w:ascii="仿宋" w:hAnsi="仿宋" w:eastAsia="仿宋" w:cs="仿宋"/>
          <w:color w:val="auto"/>
          <w:spacing w:val="14"/>
          <w:sz w:val="21"/>
          <w:szCs w:val="21"/>
          <w:highlight w:val="none"/>
          <w:lang w:val="en-US" w:eastAsia="zh-CN"/>
        </w:rPr>
        <w:t>售后服务</w:t>
      </w:r>
      <w:r>
        <w:rPr>
          <w:rFonts w:hint="eastAsia" w:ascii="仿宋" w:hAnsi="仿宋" w:eastAsia="仿宋" w:cs="仿宋"/>
          <w:color w:val="auto"/>
          <w:spacing w:val="14"/>
          <w:sz w:val="21"/>
          <w:szCs w:val="21"/>
          <w:highlight w:val="none"/>
        </w:rPr>
        <w:t>方案</w:t>
      </w:r>
    </w:p>
    <w:p>
      <w:pPr>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十六、</w:t>
      </w:r>
      <w:r>
        <w:rPr>
          <w:rFonts w:hint="eastAsia" w:ascii="仿宋" w:hAnsi="仿宋" w:eastAsia="仿宋" w:cs="仿宋"/>
          <w:color w:val="auto"/>
          <w:spacing w:val="14"/>
          <w:sz w:val="21"/>
          <w:szCs w:val="21"/>
          <w:highlight w:val="none"/>
          <w:lang w:val="en-US" w:eastAsia="zh-CN"/>
        </w:rPr>
        <w:t>人员培训方案</w:t>
      </w:r>
    </w:p>
    <w:p>
      <w:pPr>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十七、</w:t>
      </w:r>
      <w:r>
        <w:rPr>
          <w:rFonts w:hint="eastAsia" w:ascii="仿宋" w:hAnsi="仿宋" w:eastAsia="仿宋" w:cs="仿宋"/>
          <w:color w:val="auto"/>
          <w:spacing w:val="14"/>
          <w:sz w:val="21"/>
          <w:szCs w:val="21"/>
          <w:highlight w:val="none"/>
          <w:lang w:val="en-US" w:eastAsia="zh-CN"/>
        </w:rPr>
        <w:t>供货实施方案</w:t>
      </w:r>
    </w:p>
    <w:p>
      <w:pPr>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rPr>
        <w:t>十八、</w:t>
      </w:r>
      <w:r>
        <w:rPr>
          <w:rFonts w:hint="eastAsia" w:ascii="仿宋" w:hAnsi="仿宋" w:eastAsia="仿宋" w:cs="仿宋"/>
          <w:color w:val="auto"/>
          <w:spacing w:val="14"/>
          <w:sz w:val="21"/>
          <w:szCs w:val="21"/>
          <w:highlight w:val="none"/>
          <w:lang w:val="en-US" w:eastAsia="zh-CN"/>
        </w:rPr>
        <w:t>服务承诺</w:t>
      </w:r>
    </w:p>
    <w:p>
      <w:pPr>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十九、</w:t>
      </w:r>
      <w:r>
        <w:rPr>
          <w:rFonts w:hint="eastAsia" w:ascii="仿宋" w:hAnsi="仿宋" w:eastAsia="仿宋" w:cs="仿宋"/>
          <w:color w:val="auto"/>
          <w:spacing w:val="14"/>
          <w:sz w:val="21"/>
          <w:szCs w:val="21"/>
          <w:highlight w:val="none"/>
          <w:lang w:val="en-US" w:eastAsia="zh-CN"/>
        </w:rPr>
        <w:t>应急方案</w:t>
      </w:r>
    </w:p>
    <w:p>
      <w:pPr>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二十、参与评审打分的证书（证件）一览表</w:t>
      </w:r>
    </w:p>
    <w:p>
      <w:pPr>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二十一、参与评审打分的证书（证件）扫描件</w:t>
      </w:r>
    </w:p>
    <w:p>
      <w:pPr>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二十二、</w:t>
      </w:r>
      <w:r>
        <w:rPr>
          <w:rFonts w:hint="eastAsia" w:ascii="仿宋" w:hAnsi="仿宋" w:eastAsia="仿宋" w:cs="仿宋"/>
          <w:color w:val="auto"/>
          <w:spacing w:val="14"/>
          <w:sz w:val="21"/>
          <w:szCs w:val="21"/>
          <w:highlight w:val="none"/>
        </w:rPr>
        <w:t>参与评审打分的合同业绩一览表</w:t>
      </w:r>
    </w:p>
    <w:p>
      <w:pPr>
        <w:rPr>
          <w:rFonts w:hint="eastAsia" w:ascii="仿宋" w:hAnsi="仿宋" w:eastAsia="仿宋" w:cs="仿宋"/>
          <w:color w:val="auto"/>
          <w:spacing w:val="14"/>
          <w:sz w:val="21"/>
          <w:szCs w:val="21"/>
          <w:highlight w:val="none"/>
          <w:lang w:val="en-US" w:eastAsia="zh-CN"/>
        </w:rPr>
      </w:pPr>
      <w:r>
        <w:rPr>
          <w:rFonts w:hint="eastAsia" w:ascii="仿宋" w:hAnsi="仿宋" w:eastAsia="仿宋" w:cs="仿宋"/>
          <w:color w:val="auto"/>
          <w:spacing w:val="14"/>
          <w:sz w:val="21"/>
          <w:szCs w:val="21"/>
          <w:highlight w:val="none"/>
          <w:lang w:val="en-US" w:eastAsia="zh-CN"/>
        </w:rPr>
        <w:t>二十三、</w:t>
      </w:r>
      <w:r>
        <w:rPr>
          <w:rFonts w:hint="eastAsia" w:ascii="仿宋" w:hAnsi="仿宋" w:eastAsia="仿宋" w:cs="仿宋"/>
          <w:color w:val="auto"/>
          <w:spacing w:val="14"/>
          <w:sz w:val="21"/>
          <w:szCs w:val="21"/>
          <w:highlight w:val="none"/>
        </w:rPr>
        <w:t>参与评审打分的合同业绩扫描件</w:t>
      </w:r>
    </w:p>
    <w:p>
      <w:pPr>
        <w:rPr>
          <w:rFonts w:hint="eastAsia" w:ascii="仿宋" w:hAnsi="仿宋" w:eastAsia="仿宋" w:cs="仿宋"/>
          <w:color w:val="auto"/>
          <w:spacing w:val="14"/>
          <w:sz w:val="28"/>
          <w:szCs w:val="28"/>
          <w:highlight w:val="none"/>
        </w:rPr>
      </w:pPr>
      <w:r>
        <w:rPr>
          <w:rFonts w:hint="eastAsia" w:ascii="仿宋" w:hAnsi="仿宋" w:eastAsia="仿宋" w:cs="仿宋"/>
          <w:color w:val="auto"/>
          <w:spacing w:val="14"/>
          <w:sz w:val="21"/>
          <w:szCs w:val="21"/>
          <w:highlight w:val="none"/>
          <w:lang w:val="en-US" w:eastAsia="zh-CN"/>
        </w:rPr>
        <w:t>二十四、</w:t>
      </w:r>
      <w:r>
        <w:rPr>
          <w:rFonts w:hint="eastAsia" w:ascii="仿宋" w:hAnsi="仿宋" w:eastAsia="仿宋" w:cs="仿宋"/>
          <w:color w:val="auto"/>
          <w:spacing w:val="14"/>
          <w:sz w:val="21"/>
          <w:szCs w:val="21"/>
          <w:highlight w:val="none"/>
        </w:rPr>
        <w:t>其他需要提供的资料</w:t>
      </w:r>
      <w:r>
        <w:rPr>
          <w:rFonts w:hint="eastAsia" w:ascii="仿宋" w:hAnsi="仿宋" w:eastAsia="仿宋" w:cs="仿宋"/>
          <w:color w:val="auto"/>
          <w:spacing w:val="14"/>
          <w:szCs w:val="21"/>
          <w:highlight w:val="none"/>
        </w:rPr>
        <w:br w:type="page"/>
      </w:r>
    </w:p>
    <w:p>
      <w:pPr>
        <w:pStyle w:val="33"/>
        <w:rPr>
          <w:rFonts w:hint="eastAsia" w:ascii="仿宋" w:hAnsi="仿宋" w:eastAsia="仿宋" w:cs="仿宋"/>
          <w:b/>
          <w:bCs/>
          <w:color w:val="auto"/>
          <w:spacing w:val="14"/>
          <w:kern w:val="0"/>
          <w:sz w:val="28"/>
          <w:szCs w:val="28"/>
          <w:highlight w:val="none"/>
        </w:rPr>
      </w:pPr>
      <w:r>
        <w:rPr>
          <w:rFonts w:hint="eastAsia" w:ascii="仿宋" w:hAnsi="仿宋" w:eastAsia="仿宋" w:cs="仿宋"/>
          <w:b/>
          <w:bCs/>
          <w:color w:val="auto"/>
          <w:spacing w:val="14"/>
          <w:kern w:val="0"/>
          <w:sz w:val="28"/>
          <w:szCs w:val="28"/>
          <w:highlight w:val="none"/>
        </w:rPr>
        <w:t>一、封面</w:t>
      </w:r>
    </w:p>
    <w:p>
      <w:pPr>
        <w:pStyle w:val="154"/>
        <w:ind w:firstLine="0"/>
        <w:jc w:val="center"/>
        <w:rPr>
          <w:rFonts w:hint="eastAsia" w:ascii="仿宋" w:hAnsi="仿宋" w:eastAsia="仿宋" w:cs="仿宋"/>
          <w:b/>
          <w:color w:val="auto"/>
          <w:spacing w:val="14"/>
          <w:sz w:val="84"/>
          <w:szCs w:val="84"/>
          <w:highlight w:val="none"/>
        </w:rPr>
      </w:pPr>
      <w:r>
        <w:rPr>
          <w:rFonts w:hint="eastAsia" w:ascii="仿宋" w:hAnsi="仿宋" w:eastAsia="仿宋" w:cs="仿宋"/>
          <w:b/>
          <w:color w:val="auto"/>
          <w:spacing w:val="14"/>
          <w:sz w:val="84"/>
          <w:szCs w:val="84"/>
          <w:highlight w:val="none"/>
        </w:rPr>
        <w:t>投标文件</w:t>
      </w:r>
    </w:p>
    <w:p>
      <w:pPr>
        <w:pStyle w:val="154"/>
        <w:ind w:firstLine="420"/>
        <w:rPr>
          <w:rFonts w:hint="eastAsia" w:ascii="仿宋" w:hAnsi="仿宋" w:eastAsia="仿宋" w:cs="仿宋"/>
          <w:color w:val="auto"/>
          <w:spacing w:val="14"/>
          <w:sz w:val="30"/>
          <w:szCs w:val="30"/>
          <w:highlight w:val="none"/>
        </w:rPr>
      </w:pPr>
      <w:r>
        <w:rPr>
          <w:rFonts w:hint="eastAsia" w:ascii="仿宋" w:hAnsi="仿宋" w:eastAsia="仿宋" w:cs="仿宋"/>
          <w:color w:val="auto"/>
          <w:spacing w:val="14"/>
          <w:sz w:val="30"/>
          <w:szCs w:val="30"/>
          <w:highlight w:val="none"/>
        </w:rPr>
        <w:t>项目名称：</w:t>
      </w:r>
    </w:p>
    <w:p>
      <w:pPr>
        <w:pStyle w:val="154"/>
        <w:ind w:firstLine="420"/>
        <w:rPr>
          <w:rFonts w:hint="eastAsia" w:ascii="仿宋" w:hAnsi="仿宋" w:eastAsia="仿宋" w:cs="仿宋"/>
          <w:color w:val="auto"/>
          <w:spacing w:val="14"/>
          <w:sz w:val="30"/>
          <w:szCs w:val="30"/>
          <w:highlight w:val="none"/>
        </w:rPr>
      </w:pPr>
      <w:r>
        <w:rPr>
          <w:rFonts w:hint="eastAsia" w:ascii="仿宋" w:hAnsi="仿宋" w:eastAsia="仿宋" w:cs="仿宋"/>
          <w:color w:val="auto"/>
          <w:spacing w:val="14"/>
          <w:sz w:val="30"/>
          <w:szCs w:val="30"/>
          <w:highlight w:val="none"/>
        </w:rPr>
        <w:t>项目编号：</w:t>
      </w:r>
    </w:p>
    <w:p>
      <w:pPr>
        <w:ind w:firstLine="594" w:firstLineChars="200"/>
        <w:rPr>
          <w:rFonts w:hint="eastAsia" w:eastAsia="仿宋"/>
          <w:color w:val="auto"/>
          <w:highlight w:val="none"/>
          <w:lang w:val="en-US" w:eastAsia="zh-CN"/>
        </w:rPr>
      </w:pPr>
      <w:r>
        <w:rPr>
          <w:rFonts w:hint="eastAsia" w:ascii="仿宋" w:hAnsi="仿宋" w:eastAsia="仿宋" w:cs="仿宋"/>
          <w:color w:val="auto"/>
          <w:spacing w:val="14"/>
          <w:sz w:val="30"/>
          <w:szCs w:val="30"/>
          <w:highlight w:val="none"/>
          <w:lang w:val="en-US" w:eastAsia="zh-CN"/>
        </w:rPr>
        <w:t>标段：</w:t>
      </w:r>
    </w:p>
    <w:p>
      <w:pPr>
        <w:rPr>
          <w:rFonts w:hint="eastAsia" w:ascii="仿宋" w:hAnsi="仿宋" w:eastAsia="仿宋" w:cs="仿宋"/>
          <w:color w:val="auto"/>
          <w:highlight w:val="none"/>
        </w:rPr>
      </w:pPr>
    </w:p>
    <w:p>
      <w:pPr>
        <w:pStyle w:val="154"/>
        <w:ind w:firstLine="0"/>
        <w:rPr>
          <w:rFonts w:hint="eastAsia" w:ascii="仿宋" w:hAnsi="仿宋" w:eastAsia="仿宋" w:cs="仿宋"/>
          <w:color w:val="auto"/>
          <w:spacing w:val="14"/>
          <w:sz w:val="30"/>
          <w:szCs w:val="30"/>
          <w:highlight w:val="none"/>
        </w:rPr>
      </w:pPr>
    </w:p>
    <w:p>
      <w:pPr>
        <w:pStyle w:val="154"/>
        <w:ind w:firstLine="0"/>
        <w:rPr>
          <w:rFonts w:hint="eastAsia" w:ascii="仿宋" w:hAnsi="仿宋" w:eastAsia="仿宋" w:cs="仿宋"/>
          <w:color w:val="auto"/>
          <w:spacing w:val="14"/>
          <w:sz w:val="30"/>
          <w:szCs w:val="30"/>
          <w:highlight w:val="none"/>
        </w:rPr>
      </w:pPr>
    </w:p>
    <w:p>
      <w:pPr>
        <w:pStyle w:val="154"/>
        <w:ind w:firstLine="0"/>
        <w:rPr>
          <w:rFonts w:hint="eastAsia" w:ascii="仿宋" w:hAnsi="仿宋" w:eastAsia="仿宋" w:cs="仿宋"/>
          <w:color w:val="auto"/>
          <w:spacing w:val="14"/>
          <w:sz w:val="30"/>
          <w:szCs w:val="30"/>
          <w:highlight w:val="none"/>
        </w:rPr>
      </w:pPr>
    </w:p>
    <w:p>
      <w:pPr>
        <w:pStyle w:val="154"/>
        <w:ind w:firstLine="0"/>
        <w:rPr>
          <w:rFonts w:hint="eastAsia" w:ascii="仿宋" w:hAnsi="仿宋" w:eastAsia="仿宋" w:cs="仿宋"/>
          <w:color w:val="auto"/>
          <w:spacing w:val="14"/>
          <w:sz w:val="30"/>
          <w:szCs w:val="30"/>
          <w:highlight w:val="none"/>
        </w:rPr>
      </w:pPr>
    </w:p>
    <w:p>
      <w:pPr>
        <w:pStyle w:val="154"/>
        <w:ind w:firstLine="0"/>
        <w:rPr>
          <w:rFonts w:hint="eastAsia" w:ascii="仿宋" w:hAnsi="仿宋" w:eastAsia="仿宋" w:cs="仿宋"/>
          <w:color w:val="auto"/>
          <w:spacing w:val="14"/>
          <w:sz w:val="30"/>
          <w:szCs w:val="30"/>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154"/>
        <w:ind w:firstLine="0"/>
        <w:rPr>
          <w:rFonts w:hint="eastAsia" w:ascii="仿宋" w:hAnsi="仿宋" w:eastAsia="仿宋" w:cs="仿宋"/>
          <w:color w:val="auto"/>
          <w:spacing w:val="14"/>
          <w:sz w:val="30"/>
          <w:szCs w:val="30"/>
          <w:highlight w:val="none"/>
        </w:rPr>
      </w:pPr>
    </w:p>
    <w:p>
      <w:pPr>
        <w:pStyle w:val="154"/>
        <w:ind w:firstLine="0"/>
        <w:rPr>
          <w:rFonts w:hint="eastAsia" w:ascii="仿宋" w:hAnsi="仿宋" w:eastAsia="仿宋" w:cs="仿宋"/>
          <w:color w:val="auto"/>
          <w:spacing w:val="14"/>
          <w:sz w:val="30"/>
          <w:szCs w:val="30"/>
          <w:highlight w:val="none"/>
        </w:rPr>
      </w:pPr>
    </w:p>
    <w:p>
      <w:pPr>
        <w:pStyle w:val="154"/>
        <w:ind w:firstLine="420"/>
        <w:rPr>
          <w:rFonts w:hint="eastAsia" w:ascii="仿宋" w:hAnsi="仿宋" w:eastAsia="仿宋" w:cs="仿宋"/>
          <w:color w:val="auto"/>
          <w:spacing w:val="14"/>
          <w:sz w:val="30"/>
          <w:szCs w:val="30"/>
          <w:highlight w:val="none"/>
        </w:rPr>
      </w:pPr>
      <w:r>
        <w:rPr>
          <w:rFonts w:hint="eastAsia" w:ascii="仿宋" w:hAnsi="仿宋" w:eastAsia="仿宋" w:cs="仿宋"/>
          <w:color w:val="auto"/>
          <w:spacing w:val="14"/>
          <w:sz w:val="30"/>
          <w:szCs w:val="30"/>
          <w:highlight w:val="none"/>
        </w:rPr>
        <w:t>投标人（企业电子章）：</w:t>
      </w:r>
    </w:p>
    <w:p>
      <w:pPr>
        <w:pStyle w:val="154"/>
        <w:ind w:right="2465" w:firstLine="420"/>
        <w:rPr>
          <w:rFonts w:hint="eastAsia" w:ascii="仿宋" w:hAnsi="仿宋" w:eastAsia="仿宋" w:cs="仿宋"/>
          <w:color w:val="auto"/>
          <w:spacing w:val="14"/>
          <w:sz w:val="30"/>
          <w:szCs w:val="30"/>
          <w:highlight w:val="none"/>
        </w:rPr>
      </w:pPr>
      <w:r>
        <w:rPr>
          <w:rFonts w:hint="eastAsia" w:ascii="仿宋" w:hAnsi="仿宋" w:eastAsia="仿宋" w:cs="仿宋"/>
          <w:color w:val="auto"/>
          <w:spacing w:val="14"/>
          <w:sz w:val="30"/>
          <w:szCs w:val="30"/>
          <w:highlight w:val="none"/>
        </w:rPr>
        <w:t xml:space="preserve">日期：  </w:t>
      </w:r>
    </w:p>
    <w:p>
      <w:pPr>
        <w:pStyle w:val="154"/>
        <w:ind w:firstLine="0"/>
        <w:rPr>
          <w:rFonts w:hint="eastAsia" w:ascii="仿宋" w:hAnsi="仿宋" w:eastAsia="仿宋" w:cs="仿宋"/>
          <w:color w:val="auto"/>
          <w:spacing w:val="14"/>
          <w:szCs w:val="21"/>
          <w:highlight w:val="none"/>
        </w:rPr>
      </w:pPr>
    </w:p>
    <w:p>
      <w:pPr>
        <w:pStyle w:val="154"/>
        <w:ind w:firstLine="0"/>
        <w:rPr>
          <w:rFonts w:hint="eastAsia" w:ascii="仿宋" w:hAnsi="仿宋" w:eastAsia="仿宋" w:cs="仿宋"/>
          <w:color w:val="auto"/>
          <w:spacing w:val="14"/>
          <w:szCs w:val="21"/>
          <w:highlight w:val="none"/>
        </w:rPr>
      </w:pPr>
    </w:p>
    <w:p>
      <w:pPr>
        <w:pStyle w:val="154"/>
        <w:ind w:firstLine="0"/>
        <w:rPr>
          <w:rFonts w:hint="eastAsia" w:ascii="仿宋" w:hAnsi="仿宋" w:eastAsia="仿宋" w:cs="仿宋"/>
          <w:color w:val="auto"/>
          <w:spacing w:val="14"/>
          <w:szCs w:val="21"/>
          <w:highlight w:val="none"/>
        </w:rPr>
      </w:pPr>
    </w:p>
    <w:p>
      <w:pPr>
        <w:pStyle w:val="154"/>
        <w:ind w:firstLine="0"/>
        <w:rPr>
          <w:rFonts w:hint="eastAsia" w:ascii="仿宋" w:hAnsi="仿宋" w:eastAsia="仿宋" w:cs="仿宋"/>
          <w:color w:val="auto"/>
          <w:spacing w:val="14"/>
          <w:szCs w:val="21"/>
          <w:highlight w:val="none"/>
        </w:rPr>
      </w:pPr>
    </w:p>
    <w:p>
      <w:pPr>
        <w:pStyle w:val="154"/>
        <w:ind w:firstLine="0"/>
        <w:rPr>
          <w:rFonts w:hint="eastAsia" w:ascii="仿宋" w:hAnsi="仿宋" w:eastAsia="仿宋" w:cs="仿宋"/>
          <w:color w:val="auto"/>
          <w:spacing w:val="14"/>
          <w:szCs w:val="21"/>
          <w:highlight w:val="none"/>
        </w:rPr>
      </w:pPr>
    </w:p>
    <w:p>
      <w:pPr>
        <w:pStyle w:val="154"/>
        <w:ind w:firstLine="0"/>
        <w:rPr>
          <w:rFonts w:hint="eastAsia" w:ascii="仿宋" w:hAnsi="仿宋" w:eastAsia="仿宋" w:cs="仿宋"/>
          <w:color w:val="auto"/>
          <w:spacing w:val="14"/>
          <w:szCs w:val="21"/>
          <w:highlight w:val="none"/>
        </w:rPr>
      </w:pPr>
    </w:p>
    <w:p>
      <w:pPr>
        <w:pStyle w:val="154"/>
        <w:ind w:firstLine="0"/>
        <w:rPr>
          <w:rFonts w:hint="eastAsia" w:ascii="仿宋" w:hAnsi="仿宋" w:eastAsia="仿宋" w:cs="仿宋"/>
          <w:color w:val="auto"/>
          <w:spacing w:val="14"/>
          <w:szCs w:val="21"/>
          <w:highlight w:val="none"/>
        </w:rPr>
      </w:pPr>
    </w:p>
    <w:p>
      <w:pPr>
        <w:rPr>
          <w:rFonts w:hint="eastAsia" w:ascii="仿宋" w:hAnsi="仿宋" w:eastAsia="仿宋" w:cs="仿宋"/>
          <w:b/>
          <w:bCs/>
          <w:color w:val="auto"/>
          <w:spacing w:val="14"/>
          <w:sz w:val="28"/>
          <w:szCs w:val="28"/>
          <w:highlight w:val="none"/>
        </w:rPr>
      </w:pPr>
      <w:r>
        <w:rPr>
          <w:rFonts w:hint="eastAsia" w:ascii="仿宋" w:hAnsi="仿宋" w:eastAsia="仿宋" w:cs="仿宋"/>
          <w:color w:val="auto"/>
          <w:spacing w:val="14"/>
          <w:szCs w:val="21"/>
          <w:highlight w:val="none"/>
        </w:rPr>
        <w:br w:type="page"/>
      </w:r>
      <w:r>
        <w:rPr>
          <w:rFonts w:hint="eastAsia" w:ascii="仿宋" w:hAnsi="仿宋" w:eastAsia="仿宋" w:cs="仿宋"/>
          <w:b/>
          <w:bCs/>
          <w:color w:val="auto"/>
          <w:spacing w:val="14"/>
          <w:sz w:val="28"/>
          <w:szCs w:val="28"/>
          <w:highlight w:val="none"/>
        </w:rPr>
        <w:t>二、投标函</w:t>
      </w:r>
    </w:p>
    <w:p>
      <w:pPr>
        <w:pStyle w:val="154"/>
        <w:ind w:firstLine="0"/>
        <w:jc w:val="center"/>
        <w:rPr>
          <w:rFonts w:hint="eastAsia" w:ascii="仿宋" w:hAnsi="仿宋" w:eastAsia="仿宋" w:cs="仿宋"/>
          <w:color w:val="auto"/>
          <w:spacing w:val="14"/>
          <w:sz w:val="28"/>
          <w:szCs w:val="28"/>
          <w:highlight w:val="none"/>
        </w:rPr>
      </w:pPr>
      <w:r>
        <w:rPr>
          <w:rFonts w:hint="eastAsia" w:ascii="仿宋" w:hAnsi="仿宋" w:eastAsia="仿宋" w:cs="仿宋"/>
          <w:color w:val="auto"/>
          <w:spacing w:val="14"/>
          <w:sz w:val="28"/>
          <w:szCs w:val="28"/>
          <w:highlight w:val="none"/>
        </w:rPr>
        <w:t>投标函</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致：</w:t>
      </w:r>
      <w:r>
        <w:rPr>
          <w:rFonts w:hint="eastAsia" w:ascii="仿宋" w:hAnsi="仿宋" w:eastAsia="仿宋" w:cs="仿宋"/>
          <w:color w:val="auto"/>
          <w:spacing w:val="14"/>
          <w:szCs w:val="21"/>
          <w:highlight w:val="none"/>
          <w:u w:val="single" w:color="000000"/>
        </w:rPr>
        <w:t xml:space="preserve">              </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根据贵方项目编号为</w:t>
      </w:r>
      <w:r>
        <w:rPr>
          <w:rFonts w:hint="eastAsia" w:ascii="仿宋" w:hAnsi="仿宋" w:eastAsia="仿宋" w:cs="仿宋"/>
          <w:color w:val="auto"/>
          <w:spacing w:val="14"/>
          <w:szCs w:val="21"/>
          <w:highlight w:val="none"/>
          <w:u w:val="single" w:color="000000"/>
        </w:rPr>
        <w:t xml:space="preserve">              </w:t>
      </w:r>
      <w:r>
        <w:rPr>
          <w:rFonts w:hint="eastAsia" w:ascii="仿宋" w:hAnsi="仿宋" w:eastAsia="仿宋" w:cs="仿宋"/>
          <w:color w:val="auto"/>
          <w:spacing w:val="14"/>
          <w:szCs w:val="21"/>
          <w:highlight w:val="none"/>
        </w:rPr>
        <w:t>的招标公告，我方签字代表经正式授权并代表投标人提交投标文件及相关资料，并对之负法律责任。</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据此函，签字代表宣布同意如下：</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1、依法依规、诚实守信、公平竞争参加本次招标活动。</w:t>
      </w:r>
    </w:p>
    <w:p>
      <w:pPr>
        <w:pStyle w:val="154"/>
        <w:rPr>
          <w:rFonts w:hint="eastAsia" w:ascii="仿宋" w:hAnsi="仿宋" w:eastAsia="仿宋" w:cs="仿宋"/>
          <w:color w:val="auto"/>
          <w:spacing w:val="14"/>
          <w:kern w:val="2"/>
          <w:szCs w:val="21"/>
          <w:highlight w:val="none"/>
        </w:rPr>
      </w:pPr>
      <w:r>
        <w:rPr>
          <w:rFonts w:hint="eastAsia" w:ascii="仿宋" w:hAnsi="仿宋" w:eastAsia="仿宋" w:cs="仿宋"/>
          <w:color w:val="auto"/>
          <w:spacing w:val="14"/>
          <w:kern w:val="2"/>
          <w:szCs w:val="21"/>
          <w:highlight w:val="none"/>
        </w:rPr>
        <w:t>2、我方保证投标文件中的所有资料均为真实、准确、完整、有效的，且不具有任何误导性，否则，我方承诺投标文件无效并自愿承担一切法律责任。</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3、我方的投标报价详见开标一览表。</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4、我方承诺除技术要求响应与偏差表、商务要求响应与偏差表列出的偏差外，我方响应招标文件的全部要求。</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5、我方愿遵守《中华人民共和国政府采购法》及相关的政府采购法律法规，按《中华人民共和国民法典》履行我方的全部责任。</w:t>
      </w:r>
    </w:p>
    <w:p>
      <w:pPr>
        <w:pStyle w:val="154"/>
        <w:rPr>
          <w:rFonts w:hint="eastAsia" w:ascii="仿宋" w:hAnsi="仿宋" w:eastAsia="仿宋" w:cs="仿宋"/>
          <w:color w:val="auto"/>
          <w:spacing w:val="14"/>
          <w:kern w:val="2"/>
          <w:szCs w:val="21"/>
          <w:highlight w:val="none"/>
        </w:rPr>
      </w:pPr>
      <w:r>
        <w:rPr>
          <w:rFonts w:hint="eastAsia" w:ascii="仿宋" w:hAnsi="仿宋" w:eastAsia="仿宋" w:cs="仿宋"/>
          <w:color w:val="auto"/>
          <w:spacing w:val="14"/>
          <w:kern w:val="2"/>
          <w:szCs w:val="21"/>
          <w:highlight w:val="none"/>
        </w:rPr>
        <w:t>6、我方已认真仔细研究招标文件全部内容，包括修改文件以及全部参考资料和有关附件。我们完全理解并同意放弃对这方面有不明及误解的权力。</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7、我方承诺投标有效期为提交投标文件截止时间后90天，并在招标文件规定的投标有效期内不撤销投标文件。</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8、我方同意按照贵方的要求提供与投标有关的一切数据或资料，理解贵方不一定接受最低报价的投标或收到的任何投标。</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9、我方在此声明，所提交的投标文件及有关资料内容完整、真实和准确，且不存在第二章“投标人须知”第 1.4.3 项规定的任何一种情形。</w:t>
      </w:r>
    </w:p>
    <w:p>
      <w:pPr>
        <w:pStyle w:val="154"/>
        <w:rPr>
          <w:rFonts w:hint="eastAsia" w:ascii="仿宋" w:hAnsi="仿宋" w:eastAsia="仿宋" w:cs="仿宋"/>
          <w:bCs/>
          <w:color w:val="auto"/>
          <w:spacing w:val="14"/>
          <w:szCs w:val="21"/>
          <w:highlight w:val="none"/>
        </w:rPr>
      </w:pPr>
      <w:r>
        <w:rPr>
          <w:rFonts w:hint="eastAsia" w:ascii="仿宋" w:hAnsi="仿宋" w:eastAsia="仿宋" w:cs="仿宋"/>
          <w:bCs/>
          <w:color w:val="auto"/>
          <w:spacing w:val="14"/>
          <w:szCs w:val="21"/>
          <w:highlight w:val="none"/>
        </w:rPr>
        <w:t>10、如果我方被确定为中标人，我方愿意按招标文件的规定交纳履约保证金。我方如无不可抗力，放弃中标，或者未履行招标文件、投标文件和合同条款的，一经查实，我方愿意赔偿由此而造成的一切损失，并同意接受按相关法律法规和招标文件的相关要求对我方进行的处罚。</w:t>
      </w:r>
    </w:p>
    <w:p>
      <w:pPr>
        <w:pStyle w:val="154"/>
        <w:rPr>
          <w:rFonts w:hint="eastAsia" w:ascii="仿宋" w:hAnsi="仿宋" w:eastAsia="仿宋" w:cs="仿宋"/>
          <w:bCs/>
          <w:color w:val="auto"/>
          <w:spacing w:val="14"/>
          <w:szCs w:val="21"/>
          <w:highlight w:val="none"/>
        </w:rPr>
      </w:pPr>
      <w:r>
        <w:rPr>
          <w:rFonts w:hint="eastAsia" w:ascii="仿宋" w:hAnsi="仿宋" w:eastAsia="仿宋" w:cs="仿宋"/>
          <w:bCs/>
          <w:color w:val="auto"/>
          <w:spacing w:val="14"/>
          <w:szCs w:val="21"/>
          <w:highlight w:val="none"/>
        </w:rPr>
        <w:t>11、采购人若需追加采购本项目招标文件所列货物及相关伴随服务的，在不改变合同其他实质性条款的前提下，我方将按相同或更优惠的折扣率保证供货。</w:t>
      </w:r>
    </w:p>
    <w:p>
      <w:pPr>
        <w:pStyle w:val="154"/>
        <w:rPr>
          <w:rFonts w:hint="eastAsia" w:ascii="仿宋" w:hAnsi="仿宋" w:eastAsia="仿宋" w:cs="仿宋"/>
          <w:bCs/>
          <w:color w:val="auto"/>
          <w:spacing w:val="14"/>
          <w:szCs w:val="21"/>
          <w:highlight w:val="none"/>
        </w:rPr>
      </w:pPr>
      <w:r>
        <w:rPr>
          <w:rFonts w:hint="eastAsia" w:ascii="仿宋" w:hAnsi="仿宋" w:eastAsia="仿宋" w:cs="仿宋"/>
          <w:bCs/>
          <w:color w:val="auto"/>
          <w:spacing w:val="14"/>
          <w:szCs w:val="21"/>
          <w:highlight w:val="none"/>
        </w:rPr>
        <w:t>12、我公司保证所投产品来自合法的供货渠道，若中标，则有义务向采购人提供其要求的有效书面证明资料。如果提供非法渠道的商品，视为欺诈，并承担相关责任。</w:t>
      </w:r>
    </w:p>
    <w:p>
      <w:pPr>
        <w:pStyle w:val="154"/>
        <w:rPr>
          <w:rFonts w:hint="eastAsia" w:ascii="仿宋" w:hAnsi="仿宋" w:eastAsia="仿宋" w:cs="仿宋"/>
          <w:bCs/>
          <w:color w:val="auto"/>
          <w:spacing w:val="14"/>
          <w:szCs w:val="21"/>
          <w:highlight w:val="none"/>
        </w:rPr>
      </w:pPr>
      <w:r>
        <w:rPr>
          <w:rFonts w:hint="eastAsia" w:ascii="仿宋" w:hAnsi="仿宋" w:eastAsia="仿宋" w:cs="仿宋"/>
          <w:bCs/>
          <w:color w:val="auto"/>
          <w:spacing w:val="14"/>
          <w:szCs w:val="21"/>
          <w:highlight w:val="none"/>
        </w:rPr>
        <w:t>13、我方决不提供虚假资料谋取中标，决不采取不正当手段诋毁、排挤其他</w:t>
      </w:r>
      <w:r>
        <w:rPr>
          <w:rFonts w:hint="eastAsia" w:ascii="仿宋" w:hAnsi="仿宋" w:eastAsia="仿宋" w:cs="仿宋"/>
          <w:color w:val="auto"/>
          <w:spacing w:val="14"/>
          <w:szCs w:val="21"/>
          <w:highlight w:val="none"/>
        </w:rPr>
        <w:t>投标人</w:t>
      </w:r>
      <w:r>
        <w:rPr>
          <w:rFonts w:hint="eastAsia" w:ascii="仿宋" w:hAnsi="仿宋" w:eastAsia="仿宋" w:cs="仿宋"/>
          <w:bCs/>
          <w:color w:val="auto"/>
          <w:spacing w:val="14"/>
          <w:szCs w:val="21"/>
          <w:highlight w:val="none"/>
        </w:rPr>
        <w:t>，决不与采购人、采购代理机构或者其它投标人恶意串通，决不向采购人、代理机构工作人员和评委进行商业贿赂，决不拒绝相关监管部门的监督检查，不向相关监管部门提供虚假情况，如有违反政府采购法律法规的行为，无条件接受贵方及相关监管部门的依法依规处罚。</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14、本此招标若废标，在收到贵方的通知后，如果我方同意参加贵方组织的本项目的竞争性谈判，则本投标函及所有投标文件中声明、授权、承诺、盖章签字等仍然有效。我方遵守贵方招标文件关于特殊情形采用竞争性谈判采购的相关规定，并无异议。</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15、与本投标有关的一切正式函件往来请寄：</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 xml:space="preserve">    地址：                邮政编码：</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 xml:space="preserve">    电话：                传真：             电子信箱：</w:t>
      </w:r>
    </w:p>
    <w:p>
      <w:pPr>
        <w:pStyle w:val="154"/>
        <w:ind w:firstLine="0"/>
        <w:rPr>
          <w:rFonts w:hint="eastAsia" w:ascii="仿宋" w:hAnsi="仿宋" w:eastAsia="仿宋" w:cs="仿宋"/>
          <w:color w:val="auto"/>
          <w:spacing w:val="14"/>
          <w:szCs w:val="21"/>
          <w:highlight w:val="none"/>
        </w:rPr>
      </w:pPr>
    </w:p>
    <w:p>
      <w:pPr>
        <w:pStyle w:val="154"/>
        <w:ind w:firstLine="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投标人（企业电子章）：</w:t>
      </w:r>
    </w:p>
    <w:p>
      <w:pPr>
        <w:pStyle w:val="154"/>
        <w:ind w:firstLine="0"/>
        <w:rPr>
          <w:rFonts w:hint="eastAsia" w:ascii="仿宋" w:hAnsi="仿宋" w:eastAsia="仿宋" w:cs="仿宋"/>
          <w:color w:val="auto"/>
          <w:spacing w:val="14"/>
          <w:szCs w:val="21"/>
          <w:highlight w:val="none"/>
        </w:rPr>
      </w:pPr>
    </w:p>
    <w:p>
      <w:pPr>
        <w:pStyle w:val="154"/>
        <w:ind w:firstLine="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法定代表人（负责人）（个人电子章）：</w:t>
      </w:r>
    </w:p>
    <w:p>
      <w:pPr>
        <w:pStyle w:val="154"/>
        <w:ind w:firstLine="0"/>
        <w:rPr>
          <w:rFonts w:hint="eastAsia" w:ascii="仿宋" w:hAnsi="仿宋" w:eastAsia="仿宋" w:cs="仿宋"/>
          <w:color w:val="auto"/>
          <w:spacing w:val="14"/>
          <w:szCs w:val="21"/>
          <w:highlight w:val="none"/>
        </w:rPr>
      </w:pPr>
    </w:p>
    <w:p>
      <w:pPr>
        <w:pStyle w:val="154"/>
        <w:ind w:firstLine="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日期：</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本投标人承诺：以上地址等信息为邮寄函件的真实有效准确信息，收件人为法定代表人或投标人代表。如我方对往来函件拒收，邮寄方可视为已送达，由此造成的一切后果由本投标人承担。</w:t>
      </w:r>
    </w:p>
    <w:p>
      <w:pPr>
        <w:pStyle w:val="154"/>
        <w:rPr>
          <w:rFonts w:hint="eastAsia" w:ascii="仿宋" w:hAnsi="仿宋" w:eastAsia="仿宋" w:cs="仿宋"/>
          <w:color w:val="auto"/>
          <w:spacing w:val="14"/>
          <w:szCs w:val="21"/>
          <w:highlight w:val="none"/>
        </w:rPr>
      </w:pPr>
    </w:p>
    <w:p>
      <w:pPr>
        <w:pStyle w:val="154"/>
        <w:rPr>
          <w:rStyle w:val="78"/>
          <w:rFonts w:hint="eastAsia" w:ascii="仿宋" w:hAnsi="仿宋" w:eastAsia="仿宋" w:cs="仿宋"/>
          <w:b w:val="0"/>
          <w:bCs w:val="0"/>
          <w:color w:val="auto"/>
          <w:spacing w:val="14"/>
          <w:sz w:val="21"/>
          <w:szCs w:val="21"/>
          <w:highlight w:val="none"/>
        </w:rPr>
      </w:pPr>
      <w:r>
        <w:rPr>
          <w:rFonts w:hint="eastAsia" w:ascii="仿宋" w:hAnsi="仿宋" w:eastAsia="仿宋" w:cs="仿宋"/>
          <w:color w:val="auto"/>
          <w:spacing w:val="14"/>
          <w:szCs w:val="21"/>
          <w:highlight w:val="none"/>
        </w:rPr>
        <w:t>注：除可填报内容外，对本投标函内容的任何实质性修改将被视为非实质性响应投标，从而导致该投标被拒绝。</w:t>
      </w:r>
    </w:p>
    <w:p>
      <w:pPr>
        <w:pStyle w:val="154"/>
        <w:rPr>
          <w:rStyle w:val="78"/>
          <w:rFonts w:hint="eastAsia" w:ascii="仿宋" w:hAnsi="仿宋" w:eastAsia="仿宋" w:cs="仿宋"/>
          <w:b w:val="0"/>
          <w:bCs w:val="0"/>
          <w:color w:val="auto"/>
          <w:spacing w:val="14"/>
          <w:sz w:val="21"/>
          <w:szCs w:val="21"/>
          <w:highlight w:val="none"/>
        </w:rPr>
      </w:pPr>
    </w:p>
    <w:p>
      <w:pPr>
        <w:pStyle w:val="154"/>
        <w:rPr>
          <w:rStyle w:val="78"/>
          <w:rFonts w:hint="eastAsia" w:ascii="仿宋" w:hAnsi="仿宋" w:eastAsia="仿宋" w:cs="仿宋"/>
          <w:b w:val="0"/>
          <w:bCs w:val="0"/>
          <w:color w:val="auto"/>
          <w:spacing w:val="14"/>
          <w:sz w:val="21"/>
          <w:szCs w:val="21"/>
          <w:highlight w:val="none"/>
        </w:rPr>
      </w:pPr>
    </w:p>
    <w:p>
      <w:pPr>
        <w:pStyle w:val="154"/>
        <w:rPr>
          <w:rStyle w:val="78"/>
          <w:rFonts w:hint="eastAsia" w:ascii="仿宋" w:hAnsi="仿宋" w:eastAsia="仿宋" w:cs="仿宋"/>
          <w:b w:val="0"/>
          <w:bCs w:val="0"/>
          <w:color w:val="auto"/>
          <w:spacing w:val="14"/>
          <w:sz w:val="21"/>
          <w:szCs w:val="21"/>
          <w:highlight w:val="none"/>
        </w:rPr>
      </w:pPr>
    </w:p>
    <w:p>
      <w:pPr>
        <w:pStyle w:val="154"/>
        <w:rPr>
          <w:rStyle w:val="78"/>
          <w:rFonts w:hint="eastAsia" w:ascii="仿宋" w:hAnsi="仿宋" w:eastAsia="仿宋" w:cs="仿宋"/>
          <w:b w:val="0"/>
          <w:bCs w:val="0"/>
          <w:color w:val="auto"/>
          <w:spacing w:val="14"/>
          <w:sz w:val="21"/>
          <w:szCs w:val="21"/>
          <w:highlight w:val="none"/>
        </w:rPr>
      </w:pPr>
    </w:p>
    <w:p>
      <w:pPr>
        <w:pStyle w:val="154"/>
        <w:rPr>
          <w:rStyle w:val="78"/>
          <w:rFonts w:hint="eastAsia" w:ascii="仿宋" w:hAnsi="仿宋" w:eastAsia="仿宋" w:cs="仿宋"/>
          <w:b w:val="0"/>
          <w:bCs w:val="0"/>
          <w:color w:val="auto"/>
          <w:spacing w:val="14"/>
          <w:sz w:val="21"/>
          <w:szCs w:val="21"/>
          <w:highlight w:val="none"/>
        </w:rPr>
      </w:pPr>
    </w:p>
    <w:p>
      <w:pPr>
        <w:pStyle w:val="5"/>
        <w:rPr>
          <w:rFonts w:hint="eastAsia" w:ascii="仿宋" w:hAnsi="仿宋" w:eastAsia="仿宋" w:cs="仿宋"/>
          <w:color w:val="auto"/>
          <w:spacing w:val="14"/>
          <w:highlight w:val="none"/>
        </w:rPr>
      </w:pPr>
      <w:bookmarkStart w:id="163" w:name="_Toc1660857"/>
      <w:r>
        <w:rPr>
          <w:rFonts w:hint="eastAsia" w:ascii="仿宋" w:hAnsi="仿宋" w:eastAsia="仿宋" w:cs="仿宋"/>
          <w:color w:val="auto"/>
          <w:spacing w:val="14"/>
          <w:highlight w:val="none"/>
        </w:rPr>
        <w:br w:type="page"/>
      </w:r>
      <w:bookmarkStart w:id="164" w:name="_Toc4283"/>
      <w:r>
        <w:rPr>
          <w:rFonts w:hint="eastAsia" w:ascii="仿宋" w:hAnsi="仿宋" w:eastAsia="仿宋" w:cs="仿宋"/>
          <w:color w:val="auto"/>
          <w:spacing w:val="14"/>
          <w:highlight w:val="none"/>
        </w:rPr>
        <w:t>三、法定代表人授权书</w:t>
      </w:r>
      <w:bookmarkEnd w:id="163"/>
      <w:bookmarkEnd w:id="164"/>
    </w:p>
    <w:p>
      <w:pPr>
        <w:pStyle w:val="154"/>
        <w:ind w:firstLine="0"/>
        <w:jc w:val="center"/>
        <w:rPr>
          <w:rFonts w:hint="eastAsia" w:ascii="仿宋" w:hAnsi="仿宋" w:eastAsia="仿宋" w:cs="仿宋"/>
          <w:color w:val="auto"/>
          <w:spacing w:val="14"/>
          <w:sz w:val="28"/>
          <w:szCs w:val="28"/>
          <w:highlight w:val="none"/>
        </w:rPr>
      </w:pPr>
    </w:p>
    <w:p>
      <w:pPr>
        <w:pStyle w:val="154"/>
        <w:ind w:firstLine="0"/>
        <w:jc w:val="center"/>
        <w:rPr>
          <w:rFonts w:hint="eastAsia" w:ascii="仿宋" w:hAnsi="仿宋" w:eastAsia="仿宋" w:cs="仿宋"/>
          <w:color w:val="auto"/>
          <w:spacing w:val="14"/>
          <w:sz w:val="28"/>
          <w:szCs w:val="28"/>
          <w:highlight w:val="none"/>
        </w:rPr>
      </w:pPr>
      <w:r>
        <w:rPr>
          <w:rFonts w:hint="eastAsia" w:ascii="仿宋" w:hAnsi="仿宋" w:eastAsia="仿宋" w:cs="仿宋"/>
          <w:color w:val="auto"/>
          <w:spacing w:val="14"/>
          <w:sz w:val="28"/>
          <w:szCs w:val="28"/>
          <w:highlight w:val="none"/>
        </w:rPr>
        <w:t>法定代表人授权书</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本人</w:t>
      </w:r>
      <w:r>
        <w:rPr>
          <w:rFonts w:hint="eastAsia" w:ascii="仿宋" w:hAnsi="仿宋" w:eastAsia="仿宋" w:cs="仿宋"/>
          <w:color w:val="auto"/>
          <w:spacing w:val="14"/>
          <w:szCs w:val="21"/>
          <w:highlight w:val="none"/>
          <w:u w:val="single"/>
        </w:rPr>
        <w:t xml:space="preserve">         </w:t>
      </w:r>
      <w:r>
        <w:rPr>
          <w:rFonts w:hint="eastAsia" w:ascii="仿宋" w:hAnsi="仿宋" w:eastAsia="仿宋" w:cs="仿宋"/>
          <w:color w:val="auto"/>
          <w:spacing w:val="14"/>
          <w:szCs w:val="21"/>
          <w:highlight w:val="none"/>
        </w:rPr>
        <w:t>（姓名）系</w:t>
      </w:r>
      <w:r>
        <w:rPr>
          <w:rFonts w:hint="eastAsia" w:ascii="仿宋" w:hAnsi="仿宋" w:eastAsia="仿宋" w:cs="仿宋"/>
          <w:color w:val="auto"/>
          <w:spacing w:val="14"/>
          <w:szCs w:val="21"/>
          <w:highlight w:val="none"/>
          <w:u w:val="single"/>
        </w:rPr>
        <w:t xml:space="preserve">            </w:t>
      </w:r>
      <w:r>
        <w:rPr>
          <w:rFonts w:hint="eastAsia" w:ascii="仿宋" w:hAnsi="仿宋" w:eastAsia="仿宋" w:cs="仿宋"/>
          <w:color w:val="auto"/>
          <w:spacing w:val="14"/>
          <w:szCs w:val="21"/>
          <w:highlight w:val="none"/>
        </w:rPr>
        <w:t>（投标单位名称）的法定代表人，现授权委托本单位在职员工</w:t>
      </w:r>
      <w:r>
        <w:rPr>
          <w:rFonts w:hint="eastAsia" w:ascii="仿宋" w:hAnsi="仿宋" w:eastAsia="仿宋" w:cs="仿宋"/>
          <w:color w:val="auto"/>
          <w:spacing w:val="14"/>
          <w:szCs w:val="21"/>
          <w:highlight w:val="none"/>
          <w:u w:val="single"/>
        </w:rPr>
        <w:t xml:space="preserve">       </w:t>
      </w:r>
      <w:r>
        <w:rPr>
          <w:rFonts w:hint="eastAsia" w:ascii="仿宋" w:hAnsi="仿宋" w:eastAsia="仿宋" w:cs="仿宋"/>
          <w:color w:val="auto"/>
          <w:spacing w:val="14"/>
          <w:szCs w:val="21"/>
          <w:highlight w:val="none"/>
        </w:rPr>
        <w:t>（姓名，职务）（身份证号码：</w:t>
      </w:r>
      <w:r>
        <w:rPr>
          <w:rFonts w:hint="eastAsia" w:ascii="仿宋" w:hAnsi="仿宋" w:eastAsia="仿宋" w:cs="仿宋"/>
          <w:color w:val="auto"/>
          <w:spacing w:val="14"/>
          <w:szCs w:val="21"/>
          <w:highlight w:val="none"/>
          <w:u w:val="single"/>
        </w:rPr>
        <w:t xml:space="preserve">             </w:t>
      </w:r>
      <w:r>
        <w:rPr>
          <w:rFonts w:hint="eastAsia" w:ascii="仿宋" w:hAnsi="仿宋" w:eastAsia="仿宋" w:cs="仿宋"/>
          <w:color w:val="auto"/>
          <w:spacing w:val="14"/>
          <w:szCs w:val="21"/>
          <w:highlight w:val="none"/>
        </w:rPr>
        <w:t>、手机号码：</w:t>
      </w:r>
      <w:r>
        <w:rPr>
          <w:rFonts w:hint="eastAsia" w:ascii="仿宋" w:hAnsi="仿宋" w:eastAsia="仿宋" w:cs="仿宋"/>
          <w:color w:val="auto"/>
          <w:spacing w:val="14"/>
          <w:szCs w:val="21"/>
          <w:highlight w:val="none"/>
          <w:u w:val="single"/>
        </w:rPr>
        <w:t xml:space="preserve">           </w:t>
      </w:r>
      <w:r>
        <w:rPr>
          <w:rFonts w:hint="eastAsia" w:ascii="仿宋" w:hAnsi="仿宋" w:eastAsia="仿宋" w:cs="仿宋"/>
          <w:color w:val="auto"/>
          <w:spacing w:val="14"/>
          <w:szCs w:val="21"/>
          <w:highlight w:val="none"/>
        </w:rPr>
        <w:t>）作为投标人代表以我方的名义参加贵单位组织的</w:t>
      </w:r>
      <w:r>
        <w:rPr>
          <w:rFonts w:hint="eastAsia" w:ascii="仿宋" w:hAnsi="仿宋" w:eastAsia="仿宋" w:cs="仿宋"/>
          <w:color w:val="auto"/>
          <w:spacing w:val="14"/>
          <w:szCs w:val="21"/>
          <w:highlight w:val="none"/>
          <w:u w:val="single"/>
        </w:rPr>
        <w:t xml:space="preserve">             </w:t>
      </w:r>
      <w:r>
        <w:rPr>
          <w:rFonts w:hint="eastAsia" w:ascii="仿宋" w:hAnsi="仿宋" w:eastAsia="仿宋" w:cs="仿宋"/>
          <w:color w:val="auto"/>
          <w:spacing w:val="14"/>
          <w:szCs w:val="21"/>
          <w:highlight w:val="none"/>
        </w:rPr>
        <w:t>项目</w:t>
      </w:r>
      <w:r>
        <w:rPr>
          <w:rFonts w:hint="eastAsia" w:ascii="仿宋" w:hAnsi="仿宋" w:eastAsia="仿宋" w:cs="仿宋"/>
          <w:color w:val="auto"/>
          <w:spacing w:val="14"/>
          <w:szCs w:val="21"/>
          <w:highlight w:val="none"/>
          <w:u w:val="single"/>
          <w:lang w:val="en-US" w:eastAsia="zh-CN"/>
        </w:rPr>
        <w:t xml:space="preserve">        </w:t>
      </w:r>
      <w:r>
        <w:rPr>
          <w:rFonts w:hint="eastAsia" w:ascii="仿宋" w:hAnsi="仿宋" w:eastAsia="仿宋" w:cs="仿宋"/>
          <w:color w:val="auto"/>
          <w:spacing w:val="14"/>
          <w:szCs w:val="21"/>
          <w:highlight w:val="none"/>
          <w:u w:val="none"/>
          <w:lang w:val="en-US" w:eastAsia="zh-CN"/>
        </w:rPr>
        <w:t>标段</w:t>
      </w:r>
      <w:r>
        <w:rPr>
          <w:rFonts w:hint="eastAsia" w:ascii="仿宋" w:hAnsi="仿宋" w:eastAsia="仿宋" w:cs="仿宋"/>
          <w:color w:val="auto"/>
          <w:spacing w:val="14"/>
          <w:szCs w:val="21"/>
          <w:highlight w:val="none"/>
        </w:rPr>
        <w:t>（项目编号：</w:t>
      </w:r>
      <w:r>
        <w:rPr>
          <w:rFonts w:hint="eastAsia" w:ascii="仿宋" w:hAnsi="仿宋" w:eastAsia="仿宋" w:cs="仿宋"/>
          <w:color w:val="auto"/>
          <w:spacing w:val="14"/>
          <w:szCs w:val="21"/>
          <w:highlight w:val="none"/>
          <w:u w:val="single"/>
        </w:rPr>
        <w:t xml:space="preserve">           </w:t>
      </w:r>
      <w:r>
        <w:rPr>
          <w:rFonts w:hint="eastAsia" w:ascii="仿宋" w:hAnsi="仿宋" w:eastAsia="仿宋" w:cs="仿宋"/>
          <w:color w:val="auto"/>
          <w:spacing w:val="14"/>
          <w:szCs w:val="21"/>
          <w:highlight w:val="none"/>
        </w:rPr>
        <w:t>）的投标活动，并代表我方全权处理一切与之有关的具体事务和签署相关文件，我均予以承认。</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代理人无权转让委托权。</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本授权书至投标有效期结束前始终有效。</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特此声明。</w:t>
      </w:r>
    </w:p>
    <w:p>
      <w:pPr>
        <w:pStyle w:val="154"/>
        <w:rPr>
          <w:rFonts w:hint="eastAsia" w:ascii="仿宋" w:hAnsi="仿宋" w:eastAsia="仿宋" w:cs="仿宋"/>
          <w:color w:val="auto"/>
          <w:spacing w:val="14"/>
          <w:szCs w:val="21"/>
          <w:highlight w:val="none"/>
        </w:rPr>
      </w:pPr>
    </w:p>
    <w:p>
      <w:pPr>
        <w:pStyle w:val="154"/>
        <w:rPr>
          <w:rFonts w:hint="eastAsia" w:ascii="仿宋" w:hAnsi="仿宋" w:eastAsia="仿宋" w:cs="仿宋"/>
          <w:color w:val="auto"/>
          <w:spacing w:val="14"/>
          <w:szCs w:val="21"/>
          <w:highlight w:val="none"/>
        </w:rPr>
      </w:pP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投标人（企业电子章）：</w:t>
      </w:r>
    </w:p>
    <w:p>
      <w:pPr>
        <w:pStyle w:val="154"/>
        <w:rPr>
          <w:rFonts w:hint="eastAsia" w:ascii="仿宋" w:hAnsi="仿宋" w:eastAsia="仿宋" w:cs="仿宋"/>
          <w:color w:val="auto"/>
          <w:spacing w:val="14"/>
          <w:szCs w:val="21"/>
          <w:highlight w:val="none"/>
        </w:rPr>
      </w:pP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法定代表人（个人电子章）：</w:t>
      </w:r>
    </w:p>
    <w:p>
      <w:pPr>
        <w:pStyle w:val="154"/>
        <w:rPr>
          <w:rFonts w:hint="eastAsia" w:ascii="仿宋" w:hAnsi="仿宋" w:eastAsia="仿宋" w:cs="仿宋"/>
          <w:color w:val="auto"/>
          <w:spacing w:val="14"/>
          <w:szCs w:val="21"/>
          <w:highlight w:val="none"/>
        </w:rPr>
      </w:pP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日期：</w:t>
      </w:r>
    </w:p>
    <w:p>
      <w:pPr>
        <w:pStyle w:val="154"/>
        <w:ind w:firstLine="0"/>
        <w:rPr>
          <w:rFonts w:hint="eastAsia" w:ascii="仿宋" w:hAnsi="仿宋" w:eastAsia="仿宋" w:cs="仿宋"/>
          <w:color w:val="auto"/>
          <w:spacing w:val="14"/>
          <w:szCs w:val="21"/>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5"/>
        <w:rPr>
          <w:rFonts w:hint="eastAsia" w:ascii="仿宋" w:hAnsi="仿宋" w:eastAsia="仿宋" w:cs="仿宋"/>
          <w:color w:val="auto"/>
          <w:highlight w:val="none"/>
        </w:rPr>
      </w:pPr>
      <w:bookmarkStart w:id="165" w:name="_Toc4360"/>
      <w:bookmarkStart w:id="166" w:name="_Toc1660858"/>
      <w:r>
        <w:rPr>
          <w:rFonts w:hint="eastAsia" w:ascii="仿宋" w:hAnsi="仿宋" w:eastAsia="仿宋" w:cs="仿宋"/>
          <w:color w:val="auto"/>
          <w:highlight w:val="none"/>
        </w:rPr>
        <w:t>四、法人被授权人身份证</w:t>
      </w:r>
      <w:bookmarkEnd w:id="165"/>
      <w:bookmarkEnd w:id="166"/>
    </w:p>
    <w:p>
      <w:pPr>
        <w:pStyle w:val="154"/>
        <w:ind w:firstLine="0"/>
        <w:jc w:val="center"/>
        <w:rPr>
          <w:rFonts w:hint="eastAsia" w:ascii="仿宋" w:hAnsi="仿宋" w:eastAsia="仿宋" w:cs="仿宋"/>
          <w:color w:val="auto"/>
          <w:spacing w:val="14"/>
          <w:szCs w:val="21"/>
          <w:highlight w:val="none"/>
        </w:rPr>
      </w:pPr>
    </w:p>
    <w:p>
      <w:pPr>
        <w:pStyle w:val="154"/>
        <w:ind w:firstLine="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1、法定代表人身份证正面和反面扫描件</w:t>
      </w:r>
    </w:p>
    <w:p>
      <w:pPr>
        <w:pStyle w:val="154"/>
        <w:rPr>
          <w:rFonts w:hint="eastAsia" w:ascii="仿宋" w:hAnsi="仿宋" w:eastAsia="仿宋" w:cs="仿宋"/>
          <w:color w:val="auto"/>
          <w:spacing w:val="14"/>
          <w:szCs w:val="21"/>
          <w:highlight w:val="none"/>
        </w:rPr>
      </w:pPr>
    </w:p>
    <w:p>
      <w:pPr>
        <w:pStyle w:val="154"/>
        <w:rPr>
          <w:rFonts w:hint="eastAsia" w:ascii="仿宋" w:hAnsi="仿宋" w:eastAsia="仿宋" w:cs="仿宋"/>
          <w:color w:val="auto"/>
          <w:spacing w:val="14"/>
          <w:szCs w:val="21"/>
          <w:highlight w:val="none"/>
        </w:rPr>
      </w:pPr>
    </w:p>
    <w:p>
      <w:pPr>
        <w:pStyle w:val="154"/>
        <w:rPr>
          <w:rFonts w:hint="eastAsia" w:ascii="仿宋" w:hAnsi="仿宋" w:eastAsia="仿宋" w:cs="仿宋"/>
          <w:color w:val="auto"/>
          <w:spacing w:val="14"/>
          <w:szCs w:val="21"/>
          <w:highlight w:val="none"/>
        </w:rPr>
      </w:pPr>
    </w:p>
    <w:p>
      <w:pPr>
        <w:pStyle w:val="154"/>
        <w:rPr>
          <w:rFonts w:hint="eastAsia" w:ascii="仿宋" w:hAnsi="仿宋" w:eastAsia="仿宋" w:cs="仿宋"/>
          <w:color w:val="auto"/>
          <w:spacing w:val="14"/>
          <w:szCs w:val="21"/>
          <w:highlight w:val="none"/>
        </w:rPr>
      </w:pPr>
    </w:p>
    <w:p>
      <w:pPr>
        <w:pStyle w:val="154"/>
        <w:rPr>
          <w:rFonts w:hint="eastAsia" w:ascii="仿宋" w:hAnsi="仿宋" w:eastAsia="仿宋" w:cs="仿宋"/>
          <w:color w:val="auto"/>
          <w:spacing w:val="14"/>
          <w:szCs w:val="21"/>
          <w:highlight w:val="none"/>
        </w:rPr>
      </w:pPr>
    </w:p>
    <w:p>
      <w:pPr>
        <w:pStyle w:val="154"/>
        <w:rPr>
          <w:rFonts w:hint="eastAsia" w:ascii="仿宋" w:hAnsi="仿宋" w:eastAsia="仿宋" w:cs="仿宋"/>
          <w:color w:val="auto"/>
          <w:spacing w:val="14"/>
          <w:szCs w:val="21"/>
          <w:highlight w:val="none"/>
        </w:rPr>
      </w:pPr>
    </w:p>
    <w:p>
      <w:pPr>
        <w:pStyle w:val="154"/>
        <w:ind w:firstLine="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2、投标人代表（被授权人）身份证正面和反面扫描件</w:t>
      </w:r>
    </w:p>
    <w:p>
      <w:pPr>
        <w:pStyle w:val="154"/>
        <w:ind w:firstLine="0"/>
        <w:rPr>
          <w:rFonts w:hint="eastAsia" w:ascii="仿宋" w:hAnsi="仿宋" w:eastAsia="仿宋" w:cs="仿宋"/>
          <w:color w:val="auto"/>
          <w:sz w:val="20"/>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5"/>
        <w:rPr>
          <w:rFonts w:hint="eastAsia" w:ascii="仿宋" w:hAnsi="仿宋" w:eastAsia="仿宋" w:cs="仿宋"/>
          <w:color w:val="auto"/>
          <w:highlight w:val="none"/>
        </w:rPr>
      </w:pPr>
      <w:bookmarkStart w:id="167" w:name="_Toc1660860"/>
      <w:bookmarkStart w:id="168" w:name="_Toc31939"/>
      <w:r>
        <w:rPr>
          <w:rFonts w:hint="eastAsia" w:ascii="仿宋" w:hAnsi="仿宋" w:eastAsia="仿宋" w:cs="仿宋"/>
          <w:color w:val="auto"/>
          <w:spacing w:val="14"/>
          <w:highlight w:val="none"/>
        </w:rPr>
        <w:t>五、</w:t>
      </w:r>
      <w:r>
        <w:rPr>
          <w:rFonts w:hint="eastAsia" w:ascii="仿宋" w:hAnsi="仿宋" w:eastAsia="仿宋" w:cs="仿宋"/>
          <w:color w:val="auto"/>
          <w:highlight w:val="none"/>
        </w:rPr>
        <w:t>资格证明材料</w:t>
      </w:r>
      <w:bookmarkEnd w:id="167"/>
      <w:bookmarkEnd w:id="168"/>
    </w:p>
    <w:p>
      <w:pPr>
        <w:pStyle w:val="154"/>
        <w:ind w:firstLine="0"/>
        <w:jc w:val="center"/>
        <w:rPr>
          <w:rFonts w:hint="eastAsia" w:ascii="仿宋" w:hAnsi="仿宋" w:eastAsia="仿宋" w:cs="仿宋"/>
          <w:color w:val="auto"/>
          <w:sz w:val="30"/>
          <w:szCs w:val="30"/>
          <w:highlight w:val="none"/>
        </w:rPr>
      </w:pPr>
    </w:p>
    <w:p>
      <w:pPr>
        <w:pStyle w:val="154"/>
        <w:ind w:firstLine="0"/>
        <w:jc w:val="cente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资格证明材料</w:t>
      </w:r>
    </w:p>
    <w:p>
      <w:pPr>
        <w:pStyle w:val="154"/>
        <w:rPr>
          <w:rFonts w:hint="eastAsia" w:ascii="仿宋" w:hAnsi="仿宋" w:eastAsia="仿宋" w:cs="仿宋"/>
          <w:color w:val="auto"/>
          <w:szCs w:val="21"/>
          <w:highlight w:val="none"/>
        </w:rPr>
      </w:pPr>
    </w:p>
    <w:p>
      <w:pPr>
        <w:pStyle w:val="154"/>
        <w:rPr>
          <w:rFonts w:hint="eastAsia" w:ascii="仿宋" w:hAnsi="仿宋" w:eastAsia="仿宋" w:cs="仿宋"/>
          <w:color w:val="auto"/>
          <w:szCs w:val="21"/>
          <w:highlight w:val="none"/>
        </w:rPr>
      </w:pPr>
    </w:p>
    <w:p>
      <w:pPr>
        <w:rPr>
          <w:rFonts w:hint="eastAsia" w:ascii="仿宋" w:hAnsi="仿宋" w:eastAsia="仿宋" w:cs="仿宋"/>
          <w:color w:val="auto"/>
          <w:highlight w:val="none"/>
        </w:rPr>
      </w:pPr>
    </w:p>
    <w:p>
      <w:pPr>
        <w:pStyle w:val="24"/>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323"/>
        <w:spacing w:line="500" w:lineRule="exact"/>
        <w:ind w:firstLine="0"/>
        <w:jc w:val="left"/>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附件：</w:t>
      </w:r>
    </w:p>
    <w:p>
      <w:pPr>
        <w:pStyle w:val="323"/>
        <w:spacing w:line="500" w:lineRule="exact"/>
        <w:ind w:firstLine="600"/>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洛阳市政府采购供应商信用承诺函</w:t>
      </w:r>
    </w:p>
    <w:p>
      <w:pPr>
        <w:pStyle w:val="322"/>
        <w:spacing w:line="520" w:lineRule="exact"/>
        <w:rPr>
          <w:rFonts w:hint="eastAsia" w:ascii="仿宋" w:hAnsi="仿宋" w:eastAsia="仿宋" w:cs="仿宋"/>
          <w:b w:val="0"/>
          <w:color w:val="auto"/>
          <w:sz w:val="21"/>
          <w:szCs w:val="21"/>
          <w:highlight w:val="none"/>
        </w:rPr>
      </w:pPr>
    </w:p>
    <w:p>
      <w:pPr>
        <w:pStyle w:val="322"/>
        <w:spacing w:line="520" w:lineRule="exact"/>
        <w:rPr>
          <w:rFonts w:hint="eastAsia" w:ascii="仿宋" w:hAnsi="仿宋" w:eastAsia="仿宋" w:cs="仿宋"/>
          <w:b w:val="0"/>
          <w:color w:val="auto"/>
          <w:spacing w:val="20"/>
          <w:sz w:val="21"/>
          <w:szCs w:val="21"/>
          <w:highlight w:val="none"/>
        </w:rPr>
      </w:pPr>
      <w:r>
        <w:rPr>
          <w:rFonts w:hint="eastAsia" w:ascii="仿宋" w:hAnsi="仿宋" w:eastAsia="仿宋" w:cs="仿宋"/>
          <w:b w:val="0"/>
          <w:color w:val="auto"/>
          <w:spacing w:val="20"/>
          <w:sz w:val="21"/>
          <w:szCs w:val="21"/>
          <w:highlight w:val="none"/>
        </w:rPr>
        <w:t>致：</w:t>
      </w:r>
      <w:r>
        <w:rPr>
          <w:rFonts w:hint="eastAsia" w:ascii="仿宋" w:hAnsi="仿宋" w:eastAsia="仿宋" w:cs="仿宋"/>
          <w:b w:val="0"/>
          <w:color w:val="auto"/>
          <w:spacing w:val="20"/>
          <w:sz w:val="21"/>
          <w:szCs w:val="21"/>
          <w:highlight w:val="none"/>
          <w:u w:val="single"/>
        </w:rPr>
        <w:t xml:space="preserve">  （采购人或采购代理机构）       </w:t>
      </w:r>
      <w:r>
        <w:rPr>
          <w:rFonts w:hint="eastAsia" w:ascii="仿宋" w:hAnsi="仿宋" w:eastAsia="仿宋" w:cs="仿宋"/>
          <w:b w:val="0"/>
          <w:color w:val="auto"/>
          <w:spacing w:val="20"/>
          <w:sz w:val="21"/>
          <w:szCs w:val="21"/>
          <w:highlight w:val="none"/>
        </w:rPr>
        <w:t xml:space="preserve"> ：</w:t>
      </w:r>
    </w:p>
    <w:p>
      <w:pPr>
        <w:pStyle w:val="322"/>
        <w:spacing w:line="520" w:lineRule="exact"/>
        <w:rPr>
          <w:rFonts w:hint="eastAsia" w:ascii="仿宋" w:hAnsi="仿宋" w:eastAsia="仿宋" w:cs="仿宋"/>
          <w:b w:val="0"/>
          <w:color w:val="auto"/>
          <w:spacing w:val="20"/>
          <w:sz w:val="21"/>
          <w:szCs w:val="21"/>
          <w:highlight w:val="none"/>
          <w:u w:val="single"/>
        </w:rPr>
      </w:pPr>
      <w:r>
        <w:rPr>
          <w:rFonts w:hint="eastAsia" w:ascii="仿宋" w:hAnsi="仿宋" w:eastAsia="仿宋" w:cs="仿宋"/>
          <w:b w:val="0"/>
          <w:color w:val="auto"/>
          <w:spacing w:val="20"/>
          <w:sz w:val="21"/>
          <w:szCs w:val="21"/>
          <w:highlight w:val="none"/>
        </w:rPr>
        <w:t>单位名称（自然人姓名）：</w:t>
      </w:r>
      <w:r>
        <w:rPr>
          <w:rFonts w:hint="eastAsia" w:ascii="仿宋" w:hAnsi="仿宋" w:eastAsia="仿宋" w:cs="仿宋"/>
          <w:b w:val="0"/>
          <w:color w:val="auto"/>
          <w:spacing w:val="20"/>
          <w:sz w:val="21"/>
          <w:szCs w:val="21"/>
          <w:highlight w:val="none"/>
          <w:u w:val="single"/>
        </w:rPr>
        <w:t xml:space="preserve">                 </w:t>
      </w:r>
    </w:p>
    <w:p>
      <w:pPr>
        <w:pStyle w:val="322"/>
        <w:spacing w:line="520" w:lineRule="exact"/>
        <w:rPr>
          <w:rFonts w:hint="eastAsia" w:ascii="仿宋" w:hAnsi="仿宋" w:eastAsia="仿宋" w:cs="仿宋"/>
          <w:b w:val="0"/>
          <w:color w:val="auto"/>
          <w:spacing w:val="20"/>
          <w:sz w:val="21"/>
          <w:szCs w:val="21"/>
          <w:highlight w:val="none"/>
        </w:rPr>
      </w:pPr>
      <w:r>
        <w:rPr>
          <w:rFonts w:hint="eastAsia" w:ascii="仿宋" w:hAnsi="仿宋" w:eastAsia="仿宋" w:cs="仿宋"/>
          <w:b w:val="0"/>
          <w:color w:val="auto"/>
          <w:spacing w:val="20"/>
          <w:sz w:val="21"/>
          <w:szCs w:val="21"/>
          <w:highlight w:val="none"/>
        </w:rPr>
        <w:t>统一社会信用代码（身份证号码）：</w:t>
      </w:r>
      <w:r>
        <w:rPr>
          <w:rFonts w:hint="eastAsia" w:ascii="仿宋" w:hAnsi="仿宋" w:eastAsia="仿宋" w:cs="仿宋"/>
          <w:b w:val="0"/>
          <w:color w:val="auto"/>
          <w:spacing w:val="20"/>
          <w:sz w:val="21"/>
          <w:szCs w:val="21"/>
          <w:highlight w:val="none"/>
          <w:u w:val="single"/>
        </w:rPr>
        <w:t xml:space="preserve">                 </w:t>
      </w:r>
    </w:p>
    <w:p>
      <w:pPr>
        <w:pStyle w:val="322"/>
        <w:spacing w:line="520" w:lineRule="exact"/>
        <w:rPr>
          <w:rFonts w:hint="eastAsia" w:ascii="仿宋" w:hAnsi="仿宋" w:eastAsia="仿宋" w:cs="仿宋"/>
          <w:b w:val="0"/>
          <w:color w:val="auto"/>
          <w:spacing w:val="20"/>
          <w:sz w:val="21"/>
          <w:szCs w:val="21"/>
          <w:highlight w:val="none"/>
        </w:rPr>
      </w:pPr>
      <w:r>
        <w:rPr>
          <w:rFonts w:hint="eastAsia" w:ascii="仿宋" w:hAnsi="仿宋" w:eastAsia="仿宋" w:cs="仿宋"/>
          <w:b w:val="0"/>
          <w:color w:val="auto"/>
          <w:spacing w:val="20"/>
          <w:sz w:val="21"/>
          <w:szCs w:val="21"/>
          <w:highlight w:val="none"/>
        </w:rPr>
        <w:t>法定代表人（负责人）：</w:t>
      </w:r>
      <w:r>
        <w:rPr>
          <w:rFonts w:hint="eastAsia" w:ascii="仿宋" w:hAnsi="仿宋" w:eastAsia="仿宋" w:cs="仿宋"/>
          <w:b w:val="0"/>
          <w:color w:val="auto"/>
          <w:spacing w:val="20"/>
          <w:sz w:val="21"/>
          <w:szCs w:val="21"/>
          <w:highlight w:val="none"/>
          <w:u w:val="single"/>
        </w:rPr>
        <w:t xml:space="preserve">                 </w:t>
      </w:r>
    </w:p>
    <w:p>
      <w:pPr>
        <w:pStyle w:val="322"/>
        <w:spacing w:line="520" w:lineRule="exact"/>
        <w:rPr>
          <w:rFonts w:hint="eastAsia" w:ascii="仿宋" w:hAnsi="仿宋" w:eastAsia="仿宋" w:cs="仿宋"/>
          <w:b w:val="0"/>
          <w:color w:val="auto"/>
          <w:spacing w:val="20"/>
          <w:sz w:val="21"/>
          <w:szCs w:val="21"/>
          <w:highlight w:val="none"/>
        </w:rPr>
      </w:pPr>
      <w:r>
        <w:rPr>
          <w:rFonts w:hint="eastAsia" w:ascii="仿宋" w:hAnsi="仿宋" w:eastAsia="仿宋" w:cs="仿宋"/>
          <w:b w:val="0"/>
          <w:color w:val="auto"/>
          <w:spacing w:val="20"/>
          <w:sz w:val="21"/>
          <w:szCs w:val="21"/>
          <w:highlight w:val="none"/>
        </w:rPr>
        <w:t>联系地址和电话：</w:t>
      </w:r>
      <w:r>
        <w:rPr>
          <w:rFonts w:hint="eastAsia" w:ascii="仿宋" w:hAnsi="仿宋" w:eastAsia="仿宋" w:cs="仿宋"/>
          <w:b w:val="0"/>
          <w:color w:val="auto"/>
          <w:spacing w:val="20"/>
          <w:sz w:val="21"/>
          <w:szCs w:val="21"/>
          <w:highlight w:val="none"/>
          <w:u w:val="single"/>
        </w:rPr>
        <w:t xml:space="preserve">                 </w:t>
      </w:r>
    </w:p>
    <w:p>
      <w:pPr>
        <w:pStyle w:val="322"/>
        <w:spacing w:line="520" w:lineRule="exact"/>
        <w:ind w:firstLine="438" w:firstLineChars="200"/>
        <w:rPr>
          <w:rFonts w:hint="eastAsia" w:ascii="仿宋" w:hAnsi="仿宋" w:eastAsia="仿宋" w:cs="仿宋"/>
          <w:b w:val="0"/>
          <w:color w:val="auto"/>
          <w:spacing w:val="20"/>
          <w:sz w:val="21"/>
          <w:szCs w:val="21"/>
          <w:highlight w:val="none"/>
        </w:rPr>
      </w:pPr>
      <w:r>
        <w:rPr>
          <w:rFonts w:hint="eastAsia" w:ascii="仿宋" w:hAnsi="仿宋" w:eastAsia="仿宋" w:cs="仿宋"/>
          <w:b w:val="0"/>
          <w:color w:val="auto"/>
          <w:spacing w:val="20"/>
          <w:sz w:val="21"/>
          <w:szCs w:val="21"/>
          <w:highlight w:val="none"/>
        </w:rPr>
        <w:t>为维护公平、公正、公开的政府采购市场秩序，树立诚实守信的政府采购供应商形象，我单位（本人）自愿作出以下承诺：</w:t>
      </w:r>
    </w:p>
    <w:p>
      <w:pPr>
        <w:pStyle w:val="322"/>
        <w:spacing w:line="520" w:lineRule="exact"/>
        <w:ind w:firstLine="438" w:firstLineChars="200"/>
        <w:rPr>
          <w:rFonts w:hint="eastAsia" w:ascii="仿宋" w:hAnsi="仿宋" w:eastAsia="仿宋" w:cs="仿宋"/>
          <w:b w:val="0"/>
          <w:color w:val="auto"/>
          <w:spacing w:val="20"/>
          <w:sz w:val="21"/>
          <w:szCs w:val="21"/>
          <w:highlight w:val="none"/>
        </w:rPr>
      </w:pPr>
      <w:r>
        <w:rPr>
          <w:rFonts w:hint="eastAsia" w:ascii="仿宋" w:hAnsi="仿宋" w:eastAsia="仿宋" w:cs="仿宋"/>
          <w:b w:val="0"/>
          <w:color w:val="auto"/>
          <w:spacing w:val="20"/>
          <w:sz w:val="21"/>
          <w:szCs w:val="21"/>
          <w:highlight w:val="none"/>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pPr>
        <w:pStyle w:val="322"/>
        <w:spacing w:line="520" w:lineRule="exact"/>
        <w:ind w:firstLine="438" w:firstLineChars="200"/>
        <w:rPr>
          <w:rFonts w:hint="eastAsia" w:ascii="仿宋" w:hAnsi="仿宋" w:eastAsia="仿宋" w:cs="仿宋"/>
          <w:b w:val="0"/>
          <w:color w:val="auto"/>
          <w:spacing w:val="20"/>
          <w:sz w:val="21"/>
          <w:szCs w:val="21"/>
          <w:highlight w:val="none"/>
        </w:rPr>
      </w:pPr>
      <w:r>
        <w:rPr>
          <w:rFonts w:hint="eastAsia" w:ascii="仿宋" w:hAnsi="仿宋" w:eastAsia="仿宋" w:cs="仿宋"/>
          <w:b w:val="0"/>
          <w:color w:val="auto"/>
          <w:spacing w:val="20"/>
          <w:sz w:val="21"/>
          <w:szCs w:val="21"/>
          <w:highlight w:val="none"/>
        </w:rPr>
        <w:t>（一）具有独立承担民事责任的能力；</w:t>
      </w:r>
    </w:p>
    <w:p>
      <w:pPr>
        <w:pStyle w:val="322"/>
        <w:spacing w:line="520" w:lineRule="exact"/>
        <w:ind w:firstLine="438" w:firstLineChars="200"/>
        <w:rPr>
          <w:rFonts w:hint="eastAsia" w:ascii="仿宋" w:hAnsi="仿宋" w:eastAsia="仿宋" w:cs="仿宋"/>
          <w:b w:val="0"/>
          <w:color w:val="auto"/>
          <w:spacing w:val="20"/>
          <w:sz w:val="21"/>
          <w:szCs w:val="21"/>
          <w:highlight w:val="none"/>
        </w:rPr>
      </w:pPr>
      <w:r>
        <w:rPr>
          <w:rFonts w:hint="eastAsia" w:ascii="仿宋" w:hAnsi="仿宋" w:eastAsia="仿宋" w:cs="仿宋"/>
          <w:b w:val="0"/>
          <w:color w:val="auto"/>
          <w:spacing w:val="20"/>
          <w:sz w:val="21"/>
          <w:szCs w:val="21"/>
          <w:highlight w:val="none"/>
        </w:rPr>
        <w:t>（二）具有良好的商业信誉和健全的财务会计制度；</w:t>
      </w:r>
    </w:p>
    <w:p>
      <w:pPr>
        <w:pStyle w:val="322"/>
        <w:spacing w:line="520" w:lineRule="exact"/>
        <w:ind w:firstLine="438" w:firstLineChars="200"/>
        <w:rPr>
          <w:rFonts w:hint="eastAsia" w:ascii="仿宋" w:hAnsi="仿宋" w:eastAsia="仿宋" w:cs="仿宋"/>
          <w:b w:val="0"/>
          <w:color w:val="auto"/>
          <w:spacing w:val="20"/>
          <w:sz w:val="21"/>
          <w:szCs w:val="21"/>
          <w:highlight w:val="none"/>
        </w:rPr>
      </w:pPr>
      <w:r>
        <w:rPr>
          <w:rFonts w:hint="eastAsia" w:ascii="仿宋" w:hAnsi="仿宋" w:eastAsia="仿宋" w:cs="仿宋"/>
          <w:b w:val="0"/>
          <w:color w:val="auto"/>
          <w:spacing w:val="20"/>
          <w:sz w:val="21"/>
          <w:szCs w:val="21"/>
          <w:highlight w:val="none"/>
        </w:rPr>
        <w:t>（三）具有履行合同所必需的设备和专业技术能力；</w:t>
      </w:r>
    </w:p>
    <w:p>
      <w:pPr>
        <w:pStyle w:val="322"/>
        <w:spacing w:line="520" w:lineRule="exact"/>
        <w:ind w:firstLine="438" w:firstLineChars="200"/>
        <w:rPr>
          <w:rFonts w:hint="eastAsia" w:ascii="仿宋" w:hAnsi="仿宋" w:eastAsia="仿宋" w:cs="仿宋"/>
          <w:b w:val="0"/>
          <w:color w:val="auto"/>
          <w:spacing w:val="20"/>
          <w:sz w:val="21"/>
          <w:szCs w:val="21"/>
          <w:highlight w:val="none"/>
        </w:rPr>
      </w:pPr>
      <w:r>
        <w:rPr>
          <w:rFonts w:hint="eastAsia" w:ascii="仿宋" w:hAnsi="仿宋" w:eastAsia="仿宋" w:cs="仿宋"/>
          <w:b w:val="0"/>
          <w:color w:val="auto"/>
          <w:spacing w:val="20"/>
          <w:sz w:val="21"/>
          <w:szCs w:val="21"/>
          <w:highlight w:val="none"/>
        </w:rPr>
        <w:t>（四）有依法缴纳税收和社会保障资金的良好记录；</w:t>
      </w:r>
    </w:p>
    <w:p>
      <w:pPr>
        <w:pStyle w:val="322"/>
        <w:spacing w:line="520" w:lineRule="exact"/>
        <w:ind w:firstLine="438" w:firstLineChars="200"/>
        <w:rPr>
          <w:rFonts w:hint="eastAsia" w:ascii="仿宋" w:hAnsi="仿宋" w:eastAsia="仿宋" w:cs="仿宋"/>
          <w:b w:val="0"/>
          <w:color w:val="auto"/>
          <w:spacing w:val="20"/>
          <w:sz w:val="21"/>
          <w:szCs w:val="21"/>
          <w:highlight w:val="none"/>
        </w:rPr>
      </w:pPr>
      <w:r>
        <w:rPr>
          <w:rFonts w:hint="eastAsia" w:ascii="仿宋" w:hAnsi="仿宋" w:eastAsia="仿宋" w:cs="仿宋"/>
          <w:b w:val="0"/>
          <w:color w:val="auto"/>
          <w:spacing w:val="20"/>
          <w:sz w:val="21"/>
          <w:szCs w:val="21"/>
          <w:highlight w:val="none"/>
        </w:rPr>
        <w:t>（五）参加政府采购活动前三年内，在经营活动中没有重大违法记录；</w:t>
      </w:r>
    </w:p>
    <w:p>
      <w:pPr>
        <w:pStyle w:val="322"/>
        <w:spacing w:line="520" w:lineRule="exact"/>
        <w:ind w:firstLine="438" w:firstLineChars="200"/>
        <w:rPr>
          <w:rFonts w:hint="eastAsia" w:ascii="仿宋" w:hAnsi="仿宋" w:eastAsia="仿宋" w:cs="仿宋"/>
          <w:b w:val="0"/>
          <w:color w:val="auto"/>
          <w:spacing w:val="20"/>
          <w:sz w:val="21"/>
          <w:szCs w:val="21"/>
          <w:highlight w:val="none"/>
        </w:rPr>
      </w:pPr>
      <w:r>
        <w:rPr>
          <w:rFonts w:hint="eastAsia" w:ascii="仿宋" w:hAnsi="仿宋" w:eastAsia="仿宋" w:cs="仿宋"/>
          <w:b w:val="0"/>
          <w:color w:val="auto"/>
          <w:spacing w:val="20"/>
          <w:sz w:val="21"/>
          <w:szCs w:val="21"/>
          <w:highlight w:val="none"/>
        </w:rPr>
        <w:t>（六）未被列入经营异常名录或者严重违法失信名单、失信被执行人、重大税收违法案件当事人名单、政府采购严重违法失信行为记录名单；</w:t>
      </w:r>
    </w:p>
    <w:p>
      <w:pPr>
        <w:pStyle w:val="322"/>
        <w:spacing w:line="520" w:lineRule="exact"/>
        <w:ind w:firstLine="438" w:firstLineChars="200"/>
        <w:rPr>
          <w:rFonts w:hint="eastAsia" w:ascii="仿宋" w:hAnsi="仿宋" w:eastAsia="仿宋" w:cs="仿宋"/>
          <w:b w:val="0"/>
          <w:color w:val="auto"/>
          <w:spacing w:val="20"/>
          <w:sz w:val="21"/>
          <w:szCs w:val="21"/>
          <w:highlight w:val="none"/>
        </w:rPr>
      </w:pPr>
      <w:r>
        <w:rPr>
          <w:rFonts w:hint="eastAsia" w:ascii="仿宋" w:hAnsi="仿宋" w:eastAsia="仿宋" w:cs="仿宋"/>
          <w:b w:val="0"/>
          <w:color w:val="auto"/>
          <w:spacing w:val="20"/>
          <w:sz w:val="21"/>
          <w:szCs w:val="21"/>
          <w:highlight w:val="none"/>
        </w:rPr>
        <w:t>（七）未被相关监管部门作出行政处罚且尚在处罚有效期内；</w:t>
      </w:r>
    </w:p>
    <w:p>
      <w:pPr>
        <w:pStyle w:val="322"/>
        <w:spacing w:line="520" w:lineRule="exact"/>
        <w:ind w:firstLine="438" w:firstLineChars="200"/>
        <w:rPr>
          <w:rFonts w:hint="eastAsia" w:ascii="仿宋" w:hAnsi="仿宋" w:eastAsia="仿宋" w:cs="仿宋"/>
          <w:b w:val="0"/>
          <w:color w:val="auto"/>
          <w:spacing w:val="20"/>
          <w:sz w:val="21"/>
          <w:szCs w:val="21"/>
          <w:highlight w:val="none"/>
        </w:rPr>
      </w:pPr>
      <w:r>
        <w:rPr>
          <w:rFonts w:hint="eastAsia" w:ascii="仿宋" w:hAnsi="仿宋" w:eastAsia="仿宋" w:cs="仿宋"/>
          <w:b w:val="0"/>
          <w:color w:val="auto"/>
          <w:spacing w:val="20"/>
          <w:sz w:val="21"/>
          <w:szCs w:val="21"/>
          <w:highlight w:val="none"/>
        </w:rPr>
        <w:t>（八）未曾作出虚假采购承诺；</w:t>
      </w:r>
    </w:p>
    <w:p>
      <w:pPr>
        <w:pStyle w:val="322"/>
        <w:spacing w:line="520" w:lineRule="exact"/>
        <w:ind w:firstLine="438" w:firstLineChars="200"/>
        <w:rPr>
          <w:rFonts w:hint="eastAsia" w:ascii="仿宋" w:hAnsi="仿宋" w:eastAsia="仿宋" w:cs="仿宋"/>
          <w:b w:val="0"/>
          <w:color w:val="auto"/>
          <w:spacing w:val="20"/>
          <w:sz w:val="21"/>
          <w:szCs w:val="21"/>
          <w:highlight w:val="none"/>
        </w:rPr>
      </w:pPr>
      <w:r>
        <w:rPr>
          <w:rFonts w:hint="eastAsia" w:ascii="仿宋" w:hAnsi="仿宋" w:eastAsia="仿宋" w:cs="仿宋"/>
          <w:b w:val="0"/>
          <w:color w:val="auto"/>
          <w:spacing w:val="20"/>
          <w:sz w:val="21"/>
          <w:szCs w:val="21"/>
          <w:highlight w:val="none"/>
        </w:rPr>
        <w:t>（九）法律、行政法规规定的其他条件。</w:t>
      </w:r>
    </w:p>
    <w:p>
      <w:pPr>
        <w:pStyle w:val="322"/>
        <w:spacing w:line="520" w:lineRule="exact"/>
        <w:ind w:firstLine="438" w:firstLineChars="200"/>
        <w:rPr>
          <w:rFonts w:hint="eastAsia" w:ascii="仿宋" w:hAnsi="仿宋" w:eastAsia="仿宋" w:cs="仿宋"/>
          <w:b w:val="0"/>
          <w:color w:val="auto"/>
          <w:spacing w:val="20"/>
          <w:sz w:val="21"/>
          <w:szCs w:val="21"/>
          <w:highlight w:val="none"/>
        </w:rPr>
      </w:pPr>
      <w:r>
        <w:rPr>
          <w:rFonts w:hint="eastAsia" w:ascii="仿宋" w:hAnsi="仿宋" w:eastAsia="仿宋" w:cs="仿宋"/>
          <w:b w:val="0"/>
          <w:color w:val="auto"/>
          <w:spacing w:val="20"/>
          <w:sz w:val="21"/>
          <w:szCs w:val="21"/>
          <w:highlight w:val="none"/>
        </w:rPr>
        <w:t>二、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pPr>
        <w:pStyle w:val="322"/>
        <w:rPr>
          <w:rFonts w:hint="eastAsia" w:ascii="仿宋" w:hAnsi="仿宋" w:eastAsia="仿宋" w:cs="仿宋"/>
          <w:b w:val="0"/>
          <w:color w:val="auto"/>
          <w:spacing w:val="20"/>
          <w:sz w:val="21"/>
          <w:szCs w:val="21"/>
          <w:highlight w:val="none"/>
        </w:rPr>
      </w:pPr>
    </w:p>
    <w:p>
      <w:pPr>
        <w:pStyle w:val="322"/>
        <w:rPr>
          <w:rFonts w:hint="eastAsia" w:ascii="仿宋" w:hAnsi="仿宋" w:eastAsia="仿宋" w:cs="仿宋"/>
          <w:b w:val="0"/>
          <w:color w:val="auto"/>
          <w:spacing w:val="20"/>
          <w:sz w:val="21"/>
          <w:szCs w:val="21"/>
          <w:highlight w:val="none"/>
        </w:rPr>
      </w:pPr>
    </w:p>
    <w:p>
      <w:pPr>
        <w:pStyle w:val="322"/>
        <w:rPr>
          <w:rFonts w:hint="eastAsia" w:ascii="仿宋" w:hAnsi="仿宋" w:eastAsia="仿宋" w:cs="仿宋"/>
          <w:b w:val="0"/>
          <w:color w:val="auto"/>
          <w:spacing w:val="20"/>
          <w:sz w:val="21"/>
          <w:szCs w:val="21"/>
          <w:highlight w:val="none"/>
        </w:rPr>
      </w:pPr>
      <w:r>
        <w:rPr>
          <w:rFonts w:hint="eastAsia" w:ascii="仿宋" w:hAnsi="仿宋" w:eastAsia="仿宋" w:cs="仿宋"/>
          <w:b w:val="0"/>
          <w:color w:val="auto"/>
          <w:spacing w:val="20"/>
          <w:sz w:val="21"/>
          <w:szCs w:val="21"/>
          <w:highlight w:val="none"/>
        </w:rPr>
        <w:t xml:space="preserve">投标人（电子章）： </w:t>
      </w:r>
    </w:p>
    <w:p>
      <w:pPr>
        <w:pStyle w:val="322"/>
        <w:rPr>
          <w:rFonts w:hint="eastAsia" w:ascii="仿宋" w:hAnsi="仿宋" w:eastAsia="仿宋" w:cs="仿宋"/>
          <w:b w:val="0"/>
          <w:color w:val="auto"/>
          <w:spacing w:val="20"/>
          <w:sz w:val="21"/>
          <w:szCs w:val="21"/>
          <w:highlight w:val="none"/>
        </w:rPr>
      </w:pPr>
      <w:r>
        <w:rPr>
          <w:rFonts w:hint="eastAsia" w:ascii="仿宋" w:hAnsi="仿宋" w:eastAsia="仿宋" w:cs="仿宋"/>
          <w:b w:val="0"/>
          <w:color w:val="auto"/>
          <w:spacing w:val="20"/>
          <w:sz w:val="21"/>
          <w:szCs w:val="21"/>
          <w:highlight w:val="none"/>
        </w:rPr>
        <w:t xml:space="preserve">法定代表人或授权代表(签字或电子印章)： </w:t>
      </w:r>
    </w:p>
    <w:p>
      <w:pPr>
        <w:pStyle w:val="322"/>
        <w:rPr>
          <w:rFonts w:hint="eastAsia" w:ascii="仿宋" w:hAnsi="仿宋" w:eastAsia="仿宋" w:cs="仿宋"/>
          <w:b w:val="0"/>
          <w:color w:val="auto"/>
          <w:spacing w:val="20"/>
          <w:sz w:val="21"/>
          <w:szCs w:val="21"/>
          <w:highlight w:val="none"/>
        </w:rPr>
      </w:pPr>
      <w:r>
        <w:rPr>
          <w:rFonts w:hint="eastAsia" w:ascii="仿宋" w:hAnsi="仿宋" w:eastAsia="仿宋" w:cs="仿宋"/>
          <w:b w:val="0"/>
          <w:color w:val="auto"/>
          <w:spacing w:val="20"/>
          <w:sz w:val="21"/>
          <w:szCs w:val="21"/>
          <w:highlight w:val="none"/>
        </w:rPr>
        <w:t xml:space="preserve">日期：       年    月    日 </w:t>
      </w:r>
    </w:p>
    <w:p>
      <w:pPr>
        <w:pStyle w:val="322"/>
        <w:rPr>
          <w:rFonts w:hint="eastAsia" w:ascii="仿宋" w:hAnsi="仿宋" w:eastAsia="仿宋" w:cs="仿宋"/>
          <w:b w:val="0"/>
          <w:color w:val="auto"/>
          <w:spacing w:val="20"/>
          <w:sz w:val="21"/>
          <w:szCs w:val="21"/>
          <w:highlight w:val="none"/>
        </w:rPr>
      </w:pPr>
    </w:p>
    <w:p>
      <w:pPr>
        <w:pStyle w:val="322"/>
        <w:rPr>
          <w:rFonts w:hint="eastAsia" w:ascii="仿宋" w:hAnsi="仿宋" w:eastAsia="仿宋" w:cs="仿宋"/>
          <w:b w:val="0"/>
          <w:color w:val="auto"/>
          <w:spacing w:val="20"/>
          <w:sz w:val="21"/>
          <w:szCs w:val="21"/>
          <w:highlight w:val="none"/>
        </w:rPr>
      </w:pPr>
      <w:r>
        <w:rPr>
          <w:rFonts w:hint="eastAsia" w:ascii="仿宋" w:hAnsi="仿宋" w:eastAsia="仿宋" w:cs="仿宋"/>
          <w:b w:val="0"/>
          <w:color w:val="auto"/>
          <w:spacing w:val="20"/>
          <w:sz w:val="21"/>
          <w:szCs w:val="21"/>
          <w:highlight w:val="none"/>
        </w:rPr>
        <w:t>注：</w:t>
      </w:r>
    </w:p>
    <w:p>
      <w:pPr>
        <w:pStyle w:val="322"/>
        <w:rPr>
          <w:rFonts w:hint="eastAsia" w:ascii="仿宋" w:hAnsi="仿宋" w:eastAsia="仿宋" w:cs="仿宋"/>
          <w:bCs/>
          <w:color w:val="auto"/>
          <w:spacing w:val="20"/>
          <w:sz w:val="21"/>
          <w:szCs w:val="21"/>
          <w:highlight w:val="none"/>
        </w:rPr>
      </w:pPr>
      <w:r>
        <w:rPr>
          <w:rFonts w:hint="eastAsia" w:ascii="仿宋" w:hAnsi="仿宋" w:eastAsia="仿宋" w:cs="仿宋"/>
          <w:bCs/>
          <w:color w:val="auto"/>
          <w:spacing w:val="20"/>
          <w:sz w:val="21"/>
          <w:szCs w:val="21"/>
          <w:highlight w:val="none"/>
        </w:rPr>
        <w:t>1.投标人须在投标文件中按此模板提供承诺函，未提供视为未实质性响应采购文件要求，按无效投标处理。</w:t>
      </w:r>
    </w:p>
    <w:p>
      <w:pPr>
        <w:pStyle w:val="322"/>
        <w:rPr>
          <w:rFonts w:hint="eastAsia" w:ascii="仿宋" w:hAnsi="仿宋" w:eastAsia="仿宋" w:cs="仿宋"/>
          <w:b w:val="0"/>
          <w:color w:val="auto"/>
          <w:spacing w:val="20"/>
          <w:sz w:val="21"/>
          <w:szCs w:val="21"/>
          <w:highlight w:val="none"/>
        </w:rPr>
      </w:pPr>
      <w:r>
        <w:rPr>
          <w:rFonts w:hint="eastAsia" w:ascii="仿宋" w:hAnsi="仿宋" w:eastAsia="仿宋" w:cs="仿宋"/>
          <w:b w:val="0"/>
          <w:color w:val="auto"/>
          <w:spacing w:val="20"/>
          <w:sz w:val="21"/>
          <w:szCs w:val="21"/>
          <w:highlight w:val="none"/>
        </w:rPr>
        <w:t>2.投标人的法定代表人或者授权代表的签字或盖章应真实、有效，如由授权代表签字或盖章的，应提供“法定代表人授权书”。</w:t>
      </w:r>
    </w:p>
    <w:p>
      <w:pPr>
        <w:pStyle w:val="24"/>
        <w:rPr>
          <w:rFonts w:hint="eastAsia" w:ascii="仿宋" w:hAnsi="仿宋" w:eastAsia="仿宋" w:cs="仿宋"/>
          <w:color w:val="auto"/>
          <w:spacing w:val="20"/>
          <w:kern w:val="0"/>
          <w:sz w:val="21"/>
          <w:szCs w:val="21"/>
          <w:highlight w:val="none"/>
        </w:rPr>
      </w:pPr>
      <w:r>
        <w:rPr>
          <w:rFonts w:hint="eastAsia" w:ascii="仿宋" w:hAnsi="仿宋" w:eastAsia="仿宋" w:cs="仿宋"/>
          <w:color w:val="auto"/>
          <w:spacing w:val="20"/>
          <w:sz w:val="21"/>
          <w:szCs w:val="21"/>
          <w:highlight w:val="none"/>
        </w:rPr>
        <w:t>3.采购人有权在签订合同前要求成交投标人提供相关证明材料以核实成交投标人承诺事项的真实性。</w:t>
      </w:r>
      <w:r>
        <w:rPr>
          <w:rFonts w:hint="eastAsia" w:ascii="仿宋" w:hAnsi="仿宋" w:eastAsia="仿宋" w:cs="仿宋"/>
          <w:color w:val="auto"/>
          <w:spacing w:val="20"/>
          <w:kern w:val="0"/>
          <w:sz w:val="21"/>
          <w:szCs w:val="21"/>
          <w:highlight w:val="none"/>
        </w:rPr>
        <w:cr/>
      </w: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154"/>
        <w:rPr>
          <w:rFonts w:hint="eastAsia" w:ascii="仿宋" w:hAnsi="仿宋" w:eastAsia="仿宋" w:cs="仿宋"/>
          <w:color w:val="auto"/>
          <w:szCs w:val="21"/>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5"/>
        <w:rPr>
          <w:rFonts w:hint="eastAsia" w:ascii="仿宋" w:hAnsi="仿宋" w:eastAsia="仿宋" w:cs="仿宋"/>
          <w:color w:val="auto"/>
          <w:spacing w:val="14"/>
          <w:sz w:val="30"/>
          <w:szCs w:val="30"/>
          <w:highlight w:val="none"/>
        </w:rPr>
      </w:pPr>
      <w:bookmarkStart w:id="169" w:name="_Toc1660861"/>
      <w:r>
        <w:rPr>
          <w:rFonts w:hint="eastAsia" w:ascii="仿宋" w:hAnsi="仿宋" w:eastAsia="仿宋" w:cs="仿宋"/>
          <w:color w:val="auto"/>
          <w:spacing w:val="14"/>
          <w:sz w:val="30"/>
          <w:szCs w:val="30"/>
          <w:highlight w:val="none"/>
        </w:rPr>
        <w:br w:type="page"/>
      </w:r>
      <w:bookmarkStart w:id="170" w:name="_Toc29661"/>
      <w:r>
        <w:rPr>
          <w:rFonts w:hint="eastAsia" w:ascii="仿宋" w:hAnsi="仿宋" w:eastAsia="仿宋" w:cs="仿宋"/>
          <w:color w:val="auto"/>
          <w:spacing w:val="14"/>
          <w:sz w:val="30"/>
          <w:szCs w:val="30"/>
          <w:highlight w:val="none"/>
        </w:rPr>
        <w:t>六、开标一览表</w:t>
      </w:r>
      <w:bookmarkEnd w:id="169"/>
      <w:bookmarkEnd w:id="170"/>
    </w:p>
    <w:p>
      <w:pPr>
        <w:pStyle w:val="154"/>
        <w:rPr>
          <w:rFonts w:hint="eastAsia" w:ascii="仿宋" w:hAnsi="仿宋" w:eastAsia="仿宋" w:cs="仿宋"/>
          <w:color w:val="auto"/>
          <w:sz w:val="30"/>
          <w:szCs w:val="30"/>
          <w:highlight w:val="none"/>
        </w:rPr>
      </w:pPr>
    </w:p>
    <w:p>
      <w:pPr>
        <w:pStyle w:val="319"/>
        <w:widowControl/>
        <w:jc w:val="center"/>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开标一览表</w:t>
      </w:r>
    </w:p>
    <w:p>
      <w:pPr>
        <w:pStyle w:val="319"/>
        <w:rPr>
          <w:rFonts w:hint="eastAsia" w:ascii="仿宋" w:hAnsi="仿宋" w:eastAsia="仿宋" w:cs="仿宋"/>
          <w:color w:val="auto"/>
          <w:highlight w:val="none"/>
        </w:rPr>
      </w:pPr>
      <w:bookmarkStart w:id="171" w:name="EBa811e9b6370d47b4980fd2916a2a2a5d"/>
    </w:p>
    <w:tbl>
      <w:tblPr>
        <w:tblStyle w:val="62"/>
        <w:tblW w:w="5000" w:type="pct"/>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autofit"/>
        <w:tblCellMar>
          <w:top w:w="150" w:type="dxa"/>
          <w:left w:w="150" w:type="dxa"/>
          <w:bottom w:w="150" w:type="dxa"/>
          <w:right w:w="150" w:type="dxa"/>
        </w:tblCellMar>
      </w:tblPr>
      <w:tblGrid>
        <w:gridCol w:w="4686"/>
        <w:gridCol w:w="4686"/>
      </w:tblGrid>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vAlign w:val="center"/>
          </w:tcPr>
          <w:p>
            <w:pPr>
              <w:pStyle w:val="320"/>
              <w:jc w:val="center"/>
              <w:rPr>
                <w:rFonts w:hint="eastAsia" w:ascii="仿宋" w:hAnsi="仿宋" w:eastAsia="仿宋" w:cs="仿宋"/>
                <w:color w:val="auto"/>
                <w:spacing w:val="30"/>
                <w:sz w:val="21"/>
                <w:highlight w:val="none"/>
                <w:lang w:val="en-US" w:eastAsia="zh-CN"/>
              </w:rPr>
            </w:pPr>
            <w:r>
              <w:rPr>
                <w:rFonts w:hint="eastAsia" w:ascii="仿宋" w:hAnsi="仿宋" w:eastAsia="仿宋" w:cs="仿宋"/>
                <w:color w:val="auto"/>
                <w:spacing w:val="30"/>
                <w:sz w:val="21"/>
                <w:highlight w:val="none"/>
                <w:lang w:val="en-US" w:eastAsia="zh-CN"/>
              </w:rPr>
              <w:t>标段</w:t>
            </w:r>
          </w:p>
        </w:tc>
        <w:tc>
          <w:tcPr>
            <w:tcW w:w="2500" w:type="pct"/>
            <w:tcBorders>
              <w:top w:val="outset" w:color="auto" w:sz="6" w:space="0"/>
              <w:left w:val="outset" w:color="auto" w:sz="6" w:space="0"/>
              <w:bottom w:val="outset" w:color="auto" w:sz="6" w:space="0"/>
              <w:right w:val="outset" w:color="auto" w:sz="6" w:space="0"/>
            </w:tcBorders>
            <w:vAlign w:val="center"/>
          </w:tcPr>
          <w:p>
            <w:pPr>
              <w:pStyle w:val="320"/>
              <w:jc w:val="center"/>
              <w:rPr>
                <w:rFonts w:hint="eastAsia" w:ascii="仿宋" w:hAnsi="仿宋" w:eastAsia="仿宋" w:cs="仿宋"/>
                <w:color w:val="auto"/>
                <w:spacing w:val="30"/>
                <w:sz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vAlign w:val="center"/>
          </w:tcPr>
          <w:p>
            <w:pPr>
              <w:pStyle w:val="320"/>
              <w:jc w:val="center"/>
              <w:rPr>
                <w:rFonts w:hint="eastAsia" w:ascii="仿宋" w:hAnsi="仿宋" w:eastAsia="仿宋" w:cs="仿宋"/>
                <w:color w:val="auto"/>
                <w:highlight w:val="none"/>
              </w:rPr>
            </w:pPr>
            <w:r>
              <w:rPr>
                <w:rFonts w:hint="eastAsia" w:ascii="仿宋" w:hAnsi="仿宋" w:eastAsia="仿宋" w:cs="仿宋"/>
                <w:color w:val="auto"/>
                <w:spacing w:val="30"/>
                <w:sz w:val="21"/>
                <w:highlight w:val="none"/>
              </w:rPr>
              <w:t>投标人总报价（小写）</w:t>
            </w:r>
          </w:p>
        </w:tc>
        <w:tc>
          <w:tcPr>
            <w:tcW w:w="2500" w:type="pct"/>
            <w:tcBorders>
              <w:top w:val="outset" w:color="auto" w:sz="6" w:space="0"/>
              <w:left w:val="outset" w:color="auto" w:sz="6" w:space="0"/>
              <w:bottom w:val="outset" w:color="auto" w:sz="6" w:space="0"/>
              <w:right w:val="outset" w:color="auto" w:sz="6" w:space="0"/>
            </w:tcBorders>
            <w:vAlign w:val="center"/>
          </w:tcPr>
          <w:p>
            <w:pPr>
              <w:pStyle w:val="320"/>
              <w:jc w:val="center"/>
              <w:rPr>
                <w:rFonts w:hint="eastAsia" w:ascii="仿宋" w:hAnsi="仿宋" w:eastAsia="仿宋" w:cs="仿宋"/>
                <w:color w:val="auto"/>
                <w:highlight w:val="none"/>
              </w:rPr>
            </w:pPr>
            <w:r>
              <w:rPr>
                <w:rFonts w:hint="eastAsia" w:ascii="仿宋" w:hAnsi="仿宋" w:eastAsia="仿宋" w:cs="仿宋"/>
                <w:color w:val="auto"/>
                <w:spacing w:val="30"/>
                <w:sz w:val="21"/>
                <w:highlight w:val="none"/>
              </w:rPr>
              <w:t>元</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vAlign w:val="center"/>
          </w:tcPr>
          <w:p>
            <w:pPr>
              <w:pStyle w:val="320"/>
              <w:jc w:val="center"/>
              <w:rPr>
                <w:rFonts w:hint="eastAsia" w:ascii="仿宋" w:hAnsi="仿宋" w:eastAsia="仿宋" w:cs="仿宋"/>
                <w:color w:val="auto"/>
                <w:highlight w:val="none"/>
              </w:rPr>
            </w:pPr>
            <w:r>
              <w:rPr>
                <w:rFonts w:hint="eastAsia" w:ascii="仿宋" w:hAnsi="仿宋" w:eastAsia="仿宋" w:cs="仿宋"/>
                <w:color w:val="auto"/>
                <w:spacing w:val="30"/>
                <w:sz w:val="21"/>
                <w:highlight w:val="none"/>
              </w:rPr>
              <w:t>交货期</w:t>
            </w:r>
          </w:p>
        </w:tc>
        <w:tc>
          <w:tcPr>
            <w:tcW w:w="2500" w:type="pct"/>
            <w:tcBorders>
              <w:top w:val="outset" w:color="auto" w:sz="6" w:space="0"/>
              <w:left w:val="outset" w:color="auto" w:sz="6" w:space="0"/>
              <w:bottom w:val="outset" w:color="auto" w:sz="6" w:space="0"/>
              <w:right w:val="outset" w:color="auto" w:sz="6" w:space="0"/>
            </w:tcBorders>
            <w:vAlign w:val="center"/>
          </w:tcPr>
          <w:p>
            <w:pPr>
              <w:pStyle w:val="320"/>
              <w:jc w:val="center"/>
              <w:rPr>
                <w:rFonts w:hint="eastAsia" w:ascii="仿宋" w:hAnsi="仿宋" w:eastAsia="仿宋" w:cs="仿宋"/>
                <w:color w:val="auto"/>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vAlign w:val="center"/>
          </w:tcPr>
          <w:p>
            <w:pPr>
              <w:pStyle w:val="320"/>
              <w:jc w:val="center"/>
              <w:rPr>
                <w:rFonts w:hint="eastAsia" w:ascii="仿宋" w:hAnsi="仿宋" w:eastAsia="仿宋" w:cs="仿宋"/>
                <w:color w:val="auto"/>
                <w:highlight w:val="none"/>
              </w:rPr>
            </w:pPr>
            <w:r>
              <w:rPr>
                <w:rFonts w:hint="eastAsia" w:ascii="仿宋" w:hAnsi="仿宋" w:eastAsia="仿宋" w:cs="仿宋"/>
                <w:color w:val="auto"/>
                <w:spacing w:val="30"/>
                <w:sz w:val="21"/>
                <w:highlight w:val="none"/>
              </w:rPr>
              <w:t>质量要求</w:t>
            </w:r>
          </w:p>
        </w:tc>
        <w:tc>
          <w:tcPr>
            <w:tcW w:w="2500" w:type="pct"/>
            <w:tcBorders>
              <w:top w:val="outset" w:color="auto" w:sz="6" w:space="0"/>
              <w:left w:val="outset" w:color="auto" w:sz="6" w:space="0"/>
              <w:bottom w:val="outset" w:color="auto" w:sz="6" w:space="0"/>
              <w:right w:val="outset" w:color="auto" w:sz="6" w:space="0"/>
            </w:tcBorders>
            <w:vAlign w:val="center"/>
          </w:tcPr>
          <w:p>
            <w:pPr>
              <w:pStyle w:val="320"/>
              <w:jc w:val="center"/>
              <w:rPr>
                <w:rFonts w:hint="eastAsia" w:ascii="仿宋" w:hAnsi="仿宋" w:eastAsia="仿宋" w:cs="仿宋"/>
                <w:color w:val="auto"/>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vAlign w:val="center"/>
          </w:tcPr>
          <w:p>
            <w:pPr>
              <w:pStyle w:val="320"/>
              <w:jc w:val="center"/>
              <w:rPr>
                <w:rFonts w:hint="eastAsia" w:ascii="仿宋" w:hAnsi="仿宋" w:eastAsia="仿宋" w:cs="仿宋"/>
                <w:color w:val="auto"/>
                <w:highlight w:val="none"/>
              </w:rPr>
            </w:pPr>
            <w:r>
              <w:rPr>
                <w:rFonts w:hint="eastAsia" w:ascii="仿宋" w:hAnsi="仿宋" w:eastAsia="仿宋" w:cs="仿宋"/>
                <w:color w:val="auto"/>
                <w:spacing w:val="30"/>
                <w:sz w:val="21"/>
                <w:highlight w:val="none"/>
              </w:rPr>
              <w:t>质保期</w:t>
            </w:r>
          </w:p>
        </w:tc>
        <w:tc>
          <w:tcPr>
            <w:tcW w:w="2500" w:type="pct"/>
            <w:tcBorders>
              <w:top w:val="outset" w:color="auto" w:sz="6" w:space="0"/>
              <w:left w:val="outset" w:color="auto" w:sz="6" w:space="0"/>
              <w:bottom w:val="outset" w:color="auto" w:sz="6" w:space="0"/>
              <w:right w:val="outset" w:color="auto" w:sz="6" w:space="0"/>
            </w:tcBorders>
            <w:vAlign w:val="center"/>
          </w:tcPr>
          <w:p>
            <w:pPr>
              <w:pStyle w:val="320"/>
              <w:jc w:val="center"/>
              <w:rPr>
                <w:rFonts w:hint="eastAsia" w:ascii="仿宋" w:hAnsi="仿宋" w:eastAsia="仿宋" w:cs="仿宋"/>
                <w:color w:val="auto"/>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vAlign w:val="center"/>
          </w:tcPr>
          <w:p>
            <w:pPr>
              <w:pStyle w:val="320"/>
              <w:jc w:val="center"/>
              <w:rPr>
                <w:rFonts w:hint="eastAsia" w:ascii="仿宋" w:hAnsi="仿宋" w:eastAsia="仿宋" w:cs="仿宋"/>
                <w:color w:val="auto"/>
                <w:highlight w:val="none"/>
              </w:rPr>
            </w:pPr>
            <w:r>
              <w:rPr>
                <w:rFonts w:hint="eastAsia" w:ascii="仿宋" w:hAnsi="仿宋" w:eastAsia="仿宋" w:cs="仿宋"/>
                <w:color w:val="auto"/>
                <w:spacing w:val="30"/>
                <w:sz w:val="21"/>
                <w:highlight w:val="none"/>
              </w:rPr>
              <w:t>付款方式</w:t>
            </w:r>
          </w:p>
        </w:tc>
        <w:tc>
          <w:tcPr>
            <w:tcW w:w="2500" w:type="pct"/>
            <w:tcBorders>
              <w:top w:val="outset" w:color="auto" w:sz="6" w:space="0"/>
              <w:left w:val="outset" w:color="auto" w:sz="6" w:space="0"/>
              <w:bottom w:val="outset" w:color="auto" w:sz="6" w:space="0"/>
              <w:right w:val="outset" w:color="auto" w:sz="6" w:space="0"/>
            </w:tcBorders>
            <w:vAlign w:val="center"/>
          </w:tcPr>
          <w:p>
            <w:pPr>
              <w:pStyle w:val="320"/>
              <w:jc w:val="center"/>
              <w:rPr>
                <w:rFonts w:hint="eastAsia" w:ascii="仿宋" w:hAnsi="仿宋" w:eastAsia="仿宋" w:cs="仿宋"/>
                <w:color w:val="auto"/>
                <w:highlight w:val="none"/>
              </w:rPr>
            </w:pPr>
          </w:p>
        </w:tc>
      </w:tr>
      <w:bookmarkEnd w:id="171"/>
    </w:tbl>
    <w:p>
      <w:pPr>
        <w:pStyle w:val="154"/>
        <w:ind w:firstLine="0"/>
        <w:rPr>
          <w:rFonts w:hint="eastAsia" w:ascii="仿宋" w:hAnsi="仿宋" w:eastAsia="仿宋" w:cs="仿宋"/>
          <w:color w:val="auto"/>
          <w:spacing w:val="14"/>
          <w:sz w:val="30"/>
          <w:szCs w:val="30"/>
          <w:highlight w:val="none"/>
        </w:rPr>
      </w:pPr>
    </w:p>
    <w:p>
      <w:pPr>
        <w:pStyle w:val="154"/>
        <w:ind w:firstLine="0"/>
        <w:rPr>
          <w:rFonts w:hint="eastAsia" w:ascii="仿宋" w:hAnsi="仿宋" w:eastAsia="仿宋" w:cs="仿宋"/>
          <w:color w:val="auto"/>
          <w:spacing w:val="14"/>
          <w:szCs w:val="21"/>
          <w:highlight w:val="none"/>
        </w:rPr>
        <w:sectPr>
          <w:footerReference r:id="rId8" w:type="default"/>
          <w:pgSz w:w="11906" w:h="16838"/>
          <w:pgMar w:top="1418" w:right="1417" w:bottom="1240" w:left="1417" w:header="680" w:footer="680" w:gutter="0"/>
          <w:cols w:space="720" w:num="1"/>
          <w:docGrid w:type="linesAndChars" w:linePitch="466" w:charSpace="-6394"/>
        </w:sectPr>
      </w:pPr>
    </w:p>
    <w:p>
      <w:pPr>
        <w:pStyle w:val="5"/>
        <w:rPr>
          <w:rFonts w:hint="eastAsia" w:ascii="仿宋" w:hAnsi="仿宋" w:eastAsia="仿宋" w:cs="仿宋"/>
          <w:color w:val="auto"/>
          <w:spacing w:val="14"/>
          <w:highlight w:val="none"/>
        </w:rPr>
      </w:pPr>
      <w:bookmarkStart w:id="172" w:name="_Toc1660862"/>
      <w:bookmarkStart w:id="173" w:name="_Toc7972"/>
      <w:r>
        <w:rPr>
          <w:rFonts w:hint="eastAsia" w:ascii="仿宋" w:hAnsi="仿宋" w:eastAsia="仿宋" w:cs="仿宋"/>
          <w:color w:val="auto"/>
          <w:spacing w:val="14"/>
          <w:highlight w:val="none"/>
        </w:rPr>
        <w:t>七、报价明细表</w:t>
      </w:r>
      <w:bookmarkEnd w:id="172"/>
      <w:bookmarkEnd w:id="173"/>
    </w:p>
    <w:p>
      <w:pPr>
        <w:jc w:val="center"/>
        <w:rPr>
          <w:rFonts w:hint="eastAsia" w:ascii="仿宋" w:hAnsi="仿宋" w:eastAsia="仿宋" w:cs="仿宋"/>
          <w:color w:val="auto"/>
          <w:highlight w:val="none"/>
        </w:rPr>
      </w:pPr>
    </w:p>
    <w:p>
      <w:pPr>
        <w:jc w:val="center"/>
        <w:rPr>
          <w:rFonts w:hint="eastAsia" w:ascii="仿宋" w:hAnsi="仿宋" w:eastAsia="仿宋" w:cs="仿宋"/>
          <w:color w:val="auto"/>
          <w:spacing w:val="14"/>
          <w:sz w:val="28"/>
          <w:szCs w:val="28"/>
          <w:highlight w:val="none"/>
        </w:rPr>
      </w:pPr>
      <w:r>
        <w:rPr>
          <w:rFonts w:hint="eastAsia" w:ascii="仿宋" w:hAnsi="仿宋" w:eastAsia="仿宋" w:cs="仿宋"/>
          <w:color w:val="auto"/>
          <w:spacing w:val="14"/>
          <w:sz w:val="28"/>
          <w:szCs w:val="28"/>
          <w:highlight w:val="none"/>
        </w:rPr>
        <w:t>报价明细表</w:t>
      </w:r>
    </w:p>
    <w:tbl>
      <w:tblPr>
        <w:tblStyle w:val="62"/>
        <w:tblW w:w="95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554"/>
        <w:gridCol w:w="1848"/>
        <w:gridCol w:w="1618"/>
        <w:gridCol w:w="1320"/>
        <w:gridCol w:w="787"/>
        <w:gridCol w:w="874"/>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0" w:hRule="atLeast"/>
          <w:jc w:val="center"/>
        </w:trPr>
        <w:tc>
          <w:tcPr>
            <w:tcW w:w="772" w:type="dxa"/>
            <w:vAlign w:val="center"/>
          </w:tcPr>
          <w:p>
            <w:pPr>
              <w:pStyle w:val="154"/>
              <w:ind w:firstLine="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序号</w:t>
            </w:r>
          </w:p>
        </w:tc>
        <w:tc>
          <w:tcPr>
            <w:tcW w:w="1554" w:type="dxa"/>
            <w:vAlign w:val="center"/>
          </w:tcPr>
          <w:p>
            <w:pPr>
              <w:pStyle w:val="154"/>
              <w:ind w:firstLine="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货物名称</w:t>
            </w:r>
          </w:p>
        </w:tc>
        <w:tc>
          <w:tcPr>
            <w:tcW w:w="1848" w:type="dxa"/>
            <w:vAlign w:val="center"/>
          </w:tcPr>
          <w:p>
            <w:pPr>
              <w:pStyle w:val="154"/>
              <w:ind w:firstLine="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品牌及制造商</w:t>
            </w:r>
          </w:p>
        </w:tc>
        <w:tc>
          <w:tcPr>
            <w:tcW w:w="1618" w:type="dxa"/>
            <w:vAlign w:val="center"/>
          </w:tcPr>
          <w:p>
            <w:pPr>
              <w:pStyle w:val="154"/>
              <w:ind w:firstLine="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是否属于小型微型（监狱、残疾人福利性单位）企业生产的产品</w:t>
            </w:r>
          </w:p>
        </w:tc>
        <w:tc>
          <w:tcPr>
            <w:tcW w:w="1320" w:type="dxa"/>
            <w:vAlign w:val="center"/>
          </w:tcPr>
          <w:p>
            <w:pPr>
              <w:pStyle w:val="154"/>
              <w:ind w:firstLine="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规格型号</w:t>
            </w:r>
          </w:p>
        </w:tc>
        <w:tc>
          <w:tcPr>
            <w:tcW w:w="787" w:type="dxa"/>
            <w:vAlign w:val="center"/>
          </w:tcPr>
          <w:p>
            <w:pPr>
              <w:pStyle w:val="154"/>
              <w:ind w:firstLine="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数量</w:t>
            </w:r>
          </w:p>
        </w:tc>
        <w:tc>
          <w:tcPr>
            <w:tcW w:w="874" w:type="dxa"/>
            <w:vAlign w:val="center"/>
          </w:tcPr>
          <w:p>
            <w:pPr>
              <w:pStyle w:val="154"/>
              <w:ind w:firstLine="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单价</w:t>
            </w:r>
          </w:p>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（元）</w:t>
            </w:r>
          </w:p>
        </w:tc>
        <w:tc>
          <w:tcPr>
            <w:tcW w:w="822" w:type="dxa"/>
            <w:vAlign w:val="center"/>
          </w:tcPr>
          <w:p>
            <w:pPr>
              <w:pStyle w:val="154"/>
              <w:ind w:firstLine="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总价</w:t>
            </w:r>
          </w:p>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72" w:type="dxa"/>
            <w:vAlign w:val="center"/>
          </w:tcPr>
          <w:p>
            <w:pPr>
              <w:pStyle w:val="154"/>
              <w:rPr>
                <w:rFonts w:hint="eastAsia" w:ascii="仿宋" w:hAnsi="仿宋" w:eastAsia="仿宋" w:cs="仿宋"/>
                <w:color w:val="auto"/>
                <w:spacing w:val="14"/>
                <w:szCs w:val="21"/>
                <w:highlight w:val="none"/>
              </w:rPr>
            </w:pPr>
          </w:p>
        </w:tc>
        <w:tc>
          <w:tcPr>
            <w:tcW w:w="1554" w:type="dxa"/>
            <w:vAlign w:val="center"/>
          </w:tcPr>
          <w:p>
            <w:pPr>
              <w:pStyle w:val="154"/>
              <w:rPr>
                <w:rFonts w:hint="eastAsia" w:ascii="仿宋" w:hAnsi="仿宋" w:eastAsia="仿宋" w:cs="仿宋"/>
                <w:color w:val="auto"/>
                <w:spacing w:val="14"/>
                <w:szCs w:val="21"/>
                <w:highlight w:val="none"/>
              </w:rPr>
            </w:pPr>
          </w:p>
        </w:tc>
        <w:tc>
          <w:tcPr>
            <w:tcW w:w="1848" w:type="dxa"/>
            <w:vAlign w:val="center"/>
          </w:tcPr>
          <w:p>
            <w:pPr>
              <w:pStyle w:val="154"/>
              <w:rPr>
                <w:rFonts w:hint="eastAsia" w:ascii="仿宋" w:hAnsi="仿宋" w:eastAsia="仿宋" w:cs="仿宋"/>
                <w:color w:val="auto"/>
                <w:spacing w:val="14"/>
                <w:szCs w:val="21"/>
                <w:highlight w:val="none"/>
              </w:rPr>
            </w:pPr>
          </w:p>
        </w:tc>
        <w:tc>
          <w:tcPr>
            <w:tcW w:w="1618" w:type="dxa"/>
            <w:vAlign w:val="center"/>
          </w:tcPr>
          <w:p>
            <w:pPr>
              <w:pStyle w:val="154"/>
              <w:rPr>
                <w:rFonts w:hint="eastAsia" w:ascii="仿宋" w:hAnsi="仿宋" w:eastAsia="仿宋" w:cs="仿宋"/>
                <w:color w:val="auto"/>
                <w:spacing w:val="14"/>
                <w:szCs w:val="21"/>
                <w:highlight w:val="none"/>
              </w:rPr>
            </w:pPr>
          </w:p>
        </w:tc>
        <w:tc>
          <w:tcPr>
            <w:tcW w:w="1320" w:type="dxa"/>
            <w:vAlign w:val="center"/>
          </w:tcPr>
          <w:p>
            <w:pPr>
              <w:pStyle w:val="154"/>
              <w:rPr>
                <w:rFonts w:hint="eastAsia" w:ascii="仿宋" w:hAnsi="仿宋" w:eastAsia="仿宋" w:cs="仿宋"/>
                <w:color w:val="auto"/>
                <w:spacing w:val="14"/>
                <w:szCs w:val="21"/>
                <w:highlight w:val="none"/>
              </w:rPr>
            </w:pPr>
          </w:p>
        </w:tc>
        <w:tc>
          <w:tcPr>
            <w:tcW w:w="787" w:type="dxa"/>
            <w:vAlign w:val="center"/>
          </w:tcPr>
          <w:p>
            <w:pPr>
              <w:pStyle w:val="154"/>
              <w:rPr>
                <w:rFonts w:hint="eastAsia" w:ascii="仿宋" w:hAnsi="仿宋" w:eastAsia="仿宋" w:cs="仿宋"/>
                <w:color w:val="auto"/>
                <w:spacing w:val="14"/>
                <w:szCs w:val="21"/>
                <w:highlight w:val="none"/>
              </w:rPr>
            </w:pPr>
          </w:p>
        </w:tc>
        <w:tc>
          <w:tcPr>
            <w:tcW w:w="874" w:type="dxa"/>
            <w:vAlign w:val="center"/>
          </w:tcPr>
          <w:p>
            <w:pPr>
              <w:pStyle w:val="154"/>
              <w:rPr>
                <w:rFonts w:hint="eastAsia" w:ascii="仿宋" w:hAnsi="仿宋" w:eastAsia="仿宋" w:cs="仿宋"/>
                <w:color w:val="auto"/>
                <w:spacing w:val="14"/>
                <w:szCs w:val="21"/>
                <w:highlight w:val="none"/>
              </w:rPr>
            </w:pPr>
          </w:p>
        </w:tc>
        <w:tc>
          <w:tcPr>
            <w:tcW w:w="822" w:type="dxa"/>
            <w:vAlign w:val="center"/>
          </w:tcPr>
          <w:p>
            <w:pPr>
              <w:pStyle w:val="154"/>
              <w:rPr>
                <w:rFonts w:hint="eastAsia" w:ascii="仿宋" w:hAnsi="仿宋" w:eastAsia="仿宋" w:cs="仿宋"/>
                <w:color w:val="auto"/>
                <w:spacing w:val="1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72" w:type="dxa"/>
            <w:vAlign w:val="center"/>
          </w:tcPr>
          <w:p>
            <w:pPr>
              <w:pStyle w:val="154"/>
              <w:rPr>
                <w:rFonts w:hint="eastAsia" w:ascii="仿宋" w:hAnsi="仿宋" w:eastAsia="仿宋" w:cs="仿宋"/>
                <w:color w:val="auto"/>
                <w:spacing w:val="14"/>
                <w:szCs w:val="21"/>
                <w:highlight w:val="none"/>
              </w:rPr>
            </w:pPr>
          </w:p>
        </w:tc>
        <w:tc>
          <w:tcPr>
            <w:tcW w:w="1554" w:type="dxa"/>
            <w:vAlign w:val="center"/>
          </w:tcPr>
          <w:p>
            <w:pPr>
              <w:pStyle w:val="154"/>
              <w:rPr>
                <w:rFonts w:hint="eastAsia" w:ascii="仿宋" w:hAnsi="仿宋" w:eastAsia="仿宋" w:cs="仿宋"/>
                <w:color w:val="auto"/>
                <w:spacing w:val="14"/>
                <w:szCs w:val="21"/>
                <w:highlight w:val="none"/>
              </w:rPr>
            </w:pPr>
          </w:p>
        </w:tc>
        <w:tc>
          <w:tcPr>
            <w:tcW w:w="1848" w:type="dxa"/>
            <w:vAlign w:val="center"/>
          </w:tcPr>
          <w:p>
            <w:pPr>
              <w:pStyle w:val="154"/>
              <w:rPr>
                <w:rFonts w:hint="eastAsia" w:ascii="仿宋" w:hAnsi="仿宋" w:eastAsia="仿宋" w:cs="仿宋"/>
                <w:color w:val="auto"/>
                <w:spacing w:val="14"/>
                <w:szCs w:val="21"/>
                <w:highlight w:val="none"/>
              </w:rPr>
            </w:pPr>
          </w:p>
        </w:tc>
        <w:tc>
          <w:tcPr>
            <w:tcW w:w="1618" w:type="dxa"/>
            <w:vAlign w:val="center"/>
          </w:tcPr>
          <w:p>
            <w:pPr>
              <w:pStyle w:val="154"/>
              <w:rPr>
                <w:rFonts w:hint="eastAsia" w:ascii="仿宋" w:hAnsi="仿宋" w:eastAsia="仿宋" w:cs="仿宋"/>
                <w:color w:val="auto"/>
                <w:spacing w:val="14"/>
                <w:szCs w:val="21"/>
                <w:highlight w:val="none"/>
              </w:rPr>
            </w:pPr>
          </w:p>
        </w:tc>
        <w:tc>
          <w:tcPr>
            <w:tcW w:w="1320" w:type="dxa"/>
            <w:vAlign w:val="center"/>
          </w:tcPr>
          <w:p>
            <w:pPr>
              <w:pStyle w:val="154"/>
              <w:rPr>
                <w:rFonts w:hint="eastAsia" w:ascii="仿宋" w:hAnsi="仿宋" w:eastAsia="仿宋" w:cs="仿宋"/>
                <w:color w:val="auto"/>
                <w:spacing w:val="14"/>
                <w:szCs w:val="21"/>
                <w:highlight w:val="none"/>
              </w:rPr>
            </w:pPr>
          </w:p>
        </w:tc>
        <w:tc>
          <w:tcPr>
            <w:tcW w:w="787" w:type="dxa"/>
            <w:vAlign w:val="center"/>
          </w:tcPr>
          <w:p>
            <w:pPr>
              <w:pStyle w:val="154"/>
              <w:rPr>
                <w:rFonts w:hint="eastAsia" w:ascii="仿宋" w:hAnsi="仿宋" w:eastAsia="仿宋" w:cs="仿宋"/>
                <w:color w:val="auto"/>
                <w:spacing w:val="14"/>
                <w:szCs w:val="21"/>
                <w:highlight w:val="none"/>
              </w:rPr>
            </w:pPr>
          </w:p>
        </w:tc>
        <w:tc>
          <w:tcPr>
            <w:tcW w:w="874" w:type="dxa"/>
            <w:vAlign w:val="center"/>
          </w:tcPr>
          <w:p>
            <w:pPr>
              <w:pStyle w:val="154"/>
              <w:rPr>
                <w:rFonts w:hint="eastAsia" w:ascii="仿宋" w:hAnsi="仿宋" w:eastAsia="仿宋" w:cs="仿宋"/>
                <w:color w:val="auto"/>
                <w:spacing w:val="14"/>
                <w:szCs w:val="21"/>
                <w:highlight w:val="none"/>
              </w:rPr>
            </w:pPr>
          </w:p>
        </w:tc>
        <w:tc>
          <w:tcPr>
            <w:tcW w:w="822" w:type="dxa"/>
            <w:vAlign w:val="center"/>
          </w:tcPr>
          <w:p>
            <w:pPr>
              <w:pStyle w:val="154"/>
              <w:rPr>
                <w:rFonts w:hint="eastAsia" w:ascii="仿宋" w:hAnsi="仿宋" w:eastAsia="仿宋" w:cs="仿宋"/>
                <w:color w:val="auto"/>
                <w:spacing w:val="1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72" w:type="dxa"/>
            <w:vAlign w:val="center"/>
          </w:tcPr>
          <w:p>
            <w:pPr>
              <w:pStyle w:val="154"/>
              <w:rPr>
                <w:rFonts w:hint="eastAsia" w:ascii="仿宋" w:hAnsi="仿宋" w:eastAsia="仿宋" w:cs="仿宋"/>
                <w:color w:val="auto"/>
                <w:spacing w:val="14"/>
                <w:szCs w:val="21"/>
                <w:highlight w:val="none"/>
              </w:rPr>
            </w:pPr>
          </w:p>
        </w:tc>
        <w:tc>
          <w:tcPr>
            <w:tcW w:w="1554" w:type="dxa"/>
            <w:vAlign w:val="center"/>
          </w:tcPr>
          <w:p>
            <w:pPr>
              <w:pStyle w:val="154"/>
              <w:rPr>
                <w:rFonts w:hint="eastAsia" w:ascii="仿宋" w:hAnsi="仿宋" w:eastAsia="仿宋" w:cs="仿宋"/>
                <w:color w:val="auto"/>
                <w:spacing w:val="14"/>
                <w:szCs w:val="21"/>
                <w:highlight w:val="none"/>
              </w:rPr>
            </w:pPr>
          </w:p>
        </w:tc>
        <w:tc>
          <w:tcPr>
            <w:tcW w:w="1848" w:type="dxa"/>
            <w:vAlign w:val="center"/>
          </w:tcPr>
          <w:p>
            <w:pPr>
              <w:pStyle w:val="154"/>
              <w:rPr>
                <w:rFonts w:hint="eastAsia" w:ascii="仿宋" w:hAnsi="仿宋" w:eastAsia="仿宋" w:cs="仿宋"/>
                <w:color w:val="auto"/>
                <w:spacing w:val="14"/>
                <w:szCs w:val="21"/>
                <w:highlight w:val="none"/>
              </w:rPr>
            </w:pPr>
          </w:p>
        </w:tc>
        <w:tc>
          <w:tcPr>
            <w:tcW w:w="1618" w:type="dxa"/>
            <w:vAlign w:val="center"/>
          </w:tcPr>
          <w:p>
            <w:pPr>
              <w:pStyle w:val="154"/>
              <w:rPr>
                <w:rFonts w:hint="eastAsia" w:ascii="仿宋" w:hAnsi="仿宋" w:eastAsia="仿宋" w:cs="仿宋"/>
                <w:color w:val="auto"/>
                <w:spacing w:val="14"/>
                <w:szCs w:val="21"/>
                <w:highlight w:val="none"/>
              </w:rPr>
            </w:pPr>
          </w:p>
        </w:tc>
        <w:tc>
          <w:tcPr>
            <w:tcW w:w="1320" w:type="dxa"/>
            <w:vAlign w:val="center"/>
          </w:tcPr>
          <w:p>
            <w:pPr>
              <w:pStyle w:val="154"/>
              <w:rPr>
                <w:rFonts w:hint="eastAsia" w:ascii="仿宋" w:hAnsi="仿宋" w:eastAsia="仿宋" w:cs="仿宋"/>
                <w:color w:val="auto"/>
                <w:spacing w:val="14"/>
                <w:szCs w:val="21"/>
                <w:highlight w:val="none"/>
              </w:rPr>
            </w:pPr>
          </w:p>
        </w:tc>
        <w:tc>
          <w:tcPr>
            <w:tcW w:w="787" w:type="dxa"/>
            <w:vAlign w:val="center"/>
          </w:tcPr>
          <w:p>
            <w:pPr>
              <w:pStyle w:val="154"/>
              <w:rPr>
                <w:rFonts w:hint="eastAsia" w:ascii="仿宋" w:hAnsi="仿宋" w:eastAsia="仿宋" w:cs="仿宋"/>
                <w:color w:val="auto"/>
                <w:spacing w:val="14"/>
                <w:szCs w:val="21"/>
                <w:highlight w:val="none"/>
              </w:rPr>
            </w:pPr>
          </w:p>
        </w:tc>
        <w:tc>
          <w:tcPr>
            <w:tcW w:w="874" w:type="dxa"/>
            <w:vAlign w:val="center"/>
          </w:tcPr>
          <w:p>
            <w:pPr>
              <w:pStyle w:val="154"/>
              <w:rPr>
                <w:rFonts w:hint="eastAsia" w:ascii="仿宋" w:hAnsi="仿宋" w:eastAsia="仿宋" w:cs="仿宋"/>
                <w:color w:val="auto"/>
                <w:spacing w:val="14"/>
                <w:szCs w:val="21"/>
                <w:highlight w:val="none"/>
              </w:rPr>
            </w:pPr>
          </w:p>
        </w:tc>
        <w:tc>
          <w:tcPr>
            <w:tcW w:w="822" w:type="dxa"/>
            <w:vAlign w:val="center"/>
          </w:tcPr>
          <w:p>
            <w:pPr>
              <w:pStyle w:val="154"/>
              <w:rPr>
                <w:rFonts w:hint="eastAsia" w:ascii="仿宋" w:hAnsi="仿宋" w:eastAsia="仿宋" w:cs="仿宋"/>
                <w:color w:val="auto"/>
                <w:spacing w:val="1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72" w:type="dxa"/>
            <w:vAlign w:val="center"/>
          </w:tcPr>
          <w:p>
            <w:pPr>
              <w:pStyle w:val="154"/>
              <w:rPr>
                <w:rFonts w:hint="eastAsia" w:ascii="仿宋" w:hAnsi="仿宋" w:eastAsia="仿宋" w:cs="仿宋"/>
                <w:color w:val="auto"/>
                <w:spacing w:val="14"/>
                <w:szCs w:val="21"/>
                <w:highlight w:val="none"/>
              </w:rPr>
            </w:pPr>
          </w:p>
        </w:tc>
        <w:tc>
          <w:tcPr>
            <w:tcW w:w="1554" w:type="dxa"/>
            <w:vAlign w:val="center"/>
          </w:tcPr>
          <w:p>
            <w:pPr>
              <w:pStyle w:val="154"/>
              <w:rPr>
                <w:rFonts w:hint="eastAsia" w:ascii="仿宋" w:hAnsi="仿宋" w:eastAsia="仿宋" w:cs="仿宋"/>
                <w:color w:val="auto"/>
                <w:spacing w:val="14"/>
                <w:szCs w:val="21"/>
                <w:highlight w:val="none"/>
              </w:rPr>
            </w:pPr>
          </w:p>
        </w:tc>
        <w:tc>
          <w:tcPr>
            <w:tcW w:w="1848" w:type="dxa"/>
            <w:vAlign w:val="center"/>
          </w:tcPr>
          <w:p>
            <w:pPr>
              <w:pStyle w:val="154"/>
              <w:rPr>
                <w:rFonts w:hint="eastAsia" w:ascii="仿宋" w:hAnsi="仿宋" w:eastAsia="仿宋" w:cs="仿宋"/>
                <w:color w:val="auto"/>
                <w:spacing w:val="14"/>
                <w:szCs w:val="21"/>
                <w:highlight w:val="none"/>
              </w:rPr>
            </w:pPr>
          </w:p>
        </w:tc>
        <w:tc>
          <w:tcPr>
            <w:tcW w:w="1618" w:type="dxa"/>
            <w:vAlign w:val="center"/>
          </w:tcPr>
          <w:p>
            <w:pPr>
              <w:pStyle w:val="154"/>
              <w:rPr>
                <w:rFonts w:hint="eastAsia" w:ascii="仿宋" w:hAnsi="仿宋" w:eastAsia="仿宋" w:cs="仿宋"/>
                <w:color w:val="auto"/>
                <w:spacing w:val="14"/>
                <w:szCs w:val="21"/>
                <w:highlight w:val="none"/>
              </w:rPr>
            </w:pPr>
          </w:p>
        </w:tc>
        <w:tc>
          <w:tcPr>
            <w:tcW w:w="1320" w:type="dxa"/>
            <w:vAlign w:val="center"/>
          </w:tcPr>
          <w:p>
            <w:pPr>
              <w:pStyle w:val="154"/>
              <w:rPr>
                <w:rFonts w:hint="eastAsia" w:ascii="仿宋" w:hAnsi="仿宋" w:eastAsia="仿宋" w:cs="仿宋"/>
                <w:color w:val="auto"/>
                <w:spacing w:val="14"/>
                <w:szCs w:val="21"/>
                <w:highlight w:val="none"/>
              </w:rPr>
            </w:pPr>
          </w:p>
        </w:tc>
        <w:tc>
          <w:tcPr>
            <w:tcW w:w="787" w:type="dxa"/>
            <w:vAlign w:val="center"/>
          </w:tcPr>
          <w:p>
            <w:pPr>
              <w:pStyle w:val="154"/>
              <w:rPr>
                <w:rFonts w:hint="eastAsia" w:ascii="仿宋" w:hAnsi="仿宋" w:eastAsia="仿宋" w:cs="仿宋"/>
                <w:color w:val="auto"/>
                <w:spacing w:val="14"/>
                <w:szCs w:val="21"/>
                <w:highlight w:val="none"/>
              </w:rPr>
            </w:pPr>
          </w:p>
        </w:tc>
        <w:tc>
          <w:tcPr>
            <w:tcW w:w="874" w:type="dxa"/>
            <w:vAlign w:val="center"/>
          </w:tcPr>
          <w:p>
            <w:pPr>
              <w:pStyle w:val="154"/>
              <w:rPr>
                <w:rFonts w:hint="eastAsia" w:ascii="仿宋" w:hAnsi="仿宋" w:eastAsia="仿宋" w:cs="仿宋"/>
                <w:color w:val="auto"/>
                <w:spacing w:val="14"/>
                <w:szCs w:val="21"/>
                <w:highlight w:val="none"/>
              </w:rPr>
            </w:pPr>
          </w:p>
        </w:tc>
        <w:tc>
          <w:tcPr>
            <w:tcW w:w="822" w:type="dxa"/>
            <w:vAlign w:val="center"/>
          </w:tcPr>
          <w:p>
            <w:pPr>
              <w:pStyle w:val="154"/>
              <w:rPr>
                <w:rFonts w:hint="eastAsia" w:ascii="仿宋" w:hAnsi="仿宋" w:eastAsia="仿宋" w:cs="仿宋"/>
                <w:color w:val="auto"/>
                <w:spacing w:val="1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72" w:type="dxa"/>
            <w:vAlign w:val="center"/>
          </w:tcPr>
          <w:p>
            <w:pPr>
              <w:pStyle w:val="154"/>
              <w:rPr>
                <w:rFonts w:hint="eastAsia" w:ascii="仿宋" w:hAnsi="仿宋" w:eastAsia="仿宋" w:cs="仿宋"/>
                <w:color w:val="auto"/>
                <w:spacing w:val="14"/>
                <w:szCs w:val="21"/>
                <w:highlight w:val="none"/>
              </w:rPr>
            </w:pPr>
          </w:p>
        </w:tc>
        <w:tc>
          <w:tcPr>
            <w:tcW w:w="1554" w:type="dxa"/>
            <w:vAlign w:val="center"/>
          </w:tcPr>
          <w:p>
            <w:pPr>
              <w:pStyle w:val="154"/>
              <w:rPr>
                <w:rFonts w:hint="eastAsia" w:ascii="仿宋" w:hAnsi="仿宋" w:eastAsia="仿宋" w:cs="仿宋"/>
                <w:color w:val="auto"/>
                <w:spacing w:val="14"/>
                <w:szCs w:val="21"/>
                <w:highlight w:val="none"/>
              </w:rPr>
            </w:pPr>
          </w:p>
        </w:tc>
        <w:tc>
          <w:tcPr>
            <w:tcW w:w="1848" w:type="dxa"/>
            <w:vAlign w:val="center"/>
          </w:tcPr>
          <w:p>
            <w:pPr>
              <w:pStyle w:val="154"/>
              <w:rPr>
                <w:rFonts w:hint="eastAsia" w:ascii="仿宋" w:hAnsi="仿宋" w:eastAsia="仿宋" w:cs="仿宋"/>
                <w:color w:val="auto"/>
                <w:spacing w:val="14"/>
                <w:szCs w:val="21"/>
                <w:highlight w:val="none"/>
              </w:rPr>
            </w:pPr>
          </w:p>
        </w:tc>
        <w:tc>
          <w:tcPr>
            <w:tcW w:w="1618" w:type="dxa"/>
            <w:vAlign w:val="center"/>
          </w:tcPr>
          <w:p>
            <w:pPr>
              <w:pStyle w:val="154"/>
              <w:rPr>
                <w:rFonts w:hint="eastAsia" w:ascii="仿宋" w:hAnsi="仿宋" w:eastAsia="仿宋" w:cs="仿宋"/>
                <w:color w:val="auto"/>
                <w:spacing w:val="14"/>
                <w:szCs w:val="21"/>
                <w:highlight w:val="none"/>
              </w:rPr>
            </w:pPr>
          </w:p>
        </w:tc>
        <w:tc>
          <w:tcPr>
            <w:tcW w:w="1320" w:type="dxa"/>
            <w:vAlign w:val="center"/>
          </w:tcPr>
          <w:p>
            <w:pPr>
              <w:pStyle w:val="154"/>
              <w:rPr>
                <w:rFonts w:hint="eastAsia" w:ascii="仿宋" w:hAnsi="仿宋" w:eastAsia="仿宋" w:cs="仿宋"/>
                <w:color w:val="auto"/>
                <w:spacing w:val="14"/>
                <w:szCs w:val="21"/>
                <w:highlight w:val="none"/>
              </w:rPr>
            </w:pPr>
          </w:p>
        </w:tc>
        <w:tc>
          <w:tcPr>
            <w:tcW w:w="787" w:type="dxa"/>
            <w:vAlign w:val="center"/>
          </w:tcPr>
          <w:p>
            <w:pPr>
              <w:pStyle w:val="154"/>
              <w:rPr>
                <w:rFonts w:hint="eastAsia" w:ascii="仿宋" w:hAnsi="仿宋" w:eastAsia="仿宋" w:cs="仿宋"/>
                <w:color w:val="auto"/>
                <w:spacing w:val="14"/>
                <w:szCs w:val="21"/>
                <w:highlight w:val="none"/>
              </w:rPr>
            </w:pPr>
          </w:p>
        </w:tc>
        <w:tc>
          <w:tcPr>
            <w:tcW w:w="874" w:type="dxa"/>
            <w:vAlign w:val="center"/>
          </w:tcPr>
          <w:p>
            <w:pPr>
              <w:pStyle w:val="154"/>
              <w:rPr>
                <w:rFonts w:hint="eastAsia" w:ascii="仿宋" w:hAnsi="仿宋" w:eastAsia="仿宋" w:cs="仿宋"/>
                <w:color w:val="auto"/>
                <w:spacing w:val="14"/>
                <w:szCs w:val="21"/>
                <w:highlight w:val="none"/>
              </w:rPr>
            </w:pPr>
          </w:p>
        </w:tc>
        <w:tc>
          <w:tcPr>
            <w:tcW w:w="822" w:type="dxa"/>
            <w:vAlign w:val="center"/>
          </w:tcPr>
          <w:p>
            <w:pPr>
              <w:pStyle w:val="154"/>
              <w:rPr>
                <w:rFonts w:hint="eastAsia" w:ascii="仿宋" w:hAnsi="仿宋" w:eastAsia="仿宋" w:cs="仿宋"/>
                <w:color w:val="auto"/>
                <w:spacing w:val="1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72" w:type="dxa"/>
            <w:vAlign w:val="center"/>
          </w:tcPr>
          <w:p>
            <w:pPr>
              <w:pStyle w:val="154"/>
              <w:rPr>
                <w:rFonts w:hint="eastAsia" w:ascii="仿宋" w:hAnsi="仿宋" w:eastAsia="仿宋" w:cs="仿宋"/>
                <w:color w:val="auto"/>
                <w:spacing w:val="14"/>
                <w:szCs w:val="21"/>
                <w:highlight w:val="none"/>
              </w:rPr>
            </w:pPr>
          </w:p>
        </w:tc>
        <w:tc>
          <w:tcPr>
            <w:tcW w:w="1554" w:type="dxa"/>
            <w:vAlign w:val="center"/>
          </w:tcPr>
          <w:p>
            <w:pPr>
              <w:pStyle w:val="154"/>
              <w:rPr>
                <w:rFonts w:hint="eastAsia" w:ascii="仿宋" w:hAnsi="仿宋" w:eastAsia="仿宋" w:cs="仿宋"/>
                <w:color w:val="auto"/>
                <w:spacing w:val="14"/>
                <w:szCs w:val="21"/>
                <w:highlight w:val="none"/>
              </w:rPr>
            </w:pPr>
          </w:p>
        </w:tc>
        <w:tc>
          <w:tcPr>
            <w:tcW w:w="1848" w:type="dxa"/>
            <w:vAlign w:val="center"/>
          </w:tcPr>
          <w:p>
            <w:pPr>
              <w:pStyle w:val="154"/>
              <w:rPr>
                <w:rFonts w:hint="eastAsia" w:ascii="仿宋" w:hAnsi="仿宋" w:eastAsia="仿宋" w:cs="仿宋"/>
                <w:color w:val="auto"/>
                <w:spacing w:val="14"/>
                <w:szCs w:val="21"/>
                <w:highlight w:val="none"/>
              </w:rPr>
            </w:pPr>
          </w:p>
        </w:tc>
        <w:tc>
          <w:tcPr>
            <w:tcW w:w="1618" w:type="dxa"/>
            <w:vAlign w:val="center"/>
          </w:tcPr>
          <w:p>
            <w:pPr>
              <w:pStyle w:val="154"/>
              <w:rPr>
                <w:rFonts w:hint="eastAsia" w:ascii="仿宋" w:hAnsi="仿宋" w:eastAsia="仿宋" w:cs="仿宋"/>
                <w:color w:val="auto"/>
                <w:spacing w:val="14"/>
                <w:szCs w:val="21"/>
                <w:highlight w:val="none"/>
              </w:rPr>
            </w:pPr>
          </w:p>
        </w:tc>
        <w:tc>
          <w:tcPr>
            <w:tcW w:w="1320" w:type="dxa"/>
            <w:vAlign w:val="center"/>
          </w:tcPr>
          <w:p>
            <w:pPr>
              <w:pStyle w:val="154"/>
              <w:rPr>
                <w:rFonts w:hint="eastAsia" w:ascii="仿宋" w:hAnsi="仿宋" w:eastAsia="仿宋" w:cs="仿宋"/>
                <w:color w:val="auto"/>
                <w:spacing w:val="14"/>
                <w:szCs w:val="21"/>
                <w:highlight w:val="none"/>
              </w:rPr>
            </w:pPr>
          </w:p>
        </w:tc>
        <w:tc>
          <w:tcPr>
            <w:tcW w:w="787" w:type="dxa"/>
            <w:vAlign w:val="center"/>
          </w:tcPr>
          <w:p>
            <w:pPr>
              <w:pStyle w:val="154"/>
              <w:rPr>
                <w:rFonts w:hint="eastAsia" w:ascii="仿宋" w:hAnsi="仿宋" w:eastAsia="仿宋" w:cs="仿宋"/>
                <w:color w:val="auto"/>
                <w:spacing w:val="14"/>
                <w:szCs w:val="21"/>
                <w:highlight w:val="none"/>
              </w:rPr>
            </w:pPr>
          </w:p>
        </w:tc>
        <w:tc>
          <w:tcPr>
            <w:tcW w:w="874" w:type="dxa"/>
            <w:vAlign w:val="center"/>
          </w:tcPr>
          <w:p>
            <w:pPr>
              <w:pStyle w:val="154"/>
              <w:rPr>
                <w:rFonts w:hint="eastAsia" w:ascii="仿宋" w:hAnsi="仿宋" w:eastAsia="仿宋" w:cs="仿宋"/>
                <w:color w:val="auto"/>
                <w:spacing w:val="14"/>
                <w:szCs w:val="21"/>
                <w:highlight w:val="none"/>
              </w:rPr>
            </w:pPr>
          </w:p>
        </w:tc>
        <w:tc>
          <w:tcPr>
            <w:tcW w:w="822" w:type="dxa"/>
            <w:vAlign w:val="center"/>
          </w:tcPr>
          <w:p>
            <w:pPr>
              <w:pStyle w:val="154"/>
              <w:rPr>
                <w:rFonts w:hint="eastAsia" w:ascii="仿宋" w:hAnsi="仿宋" w:eastAsia="仿宋" w:cs="仿宋"/>
                <w:color w:val="auto"/>
                <w:spacing w:val="1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72" w:type="dxa"/>
            <w:vAlign w:val="center"/>
          </w:tcPr>
          <w:p>
            <w:pPr>
              <w:pStyle w:val="154"/>
              <w:rPr>
                <w:rFonts w:hint="eastAsia" w:ascii="仿宋" w:hAnsi="仿宋" w:eastAsia="仿宋" w:cs="仿宋"/>
                <w:color w:val="auto"/>
                <w:spacing w:val="14"/>
                <w:szCs w:val="21"/>
                <w:highlight w:val="none"/>
              </w:rPr>
            </w:pPr>
          </w:p>
        </w:tc>
        <w:tc>
          <w:tcPr>
            <w:tcW w:w="1554" w:type="dxa"/>
            <w:vAlign w:val="center"/>
          </w:tcPr>
          <w:p>
            <w:pPr>
              <w:pStyle w:val="154"/>
              <w:rPr>
                <w:rFonts w:hint="eastAsia" w:ascii="仿宋" w:hAnsi="仿宋" w:eastAsia="仿宋" w:cs="仿宋"/>
                <w:color w:val="auto"/>
                <w:spacing w:val="14"/>
                <w:szCs w:val="21"/>
                <w:highlight w:val="none"/>
              </w:rPr>
            </w:pPr>
          </w:p>
        </w:tc>
        <w:tc>
          <w:tcPr>
            <w:tcW w:w="1848" w:type="dxa"/>
            <w:vAlign w:val="center"/>
          </w:tcPr>
          <w:p>
            <w:pPr>
              <w:pStyle w:val="154"/>
              <w:rPr>
                <w:rFonts w:hint="eastAsia" w:ascii="仿宋" w:hAnsi="仿宋" w:eastAsia="仿宋" w:cs="仿宋"/>
                <w:color w:val="auto"/>
                <w:spacing w:val="14"/>
                <w:szCs w:val="21"/>
                <w:highlight w:val="none"/>
              </w:rPr>
            </w:pPr>
          </w:p>
        </w:tc>
        <w:tc>
          <w:tcPr>
            <w:tcW w:w="1618" w:type="dxa"/>
            <w:vAlign w:val="center"/>
          </w:tcPr>
          <w:p>
            <w:pPr>
              <w:pStyle w:val="154"/>
              <w:rPr>
                <w:rFonts w:hint="eastAsia" w:ascii="仿宋" w:hAnsi="仿宋" w:eastAsia="仿宋" w:cs="仿宋"/>
                <w:color w:val="auto"/>
                <w:spacing w:val="14"/>
                <w:szCs w:val="21"/>
                <w:highlight w:val="none"/>
              </w:rPr>
            </w:pPr>
          </w:p>
        </w:tc>
        <w:tc>
          <w:tcPr>
            <w:tcW w:w="1320" w:type="dxa"/>
            <w:vAlign w:val="center"/>
          </w:tcPr>
          <w:p>
            <w:pPr>
              <w:pStyle w:val="154"/>
              <w:rPr>
                <w:rFonts w:hint="eastAsia" w:ascii="仿宋" w:hAnsi="仿宋" w:eastAsia="仿宋" w:cs="仿宋"/>
                <w:color w:val="auto"/>
                <w:spacing w:val="14"/>
                <w:szCs w:val="21"/>
                <w:highlight w:val="none"/>
              </w:rPr>
            </w:pPr>
          </w:p>
        </w:tc>
        <w:tc>
          <w:tcPr>
            <w:tcW w:w="787" w:type="dxa"/>
            <w:vAlign w:val="center"/>
          </w:tcPr>
          <w:p>
            <w:pPr>
              <w:pStyle w:val="154"/>
              <w:rPr>
                <w:rFonts w:hint="eastAsia" w:ascii="仿宋" w:hAnsi="仿宋" w:eastAsia="仿宋" w:cs="仿宋"/>
                <w:color w:val="auto"/>
                <w:spacing w:val="14"/>
                <w:szCs w:val="21"/>
                <w:highlight w:val="none"/>
              </w:rPr>
            </w:pPr>
          </w:p>
        </w:tc>
        <w:tc>
          <w:tcPr>
            <w:tcW w:w="874" w:type="dxa"/>
            <w:vAlign w:val="center"/>
          </w:tcPr>
          <w:p>
            <w:pPr>
              <w:pStyle w:val="154"/>
              <w:rPr>
                <w:rFonts w:hint="eastAsia" w:ascii="仿宋" w:hAnsi="仿宋" w:eastAsia="仿宋" w:cs="仿宋"/>
                <w:color w:val="auto"/>
                <w:spacing w:val="14"/>
                <w:szCs w:val="21"/>
                <w:highlight w:val="none"/>
              </w:rPr>
            </w:pPr>
          </w:p>
        </w:tc>
        <w:tc>
          <w:tcPr>
            <w:tcW w:w="822" w:type="dxa"/>
            <w:vAlign w:val="center"/>
          </w:tcPr>
          <w:p>
            <w:pPr>
              <w:pStyle w:val="154"/>
              <w:rPr>
                <w:rFonts w:hint="eastAsia" w:ascii="仿宋" w:hAnsi="仿宋" w:eastAsia="仿宋" w:cs="仿宋"/>
                <w:color w:val="auto"/>
                <w:spacing w:val="1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72" w:type="dxa"/>
            <w:vAlign w:val="center"/>
          </w:tcPr>
          <w:p>
            <w:pPr>
              <w:pStyle w:val="154"/>
              <w:rPr>
                <w:rFonts w:hint="eastAsia" w:ascii="仿宋" w:hAnsi="仿宋" w:eastAsia="仿宋" w:cs="仿宋"/>
                <w:color w:val="auto"/>
                <w:spacing w:val="14"/>
                <w:szCs w:val="21"/>
                <w:highlight w:val="none"/>
              </w:rPr>
            </w:pPr>
          </w:p>
        </w:tc>
        <w:tc>
          <w:tcPr>
            <w:tcW w:w="1554" w:type="dxa"/>
            <w:vAlign w:val="center"/>
          </w:tcPr>
          <w:p>
            <w:pPr>
              <w:pStyle w:val="154"/>
              <w:rPr>
                <w:rFonts w:hint="eastAsia" w:ascii="仿宋" w:hAnsi="仿宋" w:eastAsia="仿宋" w:cs="仿宋"/>
                <w:color w:val="auto"/>
                <w:spacing w:val="14"/>
                <w:szCs w:val="21"/>
                <w:highlight w:val="none"/>
              </w:rPr>
            </w:pPr>
          </w:p>
        </w:tc>
        <w:tc>
          <w:tcPr>
            <w:tcW w:w="1848" w:type="dxa"/>
            <w:vAlign w:val="center"/>
          </w:tcPr>
          <w:p>
            <w:pPr>
              <w:pStyle w:val="154"/>
              <w:rPr>
                <w:rFonts w:hint="eastAsia" w:ascii="仿宋" w:hAnsi="仿宋" w:eastAsia="仿宋" w:cs="仿宋"/>
                <w:color w:val="auto"/>
                <w:spacing w:val="14"/>
                <w:szCs w:val="21"/>
                <w:highlight w:val="none"/>
              </w:rPr>
            </w:pPr>
          </w:p>
        </w:tc>
        <w:tc>
          <w:tcPr>
            <w:tcW w:w="1618" w:type="dxa"/>
            <w:vAlign w:val="center"/>
          </w:tcPr>
          <w:p>
            <w:pPr>
              <w:pStyle w:val="154"/>
              <w:rPr>
                <w:rFonts w:hint="eastAsia" w:ascii="仿宋" w:hAnsi="仿宋" w:eastAsia="仿宋" w:cs="仿宋"/>
                <w:color w:val="auto"/>
                <w:spacing w:val="14"/>
                <w:szCs w:val="21"/>
                <w:highlight w:val="none"/>
              </w:rPr>
            </w:pPr>
          </w:p>
        </w:tc>
        <w:tc>
          <w:tcPr>
            <w:tcW w:w="1320" w:type="dxa"/>
            <w:vAlign w:val="center"/>
          </w:tcPr>
          <w:p>
            <w:pPr>
              <w:pStyle w:val="154"/>
              <w:rPr>
                <w:rFonts w:hint="eastAsia" w:ascii="仿宋" w:hAnsi="仿宋" w:eastAsia="仿宋" w:cs="仿宋"/>
                <w:color w:val="auto"/>
                <w:spacing w:val="14"/>
                <w:szCs w:val="21"/>
                <w:highlight w:val="none"/>
              </w:rPr>
            </w:pPr>
          </w:p>
        </w:tc>
        <w:tc>
          <w:tcPr>
            <w:tcW w:w="787" w:type="dxa"/>
            <w:vAlign w:val="center"/>
          </w:tcPr>
          <w:p>
            <w:pPr>
              <w:pStyle w:val="154"/>
              <w:rPr>
                <w:rFonts w:hint="eastAsia" w:ascii="仿宋" w:hAnsi="仿宋" w:eastAsia="仿宋" w:cs="仿宋"/>
                <w:color w:val="auto"/>
                <w:spacing w:val="14"/>
                <w:szCs w:val="21"/>
                <w:highlight w:val="none"/>
              </w:rPr>
            </w:pPr>
          </w:p>
        </w:tc>
        <w:tc>
          <w:tcPr>
            <w:tcW w:w="874" w:type="dxa"/>
            <w:vAlign w:val="center"/>
          </w:tcPr>
          <w:p>
            <w:pPr>
              <w:pStyle w:val="154"/>
              <w:rPr>
                <w:rFonts w:hint="eastAsia" w:ascii="仿宋" w:hAnsi="仿宋" w:eastAsia="仿宋" w:cs="仿宋"/>
                <w:color w:val="auto"/>
                <w:spacing w:val="14"/>
                <w:szCs w:val="21"/>
                <w:highlight w:val="none"/>
              </w:rPr>
            </w:pPr>
          </w:p>
        </w:tc>
        <w:tc>
          <w:tcPr>
            <w:tcW w:w="822" w:type="dxa"/>
            <w:vAlign w:val="center"/>
          </w:tcPr>
          <w:p>
            <w:pPr>
              <w:pStyle w:val="154"/>
              <w:rPr>
                <w:rFonts w:hint="eastAsia" w:ascii="仿宋" w:hAnsi="仿宋" w:eastAsia="仿宋" w:cs="仿宋"/>
                <w:color w:val="auto"/>
                <w:spacing w:val="1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72" w:type="dxa"/>
            <w:vAlign w:val="center"/>
          </w:tcPr>
          <w:p>
            <w:pPr>
              <w:pStyle w:val="154"/>
              <w:rPr>
                <w:rFonts w:hint="eastAsia" w:ascii="仿宋" w:hAnsi="仿宋" w:eastAsia="仿宋" w:cs="仿宋"/>
                <w:color w:val="auto"/>
                <w:spacing w:val="14"/>
                <w:szCs w:val="21"/>
                <w:highlight w:val="none"/>
              </w:rPr>
            </w:pPr>
          </w:p>
        </w:tc>
        <w:tc>
          <w:tcPr>
            <w:tcW w:w="1554" w:type="dxa"/>
            <w:vAlign w:val="center"/>
          </w:tcPr>
          <w:p>
            <w:pPr>
              <w:pStyle w:val="154"/>
              <w:rPr>
                <w:rFonts w:hint="eastAsia" w:ascii="仿宋" w:hAnsi="仿宋" w:eastAsia="仿宋" w:cs="仿宋"/>
                <w:color w:val="auto"/>
                <w:spacing w:val="14"/>
                <w:szCs w:val="21"/>
                <w:highlight w:val="none"/>
              </w:rPr>
            </w:pPr>
          </w:p>
        </w:tc>
        <w:tc>
          <w:tcPr>
            <w:tcW w:w="1848" w:type="dxa"/>
            <w:vAlign w:val="center"/>
          </w:tcPr>
          <w:p>
            <w:pPr>
              <w:pStyle w:val="154"/>
              <w:rPr>
                <w:rFonts w:hint="eastAsia" w:ascii="仿宋" w:hAnsi="仿宋" w:eastAsia="仿宋" w:cs="仿宋"/>
                <w:color w:val="auto"/>
                <w:spacing w:val="14"/>
                <w:szCs w:val="21"/>
                <w:highlight w:val="none"/>
              </w:rPr>
            </w:pPr>
          </w:p>
        </w:tc>
        <w:tc>
          <w:tcPr>
            <w:tcW w:w="1618" w:type="dxa"/>
            <w:vAlign w:val="center"/>
          </w:tcPr>
          <w:p>
            <w:pPr>
              <w:pStyle w:val="154"/>
              <w:rPr>
                <w:rFonts w:hint="eastAsia" w:ascii="仿宋" w:hAnsi="仿宋" w:eastAsia="仿宋" w:cs="仿宋"/>
                <w:color w:val="auto"/>
                <w:spacing w:val="14"/>
                <w:szCs w:val="21"/>
                <w:highlight w:val="none"/>
              </w:rPr>
            </w:pPr>
          </w:p>
        </w:tc>
        <w:tc>
          <w:tcPr>
            <w:tcW w:w="1320" w:type="dxa"/>
            <w:vAlign w:val="center"/>
          </w:tcPr>
          <w:p>
            <w:pPr>
              <w:pStyle w:val="154"/>
              <w:rPr>
                <w:rFonts w:hint="eastAsia" w:ascii="仿宋" w:hAnsi="仿宋" w:eastAsia="仿宋" w:cs="仿宋"/>
                <w:color w:val="auto"/>
                <w:spacing w:val="14"/>
                <w:szCs w:val="21"/>
                <w:highlight w:val="none"/>
              </w:rPr>
            </w:pPr>
          </w:p>
        </w:tc>
        <w:tc>
          <w:tcPr>
            <w:tcW w:w="787" w:type="dxa"/>
            <w:vAlign w:val="center"/>
          </w:tcPr>
          <w:p>
            <w:pPr>
              <w:pStyle w:val="154"/>
              <w:rPr>
                <w:rFonts w:hint="eastAsia" w:ascii="仿宋" w:hAnsi="仿宋" w:eastAsia="仿宋" w:cs="仿宋"/>
                <w:color w:val="auto"/>
                <w:spacing w:val="14"/>
                <w:szCs w:val="21"/>
                <w:highlight w:val="none"/>
              </w:rPr>
            </w:pPr>
          </w:p>
        </w:tc>
        <w:tc>
          <w:tcPr>
            <w:tcW w:w="874" w:type="dxa"/>
            <w:vAlign w:val="center"/>
          </w:tcPr>
          <w:p>
            <w:pPr>
              <w:pStyle w:val="154"/>
              <w:rPr>
                <w:rFonts w:hint="eastAsia" w:ascii="仿宋" w:hAnsi="仿宋" w:eastAsia="仿宋" w:cs="仿宋"/>
                <w:color w:val="auto"/>
                <w:spacing w:val="14"/>
                <w:szCs w:val="21"/>
                <w:highlight w:val="none"/>
              </w:rPr>
            </w:pPr>
          </w:p>
        </w:tc>
        <w:tc>
          <w:tcPr>
            <w:tcW w:w="822" w:type="dxa"/>
            <w:vAlign w:val="center"/>
          </w:tcPr>
          <w:p>
            <w:pPr>
              <w:pStyle w:val="154"/>
              <w:rPr>
                <w:rFonts w:hint="eastAsia" w:ascii="仿宋" w:hAnsi="仿宋" w:eastAsia="仿宋" w:cs="仿宋"/>
                <w:color w:val="auto"/>
                <w:spacing w:val="1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72" w:type="dxa"/>
            <w:vAlign w:val="center"/>
          </w:tcPr>
          <w:p>
            <w:pPr>
              <w:pStyle w:val="154"/>
              <w:rPr>
                <w:rFonts w:hint="eastAsia" w:ascii="仿宋" w:hAnsi="仿宋" w:eastAsia="仿宋" w:cs="仿宋"/>
                <w:color w:val="auto"/>
                <w:spacing w:val="14"/>
                <w:szCs w:val="21"/>
                <w:highlight w:val="none"/>
              </w:rPr>
            </w:pPr>
          </w:p>
        </w:tc>
        <w:tc>
          <w:tcPr>
            <w:tcW w:w="1554" w:type="dxa"/>
            <w:vAlign w:val="center"/>
          </w:tcPr>
          <w:p>
            <w:pPr>
              <w:pStyle w:val="154"/>
              <w:rPr>
                <w:rFonts w:hint="eastAsia" w:ascii="仿宋" w:hAnsi="仿宋" w:eastAsia="仿宋" w:cs="仿宋"/>
                <w:color w:val="auto"/>
                <w:spacing w:val="14"/>
                <w:szCs w:val="21"/>
                <w:highlight w:val="none"/>
              </w:rPr>
            </w:pPr>
          </w:p>
        </w:tc>
        <w:tc>
          <w:tcPr>
            <w:tcW w:w="1848" w:type="dxa"/>
            <w:vAlign w:val="center"/>
          </w:tcPr>
          <w:p>
            <w:pPr>
              <w:pStyle w:val="154"/>
              <w:rPr>
                <w:rFonts w:hint="eastAsia" w:ascii="仿宋" w:hAnsi="仿宋" w:eastAsia="仿宋" w:cs="仿宋"/>
                <w:color w:val="auto"/>
                <w:spacing w:val="14"/>
                <w:szCs w:val="21"/>
                <w:highlight w:val="none"/>
              </w:rPr>
            </w:pPr>
          </w:p>
        </w:tc>
        <w:tc>
          <w:tcPr>
            <w:tcW w:w="1618" w:type="dxa"/>
            <w:vAlign w:val="center"/>
          </w:tcPr>
          <w:p>
            <w:pPr>
              <w:pStyle w:val="154"/>
              <w:rPr>
                <w:rFonts w:hint="eastAsia" w:ascii="仿宋" w:hAnsi="仿宋" w:eastAsia="仿宋" w:cs="仿宋"/>
                <w:color w:val="auto"/>
                <w:spacing w:val="14"/>
                <w:szCs w:val="21"/>
                <w:highlight w:val="none"/>
              </w:rPr>
            </w:pPr>
          </w:p>
        </w:tc>
        <w:tc>
          <w:tcPr>
            <w:tcW w:w="1320" w:type="dxa"/>
            <w:vAlign w:val="center"/>
          </w:tcPr>
          <w:p>
            <w:pPr>
              <w:pStyle w:val="154"/>
              <w:rPr>
                <w:rFonts w:hint="eastAsia" w:ascii="仿宋" w:hAnsi="仿宋" w:eastAsia="仿宋" w:cs="仿宋"/>
                <w:color w:val="auto"/>
                <w:spacing w:val="14"/>
                <w:szCs w:val="21"/>
                <w:highlight w:val="none"/>
              </w:rPr>
            </w:pPr>
          </w:p>
        </w:tc>
        <w:tc>
          <w:tcPr>
            <w:tcW w:w="787" w:type="dxa"/>
            <w:vAlign w:val="center"/>
          </w:tcPr>
          <w:p>
            <w:pPr>
              <w:pStyle w:val="154"/>
              <w:rPr>
                <w:rFonts w:hint="eastAsia" w:ascii="仿宋" w:hAnsi="仿宋" w:eastAsia="仿宋" w:cs="仿宋"/>
                <w:color w:val="auto"/>
                <w:spacing w:val="14"/>
                <w:szCs w:val="21"/>
                <w:highlight w:val="none"/>
              </w:rPr>
            </w:pPr>
          </w:p>
        </w:tc>
        <w:tc>
          <w:tcPr>
            <w:tcW w:w="874" w:type="dxa"/>
            <w:vAlign w:val="center"/>
          </w:tcPr>
          <w:p>
            <w:pPr>
              <w:pStyle w:val="154"/>
              <w:rPr>
                <w:rFonts w:hint="eastAsia" w:ascii="仿宋" w:hAnsi="仿宋" w:eastAsia="仿宋" w:cs="仿宋"/>
                <w:color w:val="auto"/>
                <w:spacing w:val="14"/>
                <w:szCs w:val="21"/>
                <w:highlight w:val="none"/>
              </w:rPr>
            </w:pPr>
          </w:p>
        </w:tc>
        <w:tc>
          <w:tcPr>
            <w:tcW w:w="822" w:type="dxa"/>
            <w:vAlign w:val="center"/>
          </w:tcPr>
          <w:p>
            <w:pPr>
              <w:pStyle w:val="154"/>
              <w:rPr>
                <w:rFonts w:hint="eastAsia" w:ascii="仿宋" w:hAnsi="仿宋" w:eastAsia="仿宋" w:cs="仿宋"/>
                <w:color w:val="auto"/>
                <w:spacing w:val="1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9595" w:type="dxa"/>
            <w:gridSpan w:val="8"/>
            <w:vAlign w:val="center"/>
          </w:tcPr>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投标报价人民币小写：</w:t>
            </w:r>
          </w:p>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投标报价人民币大写：</w:t>
            </w:r>
          </w:p>
        </w:tc>
      </w:tr>
    </w:tbl>
    <w:p>
      <w:pPr>
        <w:pStyle w:val="154"/>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 xml:space="preserve">投标人（企业电子章）：                    </w:t>
      </w:r>
    </w:p>
    <w:p>
      <w:pPr>
        <w:pStyle w:val="154"/>
        <w:spacing w:line="360" w:lineRule="exact"/>
        <w:rPr>
          <w:rFonts w:hint="eastAsia" w:ascii="仿宋" w:hAnsi="仿宋" w:eastAsia="仿宋" w:cs="仿宋"/>
          <w:color w:val="auto"/>
          <w:spacing w:val="14"/>
          <w:sz w:val="18"/>
          <w:szCs w:val="18"/>
          <w:highlight w:val="none"/>
        </w:rPr>
      </w:pPr>
      <w:r>
        <w:rPr>
          <w:rFonts w:hint="eastAsia" w:ascii="仿宋" w:hAnsi="仿宋" w:eastAsia="仿宋" w:cs="仿宋"/>
          <w:color w:val="auto"/>
          <w:spacing w:val="14"/>
          <w:sz w:val="18"/>
          <w:szCs w:val="18"/>
          <w:highlight w:val="none"/>
        </w:rPr>
        <w:t>注：</w:t>
      </w:r>
    </w:p>
    <w:p>
      <w:pPr>
        <w:pStyle w:val="154"/>
        <w:spacing w:line="360" w:lineRule="exact"/>
        <w:rPr>
          <w:rFonts w:hint="eastAsia" w:ascii="仿宋" w:hAnsi="仿宋" w:eastAsia="仿宋" w:cs="仿宋"/>
          <w:color w:val="auto"/>
          <w:spacing w:val="14"/>
          <w:sz w:val="18"/>
          <w:szCs w:val="18"/>
          <w:highlight w:val="none"/>
        </w:rPr>
      </w:pPr>
      <w:r>
        <w:rPr>
          <w:rFonts w:hint="eastAsia" w:ascii="仿宋" w:hAnsi="仿宋" w:eastAsia="仿宋" w:cs="仿宋"/>
          <w:color w:val="auto"/>
          <w:spacing w:val="14"/>
          <w:sz w:val="18"/>
          <w:szCs w:val="18"/>
          <w:highlight w:val="none"/>
        </w:rPr>
        <w:t>1.除投标产品按上表规定格式列示外，投标人可根据本企业投标情况，在上表列示备品备件、专用工具、安装调试费、技术服务费、培训费、运输费和保险费等。</w:t>
      </w:r>
    </w:p>
    <w:p>
      <w:pPr>
        <w:pStyle w:val="154"/>
        <w:spacing w:line="360" w:lineRule="exact"/>
        <w:rPr>
          <w:rFonts w:hint="eastAsia" w:ascii="仿宋" w:hAnsi="仿宋" w:eastAsia="仿宋" w:cs="仿宋"/>
          <w:color w:val="auto"/>
          <w:spacing w:val="14"/>
          <w:sz w:val="18"/>
          <w:szCs w:val="18"/>
          <w:highlight w:val="none"/>
        </w:rPr>
      </w:pPr>
      <w:r>
        <w:rPr>
          <w:rFonts w:hint="eastAsia" w:ascii="仿宋" w:hAnsi="仿宋" w:eastAsia="仿宋" w:cs="仿宋"/>
          <w:color w:val="auto"/>
          <w:spacing w:val="14"/>
          <w:sz w:val="18"/>
          <w:szCs w:val="18"/>
          <w:highlight w:val="none"/>
        </w:rPr>
        <w:t>2.投标人可根据需要自行增减表格行数。</w:t>
      </w:r>
    </w:p>
    <w:p>
      <w:pPr>
        <w:pStyle w:val="154"/>
        <w:spacing w:line="360" w:lineRule="exact"/>
        <w:rPr>
          <w:rFonts w:hint="eastAsia" w:ascii="仿宋" w:hAnsi="仿宋" w:eastAsia="仿宋" w:cs="仿宋"/>
          <w:color w:val="auto"/>
          <w:spacing w:val="14"/>
          <w:sz w:val="18"/>
          <w:szCs w:val="18"/>
          <w:highlight w:val="none"/>
        </w:rPr>
      </w:pPr>
      <w:r>
        <w:rPr>
          <w:rFonts w:hint="eastAsia" w:ascii="仿宋" w:hAnsi="仿宋" w:eastAsia="仿宋" w:cs="仿宋"/>
          <w:color w:val="auto"/>
          <w:spacing w:val="14"/>
          <w:sz w:val="18"/>
          <w:szCs w:val="18"/>
          <w:highlight w:val="none"/>
        </w:rPr>
        <w:t>3.投标人对所报相关内容的真实性负责，采购代理机构有权将相关内容进行公示，因弄虚作假导致的后果由投标人自行承担。</w:t>
      </w:r>
    </w:p>
    <w:p>
      <w:pPr>
        <w:jc w:val="center"/>
        <w:rPr>
          <w:rFonts w:hint="eastAsia" w:ascii="仿宋" w:hAnsi="仿宋" w:eastAsia="仿宋" w:cs="仿宋"/>
          <w:color w:val="auto"/>
          <w:highlight w:val="none"/>
        </w:rPr>
      </w:pPr>
    </w:p>
    <w:p>
      <w:pPr>
        <w:rPr>
          <w:rFonts w:hint="eastAsia" w:ascii="仿宋" w:hAnsi="仿宋" w:eastAsia="仿宋" w:cs="仿宋"/>
          <w:color w:val="auto"/>
          <w:spacing w:val="14"/>
          <w:sz w:val="28"/>
          <w:szCs w:val="28"/>
          <w:highlight w:val="none"/>
        </w:rPr>
      </w:pPr>
      <w:r>
        <w:rPr>
          <w:rFonts w:hint="eastAsia" w:ascii="仿宋" w:hAnsi="仿宋" w:eastAsia="仿宋" w:cs="仿宋"/>
          <w:bCs/>
          <w:color w:val="auto"/>
          <w:sz w:val="24"/>
          <w:szCs w:val="24"/>
          <w:highlight w:val="none"/>
        </w:rPr>
        <w:br w:type="page"/>
      </w:r>
    </w:p>
    <w:p>
      <w:pPr>
        <w:pStyle w:val="154"/>
        <w:jc w:val="center"/>
        <w:rPr>
          <w:rFonts w:hint="eastAsia" w:ascii="仿宋" w:hAnsi="仿宋" w:eastAsia="仿宋" w:cs="仿宋"/>
          <w:color w:val="auto"/>
          <w:spacing w:val="14"/>
          <w:sz w:val="28"/>
          <w:szCs w:val="28"/>
          <w:highlight w:val="none"/>
        </w:rPr>
      </w:pPr>
      <w:r>
        <w:rPr>
          <w:rFonts w:hint="eastAsia" w:ascii="仿宋" w:hAnsi="仿宋" w:eastAsia="仿宋" w:cs="仿宋"/>
          <w:color w:val="auto"/>
          <w:spacing w:val="14"/>
          <w:sz w:val="28"/>
          <w:szCs w:val="28"/>
          <w:highlight w:val="none"/>
        </w:rPr>
        <w:t>小型微型（监狱、残疾人福利性单位）企业产品说明</w:t>
      </w:r>
    </w:p>
    <w:p>
      <w:pPr>
        <w:pStyle w:val="154"/>
        <w:ind w:firstLine="0"/>
        <w:jc w:val="center"/>
        <w:rPr>
          <w:rFonts w:hint="eastAsia" w:ascii="仿宋" w:hAnsi="仿宋" w:eastAsia="仿宋" w:cs="仿宋"/>
          <w:color w:val="auto"/>
          <w:spacing w:val="14"/>
          <w:szCs w:val="21"/>
          <w:highlight w:val="none"/>
        </w:rPr>
      </w:pPr>
    </w:p>
    <w:p>
      <w:pPr>
        <w:ind w:firstLine="434" w:firstLineChars="20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1、投标人须在投标文件中提供投标人自己的《中小企业声明函》；如未按要求提供上述证明或相关内容表述不清的或内容不全的，将整体不予价格扣除。</w:t>
      </w:r>
    </w:p>
    <w:p>
      <w:pPr>
        <w:ind w:firstLine="434" w:firstLineChars="20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2、根据财政部、司法部发布的《关于政府采购支持监狱企业发展有关问题的通知》（财库〔2014〕68 号）规定，本项目在评审中对监狱企业提供货物的视同小型、微型企业，享受价格扣除政策。监狱企业作为投标人须提供由省级以上监狱管理局、戒毒管理局(含新疆生产建设兵团)出具的属于监狱企业的证明文件的扫描件，否则不予认定。</w:t>
      </w:r>
    </w:p>
    <w:p>
      <w:pPr>
        <w:ind w:firstLine="434" w:firstLineChars="20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3、根据财政部、民政部、中国残疾人联合会《关于促进残疾人就业政府采购政策的通知》（财库〔2017〕141 号）规定，本项目在评审中对残疾人福利性单位视同小型、微型企业，享受价格扣除政策。残疾人福利性单位提供货物的作为投标人须提供《残疾人福利性单位声明函》，  否则不予认定。</w:t>
      </w:r>
    </w:p>
    <w:p>
      <w:pPr>
        <w:ind w:firstLine="434" w:firstLineChars="20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4、投标人对所报相关内容的真实性负责，采购代理机构有权将相关内容进行公示，因弄虚作假导致的后果由投标人自行承担。</w:t>
      </w:r>
    </w:p>
    <w:p>
      <w:pPr>
        <w:ind w:firstLine="434" w:firstLineChars="200"/>
        <w:rPr>
          <w:rFonts w:hint="eastAsia" w:ascii="仿宋" w:hAnsi="仿宋" w:eastAsia="仿宋" w:cs="仿宋"/>
          <w:color w:val="auto"/>
          <w:highlight w:val="none"/>
        </w:rPr>
      </w:pPr>
      <w:r>
        <w:rPr>
          <w:rFonts w:hint="eastAsia" w:ascii="仿宋" w:hAnsi="仿宋" w:eastAsia="仿宋" w:cs="仿宋"/>
          <w:color w:val="auto"/>
          <w:spacing w:val="14"/>
          <w:szCs w:val="21"/>
          <w:highlight w:val="none"/>
        </w:rPr>
        <w:t>5、相关证明资料附后。</w:t>
      </w: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5"/>
        <w:rPr>
          <w:rFonts w:hint="eastAsia" w:ascii="仿宋" w:hAnsi="仿宋" w:eastAsia="仿宋" w:cs="仿宋"/>
          <w:color w:val="auto"/>
          <w:highlight w:val="none"/>
        </w:rPr>
      </w:pPr>
      <w:bookmarkStart w:id="174" w:name="_Toc1660863"/>
      <w:r>
        <w:rPr>
          <w:rFonts w:hint="eastAsia" w:ascii="仿宋" w:hAnsi="仿宋" w:eastAsia="仿宋" w:cs="仿宋"/>
          <w:color w:val="auto"/>
          <w:highlight w:val="none"/>
        </w:rPr>
        <w:br w:type="page"/>
      </w:r>
      <w:bookmarkStart w:id="175" w:name="_Toc27969"/>
      <w:r>
        <w:rPr>
          <w:rFonts w:hint="eastAsia" w:ascii="仿宋" w:hAnsi="仿宋" w:eastAsia="仿宋" w:cs="仿宋"/>
          <w:color w:val="auto"/>
          <w:highlight w:val="none"/>
        </w:rPr>
        <w:t>八、中小企业声明函（投标人）</w:t>
      </w:r>
      <w:bookmarkEnd w:id="174"/>
      <w:bookmarkEnd w:id="175"/>
    </w:p>
    <w:p>
      <w:pPr>
        <w:jc w:val="center"/>
        <w:outlineLvl w:val="0"/>
        <w:rPr>
          <w:rFonts w:hint="eastAsia" w:ascii="仿宋" w:hAnsi="仿宋" w:eastAsia="仿宋" w:cs="仿宋"/>
          <w:color w:val="auto"/>
          <w:kern w:val="2"/>
          <w:sz w:val="32"/>
          <w:szCs w:val="32"/>
          <w:highlight w:val="none"/>
        </w:rPr>
      </w:pPr>
    </w:p>
    <w:p>
      <w:pPr>
        <w:jc w:val="center"/>
        <w:outlineLvl w:val="0"/>
        <w:rPr>
          <w:rFonts w:hint="eastAsia" w:ascii="仿宋" w:hAnsi="仿宋" w:eastAsia="仿宋" w:cs="仿宋"/>
          <w:color w:val="auto"/>
          <w:kern w:val="2"/>
          <w:sz w:val="32"/>
          <w:szCs w:val="32"/>
          <w:highlight w:val="none"/>
        </w:rPr>
      </w:pPr>
      <w:bookmarkStart w:id="176" w:name="_Toc19972"/>
      <w:r>
        <w:rPr>
          <w:rFonts w:hint="eastAsia" w:ascii="仿宋" w:hAnsi="仿宋" w:eastAsia="仿宋" w:cs="仿宋"/>
          <w:color w:val="auto"/>
          <w:kern w:val="2"/>
          <w:sz w:val="32"/>
          <w:szCs w:val="32"/>
          <w:highlight w:val="none"/>
        </w:rPr>
        <w:t>中小企业声明函（货物)</w:t>
      </w:r>
      <w:bookmarkEnd w:id="176"/>
    </w:p>
    <w:p>
      <w:pPr>
        <w:ind w:firstLine="458" w:firstLineChars="200"/>
        <w:rPr>
          <w:rFonts w:hint="eastAsia" w:ascii="仿宋" w:hAnsi="仿宋" w:eastAsia="仿宋" w:cs="仿宋"/>
          <w:color w:val="auto"/>
          <w:kern w:val="2"/>
          <w:sz w:val="24"/>
          <w:szCs w:val="24"/>
          <w:highlight w:val="none"/>
        </w:rPr>
      </w:pPr>
    </w:p>
    <w:p>
      <w:pPr>
        <w:ind w:firstLine="398" w:firstLineChars="200"/>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本公司</w:t>
      </w:r>
      <w:r>
        <w:rPr>
          <w:rFonts w:hint="eastAsia" w:ascii="仿宋" w:hAnsi="仿宋" w:eastAsia="仿宋" w:cs="仿宋"/>
          <w:color w:val="auto"/>
          <w:kern w:val="2"/>
          <w:sz w:val="21"/>
          <w:szCs w:val="21"/>
          <w:highlight w:val="none"/>
          <w:u w:val="single"/>
        </w:rPr>
        <w:t xml:space="preserve">  (联合体）  </w:t>
      </w:r>
      <w:r>
        <w:rPr>
          <w:rFonts w:hint="eastAsia" w:ascii="仿宋" w:hAnsi="仿宋" w:eastAsia="仿宋" w:cs="仿宋"/>
          <w:color w:val="auto"/>
          <w:kern w:val="2"/>
          <w:sz w:val="21"/>
          <w:szCs w:val="21"/>
          <w:highlight w:val="none"/>
        </w:rPr>
        <w:t>郑重声明，根据《政府采购促进中小企业发展管理办法》(财库（ 2020 ) 46号)的规定，本公司</w:t>
      </w:r>
      <w:r>
        <w:rPr>
          <w:rFonts w:hint="eastAsia" w:ascii="仿宋" w:hAnsi="仿宋" w:eastAsia="仿宋" w:cs="仿宋"/>
          <w:color w:val="auto"/>
          <w:kern w:val="2"/>
          <w:sz w:val="21"/>
          <w:szCs w:val="21"/>
          <w:highlight w:val="none"/>
          <w:u w:val="single"/>
        </w:rPr>
        <w:t xml:space="preserve">  (联合体）  </w:t>
      </w:r>
      <w:r>
        <w:rPr>
          <w:rFonts w:hint="eastAsia" w:ascii="仿宋" w:hAnsi="仿宋" w:eastAsia="仿宋" w:cs="仿宋"/>
          <w:color w:val="auto"/>
          <w:kern w:val="2"/>
          <w:sz w:val="21"/>
          <w:szCs w:val="21"/>
          <w:highlight w:val="none"/>
        </w:rPr>
        <w:t>参加</w:t>
      </w:r>
      <w:r>
        <w:rPr>
          <w:rFonts w:hint="eastAsia" w:ascii="仿宋" w:hAnsi="仿宋" w:eastAsia="仿宋" w:cs="仿宋"/>
          <w:color w:val="auto"/>
          <w:kern w:val="2"/>
          <w:sz w:val="21"/>
          <w:szCs w:val="21"/>
          <w:highlight w:val="none"/>
          <w:u w:val="single"/>
        </w:rPr>
        <w:t xml:space="preserve">   (单位名称）  </w:t>
      </w:r>
      <w:r>
        <w:rPr>
          <w:rFonts w:hint="eastAsia" w:ascii="仿宋" w:hAnsi="仿宋" w:eastAsia="仿宋" w:cs="仿宋"/>
          <w:color w:val="auto"/>
          <w:kern w:val="2"/>
          <w:sz w:val="21"/>
          <w:szCs w:val="21"/>
          <w:highlight w:val="none"/>
        </w:rPr>
        <w:t xml:space="preserve">的 </w:t>
      </w:r>
      <w:r>
        <w:rPr>
          <w:rFonts w:hint="eastAsia" w:ascii="仿宋" w:hAnsi="仿宋" w:eastAsia="仿宋" w:cs="仿宋"/>
          <w:color w:val="auto"/>
          <w:kern w:val="2"/>
          <w:sz w:val="21"/>
          <w:szCs w:val="21"/>
          <w:highlight w:val="none"/>
          <w:u w:val="single"/>
        </w:rPr>
        <w:t xml:space="preserve">   (项目名称）  </w:t>
      </w:r>
      <w:r>
        <w:rPr>
          <w:rFonts w:hint="eastAsia" w:ascii="仿宋" w:hAnsi="仿宋" w:eastAsia="仿宋" w:cs="仿宋"/>
          <w:color w:val="auto"/>
          <w:kern w:val="2"/>
          <w:sz w:val="21"/>
          <w:szCs w:val="21"/>
          <w:highlight w:val="none"/>
        </w:rPr>
        <w:t>采购活动，提供的货物全部由符合政策要求的中小企业制造。相关企业(含联合体中的中小企业、签订分包意向协议的中小企业)的具体情况如下:</w:t>
      </w:r>
    </w:p>
    <w:p>
      <w:pPr>
        <w:ind w:firstLine="398" w:firstLineChars="200"/>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1.</w:t>
      </w:r>
      <w:r>
        <w:rPr>
          <w:rFonts w:hint="eastAsia" w:ascii="仿宋" w:hAnsi="仿宋" w:eastAsia="仿宋" w:cs="仿宋"/>
          <w:color w:val="auto"/>
          <w:kern w:val="2"/>
          <w:sz w:val="21"/>
          <w:szCs w:val="21"/>
          <w:highlight w:val="none"/>
          <w:u w:val="single"/>
        </w:rPr>
        <w:t xml:space="preserve"> (标的名称）  </w:t>
      </w:r>
      <w:r>
        <w:rPr>
          <w:rFonts w:hint="eastAsia" w:ascii="仿宋" w:hAnsi="仿宋" w:eastAsia="仿宋" w:cs="仿宋"/>
          <w:color w:val="auto"/>
          <w:kern w:val="2"/>
          <w:sz w:val="21"/>
          <w:szCs w:val="21"/>
          <w:highlight w:val="none"/>
        </w:rPr>
        <w:t>，属于</w:t>
      </w:r>
      <w:r>
        <w:rPr>
          <w:rFonts w:hint="eastAsia" w:ascii="仿宋" w:hAnsi="仿宋" w:eastAsia="仿宋" w:cs="仿宋"/>
          <w:color w:val="auto"/>
          <w:kern w:val="2"/>
          <w:sz w:val="21"/>
          <w:szCs w:val="21"/>
          <w:highlight w:val="none"/>
          <w:u w:val="single"/>
        </w:rPr>
        <w:t xml:space="preserve"> （采购文件中明确的所属行业 )  </w:t>
      </w:r>
      <w:r>
        <w:rPr>
          <w:rFonts w:hint="eastAsia" w:ascii="仿宋" w:hAnsi="仿宋" w:eastAsia="仿宋" w:cs="仿宋"/>
          <w:color w:val="auto"/>
          <w:kern w:val="2"/>
          <w:sz w:val="21"/>
          <w:szCs w:val="21"/>
          <w:highlight w:val="none"/>
        </w:rPr>
        <w:t>行业;制造商为_</w:t>
      </w:r>
      <w:r>
        <w:rPr>
          <w:rFonts w:hint="eastAsia" w:ascii="仿宋" w:hAnsi="仿宋" w:eastAsia="仿宋" w:cs="仿宋"/>
          <w:color w:val="auto"/>
          <w:kern w:val="2"/>
          <w:sz w:val="21"/>
          <w:szCs w:val="21"/>
          <w:highlight w:val="none"/>
          <w:u w:val="single"/>
        </w:rPr>
        <w:t xml:space="preserve">(企业名称)   </w:t>
      </w:r>
      <w:r>
        <w:rPr>
          <w:rFonts w:hint="eastAsia" w:ascii="仿宋" w:hAnsi="仿宋" w:eastAsia="仿宋" w:cs="仿宋"/>
          <w:color w:val="auto"/>
          <w:kern w:val="2"/>
          <w:sz w:val="21"/>
          <w:szCs w:val="21"/>
          <w:highlight w:val="none"/>
        </w:rPr>
        <w:t>，从业人员____人，营业收入为____万元，资产总额为____万元，属于</w:t>
      </w:r>
      <w:r>
        <w:rPr>
          <w:rFonts w:hint="eastAsia" w:ascii="仿宋" w:hAnsi="仿宋" w:eastAsia="仿宋" w:cs="仿宋"/>
          <w:color w:val="auto"/>
          <w:kern w:val="2"/>
          <w:sz w:val="21"/>
          <w:szCs w:val="21"/>
          <w:highlight w:val="none"/>
          <w:u w:val="single"/>
        </w:rPr>
        <w:t xml:space="preserve">(中型企业、小型企业、微型企业）  </w:t>
      </w:r>
      <w:r>
        <w:rPr>
          <w:rFonts w:hint="eastAsia" w:ascii="仿宋" w:hAnsi="仿宋" w:eastAsia="仿宋" w:cs="仿宋"/>
          <w:color w:val="auto"/>
          <w:kern w:val="2"/>
          <w:sz w:val="21"/>
          <w:szCs w:val="21"/>
          <w:highlight w:val="none"/>
        </w:rPr>
        <w:t xml:space="preserve"> ；</w:t>
      </w:r>
    </w:p>
    <w:p>
      <w:pPr>
        <w:ind w:firstLine="398" w:firstLineChars="200"/>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2.</w:t>
      </w:r>
      <w:r>
        <w:rPr>
          <w:rFonts w:hint="eastAsia" w:ascii="仿宋" w:hAnsi="仿宋" w:eastAsia="仿宋" w:cs="仿宋"/>
          <w:color w:val="auto"/>
          <w:kern w:val="2"/>
          <w:sz w:val="21"/>
          <w:szCs w:val="21"/>
          <w:highlight w:val="none"/>
          <w:u w:val="single"/>
        </w:rPr>
        <w:t xml:space="preserve"> (标的名称)    </w:t>
      </w:r>
      <w:r>
        <w:rPr>
          <w:rFonts w:hint="eastAsia" w:ascii="仿宋" w:hAnsi="仿宋" w:eastAsia="仿宋" w:cs="仿宋"/>
          <w:color w:val="auto"/>
          <w:kern w:val="2"/>
          <w:sz w:val="21"/>
          <w:szCs w:val="21"/>
          <w:highlight w:val="none"/>
        </w:rPr>
        <w:t>，属于</w:t>
      </w:r>
      <w:r>
        <w:rPr>
          <w:rFonts w:hint="eastAsia" w:ascii="仿宋" w:hAnsi="仿宋" w:eastAsia="仿宋" w:cs="仿宋"/>
          <w:color w:val="auto"/>
          <w:kern w:val="2"/>
          <w:sz w:val="21"/>
          <w:szCs w:val="21"/>
          <w:highlight w:val="none"/>
          <w:u w:val="single"/>
        </w:rPr>
        <w:t xml:space="preserve"> （采购文件中明确的所属行业)   </w:t>
      </w:r>
      <w:r>
        <w:rPr>
          <w:rFonts w:hint="eastAsia" w:ascii="仿宋" w:hAnsi="仿宋" w:eastAsia="仿宋" w:cs="仿宋"/>
          <w:color w:val="auto"/>
          <w:kern w:val="2"/>
          <w:sz w:val="21"/>
          <w:szCs w:val="21"/>
          <w:highlight w:val="none"/>
        </w:rPr>
        <w:t>行业;制造商为</w:t>
      </w:r>
      <w:r>
        <w:rPr>
          <w:rFonts w:hint="eastAsia" w:ascii="仿宋" w:hAnsi="仿宋" w:eastAsia="仿宋" w:cs="仿宋"/>
          <w:color w:val="auto"/>
          <w:kern w:val="2"/>
          <w:sz w:val="21"/>
          <w:szCs w:val="21"/>
          <w:highlight w:val="none"/>
          <w:u w:val="single"/>
        </w:rPr>
        <w:t xml:space="preserve"> (企业名称)    </w:t>
      </w:r>
      <w:r>
        <w:rPr>
          <w:rFonts w:hint="eastAsia" w:ascii="仿宋" w:hAnsi="仿宋" w:eastAsia="仿宋" w:cs="仿宋"/>
          <w:color w:val="auto"/>
          <w:kern w:val="2"/>
          <w:sz w:val="21"/>
          <w:szCs w:val="21"/>
          <w:highlight w:val="none"/>
        </w:rPr>
        <w:t>，从业人员____人，营业收入为____万元，资产总额为____万元，属于</w:t>
      </w:r>
      <w:r>
        <w:rPr>
          <w:rFonts w:hint="eastAsia" w:ascii="仿宋" w:hAnsi="仿宋" w:eastAsia="仿宋" w:cs="仿宋"/>
          <w:color w:val="auto"/>
          <w:kern w:val="2"/>
          <w:sz w:val="21"/>
          <w:szCs w:val="21"/>
          <w:highlight w:val="none"/>
          <w:u w:val="single"/>
        </w:rPr>
        <w:t xml:space="preserve"> (中型企业、小型企业、微型企业）   </w:t>
      </w:r>
      <w:r>
        <w:rPr>
          <w:rFonts w:hint="eastAsia" w:ascii="仿宋" w:hAnsi="仿宋" w:eastAsia="仿宋" w:cs="仿宋"/>
          <w:color w:val="auto"/>
          <w:kern w:val="2"/>
          <w:sz w:val="21"/>
          <w:szCs w:val="21"/>
          <w:highlight w:val="none"/>
        </w:rPr>
        <w:t>；</w:t>
      </w:r>
    </w:p>
    <w:p>
      <w:pPr>
        <w:ind w:firstLine="398" w:firstLineChars="200"/>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w:t>
      </w:r>
    </w:p>
    <w:p>
      <w:pPr>
        <w:ind w:firstLine="398" w:firstLineChars="200"/>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以上企业，不属于大企业的分支机构，不存在控股股东为大企业的情形，也不存在与大企业的负责人为同一人的情形。</w:t>
      </w:r>
    </w:p>
    <w:p>
      <w:pPr>
        <w:ind w:firstLine="398" w:firstLineChars="200"/>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本企业对上述声明内容的真实性负责。如有虚假，将依法承担相应责任。</w:t>
      </w:r>
    </w:p>
    <w:p>
      <w:pPr>
        <w:ind w:firstLine="398" w:firstLineChars="200"/>
        <w:rPr>
          <w:rFonts w:hint="eastAsia" w:ascii="仿宋" w:hAnsi="仿宋" w:eastAsia="仿宋" w:cs="仿宋"/>
          <w:color w:val="auto"/>
          <w:kern w:val="2"/>
          <w:sz w:val="21"/>
          <w:szCs w:val="21"/>
          <w:highlight w:val="none"/>
        </w:rPr>
      </w:pPr>
    </w:p>
    <w:p>
      <w:pPr>
        <w:ind w:firstLine="398" w:firstLineChars="200"/>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企业名称（盖章):</w:t>
      </w:r>
    </w:p>
    <w:p>
      <w:pPr>
        <w:ind w:firstLine="398" w:firstLineChars="200"/>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日期:</w:t>
      </w:r>
    </w:p>
    <w:p>
      <w:pPr>
        <w:pStyle w:val="19"/>
        <w:rPr>
          <w:rFonts w:hint="eastAsia" w:ascii="仿宋" w:hAnsi="仿宋" w:eastAsia="仿宋" w:cs="仿宋"/>
          <w:color w:val="auto"/>
          <w:spacing w:val="0"/>
          <w:kern w:val="2"/>
          <w:sz w:val="21"/>
          <w:szCs w:val="21"/>
          <w:highlight w:val="none"/>
        </w:rPr>
      </w:pPr>
      <w:r>
        <w:rPr>
          <w:rFonts w:hint="eastAsia" w:ascii="仿宋" w:hAnsi="仿宋" w:eastAsia="仿宋" w:cs="仿宋"/>
          <w:color w:val="auto"/>
          <w:kern w:val="2"/>
          <w:sz w:val="21"/>
          <w:szCs w:val="21"/>
          <w:highlight w:val="none"/>
        </w:rPr>
        <w:t>注：</w:t>
      </w:r>
      <w:r>
        <w:rPr>
          <w:rFonts w:hint="eastAsia" w:ascii="仿宋" w:hAnsi="仿宋" w:eastAsia="仿宋" w:cs="仿宋"/>
          <w:color w:val="auto"/>
          <w:spacing w:val="0"/>
          <w:kern w:val="2"/>
          <w:sz w:val="21"/>
          <w:szCs w:val="21"/>
          <w:highlight w:val="none"/>
        </w:rPr>
        <w:t>1、从业人员、营业收入、资产总额填报上一年度数据，无上一年度数据的新成立企业可不填报。</w:t>
      </w:r>
    </w:p>
    <w:p>
      <w:pPr>
        <w:pStyle w:val="19"/>
        <w:rPr>
          <w:rFonts w:hint="eastAsia" w:ascii="仿宋" w:hAnsi="仿宋" w:eastAsia="仿宋" w:cs="仿宋"/>
          <w:color w:val="auto"/>
          <w:spacing w:val="0"/>
          <w:kern w:val="2"/>
          <w:sz w:val="21"/>
          <w:szCs w:val="21"/>
          <w:highlight w:val="none"/>
        </w:rPr>
      </w:pPr>
      <w:r>
        <w:rPr>
          <w:rFonts w:hint="eastAsia" w:ascii="仿宋" w:hAnsi="仿宋" w:eastAsia="仿宋" w:cs="仿宋"/>
          <w:color w:val="auto"/>
          <w:spacing w:val="0"/>
          <w:kern w:val="2"/>
          <w:sz w:val="21"/>
          <w:szCs w:val="21"/>
          <w:highlight w:val="none"/>
        </w:rPr>
        <w:t>2、中小企业划分标准见工业和信息化部国家统计局国家发展和改革委员财政部《关于印发中小企业划型标准规定的通知》（工信部联企业〔2011〕300 号)。</w:t>
      </w:r>
    </w:p>
    <w:p>
      <w:pPr>
        <w:rPr>
          <w:rFonts w:hint="eastAsia" w:ascii="仿宋" w:hAnsi="仿宋" w:eastAsia="仿宋" w:cs="仿宋"/>
          <w:b/>
          <w:bCs/>
          <w:color w:val="auto"/>
          <w:sz w:val="28"/>
          <w:szCs w:val="28"/>
          <w:highlight w:val="none"/>
        </w:rPr>
      </w:pPr>
      <w:r>
        <w:rPr>
          <w:rFonts w:hint="eastAsia" w:ascii="仿宋" w:hAnsi="仿宋" w:eastAsia="仿宋" w:cs="仿宋"/>
          <w:color w:val="auto"/>
          <w:spacing w:val="14"/>
          <w:sz w:val="21"/>
          <w:szCs w:val="21"/>
          <w:highlight w:val="none"/>
        </w:rPr>
        <w:br w:type="page"/>
      </w:r>
      <w:bookmarkStart w:id="177" w:name="_Toc1660865"/>
      <w:r>
        <w:rPr>
          <w:rFonts w:hint="eastAsia" w:ascii="仿宋" w:hAnsi="仿宋" w:eastAsia="仿宋" w:cs="仿宋"/>
          <w:b/>
          <w:bCs/>
          <w:color w:val="auto"/>
          <w:sz w:val="28"/>
          <w:szCs w:val="28"/>
          <w:highlight w:val="none"/>
        </w:rPr>
        <w:t>九、残疾人福利性单位声明函</w:t>
      </w:r>
      <w:bookmarkEnd w:id="177"/>
    </w:p>
    <w:p>
      <w:pPr>
        <w:jc w:val="center"/>
        <w:rPr>
          <w:rFonts w:hint="eastAsia" w:ascii="仿宋" w:hAnsi="仿宋" w:eastAsia="仿宋" w:cs="仿宋"/>
          <w:color w:val="auto"/>
          <w:spacing w:val="14"/>
          <w:sz w:val="21"/>
          <w:szCs w:val="21"/>
          <w:highlight w:val="none"/>
        </w:rPr>
      </w:pPr>
    </w:p>
    <w:p>
      <w:pPr>
        <w:jc w:val="center"/>
        <w:rPr>
          <w:rFonts w:hint="eastAsia" w:ascii="仿宋" w:hAnsi="仿宋" w:eastAsia="仿宋" w:cs="仿宋"/>
          <w:color w:val="auto"/>
          <w:spacing w:val="14"/>
          <w:sz w:val="28"/>
          <w:szCs w:val="28"/>
          <w:highlight w:val="none"/>
        </w:rPr>
      </w:pPr>
      <w:r>
        <w:rPr>
          <w:rFonts w:hint="eastAsia" w:ascii="仿宋" w:hAnsi="仿宋" w:eastAsia="仿宋" w:cs="仿宋"/>
          <w:color w:val="auto"/>
          <w:spacing w:val="14"/>
          <w:sz w:val="28"/>
          <w:szCs w:val="28"/>
          <w:highlight w:val="none"/>
        </w:rPr>
        <w:t>残疾人福利性单位声明函</w:t>
      </w:r>
    </w:p>
    <w:p>
      <w:pPr>
        <w:jc w:val="center"/>
        <w:rPr>
          <w:rFonts w:hint="eastAsia" w:ascii="仿宋" w:hAnsi="仿宋" w:eastAsia="仿宋" w:cs="仿宋"/>
          <w:color w:val="auto"/>
          <w:spacing w:val="14"/>
          <w:sz w:val="21"/>
          <w:szCs w:val="21"/>
          <w:highlight w:val="none"/>
        </w:rPr>
      </w:pPr>
    </w:p>
    <w:p>
      <w:pPr>
        <w:ind w:firstLine="420"/>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本单位郑重声明，根据《财政部 民政部 中国残疾人联合会关于促进残疾人就业政府采购政策的通知》（财库〔2017〕 141号）的规定，本单位为符合条件的残疾人福利性单位，且本单位参加__________________单位的________________________项目采购活动提供本单位制造的货物（由本单位承担工程/提供服务），或者提供其他残疾人福利性单位制造的货物（不包括使用非残疾人福利性单位注册商标的货物）。</w:t>
      </w:r>
    </w:p>
    <w:p>
      <w:pPr>
        <w:ind w:firstLine="420"/>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本单位对上述声明的真实性负责。如有虚假，将依法承担相应责任。</w:t>
      </w: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 xml:space="preserve">                                             投标人（企业电子章）：</w:t>
      </w: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 xml:space="preserve">                                        </w:t>
      </w: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pStyle w:val="5"/>
        <w:rPr>
          <w:rFonts w:hint="eastAsia" w:ascii="仿宋" w:hAnsi="仿宋" w:eastAsia="仿宋" w:cs="仿宋"/>
          <w:color w:val="auto"/>
          <w:highlight w:val="none"/>
        </w:rPr>
      </w:pPr>
      <w:bookmarkStart w:id="178" w:name="_Toc22941"/>
      <w:bookmarkStart w:id="179" w:name="_Toc1660866"/>
      <w:r>
        <w:rPr>
          <w:rFonts w:hint="eastAsia" w:ascii="仿宋" w:hAnsi="仿宋" w:eastAsia="仿宋" w:cs="仿宋"/>
          <w:color w:val="auto"/>
          <w:highlight w:val="none"/>
        </w:rPr>
        <w:t>十、监狱企业证明文件</w:t>
      </w:r>
      <w:bookmarkEnd w:id="178"/>
      <w:bookmarkEnd w:id="179"/>
    </w:p>
    <w:p>
      <w:pPr>
        <w:jc w:val="center"/>
        <w:rPr>
          <w:rFonts w:hint="eastAsia" w:ascii="仿宋" w:hAnsi="仿宋" w:eastAsia="仿宋" w:cs="仿宋"/>
          <w:color w:val="auto"/>
          <w:spacing w:val="14"/>
          <w:sz w:val="21"/>
          <w:szCs w:val="21"/>
          <w:highlight w:val="none"/>
        </w:rPr>
      </w:pPr>
    </w:p>
    <w:p>
      <w:pPr>
        <w:jc w:val="center"/>
        <w:rPr>
          <w:rFonts w:hint="eastAsia" w:ascii="仿宋" w:hAnsi="仿宋" w:eastAsia="仿宋" w:cs="仿宋"/>
          <w:color w:val="auto"/>
          <w:spacing w:val="14"/>
          <w:sz w:val="28"/>
          <w:szCs w:val="28"/>
          <w:highlight w:val="none"/>
        </w:rPr>
      </w:pPr>
      <w:r>
        <w:rPr>
          <w:rFonts w:hint="eastAsia" w:ascii="仿宋" w:hAnsi="仿宋" w:eastAsia="仿宋" w:cs="仿宋"/>
          <w:color w:val="auto"/>
          <w:spacing w:val="14"/>
          <w:sz w:val="28"/>
          <w:szCs w:val="28"/>
          <w:highlight w:val="none"/>
        </w:rPr>
        <w:t>监狱企业证明文件</w:t>
      </w:r>
    </w:p>
    <w:p>
      <w:pPr>
        <w:jc w:val="center"/>
        <w:rPr>
          <w:rFonts w:hint="eastAsia" w:ascii="仿宋" w:hAnsi="仿宋" w:eastAsia="仿宋" w:cs="仿宋"/>
          <w:color w:val="auto"/>
          <w:spacing w:val="14"/>
          <w:sz w:val="21"/>
          <w:szCs w:val="21"/>
          <w:highlight w:val="none"/>
        </w:rPr>
      </w:pPr>
    </w:p>
    <w:p>
      <w:pPr>
        <w:ind w:firstLine="420"/>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（监狱企业参加政府采购活动时，应当提供由省级以上监狱管理局、戒毒管理局(含新疆生产建设兵团)出具的属于监狱企业的证明文件。</w:t>
      </w: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r>
        <w:rPr>
          <w:rFonts w:hint="eastAsia" w:ascii="仿宋" w:hAnsi="仿宋" w:eastAsia="仿宋" w:cs="仿宋"/>
          <w:color w:val="auto"/>
          <w:spacing w:val="14"/>
          <w:sz w:val="21"/>
          <w:szCs w:val="21"/>
          <w:highlight w:val="none"/>
        </w:rPr>
        <w:t>注：在投标文件中附扫描件</w:t>
      </w: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rPr>
          <w:rFonts w:hint="eastAsia" w:ascii="仿宋" w:hAnsi="仿宋" w:eastAsia="仿宋" w:cs="仿宋"/>
          <w:color w:val="auto"/>
          <w:spacing w:val="14"/>
          <w:sz w:val="21"/>
          <w:szCs w:val="21"/>
          <w:highlight w:val="none"/>
        </w:rPr>
      </w:pPr>
    </w:p>
    <w:p>
      <w:pPr>
        <w:pStyle w:val="154"/>
        <w:ind w:firstLine="0"/>
        <w:rPr>
          <w:rFonts w:hint="eastAsia" w:ascii="仿宋" w:hAnsi="仿宋" w:eastAsia="仿宋" w:cs="仿宋"/>
          <w:color w:val="auto"/>
          <w:spacing w:val="14"/>
          <w:szCs w:val="21"/>
          <w:highlight w:val="none"/>
        </w:rPr>
        <w:sectPr>
          <w:headerReference r:id="rId9" w:type="default"/>
          <w:footerReference r:id="rId10" w:type="default"/>
          <w:pgSz w:w="11906" w:h="16838"/>
          <w:pgMar w:top="1418" w:right="1247" w:bottom="1418" w:left="1418" w:header="680" w:footer="680" w:gutter="0"/>
          <w:cols w:space="720" w:num="1"/>
          <w:docGrid w:type="linesAndChars" w:linePitch="466" w:charSpace="-2298"/>
        </w:sectPr>
      </w:pPr>
    </w:p>
    <w:p>
      <w:pPr>
        <w:pStyle w:val="5"/>
        <w:rPr>
          <w:rFonts w:hint="eastAsia" w:ascii="仿宋" w:hAnsi="仿宋" w:eastAsia="仿宋" w:cs="仿宋"/>
          <w:color w:val="auto"/>
          <w:highlight w:val="none"/>
        </w:rPr>
      </w:pPr>
      <w:bookmarkStart w:id="180" w:name="_Toc16284"/>
      <w:bookmarkStart w:id="181" w:name="_Toc1660867"/>
      <w:r>
        <w:rPr>
          <w:rFonts w:hint="eastAsia" w:ascii="仿宋" w:hAnsi="仿宋" w:eastAsia="仿宋" w:cs="仿宋"/>
          <w:color w:val="auto"/>
          <w:highlight w:val="none"/>
        </w:rPr>
        <w:t>十一、技术要求响应与偏差表</w:t>
      </w:r>
      <w:bookmarkEnd w:id="180"/>
      <w:bookmarkEnd w:id="181"/>
    </w:p>
    <w:p>
      <w:pPr>
        <w:pStyle w:val="154"/>
        <w:ind w:firstLine="0"/>
        <w:jc w:val="center"/>
        <w:rPr>
          <w:rFonts w:hint="eastAsia" w:ascii="仿宋" w:hAnsi="仿宋" w:eastAsia="仿宋" w:cs="仿宋"/>
          <w:color w:val="auto"/>
          <w:spacing w:val="14"/>
          <w:szCs w:val="21"/>
          <w:highlight w:val="none"/>
        </w:rPr>
      </w:pPr>
    </w:p>
    <w:p>
      <w:pPr>
        <w:jc w:val="center"/>
        <w:rPr>
          <w:rFonts w:hint="eastAsia" w:ascii="仿宋" w:hAnsi="仿宋" w:eastAsia="仿宋" w:cs="仿宋"/>
          <w:b/>
          <w:bCs/>
          <w:color w:val="auto"/>
          <w:spacing w:val="14"/>
          <w:sz w:val="21"/>
          <w:szCs w:val="21"/>
          <w:highlight w:val="none"/>
        </w:rPr>
      </w:pPr>
      <w:r>
        <w:rPr>
          <w:rFonts w:hint="eastAsia" w:ascii="仿宋" w:hAnsi="仿宋" w:eastAsia="仿宋" w:cs="仿宋"/>
          <w:b/>
          <w:bCs/>
          <w:color w:val="auto"/>
          <w:spacing w:val="14"/>
          <w:sz w:val="21"/>
          <w:szCs w:val="21"/>
          <w:highlight w:val="none"/>
        </w:rPr>
        <w:t>技术要求响应与偏差表</w:t>
      </w:r>
    </w:p>
    <w:p>
      <w:pPr>
        <w:pStyle w:val="154"/>
        <w:ind w:firstLine="0"/>
        <w:jc w:val="center"/>
        <w:rPr>
          <w:rFonts w:hint="eastAsia" w:ascii="仿宋" w:hAnsi="仿宋" w:eastAsia="仿宋" w:cs="仿宋"/>
          <w:color w:val="auto"/>
          <w:spacing w:val="14"/>
          <w:szCs w:val="21"/>
          <w:highlight w:val="none"/>
        </w:rPr>
      </w:pPr>
    </w:p>
    <w:tbl>
      <w:tblPr>
        <w:tblStyle w:val="62"/>
        <w:tblW w:w="8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1087"/>
        <w:gridCol w:w="1050"/>
        <w:gridCol w:w="919"/>
        <w:gridCol w:w="787"/>
        <w:gridCol w:w="1430"/>
        <w:gridCol w:w="858"/>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Merge w:val="restart"/>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1087" w:type="dxa"/>
            <w:vMerge w:val="restart"/>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货物名称</w:t>
            </w:r>
          </w:p>
        </w:tc>
        <w:tc>
          <w:tcPr>
            <w:tcW w:w="1050" w:type="dxa"/>
            <w:vMerge w:val="restart"/>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招标文件技术要求技术参数</w:t>
            </w:r>
          </w:p>
        </w:tc>
        <w:tc>
          <w:tcPr>
            <w:tcW w:w="3136" w:type="dxa"/>
            <w:gridSpan w:val="3"/>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投标产品</w:t>
            </w:r>
          </w:p>
        </w:tc>
        <w:tc>
          <w:tcPr>
            <w:tcW w:w="858" w:type="dxa"/>
            <w:vMerge w:val="restart"/>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偏差描述</w:t>
            </w:r>
          </w:p>
        </w:tc>
        <w:tc>
          <w:tcPr>
            <w:tcW w:w="1130" w:type="dxa"/>
            <w:vMerge w:val="restart"/>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Merge w:val="continue"/>
            <w:vAlign w:val="center"/>
          </w:tcPr>
          <w:p>
            <w:pPr>
              <w:jc w:val="center"/>
              <w:rPr>
                <w:rFonts w:hint="eastAsia" w:ascii="仿宋" w:hAnsi="仿宋" w:eastAsia="仿宋" w:cs="仿宋"/>
                <w:color w:val="auto"/>
                <w:sz w:val="21"/>
                <w:szCs w:val="21"/>
                <w:highlight w:val="none"/>
              </w:rPr>
            </w:pPr>
          </w:p>
        </w:tc>
        <w:tc>
          <w:tcPr>
            <w:tcW w:w="1087" w:type="dxa"/>
            <w:vMerge w:val="continue"/>
            <w:vAlign w:val="center"/>
          </w:tcPr>
          <w:p>
            <w:pPr>
              <w:jc w:val="center"/>
              <w:rPr>
                <w:rFonts w:hint="eastAsia" w:ascii="仿宋" w:hAnsi="仿宋" w:eastAsia="仿宋" w:cs="仿宋"/>
                <w:color w:val="auto"/>
                <w:sz w:val="21"/>
                <w:szCs w:val="21"/>
                <w:highlight w:val="none"/>
              </w:rPr>
            </w:pPr>
          </w:p>
        </w:tc>
        <w:tc>
          <w:tcPr>
            <w:tcW w:w="1050" w:type="dxa"/>
            <w:vMerge w:val="continue"/>
            <w:vAlign w:val="center"/>
          </w:tcPr>
          <w:p>
            <w:pPr>
              <w:jc w:val="center"/>
              <w:rPr>
                <w:rFonts w:hint="eastAsia" w:ascii="仿宋" w:hAnsi="仿宋" w:eastAsia="仿宋" w:cs="仿宋"/>
                <w:color w:val="auto"/>
                <w:sz w:val="21"/>
                <w:szCs w:val="21"/>
                <w:highlight w:val="none"/>
              </w:rPr>
            </w:pPr>
          </w:p>
        </w:tc>
        <w:tc>
          <w:tcPr>
            <w:tcW w:w="919" w:type="dxa"/>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制造商名称</w:t>
            </w:r>
          </w:p>
        </w:tc>
        <w:tc>
          <w:tcPr>
            <w:tcW w:w="787" w:type="dxa"/>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品牌规格型号</w:t>
            </w:r>
          </w:p>
        </w:tc>
        <w:tc>
          <w:tcPr>
            <w:tcW w:w="1430" w:type="dxa"/>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产品实际技术参数</w:t>
            </w:r>
          </w:p>
        </w:tc>
        <w:tc>
          <w:tcPr>
            <w:tcW w:w="858" w:type="dxa"/>
            <w:vMerge w:val="continue"/>
            <w:vAlign w:val="center"/>
          </w:tcPr>
          <w:p>
            <w:pPr>
              <w:jc w:val="center"/>
              <w:rPr>
                <w:rFonts w:hint="eastAsia" w:ascii="仿宋" w:hAnsi="仿宋" w:eastAsia="仿宋" w:cs="仿宋"/>
                <w:color w:val="auto"/>
                <w:sz w:val="21"/>
                <w:szCs w:val="21"/>
                <w:highlight w:val="none"/>
              </w:rPr>
            </w:pPr>
          </w:p>
        </w:tc>
        <w:tc>
          <w:tcPr>
            <w:tcW w:w="1130" w:type="dxa"/>
            <w:vMerge w:val="continue"/>
            <w:vAlign w:val="center"/>
          </w:tcPr>
          <w:p>
            <w:pPr>
              <w:jc w:val="cente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tcPr>
          <w:p>
            <w:pPr>
              <w:rPr>
                <w:rFonts w:hint="eastAsia" w:ascii="仿宋" w:hAnsi="仿宋" w:eastAsia="仿宋" w:cs="仿宋"/>
                <w:color w:val="auto"/>
                <w:sz w:val="21"/>
                <w:szCs w:val="21"/>
                <w:highlight w:val="none"/>
              </w:rPr>
            </w:pPr>
          </w:p>
        </w:tc>
        <w:tc>
          <w:tcPr>
            <w:tcW w:w="1087" w:type="dxa"/>
          </w:tcPr>
          <w:p>
            <w:pPr>
              <w:rPr>
                <w:rFonts w:hint="eastAsia" w:ascii="仿宋" w:hAnsi="仿宋" w:eastAsia="仿宋" w:cs="仿宋"/>
                <w:color w:val="auto"/>
                <w:sz w:val="21"/>
                <w:szCs w:val="21"/>
                <w:highlight w:val="none"/>
              </w:rPr>
            </w:pPr>
          </w:p>
        </w:tc>
        <w:tc>
          <w:tcPr>
            <w:tcW w:w="1050" w:type="dxa"/>
          </w:tcPr>
          <w:p>
            <w:pPr>
              <w:rPr>
                <w:rFonts w:hint="eastAsia" w:ascii="仿宋" w:hAnsi="仿宋" w:eastAsia="仿宋" w:cs="仿宋"/>
                <w:color w:val="auto"/>
                <w:sz w:val="21"/>
                <w:szCs w:val="21"/>
                <w:highlight w:val="none"/>
              </w:rPr>
            </w:pPr>
          </w:p>
        </w:tc>
        <w:tc>
          <w:tcPr>
            <w:tcW w:w="919" w:type="dxa"/>
          </w:tcPr>
          <w:p>
            <w:pPr>
              <w:rPr>
                <w:rFonts w:hint="eastAsia" w:ascii="仿宋" w:hAnsi="仿宋" w:eastAsia="仿宋" w:cs="仿宋"/>
                <w:color w:val="auto"/>
                <w:sz w:val="21"/>
                <w:szCs w:val="21"/>
                <w:highlight w:val="none"/>
              </w:rPr>
            </w:pPr>
          </w:p>
        </w:tc>
        <w:tc>
          <w:tcPr>
            <w:tcW w:w="787" w:type="dxa"/>
          </w:tcPr>
          <w:p>
            <w:pPr>
              <w:rPr>
                <w:rFonts w:hint="eastAsia" w:ascii="仿宋" w:hAnsi="仿宋" w:eastAsia="仿宋" w:cs="仿宋"/>
                <w:color w:val="auto"/>
                <w:sz w:val="21"/>
                <w:szCs w:val="21"/>
                <w:highlight w:val="none"/>
              </w:rPr>
            </w:pPr>
          </w:p>
        </w:tc>
        <w:tc>
          <w:tcPr>
            <w:tcW w:w="1430" w:type="dxa"/>
          </w:tcPr>
          <w:p>
            <w:pPr>
              <w:rPr>
                <w:rFonts w:hint="eastAsia" w:ascii="仿宋" w:hAnsi="仿宋" w:eastAsia="仿宋" w:cs="仿宋"/>
                <w:color w:val="auto"/>
                <w:sz w:val="21"/>
                <w:szCs w:val="21"/>
                <w:highlight w:val="none"/>
              </w:rPr>
            </w:pPr>
          </w:p>
        </w:tc>
        <w:tc>
          <w:tcPr>
            <w:tcW w:w="858" w:type="dxa"/>
          </w:tcPr>
          <w:p>
            <w:pPr>
              <w:rPr>
                <w:rFonts w:hint="eastAsia" w:ascii="仿宋" w:hAnsi="仿宋" w:eastAsia="仿宋" w:cs="仿宋"/>
                <w:color w:val="auto"/>
                <w:sz w:val="21"/>
                <w:szCs w:val="21"/>
                <w:highlight w:val="none"/>
              </w:rPr>
            </w:pPr>
          </w:p>
        </w:tc>
        <w:tc>
          <w:tcPr>
            <w:tcW w:w="1130" w:type="dxa"/>
          </w:tcPr>
          <w:p>
            <w:pP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tcPr>
          <w:p>
            <w:pPr>
              <w:rPr>
                <w:rFonts w:hint="eastAsia" w:ascii="仿宋" w:hAnsi="仿宋" w:eastAsia="仿宋" w:cs="仿宋"/>
                <w:color w:val="auto"/>
                <w:sz w:val="21"/>
                <w:szCs w:val="21"/>
                <w:highlight w:val="none"/>
              </w:rPr>
            </w:pPr>
          </w:p>
        </w:tc>
        <w:tc>
          <w:tcPr>
            <w:tcW w:w="1087" w:type="dxa"/>
          </w:tcPr>
          <w:p>
            <w:pPr>
              <w:rPr>
                <w:rFonts w:hint="eastAsia" w:ascii="仿宋" w:hAnsi="仿宋" w:eastAsia="仿宋" w:cs="仿宋"/>
                <w:color w:val="auto"/>
                <w:sz w:val="21"/>
                <w:szCs w:val="21"/>
                <w:highlight w:val="none"/>
              </w:rPr>
            </w:pPr>
          </w:p>
        </w:tc>
        <w:tc>
          <w:tcPr>
            <w:tcW w:w="1050" w:type="dxa"/>
          </w:tcPr>
          <w:p>
            <w:pPr>
              <w:rPr>
                <w:rFonts w:hint="eastAsia" w:ascii="仿宋" w:hAnsi="仿宋" w:eastAsia="仿宋" w:cs="仿宋"/>
                <w:color w:val="auto"/>
                <w:sz w:val="21"/>
                <w:szCs w:val="21"/>
                <w:highlight w:val="none"/>
              </w:rPr>
            </w:pPr>
          </w:p>
        </w:tc>
        <w:tc>
          <w:tcPr>
            <w:tcW w:w="919" w:type="dxa"/>
          </w:tcPr>
          <w:p>
            <w:pPr>
              <w:rPr>
                <w:rFonts w:hint="eastAsia" w:ascii="仿宋" w:hAnsi="仿宋" w:eastAsia="仿宋" w:cs="仿宋"/>
                <w:color w:val="auto"/>
                <w:sz w:val="21"/>
                <w:szCs w:val="21"/>
                <w:highlight w:val="none"/>
              </w:rPr>
            </w:pPr>
          </w:p>
        </w:tc>
        <w:tc>
          <w:tcPr>
            <w:tcW w:w="787" w:type="dxa"/>
          </w:tcPr>
          <w:p>
            <w:pPr>
              <w:rPr>
                <w:rFonts w:hint="eastAsia" w:ascii="仿宋" w:hAnsi="仿宋" w:eastAsia="仿宋" w:cs="仿宋"/>
                <w:color w:val="auto"/>
                <w:sz w:val="21"/>
                <w:szCs w:val="21"/>
                <w:highlight w:val="none"/>
              </w:rPr>
            </w:pPr>
          </w:p>
        </w:tc>
        <w:tc>
          <w:tcPr>
            <w:tcW w:w="1430" w:type="dxa"/>
          </w:tcPr>
          <w:p>
            <w:pPr>
              <w:rPr>
                <w:rFonts w:hint="eastAsia" w:ascii="仿宋" w:hAnsi="仿宋" w:eastAsia="仿宋" w:cs="仿宋"/>
                <w:color w:val="auto"/>
                <w:sz w:val="21"/>
                <w:szCs w:val="21"/>
                <w:highlight w:val="none"/>
              </w:rPr>
            </w:pPr>
          </w:p>
        </w:tc>
        <w:tc>
          <w:tcPr>
            <w:tcW w:w="858" w:type="dxa"/>
          </w:tcPr>
          <w:p>
            <w:pPr>
              <w:rPr>
                <w:rFonts w:hint="eastAsia" w:ascii="仿宋" w:hAnsi="仿宋" w:eastAsia="仿宋" w:cs="仿宋"/>
                <w:color w:val="auto"/>
                <w:sz w:val="21"/>
                <w:szCs w:val="21"/>
                <w:highlight w:val="none"/>
              </w:rPr>
            </w:pPr>
          </w:p>
        </w:tc>
        <w:tc>
          <w:tcPr>
            <w:tcW w:w="1130" w:type="dxa"/>
          </w:tcPr>
          <w:p>
            <w:pP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tcPr>
          <w:p>
            <w:pPr>
              <w:rPr>
                <w:rFonts w:hint="eastAsia" w:ascii="仿宋" w:hAnsi="仿宋" w:eastAsia="仿宋" w:cs="仿宋"/>
                <w:color w:val="auto"/>
                <w:sz w:val="21"/>
                <w:szCs w:val="21"/>
                <w:highlight w:val="none"/>
              </w:rPr>
            </w:pPr>
          </w:p>
        </w:tc>
        <w:tc>
          <w:tcPr>
            <w:tcW w:w="1087" w:type="dxa"/>
          </w:tcPr>
          <w:p>
            <w:pPr>
              <w:rPr>
                <w:rFonts w:hint="eastAsia" w:ascii="仿宋" w:hAnsi="仿宋" w:eastAsia="仿宋" w:cs="仿宋"/>
                <w:color w:val="auto"/>
                <w:sz w:val="21"/>
                <w:szCs w:val="21"/>
                <w:highlight w:val="none"/>
              </w:rPr>
            </w:pPr>
          </w:p>
        </w:tc>
        <w:tc>
          <w:tcPr>
            <w:tcW w:w="1050" w:type="dxa"/>
          </w:tcPr>
          <w:p>
            <w:pPr>
              <w:rPr>
                <w:rFonts w:hint="eastAsia" w:ascii="仿宋" w:hAnsi="仿宋" w:eastAsia="仿宋" w:cs="仿宋"/>
                <w:color w:val="auto"/>
                <w:sz w:val="21"/>
                <w:szCs w:val="21"/>
                <w:highlight w:val="none"/>
              </w:rPr>
            </w:pPr>
          </w:p>
        </w:tc>
        <w:tc>
          <w:tcPr>
            <w:tcW w:w="919" w:type="dxa"/>
          </w:tcPr>
          <w:p>
            <w:pPr>
              <w:rPr>
                <w:rFonts w:hint="eastAsia" w:ascii="仿宋" w:hAnsi="仿宋" w:eastAsia="仿宋" w:cs="仿宋"/>
                <w:color w:val="auto"/>
                <w:sz w:val="21"/>
                <w:szCs w:val="21"/>
                <w:highlight w:val="none"/>
              </w:rPr>
            </w:pPr>
          </w:p>
        </w:tc>
        <w:tc>
          <w:tcPr>
            <w:tcW w:w="787" w:type="dxa"/>
          </w:tcPr>
          <w:p>
            <w:pPr>
              <w:rPr>
                <w:rFonts w:hint="eastAsia" w:ascii="仿宋" w:hAnsi="仿宋" w:eastAsia="仿宋" w:cs="仿宋"/>
                <w:color w:val="auto"/>
                <w:sz w:val="21"/>
                <w:szCs w:val="21"/>
                <w:highlight w:val="none"/>
              </w:rPr>
            </w:pPr>
          </w:p>
        </w:tc>
        <w:tc>
          <w:tcPr>
            <w:tcW w:w="1430" w:type="dxa"/>
          </w:tcPr>
          <w:p>
            <w:pPr>
              <w:rPr>
                <w:rFonts w:hint="eastAsia" w:ascii="仿宋" w:hAnsi="仿宋" w:eastAsia="仿宋" w:cs="仿宋"/>
                <w:color w:val="auto"/>
                <w:sz w:val="21"/>
                <w:szCs w:val="21"/>
                <w:highlight w:val="none"/>
              </w:rPr>
            </w:pPr>
          </w:p>
        </w:tc>
        <w:tc>
          <w:tcPr>
            <w:tcW w:w="858" w:type="dxa"/>
          </w:tcPr>
          <w:p>
            <w:pPr>
              <w:rPr>
                <w:rFonts w:hint="eastAsia" w:ascii="仿宋" w:hAnsi="仿宋" w:eastAsia="仿宋" w:cs="仿宋"/>
                <w:color w:val="auto"/>
                <w:sz w:val="21"/>
                <w:szCs w:val="21"/>
                <w:highlight w:val="none"/>
              </w:rPr>
            </w:pPr>
          </w:p>
        </w:tc>
        <w:tc>
          <w:tcPr>
            <w:tcW w:w="1130" w:type="dxa"/>
          </w:tcPr>
          <w:p>
            <w:pP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tcPr>
          <w:p>
            <w:pPr>
              <w:rPr>
                <w:rFonts w:hint="eastAsia" w:ascii="仿宋" w:hAnsi="仿宋" w:eastAsia="仿宋" w:cs="仿宋"/>
                <w:color w:val="auto"/>
                <w:sz w:val="21"/>
                <w:szCs w:val="21"/>
                <w:highlight w:val="none"/>
              </w:rPr>
            </w:pPr>
          </w:p>
        </w:tc>
        <w:tc>
          <w:tcPr>
            <w:tcW w:w="1087" w:type="dxa"/>
          </w:tcPr>
          <w:p>
            <w:pPr>
              <w:rPr>
                <w:rFonts w:hint="eastAsia" w:ascii="仿宋" w:hAnsi="仿宋" w:eastAsia="仿宋" w:cs="仿宋"/>
                <w:color w:val="auto"/>
                <w:sz w:val="21"/>
                <w:szCs w:val="21"/>
                <w:highlight w:val="none"/>
              </w:rPr>
            </w:pPr>
          </w:p>
        </w:tc>
        <w:tc>
          <w:tcPr>
            <w:tcW w:w="1050" w:type="dxa"/>
          </w:tcPr>
          <w:p>
            <w:pPr>
              <w:rPr>
                <w:rFonts w:hint="eastAsia" w:ascii="仿宋" w:hAnsi="仿宋" w:eastAsia="仿宋" w:cs="仿宋"/>
                <w:color w:val="auto"/>
                <w:sz w:val="21"/>
                <w:szCs w:val="21"/>
                <w:highlight w:val="none"/>
              </w:rPr>
            </w:pPr>
          </w:p>
        </w:tc>
        <w:tc>
          <w:tcPr>
            <w:tcW w:w="919" w:type="dxa"/>
          </w:tcPr>
          <w:p>
            <w:pPr>
              <w:rPr>
                <w:rFonts w:hint="eastAsia" w:ascii="仿宋" w:hAnsi="仿宋" w:eastAsia="仿宋" w:cs="仿宋"/>
                <w:color w:val="auto"/>
                <w:sz w:val="21"/>
                <w:szCs w:val="21"/>
                <w:highlight w:val="none"/>
              </w:rPr>
            </w:pPr>
          </w:p>
        </w:tc>
        <w:tc>
          <w:tcPr>
            <w:tcW w:w="787" w:type="dxa"/>
          </w:tcPr>
          <w:p>
            <w:pPr>
              <w:rPr>
                <w:rFonts w:hint="eastAsia" w:ascii="仿宋" w:hAnsi="仿宋" w:eastAsia="仿宋" w:cs="仿宋"/>
                <w:color w:val="auto"/>
                <w:sz w:val="21"/>
                <w:szCs w:val="21"/>
                <w:highlight w:val="none"/>
              </w:rPr>
            </w:pPr>
          </w:p>
        </w:tc>
        <w:tc>
          <w:tcPr>
            <w:tcW w:w="1430" w:type="dxa"/>
          </w:tcPr>
          <w:p>
            <w:pPr>
              <w:rPr>
                <w:rFonts w:hint="eastAsia" w:ascii="仿宋" w:hAnsi="仿宋" w:eastAsia="仿宋" w:cs="仿宋"/>
                <w:color w:val="auto"/>
                <w:sz w:val="21"/>
                <w:szCs w:val="21"/>
                <w:highlight w:val="none"/>
              </w:rPr>
            </w:pPr>
          </w:p>
        </w:tc>
        <w:tc>
          <w:tcPr>
            <w:tcW w:w="858" w:type="dxa"/>
          </w:tcPr>
          <w:p>
            <w:pPr>
              <w:rPr>
                <w:rFonts w:hint="eastAsia" w:ascii="仿宋" w:hAnsi="仿宋" w:eastAsia="仿宋" w:cs="仿宋"/>
                <w:color w:val="auto"/>
                <w:sz w:val="21"/>
                <w:szCs w:val="21"/>
                <w:highlight w:val="none"/>
              </w:rPr>
            </w:pPr>
          </w:p>
        </w:tc>
        <w:tc>
          <w:tcPr>
            <w:tcW w:w="1130" w:type="dxa"/>
          </w:tcPr>
          <w:p>
            <w:pPr>
              <w:rPr>
                <w:rFonts w:hint="eastAsia" w:ascii="仿宋" w:hAnsi="仿宋" w:eastAsia="仿宋" w:cs="仿宋"/>
                <w:color w:val="auto"/>
                <w:sz w:val="21"/>
                <w:szCs w:val="21"/>
                <w:highlight w:val="none"/>
              </w:rPr>
            </w:pPr>
          </w:p>
        </w:tc>
      </w:tr>
    </w:tbl>
    <w:p>
      <w:pPr>
        <w:pStyle w:val="154"/>
        <w:ind w:firstLine="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 xml:space="preserve">投标人（企业电子章）：                                           </w:t>
      </w:r>
    </w:p>
    <w:p>
      <w:pPr>
        <w:pStyle w:val="154"/>
        <w:ind w:firstLine="0"/>
        <w:rPr>
          <w:rFonts w:hint="eastAsia" w:ascii="仿宋" w:hAnsi="仿宋" w:eastAsia="仿宋" w:cs="仿宋"/>
          <w:color w:val="auto"/>
          <w:spacing w:val="14"/>
          <w:szCs w:val="21"/>
          <w:highlight w:val="none"/>
        </w:rPr>
      </w:pPr>
    </w:p>
    <w:p>
      <w:pPr>
        <w:pStyle w:val="154"/>
        <w:ind w:firstLine="0"/>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注：</w:t>
      </w:r>
    </w:p>
    <w:p>
      <w:pPr>
        <w:numPr>
          <w:ilvl w:val="0"/>
          <w:numId w:val="0"/>
        </w:numPr>
        <w:rPr>
          <w:rFonts w:hint="default" w:ascii="仿宋" w:hAnsi="仿宋" w:eastAsia="仿宋" w:cs="仿宋"/>
          <w:color w:val="auto"/>
          <w:highlight w:val="none"/>
          <w:lang w:val="en-US" w:eastAsia="zh-CN"/>
        </w:rPr>
      </w:pPr>
      <w:r>
        <w:rPr>
          <w:rFonts w:hint="default" w:ascii="仿宋" w:hAnsi="仿宋" w:eastAsia="仿宋" w:cs="仿宋"/>
          <w:color w:val="auto"/>
          <w:highlight w:val="none"/>
          <w:lang w:val="en-US" w:eastAsia="zh-CN" w:bidi="ar-SA"/>
        </w:rPr>
        <w:t>1、</w:t>
      </w:r>
      <w:r>
        <w:rPr>
          <w:rFonts w:hint="default" w:ascii="仿宋" w:hAnsi="仿宋" w:eastAsia="仿宋" w:cs="仿宋"/>
          <w:color w:val="auto"/>
          <w:highlight w:val="none"/>
          <w:lang w:val="en-US" w:eastAsia="zh-CN"/>
        </w:rPr>
        <w:t>投标人应根据招标要求逐条逐项表述说明投标响应情况。</w:t>
      </w:r>
    </w:p>
    <w:p>
      <w:pPr>
        <w:numPr>
          <w:ilvl w:val="0"/>
          <w:numId w:val="0"/>
        </w:numPr>
        <w:rPr>
          <w:rFonts w:hint="default" w:ascii="仿宋" w:hAnsi="仿宋" w:eastAsia="仿宋" w:cs="仿宋"/>
          <w:color w:val="auto"/>
          <w:highlight w:val="none"/>
          <w:lang w:val="en-US" w:eastAsia="zh-CN"/>
        </w:rPr>
      </w:pPr>
      <w:r>
        <w:rPr>
          <w:rFonts w:hint="default" w:ascii="仿宋" w:hAnsi="仿宋" w:eastAsia="仿宋" w:cs="仿宋"/>
          <w:color w:val="auto"/>
          <w:highlight w:val="none"/>
          <w:lang w:val="en-US" w:eastAsia="zh-CN" w:bidi="ar-SA"/>
        </w:rPr>
        <w:t>2、</w:t>
      </w:r>
      <w:r>
        <w:rPr>
          <w:rFonts w:hint="default" w:ascii="仿宋" w:hAnsi="仿宋" w:eastAsia="仿宋" w:cs="仿宋"/>
          <w:color w:val="auto"/>
          <w:highlight w:val="none"/>
          <w:lang w:val="en-US" w:eastAsia="zh-CN"/>
        </w:rPr>
        <w:t>投标人提交的投标文件中的技术参数与招标文件的技术要求、技术参数不同时，应逐条逐项如实填列在偏离表中。投标人不如实填写偏离情况、存在弄虚作假行为的，将依法承担相应的法律责任。</w:t>
      </w:r>
    </w:p>
    <w:p>
      <w:pPr>
        <w:numPr>
          <w:ilvl w:val="0"/>
          <w:numId w:val="0"/>
        </w:numPr>
        <w:rPr>
          <w:rFonts w:hint="default" w:ascii="仿宋" w:hAnsi="仿宋" w:eastAsia="仿宋" w:cs="仿宋"/>
          <w:color w:val="auto"/>
          <w:highlight w:val="none"/>
          <w:lang w:val="en-US" w:eastAsia="zh-CN"/>
        </w:rPr>
      </w:pPr>
      <w:r>
        <w:rPr>
          <w:rFonts w:hint="default" w:ascii="仿宋" w:hAnsi="仿宋" w:eastAsia="仿宋" w:cs="仿宋"/>
          <w:color w:val="auto"/>
          <w:highlight w:val="none"/>
          <w:lang w:val="en-US" w:eastAsia="zh-CN" w:bidi="ar-SA"/>
        </w:rPr>
        <w:t>3、</w:t>
      </w:r>
      <w:r>
        <w:rPr>
          <w:rFonts w:hint="default" w:ascii="仿宋" w:hAnsi="仿宋" w:eastAsia="仿宋" w:cs="仿宋"/>
          <w:color w:val="auto"/>
          <w:highlight w:val="none"/>
          <w:lang w:val="en-US" w:eastAsia="zh-CN"/>
        </w:rPr>
        <w:t>投标人应结合所投产品说明或描述其实际技术参数和性能。如果完全复制粘贴本招标文件《招标货物清单及技术要求》之技术参数和性能描述，或者只注明“符合”、“满足”等类似无具体内容的表述，因此而产生的不利于投标人的评审风险由投标人自行承担。</w:t>
      </w:r>
    </w:p>
    <w:p>
      <w:pPr>
        <w:numPr>
          <w:ilvl w:val="0"/>
          <w:numId w:val="0"/>
        </w:numPr>
        <w:rPr>
          <w:rFonts w:hint="default" w:ascii="仿宋" w:hAnsi="仿宋" w:eastAsia="仿宋" w:cs="仿宋"/>
          <w:color w:val="auto"/>
          <w:highlight w:val="none"/>
          <w:lang w:val="en-US" w:eastAsia="zh-CN"/>
        </w:rPr>
      </w:pPr>
      <w:r>
        <w:rPr>
          <w:rFonts w:hint="default" w:ascii="仿宋" w:hAnsi="仿宋" w:eastAsia="仿宋" w:cs="仿宋"/>
          <w:color w:val="auto"/>
          <w:highlight w:val="none"/>
          <w:lang w:val="en-US" w:eastAsia="zh-CN" w:bidi="ar-SA"/>
        </w:rPr>
        <w:t>4、</w:t>
      </w:r>
      <w:r>
        <w:rPr>
          <w:rFonts w:hint="default" w:ascii="仿宋" w:hAnsi="仿宋" w:eastAsia="仿宋" w:cs="仿宋"/>
          <w:color w:val="auto"/>
          <w:highlight w:val="none"/>
          <w:lang w:val="en-US" w:eastAsia="zh-CN"/>
        </w:rPr>
        <w:t>项目中标后，招标人有权要求中标单位提供相关技术客观证明资料，包括但不限于权威机构出具的检测报告，技术白皮书，公开印刷的客观宣传资料等，如不能提供的，可取消其中标资格。</w:t>
      </w:r>
    </w:p>
    <w:p>
      <w:pPr>
        <w:numPr>
          <w:ilvl w:val="0"/>
          <w:numId w:val="0"/>
        </w:numPr>
        <w:rPr>
          <w:rFonts w:hint="default" w:ascii="仿宋" w:hAnsi="仿宋" w:eastAsia="仿宋" w:cs="仿宋"/>
          <w:color w:val="auto"/>
          <w:highlight w:val="none"/>
          <w:lang w:val="en-US" w:eastAsia="zh-CN"/>
        </w:rPr>
      </w:pPr>
      <w:r>
        <w:rPr>
          <w:rFonts w:hint="default" w:ascii="仿宋" w:hAnsi="仿宋" w:eastAsia="仿宋" w:cs="仿宋"/>
          <w:color w:val="auto"/>
          <w:highlight w:val="none"/>
          <w:lang w:val="en-US" w:eastAsia="zh-CN" w:bidi="ar-SA"/>
        </w:rPr>
        <w:t>5、</w:t>
      </w:r>
      <w:r>
        <w:rPr>
          <w:rFonts w:hint="default" w:ascii="仿宋" w:hAnsi="仿宋" w:eastAsia="仿宋" w:cs="仿宋"/>
          <w:color w:val="auto"/>
          <w:highlight w:val="none"/>
          <w:lang w:val="en-US" w:eastAsia="zh-CN"/>
        </w:rPr>
        <w:t>投标人可根据需要自行增减表格行数。</w:t>
      </w:r>
    </w:p>
    <w:p>
      <w:pPr>
        <w:pStyle w:val="154"/>
        <w:ind w:firstLine="0"/>
        <w:rPr>
          <w:rStyle w:val="78"/>
          <w:rFonts w:hint="eastAsia" w:ascii="仿宋" w:hAnsi="仿宋" w:eastAsia="仿宋" w:cs="仿宋"/>
          <w:color w:val="auto"/>
          <w:highlight w:val="none"/>
        </w:rPr>
      </w:pPr>
    </w:p>
    <w:p>
      <w:pPr>
        <w:pStyle w:val="154"/>
        <w:ind w:firstLine="0"/>
        <w:rPr>
          <w:rStyle w:val="78"/>
          <w:rFonts w:hint="eastAsia" w:ascii="仿宋" w:hAnsi="仿宋" w:eastAsia="仿宋" w:cs="仿宋"/>
          <w:color w:val="auto"/>
          <w:highlight w:val="none"/>
        </w:rPr>
      </w:pPr>
    </w:p>
    <w:p>
      <w:pPr>
        <w:pStyle w:val="154"/>
        <w:ind w:firstLine="0"/>
        <w:rPr>
          <w:rStyle w:val="78"/>
          <w:rFonts w:hint="eastAsia" w:ascii="仿宋" w:hAnsi="仿宋" w:eastAsia="仿宋" w:cs="仿宋"/>
          <w:color w:val="auto"/>
          <w:highlight w:val="none"/>
        </w:rPr>
      </w:pPr>
    </w:p>
    <w:p>
      <w:pPr>
        <w:pStyle w:val="5"/>
        <w:rPr>
          <w:rFonts w:hint="eastAsia" w:ascii="仿宋" w:hAnsi="仿宋" w:eastAsia="仿宋" w:cs="仿宋"/>
          <w:color w:val="auto"/>
          <w:highlight w:val="none"/>
        </w:rPr>
      </w:pPr>
      <w:bookmarkStart w:id="182" w:name="_Toc1660868"/>
      <w:r>
        <w:rPr>
          <w:rFonts w:hint="eastAsia" w:ascii="仿宋" w:hAnsi="仿宋" w:eastAsia="仿宋" w:cs="仿宋"/>
          <w:color w:val="auto"/>
          <w:highlight w:val="none"/>
        </w:rPr>
        <w:br w:type="page"/>
      </w:r>
      <w:bookmarkStart w:id="183" w:name="_Toc31726"/>
      <w:r>
        <w:rPr>
          <w:rFonts w:hint="eastAsia" w:ascii="仿宋" w:hAnsi="仿宋" w:eastAsia="仿宋" w:cs="仿宋"/>
          <w:color w:val="auto"/>
          <w:highlight w:val="none"/>
        </w:rPr>
        <w:t>十二、商务要求响应与偏差表</w:t>
      </w:r>
      <w:bookmarkEnd w:id="182"/>
      <w:bookmarkEnd w:id="183"/>
    </w:p>
    <w:p>
      <w:pPr>
        <w:pStyle w:val="154"/>
        <w:ind w:firstLine="0"/>
        <w:jc w:val="center"/>
        <w:rPr>
          <w:rFonts w:hint="eastAsia" w:ascii="仿宋" w:hAnsi="仿宋" w:eastAsia="仿宋" w:cs="仿宋"/>
          <w:color w:val="auto"/>
          <w:szCs w:val="21"/>
          <w:highlight w:val="none"/>
        </w:rPr>
      </w:pPr>
    </w:p>
    <w:p>
      <w:pPr>
        <w:jc w:val="center"/>
        <w:rPr>
          <w:rFonts w:hint="eastAsia" w:ascii="仿宋" w:hAnsi="仿宋" w:eastAsia="仿宋" w:cs="仿宋"/>
          <w:color w:val="auto"/>
          <w:spacing w:val="14"/>
          <w:sz w:val="28"/>
          <w:szCs w:val="28"/>
          <w:highlight w:val="none"/>
        </w:rPr>
      </w:pPr>
      <w:r>
        <w:rPr>
          <w:rFonts w:hint="eastAsia" w:ascii="仿宋" w:hAnsi="仿宋" w:eastAsia="仿宋" w:cs="仿宋"/>
          <w:color w:val="auto"/>
          <w:spacing w:val="14"/>
          <w:sz w:val="28"/>
          <w:szCs w:val="28"/>
          <w:highlight w:val="none"/>
        </w:rPr>
        <w:t>商务要求响应与偏差表</w:t>
      </w:r>
    </w:p>
    <w:p>
      <w:pPr>
        <w:pStyle w:val="154"/>
        <w:ind w:firstLine="0"/>
        <w:jc w:val="center"/>
        <w:rPr>
          <w:rFonts w:hint="eastAsia" w:ascii="仿宋" w:hAnsi="仿宋" w:eastAsia="仿宋" w:cs="仿宋"/>
          <w:color w:val="auto"/>
          <w:szCs w:val="21"/>
          <w:highlight w:val="none"/>
        </w:rPr>
      </w:pPr>
    </w:p>
    <w:tbl>
      <w:tblPr>
        <w:tblStyle w:val="62"/>
        <w:tblW w:w="9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3742"/>
        <w:gridCol w:w="3260"/>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33" w:type="dxa"/>
            <w:vAlign w:val="center"/>
          </w:tcPr>
          <w:p>
            <w:pPr>
              <w:pStyle w:val="154"/>
              <w:ind w:firstLine="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3742" w:type="dxa"/>
            <w:vAlign w:val="center"/>
          </w:tcPr>
          <w:p>
            <w:pPr>
              <w:pStyle w:val="154"/>
              <w:ind w:firstLine="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招标文件商务要求</w:t>
            </w:r>
          </w:p>
        </w:tc>
        <w:tc>
          <w:tcPr>
            <w:tcW w:w="3260" w:type="dxa"/>
            <w:vAlign w:val="center"/>
          </w:tcPr>
          <w:p>
            <w:pPr>
              <w:pStyle w:val="154"/>
              <w:ind w:firstLine="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投标人响应具体内容</w:t>
            </w:r>
          </w:p>
        </w:tc>
        <w:tc>
          <w:tcPr>
            <w:tcW w:w="1199" w:type="dxa"/>
            <w:vAlign w:val="center"/>
          </w:tcPr>
          <w:p>
            <w:pPr>
              <w:pStyle w:val="154"/>
              <w:ind w:firstLine="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偏差说明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33" w:type="dxa"/>
            <w:vAlign w:val="center"/>
          </w:tcPr>
          <w:p>
            <w:pPr>
              <w:pStyle w:val="154"/>
              <w:ind w:firstLine="0"/>
              <w:jc w:val="center"/>
              <w:rPr>
                <w:rFonts w:hint="eastAsia" w:ascii="仿宋" w:hAnsi="仿宋" w:eastAsia="仿宋" w:cs="仿宋"/>
                <w:color w:val="auto"/>
                <w:szCs w:val="21"/>
                <w:highlight w:val="none"/>
              </w:rPr>
            </w:pPr>
          </w:p>
        </w:tc>
        <w:tc>
          <w:tcPr>
            <w:tcW w:w="3742" w:type="dxa"/>
            <w:vAlign w:val="center"/>
          </w:tcPr>
          <w:p>
            <w:pPr>
              <w:pStyle w:val="154"/>
              <w:ind w:firstLine="0"/>
              <w:jc w:val="left"/>
              <w:rPr>
                <w:rFonts w:hint="eastAsia" w:ascii="仿宋" w:hAnsi="仿宋" w:eastAsia="仿宋" w:cs="仿宋"/>
                <w:color w:val="auto"/>
                <w:szCs w:val="21"/>
                <w:highlight w:val="none"/>
              </w:rPr>
            </w:pPr>
          </w:p>
        </w:tc>
        <w:tc>
          <w:tcPr>
            <w:tcW w:w="3260" w:type="dxa"/>
            <w:vAlign w:val="center"/>
          </w:tcPr>
          <w:p>
            <w:pPr>
              <w:pStyle w:val="154"/>
              <w:ind w:firstLine="0"/>
              <w:jc w:val="left"/>
              <w:rPr>
                <w:rFonts w:hint="eastAsia" w:ascii="仿宋" w:hAnsi="仿宋" w:eastAsia="仿宋" w:cs="仿宋"/>
                <w:color w:val="auto"/>
                <w:szCs w:val="21"/>
                <w:highlight w:val="none"/>
              </w:rPr>
            </w:pPr>
          </w:p>
        </w:tc>
        <w:tc>
          <w:tcPr>
            <w:tcW w:w="1199" w:type="dxa"/>
            <w:vAlign w:val="center"/>
          </w:tcPr>
          <w:p>
            <w:pPr>
              <w:pStyle w:val="154"/>
              <w:ind w:firstLine="0"/>
              <w:jc w:val="left"/>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33" w:type="dxa"/>
            <w:vAlign w:val="center"/>
          </w:tcPr>
          <w:p>
            <w:pPr>
              <w:pStyle w:val="154"/>
              <w:ind w:firstLine="0"/>
              <w:jc w:val="center"/>
              <w:rPr>
                <w:rFonts w:hint="eastAsia" w:ascii="仿宋" w:hAnsi="仿宋" w:eastAsia="仿宋" w:cs="仿宋"/>
                <w:color w:val="auto"/>
                <w:szCs w:val="21"/>
                <w:highlight w:val="none"/>
              </w:rPr>
            </w:pPr>
          </w:p>
        </w:tc>
        <w:tc>
          <w:tcPr>
            <w:tcW w:w="3742" w:type="dxa"/>
            <w:vAlign w:val="center"/>
          </w:tcPr>
          <w:p>
            <w:pPr>
              <w:pStyle w:val="154"/>
              <w:ind w:firstLine="0"/>
              <w:jc w:val="left"/>
              <w:rPr>
                <w:rFonts w:hint="eastAsia" w:ascii="仿宋" w:hAnsi="仿宋" w:eastAsia="仿宋" w:cs="仿宋"/>
                <w:color w:val="auto"/>
                <w:szCs w:val="21"/>
                <w:highlight w:val="none"/>
              </w:rPr>
            </w:pPr>
          </w:p>
        </w:tc>
        <w:tc>
          <w:tcPr>
            <w:tcW w:w="3260" w:type="dxa"/>
            <w:vAlign w:val="center"/>
          </w:tcPr>
          <w:p>
            <w:pPr>
              <w:pStyle w:val="154"/>
              <w:ind w:firstLine="0"/>
              <w:jc w:val="left"/>
              <w:rPr>
                <w:rFonts w:hint="eastAsia" w:ascii="仿宋" w:hAnsi="仿宋" w:eastAsia="仿宋" w:cs="仿宋"/>
                <w:color w:val="auto"/>
                <w:szCs w:val="21"/>
                <w:highlight w:val="none"/>
              </w:rPr>
            </w:pPr>
          </w:p>
        </w:tc>
        <w:tc>
          <w:tcPr>
            <w:tcW w:w="1199" w:type="dxa"/>
            <w:vAlign w:val="center"/>
          </w:tcPr>
          <w:p>
            <w:pPr>
              <w:pStyle w:val="154"/>
              <w:ind w:firstLine="0"/>
              <w:jc w:val="left"/>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33" w:type="dxa"/>
            <w:vAlign w:val="center"/>
          </w:tcPr>
          <w:p>
            <w:pPr>
              <w:pStyle w:val="154"/>
              <w:ind w:firstLine="0"/>
              <w:jc w:val="center"/>
              <w:rPr>
                <w:rFonts w:hint="eastAsia" w:ascii="仿宋" w:hAnsi="仿宋" w:eastAsia="仿宋" w:cs="仿宋"/>
                <w:color w:val="auto"/>
                <w:szCs w:val="21"/>
                <w:highlight w:val="none"/>
              </w:rPr>
            </w:pPr>
          </w:p>
        </w:tc>
        <w:tc>
          <w:tcPr>
            <w:tcW w:w="3742" w:type="dxa"/>
            <w:vAlign w:val="center"/>
          </w:tcPr>
          <w:p>
            <w:pPr>
              <w:pStyle w:val="154"/>
              <w:ind w:firstLine="0"/>
              <w:jc w:val="left"/>
              <w:rPr>
                <w:rFonts w:hint="eastAsia" w:ascii="仿宋" w:hAnsi="仿宋" w:eastAsia="仿宋" w:cs="仿宋"/>
                <w:color w:val="auto"/>
                <w:szCs w:val="21"/>
                <w:highlight w:val="none"/>
              </w:rPr>
            </w:pPr>
          </w:p>
        </w:tc>
        <w:tc>
          <w:tcPr>
            <w:tcW w:w="3260" w:type="dxa"/>
            <w:vAlign w:val="center"/>
          </w:tcPr>
          <w:p>
            <w:pPr>
              <w:pStyle w:val="154"/>
              <w:ind w:firstLine="0"/>
              <w:jc w:val="left"/>
              <w:rPr>
                <w:rFonts w:hint="eastAsia" w:ascii="仿宋" w:hAnsi="仿宋" w:eastAsia="仿宋" w:cs="仿宋"/>
                <w:color w:val="auto"/>
                <w:szCs w:val="21"/>
                <w:highlight w:val="none"/>
              </w:rPr>
            </w:pPr>
          </w:p>
        </w:tc>
        <w:tc>
          <w:tcPr>
            <w:tcW w:w="1199" w:type="dxa"/>
            <w:vAlign w:val="center"/>
          </w:tcPr>
          <w:p>
            <w:pPr>
              <w:pStyle w:val="154"/>
              <w:ind w:firstLine="0"/>
              <w:jc w:val="left"/>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33" w:type="dxa"/>
            <w:vAlign w:val="center"/>
          </w:tcPr>
          <w:p>
            <w:pPr>
              <w:pStyle w:val="154"/>
              <w:ind w:firstLine="0"/>
              <w:jc w:val="center"/>
              <w:rPr>
                <w:rFonts w:hint="eastAsia" w:ascii="仿宋" w:hAnsi="仿宋" w:eastAsia="仿宋" w:cs="仿宋"/>
                <w:color w:val="auto"/>
                <w:szCs w:val="21"/>
                <w:highlight w:val="none"/>
              </w:rPr>
            </w:pPr>
          </w:p>
        </w:tc>
        <w:tc>
          <w:tcPr>
            <w:tcW w:w="3742" w:type="dxa"/>
            <w:vAlign w:val="center"/>
          </w:tcPr>
          <w:p>
            <w:pPr>
              <w:pStyle w:val="154"/>
              <w:ind w:firstLine="0"/>
              <w:jc w:val="left"/>
              <w:rPr>
                <w:rFonts w:hint="eastAsia" w:ascii="仿宋" w:hAnsi="仿宋" w:eastAsia="仿宋" w:cs="仿宋"/>
                <w:color w:val="auto"/>
                <w:szCs w:val="21"/>
                <w:highlight w:val="none"/>
              </w:rPr>
            </w:pPr>
          </w:p>
        </w:tc>
        <w:tc>
          <w:tcPr>
            <w:tcW w:w="3260" w:type="dxa"/>
            <w:vAlign w:val="center"/>
          </w:tcPr>
          <w:p>
            <w:pPr>
              <w:pStyle w:val="154"/>
              <w:ind w:firstLine="0"/>
              <w:jc w:val="left"/>
              <w:rPr>
                <w:rFonts w:hint="eastAsia" w:ascii="仿宋" w:hAnsi="仿宋" w:eastAsia="仿宋" w:cs="仿宋"/>
                <w:color w:val="auto"/>
                <w:szCs w:val="21"/>
                <w:highlight w:val="none"/>
              </w:rPr>
            </w:pPr>
          </w:p>
        </w:tc>
        <w:tc>
          <w:tcPr>
            <w:tcW w:w="1199" w:type="dxa"/>
            <w:vAlign w:val="center"/>
          </w:tcPr>
          <w:p>
            <w:pPr>
              <w:pStyle w:val="154"/>
              <w:ind w:firstLine="0"/>
              <w:jc w:val="left"/>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33" w:type="dxa"/>
            <w:vAlign w:val="center"/>
          </w:tcPr>
          <w:p>
            <w:pPr>
              <w:pStyle w:val="154"/>
              <w:ind w:firstLine="0"/>
              <w:jc w:val="center"/>
              <w:rPr>
                <w:rFonts w:hint="eastAsia" w:ascii="仿宋" w:hAnsi="仿宋" w:eastAsia="仿宋" w:cs="仿宋"/>
                <w:color w:val="auto"/>
                <w:szCs w:val="21"/>
                <w:highlight w:val="none"/>
              </w:rPr>
            </w:pPr>
          </w:p>
        </w:tc>
        <w:tc>
          <w:tcPr>
            <w:tcW w:w="3742" w:type="dxa"/>
            <w:vAlign w:val="center"/>
          </w:tcPr>
          <w:p>
            <w:pPr>
              <w:pStyle w:val="154"/>
              <w:ind w:firstLine="0"/>
              <w:jc w:val="left"/>
              <w:rPr>
                <w:rFonts w:hint="eastAsia" w:ascii="仿宋" w:hAnsi="仿宋" w:eastAsia="仿宋" w:cs="仿宋"/>
                <w:color w:val="auto"/>
                <w:szCs w:val="21"/>
                <w:highlight w:val="none"/>
              </w:rPr>
            </w:pPr>
          </w:p>
        </w:tc>
        <w:tc>
          <w:tcPr>
            <w:tcW w:w="3260" w:type="dxa"/>
            <w:vAlign w:val="center"/>
          </w:tcPr>
          <w:p>
            <w:pPr>
              <w:pStyle w:val="154"/>
              <w:ind w:firstLine="0"/>
              <w:jc w:val="left"/>
              <w:rPr>
                <w:rFonts w:hint="eastAsia" w:ascii="仿宋" w:hAnsi="仿宋" w:eastAsia="仿宋" w:cs="仿宋"/>
                <w:color w:val="auto"/>
                <w:szCs w:val="21"/>
                <w:highlight w:val="none"/>
              </w:rPr>
            </w:pPr>
          </w:p>
        </w:tc>
        <w:tc>
          <w:tcPr>
            <w:tcW w:w="1199" w:type="dxa"/>
            <w:vAlign w:val="center"/>
          </w:tcPr>
          <w:p>
            <w:pPr>
              <w:pStyle w:val="154"/>
              <w:ind w:firstLine="0"/>
              <w:jc w:val="left"/>
              <w:rPr>
                <w:rFonts w:hint="eastAsia" w:ascii="仿宋" w:hAnsi="仿宋" w:eastAsia="仿宋" w:cs="仿宋"/>
                <w:color w:val="auto"/>
                <w:szCs w:val="21"/>
                <w:highlight w:val="none"/>
              </w:rPr>
            </w:pPr>
          </w:p>
        </w:tc>
      </w:tr>
    </w:tbl>
    <w:p>
      <w:pPr>
        <w:pStyle w:val="154"/>
        <w:ind w:firstLine="0"/>
        <w:rPr>
          <w:rFonts w:hint="eastAsia" w:ascii="仿宋" w:hAnsi="仿宋" w:eastAsia="仿宋" w:cs="仿宋"/>
          <w:color w:val="auto"/>
          <w:szCs w:val="21"/>
          <w:highlight w:val="none"/>
        </w:rPr>
      </w:pPr>
    </w:p>
    <w:p>
      <w:pPr>
        <w:pStyle w:val="154"/>
        <w:ind w:firstLine="0"/>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投标人保证：除本表列出的商务偏差外，投标人响应招标文件的全部商务要求。</w:t>
      </w:r>
    </w:p>
    <w:p>
      <w:pPr>
        <w:pStyle w:val="154"/>
        <w:ind w:firstLine="0"/>
        <w:rPr>
          <w:rFonts w:hint="eastAsia" w:ascii="仿宋" w:hAnsi="仿宋" w:eastAsia="仿宋" w:cs="仿宋"/>
          <w:color w:val="auto"/>
          <w:szCs w:val="21"/>
          <w:highlight w:val="none"/>
        </w:rPr>
      </w:pPr>
    </w:p>
    <w:p>
      <w:pPr>
        <w:pStyle w:val="154"/>
        <w:ind w:firstLine="0"/>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投标人（企业电子章）：                                            </w:t>
      </w:r>
    </w:p>
    <w:p>
      <w:pPr>
        <w:pStyle w:val="154"/>
        <w:ind w:firstLine="0"/>
        <w:rPr>
          <w:rFonts w:hint="eastAsia" w:ascii="仿宋" w:hAnsi="仿宋" w:eastAsia="仿宋" w:cs="仿宋"/>
          <w:color w:val="auto"/>
          <w:szCs w:val="21"/>
          <w:highlight w:val="none"/>
        </w:rPr>
      </w:pPr>
    </w:p>
    <w:p>
      <w:pPr>
        <w:pStyle w:val="154"/>
        <w:ind w:firstLine="0"/>
        <w:rPr>
          <w:rStyle w:val="78"/>
          <w:rFonts w:hint="eastAsia" w:ascii="仿宋" w:hAnsi="仿宋" w:eastAsia="仿宋" w:cs="仿宋"/>
          <w:b w:val="0"/>
          <w:bCs w:val="0"/>
          <w:color w:val="auto"/>
          <w:sz w:val="21"/>
          <w:szCs w:val="21"/>
          <w:highlight w:val="none"/>
        </w:rPr>
      </w:pPr>
      <w:r>
        <w:rPr>
          <w:rFonts w:hint="eastAsia" w:ascii="仿宋" w:hAnsi="仿宋" w:eastAsia="仿宋" w:cs="仿宋"/>
          <w:color w:val="auto"/>
          <w:szCs w:val="21"/>
          <w:highlight w:val="none"/>
        </w:rPr>
        <w:t>注：投标人可根据需要自行增减表格行数。</w:t>
      </w:r>
    </w:p>
    <w:p>
      <w:pPr>
        <w:pStyle w:val="154"/>
        <w:ind w:firstLine="0"/>
        <w:rPr>
          <w:rStyle w:val="78"/>
          <w:rFonts w:hint="eastAsia" w:ascii="仿宋" w:hAnsi="仿宋" w:eastAsia="仿宋" w:cs="仿宋"/>
          <w:color w:val="auto"/>
          <w:sz w:val="21"/>
          <w:szCs w:val="21"/>
          <w:highlight w:val="none"/>
        </w:rPr>
      </w:pPr>
    </w:p>
    <w:p>
      <w:pPr>
        <w:pStyle w:val="154"/>
        <w:ind w:firstLine="0"/>
        <w:rPr>
          <w:rStyle w:val="78"/>
          <w:rFonts w:hint="eastAsia" w:ascii="仿宋" w:hAnsi="仿宋" w:eastAsia="仿宋" w:cs="仿宋"/>
          <w:color w:val="auto"/>
          <w:highlight w:val="none"/>
        </w:rPr>
      </w:pPr>
    </w:p>
    <w:p>
      <w:pPr>
        <w:pStyle w:val="154"/>
        <w:ind w:firstLine="0"/>
        <w:rPr>
          <w:rStyle w:val="78"/>
          <w:rFonts w:hint="eastAsia" w:ascii="仿宋" w:hAnsi="仿宋" w:eastAsia="仿宋" w:cs="仿宋"/>
          <w:color w:val="auto"/>
          <w:highlight w:val="none"/>
        </w:rPr>
      </w:pPr>
    </w:p>
    <w:p>
      <w:pPr>
        <w:pStyle w:val="154"/>
        <w:ind w:firstLine="0"/>
        <w:rPr>
          <w:rStyle w:val="78"/>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numPr>
          <w:ilvl w:val="0"/>
          <w:numId w:val="15"/>
        </w:numPr>
        <w:rPr>
          <w:rFonts w:hint="eastAsia" w:ascii="仿宋" w:hAnsi="仿宋" w:eastAsia="仿宋" w:cs="仿宋"/>
          <w:b/>
          <w:bCs/>
          <w:color w:val="auto"/>
          <w:sz w:val="28"/>
          <w:szCs w:val="28"/>
          <w:highlight w:val="none"/>
          <w:lang w:val="en-US" w:eastAsia="zh-CN" w:bidi="ar-SA"/>
        </w:rPr>
      </w:pPr>
      <w:bookmarkStart w:id="184" w:name="_Toc1660869"/>
      <w:r>
        <w:rPr>
          <w:rFonts w:hint="eastAsia" w:ascii="仿宋" w:hAnsi="仿宋" w:eastAsia="仿宋" w:cs="仿宋"/>
          <w:color w:val="auto"/>
          <w:highlight w:val="none"/>
        </w:rPr>
        <w:br w:type="page"/>
      </w:r>
      <w:bookmarkStart w:id="185" w:name="_Toc8693"/>
      <w:r>
        <w:rPr>
          <w:rFonts w:hint="eastAsia" w:ascii="仿宋" w:hAnsi="仿宋" w:eastAsia="仿宋" w:cs="仿宋"/>
          <w:b/>
          <w:bCs/>
          <w:color w:val="auto"/>
          <w:sz w:val="28"/>
          <w:szCs w:val="28"/>
          <w:highlight w:val="none"/>
          <w:lang w:val="en-US" w:eastAsia="zh-CN" w:bidi="ar-SA"/>
        </w:rPr>
        <w:t>产品的先进性、实用性、耐用性支持资料</w:t>
      </w:r>
    </w:p>
    <w:p>
      <w:pPr>
        <w:numPr>
          <w:ilvl w:val="0"/>
          <w:numId w:val="0"/>
        </w:numPr>
        <w:rPr>
          <w:rFonts w:hint="eastAsia" w:ascii="仿宋" w:hAnsi="仿宋" w:eastAsia="仿宋" w:cs="仿宋"/>
          <w:color w:val="auto"/>
          <w:highlight w:val="none"/>
        </w:rPr>
      </w:pPr>
    </w:p>
    <w:p>
      <w:pPr>
        <w:pStyle w:val="25"/>
        <w:rPr>
          <w:rFonts w:hint="eastAsia" w:ascii="仿宋" w:hAnsi="仿宋" w:eastAsia="仿宋" w:cs="仿宋"/>
          <w:color w:val="auto"/>
          <w:highlight w:val="none"/>
        </w:rPr>
      </w:pPr>
    </w:p>
    <w:p>
      <w:pPr>
        <w:ind w:firstLine="420"/>
        <w:rPr>
          <w:rFonts w:hint="eastAsia" w:ascii="仿宋" w:hAnsi="仿宋" w:eastAsia="仿宋" w:cs="仿宋"/>
          <w:bCs/>
          <w:color w:val="auto"/>
          <w:spacing w:val="10"/>
          <w:sz w:val="21"/>
          <w:szCs w:val="21"/>
          <w:highlight w:val="none"/>
        </w:rPr>
      </w:pPr>
    </w:p>
    <w:p>
      <w:pPr>
        <w:ind w:firstLine="420"/>
        <w:rPr>
          <w:rFonts w:hint="eastAsia" w:ascii="仿宋" w:hAnsi="仿宋" w:eastAsia="仿宋" w:cs="仿宋"/>
          <w:bCs/>
          <w:color w:val="auto"/>
          <w:spacing w:val="10"/>
          <w:sz w:val="21"/>
          <w:szCs w:val="21"/>
          <w:highlight w:val="none"/>
        </w:rPr>
      </w:pPr>
    </w:p>
    <w:p>
      <w:pPr>
        <w:ind w:firstLine="420"/>
        <w:rPr>
          <w:rFonts w:hint="eastAsia" w:ascii="仿宋" w:hAnsi="仿宋" w:eastAsia="仿宋" w:cs="仿宋"/>
          <w:bCs/>
          <w:color w:val="auto"/>
          <w:spacing w:val="10"/>
          <w:sz w:val="21"/>
          <w:szCs w:val="21"/>
          <w:highlight w:val="none"/>
        </w:rPr>
      </w:pPr>
    </w:p>
    <w:p>
      <w:pPr>
        <w:ind w:firstLine="420"/>
        <w:rPr>
          <w:rFonts w:hint="eastAsia" w:ascii="仿宋" w:hAnsi="仿宋" w:eastAsia="仿宋" w:cs="仿宋"/>
          <w:bCs/>
          <w:color w:val="auto"/>
          <w:spacing w:val="10"/>
          <w:sz w:val="21"/>
          <w:szCs w:val="21"/>
          <w:highlight w:val="none"/>
        </w:rPr>
      </w:pPr>
      <w:r>
        <w:rPr>
          <w:rFonts w:hint="eastAsia" w:ascii="仿宋" w:hAnsi="仿宋" w:eastAsia="仿宋" w:cs="仿宋"/>
          <w:bCs/>
          <w:color w:val="auto"/>
          <w:spacing w:val="10"/>
          <w:sz w:val="21"/>
          <w:szCs w:val="21"/>
          <w:highlight w:val="none"/>
        </w:rPr>
        <w:t>投标人根据招标项目要求及自身情况自行填报。</w:t>
      </w:r>
    </w:p>
    <w:p>
      <w:pPr>
        <w:rPr>
          <w:rFonts w:hint="eastAsia" w:ascii="仿宋" w:hAnsi="仿宋" w:eastAsia="仿宋" w:cs="仿宋"/>
          <w:bCs/>
          <w:color w:val="auto"/>
          <w:spacing w:val="10"/>
          <w:sz w:val="21"/>
          <w:szCs w:val="21"/>
          <w:highlight w:val="none"/>
        </w:rPr>
      </w:pPr>
    </w:p>
    <w:p>
      <w:pPr>
        <w:rPr>
          <w:rFonts w:hint="eastAsia" w:ascii="仿宋" w:hAnsi="仿宋" w:eastAsia="仿宋" w:cs="仿宋"/>
          <w:bCs/>
          <w:color w:val="auto"/>
          <w:spacing w:val="10"/>
          <w:sz w:val="21"/>
          <w:szCs w:val="21"/>
          <w:highlight w:val="none"/>
        </w:rPr>
      </w:pPr>
    </w:p>
    <w:p>
      <w:pPr>
        <w:rPr>
          <w:rFonts w:hint="eastAsia" w:ascii="仿宋" w:hAnsi="仿宋" w:eastAsia="仿宋" w:cs="仿宋"/>
          <w:color w:val="auto"/>
          <w:sz w:val="21"/>
          <w:szCs w:val="21"/>
          <w:highlight w:val="none"/>
        </w:rPr>
      </w:pPr>
      <w:r>
        <w:rPr>
          <w:rFonts w:hint="eastAsia" w:ascii="仿宋" w:hAnsi="仿宋" w:eastAsia="仿宋" w:cs="仿宋"/>
          <w:bCs/>
          <w:color w:val="auto"/>
          <w:spacing w:val="10"/>
          <w:sz w:val="21"/>
          <w:szCs w:val="21"/>
          <w:highlight w:val="none"/>
        </w:rPr>
        <w:t>投标人（企业电子章）：</w:t>
      </w:r>
    </w:p>
    <w:p>
      <w:pPr>
        <w:rPr>
          <w:rFonts w:hint="eastAsia"/>
          <w:color w:val="auto"/>
          <w:highlight w:val="none"/>
        </w:rPr>
      </w:pPr>
    </w:p>
    <w:p>
      <w:pPr>
        <w:numPr>
          <w:ilvl w:val="0"/>
          <w:numId w:val="15"/>
        </w:num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5"/>
        <w:rPr>
          <w:rFonts w:hint="eastAsia" w:ascii="仿宋" w:hAnsi="仿宋" w:eastAsia="仿宋" w:cs="仿宋"/>
          <w:color w:val="auto"/>
          <w:highlight w:val="none"/>
        </w:rPr>
      </w:pPr>
      <w:r>
        <w:rPr>
          <w:rFonts w:hint="eastAsia" w:ascii="仿宋" w:hAnsi="仿宋" w:eastAsia="仿宋" w:cs="仿宋"/>
          <w:color w:val="auto"/>
          <w:highlight w:val="none"/>
        </w:rPr>
        <w:t>十</w:t>
      </w:r>
      <w:r>
        <w:rPr>
          <w:rFonts w:hint="eastAsia" w:ascii="仿宋" w:hAnsi="仿宋" w:cs="仿宋"/>
          <w:color w:val="auto"/>
          <w:highlight w:val="none"/>
          <w:lang w:val="en-US" w:eastAsia="zh-CN"/>
        </w:rPr>
        <w:t>四</w:t>
      </w:r>
      <w:r>
        <w:rPr>
          <w:rFonts w:hint="eastAsia" w:ascii="仿宋" w:hAnsi="仿宋" w:eastAsia="仿宋" w:cs="仿宋"/>
          <w:color w:val="auto"/>
          <w:highlight w:val="none"/>
        </w:rPr>
        <w:t>、节能产品、环境标志产品明细表</w:t>
      </w:r>
      <w:bookmarkEnd w:id="184"/>
      <w:bookmarkEnd w:id="185"/>
    </w:p>
    <w:p>
      <w:pPr>
        <w:pStyle w:val="154"/>
        <w:ind w:firstLine="0"/>
        <w:jc w:val="center"/>
        <w:rPr>
          <w:rFonts w:hint="eastAsia" w:ascii="仿宋" w:hAnsi="仿宋" w:eastAsia="仿宋" w:cs="仿宋"/>
          <w:color w:val="auto"/>
          <w:szCs w:val="21"/>
          <w:highlight w:val="none"/>
        </w:rPr>
      </w:pPr>
    </w:p>
    <w:p>
      <w:pPr>
        <w:jc w:val="center"/>
        <w:rPr>
          <w:rFonts w:hint="eastAsia" w:ascii="仿宋" w:hAnsi="仿宋" w:eastAsia="仿宋" w:cs="仿宋"/>
          <w:color w:val="auto"/>
          <w:szCs w:val="21"/>
          <w:highlight w:val="none"/>
        </w:rPr>
      </w:pPr>
      <w:r>
        <w:rPr>
          <w:rFonts w:hint="eastAsia" w:ascii="仿宋" w:hAnsi="仿宋" w:eastAsia="仿宋" w:cs="仿宋"/>
          <w:color w:val="auto"/>
          <w:spacing w:val="14"/>
          <w:szCs w:val="28"/>
          <w:highlight w:val="none"/>
        </w:rPr>
        <w:t>节能产品、环境标志产品明细表</w:t>
      </w:r>
    </w:p>
    <w:tbl>
      <w:tblPr>
        <w:tblStyle w:val="62"/>
        <w:tblW w:w="94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1275"/>
        <w:gridCol w:w="1560"/>
        <w:gridCol w:w="2126"/>
        <w:gridCol w:w="1984"/>
        <w:gridCol w:w="1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vAlign w:val="center"/>
          </w:tcPr>
          <w:p>
            <w:pPr>
              <w:pStyle w:val="154"/>
              <w:ind w:firstLine="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1275" w:type="dxa"/>
            <w:vAlign w:val="center"/>
          </w:tcPr>
          <w:p>
            <w:pPr>
              <w:pStyle w:val="154"/>
              <w:ind w:firstLine="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货物名称</w:t>
            </w:r>
          </w:p>
        </w:tc>
        <w:tc>
          <w:tcPr>
            <w:tcW w:w="1560" w:type="dxa"/>
            <w:vAlign w:val="center"/>
          </w:tcPr>
          <w:p>
            <w:pPr>
              <w:pStyle w:val="154"/>
              <w:ind w:firstLine="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品牌及制造商</w:t>
            </w:r>
          </w:p>
        </w:tc>
        <w:tc>
          <w:tcPr>
            <w:tcW w:w="2126" w:type="dxa"/>
            <w:vAlign w:val="center"/>
          </w:tcPr>
          <w:p>
            <w:pPr>
              <w:pStyle w:val="154"/>
              <w:ind w:firstLine="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规格型号</w:t>
            </w:r>
          </w:p>
        </w:tc>
        <w:tc>
          <w:tcPr>
            <w:tcW w:w="1984" w:type="dxa"/>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中国节能产品认证证书编号</w:t>
            </w:r>
          </w:p>
        </w:tc>
        <w:tc>
          <w:tcPr>
            <w:tcW w:w="1953" w:type="dxa"/>
            <w:vAlign w:val="center"/>
          </w:tcPr>
          <w:p>
            <w:pPr>
              <w:pStyle w:val="154"/>
              <w:ind w:firstLine="0"/>
              <w:jc w:val="center"/>
              <w:rPr>
                <w:rFonts w:hint="eastAsia" w:ascii="仿宋" w:hAnsi="仿宋" w:eastAsia="仿宋" w:cs="仿宋"/>
                <w:strike/>
                <w:color w:val="auto"/>
                <w:szCs w:val="21"/>
                <w:highlight w:val="none"/>
              </w:rPr>
            </w:pPr>
            <w:r>
              <w:rPr>
                <w:rFonts w:hint="eastAsia" w:ascii="仿宋" w:hAnsi="仿宋" w:eastAsia="仿宋" w:cs="仿宋"/>
                <w:color w:val="auto"/>
                <w:szCs w:val="21"/>
                <w:highlight w:val="none"/>
              </w:rPr>
              <w:t>中国节能产品认证证书有效截止日期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vAlign w:val="center"/>
          </w:tcPr>
          <w:p>
            <w:pPr>
              <w:pStyle w:val="154"/>
              <w:ind w:firstLine="0"/>
              <w:jc w:val="left"/>
              <w:rPr>
                <w:rFonts w:hint="eastAsia" w:ascii="仿宋" w:hAnsi="仿宋" w:eastAsia="仿宋" w:cs="仿宋"/>
                <w:color w:val="auto"/>
                <w:szCs w:val="21"/>
                <w:highlight w:val="none"/>
              </w:rPr>
            </w:pPr>
          </w:p>
        </w:tc>
        <w:tc>
          <w:tcPr>
            <w:tcW w:w="1275" w:type="dxa"/>
            <w:vAlign w:val="center"/>
          </w:tcPr>
          <w:p>
            <w:pPr>
              <w:pStyle w:val="154"/>
              <w:jc w:val="left"/>
              <w:rPr>
                <w:rFonts w:hint="eastAsia" w:ascii="仿宋" w:hAnsi="仿宋" w:eastAsia="仿宋" w:cs="仿宋"/>
                <w:color w:val="auto"/>
                <w:szCs w:val="21"/>
                <w:highlight w:val="none"/>
              </w:rPr>
            </w:pPr>
          </w:p>
        </w:tc>
        <w:tc>
          <w:tcPr>
            <w:tcW w:w="1560" w:type="dxa"/>
            <w:vAlign w:val="center"/>
          </w:tcPr>
          <w:p>
            <w:pPr>
              <w:pStyle w:val="154"/>
              <w:jc w:val="left"/>
              <w:rPr>
                <w:rFonts w:hint="eastAsia" w:ascii="仿宋" w:hAnsi="仿宋" w:eastAsia="仿宋" w:cs="仿宋"/>
                <w:color w:val="auto"/>
                <w:szCs w:val="21"/>
                <w:highlight w:val="none"/>
              </w:rPr>
            </w:pPr>
          </w:p>
        </w:tc>
        <w:tc>
          <w:tcPr>
            <w:tcW w:w="2126" w:type="dxa"/>
            <w:vAlign w:val="center"/>
          </w:tcPr>
          <w:p>
            <w:pPr>
              <w:pStyle w:val="154"/>
              <w:jc w:val="left"/>
              <w:rPr>
                <w:rFonts w:hint="eastAsia" w:ascii="仿宋" w:hAnsi="仿宋" w:eastAsia="仿宋" w:cs="仿宋"/>
                <w:color w:val="auto"/>
                <w:szCs w:val="21"/>
                <w:highlight w:val="none"/>
              </w:rPr>
            </w:pPr>
          </w:p>
        </w:tc>
        <w:tc>
          <w:tcPr>
            <w:tcW w:w="1984" w:type="dxa"/>
            <w:vAlign w:val="center"/>
          </w:tcPr>
          <w:p>
            <w:pPr>
              <w:pStyle w:val="154"/>
              <w:jc w:val="left"/>
              <w:rPr>
                <w:rFonts w:hint="eastAsia" w:ascii="仿宋" w:hAnsi="仿宋" w:eastAsia="仿宋" w:cs="仿宋"/>
                <w:color w:val="auto"/>
                <w:szCs w:val="21"/>
                <w:highlight w:val="none"/>
              </w:rPr>
            </w:pPr>
          </w:p>
        </w:tc>
        <w:tc>
          <w:tcPr>
            <w:tcW w:w="1953" w:type="dxa"/>
            <w:vAlign w:val="center"/>
          </w:tcPr>
          <w:p>
            <w:pPr>
              <w:pStyle w:val="154"/>
              <w:jc w:val="left"/>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tcPr>
          <w:p>
            <w:pPr>
              <w:pStyle w:val="154"/>
              <w:ind w:firstLine="0"/>
              <w:jc w:val="left"/>
              <w:rPr>
                <w:rFonts w:hint="eastAsia" w:ascii="仿宋" w:hAnsi="仿宋" w:eastAsia="仿宋" w:cs="仿宋"/>
                <w:color w:val="auto"/>
                <w:szCs w:val="21"/>
                <w:highlight w:val="none"/>
              </w:rPr>
            </w:pPr>
          </w:p>
        </w:tc>
        <w:tc>
          <w:tcPr>
            <w:tcW w:w="1275" w:type="dxa"/>
          </w:tcPr>
          <w:p>
            <w:pPr>
              <w:pStyle w:val="154"/>
              <w:jc w:val="left"/>
              <w:rPr>
                <w:rFonts w:hint="eastAsia" w:ascii="仿宋" w:hAnsi="仿宋" w:eastAsia="仿宋" w:cs="仿宋"/>
                <w:color w:val="auto"/>
                <w:szCs w:val="21"/>
                <w:highlight w:val="none"/>
              </w:rPr>
            </w:pPr>
          </w:p>
        </w:tc>
        <w:tc>
          <w:tcPr>
            <w:tcW w:w="1560" w:type="dxa"/>
          </w:tcPr>
          <w:p>
            <w:pPr>
              <w:pStyle w:val="154"/>
              <w:jc w:val="left"/>
              <w:rPr>
                <w:rFonts w:hint="eastAsia" w:ascii="仿宋" w:hAnsi="仿宋" w:eastAsia="仿宋" w:cs="仿宋"/>
                <w:color w:val="auto"/>
                <w:szCs w:val="21"/>
                <w:highlight w:val="none"/>
              </w:rPr>
            </w:pPr>
          </w:p>
        </w:tc>
        <w:tc>
          <w:tcPr>
            <w:tcW w:w="2126" w:type="dxa"/>
          </w:tcPr>
          <w:p>
            <w:pPr>
              <w:pStyle w:val="154"/>
              <w:jc w:val="left"/>
              <w:rPr>
                <w:rFonts w:hint="eastAsia" w:ascii="仿宋" w:hAnsi="仿宋" w:eastAsia="仿宋" w:cs="仿宋"/>
                <w:color w:val="auto"/>
                <w:szCs w:val="21"/>
                <w:highlight w:val="none"/>
              </w:rPr>
            </w:pPr>
          </w:p>
        </w:tc>
        <w:tc>
          <w:tcPr>
            <w:tcW w:w="1984" w:type="dxa"/>
          </w:tcPr>
          <w:p>
            <w:pPr>
              <w:pStyle w:val="154"/>
              <w:jc w:val="left"/>
              <w:rPr>
                <w:rFonts w:hint="eastAsia" w:ascii="仿宋" w:hAnsi="仿宋" w:eastAsia="仿宋" w:cs="仿宋"/>
                <w:color w:val="auto"/>
                <w:szCs w:val="21"/>
                <w:highlight w:val="none"/>
              </w:rPr>
            </w:pPr>
          </w:p>
        </w:tc>
        <w:tc>
          <w:tcPr>
            <w:tcW w:w="1953" w:type="dxa"/>
          </w:tcPr>
          <w:p>
            <w:pPr>
              <w:pStyle w:val="154"/>
              <w:jc w:val="left"/>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tcPr>
          <w:p>
            <w:pPr>
              <w:pStyle w:val="154"/>
              <w:ind w:firstLine="0"/>
              <w:jc w:val="left"/>
              <w:rPr>
                <w:rFonts w:hint="eastAsia" w:ascii="仿宋" w:hAnsi="仿宋" w:eastAsia="仿宋" w:cs="仿宋"/>
                <w:color w:val="auto"/>
                <w:szCs w:val="21"/>
                <w:highlight w:val="none"/>
              </w:rPr>
            </w:pPr>
          </w:p>
        </w:tc>
        <w:tc>
          <w:tcPr>
            <w:tcW w:w="1275" w:type="dxa"/>
          </w:tcPr>
          <w:p>
            <w:pPr>
              <w:pStyle w:val="154"/>
              <w:jc w:val="left"/>
              <w:rPr>
                <w:rFonts w:hint="eastAsia" w:ascii="仿宋" w:hAnsi="仿宋" w:eastAsia="仿宋" w:cs="仿宋"/>
                <w:color w:val="auto"/>
                <w:szCs w:val="21"/>
                <w:highlight w:val="none"/>
              </w:rPr>
            </w:pPr>
          </w:p>
        </w:tc>
        <w:tc>
          <w:tcPr>
            <w:tcW w:w="1560" w:type="dxa"/>
          </w:tcPr>
          <w:p>
            <w:pPr>
              <w:pStyle w:val="154"/>
              <w:jc w:val="left"/>
              <w:rPr>
                <w:rFonts w:hint="eastAsia" w:ascii="仿宋" w:hAnsi="仿宋" w:eastAsia="仿宋" w:cs="仿宋"/>
                <w:color w:val="auto"/>
                <w:szCs w:val="21"/>
                <w:highlight w:val="none"/>
              </w:rPr>
            </w:pPr>
          </w:p>
        </w:tc>
        <w:tc>
          <w:tcPr>
            <w:tcW w:w="2126" w:type="dxa"/>
          </w:tcPr>
          <w:p>
            <w:pPr>
              <w:pStyle w:val="154"/>
              <w:jc w:val="left"/>
              <w:rPr>
                <w:rFonts w:hint="eastAsia" w:ascii="仿宋" w:hAnsi="仿宋" w:eastAsia="仿宋" w:cs="仿宋"/>
                <w:color w:val="auto"/>
                <w:szCs w:val="21"/>
                <w:highlight w:val="none"/>
              </w:rPr>
            </w:pPr>
          </w:p>
        </w:tc>
        <w:tc>
          <w:tcPr>
            <w:tcW w:w="1984" w:type="dxa"/>
          </w:tcPr>
          <w:p>
            <w:pPr>
              <w:pStyle w:val="154"/>
              <w:jc w:val="left"/>
              <w:rPr>
                <w:rFonts w:hint="eastAsia" w:ascii="仿宋" w:hAnsi="仿宋" w:eastAsia="仿宋" w:cs="仿宋"/>
                <w:color w:val="auto"/>
                <w:szCs w:val="21"/>
                <w:highlight w:val="none"/>
              </w:rPr>
            </w:pPr>
          </w:p>
        </w:tc>
        <w:tc>
          <w:tcPr>
            <w:tcW w:w="1953" w:type="dxa"/>
          </w:tcPr>
          <w:p>
            <w:pPr>
              <w:pStyle w:val="154"/>
              <w:jc w:val="left"/>
              <w:rPr>
                <w:rFonts w:hint="eastAsia" w:ascii="仿宋" w:hAnsi="仿宋" w:eastAsia="仿宋" w:cs="仿宋"/>
                <w:color w:val="auto"/>
                <w:szCs w:val="21"/>
                <w:highlight w:val="none"/>
              </w:rPr>
            </w:pPr>
          </w:p>
        </w:tc>
      </w:tr>
    </w:tbl>
    <w:p>
      <w:pPr>
        <w:pStyle w:val="154"/>
        <w:ind w:firstLine="0"/>
        <w:rPr>
          <w:rFonts w:hint="eastAsia" w:ascii="仿宋" w:hAnsi="仿宋" w:eastAsia="仿宋" w:cs="仿宋"/>
          <w:color w:val="auto"/>
          <w:sz w:val="24"/>
          <w:highlight w:val="none"/>
        </w:rPr>
      </w:pPr>
    </w:p>
    <w:tbl>
      <w:tblPr>
        <w:tblStyle w:val="62"/>
        <w:tblW w:w="94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1423"/>
        <w:gridCol w:w="1510"/>
        <w:gridCol w:w="2126"/>
        <w:gridCol w:w="1984"/>
        <w:gridCol w:w="1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dxa"/>
            <w:vAlign w:val="center"/>
          </w:tcPr>
          <w:p>
            <w:pPr>
              <w:pStyle w:val="154"/>
              <w:ind w:firstLine="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1423" w:type="dxa"/>
            <w:vAlign w:val="center"/>
          </w:tcPr>
          <w:p>
            <w:pPr>
              <w:pStyle w:val="154"/>
              <w:ind w:firstLine="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货物名称</w:t>
            </w:r>
          </w:p>
        </w:tc>
        <w:tc>
          <w:tcPr>
            <w:tcW w:w="1510" w:type="dxa"/>
            <w:vAlign w:val="center"/>
          </w:tcPr>
          <w:p>
            <w:pPr>
              <w:pStyle w:val="154"/>
              <w:ind w:firstLine="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品牌及制造商</w:t>
            </w:r>
          </w:p>
        </w:tc>
        <w:tc>
          <w:tcPr>
            <w:tcW w:w="2126" w:type="dxa"/>
            <w:vAlign w:val="center"/>
          </w:tcPr>
          <w:p>
            <w:pPr>
              <w:pStyle w:val="154"/>
              <w:ind w:firstLine="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规格型号</w:t>
            </w:r>
          </w:p>
        </w:tc>
        <w:tc>
          <w:tcPr>
            <w:tcW w:w="1984" w:type="dxa"/>
            <w:vAlign w:val="center"/>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中国环境标志认证证书编号</w:t>
            </w:r>
          </w:p>
        </w:tc>
        <w:tc>
          <w:tcPr>
            <w:tcW w:w="1971" w:type="dxa"/>
            <w:vAlign w:val="center"/>
          </w:tcPr>
          <w:p>
            <w:pPr>
              <w:pStyle w:val="154"/>
              <w:ind w:firstLine="0"/>
              <w:jc w:val="center"/>
              <w:rPr>
                <w:rFonts w:hint="eastAsia" w:ascii="仿宋" w:hAnsi="仿宋" w:eastAsia="仿宋" w:cs="仿宋"/>
                <w:strike/>
                <w:color w:val="auto"/>
                <w:szCs w:val="21"/>
                <w:highlight w:val="none"/>
              </w:rPr>
            </w:pPr>
            <w:r>
              <w:rPr>
                <w:rFonts w:hint="eastAsia" w:ascii="仿宋" w:hAnsi="仿宋" w:eastAsia="仿宋" w:cs="仿宋"/>
                <w:color w:val="auto"/>
                <w:szCs w:val="21"/>
                <w:highlight w:val="none"/>
              </w:rPr>
              <w:t>中国环境标志认证证书有效截止日期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dxa"/>
            <w:vAlign w:val="center"/>
          </w:tcPr>
          <w:p>
            <w:pPr>
              <w:pStyle w:val="154"/>
              <w:ind w:firstLine="0"/>
              <w:jc w:val="left"/>
              <w:rPr>
                <w:rFonts w:hint="eastAsia" w:ascii="仿宋" w:hAnsi="仿宋" w:eastAsia="仿宋" w:cs="仿宋"/>
                <w:color w:val="auto"/>
                <w:szCs w:val="21"/>
                <w:highlight w:val="none"/>
              </w:rPr>
            </w:pPr>
          </w:p>
        </w:tc>
        <w:tc>
          <w:tcPr>
            <w:tcW w:w="1423" w:type="dxa"/>
            <w:vAlign w:val="center"/>
          </w:tcPr>
          <w:p>
            <w:pPr>
              <w:pStyle w:val="154"/>
              <w:jc w:val="left"/>
              <w:rPr>
                <w:rFonts w:hint="eastAsia" w:ascii="仿宋" w:hAnsi="仿宋" w:eastAsia="仿宋" w:cs="仿宋"/>
                <w:color w:val="auto"/>
                <w:szCs w:val="21"/>
                <w:highlight w:val="none"/>
              </w:rPr>
            </w:pPr>
          </w:p>
        </w:tc>
        <w:tc>
          <w:tcPr>
            <w:tcW w:w="1510" w:type="dxa"/>
            <w:vAlign w:val="center"/>
          </w:tcPr>
          <w:p>
            <w:pPr>
              <w:pStyle w:val="154"/>
              <w:jc w:val="left"/>
              <w:rPr>
                <w:rFonts w:hint="eastAsia" w:ascii="仿宋" w:hAnsi="仿宋" w:eastAsia="仿宋" w:cs="仿宋"/>
                <w:color w:val="auto"/>
                <w:szCs w:val="21"/>
                <w:highlight w:val="none"/>
              </w:rPr>
            </w:pPr>
          </w:p>
        </w:tc>
        <w:tc>
          <w:tcPr>
            <w:tcW w:w="2126" w:type="dxa"/>
            <w:vAlign w:val="center"/>
          </w:tcPr>
          <w:p>
            <w:pPr>
              <w:pStyle w:val="154"/>
              <w:jc w:val="left"/>
              <w:rPr>
                <w:rFonts w:hint="eastAsia" w:ascii="仿宋" w:hAnsi="仿宋" w:eastAsia="仿宋" w:cs="仿宋"/>
                <w:color w:val="auto"/>
                <w:szCs w:val="21"/>
                <w:highlight w:val="none"/>
              </w:rPr>
            </w:pPr>
          </w:p>
        </w:tc>
        <w:tc>
          <w:tcPr>
            <w:tcW w:w="1984" w:type="dxa"/>
            <w:vAlign w:val="center"/>
          </w:tcPr>
          <w:p>
            <w:pPr>
              <w:pStyle w:val="154"/>
              <w:jc w:val="left"/>
              <w:rPr>
                <w:rFonts w:hint="eastAsia" w:ascii="仿宋" w:hAnsi="仿宋" w:eastAsia="仿宋" w:cs="仿宋"/>
                <w:color w:val="auto"/>
                <w:szCs w:val="21"/>
                <w:highlight w:val="none"/>
              </w:rPr>
            </w:pPr>
          </w:p>
        </w:tc>
        <w:tc>
          <w:tcPr>
            <w:tcW w:w="1971" w:type="dxa"/>
            <w:vAlign w:val="center"/>
          </w:tcPr>
          <w:p>
            <w:pPr>
              <w:pStyle w:val="154"/>
              <w:jc w:val="left"/>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dxa"/>
            <w:vAlign w:val="center"/>
          </w:tcPr>
          <w:p>
            <w:pPr>
              <w:pStyle w:val="154"/>
              <w:ind w:firstLine="0"/>
              <w:jc w:val="left"/>
              <w:rPr>
                <w:rFonts w:hint="eastAsia" w:ascii="仿宋" w:hAnsi="仿宋" w:eastAsia="仿宋" w:cs="仿宋"/>
                <w:color w:val="auto"/>
                <w:szCs w:val="21"/>
                <w:highlight w:val="none"/>
              </w:rPr>
            </w:pPr>
          </w:p>
        </w:tc>
        <w:tc>
          <w:tcPr>
            <w:tcW w:w="1423" w:type="dxa"/>
            <w:vAlign w:val="center"/>
          </w:tcPr>
          <w:p>
            <w:pPr>
              <w:pStyle w:val="154"/>
              <w:jc w:val="left"/>
              <w:rPr>
                <w:rFonts w:hint="eastAsia" w:ascii="仿宋" w:hAnsi="仿宋" w:eastAsia="仿宋" w:cs="仿宋"/>
                <w:color w:val="auto"/>
                <w:szCs w:val="21"/>
                <w:highlight w:val="none"/>
              </w:rPr>
            </w:pPr>
          </w:p>
        </w:tc>
        <w:tc>
          <w:tcPr>
            <w:tcW w:w="1510" w:type="dxa"/>
            <w:vAlign w:val="center"/>
          </w:tcPr>
          <w:p>
            <w:pPr>
              <w:pStyle w:val="154"/>
              <w:jc w:val="left"/>
              <w:rPr>
                <w:rFonts w:hint="eastAsia" w:ascii="仿宋" w:hAnsi="仿宋" w:eastAsia="仿宋" w:cs="仿宋"/>
                <w:color w:val="auto"/>
                <w:szCs w:val="21"/>
                <w:highlight w:val="none"/>
              </w:rPr>
            </w:pPr>
          </w:p>
        </w:tc>
        <w:tc>
          <w:tcPr>
            <w:tcW w:w="2126" w:type="dxa"/>
            <w:vAlign w:val="center"/>
          </w:tcPr>
          <w:p>
            <w:pPr>
              <w:pStyle w:val="154"/>
              <w:jc w:val="left"/>
              <w:rPr>
                <w:rFonts w:hint="eastAsia" w:ascii="仿宋" w:hAnsi="仿宋" w:eastAsia="仿宋" w:cs="仿宋"/>
                <w:color w:val="auto"/>
                <w:szCs w:val="21"/>
                <w:highlight w:val="none"/>
              </w:rPr>
            </w:pPr>
          </w:p>
        </w:tc>
        <w:tc>
          <w:tcPr>
            <w:tcW w:w="1984" w:type="dxa"/>
            <w:vAlign w:val="center"/>
          </w:tcPr>
          <w:p>
            <w:pPr>
              <w:pStyle w:val="154"/>
              <w:jc w:val="left"/>
              <w:rPr>
                <w:rFonts w:hint="eastAsia" w:ascii="仿宋" w:hAnsi="仿宋" w:eastAsia="仿宋" w:cs="仿宋"/>
                <w:color w:val="auto"/>
                <w:szCs w:val="21"/>
                <w:highlight w:val="none"/>
              </w:rPr>
            </w:pPr>
          </w:p>
        </w:tc>
        <w:tc>
          <w:tcPr>
            <w:tcW w:w="1971" w:type="dxa"/>
            <w:vAlign w:val="center"/>
          </w:tcPr>
          <w:p>
            <w:pPr>
              <w:pStyle w:val="154"/>
              <w:jc w:val="left"/>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30" w:type="dxa"/>
            <w:vAlign w:val="center"/>
          </w:tcPr>
          <w:p>
            <w:pPr>
              <w:pStyle w:val="154"/>
              <w:ind w:firstLine="0"/>
              <w:jc w:val="left"/>
              <w:rPr>
                <w:rFonts w:hint="eastAsia" w:ascii="仿宋" w:hAnsi="仿宋" w:eastAsia="仿宋" w:cs="仿宋"/>
                <w:color w:val="auto"/>
                <w:szCs w:val="21"/>
                <w:highlight w:val="none"/>
              </w:rPr>
            </w:pPr>
          </w:p>
        </w:tc>
        <w:tc>
          <w:tcPr>
            <w:tcW w:w="1423" w:type="dxa"/>
            <w:vAlign w:val="center"/>
          </w:tcPr>
          <w:p>
            <w:pPr>
              <w:pStyle w:val="154"/>
              <w:jc w:val="left"/>
              <w:rPr>
                <w:rFonts w:hint="eastAsia" w:ascii="仿宋" w:hAnsi="仿宋" w:eastAsia="仿宋" w:cs="仿宋"/>
                <w:color w:val="auto"/>
                <w:szCs w:val="21"/>
                <w:highlight w:val="none"/>
              </w:rPr>
            </w:pPr>
          </w:p>
        </w:tc>
        <w:tc>
          <w:tcPr>
            <w:tcW w:w="1510" w:type="dxa"/>
            <w:vAlign w:val="center"/>
          </w:tcPr>
          <w:p>
            <w:pPr>
              <w:pStyle w:val="154"/>
              <w:jc w:val="left"/>
              <w:rPr>
                <w:rFonts w:hint="eastAsia" w:ascii="仿宋" w:hAnsi="仿宋" w:eastAsia="仿宋" w:cs="仿宋"/>
                <w:color w:val="auto"/>
                <w:szCs w:val="21"/>
                <w:highlight w:val="none"/>
              </w:rPr>
            </w:pPr>
          </w:p>
        </w:tc>
        <w:tc>
          <w:tcPr>
            <w:tcW w:w="2126" w:type="dxa"/>
            <w:vAlign w:val="center"/>
          </w:tcPr>
          <w:p>
            <w:pPr>
              <w:pStyle w:val="154"/>
              <w:jc w:val="left"/>
              <w:rPr>
                <w:rFonts w:hint="eastAsia" w:ascii="仿宋" w:hAnsi="仿宋" w:eastAsia="仿宋" w:cs="仿宋"/>
                <w:color w:val="auto"/>
                <w:szCs w:val="21"/>
                <w:highlight w:val="none"/>
              </w:rPr>
            </w:pPr>
          </w:p>
        </w:tc>
        <w:tc>
          <w:tcPr>
            <w:tcW w:w="1984" w:type="dxa"/>
            <w:vAlign w:val="center"/>
          </w:tcPr>
          <w:p>
            <w:pPr>
              <w:pStyle w:val="154"/>
              <w:jc w:val="left"/>
              <w:rPr>
                <w:rFonts w:hint="eastAsia" w:ascii="仿宋" w:hAnsi="仿宋" w:eastAsia="仿宋" w:cs="仿宋"/>
                <w:color w:val="auto"/>
                <w:szCs w:val="21"/>
                <w:highlight w:val="none"/>
              </w:rPr>
            </w:pPr>
          </w:p>
        </w:tc>
        <w:tc>
          <w:tcPr>
            <w:tcW w:w="1971" w:type="dxa"/>
            <w:vAlign w:val="center"/>
          </w:tcPr>
          <w:p>
            <w:pPr>
              <w:pStyle w:val="154"/>
              <w:jc w:val="left"/>
              <w:rPr>
                <w:rFonts w:hint="eastAsia" w:ascii="仿宋" w:hAnsi="仿宋" w:eastAsia="仿宋" w:cs="仿宋"/>
                <w:color w:val="auto"/>
                <w:szCs w:val="21"/>
                <w:highlight w:val="none"/>
              </w:rPr>
            </w:pPr>
          </w:p>
        </w:tc>
      </w:tr>
    </w:tbl>
    <w:p>
      <w:pPr>
        <w:pStyle w:val="154"/>
        <w:ind w:firstLine="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投标人（企业电子章）：                                      </w:t>
      </w:r>
    </w:p>
    <w:p>
      <w:pPr>
        <w:pStyle w:val="154"/>
        <w:ind w:firstLine="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注：</w:t>
      </w:r>
    </w:p>
    <w:p>
      <w:pPr>
        <w:pStyle w:val="154"/>
        <w:ind w:firstLine="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投标人提供的产品属于节能产品、环境标志产品的，应提供相关证明资料(上述节能产品、环境标志产品认证证书复印件)，并如实填写本表，未按此要求提供证明资料或填写本表的，评审时不予认可、不予加分。</w:t>
      </w:r>
    </w:p>
    <w:p>
      <w:pPr>
        <w:pStyle w:val="154"/>
        <w:ind w:firstLine="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2、证书应是由《市场监管总局关于发布参与实施政府采购节能产品、环境标志产品认证机构名录的公告》的认证机构出具的、处于有效期之内的。</w:t>
      </w:r>
    </w:p>
    <w:p>
      <w:pPr>
        <w:pStyle w:val="154"/>
        <w:ind w:firstLine="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3、投标人可根据需要自行增减表格行数。</w:t>
      </w:r>
    </w:p>
    <w:p>
      <w:pPr>
        <w:pStyle w:val="154"/>
        <w:ind w:firstLine="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4、相关证明资料附后。</w:t>
      </w:r>
    </w:p>
    <w:p>
      <w:pPr>
        <w:rPr>
          <w:rFonts w:hint="eastAsia" w:ascii="仿宋" w:hAnsi="仿宋" w:eastAsia="仿宋" w:cs="仿宋"/>
          <w:color w:val="auto"/>
          <w:highlight w:val="none"/>
        </w:rPr>
      </w:pPr>
    </w:p>
    <w:p>
      <w:pPr>
        <w:pStyle w:val="154"/>
        <w:ind w:firstLine="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附：</w:t>
      </w:r>
    </w:p>
    <w:p>
      <w:pPr>
        <w:pStyle w:val="154"/>
        <w:ind w:firstLine="0"/>
        <w:jc w:val="left"/>
        <w:rPr>
          <w:rFonts w:hint="eastAsia" w:ascii="仿宋" w:hAnsi="仿宋" w:eastAsia="仿宋" w:cs="仿宋"/>
          <w:color w:val="auto"/>
          <w:spacing w:val="14"/>
          <w:szCs w:val="21"/>
          <w:highlight w:val="none"/>
        </w:rPr>
      </w:pPr>
      <w:r>
        <w:rPr>
          <w:rFonts w:hint="eastAsia" w:ascii="仿宋" w:hAnsi="仿宋" w:eastAsia="仿宋" w:cs="仿宋"/>
          <w:bCs/>
          <w:color w:val="auto"/>
          <w:szCs w:val="21"/>
          <w:highlight w:val="none"/>
        </w:rPr>
        <w:t>1、投标产品的《中国节能产品认证证书》</w:t>
      </w:r>
      <w:r>
        <w:rPr>
          <w:rFonts w:hint="eastAsia" w:ascii="仿宋" w:hAnsi="仿宋" w:eastAsia="仿宋" w:cs="仿宋"/>
          <w:color w:val="auto"/>
          <w:spacing w:val="14"/>
          <w:szCs w:val="21"/>
          <w:highlight w:val="none"/>
        </w:rPr>
        <w:t>（应明显标画出对应的产品型号）</w:t>
      </w:r>
    </w:p>
    <w:p>
      <w:pPr>
        <w:rPr>
          <w:rFonts w:hint="eastAsia" w:ascii="仿宋" w:hAnsi="仿宋" w:eastAsia="仿宋" w:cs="仿宋"/>
          <w:color w:val="auto"/>
          <w:highlight w:val="none"/>
        </w:rPr>
      </w:pPr>
    </w:p>
    <w:p>
      <w:pPr>
        <w:pStyle w:val="154"/>
        <w:ind w:firstLine="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2、投标产品的《中国环境标志产品认证证书》</w:t>
      </w:r>
      <w:r>
        <w:rPr>
          <w:rFonts w:hint="eastAsia" w:ascii="仿宋" w:hAnsi="仿宋" w:eastAsia="仿宋" w:cs="仿宋"/>
          <w:color w:val="auto"/>
          <w:spacing w:val="14"/>
          <w:szCs w:val="21"/>
          <w:highlight w:val="none"/>
        </w:rPr>
        <w:t>（应明显标画出对应的产品型号）</w:t>
      </w:r>
    </w:p>
    <w:p>
      <w:pPr>
        <w:pStyle w:val="5"/>
        <w:rPr>
          <w:rFonts w:hint="eastAsia" w:ascii="仿宋" w:hAnsi="仿宋" w:eastAsia="仿宋" w:cs="仿宋"/>
          <w:color w:val="auto"/>
          <w:highlight w:val="none"/>
        </w:rPr>
      </w:pPr>
      <w:bookmarkStart w:id="186" w:name="_Toc1660870"/>
      <w:bookmarkStart w:id="187" w:name="_Hlk93434901"/>
      <w:r>
        <w:rPr>
          <w:rFonts w:hint="eastAsia" w:ascii="仿宋" w:hAnsi="仿宋" w:eastAsia="仿宋" w:cs="仿宋"/>
          <w:color w:val="auto"/>
          <w:highlight w:val="none"/>
        </w:rPr>
        <w:br w:type="page"/>
      </w:r>
      <w:bookmarkStart w:id="188" w:name="_Toc27926"/>
      <w:r>
        <w:rPr>
          <w:rFonts w:hint="eastAsia" w:ascii="仿宋" w:hAnsi="仿宋" w:eastAsia="仿宋" w:cs="仿宋"/>
          <w:color w:val="auto"/>
          <w:highlight w:val="none"/>
        </w:rPr>
        <w:t>十</w:t>
      </w:r>
      <w:r>
        <w:rPr>
          <w:rFonts w:hint="eastAsia" w:ascii="仿宋" w:hAnsi="仿宋" w:cs="仿宋"/>
          <w:color w:val="auto"/>
          <w:highlight w:val="none"/>
          <w:lang w:val="en-US" w:eastAsia="zh-CN"/>
        </w:rPr>
        <w:t>五</w:t>
      </w:r>
      <w:r>
        <w:rPr>
          <w:rFonts w:hint="eastAsia" w:ascii="仿宋" w:hAnsi="仿宋" w:eastAsia="仿宋" w:cs="仿宋"/>
          <w:color w:val="auto"/>
          <w:highlight w:val="none"/>
        </w:rPr>
        <w:t>、</w:t>
      </w:r>
      <w:bookmarkEnd w:id="186"/>
      <w:bookmarkEnd w:id="188"/>
      <w:r>
        <w:rPr>
          <w:rFonts w:hint="eastAsia" w:ascii="仿宋" w:hAnsi="仿宋" w:eastAsia="仿宋" w:cs="仿宋"/>
          <w:color w:val="auto"/>
          <w:spacing w:val="14"/>
          <w:szCs w:val="21"/>
          <w:highlight w:val="none"/>
          <w:lang w:val="en-US" w:eastAsia="zh-CN"/>
        </w:rPr>
        <w:t>售后服务</w:t>
      </w:r>
      <w:r>
        <w:rPr>
          <w:rFonts w:hint="eastAsia" w:ascii="仿宋" w:hAnsi="仿宋" w:eastAsia="仿宋" w:cs="仿宋"/>
          <w:color w:val="auto"/>
          <w:spacing w:val="14"/>
          <w:szCs w:val="21"/>
          <w:highlight w:val="none"/>
        </w:rPr>
        <w:t>方案</w:t>
      </w:r>
    </w:p>
    <w:bookmarkEnd w:id="187"/>
    <w:p>
      <w:pPr>
        <w:pStyle w:val="154"/>
        <w:ind w:firstLine="0"/>
        <w:rPr>
          <w:rFonts w:hint="eastAsia" w:ascii="仿宋" w:hAnsi="仿宋" w:eastAsia="仿宋" w:cs="仿宋"/>
          <w:color w:val="auto"/>
          <w:szCs w:val="21"/>
          <w:highlight w:val="none"/>
        </w:rPr>
      </w:pPr>
    </w:p>
    <w:p>
      <w:pPr>
        <w:pStyle w:val="154"/>
        <w:ind w:firstLine="0"/>
        <w:jc w:val="center"/>
        <w:rPr>
          <w:rFonts w:hint="eastAsia" w:ascii="仿宋" w:hAnsi="仿宋" w:eastAsia="仿宋" w:cs="仿宋"/>
          <w:color w:val="auto"/>
          <w:szCs w:val="21"/>
          <w:highlight w:val="none"/>
        </w:rPr>
      </w:pPr>
    </w:p>
    <w:p>
      <w:pPr>
        <w:rPr>
          <w:rFonts w:hint="eastAsia" w:ascii="仿宋" w:hAnsi="仿宋" w:eastAsia="仿宋" w:cs="仿宋"/>
          <w:color w:val="auto"/>
          <w:sz w:val="24"/>
          <w:highlight w:val="none"/>
        </w:rPr>
      </w:pPr>
    </w:p>
    <w:p>
      <w:pPr>
        <w:pStyle w:val="154"/>
        <w:ind w:firstLine="0"/>
        <w:rPr>
          <w:rFonts w:hint="eastAsia" w:ascii="仿宋" w:hAnsi="仿宋" w:eastAsia="仿宋" w:cs="仿宋"/>
          <w:color w:val="auto"/>
          <w:szCs w:val="21"/>
          <w:highlight w:val="none"/>
        </w:rPr>
      </w:pPr>
    </w:p>
    <w:p>
      <w:pPr>
        <w:rPr>
          <w:rFonts w:hint="eastAsia" w:ascii="仿宋" w:hAnsi="仿宋" w:eastAsia="仿宋" w:cs="仿宋"/>
          <w:color w:val="auto"/>
          <w:highlight w:val="none"/>
        </w:rPr>
      </w:pPr>
    </w:p>
    <w:p>
      <w:pPr>
        <w:pStyle w:val="154"/>
        <w:ind w:firstLine="0"/>
        <w:rPr>
          <w:rFonts w:hint="eastAsia" w:ascii="仿宋" w:hAnsi="仿宋" w:eastAsia="仿宋" w:cs="仿宋"/>
          <w:color w:val="auto"/>
          <w:szCs w:val="21"/>
          <w:highlight w:val="none"/>
        </w:rPr>
      </w:pPr>
    </w:p>
    <w:p>
      <w:pPr>
        <w:ind w:firstLine="420"/>
        <w:rPr>
          <w:rFonts w:hint="eastAsia" w:ascii="仿宋" w:hAnsi="仿宋" w:eastAsia="仿宋" w:cs="仿宋"/>
          <w:bCs/>
          <w:color w:val="auto"/>
          <w:spacing w:val="10"/>
          <w:sz w:val="21"/>
          <w:szCs w:val="21"/>
          <w:highlight w:val="none"/>
        </w:rPr>
      </w:pPr>
      <w:r>
        <w:rPr>
          <w:rFonts w:hint="eastAsia" w:ascii="仿宋" w:hAnsi="仿宋" w:eastAsia="仿宋" w:cs="仿宋"/>
          <w:bCs/>
          <w:color w:val="auto"/>
          <w:spacing w:val="10"/>
          <w:sz w:val="21"/>
          <w:szCs w:val="21"/>
          <w:highlight w:val="none"/>
        </w:rPr>
        <w:t>投标人根据招标项目要求及自身情况自行填报。</w:t>
      </w:r>
    </w:p>
    <w:p>
      <w:pPr>
        <w:rPr>
          <w:rFonts w:hint="eastAsia" w:ascii="仿宋" w:hAnsi="仿宋" w:eastAsia="仿宋" w:cs="仿宋"/>
          <w:bCs/>
          <w:color w:val="auto"/>
          <w:spacing w:val="10"/>
          <w:sz w:val="21"/>
          <w:szCs w:val="21"/>
          <w:highlight w:val="none"/>
        </w:rPr>
      </w:pPr>
    </w:p>
    <w:p>
      <w:pPr>
        <w:rPr>
          <w:rFonts w:hint="eastAsia" w:ascii="仿宋" w:hAnsi="仿宋" w:eastAsia="仿宋" w:cs="仿宋"/>
          <w:bCs/>
          <w:color w:val="auto"/>
          <w:spacing w:val="10"/>
          <w:sz w:val="21"/>
          <w:szCs w:val="21"/>
          <w:highlight w:val="none"/>
        </w:rPr>
      </w:pPr>
    </w:p>
    <w:p>
      <w:pPr>
        <w:rPr>
          <w:rFonts w:hint="eastAsia" w:ascii="仿宋" w:hAnsi="仿宋" w:eastAsia="仿宋" w:cs="仿宋"/>
          <w:color w:val="auto"/>
          <w:sz w:val="21"/>
          <w:szCs w:val="21"/>
          <w:highlight w:val="none"/>
        </w:rPr>
      </w:pPr>
      <w:r>
        <w:rPr>
          <w:rFonts w:hint="eastAsia" w:ascii="仿宋" w:hAnsi="仿宋" w:eastAsia="仿宋" w:cs="仿宋"/>
          <w:bCs/>
          <w:color w:val="auto"/>
          <w:spacing w:val="10"/>
          <w:sz w:val="21"/>
          <w:szCs w:val="21"/>
          <w:highlight w:val="none"/>
        </w:rPr>
        <w:t>投标人（企业电子章）：</w:t>
      </w: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4"/>
        <w:rPr>
          <w:rFonts w:hint="eastAsia" w:ascii="仿宋" w:hAnsi="仿宋" w:eastAsia="仿宋" w:cs="仿宋"/>
          <w:color w:val="auto"/>
          <w:highlight w:val="none"/>
        </w:rPr>
      </w:pPr>
    </w:p>
    <w:p>
      <w:pPr>
        <w:pStyle w:val="5"/>
        <w:rPr>
          <w:rFonts w:hint="eastAsia" w:ascii="仿宋" w:hAnsi="仿宋" w:eastAsia="仿宋" w:cs="仿宋"/>
          <w:color w:val="auto"/>
          <w:highlight w:val="none"/>
        </w:rPr>
      </w:pPr>
      <w:bookmarkStart w:id="189" w:name="_Toc1660871"/>
      <w:bookmarkStart w:id="190" w:name="_Hlk93434909"/>
      <w:r>
        <w:rPr>
          <w:rFonts w:hint="eastAsia" w:ascii="仿宋" w:hAnsi="仿宋" w:eastAsia="仿宋" w:cs="仿宋"/>
          <w:color w:val="auto"/>
          <w:highlight w:val="none"/>
        </w:rPr>
        <w:br w:type="page"/>
      </w:r>
      <w:bookmarkStart w:id="191" w:name="_Toc10624"/>
      <w:r>
        <w:rPr>
          <w:rFonts w:hint="eastAsia" w:ascii="仿宋" w:hAnsi="仿宋" w:eastAsia="仿宋" w:cs="仿宋"/>
          <w:color w:val="auto"/>
          <w:highlight w:val="none"/>
        </w:rPr>
        <w:t>十</w:t>
      </w:r>
      <w:r>
        <w:rPr>
          <w:rFonts w:hint="eastAsia" w:ascii="仿宋" w:hAnsi="仿宋" w:cs="仿宋"/>
          <w:color w:val="auto"/>
          <w:highlight w:val="none"/>
          <w:lang w:val="en-US" w:eastAsia="zh-CN"/>
        </w:rPr>
        <w:t>六</w:t>
      </w:r>
      <w:r>
        <w:rPr>
          <w:rFonts w:hint="eastAsia" w:ascii="仿宋" w:hAnsi="仿宋" w:eastAsia="仿宋" w:cs="仿宋"/>
          <w:color w:val="auto"/>
          <w:highlight w:val="none"/>
        </w:rPr>
        <w:t>、</w:t>
      </w:r>
      <w:bookmarkEnd w:id="189"/>
      <w:bookmarkEnd w:id="190"/>
      <w:bookmarkEnd w:id="191"/>
      <w:r>
        <w:rPr>
          <w:rFonts w:hint="eastAsia" w:ascii="仿宋" w:hAnsi="仿宋" w:eastAsia="仿宋" w:cs="仿宋"/>
          <w:color w:val="auto"/>
          <w:spacing w:val="14"/>
          <w:szCs w:val="21"/>
          <w:highlight w:val="none"/>
          <w:lang w:val="en-US" w:eastAsia="zh-CN"/>
        </w:rPr>
        <w:t>人员培训方案</w:t>
      </w:r>
    </w:p>
    <w:p>
      <w:pPr>
        <w:jc w:val="center"/>
        <w:rPr>
          <w:rFonts w:hint="eastAsia" w:ascii="仿宋" w:hAnsi="仿宋" w:eastAsia="仿宋" w:cs="仿宋"/>
          <w:bCs/>
          <w:color w:val="auto"/>
          <w:spacing w:val="10"/>
          <w:highlight w:val="none"/>
        </w:rPr>
      </w:pPr>
    </w:p>
    <w:p>
      <w:pPr>
        <w:jc w:val="center"/>
        <w:rPr>
          <w:rFonts w:hint="eastAsia" w:ascii="仿宋" w:hAnsi="仿宋" w:eastAsia="仿宋" w:cs="仿宋"/>
          <w:bCs/>
          <w:color w:val="auto"/>
          <w:spacing w:val="10"/>
          <w:sz w:val="21"/>
          <w:szCs w:val="21"/>
          <w:highlight w:val="none"/>
        </w:rPr>
      </w:pPr>
    </w:p>
    <w:p>
      <w:pPr>
        <w:ind w:firstLine="420"/>
        <w:rPr>
          <w:rFonts w:hint="eastAsia" w:ascii="仿宋" w:hAnsi="仿宋" w:eastAsia="仿宋" w:cs="仿宋"/>
          <w:bCs/>
          <w:color w:val="auto"/>
          <w:spacing w:val="10"/>
          <w:sz w:val="21"/>
          <w:szCs w:val="21"/>
          <w:highlight w:val="none"/>
        </w:rPr>
      </w:pPr>
      <w:r>
        <w:rPr>
          <w:rFonts w:hint="eastAsia" w:ascii="仿宋" w:hAnsi="仿宋" w:eastAsia="仿宋" w:cs="仿宋"/>
          <w:bCs/>
          <w:color w:val="auto"/>
          <w:spacing w:val="10"/>
          <w:sz w:val="21"/>
          <w:szCs w:val="21"/>
          <w:highlight w:val="none"/>
        </w:rPr>
        <w:t>投标人根据招标项目要求及自身情况自行填报。</w:t>
      </w:r>
    </w:p>
    <w:p>
      <w:pPr>
        <w:rPr>
          <w:rFonts w:hint="eastAsia" w:ascii="仿宋" w:hAnsi="仿宋" w:eastAsia="仿宋" w:cs="仿宋"/>
          <w:bCs/>
          <w:color w:val="auto"/>
          <w:spacing w:val="10"/>
          <w:sz w:val="21"/>
          <w:szCs w:val="21"/>
          <w:highlight w:val="none"/>
        </w:rPr>
      </w:pPr>
    </w:p>
    <w:p>
      <w:pPr>
        <w:rPr>
          <w:rFonts w:hint="eastAsia" w:ascii="仿宋" w:hAnsi="仿宋" w:eastAsia="仿宋" w:cs="仿宋"/>
          <w:bCs/>
          <w:color w:val="auto"/>
          <w:spacing w:val="10"/>
          <w:sz w:val="21"/>
          <w:szCs w:val="21"/>
          <w:highlight w:val="none"/>
        </w:rPr>
      </w:pPr>
    </w:p>
    <w:p>
      <w:pPr>
        <w:rPr>
          <w:rFonts w:hint="eastAsia" w:ascii="仿宋" w:hAnsi="仿宋" w:eastAsia="仿宋" w:cs="仿宋"/>
          <w:color w:val="auto"/>
          <w:sz w:val="21"/>
          <w:szCs w:val="21"/>
          <w:highlight w:val="none"/>
        </w:rPr>
      </w:pPr>
      <w:r>
        <w:rPr>
          <w:rFonts w:hint="eastAsia" w:ascii="仿宋" w:hAnsi="仿宋" w:eastAsia="仿宋" w:cs="仿宋"/>
          <w:bCs/>
          <w:color w:val="auto"/>
          <w:spacing w:val="10"/>
          <w:sz w:val="21"/>
          <w:szCs w:val="21"/>
          <w:highlight w:val="none"/>
        </w:rPr>
        <w:t>投标人（企业电子章）：</w:t>
      </w:r>
    </w:p>
    <w:p>
      <w:pPr>
        <w:rPr>
          <w:rFonts w:hint="eastAsia" w:ascii="仿宋" w:hAnsi="仿宋" w:eastAsia="仿宋" w:cs="仿宋"/>
          <w:bCs/>
          <w:color w:val="auto"/>
          <w:spacing w:val="10"/>
          <w:sz w:val="28"/>
          <w:szCs w:val="28"/>
          <w:highlight w:val="none"/>
        </w:rPr>
      </w:pPr>
      <w:r>
        <w:rPr>
          <w:rFonts w:hint="eastAsia" w:ascii="仿宋" w:hAnsi="仿宋" w:eastAsia="仿宋" w:cs="仿宋"/>
          <w:bCs/>
          <w:color w:val="auto"/>
          <w:spacing w:val="10"/>
          <w:sz w:val="28"/>
          <w:szCs w:val="28"/>
          <w:highlight w:val="none"/>
        </w:rPr>
        <w:br w:type="page"/>
      </w:r>
    </w:p>
    <w:p>
      <w:pPr>
        <w:pStyle w:val="5"/>
        <w:rPr>
          <w:rFonts w:hint="eastAsia" w:ascii="仿宋" w:hAnsi="仿宋" w:eastAsia="仿宋" w:cs="仿宋"/>
          <w:color w:val="auto"/>
          <w:highlight w:val="none"/>
        </w:rPr>
      </w:pPr>
      <w:bookmarkStart w:id="192" w:name="_Toc23182"/>
      <w:bookmarkStart w:id="193" w:name="_Toc1660873"/>
      <w:r>
        <w:rPr>
          <w:rFonts w:hint="eastAsia" w:ascii="仿宋" w:hAnsi="仿宋" w:eastAsia="仿宋" w:cs="仿宋"/>
          <w:color w:val="auto"/>
          <w:highlight w:val="none"/>
        </w:rPr>
        <w:t>十</w:t>
      </w:r>
      <w:r>
        <w:rPr>
          <w:rFonts w:hint="eastAsia" w:ascii="仿宋" w:hAnsi="仿宋" w:cs="仿宋"/>
          <w:color w:val="auto"/>
          <w:highlight w:val="none"/>
          <w:lang w:val="en-US" w:eastAsia="zh-CN"/>
        </w:rPr>
        <w:t>七</w:t>
      </w:r>
      <w:r>
        <w:rPr>
          <w:rFonts w:hint="eastAsia" w:ascii="仿宋" w:hAnsi="仿宋" w:eastAsia="仿宋" w:cs="仿宋"/>
          <w:color w:val="auto"/>
          <w:highlight w:val="none"/>
        </w:rPr>
        <w:t>、</w:t>
      </w:r>
      <w:bookmarkEnd w:id="192"/>
      <w:bookmarkEnd w:id="193"/>
      <w:r>
        <w:rPr>
          <w:rFonts w:hint="eastAsia" w:ascii="仿宋" w:hAnsi="仿宋" w:eastAsia="仿宋" w:cs="仿宋"/>
          <w:color w:val="auto"/>
          <w:spacing w:val="14"/>
          <w:szCs w:val="21"/>
          <w:highlight w:val="none"/>
          <w:lang w:val="en-US" w:eastAsia="zh-CN"/>
        </w:rPr>
        <w:t>供货实施方案</w:t>
      </w:r>
    </w:p>
    <w:p>
      <w:pPr>
        <w:ind w:firstLine="420"/>
        <w:rPr>
          <w:rFonts w:hint="eastAsia" w:ascii="仿宋" w:hAnsi="仿宋" w:eastAsia="仿宋" w:cs="仿宋"/>
          <w:bCs/>
          <w:color w:val="auto"/>
          <w:spacing w:val="10"/>
          <w:sz w:val="21"/>
          <w:szCs w:val="21"/>
          <w:highlight w:val="none"/>
        </w:rPr>
      </w:pPr>
    </w:p>
    <w:p>
      <w:pPr>
        <w:ind w:firstLine="420"/>
        <w:rPr>
          <w:rFonts w:hint="eastAsia" w:ascii="仿宋" w:hAnsi="仿宋" w:eastAsia="仿宋" w:cs="仿宋"/>
          <w:bCs/>
          <w:color w:val="auto"/>
          <w:spacing w:val="10"/>
          <w:sz w:val="21"/>
          <w:szCs w:val="21"/>
          <w:highlight w:val="none"/>
        </w:rPr>
      </w:pPr>
    </w:p>
    <w:p>
      <w:pPr>
        <w:rPr>
          <w:rFonts w:hint="eastAsia" w:ascii="仿宋" w:hAnsi="仿宋" w:eastAsia="仿宋" w:cs="仿宋"/>
          <w:bCs/>
          <w:color w:val="auto"/>
          <w:spacing w:val="10"/>
          <w:sz w:val="21"/>
          <w:szCs w:val="21"/>
          <w:highlight w:val="none"/>
        </w:rPr>
      </w:pPr>
      <w:r>
        <w:rPr>
          <w:rFonts w:hint="eastAsia" w:ascii="仿宋" w:hAnsi="仿宋" w:eastAsia="仿宋" w:cs="仿宋"/>
          <w:bCs/>
          <w:color w:val="auto"/>
          <w:spacing w:val="10"/>
          <w:sz w:val="21"/>
          <w:szCs w:val="21"/>
          <w:highlight w:val="none"/>
        </w:rPr>
        <w:t>投标人根据招标项目要求及自身情况自行填报。</w:t>
      </w:r>
    </w:p>
    <w:p>
      <w:pPr>
        <w:jc w:val="center"/>
        <w:rPr>
          <w:rFonts w:hint="eastAsia" w:ascii="仿宋" w:hAnsi="仿宋" w:eastAsia="仿宋" w:cs="仿宋"/>
          <w:bCs/>
          <w:color w:val="auto"/>
          <w:spacing w:val="10"/>
          <w:sz w:val="21"/>
          <w:szCs w:val="21"/>
          <w:highlight w:val="none"/>
        </w:rPr>
      </w:pPr>
    </w:p>
    <w:p>
      <w:pPr>
        <w:rPr>
          <w:rFonts w:hint="eastAsia" w:ascii="仿宋" w:hAnsi="仿宋" w:eastAsia="仿宋" w:cs="仿宋"/>
          <w:bCs/>
          <w:color w:val="auto"/>
          <w:spacing w:val="10"/>
          <w:sz w:val="21"/>
          <w:szCs w:val="21"/>
          <w:highlight w:val="none"/>
        </w:rPr>
      </w:pPr>
    </w:p>
    <w:p>
      <w:pPr>
        <w:rPr>
          <w:rFonts w:hint="eastAsia" w:ascii="仿宋" w:hAnsi="仿宋" w:eastAsia="仿宋" w:cs="仿宋"/>
          <w:color w:val="auto"/>
          <w:sz w:val="21"/>
          <w:szCs w:val="21"/>
          <w:highlight w:val="none"/>
        </w:rPr>
      </w:pPr>
      <w:r>
        <w:rPr>
          <w:rFonts w:hint="eastAsia" w:ascii="仿宋" w:hAnsi="仿宋" w:eastAsia="仿宋" w:cs="仿宋"/>
          <w:bCs/>
          <w:color w:val="auto"/>
          <w:spacing w:val="10"/>
          <w:sz w:val="21"/>
          <w:szCs w:val="21"/>
          <w:highlight w:val="none"/>
        </w:rPr>
        <w:t>投标人（企业电子章）：</w:t>
      </w:r>
    </w:p>
    <w:p>
      <w:pPr>
        <w:rPr>
          <w:rFonts w:hint="eastAsia" w:ascii="仿宋" w:hAnsi="仿宋" w:eastAsia="仿宋" w:cs="仿宋"/>
          <w:color w:val="auto"/>
          <w:sz w:val="21"/>
          <w:szCs w:val="21"/>
          <w:highlight w:val="none"/>
        </w:rPr>
      </w:pPr>
    </w:p>
    <w:p>
      <w:pPr>
        <w:rPr>
          <w:rFonts w:hint="eastAsia" w:ascii="仿宋" w:hAnsi="仿宋" w:eastAsia="仿宋" w:cs="仿宋"/>
          <w:color w:val="auto"/>
          <w:sz w:val="21"/>
          <w:szCs w:val="21"/>
          <w:highlight w:val="none"/>
        </w:rPr>
      </w:pPr>
    </w:p>
    <w:p>
      <w:pPr>
        <w:rPr>
          <w:rFonts w:hint="eastAsia" w:ascii="仿宋" w:hAnsi="仿宋" w:eastAsia="仿宋" w:cs="仿宋"/>
          <w:color w:val="auto"/>
          <w:sz w:val="21"/>
          <w:szCs w:val="21"/>
          <w:highlight w:val="none"/>
        </w:rPr>
      </w:pPr>
    </w:p>
    <w:p>
      <w:pPr>
        <w:rPr>
          <w:rFonts w:hint="eastAsia" w:ascii="仿宋" w:hAnsi="仿宋" w:eastAsia="仿宋" w:cs="仿宋"/>
          <w:color w:val="auto"/>
          <w:sz w:val="21"/>
          <w:szCs w:val="21"/>
          <w:highlight w:val="none"/>
        </w:rPr>
      </w:pPr>
    </w:p>
    <w:p>
      <w:pPr>
        <w:rPr>
          <w:rFonts w:hint="eastAsia" w:ascii="仿宋" w:hAnsi="仿宋" w:eastAsia="仿宋" w:cs="仿宋"/>
          <w:color w:val="auto"/>
          <w:sz w:val="21"/>
          <w:szCs w:val="21"/>
          <w:highlight w:val="none"/>
        </w:rPr>
      </w:pPr>
    </w:p>
    <w:p>
      <w:pPr>
        <w:rPr>
          <w:rFonts w:hint="eastAsia" w:ascii="仿宋" w:hAnsi="仿宋" w:eastAsia="仿宋" w:cs="仿宋"/>
          <w:color w:val="auto"/>
          <w:sz w:val="21"/>
          <w:szCs w:val="21"/>
          <w:highlight w:val="none"/>
        </w:rPr>
      </w:pPr>
    </w:p>
    <w:p>
      <w:pPr>
        <w:rPr>
          <w:rFonts w:hint="eastAsia" w:ascii="仿宋" w:hAnsi="仿宋" w:eastAsia="仿宋" w:cs="仿宋"/>
          <w:color w:val="auto"/>
          <w:sz w:val="21"/>
          <w:szCs w:val="21"/>
          <w:highlight w:val="none"/>
        </w:rPr>
      </w:pPr>
    </w:p>
    <w:p>
      <w:pPr>
        <w:rPr>
          <w:rFonts w:hint="eastAsia" w:ascii="仿宋" w:hAnsi="仿宋" w:eastAsia="仿宋" w:cs="仿宋"/>
          <w:color w:val="auto"/>
          <w:sz w:val="21"/>
          <w:szCs w:val="21"/>
          <w:highlight w:val="none"/>
        </w:rPr>
      </w:pPr>
    </w:p>
    <w:p>
      <w:pPr>
        <w:rPr>
          <w:rFonts w:hint="eastAsia" w:ascii="仿宋" w:hAnsi="仿宋" w:eastAsia="仿宋" w:cs="仿宋"/>
          <w:color w:val="auto"/>
          <w:sz w:val="21"/>
          <w:szCs w:val="21"/>
          <w:highlight w:val="none"/>
        </w:rPr>
      </w:pPr>
    </w:p>
    <w:p>
      <w:pPr>
        <w:rPr>
          <w:rFonts w:hint="eastAsia" w:ascii="仿宋" w:hAnsi="仿宋" w:eastAsia="仿宋" w:cs="仿宋"/>
          <w:color w:val="auto"/>
          <w:sz w:val="21"/>
          <w:szCs w:val="21"/>
          <w:highlight w:val="none"/>
        </w:rPr>
      </w:pPr>
    </w:p>
    <w:p>
      <w:pPr>
        <w:rPr>
          <w:rFonts w:hint="eastAsia" w:ascii="仿宋" w:hAnsi="仿宋" w:eastAsia="仿宋" w:cs="仿宋"/>
          <w:color w:val="auto"/>
          <w:sz w:val="21"/>
          <w:szCs w:val="21"/>
          <w:highlight w:val="none"/>
        </w:rPr>
      </w:pPr>
    </w:p>
    <w:p>
      <w:pPr>
        <w:rPr>
          <w:rFonts w:hint="eastAsia" w:ascii="仿宋" w:hAnsi="仿宋" w:eastAsia="仿宋" w:cs="仿宋"/>
          <w:color w:val="auto"/>
          <w:sz w:val="21"/>
          <w:szCs w:val="21"/>
          <w:highlight w:val="none"/>
        </w:rPr>
      </w:pPr>
    </w:p>
    <w:p>
      <w:pPr>
        <w:rPr>
          <w:rFonts w:hint="eastAsia" w:ascii="仿宋" w:hAnsi="仿宋" w:eastAsia="仿宋" w:cs="仿宋"/>
          <w:color w:val="auto"/>
          <w:sz w:val="21"/>
          <w:szCs w:val="21"/>
          <w:highlight w:val="none"/>
        </w:rPr>
      </w:pPr>
    </w:p>
    <w:p>
      <w:pPr>
        <w:rPr>
          <w:rFonts w:hint="eastAsia" w:ascii="仿宋" w:hAnsi="仿宋" w:eastAsia="仿宋" w:cs="仿宋"/>
          <w:color w:val="auto"/>
          <w:sz w:val="21"/>
          <w:szCs w:val="21"/>
          <w:highlight w:val="none"/>
        </w:rPr>
      </w:pPr>
    </w:p>
    <w:p>
      <w:pPr>
        <w:spacing w:before="78" w:line="238" w:lineRule="auto"/>
        <w:jc w:val="center"/>
        <w:outlineLvl w:val="2"/>
        <w:rPr>
          <w:rFonts w:hint="eastAsia" w:ascii="仿宋" w:hAnsi="仿宋" w:eastAsia="仿宋" w:cs="仿宋"/>
          <w:color w:val="auto"/>
          <w:spacing w:val="11"/>
          <w:sz w:val="24"/>
          <w:szCs w:val="24"/>
          <w:highlight w:val="none"/>
        </w:rPr>
      </w:pPr>
    </w:p>
    <w:p>
      <w:pPr>
        <w:spacing w:before="78" w:line="238" w:lineRule="auto"/>
        <w:jc w:val="center"/>
        <w:outlineLvl w:val="2"/>
        <w:rPr>
          <w:rFonts w:hint="eastAsia" w:ascii="仿宋" w:hAnsi="仿宋" w:eastAsia="仿宋" w:cs="仿宋"/>
          <w:color w:val="auto"/>
          <w:spacing w:val="11"/>
          <w:sz w:val="24"/>
          <w:szCs w:val="24"/>
          <w:highlight w:val="none"/>
        </w:rPr>
      </w:pPr>
    </w:p>
    <w:p>
      <w:pPr>
        <w:spacing w:before="78" w:line="238" w:lineRule="auto"/>
        <w:jc w:val="center"/>
        <w:outlineLvl w:val="2"/>
        <w:rPr>
          <w:rFonts w:hint="eastAsia" w:ascii="仿宋" w:hAnsi="仿宋" w:eastAsia="仿宋" w:cs="仿宋"/>
          <w:color w:val="auto"/>
          <w:spacing w:val="11"/>
          <w:sz w:val="24"/>
          <w:szCs w:val="24"/>
          <w:highlight w:val="none"/>
        </w:rPr>
      </w:pPr>
    </w:p>
    <w:p>
      <w:pPr>
        <w:spacing w:before="78" w:line="238" w:lineRule="auto"/>
        <w:jc w:val="center"/>
        <w:outlineLvl w:val="2"/>
        <w:rPr>
          <w:rFonts w:hint="eastAsia" w:ascii="仿宋" w:hAnsi="仿宋" w:eastAsia="仿宋" w:cs="仿宋"/>
          <w:color w:val="auto"/>
          <w:spacing w:val="11"/>
          <w:sz w:val="24"/>
          <w:szCs w:val="24"/>
          <w:highlight w:val="none"/>
        </w:rPr>
      </w:pPr>
    </w:p>
    <w:p>
      <w:pPr>
        <w:spacing w:before="78" w:line="238" w:lineRule="auto"/>
        <w:jc w:val="center"/>
        <w:outlineLvl w:val="2"/>
        <w:rPr>
          <w:rFonts w:hint="eastAsia" w:ascii="仿宋" w:hAnsi="仿宋" w:eastAsia="仿宋" w:cs="仿宋"/>
          <w:color w:val="auto"/>
          <w:spacing w:val="11"/>
          <w:sz w:val="24"/>
          <w:szCs w:val="24"/>
          <w:highlight w:val="none"/>
        </w:rPr>
      </w:pPr>
    </w:p>
    <w:p>
      <w:pPr>
        <w:spacing w:before="78" w:line="238" w:lineRule="auto"/>
        <w:jc w:val="center"/>
        <w:outlineLvl w:val="2"/>
        <w:rPr>
          <w:rFonts w:hint="eastAsia" w:ascii="仿宋" w:hAnsi="仿宋" w:eastAsia="仿宋" w:cs="仿宋"/>
          <w:color w:val="auto"/>
          <w:spacing w:val="11"/>
          <w:sz w:val="24"/>
          <w:szCs w:val="24"/>
          <w:highlight w:val="none"/>
        </w:rPr>
      </w:pPr>
    </w:p>
    <w:p>
      <w:pPr>
        <w:spacing w:before="78" w:line="238" w:lineRule="auto"/>
        <w:jc w:val="center"/>
        <w:outlineLvl w:val="2"/>
        <w:rPr>
          <w:rFonts w:hint="eastAsia" w:ascii="仿宋" w:hAnsi="仿宋" w:eastAsia="仿宋" w:cs="仿宋"/>
          <w:color w:val="auto"/>
          <w:spacing w:val="11"/>
          <w:sz w:val="24"/>
          <w:szCs w:val="24"/>
          <w:highlight w:val="none"/>
        </w:rPr>
      </w:pPr>
    </w:p>
    <w:p>
      <w:pPr>
        <w:spacing w:before="78" w:line="238" w:lineRule="auto"/>
        <w:jc w:val="center"/>
        <w:outlineLvl w:val="2"/>
        <w:rPr>
          <w:rFonts w:hint="eastAsia" w:ascii="仿宋" w:hAnsi="仿宋" w:eastAsia="仿宋" w:cs="仿宋"/>
          <w:color w:val="auto"/>
          <w:spacing w:val="-34"/>
          <w:sz w:val="24"/>
          <w:szCs w:val="24"/>
          <w:highlight w:val="none"/>
        </w:rPr>
      </w:pPr>
      <w:r>
        <w:rPr>
          <w:rFonts w:hint="eastAsia" w:ascii="仿宋" w:hAnsi="仿宋" w:eastAsia="仿宋" w:cs="仿宋"/>
          <w:color w:val="auto"/>
          <w:spacing w:val="11"/>
          <w:sz w:val="24"/>
          <w:szCs w:val="24"/>
          <w:highlight w:val="none"/>
        </w:rPr>
        <w:t>备品备件易损件折扣率表</w:t>
      </w:r>
    </w:p>
    <w:p>
      <w:pPr>
        <w:pStyle w:val="343"/>
        <w:rPr>
          <w:rFonts w:hint="eastAsia" w:ascii="仿宋" w:hAnsi="仿宋" w:eastAsia="仿宋" w:cs="仿宋"/>
          <w:bCs/>
          <w:color w:val="auto"/>
          <w:sz w:val="28"/>
          <w:szCs w:val="28"/>
          <w:highlight w:val="none"/>
        </w:rPr>
      </w:pPr>
    </w:p>
    <w:tbl>
      <w:tblPr>
        <w:tblStyle w:val="338"/>
        <w:tblW w:w="5604"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642"/>
        <w:gridCol w:w="1280"/>
        <w:gridCol w:w="1543"/>
        <w:gridCol w:w="1080"/>
        <w:gridCol w:w="939"/>
        <w:gridCol w:w="959"/>
        <w:gridCol w:w="959"/>
        <w:gridCol w:w="959"/>
        <w:gridCol w:w="9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0" w:hRule="atLeast"/>
          <w:jc w:val="center"/>
        </w:trPr>
        <w:tc>
          <w:tcPr>
            <w:tcW w:w="344" w:type="pct"/>
            <w:vAlign w:val="center"/>
          </w:tcPr>
          <w:p>
            <w:pPr>
              <w:spacing w:before="68" w:line="185" w:lineRule="auto"/>
              <w:ind w:firstLine="119"/>
              <w:jc w:val="left"/>
              <w:rPr>
                <w:rFonts w:hint="eastAsia" w:ascii="仿宋" w:hAnsi="仿宋" w:eastAsia="仿宋" w:cs="仿宋"/>
                <w:color w:val="auto"/>
                <w:sz w:val="21"/>
                <w:szCs w:val="21"/>
                <w:highlight w:val="none"/>
              </w:rPr>
            </w:pPr>
            <w:r>
              <w:rPr>
                <w:rFonts w:hint="eastAsia" w:ascii="仿宋" w:hAnsi="仿宋" w:eastAsia="仿宋" w:cs="仿宋"/>
                <w:color w:val="auto"/>
                <w:spacing w:val="-4"/>
                <w:sz w:val="21"/>
                <w:szCs w:val="21"/>
                <w:highlight w:val="none"/>
              </w:rPr>
              <w:t>序号</w:t>
            </w:r>
          </w:p>
        </w:tc>
        <w:tc>
          <w:tcPr>
            <w:tcW w:w="686" w:type="pct"/>
            <w:vAlign w:val="center"/>
          </w:tcPr>
          <w:p>
            <w:pPr>
              <w:spacing w:before="68" w:line="185" w:lineRule="auto"/>
              <w:ind w:firstLine="116"/>
              <w:jc w:val="center"/>
              <w:rPr>
                <w:rFonts w:hint="eastAsia" w:ascii="仿宋" w:hAnsi="仿宋" w:eastAsia="仿宋" w:cs="仿宋"/>
                <w:color w:val="auto"/>
                <w:sz w:val="21"/>
                <w:szCs w:val="21"/>
                <w:highlight w:val="none"/>
              </w:rPr>
            </w:pPr>
            <w:r>
              <w:rPr>
                <w:rFonts w:hint="eastAsia" w:ascii="仿宋" w:hAnsi="仿宋" w:eastAsia="仿宋" w:cs="仿宋"/>
                <w:color w:val="auto"/>
                <w:spacing w:val="-4"/>
                <w:sz w:val="21"/>
                <w:szCs w:val="21"/>
                <w:highlight w:val="none"/>
              </w:rPr>
              <w:t>货物名称</w:t>
            </w:r>
          </w:p>
        </w:tc>
        <w:tc>
          <w:tcPr>
            <w:tcW w:w="827" w:type="pct"/>
            <w:vAlign w:val="center"/>
          </w:tcPr>
          <w:p>
            <w:pPr>
              <w:spacing w:before="68" w:line="185" w:lineRule="auto"/>
              <w:ind w:firstLine="139"/>
              <w:jc w:val="center"/>
              <w:rPr>
                <w:rFonts w:hint="eastAsia" w:ascii="仿宋" w:hAnsi="仿宋" w:eastAsia="仿宋" w:cs="仿宋"/>
                <w:color w:val="auto"/>
                <w:sz w:val="21"/>
                <w:szCs w:val="21"/>
                <w:highlight w:val="none"/>
              </w:rPr>
            </w:pPr>
            <w:r>
              <w:rPr>
                <w:rFonts w:hint="eastAsia" w:ascii="仿宋" w:hAnsi="仿宋" w:eastAsia="仿宋" w:cs="仿宋"/>
                <w:color w:val="auto"/>
                <w:spacing w:val="-5"/>
                <w:sz w:val="21"/>
                <w:szCs w:val="21"/>
                <w:highlight w:val="none"/>
              </w:rPr>
              <w:t>品牌及制造商</w:t>
            </w:r>
          </w:p>
        </w:tc>
        <w:tc>
          <w:tcPr>
            <w:tcW w:w="579" w:type="pct"/>
            <w:vAlign w:val="center"/>
          </w:tcPr>
          <w:p>
            <w:pPr>
              <w:spacing w:before="68" w:line="185" w:lineRule="auto"/>
              <w:ind w:firstLine="120"/>
              <w:jc w:val="center"/>
              <w:rPr>
                <w:rFonts w:hint="eastAsia" w:ascii="仿宋" w:hAnsi="仿宋" w:eastAsia="仿宋" w:cs="仿宋"/>
                <w:color w:val="auto"/>
                <w:sz w:val="21"/>
                <w:szCs w:val="21"/>
                <w:highlight w:val="none"/>
              </w:rPr>
            </w:pPr>
            <w:r>
              <w:rPr>
                <w:rFonts w:hint="eastAsia" w:ascii="仿宋" w:hAnsi="仿宋" w:eastAsia="仿宋" w:cs="仿宋"/>
                <w:color w:val="auto"/>
                <w:spacing w:val="-3"/>
                <w:sz w:val="21"/>
                <w:szCs w:val="21"/>
                <w:highlight w:val="none"/>
              </w:rPr>
              <w:t>规格型号</w:t>
            </w:r>
          </w:p>
        </w:tc>
        <w:tc>
          <w:tcPr>
            <w:tcW w:w="503" w:type="pct"/>
            <w:vAlign w:val="center"/>
          </w:tcPr>
          <w:p>
            <w:pPr>
              <w:spacing w:line="204" w:lineRule="auto"/>
              <w:jc w:val="center"/>
              <w:rPr>
                <w:rFonts w:hint="eastAsia" w:ascii="仿宋" w:hAnsi="仿宋" w:eastAsia="仿宋" w:cs="仿宋"/>
                <w:color w:val="auto"/>
                <w:sz w:val="21"/>
                <w:szCs w:val="21"/>
                <w:highlight w:val="none"/>
              </w:rPr>
            </w:pPr>
            <w:r>
              <w:rPr>
                <w:rFonts w:hint="eastAsia" w:ascii="仿宋" w:hAnsi="仿宋" w:eastAsia="仿宋" w:cs="仿宋"/>
                <w:color w:val="auto"/>
                <w:spacing w:val="-4"/>
                <w:sz w:val="21"/>
                <w:szCs w:val="21"/>
                <w:highlight w:val="none"/>
              </w:rPr>
              <w:t>原价（元）</w:t>
            </w:r>
          </w:p>
        </w:tc>
        <w:tc>
          <w:tcPr>
            <w:tcW w:w="514" w:type="pct"/>
            <w:vAlign w:val="center"/>
          </w:tcPr>
          <w:p>
            <w:pPr>
              <w:spacing w:line="204" w:lineRule="auto"/>
              <w:ind w:firstLine="125"/>
              <w:jc w:val="center"/>
              <w:rPr>
                <w:rFonts w:hint="eastAsia" w:ascii="仿宋" w:hAnsi="仿宋" w:eastAsia="仿宋" w:cs="仿宋"/>
                <w:color w:val="auto"/>
                <w:sz w:val="21"/>
                <w:szCs w:val="21"/>
                <w:highlight w:val="none"/>
              </w:rPr>
            </w:pPr>
            <w:r>
              <w:rPr>
                <w:rFonts w:hint="eastAsia" w:ascii="仿宋" w:hAnsi="仿宋" w:eastAsia="仿宋" w:cs="仿宋"/>
                <w:color w:val="auto"/>
                <w:spacing w:val="-6"/>
                <w:position w:val="20"/>
                <w:sz w:val="21"/>
                <w:szCs w:val="21"/>
                <w:highlight w:val="none"/>
              </w:rPr>
              <w:t>折扣率（%）</w:t>
            </w:r>
          </w:p>
        </w:tc>
        <w:tc>
          <w:tcPr>
            <w:tcW w:w="514" w:type="pct"/>
            <w:vAlign w:val="center"/>
          </w:tcPr>
          <w:p>
            <w:pPr>
              <w:spacing w:before="68" w:line="185" w:lineRule="auto"/>
              <w:jc w:val="center"/>
              <w:rPr>
                <w:rFonts w:hint="eastAsia" w:ascii="仿宋" w:hAnsi="仿宋" w:eastAsia="仿宋" w:cs="仿宋"/>
                <w:color w:val="auto"/>
                <w:spacing w:val="-6"/>
                <w:position w:val="20"/>
                <w:sz w:val="21"/>
                <w:szCs w:val="21"/>
                <w:highlight w:val="none"/>
              </w:rPr>
            </w:pPr>
            <w:r>
              <w:rPr>
                <w:rFonts w:hint="eastAsia" w:ascii="仿宋" w:hAnsi="仿宋" w:eastAsia="仿宋" w:cs="仿宋"/>
                <w:color w:val="auto"/>
                <w:spacing w:val="-6"/>
                <w:position w:val="20"/>
                <w:sz w:val="21"/>
                <w:szCs w:val="21"/>
                <w:highlight w:val="none"/>
              </w:rPr>
              <w:t>折扣后金额（元）</w:t>
            </w:r>
          </w:p>
        </w:tc>
        <w:tc>
          <w:tcPr>
            <w:tcW w:w="514" w:type="pct"/>
            <w:vAlign w:val="center"/>
          </w:tcPr>
          <w:p>
            <w:pPr>
              <w:spacing w:before="68" w:line="185" w:lineRule="auto"/>
              <w:jc w:val="center"/>
              <w:rPr>
                <w:rFonts w:hint="eastAsia" w:ascii="仿宋" w:hAnsi="仿宋" w:eastAsia="仿宋" w:cs="仿宋"/>
                <w:color w:val="auto"/>
                <w:spacing w:val="-6"/>
                <w:position w:val="20"/>
                <w:sz w:val="21"/>
                <w:szCs w:val="21"/>
                <w:highlight w:val="none"/>
              </w:rPr>
            </w:pPr>
            <w:r>
              <w:rPr>
                <w:rFonts w:hint="eastAsia" w:ascii="仿宋" w:hAnsi="仿宋" w:eastAsia="仿宋" w:cs="仿宋"/>
                <w:color w:val="auto"/>
                <w:spacing w:val="-6"/>
                <w:position w:val="20"/>
                <w:sz w:val="21"/>
                <w:szCs w:val="21"/>
                <w:highlight w:val="none"/>
              </w:rPr>
              <w:t>质保期</w:t>
            </w:r>
          </w:p>
        </w:tc>
        <w:tc>
          <w:tcPr>
            <w:tcW w:w="514" w:type="pct"/>
            <w:vAlign w:val="center"/>
          </w:tcPr>
          <w:p>
            <w:pPr>
              <w:spacing w:before="68" w:line="185" w:lineRule="auto"/>
              <w:jc w:val="center"/>
              <w:rPr>
                <w:rFonts w:hint="eastAsia" w:ascii="仿宋" w:hAnsi="仿宋" w:eastAsia="仿宋" w:cs="仿宋"/>
                <w:color w:val="auto"/>
                <w:spacing w:val="-6"/>
                <w:position w:val="20"/>
                <w:sz w:val="21"/>
                <w:szCs w:val="21"/>
                <w:highlight w:val="none"/>
              </w:rPr>
            </w:pPr>
            <w:r>
              <w:rPr>
                <w:rFonts w:hint="eastAsia" w:ascii="仿宋" w:hAnsi="仿宋" w:eastAsia="仿宋" w:cs="仿宋"/>
                <w:color w:val="auto"/>
                <w:spacing w:val="-6"/>
                <w:position w:val="20"/>
                <w:sz w:val="21"/>
                <w:szCs w:val="21"/>
                <w:highlight w:val="no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5" w:hRule="atLeast"/>
          <w:jc w:val="center"/>
        </w:trPr>
        <w:tc>
          <w:tcPr>
            <w:tcW w:w="344" w:type="pct"/>
          </w:tcPr>
          <w:p>
            <w:pPr>
              <w:rPr>
                <w:rFonts w:hint="eastAsia" w:ascii="仿宋" w:hAnsi="仿宋" w:eastAsia="仿宋" w:cs="仿宋"/>
                <w:color w:val="auto"/>
                <w:sz w:val="21"/>
                <w:szCs w:val="21"/>
                <w:highlight w:val="none"/>
              </w:rPr>
            </w:pPr>
          </w:p>
        </w:tc>
        <w:tc>
          <w:tcPr>
            <w:tcW w:w="686" w:type="pct"/>
          </w:tcPr>
          <w:p>
            <w:pPr>
              <w:rPr>
                <w:rFonts w:hint="eastAsia" w:ascii="仿宋" w:hAnsi="仿宋" w:eastAsia="仿宋" w:cs="仿宋"/>
                <w:color w:val="auto"/>
                <w:sz w:val="21"/>
                <w:szCs w:val="21"/>
                <w:highlight w:val="none"/>
              </w:rPr>
            </w:pPr>
          </w:p>
        </w:tc>
        <w:tc>
          <w:tcPr>
            <w:tcW w:w="827" w:type="pct"/>
          </w:tcPr>
          <w:p>
            <w:pPr>
              <w:rPr>
                <w:rFonts w:hint="eastAsia" w:ascii="仿宋" w:hAnsi="仿宋" w:eastAsia="仿宋" w:cs="仿宋"/>
                <w:color w:val="auto"/>
                <w:sz w:val="21"/>
                <w:szCs w:val="21"/>
                <w:highlight w:val="none"/>
              </w:rPr>
            </w:pPr>
          </w:p>
        </w:tc>
        <w:tc>
          <w:tcPr>
            <w:tcW w:w="579" w:type="pct"/>
          </w:tcPr>
          <w:p>
            <w:pPr>
              <w:rPr>
                <w:rFonts w:hint="eastAsia" w:ascii="仿宋" w:hAnsi="仿宋" w:eastAsia="仿宋" w:cs="仿宋"/>
                <w:color w:val="auto"/>
                <w:sz w:val="21"/>
                <w:szCs w:val="21"/>
                <w:highlight w:val="none"/>
              </w:rPr>
            </w:pPr>
          </w:p>
        </w:tc>
        <w:tc>
          <w:tcPr>
            <w:tcW w:w="503"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 w:hRule="atLeast"/>
          <w:jc w:val="center"/>
        </w:trPr>
        <w:tc>
          <w:tcPr>
            <w:tcW w:w="344" w:type="pct"/>
          </w:tcPr>
          <w:p>
            <w:pPr>
              <w:rPr>
                <w:rFonts w:hint="eastAsia" w:ascii="仿宋" w:hAnsi="仿宋" w:eastAsia="仿宋" w:cs="仿宋"/>
                <w:color w:val="auto"/>
                <w:sz w:val="21"/>
                <w:szCs w:val="21"/>
                <w:highlight w:val="none"/>
              </w:rPr>
            </w:pPr>
          </w:p>
        </w:tc>
        <w:tc>
          <w:tcPr>
            <w:tcW w:w="686" w:type="pct"/>
          </w:tcPr>
          <w:p>
            <w:pPr>
              <w:rPr>
                <w:rFonts w:hint="eastAsia" w:ascii="仿宋" w:hAnsi="仿宋" w:eastAsia="仿宋" w:cs="仿宋"/>
                <w:color w:val="auto"/>
                <w:sz w:val="21"/>
                <w:szCs w:val="21"/>
                <w:highlight w:val="none"/>
              </w:rPr>
            </w:pPr>
          </w:p>
        </w:tc>
        <w:tc>
          <w:tcPr>
            <w:tcW w:w="827" w:type="pct"/>
          </w:tcPr>
          <w:p>
            <w:pPr>
              <w:rPr>
                <w:rFonts w:hint="eastAsia" w:ascii="仿宋" w:hAnsi="仿宋" w:eastAsia="仿宋" w:cs="仿宋"/>
                <w:color w:val="auto"/>
                <w:sz w:val="21"/>
                <w:szCs w:val="21"/>
                <w:highlight w:val="none"/>
              </w:rPr>
            </w:pPr>
          </w:p>
        </w:tc>
        <w:tc>
          <w:tcPr>
            <w:tcW w:w="579" w:type="pct"/>
          </w:tcPr>
          <w:p>
            <w:pPr>
              <w:rPr>
                <w:rFonts w:hint="eastAsia" w:ascii="仿宋" w:hAnsi="仿宋" w:eastAsia="仿宋" w:cs="仿宋"/>
                <w:color w:val="auto"/>
                <w:sz w:val="21"/>
                <w:szCs w:val="21"/>
                <w:highlight w:val="none"/>
              </w:rPr>
            </w:pPr>
          </w:p>
        </w:tc>
        <w:tc>
          <w:tcPr>
            <w:tcW w:w="503"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 w:hRule="atLeast"/>
          <w:jc w:val="center"/>
        </w:trPr>
        <w:tc>
          <w:tcPr>
            <w:tcW w:w="344" w:type="pct"/>
          </w:tcPr>
          <w:p>
            <w:pPr>
              <w:rPr>
                <w:rFonts w:hint="eastAsia" w:ascii="仿宋" w:hAnsi="仿宋" w:eastAsia="仿宋" w:cs="仿宋"/>
                <w:color w:val="auto"/>
                <w:sz w:val="21"/>
                <w:szCs w:val="21"/>
                <w:highlight w:val="none"/>
              </w:rPr>
            </w:pPr>
          </w:p>
        </w:tc>
        <w:tc>
          <w:tcPr>
            <w:tcW w:w="686" w:type="pct"/>
          </w:tcPr>
          <w:p>
            <w:pPr>
              <w:rPr>
                <w:rFonts w:hint="eastAsia" w:ascii="仿宋" w:hAnsi="仿宋" w:eastAsia="仿宋" w:cs="仿宋"/>
                <w:color w:val="auto"/>
                <w:sz w:val="21"/>
                <w:szCs w:val="21"/>
                <w:highlight w:val="none"/>
              </w:rPr>
            </w:pPr>
          </w:p>
        </w:tc>
        <w:tc>
          <w:tcPr>
            <w:tcW w:w="827" w:type="pct"/>
          </w:tcPr>
          <w:p>
            <w:pPr>
              <w:rPr>
                <w:rFonts w:hint="eastAsia" w:ascii="仿宋" w:hAnsi="仿宋" w:eastAsia="仿宋" w:cs="仿宋"/>
                <w:color w:val="auto"/>
                <w:sz w:val="21"/>
                <w:szCs w:val="21"/>
                <w:highlight w:val="none"/>
              </w:rPr>
            </w:pPr>
          </w:p>
        </w:tc>
        <w:tc>
          <w:tcPr>
            <w:tcW w:w="579" w:type="pct"/>
          </w:tcPr>
          <w:p>
            <w:pPr>
              <w:rPr>
                <w:rFonts w:hint="eastAsia" w:ascii="仿宋" w:hAnsi="仿宋" w:eastAsia="仿宋" w:cs="仿宋"/>
                <w:color w:val="auto"/>
                <w:sz w:val="21"/>
                <w:szCs w:val="21"/>
                <w:highlight w:val="none"/>
              </w:rPr>
            </w:pPr>
          </w:p>
        </w:tc>
        <w:tc>
          <w:tcPr>
            <w:tcW w:w="503"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 w:hRule="atLeast"/>
          <w:jc w:val="center"/>
        </w:trPr>
        <w:tc>
          <w:tcPr>
            <w:tcW w:w="344" w:type="pct"/>
          </w:tcPr>
          <w:p>
            <w:pPr>
              <w:rPr>
                <w:rFonts w:hint="eastAsia" w:ascii="仿宋" w:hAnsi="仿宋" w:eastAsia="仿宋" w:cs="仿宋"/>
                <w:color w:val="auto"/>
                <w:sz w:val="21"/>
                <w:szCs w:val="21"/>
                <w:highlight w:val="none"/>
              </w:rPr>
            </w:pPr>
          </w:p>
        </w:tc>
        <w:tc>
          <w:tcPr>
            <w:tcW w:w="686" w:type="pct"/>
          </w:tcPr>
          <w:p>
            <w:pPr>
              <w:rPr>
                <w:rFonts w:hint="eastAsia" w:ascii="仿宋" w:hAnsi="仿宋" w:eastAsia="仿宋" w:cs="仿宋"/>
                <w:color w:val="auto"/>
                <w:sz w:val="21"/>
                <w:szCs w:val="21"/>
                <w:highlight w:val="none"/>
              </w:rPr>
            </w:pPr>
          </w:p>
        </w:tc>
        <w:tc>
          <w:tcPr>
            <w:tcW w:w="827" w:type="pct"/>
          </w:tcPr>
          <w:p>
            <w:pPr>
              <w:rPr>
                <w:rFonts w:hint="eastAsia" w:ascii="仿宋" w:hAnsi="仿宋" w:eastAsia="仿宋" w:cs="仿宋"/>
                <w:color w:val="auto"/>
                <w:sz w:val="21"/>
                <w:szCs w:val="21"/>
                <w:highlight w:val="none"/>
              </w:rPr>
            </w:pPr>
          </w:p>
        </w:tc>
        <w:tc>
          <w:tcPr>
            <w:tcW w:w="579" w:type="pct"/>
          </w:tcPr>
          <w:p>
            <w:pPr>
              <w:rPr>
                <w:rFonts w:hint="eastAsia" w:ascii="仿宋" w:hAnsi="仿宋" w:eastAsia="仿宋" w:cs="仿宋"/>
                <w:color w:val="auto"/>
                <w:sz w:val="21"/>
                <w:szCs w:val="21"/>
                <w:highlight w:val="none"/>
              </w:rPr>
            </w:pPr>
          </w:p>
        </w:tc>
        <w:tc>
          <w:tcPr>
            <w:tcW w:w="503"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 w:hRule="atLeast"/>
          <w:jc w:val="center"/>
        </w:trPr>
        <w:tc>
          <w:tcPr>
            <w:tcW w:w="344" w:type="pct"/>
          </w:tcPr>
          <w:p>
            <w:pPr>
              <w:rPr>
                <w:rFonts w:hint="eastAsia" w:ascii="仿宋" w:hAnsi="仿宋" w:eastAsia="仿宋" w:cs="仿宋"/>
                <w:color w:val="auto"/>
                <w:sz w:val="21"/>
                <w:szCs w:val="21"/>
                <w:highlight w:val="none"/>
              </w:rPr>
            </w:pPr>
          </w:p>
        </w:tc>
        <w:tc>
          <w:tcPr>
            <w:tcW w:w="686" w:type="pct"/>
          </w:tcPr>
          <w:p>
            <w:pPr>
              <w:rPr>
                <w:rFonts w:hint="eastAsia" w:ascii="仿宋" w:hAnsi="仿宋" w:eastAsia="仿宋" w:cs="仿宋"/>
                <w:color w:val="auto"/>
                <w:sz w:val="21"/>
                <w:szCs w:val="21"/>
                <w:highlight w:val="none"/>
              </w:rPr>
            </w:pPr>
          </w:p>
        </w:tc>
        <w:tc>
          <w:tcPr>
            <w:tcW w:w="827" w:type="pct"/>
          </w:tcPr>
          <w:p>
            <w:pPr>
              <w:rPr>
                <w:rFonts w:hint="eastAsia" w:ascii="仿宋" w:hAnsi="仿宋" w:eastAsia="仿宋" w:cs="仿宋"/>
                <w:color w:val="auto"/>
                <w:sz w:val="21"/>
                <w:szCs w:val="21"/>
                <w:highlight w:val="none"/>
              </w:rPr>
            </w:pPr>
          </w:p>
        </w:tc>
        <w:tc>
          <w:tcPr>
            <w:tcW w:w="579" w:type="pct"/>
          </w:tcPr>
          <w:p>
            <w:pPr>
              <w:rPr>
                <w:rFonts w:hint="eastAsia" w:ascii="仿宋" w:hAnsi="仿宋" w:eastAsia="仿宋" w:cs="仿宋"/>
                <w:color w:val="auto"/>
                <w:sz w:val="21"/>
                <w:szCs w:val="21"/>
                <w:highlight w:val="none"/>
              </w:rPr>
            </w:pPr>
          </w:p>
        </w:tc>
        <w:tc>
          <w:tcPr>
            <w:tcW w:w="503"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 w:hRule="atLeast"/>
          <w:jc w:val="center"/>
        </w:trPr>
        <w:tc>
          <w:tcPr>
            <w:tcW w:w="344" w:type="pct"/>
          </w:tcPr>
          <w:p>
            <w:pPr>
              <w:rPr>
                <w:rFonts w:hint="eastAsia" w:ascii="仿宋" w:hAnsi="仿宋" w:eastAsia="仿宋" w:cs="仿宋"/>
                <w:color w:val="auto"/>
                <w:sz w:val="21"/>
                <w:szCs w:val="21"/>
                <w:highlight w:val="none"/>
              </w:rPr>
            </w:pPr>
          </w:p>
        </w:tc>
        <w:tc>
          <w:tcPr>
            <w:tcW w:w="686" w:type="pct"/>
          </w:tcPr>
          <w:p>
            <w:pPr>
              <w:rPr>
                <w:rFonts w:hint="eastAsia" w:ascii="仿宋" w:hAnsi="仿宋" w:eastAsia="仿宋" w:cs="仿宋"/>
                <w:color w:val="auto"/>
                <w:sz w:val="21"/>
                <w:szCs w:val="21"/>
                <w:highlight w:val="none"/>
              </w:rPr>
            </w:pPr>
          </w:p>
        </w:tc>
        <w:tc>
          <w:tcPr>
            <w:tcW w:w="827" w:type="pct"/>
          </w:tcPr>
          <w:p>
            <w:pPr>
              <w:rPr>
                <w:rFonts w:hint="eastAsia" w:ascii="仿宋" w:hAnsi="仿宋" w:eastAsia="仿宋" w:cs="仿宋"/>
                <w:color w:val="auto"/>
                <w:sz w:val="21"/>
                <w:szCs w:val="21"/>
                <w:highlight w:val="none"/>
              </w:rPr>
            </w:pPr>
          </w:p>
        </w:tc>
        <w:tc>
          <w:tcPr>
            <w:tcW w:w="579" w:type="pct"/>
          </w:tcPr>
          <w:p>
            <w:pPr>
              <w:rPr>
                <w:rFonts w:hint="eastAsia" w:ascii="仿宋" w:hAnsi="仿宋" w:eastAsia="仿宋" w:cs="仿宋"/>
                <w:color w:val="auto"/>
                <w:sz w:val="21"/>
                <w:szCs w:val="21"/>
                <w:highlight w:val="none"/>
              </w:rPr>
            </w:pPr>
          </w:p>
        </w:tc>
        <w:tc>
          <w:tcPr>
            <w:tcW w:w="503"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5" w:hRule="atLeast"/>
          <w:jc w:val="center"/>
        </w:trPr>
        <w:tc>
          <w:tcPr>
            <w:tcW w:w="344" w:type="pct"/>
          </w:tcPr>
          <w:p>
            <w:pPr>
              <w:rPr>
                <w:rFonts w:hint="eastAsia" w:ascii="仿宋" w:hAnsi="仿宋" w:eastAsia="仿宋" w:cs="仿宋"/>
                <w:color w:val="auto"/>
                <w:sz w:val="21"/>
                <w:szCs w:val="21"/>
                <w:highlight w:val="none"/>
              </w:rPr>
            </w:pPr>
          </w:p>
        </w:tc>
        <w:tc>
          <w:tcPr>
            <w:tcW w:w="686" w:type="pct"/>
          </w:tcPr>
          <w:p>
            <w:pPr>
              <w:rPr>
                <w:rFonts w:hint="eastAsia" w:ascii="仿宋" w:hAnsi="仿宋" w:eastAsia="仿宋" w:cs="仿宋"/>
                <w:color w:val="auto"/>
                <w:sz w:val="21"/>
                <w:szCs w:val="21"/>
                <w:highlight w:val="none"/>
              </w:rPr>
            </w:pPr>
          </w:p>
        </w:tc>
        <w:tc>
          <w:tcPr>
            <w:tcW w:w="827" w:type="pct"/>
          </w:tcPr>
          <w:p>
            <w:pPr>
              <w:rPr>
                <w:rFonts w:hint="eastAsia" w:ascii="仿宋" w:hAnsi="仿宋" w:eastAsia="仿宋" w:cs="仿宋"/>
                <w:color w:val="auto"/>
                <w:sz w:val="21"/>
                <w:szCs w:val="21"/>
                <w:highlight w:val="none"/>
              </w:rPr>
            </w:pPr>
          </w:p>
        </w:tc>
        <w:tc>
          <w:tcPr>
            <w:tcW w:w="579" w:type="pct"/>
          </w:tcPr>
          <w:p>
            <w:pPr>
              <w:rPr>
                <w:rFonts w:hint="eastAsia" w:ascii="仿宋" w:hAnsi="仿宋" w:eastAsia="仿宋" w:cs="仿宋"/>
                <w:color w:val="auto"/>
                <w:sz w:val="21"/>
                <w:szCs w:val="21"/>
                <w:highlight w:val="none"/>
              </w:rPr>
            </w:pPr>
          </w:p>
        </w:tc>
        <w:tc>
          <w:tcPr>
            <w:tcW w:w="503"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 w:hRule="atLeast"/>
          <w:jc w:val="center"/>
        </w:trPr>
        <w:tc>
          <w:tcPr>
            <w:tcW w:w="344" w:type="pct"/>
          </w:tcPr>
          <w:p>
            <w:pPr>
              <w:rPr>
                <w:rFonts w:hint="eastAsia" w:ascii="仿宋" w:hAnsi="仿宋" w:eastAsia="仿宋" w:cs="仿宋"/>
                <w:color w:val="auto"/>
                <w:sz w:val="21"/>
                <w:szCs w:val="21"/>
                <w:highlight w:val="none"/>
              </w:rPr>
            </w:pPr>
          </w:p>
        </w:tc>
        <w:tc>
          <w:tcPr>
            <w:tcW w:w="686" w:type="pct"/>
          </w:tcPr>
          <w:p>
            <w:pPr>
              <w:rPr>
                <w:rFonts w:hint="eastAsia" w:ascii="仿宋" w:hAnsi="仿宋" w:eastAsia="仿宋" w:cs="仿宋"/>
                <w:color w:val="auto"/>
                <w:sz w:val="21"/>
                <w:szCs w:val="21"/>
                <w:highlight w:val="none"/>
              </w:rPr>
            </w:pPr>
          </w:p>
        </w:tc>
        <w:tc>
          <w:tcPr>
            <w:tcW w:w="827" w:type="pct"/>
          </w:tcPr>
          <w:p>
            <w:pPr>
              <w:rPr>
                <w:rFonts w:hint="eastAsia" w:ascii="仿宋" w:hAnsi="仿宋" w:eastAsia="仿宋" w:cs="仿宋"/>
                <w:color w:val="auto"/>
                <w:sz w:val="21"/>
                <w:szCs w:val="21"/>
                <w:highlight w:val="none"/>
              </w:rPr>
            </w:pPr>
          </w:p>
        </w:tc>
        <w:tc>
          <w:tcPr>
            <w:tcW w:w="579" w:type="pct"/>
          </w:tcPr>
          <w:p>
            <w:pPr>
              <w:rPr>
                <w:rFonts w:hint="eastAsia" w:ascii="仿宋" w:hAnsi="仿宋" w:eastAsia="仿宋" w:cs="仿宋"/>
                <w:color w:val="auto"/>
                <w:sz w:val="21"/>
                <w:szCs w:val="21"/>
                <w:highlight w:val="none"/>
              </w:rPr>
            </w:pPr>
          </w:p>
        </w:tc>
        <w:tc>
          <w:tcPr>
            <w:tcW w:w="503"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 w:hRule="atLeast"/>
          <w:jc w:val="center"/>
        </w:trPr>
        <w:tc>
          <w:tcPr>
            <w:tcW w:w="344" w:type="pct"/>
          </w:tcPr>
          <w:p>
            <w:pPr>
              <w:rPr>
                <w:rFonts w:hint="eastAsia" w:ascii="仿宋" w:hAnsi="仿宋" w:eastAsia="仿宋" w:cs="仿宋"/>
                <w:color w:val="auto"/>
                <w:sz w:val="21"/>
                <w:szCs w:val="21"/>
                <w:highlight w:val="none"/>
              </w:rPr>
            </w:pPr>
          </w:p>
        </w:tc>
        <w:tc>
          <w:tcPr>
            <w:tcW w:w="686" w:type="pct"/>
          </w:tcPr>
          <w:p>
            <w:pPr>
              <w:rPr>
                <w:rFonts w:hint="eastAsia" w:ascii="仿宋" w:hAnsi="仿宋" w:eastAsia="仿宋" w:cs="仿宋"/>
                <w:color w:val="auto"/>
                <w:sz w:val="21"/>
                <w:szCs w:val="21"/>
                <w:highlight w:val="none"/>
              </w:rPr>
            </w:pPr>
          </w:p>
        </w:tc>
        <w:tc>
          <w:tcPr>
            <w:tcW w:w="827" w:type="pct"/>
          </w:tcPr>
          <w:p>
            <w:pPr>
              <w:rPr>
                <w:rFonts w:hint="eastAsia" w:ascii="仿宋" w:hAnsi="仿宋" w:eastAsia="仿宋" w:cs="仿宋"/>
                <w:color w:val="auto"/>
                <w:sz w:val="21"/>
                <w:szCs w:val="21"/>
                <w:highlight w:val="none"/>
              </w:rPr>
            </w:pPr>
          </w:p>
        </w:tc>
        <w:tc>
          <w:tcPr>
            <w:tcW w:w="579" w:type="pct"/>
          </w:tcPr>
          <w:p>
            <w:pPr>
              <w:rPr>
                <w:rFonts w:hint="eastAsia" w:ascii="仿宋" w:hAnsi="仿宋" w:eastAsia="仿宋" w:cs="仿宋"/>
                <w:color w:val="auto"/>
                <w:sz w:val="21"/>
                <w:szCs w:val="21"/>
                <w:highlight w:val="none"/>
              </w:rPr>
            </w:pPr>
          </w:p>
        </w:tc>
        <w:tc>
          <w:tcPr>
            <w:tcW w:w="503"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6" w:hRule="atLeast"/>
          <w:jc w:val="center"/>
        </w:trPr>
        <w:tc>
          <w:tcPr>
            <w:tcW w:w="344" w:type="pct"/>
          </w:tcPr>
          <w:p>
            <w:pPr>
              <w:rPr>
                <w:rFonts w:hint="eastAsia" w:ascii="仿宋" w:hAnsi="仿宋" w:eastAsia="仿宋" w:cs="仿宋"/>
                <w:color w:val="auto"/>
                <w:sz w:val="21"/>
                <w:szCs w:val="21"/>
                <w:highlight w:val="none"/>
              </w:rPr>
            </w:pPr>
          </w:p>
        </w:tc>
        <w:tc>
          <w:tcPr>
            <w:tcW w:w="686" w:type="pct"/>
          </w:tcPr>
          <w:p>
            <w:pPr>
              <w:rPr>
                <w:rFonts w:hint="eastAsia" w:ascii="仿宋" w:hAnsi="仿宋" w:eastAsia="仿宋" w:cs="仿宋"/>
                <w:color w:val="auto"/>
                <w:sz w:val="21"/>
                <w:szCs w:val="21"/>
                <w:highlight w:val="none"/>
              </w:rPr>
            </w:pPr>
          </w:p>
        </w:tc>
        <w:tc>
          <w:tcPr>
            <w:tcW w:w="827" w:type="pct"/>
          </w:tcPr>
          <w:p>
            <w:pPr>
              <w:rPr>
                <w:rFonts w:hint="eastAsia" w:ascii="仿宋" w:hAnsi="仿宋" w:eastAsia="仿宋" w:cs="仿宋"/>
                <w:color w:val="auto"/>
                <w:sz w:val="21"/>
                <w:szCs w:val="21"/>
                <w:highlight w:val="none"/>
              </w:rPr>
            </w:pPr>
          </w:p>
        </w:tc>
        <w:tc>
          <w:tcPr>
            <w:tcW w:w="579" w:type="pct"/>
          </w:tcPr>
          <w:p>
            <w:pPr>
              <w:rPr>
                <w:rFonts w:hint="eastAsia" w:ascii="仿宋" w:hAnsi="仿宋" w:eastAsia="仿宋" w:cs="仿宋"/>
                <w:color w:val="auto"/>
                <w:sz w:val="21"/>
                <w:szCs w:val="21"/>
                <w:highlight w:val="none"/>
              </w:rPr>
            </w:pPr>
          </w:p>
        </w:tc>
        <w:tc>
          <w:tcPr>
            <w:tcW w:w="503"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c>
          <w:tcPr>
            <w:tcW w:w="514" w:type="pct"/>
          </w:tcPr>
          <w:p>
            <w:pPr>
              <w:rPr>
                <w:rFonts w:hint="eastAsia" w:ascii="仿宋" w:hAnsi="仿宋" w:eastAsia="仿宋" w:cs="仿宋"/>
                <w:color w:val="auto"/>
                <w:sz w:val="21"/>
                <w:szCs w:val="21"/>
                <w:highlight w:val="none"/>
              </w:rPr>
            </w:pPr>
          </w:p>
        </w:tc>
      </w:tr>
    </w:tbl>
    <w:p>
      <w:pPr>
        <w:pStyle w:val="15"/>
        <w:ind w:firstLine="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p>
    <w:p>
      <w:pPr>
        <w:pStyle w:val="15"/>
        <w:ind w:firstLine="4095" w:firstLineChars="21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投标人（企业电子章）：            </w:t>
      </w:r>
    </w:p>
    <w:p>
      <w:pP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br w:type="page"/>
      </w:r>
    </w:p>
    <w:p>
      <w:pPr>
        <w:pStyle w:val="5"/>
        <w:rPr>
          <w:rFonts w:hint="eastAsia" w:ascii="仿宋" w:hAnsi="仿宋" w:eastAsia="仿宋" w:cs="仿宋"/>
          <w:color w:val="auto"/>
          <w:highlight w:val="none"/>
        </w:rPr>
      </w:pPr>
      <w:bookmarkStart w:id="194" w:name="_Toc1660875"/>
      <w:bookmarkStart w:id="195" w:name="_Toc24591"/>
      <w:r>
        <w:rPr>
          <w:rFonts w:hint="eastAsia" w:ascii="仿宋" w:hAnsi="仿宋" w:eastAsia="仿宋" w:cs="仿宋"/>
          <w:color w:val="auto"/>
          <w:highlight w:val="none"/>
        </w:rPr>
        <w:t>十</w:t>
      </w:r>
      <w:r>
        <w:rPr>
          <w:rFonts w:hint="eastAsia" w:ascii="仿宋" w:hAnsi="仿宋" w:cs="仿宋"/>
          <w:color w:val="auto"/>
          <w:highlight w:val="none"/>
          <w:lang w:val="en-US" w:eastAsia="zh-CN"/>
        </w:rPr>
        <w:t>八</w:t>
      </w:r>
      <w:r>
        <w:rPr>
          <w:rFonts w:hint="eastAsia" w:ascii="仿宋" w:hAnsi="仿宋" w:eastAsia="仿宋" w:cs="仿宋"/>
          <w:color w:val="auto"/>
          <w:highlight w:val="none"/>
        </w:rPr>
        <w:t>、</w:t>
      </w:r>
      <w:r>
        <w:rPr>
          <w:rFonts w:hint="eastAsia" w:ascii="仿宋" w:hAnsi="仿宋" w:eastAsia="仿宋" w:cs="仿宋"/>
          <w:color w:val="auto"/>
          <w:spacing w:val="14"/>
          <w:szCs w:val="21"/>
          <w:highlight w:val="none"/>
          <w:lang w:val="en-US" w:eastAsia="zh-CN"/>
        </w:rPr>
        <w:t>服务承诺</w:t>
      </w:r>
    </w:p>
    <w:p>
      <w:pPr>
        <w:ind w:firstLine="420"/>
        <w:rPr>
          <w:rFonts w:hint="eastAsia" w:ascii="仿宋" w:hAnsi="仿宋" w:eastAsia="仿宋" w:cs="仿宋"/>
          <w:bCs/>
          <w:color w:val="auto"/>
          <w:spacing w:val="10"/>
          <w:sz w:val="21"/>
          <w:szCs w:val="21"/>
          <w:highlight w:val="none"/>
        </w:rPr>
      </w:pPr>
    </w:p>
    <w:p>
      <w:pPr>
        <w:ind w:firstLine="420"/>
        <w:rPr>
          <w:rFonts w:hint="eastAsia" w:ascii="仿宋" w:hAnsi="仿宋" w:eastAsia="仿宋" w:cs="仿宋"/>
          <w:bCs/>
          <w:color w:val="auto"/>
          <w:spacing w:val="10"/>
          <w:sz w:val="21"/>
          <w:szCs w:val="21"/>
          <w:highlight w:val="none"/>
        </w:rPr>
      </w:pPr>
    </w:p>
    <w:p>
      <w:pPr>
        <w:rPr>
          <w:rFonts w:hint="eastAsia" w:ascii="仿宋" w:hAnsi="仿宋" w:eastAsia="仿宋" w:cs="仿宋"/>
          <w:bCs/>
          <w:color w:val="auto"/>
          <w:spacing w:val="10"/>
          <w:sz w:val="21"/>
          <w:szCs w:val="21"/>
          <w:highlight w:val="none"/>
        </w:rPr>
      </w:pPr>
      <w:r>
        <w:rPr>
          <w:rFonts w:hint="eastAsia" w:ascii="仿宋" w:hAnsi="仿宋" w:eastAsia="仿宋" w:cs="仿宋"/>
          <w:bCs/>
          <w:color w:val="auto"/>
          <w:spacing w:val="10"/>
          <w:sz w:val="21"/>
          <w:szCs w:val="21"/>
          <w:highlight w:val="none"/>
        </w:rPr>
        <w:t>投标人根据招标项目要求及自身情况自行填报。</w:t>
      </w:r>
    </w:p>
    <w:p>
      <w:pPr>
        <w:jc w:val="center"/>
        <w:rPr>
          <w:rFonts w:hint="eastAsia" w:ascii="仿宋" w:hAnsi="仿宋" w:eastAsia="仿宋" w:cs="仿宋"/>
          <w:bCs/>
          <w:color w:val="auto"/>
          <w:spacing w:val="10"/>
          <w:sz w:val="21"/>
          <w:szCs w:val="21"/>
          <w:highlight w:val="none"/>
        </w:rPr>
      </w:pPr>
    </w:p>
    <w:p>
      <w:pPr>
        <w:rPr>
          <w:rFonts w:hint="eastAsia" w:ascii="仿宋" w:hAnsi="仿宋" w:eastAsia="仿宋" w:cs="仿宋"/>
          <w:bCs/>
          <w:color w:val="auto"/>
          <w:spacing w:val="10"/>
          <w:sz w:val="21"/>
          <w:szCs w:val="21"/>
          <w:highlight w:val="none"/>
        </w:rPr>
      </w:pPr>
    </w:p>
    <w:p>
      <w:pPr>
        <w:rPr>
          <w:rFonts w:hint="eastAsia" w:ascii="仿宋" w:hAnsi="仿宋" w:eastAsia="仿宋" w:cs="仿宋"/>
          <w:color w:val="auto"/>
          <w:sz w:val="21"/>
          <w:szCs w:val="21"/>
          <w:highlight w:val="none"/>
        </w:rPr>
      </w:pPr>
      <w:r>
        <w:rPr>
          <w:rFonts w:hint="eastAsia" w:ascii="仿宋" w:hAnsi="仿宋" w:eastAsia="仿宋" w:cs="仿宋"/>
          <w:bCs/>
          <w:color w:val="auto"/>
          <w:spacing w:val="10"/>
          <w:sz w:val="21"/>
          <w:szCs w:val="21"/>
          <w:highlight w:val="none"/>
        </w:rPr>
        <w:t>投标人（企业电子章）：</w:t>
      </w:r>
    </w:p>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5"/>
        <w:rPr>
          <w:rFonts w:hint="eastAsia" w:ascii="仿宋" w:hAnsi="仿宋" w:eastAsia="仿宋" w:cs="仿宋"/>
          <w:color w:val="auto"/>
          <w:highlight w:val="none"/>
        </w:rPr>
      </w:pPr>
      <w:r>
        <w:rPr>
          <w:rFonts w:hint="eastAsia" w:ascii="仿宋" w:hAnsi="仿宋" w:eastAsia="仿宋" w:cs="仿宋"/>
          <w:color w:val="auto"/>
          <w:highlight w:val="none"/>
        </w:rPr>
        <w:t>十</w:t>
      </w:r>
      <w:r>
        <w:rPr>
          <w:rFonts w:hint="eastAsia" w:ascii="仿宋" w:hAnsi="仿宋" w:cs="仿宋"/>
          <w:color w:val="auto"/>
          <w:highlight w:val="none"/>
          <w:lang w:val="en-US" w:eastAsia="zh-CN"/>
        </w:rPr>
        <w:t>九</w:t>
      </w:r>
      <w:r>
        <w:rPr>
          <w:rFonts w:hint="eastAsia" w:ascii="仿宋" w:hAnsi="仿宋" w:eastAsia="仿宋" w:cs="仿宋"/>
          <w:color w:val="auto"/>
          <w:highlight w:val="none"/>
        </w:rPr>
        <w:t>、</w:t>
      </w:r>
      <w:r>
        <w:rPr>
          <w:rFonts w:hint="eastAsia" w:ascii="仿宋" w:hAnsi="仿宋" w:cs="仿宋"/>
          <w:color w:val="auto"/>
          <w:spacing w:val="14"/>
          <w:szCs w:val="21"/>
          <w:highlight w:val="none"/>
          <w:lang w:val="en-US" w:eastAsia="zh-CN"/>
        </w:rPr>
        <w:t>应急方案</w:t>
      </w:r>
    </w:p>
    <w:p>
      <w:pPr>
        <w:ind w:firstLine="420"/>
        <w:rPr>
          <w:rFonts w:hint="eastAsia" w:ascii="仿宋" w:hAnsi="仿宋" w:eastAsia="仿宋" w:cs="仿宋"/>
          <w:bCs/>
          <w:color w:val="auto"/>
          <w:spacing w:val="10"/>
          <w:sz w:val="21"/>
          <w:szCs w:val="21"/>
          <w:highlight w:val="none"/>
        </w:rPr>
      </w:pPr>
    </w:p>
    <w:p>
      <w:pPr>
        <w:ind w:firstLine="420"/>
        <w:rPr>
          <w:rFonts w:hint="eastAsia" w:ascii="仿宋" w:hAnsi="仿宋" w:eastAsia="仿宋" w:cs="仿宋"/>
          <w:bCs/>
          <w:color w:val="auto"/>
          <w:spacing w:val="10"/>
          <w:sz w:val="21"/>
          <w:szCs w:val="21"/>
          <w:highlight w:val="none"/>
        </w:rPr>
      </w:pPr>
    </w:p>
    <w:p>
      <w:pPr>
        <w:rPr>
          <w:rFonts w:hint="eastAsia" w:ascii="仿宋" w:hAnsi="仿宋" w:eastAsia="仿宋" w:cs="仿宋"/>
          <w:bCs/>
          <w:color w:val="auto"/>
          <w:spacing w:val="10"/>
          <w:sz w:val="21"/>
          <w:szCs w:val="21"/>
          <w:highlight w:val="none"/>
        </w:rPr>
      </w:pPr>
      <w:r>
        <w:rPr>
          <w:rFonts w:hint="eastAsia" w:ascii="仿宋" w:hAnsi="仿宋" w:eastAsia="仿宋" w:cs="仿宋"/>
          <w:bCs/>
          <w:color w:val="auto"/>
          <w:spacing w:val="10"/>
          <w:sz w:val="21"/>
          <w:szCs w:val="21"/>
          <w:highlight w:val="none"/>
        </w:rPr>
        <w:t>投标人根据招标项目要求及自身情况自行填报。</w:t>
      </w:r>
    </w:p>
    <w:p>
      <w:pPr>
        <w:jc w:val="center"/>
        <w:rPr>
          <w:rFonts w:hint="eastAsia" w:ascii="仿宋" w:hAnsi="仿宋" w:eastAsia="仿宋" w:cs="仿宋"/>
          <w:bCs/>
          <w:color w:val="auto"/>
          <w:spacing w:val="10"/>
          <w:sz w:val="21"/>
          <w:szCs w:val="21"/>
          <w:highlight w:val="none"/>
        </w:rPr>
      </w:pPr>
    </w:p>
    <w:p>
      <w:pPr>
        <w:rPr>
          <w:rFonts w:hint="eastAsia" w:ascii="仿宋" w:hAnsi="仿宋" w:eastAsia="仿宋" w:cs="仿宋"/>
          <w:bCs/>
          <w:color w:val="auto"/>
          <w:spacing w:val="10"/>
          <w:sz w:val="21"/>
          <w:szCs w:val="21"/>
          <w:highlight w:val="none"/>
        </w:rPr>
      </w:pPr>
    </w:p>
    <w:p>
      <w:pPr>
        <w:rPr>
          <w:rFonts w:hint="eastAsia" w:ascii="仿宋" w:hAnsi="仿宋" w:eastAsia="仿宋" w:cs="仿宋"/>
          <w:color w:val="auto"/>
          <w:sz w:val="21"/>
          <w:szCs w:val="21"/>
          <w:highlight w:val="none"/>
        </w:rPr>
      </w:pPr>
      <w:r>
        <w:rPr>
          <w:rFonts w:hint="eastAsia" w:ascii="仿宋" w:hAnsi="仿宋" w:eastAsia="仿宋" w:cs="仿宋"/>
          <w:bCs/>
          <w:color w:val="auto"/>
          <w:spacing w:val="10"/>
          <w:sz w:val="21"/>
          <w:szCs w:val="21"/>
          <w:highlight w:val="none"/>
        </w:rPr>
        <w:t>投标人（企业电子章）：</w:t>
      </w:r>
    </w:p>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5"/>
        <w:rPr>
          <w:rFonts w:hint="eastAsia" w:ascii="仿宋" w:hAnsi="仿宋" w:eastAsia="仿宋" w:cs="仿宋"/>
          <w:color w:val="auto"/>
          <w:highlight w:val="none"/>
        </w:rPr>
      </w:pPr>
      <w:r>
        <w:rPr>
          <w:rFonts w:hint="eastAsia" w:ascii="仿宋" w:hAnsi="仿宋" w:cs="仿宋"/>
          <w:color w:val="auto"/>
          <w:highlight w:val="none"/>
          <w:lang w:val="en-US" w:eastAsia="zh-CN"/>
        </w:rPr>
        <w:t>二十</w:t>
      </w:r>
      <w:r>
        <w:rPr>
          <w:rFonts w:hint="eastAsia" w:ascii="仿宋" w:hAnsi="仿宋" w:eastAsia="仿宋" w:cs="仿宋"/>
          <w:color w:val="auto"/>
          <w:highlight w:val="none"/>
        </w:rPr>
        <w:t>、参与评审打分的证书（证件）一览表</w:t>
      </w:r>
      <w:bookmarkEnd w:id="194"/>
      <w:bookmarkEnd w:id="195"/>
    </w:p>
    <w:p>
      <w:pPr>
        <w:pStyle w:val="154"/>
        <w:ind w:firstLine="0"/>
        <w:jc w:val="center"/>
        <w:rPr>
          <w:rFonts w:hint="eastAsia" w:ascii="仿宋" w:hAnsi="仿宋" w:eastAsia="仿宋" w:cs="仿宋"/>
          <w:color w:val="auto"/>
          <w:highlight w:val="none"/>
        </w:rPr>
      </w:pPr>
    </w:p>
    <w:p>
      <w:pPr>
        <w:pStyle w:val="154"/>
        <w:ind w:firstLine="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参与评审打分的证书（证件）一览表</w:t>
      </w:r>
    </w:p>
    <w:p>
      <w:pPr>
        <w:pStyle w:val="154"/>
        <w:ind w:firstLine="0"/>
        <w:jc w:val="center"/>
        <w:rPr>
          <w:rFonts w:hint="eastAsia" w:ascii="仿宋" w:hAnsi="仿宋" w:eastAsia="仿宋" w:cs="仿宋"/>
          <w:color w:val="auto"/>
          <w:szCs w:val="21"/>
          <w:highlight w:val="none"/>
        </w:rPr>
      </w:pP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409"/>
        <w:gridCol w:w="2410"/>
        <w:gridCol w:w="2410"/>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74" w:type="dxa"/>
            <w:vAlign w:val="center"/>
          </w:tcPr>
          <w:p>
            <w:pPr>
              <w:pStyle w:val="154"/>
              <w:ind w:firstLine="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序号</w:t>
            </w:r>
          </w:p>
        </w:tc>
        <w:tc>
          <w:tcPr>
            <w:tcW w:w="2409" w:type="dxa"/>
            <w:vAlign w:val="center"/>
          </w:tcPr>
          <w:p>
            <w:pPr>
              <w:pStyle w:val="154"/>
              <w:ind w:firstLine="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证书（证件）名称</w:t>
            </w:r>
          </w:p>
        </w:tc>
        <w:tc>
          <w:tcPr>
            <w:tcW w:w="2410" w:type="dxa"/>
            <w:vAlign w:val="center"/>
          </w:tcPr>
          <w:p>
            <w:pPr>
              <w:pStyle w:val="154"/>
              <w:ind w:firstLine="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持证单位（人）</w:t>
            </w:r>
          </w:p>
        </w:tc>
        <w:tc>
          <w:tcPr>
            <w:tcW w:w="2410" w:type="dxa"/>
            <w:vAlign w:val="center"/>
          </w:tcPr>
          <w:p>
            <w:pPr>
              <w:pStyle w:val="154"/>
              <w:ind w:firstLine="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发证机构</w:t>
            </w:r>
          </w:p>
        </w:tc>
        <w:tc>
          <w:tcPr>
            <w:tcW w:w="1367" w:type="dxa"/>
            <w:vAlign w:val="center"/>
          </w:tcPr>
          <w:p>
            <w:pPr>
              <w:pStyle w:val="154"/>
              <w:ind w:firstLine="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发证日期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vAlign w:val="center"/>
          </w:tcPr>
          <w:p>
            <w:pPr>
              <w:pStyle w:val="154"/>
              <w:ind w:firstLine="0"/>
              <w:jc w:val="center"/>
              <w:rPr>
                <w:rFonts w:hint="eastAsia" w:ascii="仿宋" w:hAnsi="仿宋" w:eastAsia="仿宋" w:cs="仿宋"/>
                <w:bCs/>
                <w:color w:val="auto"/>
                <w:w w:val="90"/>
                <w:szCs w:val="21"/>
                <w:highlight w:val="none"/>
              </w:rPr>
            </w:pPr>
          </w:p>
        </w:tc>
        <w:tc>
          <w:tcPr>
            <w:tcW w:w="2409" w:type="dxa"/>
            <w:vAlign w:val="center"/>
          </w:tcPr>
          <w:p>
            <w:pPr>
              <w:pStyle w:val="154"/>
              <w:ind w:firstLine="0"/>
              <w:rPr>
                <w:rFonts w:hint="eastAsia" w:ascii="仿宋" w:hAnsi="仿宋" w:eastAsia="仿宋" w:cs="仿宋"/>
                <w:bCs/>
                <w:color w:val="auto"/>
                <w:w w:val="90"/>
                <w:szCs w:val="21"/>
                <w:highlight w:val="none"/>
              </w:rPr>
            </w:pPr>
          </w:p>
        </w:tc>
        <w:tc>
          <w:tcPr>
            <w:tcW w:w="2410" w:type="dxa"/>
            <w:vAlign w:val="center"/>
          </w:tcPr>
          <w:p>
            <w:pPr>
              <w:pStyle w:val="154"/>
              <w:ind w:firstLine="0"/>
              <w:rPr>
                <w:rFonts w:hint="eastAsia" w:ascii="仿宋" w:hAnsi="仿宋" w:eastAsia="仿宋" w:cs="仿宋"/>
                <w:bCs/>
                <w:color w:val="auto"/>
                <w:w w:val="90"/>
                <w:szCs w:val="21"/>
                <w:highlight w:val="none"/>
              </w:rPr>
            </w:pPr>
          </w:p>
        </w:tc>
        <w:tc>
          <w:tcPr>
            <w:tcW w:w="2410" w:type="dxa"/>
            <w:vAlign w:val="center"/>
          </w:tcPr>
          <w:p>
            <w:pPr>
              <w:pStyle w:val="154"/>
              <w:ind w:firstLine="0"/>
              <w:rPr>
                <w:rFonts w:hint="eastAsia" w:ascii="仿宋" w:hAnsi="仿宋" w:eastAsia="仿宋" w:cs="仿宋"/>
                <w:bCs/>
                <w:color w:val="auto"/>
                <w:w w:val="90"/>
                <w:szCs w:val="21"/>
                <w:highlight w:val="none"/>
              </w:rPr>
            </w:pPr>
          </w:p>
        </w:tc>
        <w:tc>
          <w:tcPr>
            <w:tcW w:w="1367" w:type="dxa"/>
            <w:vAlign w:val="center"/>
          </w:tcPr>
          <w:p>
            <w:pPr>
              <w:pStyle w:val="154"/>
              <w:ind w:firstLine="0"/>
              <w:rPr>
                <w:rFonts w:hint="eastAsia" w:ascii="仿宋" w:hAnsi="仿宋" w:eastAsia="仿宋" w:cs="仿宋"/>
                <w:bCs/>
                <w:color w:val="auto"/>
                <w:w w:val="9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vAlign w:val="center"/>
          </w:tcPr>
          <w:p>
            <w:pPr>
              <w:pStyle w:val="154"/>
              <w:ind w:firstLine="0"/>
              <w:jc w:val="center"/>
              <w:rPr>
                <w:rFonts w:hint="eastAsia" w:ascii="仿宋" w:hAnsi="仿宋" w:eastAsia="仿宋" w:cs="仿宋"/>
                <w:bCs/>
                <w:color w:val="auto"/>
                <w:w w:val="90"/>
                <w:szCs w:val="21"/>
                <w:highlight w:val="none"/>
              </w:rPr>
            </w:pPr>
          </w:p>
        </w:tc>
        <w:tc>
          <w:tcPr>
            <w:tcW w:w="2409" w:type="dxa"/>
            <w:vAlign w:val="center"/>
          </w:tcPr>
          <w:p>
            <w:pPr>
              <w:pStyle w:val="154"/>
              <w:ind w:firstLine="0"/>
              <w:rPr>
                <w:rFonts w:hint="eastAsia" w:ascii="仿宋" w:hAnsi="仿宋" w:eastAsia="仿宋" w:cs="仿宋"/>
                <w:bCs/>
                <w:color w:val="auto"/>
                <w:w w:val="90"/>
                <w:szCs w:val="21"/>
                <w:highlight w:val="none"/>
              </w:rPr>
            </w:pPr>
          </w:p>
        </w:tc>
        <w:tc>
          <w:tcPr>
            <w:tcW w:w="2410" w:type="dxa"/>
            <w:vAlign w:val="center"/>
          </w:tcPr>
          <w:p>
            <w:pPr>
              <w:pStyle w:val="154"/>
              <w:ind w:firstLine="0"/>
              <w:rPr>
                <w:rFonts w:hint="eastAsia" w:ascii="仿宋" w:hAnsi="仿宋" w:eastAsia="仿宋" w:cs="仿宋"/>
                <w:bCs/>
                <w:color w:val="auto"/>
                <w:w w:val="90"/>
                <w:szCs w:val="21"/>
                <w:highlight w:val="none"/>
              </w:rPr>
            </w:pPr>
          </w:p>
        </w:tc>
        <w:tc>
          <w:tcPr>
            <w:tcW w:w="2410" w:type="dxa"/>
            <w:vAlign w:val="center"/>
          </w:tcPr>
          <w:p>
            <w:pPr>
              <w:pStyle w:val="154"/>
              <w:ind w:firstLine="0"/>
              <w:rPr>
                <w:rFonts w:hint="eastAsia" w:ascii="仿宋" w:hAnsi="仿宋" w:eastAsia="仿宋" w:cs="仿宋"/>
                <w:bCs/>
                <w:color w:val="auto"/>
                <w:w w:val="90"/>
                <w:szCs w:val="21"/>
                <w:highlight w:val="none"/>
              </w:rPr>
            </w:pPr>
          </w:p>
        </w:tc>
        <w:tc>
          <w:tcPr>
            <w:tcW w:w="1367" w:type="dxa"/>
            <w:vAlign w:val="center"/>
          </w:tcPr>
          <w:p>
            <w:pPr>
              <w:pStyle w:val="154"/>
              <w:ind w:firstLine="0"/>
              <w:rPr>
                <w:rFonts w:hint="eastAsia" w:ascii="仿宋" w:hAnsi="仿宋" w:eastAsia="仿宋" w:cs="仿宋"/>
                <w:bCs/>
                <w:color w:val="auto"/>
                <w:w w:val="9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vAlign w:val="center"/>
          </w:tcPr>
          <w:p>
            <w:pPr>
              <w:pStyle w:val="154"/>
              <w:ind w:firstLine="0"/>
              <w:jc w:val="center"/>
              <w:rPr>
                <w:rFonts w:hint="eastAsia" w:ascii="仿宋" w:hAnsi="仿宋" w:eastAsia="仿宋" w:cs="仿宋"/>
                <w:bCs/>
                <w:color w:val="auto"/>
                <w:w w:val="90"/>
                <w:szCs w:val="21"/>
                <w:highlight w:val="none"/>
              </w:rPr>
            </w:pPr>
          </w:p>
        </w:tc>
        <w:tc>
          <w:tcPr>
            <w:tcW w:w="2409" w:type="dxa"/>
            <w:vAlign w:val="center"/>
          </w:tcPr>
          <w:p>
            <w:pPr>
              <w:pStyle w:val="154"/>
              <w:ind w:firstLine="0"/>
              <w:rPr>
                <w:rFonts w:hint="eastAsia" w:ascii="仿宋" w:hAnsi="仿宋" w:eastAsia="仿宋" w:cs="仿宋"/>
                <w:bCs/>
                <w:color w:val="auto"/>
                <w:w w:val="90"/>
                <w:szCs w:val="21"/>
                <w:highlight w:val="none"/>
              </w:rPr>
            </w:pPr>
          </w:p>
        </w:tc>
        <w:tc>
          <w:tcPr>
            <w:tcW w:w="2410" w:type="dxa"/>
            <w:vAlign w:val="center"/>
          </w:tcPr>
          <w:p>
            <w:pPr>
              <w:pStyle w:val="154"/>
              <w:ind w:firstLine="0"/>
              <w:rPr>
                <w:rFonts w:hint="eastAsia" w:ascii="仿宋" w:hAnsi="仿宋" w:eastAsia="仿宋" w:cs="仿宋"/>
                <w:bCs/>
                <w:color w:val="auto"/>
                <w:w w:val="90"/>
                <w:szCs w:val="21"/>
                <w:highlight w:val="none"/>
              </w:rPr>
            </w:pPr>
          </w:p>
        </w:tc>
        <w:tc>
          <w:tcPr>
            <w:tcW w:w="2410" w:type="dxa"/>
            <w:vAlign w:val="center"/>
          </w:tcPr>
          <w:p>
            <w:pPr>
              <w:pStyle w:val="154"/>
              <w:ind w:firstLine="0"/>
              <w:rPr>
                <w:rFonts w:hint="eastAsia" w:ascii="仿宋" w:hAnsi="仿宋" w:eastAsia="仿宋" w:cs="仿宋"/>
                <w:bCs/>
                <w:color w:val="auto"/>
                <w:w w:val="90"/>
                <w:szCs w:val="21"/>
                <w:highlight w:val="none"/>
              </w:rPr>
            </w:pPr>
          </w:p>
        </w:tc>
        <w:tc>
          <w:tcPr>
            <w:tcW w:w="1367" w:type="dxa"/>
            <w:vAlign w:val="center"/>
          </w:tcPr>
          <w:p>
            <w:pPr>
              <w:pStyle w:val="154"/>
              <w:ind w:firstLine="0"/>
              <w:rPr>
                <w:rFonts w:hint="eastAsia" w:ascii="仿宋" w:hAnsi="仿宋" w:eastAsia="仿宋" w:cs="仿宋"/>
                <w:bCs/>
                <w:color w:val="auto"/>
                <w:w w:val="9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vAlign w:val="center"/>
          </w:tcPr>
          <w:p>
            <w:pPr>
              <w:pStyle w:val="154"/>
              <w:ind w:firstLine="0"/>
              <w:jc w:val="center"/>
              <w:rPr>
                <w:rFonts w:hint="eastAsia" w:ascii="仿宋" w:hAnsi="仿宋" w:eastAsia="仿宋" w:cs="仿宋"/>
                <w:bCs/>
                <w:color w:val="auto"/>
                <w:w w:val="90"/>
                <w:szCs w:val="21"/>
                <w:highlight w:val="none"/>
              </w:rPr>
            </w:pPr>
          </w:p>
        </w:tc>
        <w:tc>
          <w:tcPr>
            <w:tcW w:w="2409" w:type="dxa"/>
            <w:vAlign w:val="center"/>
          </w:tcPr>
          <w:p>
            <w:pPr>
              <w:pStyle w:val="154"/>
              <w:ind w:firstLine="0"/>
              <w:rPr>
                <w:rFonts w:hint="eastAsia" w:ascii="仿宋" w:hAnsi="仿宋" w:eastAsia="仿宋" w:cs="仿宋"/>
                <w:bCs/>
                <w:color w:val="auto"/>
                <w:w w:val="90"/>
                <w:szCs w:val="21"/>
                <w:highlight w:val="none"/>
              </w:rPr>
            </w:pPr>
          </w:p>
        </w:tc>
        <w:tc>
          <w:tcPr>
            <w:tcW w:w="2410" w:type="dxa"/>
            <w:vAlign w:val="center"/>
          </w:tcPr>
          <w:p>
            <w:pPr>
              <w:pStyle w:val="154"/>
              <w:ind w:firstLine="0"/>
              <w:rPr>
                <w:rFonts w:hint="eastAsia" w:ascii="仿宋" w:hAnsi="仿宋" w:eastAsia="仿宋" w:cs="仿宋"/>
                <w:bCs/>
                <w:color w:val="auto"/>
                <w:w w:val="90"/>
                <w:szCs w:val="21"/>
                <w:highlight w:val="none"/>
              </w:rPr>
            </w:pPr>
          </w:p>
        </w:tc>
        <w:tc>
          <w:tcPr>
            <w:tcW w:w="2410" w:type="dxa"/>
            <w:vAlign w:val="center"/>
          </w:tcPr>
          <w:p>
            <w:pPr>
              <w:pStyle w:val="154"/>
              <w:ind w:firstLine="0"/>
              <w:rPr>
                <w:rFonts w:hint="eastAsia" w:ascii="仿宋" w:hAnsi="仿宋" w:eastAsia="仿宋" w:cs="仿宋"/>
                <w:bCs/>
                <w:color w:val="auto"/>
                <w:w w:val="90"/>
                <w:szCs w:val="21"/>
                <w:highlight w:val="none"/>
              </w:rPr>
            </w:pPr>
          </w:p>
        </w:tc>
        <w:tc>
          <w:tcPr>
            <w:tcW w:w="1367" w:type="dxa"/>
            <w:vAlign w:val="center"/>
          </w:tcPr>
          <w:p>
            <w:pPr>
              <w:pStyle w:val="154"/>
              <w:ind w:firstLine="0"/>
              <w:rPr>
                <w:rFonts w:hint="eastAsia" w:ascii="仿宋" w:hAnsi="仿宋" w:eastAsia="仿宋" w:cs="仿宋"/>
                <w:bCs/>
                <w:color w:val="auto"/>
                <w:w w:val="9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vAlign w:val="center"/>
          </w:tcPr>
          <w:p>
            <w:pPr>
              <w:pStyle w:val="154"/>
              <w:ind w:firstLine="0"/>
              <w:jc w:val="center"/>
              <w:rPr>
                <w:rFonts w:hint="eastAsia" w:ascii="仿宋" w:hAnsi="仿宋" w:eastAsia="仿宋" w:cs="仿宋"/>
                <w:bCs/>
                <w:color w:val="auto"/>
                <w:w w:val="90"/>
                <w:szCs w:val="21"/>
                <w:highlight w:val="none"/>
              </w:rPr>
            </w:pPr>
          </w:p>
        </w:tc>
        <w:tc>
          <w:tcPr>
            <w:tcW w:w="2409" w:type="dxa"/>
            <w:vAlign w:val="center"/>
          </w:tcPr>
          <w:p>
            <w:pPr>
              <w:pStyle w:val="154"/>
              <w:ind w:firstLine="0"/>
              <w:rPr>
                <w:rFonts w:hint="eastAsia" w:ascii="仿宋" w:hAnsi="仿宋" w:eastAsia="仿宋" w:cs="仿宋"/>
                <w:bCs/>
                <w:color w:val="auto"/>
                <w:w w:val="90"/>
                <w:szCs w:val="21"/>
                <w:highlight w:val="none"/>
              </w:rPr>
            </w:pPr>
          </w:p>
        </w:tc>
        <w:tc>
          <w:tcPr>
            <w:tcW w:w="2410" w:type="dxa"/>
            <w:vAlign w:val="center"/>
          </w:tcPr>
          <w:p>
            <w:pPr>
              <w:pStyle w:val="154"/>
              <w:ind w:firstLine="0"/>
              <w:rPr>
                <w:rFonts w:hint="eastAsia" w:ascii="仿宋" w:hAnsi="仿宋" w:eastAsia="仿宋" w:cs="仿宋"/>
                <w:bCs/>
                <w:color w:val="auto"/>
                <w:w w:val="90"/>
                <w:szCs w:val="21"/>
                <w:highlight w:val="none"/>
              </w:rPr>
            </w:pPr>
          </w:p>
        </w:tc>
        <w:tc>
          <w:tcPr>
            <w:tcW w:w="2410" w:type="dxa"/>
            <w:vAlign w:val="center"/>
          </w:tcPr>
          <w:p>
            <w:pPr>
              <w:pStyle w:val="154"/>
              <w:ind w:firstLine="0"/>
              <w:rPr>
                <w:rFonts w:hint="eastAsia" w:ascii="仿宋" w:hAnsi="仿宋" w:eastAsia="仿宋" w:cs="仿宋"/>
                <w:bCs/>
                <w:color w:val="auto"/>
                <w:w w:val="90"/>
                <w:szCs w:val="21"/>
                <w:highlight w:val="none"/>
              </w:rPr>
            </w:pPr>
          </w:p>
        </w:tc>
        <w:tc>
          <w:tcPr>
            <w:tcW w:w="1367" w:type="dxa"/>
            <w:vAlign w:val="center"/>
          </w:tcPr>
          <w:p>
            <w:pPr>
              <w:pStyle w:val="154"/>
              <w:ind w:firstLine="0"/>
              <w:rPr>
                <w:rFonts w:hint="eastAsia" w:ascii="仿宋" w:hAnsi="仿宋" w:eastAsia="仿宋" w:cs="仿宋"/>
                <w:bCs/>
                <w:color w:val="auto"/>
                <w:w w:val="9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vAlign w:val="center"/>
          </w:tcPr>
          <w:p>
            <w:pPr>
              <w:pStyle w:val="154"/>
              <w:ind w:firstLine="0"/>
              <w:jc w:val="center"/>
              <w:rPr>
                <w:rFonts w:hint="eastAsia" w:ascii="仿宋" w:hAnsi="仿宋" w:eastAsia="仿宋" w:cs="仿宋"/>
                <w:bCs/>
                <w:color w:val="auto"/>
                <w:w w:val="90"/>
                <w:szCs w:val="21"/>
                <w:highlight w:val="none"/>
              </w:rPr>
            </w:pPr>
          </w:p>
        </w:tc>
        <w:tc>
          <w:tcPr>
            <w:tcW w:w="2409" w:type="dxa"/>
            <w:vAlign w:val="center"/>
          </w:tcPr>
          <w:p>
            <w:pPr>
              <w:pStyle w:val="154"/>
              <w:ind w:firstLine="0"/>
              <w:rPr>
                <w:rFonts w:hint="eastAsia" w:ascii="仿宋" w:hAnsi="仿宋" w:eastAsia="仿宋" w:cs="仿宋"/>
                <w:bCs/>
                <w:color w:val="auto"/>
                <w:w w:val="90"/>
                <w:szCs w:val="21"/>
                <w:highlight w:val="none"/>
              </w:rPr>
            </w:pPr>
          </w:p>
        </w:tc>
        <w:tc>
          <w:tcPr>
            <w:tcW w:w="2410" w:type="dxa"/>
            <w:vAlign w:val="center"/>
          </w:tcPr>
          <w:p>
            <w:pPr>
              <w:pStyle w:val="154"/>
              <w:ind w:firstLine="0"/>
              <w:rPr>
                <w:rFonts w:hint="eastAsia" w:ascii="仿宋" w:hAnsi="仿宋" w:eastAsia="仿宋" w:cs="仿宋"/>
                <w:bCs/>
                <w:color w:val="auto"/>
                <w:w w:val="90"/>
                <w:szCs w:val="21"/>
                <w:highlight w:val="none"/>
              </w:rPr>
            </w:pPr>
          </w:p>
        </w:tc>
        <w:tc>
          <w:tcPr>
            <w:tcW w:w="2410" w:type="dxa"/>
            <w:vAlign w:val="center"/>
          </w:tcPr>
          <w:p>
            <w:pPr>
              <w:pStyle w:val="154"/>
              <w:ind w:firstLine="0"/>
              <w:rPr>
                <w:rFonts w:hint="eastAsia" w:ascii="仿宋" w:hAnsi="仿宋" w:eastAsia="仿宋" w:cs="仿宋"/>
                <w:bCs/>
                <w:color w:val="auto"/>
                <w:w w:val="90"/>
                <w:szCs w:val="21"/>
                <w:highlight w:val="none"/>
              </w:rPr>
            </w:pPr>
          </w:p>
        </w:tc>
        <w:tc>
          <w:tcPr>
            <w:tcW w:w="1367" w:type="dxa"/>
            <w:vAlign w:val="center"/>
          </w:tcPr>
          <w:p>
            <w:pPr>
              <w:pStyle w:val="154"/>
              <w:ind w:firstLine="0"/>
              <w:rPr>
                <w:rFonts w:hint="eastAsia" w:ascii="仿宋" w:hAnsi="仿宋" w:eastAsia="仿宋" w:cs="仿宋"/>
                <w:bCs/>
                <w:color w:val="auto"/>
                <w:w w:val="9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vAlign w:val="center"/>
          </w:tcPr>
          <w:p>
            <w:pPr>
              <w:pStyle w:val="154"/>
              <w:ind w:firstLine="0"/>
              <w:jc w:val="center"/>
              <w:rPr>
                <w:rFonts w:hint="eastAsia" w:ascii="仿宋" w:hAnsi="仿宋" w:eastAsia="仿宋" w:cs="仿宋"/>
                <w:bCs/>
                <w:color w:val="auto"/>
                <w:w w:val="90"/>
                <w:szCs w:val="21"/>
                <w:highlight w:val="none"/>
              </w:rPr>
            </w:pPr>
          </w:p>
        </w:tc>
        <w:tc>
          <w:tcPr>
            <w:tcW w:w="2409" w:type="dxa"/>
            <w:vAlign w:val="center"/>
          </w:tcPr>
          <w:p>
            <w:pPr>
              <w:pStyle w:val="154"/>
              <w:ind w:firstLine="0"/>
              <w:rPr>
                <w:rFonts w:hint="eastAsia" w:ascii="仿宋" w:hAnsi="仿宋" w:eastAsia="仿宋" w:cs="仿宋"/>
                <w:bCs/>
                <w:color w:val="auto"/>
                <w:w w:val="90"/>
                <w:szCs w:val="21"/>
                <w:highlight w:val="none"/>
              </w:rPr>
            </w:pPr>
          </w:p>
        </w:tc>
        <w:tc>
          <w:tcPr>
            <w:tcW w:w="2410" w:type="dxa"/>
            <w:vAlign w:val="center"/>
          </w:tcPr>
          <w:p>
            <w:pPr>
              <w:pStyle w:val="154"/>
              <w:ind w:firstLine="0"/>
              <w:rPr>
                <w:rFonts w:hint="eastAsia" w:ascii="仿宋" w:hAnsi="仿宋" w:eastAsia="仿宋" w:cs="仿宋"/>
                <w:bCs/>
                <w:color w:val="auto"/>
                <w:w w:val="90"/>
                <w:szCs w:val="21"/>
                <w:highlight w:val="none"/>
              </w:rPr>
            </w:pPr>
          </w:p>
        </w:tc>
        <w:tc>
          <w:tcPr>
            <w:tcW w:w="2410" w:type="dxa"/>
            <w:vAlign w:val="center"/>
          </w:tcPr>
          <w:p>
            <w:pPr>
              <w:pStyle w:val="154"/>
              <w:ind w:firstLine="0"/>
              <w:rPr>
                <w:rFonts w:hint="eastAsia" w:ascii="仿宋" w:hAnsi="仿宋" w:eastAsia="仿宋" w:cs="仿宋"/>
                <w:bCs/>
                <w:color w:val="auto"/>
                <w:w w:val="90"/>
                <w:szCs w:val="21"/>
                <w:highlight w:val="none"/>
              </w:rPr>
            </w:pPr>
          </w:p>
        </w:tc>
        <w:tc>
          <w:tcPr>
            <w:tcW w:w="1367" w:type="dxa"/>
            <w:vAlign w:val="center"/>
          </w:tcPr>
          <w:p>
            <w:pPr>
              <w:pStyle w:val="154"/>
              <w:ind w:firstLine="0"/>
              <w:rPr>
                <w:rFonts w:hint="eastAsia" w:ascii="仿宋" w:hAnsi="仿宋" w:eastAsia="仿宋" w:cs="仿宋"/>
                <w:bCs/>
                <w:color w:val="auto"/>
                <w:w w:val="90"/>
                <w:szCs w:val="21"/>
                <w:highlight w:val="none"/>
              </w:rPr>
            </w:pPr>
          </w:p>
        </w:tc>
      </w:tr>
    </w:tbl>
    <w:p>
      <w:pPr>
        <w:pStyle w:val="154"/>
        <w:rPr>
          <w:rFonts w:hint="eastAsia" w:ascii="仿宋" w:hAnsi="仿宋" w:eastAsia="仿宋" w:cs="仿宋"/>
          <w:color w:val="auto"/>
          <w:szCs w:val="21"/>
          <w:highlight w:val="none"/>
        </w:rPr>
      </w:pPr>
    </w:p>
    <w:p>
      <w:pPr>
        <w:pStyle w:val="154"/>
        <w:ind w:firstLine="420"/>
        <w:rPr>
          <w:rFonts w:hint="eastAsia" w:ascii="仿宋" w:hAnsi="仿宋" w:eastAsia="仿宋" w:cs="仿宋"/>
          <w:color w:val="auto"/>
          <w:szCs w:val="21"/>
          <w:highlight w:val="none"/>
        </w:rPr>
      </w:pPr>
      <w:r>
        <w:rPr>
          <w:rFonts w:hint="eastAsia" w:ascii="仿宋" w:hAnsi="仿宋" w:eastAsia="仿宋" w:cs="仿宋"/>
          <w:bCs/>
          <w:color w:val="auto"/>
          <w:spacing w:val="10"/>
          <w:szCs w:val="21"/>
          <w:highlight w:val="none"/>
        </w:rPr>
        <w:t>注：</w:t>
      </w:r>
      <w:r>
        <w:rPr>
          <w:rFonts w:hint="eastAsia" w:ascii="仿宋" w:hAnsi="仿宋" w:eastAsia="仿宋" w:cs="仿宋"/>
          <w:color w:val="auto"/>
          <w:szCs w:val="21"/>
          <w:highlight w:val="none"/>
        </w:rPr>
        <w:t>1.投标人可根据需要自行增减表格行数。</w:t>
      </w:r>
    </w:p>
    <w:p>
      <w:pPr>
        <w:pStyle w:val="154"/>
        <w:ind w:firstLine="797" w:firstLineChars="409"/>
        <w:rPr>
          <w:rFonts w:hint="eastAsia" w:ascii="仿宋" w:hAnsi="仿宋" w:eastAsia="仿宋" w:cs="仿宋"/>
          <w:bCs/>
          <w:color w:val="auto"/>
          <w:spacing w:val="10"/>
          <w:szCs w:val="21"/>
          <w:highlight w:val="none"/>
        </w:rPr>
      </w:pPr>
      <w:r>
        <w:rPr>
          <w:rFonts w:hint="eastAsia" w:ascii="仿宋" w:hAnsi="仿宋" w:eastAsia="仿宋" w:cs="仿宋"/>
          <w:color w:val="auto"/>
          <w:szCs w:val="21"/>
          <w:highlight w:val="none"/>
        </w:rPr>
        <w:t>2.投标人对所报相关内容的真实性负责，采购代理机构有权将相关内容进行公示，因弄虚作假导致的后果由投标人自行承担。</w:t>
      </w:r>
    </w:p>
    <w:p>
      <w:pPr>
        <w:pStyle w:val="154"/>
        <w:rPr>
          <w:rFonts w:hint="eastAsia" w:ascii="仿宋" w:hAnsi="仿宋" w:eastAsia="仿宋" w:cs="仿宋"/>
          <w:color w:val="auto"/>
          <w:szCs w:val="21"/>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5"/>
        <w:rPr>
          <w:rFonts w:hint="eastAsia" w:ascii="仿宋" w:hAnsi="仿宋" w:eastAsia="仿宋" w:cs="仿宋"/>
          <w:color w:val="auto"/>
          <w:highlight w:val="none"/>
        </w:rPr>
      </w:pPr>
      <w:bookmarkStart w:id="196" w:name="_Toc1660876"/>
      <w:bookmarkStart w:id="197" w:name="_Toc24564"/>
      <w:r>
        <w:rPr>
          <w:rFonts w:hint="eastAsia" w:ascii="仿宋" w:hAnsi="仿宋" w:cs="仿宋"/>
          <w:color w:val="auto"/>
          <w:highlight w:val="none"/>
          <w:lang w:val="en-US" w:eastAsia="zh-CN"/>
        </w:rPr>
        <w:t>二十一</w:t>
      </w:r>
      <w:r>
        <w:rPr>
          <w:rFonts w:hint="eastAsia" w:ascii="仿宋" w:hAnsi="仿宋" w:eastAsia="仿宋" w:cs="仿宋"/>
          <w:color w:val="auto"/>
          <w:highlight w:val="none"/>
        </w:rPr>
        <w:t>、参与评审打分的证书（证件）扫描件</w:t>
      </w:r>
      <w:bookmarkEnd w:id="196"/>
      <w:bookmarkEnd w:id="197"/>
    </w:p>
    <w:p>
      <w:pPr>
        <w:rPr>
          <w:rFonts w:hint="eastAsia" w:ascii="仿宋" w:hAnsi="仿宋" w:eastAsia="仿宋" w:cs="仿宋"/>
          <w:color w:val="auto"/>
          <w:highlight w:val="none"/>
        </w:rPr>
      </w:pPr>
    </w:p>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5"/>
        <w:rPr>
          <w:rFonts w:hint="eastAsia" w:ascii="仿宋" w:hAnsi="仿宋" w:eastAsia="仿宋" w:cs="仿宋"/>
          <w:color w:val="auto"/>
          <w:highlight w:val="none"/>
        </w:rPr>
      </w:pPr>
      <w:bookmarkStart w:id="198" w:name="_Toc1660877"/>
      <w:bookmarkStart w:id="199" w:name="_Toc16973"/>
      <w:r>
        <w:rPr>
          <w:rFonts w:hint="eastAsia" w:ascii="仿宋" w:hAnsi="仿宋" w:cs="仿宋"/>
          <w:color w:val="auto"/>
          <w:highlight w:val="none"/>
          <w:lang w:val="en-US" w:eastAsia="zh-CN"/>
        </w:rPr>
        <w:t>二十二</w:t>
      </w:r>
      <w:r>
        <w:rPr>
          <w:rFonts w:hint="eastAsia" w:ascii="仿宋" w:hAnsi="仿宋" w:eastAsia="仿宋" w:cs="仿宋"/>
          <w:color w:val="auto"/>
          <w:highlight w:val="none"/>
        </w:rPr>
        <w:t>、参与评审打分的合同业绩一览表</w:t>
      </w:r>
      <w:bookmarkEnd w:id="198"/>
      <w:bookmarkEnd w:id="199"/>
    </w:p>
    <w:p>
      <w:pPr>
        <w:pStyle w:val="154"/>
        <w:ind w:firstLine="0"/>
        <w:jc w:val="center"/>
        <w:rPr>
          <w:rFonts w:hint="eastAsia" w:ascii="仿宋" w:hAnsi="仿宋" w:eastAsia="仿宋" w:cs="仿宋"/>
          <w:color w:val="auto"/>
          <w:szCs w:val="21"/>
          <w:highlight w:val="none"/>
        </w:rPr>
      </w:pPr>
    </w:p>
    <w:p>
      <w:pPr>
        <w:pStyle w:val="154"/>
        <w:ind w:firstLine="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参与评审打分的合同业绩一览表</w:t>
      </w:r>
    </w:p>
    <w:p>
      <w:pPr>
        <w:pStyle w:val="154"/>
        <w:ind w:firstLine="0"/>
        <w:jc w:val="center"/>
        <w:rPr>
          <w:rFonts w:hint="eastAsia" w:ascii="仿宋" w:hAnsi="仿宋" w:eastAsia="仿宋" w:cs="仿宋"/>
          <w:color w:val="auto"/>
          <w:szCs w:val="21"/>
          <w:highlight w:val="none"/>
        </w:rPr>
      </w:pP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2339"/>
        <w:gridCol w:w="2552"/>
        <w:gridCol w:w="2126"/>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4" w:hRule="atLeast"/>
          <w:jc w:val="center"/>
        </w:trPr>
        <w:tc>
          <w:tcPr>
            <w:tcW w:w="873" w:type="dxa"/>
            <w:vAlign w:val="center"/>
          </w:tcPr>
          <w:p>
            <w:pPr>
              <w:pStyle w:val="154"/>
              <w:ind w:firstLine="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序号</w:t>
            </w:r>
          </w:p>
        </w:tc>
        <w:tc>
          <w:tcPr>
            <w:tcW w:w="2339" w:type="dxa"/>
            <w:vAlign w:val="center"/>
          </w:tcPr>
          <w:p>
            <w:pPr>
              <w:pStyle w:val="154"/>
              <w:ind w:firstLine="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项目名称</w:t>
            </w:r>
          </w:p>
        </w:tc>
        <w:tc>
          <w:tcPr>
            <w:tcW w:w="2552" w:type="dxa"/>
            <w:vAlign w:val="center"/>
          </w:tcPr>
          <w:p>
            <w:pPr>
              <w:pStyle w:val="154"/>
              <w:ind w:firstLine="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采购单位（甲方）名称</w:t>
            </w:r>
          </w:p>
        </w:tc>
        <w:tc>
          <w:tcPr>
            <w:tcW w:w="2126" w:type="dxa"/>
            <w:vAlign w:val="center"/>
          </w:tcPr>
          <w:p>
            <w:pPr>
              <w:pStyle w:val="154"/>
              <w:ind w:firstLine="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合同金额（元）</w:t>
            </w:r>
          </w:p>
        </w:tc>
        <w:tc>
          <w:tcPr>
            <w:tcW w:w="1255" w:type="dxa"/>
            <w:vAlign w:val="center"/>
          </w:tcPr>
          <w:p>
            <w:pPr>
              <w:pStyle w:val="154"/>
              <w:ind w:firstLine="0"/>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签订时间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vAlign w:val="center"/>
          </w:tcPr>
          <w:p>
            <w:pPr>
              <w:pStyle w:val="154"/>
              <w:ind w:firstLine="0"/>
              <w:jc w:val="center"/>
              <w:rPr>
                <w:rFonts w:hint="eastAsia" w:ascii="仿宋" w:hAnsi="仿宋" w:eastAsia="仿宋" w:cs="仿宋"/>
                <w:bCs/>
                <w:color w:val="auto"/>
                <w:w w:val="90"/>
                <w:szCs w:val="21"/>
                <w:highlight w:val="none"/>
              </w:rPr>
            </w:pPr>
          </w:p>
        </w:tc>
        <w:tc>
          <w:tcPr>
            <w:tcW w:w="2339" w:type="dxa"/>
            <w:vAlign w:val="center"/>
          </w:tcPr>
          <w:p>
            <w:pPr>
              <w:pStyle w:val="154"/>
              <w:ind w:firstLine="0"/>
              <w:jc w:val="left"/>
              <w:rPr>
                <w:rFonts w:hint="eastAsia" w:ascii="仿宋" w:hAnsi="仿宋" w:eastAsia="仿宋" w:cs="仿宋"/>
                <w:bCs/>
                <w:color w:val="auto"/>
                <w:w w:val="90"/>
                <w:szCs w:val="21"/>
                <w:highlight w:val="none"/>
              </w:rPr>
            </w:pPr>
          </w:p>
        </w:tc>
        <w:tc>
          <w:tcPr>
            <w:tcW w:w="2552" w:type="dxa"/>
            <w:vAlign w:val="center"/>
          </w:tcPr>
          <w:p>
            <w:pPr>
              <w:pStyle w:val="154"/>
              <w:ind w:firstLine="0"/>
              <w:jc w:val="left"/>
              <w:rPr>
                <w:rFonts w:hint="eastAsia" w:ascii="仿宋" w:hAnsi="仿宋" w:eastAsia="仿宋" w:cs="仿宋"/>
                <w:bCs/>
                <w:color w:val="auto"/>
                <w:w w:val="90"/>
                <w:szCs w:val="21"/>
                <w:highlight w:val="none"/>
              </w:rPr>
            </w:pPr>
          </w:p>
        </w:tc>
        <w:tc>
          <w:tcPr>
            <w:tcW w:w="2126" w:type="dxa"/>
            <w:vAlign w:val="center"/>
          </w:tcPr>
          <w:p>
            <w:pPr>
              <w:pStyle w:val="154"/>
              <w:ind w:firstLine="0"/>
              <w:jc w:val="left"/>
              <w:rPr>
                <w:rFonts w:hint="eastAsia" w:ascii="仿宋" w:hAnsi="仿宋" w:eastAsia="仿宋" w:cs="仿宋"/>
                <w:bCs/>
                <w:color w:val="auto"/>
                <w:szCs w:val="21"/>
                <w:highlight w:val="none"/>
              </w:rPr>
            </w:pPr>
          </w:p>
        </w:tc>
        <w:tc>
          <w:tcPr>
            <w:tcW w:w="1255" w:type="dxa"/>
            <w:vAlign w:val="center"/>
          </w:tcPr>
          <w:p>
            <w:pPr>
              <w:pStyle w:val="154"/>
              <w:ind w:firstLine="0"/>
              <w:jc w:val="left"/>
              <w:rPr>
                <w:rFonts w:hint="eastAsia" w:ascii="仿宋" w:hAnsi="仿宋" w:eastAsia="仿宋" w:cs="仿宋"/>
                <w:bCs/>
                <w:color w:val="auto"/>
                <w:w w:val="9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vAlign w:val="center"/>
          </w:tcPr>
          <w:p>
            <w:pPr>
              <w:pStyle w:val="154"/>
              <w:ind w:firstLine="0"/>
              <w:jc w:val="center"/>
              <w:rPr>
                <w:rFonts w:hint="eastAsia" w:ascii="仿宋" w:hAnsi="仿宋" w:eastAsia="仿宋" w:cs="仿宋"/>
                <w:bCs/>
                <w:color w:val="auto"/>
                <w:w w:val="90"/>
                <w:szCs w:val="21"/>
                <w:highlight w:val="none"/>
              </w:rPr>
            </w:pPr>
          </w:p>
        </w:tc>
        <w:tc>
          <w:tcPr>
            <w:tcW w:w="2339" w:type="dxa"/>
            <w:vAlign w:val="center"/>
          </w:tcPr>
          <w:p>
            <w:pPr>
              <w:pStyle w:val="154"/>
              <w:ind w:firstLine="0"/>
              <w:jc w:val="left"/>
              <w:rPr>
                <w:rFonts w:hint="eastAsia" w:ascii="仿宋" w:hAnsi="仿宋" w:eastAsia="仿宋" w:cs="仿宋"/>
                <w:bCs/>
                <w:color w:val="auto"/>
                <w:w w:val="90"/>
                <w:szCs w:val="21"/>
                <w:highlight w:val="none"/>
              </w:rPr>
            </w:pPr>
          </w:p>
        </w:tc>
        <w:tc>
          <w:tcPr>
            <w:tcW w:w="2552" w:type="dxa"/>
            <w:vAlign w:val="center"/>
          </w:tcPr>
          <w:p>
            <w:pPr>
              <w:pStyle w:val="154"/>
              <w:ind w:firstLine="0"/>
              <w:jc w:val="left"/>
              <w:rPr>
                <w:rFonts w:hint="eastAsia" w:ascii="仿宋" w:hAnsi="仿宋" w:eastAsia="仿宋" w:cs="仿宋"/>
                <w:bCs/>
                <w:color w:val="auto"/>
                <w:w w:val="90"/>
                <w:szCs w:val="21"/>
                <w:highlight w:val="none"/>
              </w:rPr>
            </w:pPr>
          </w:p>
        </w:tc>
        <w:tc>
          <w:tcPr>
            <w:tcW w:w="2126" w:type="dxa"/>
            <w:vAlign w:val="center"/>
          </w:tcPr>
          <w:p>
            <w:pPr>
              <w:pStyle w:val="154"/>
              <w:ind w:firstLine="0"/>
              <w:jc w:val="left"/>
              <w:rPr>
                <w:rFonts w:hint="eastAsia" w:ascii="仿宋" w:hAnsi="仿宋" w:eastAsia="仿宋" w:cs="仿宋"/>
                <w:bCs/>
                <w:color w:val="auto"/>
                <w:w w:val="90"/>
                <w:szCs w:val="21"/>
                <w:highlight w:val="none"/>
              </w:rPr>
            </w:pPr>
          </w:p>
        </w:tc>
        <w:tc>
          <w:tcPr>
            <w:tcW w:w="1255" w:type="dxa"/>
            <w:vAlign w:val="center"/>
          </w:tcPr>
          <w:p>
            <w:pPr>
              <w:pStyle w:val="154"/>
              <w:ind w:firstLine="0"/>
              <w:jc w:val="left"/>
              <w:rPr>
                <w:rFonts w:hint="eastAsia" w:ascii="仿宋" w:hAnsi="仿宋" w:eastAsia="仿宋" w:cs="仿宋"/>
                <w:bCs/>
                <w:color w:val="auto"/>
                <w:w w:val="9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vAlign w:val="center"/>
          </w:tcPr>
          <w:p>
            <w:pPr>
              <w:pStyle w:val="154"/>
              <w:ind w:firstLine="0"/>
              <w:jc w:val="center"/>
              <w:rPr>
                <w:rFonts w:hint="eastAsia" w:ascii="仿宋" w:hAnsi="仿宋" w:eastAsia="仿宋" w:cs="仿宋"/>
                <w:bCs/>
                <w:color w:val="auto"/>
                <w:w w:val="90"/>
                <w:szCs w:val="21"/>
                <w:highlight w:val="none"/>
              </w:rPr>
            </w:pPr>
          </w:p>
        </w:tc>
        <w:tc>
          <w:tcPr>
            <w:tcW w:w="2339" w:type="dxa"/>
            <w:vAlign w:val="center"/>
          </w:tcPr>
          <w:p>
            <w:pPr>
              <w:pStyle w:val="154"/>
              <w:ind w:firstLine="0"/>
              <w:jc w:val="left"/>
              <w:rPr>
                <w:rFonts w:hint="eastAsia" w:ascii="仿宋" w:hAnsi="仿宋" w:eastAsia="仿宋" w:cs="仿宋"/>
                <w:bCs/>
                <w:color w:val="auto"/>
                <w:w w:val="90"/>
                <w:szCs w:val="21"/>
                <w:highlight w:val="none"/>
              </w:rPr>
            </w:pPr>
          </w:p>
        </w:tc>
        <w:tc>
          <w:tcPr>
            <w:tcW w:w="2552" w:type="dxa"/>
            <w:vAlign w:val="center"/>
          </w:tcPr>
          <w:p>
            <w:pPr>
              <w:pStyle w:val="154"/>
              <w:ind w:firstLine="0"/>
              <w:jc w:val="left"/>
              <w:rPr>
                <w:rFonts w:hint="eastAsia" w:ascii="仿宋" w:hAnsi="仿宋" w:eastAsia="仿宋" w:cs="仿宋"/>
                <w:bCs/>
                <w:color w:val="auto"/>
                <w:w w:val="90"/>
                <w:szCs w:val="21"/>
                <w:highlight w:val="none"/>
              </w:rPr>
            </w:pPr>
          </w:p>
        </w:tc>
        <w:tc>
          <w:tcPr>
            <w:tcW w:w="2126" w:type="dxa"/>
            <w:vAlign w:val="center"/>
          </w:tcPr>
          <w:p>
            <w:pPr>
              <w:pStyle w:val="154"/>
              <w:ind w:firstLine="0"/>
              <w:jc w:val="left"/>
              <w:rPr>
                <w:rFonts w:hint="eastAsia" w:ascii="仿宋" w:hAnsi="仿宋" w:eastAsia="仿宋" w:cs="仿宋"/>
                <w:bCs/>
                <w:color w:val="auto"/>
                <w:w w:val="90"/>
                <w:szCs w:val="21"/>
                <w:highlight w:val="none"/>
              </w:rPr>
            </w:pPr>
          </w:p>
        </w:tc>
        <w:tc>
          <w:tcPr>
            <w:tcW w:w="1255" w:type="dxa"/>
            <w:vAlign w:val="center"/>
          </w:tcPr>
          <w:p>
            <w:pPr>
              <w:pStyle w:val="154"/>
              <w:ind w:firstLine="0"/>
              <w:jc w:val="left"/>
              <w:rPr>
                <w:rFonts w:hint="eastAsia" w:ascii="仿宋" w:hAnsi="仿宋" w:eastAsia="仿宋" w:cs="仿宋"/>
                <w:bCs/>
                <w:color w:val="auto"/>
                <w:w w:val="9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vAlign w:val="center"/>
          </w:tcPr>
          <w:p>
            <w:pPr>
              <w:pStyle w:val="154"/>
              <w:ind w:firstLine="0"/>
              <w:jc w:val="center"/>
              <w:rPr>
                <w:rFonts w:hint="eastAsia" w:ascii="仿宋" w:hAnsi="仿宋" w:eastAsia="仿宋" w:cs="仿宋"/>
                <w:bCs/>
                <w:color w:val="auto"/>
                <w:w w:val="90"/>
                <w:szCs w:val="21"/>
                <w:highlight w:val="none"/>
              </w:rPr>
            </w:pPr>
          </w:p>
        </w:tc>
        <w:tc>
          <w:tcPr>
            <w:tcW w:w="2339" w:type="dxa"/>
            <w:vAlign w:val="center"/>
          </w:tcPr>
          <w:p>
            <w:pPr>
              <w:pStyle w:val="154"/>
              <w:ind w:firstLine="0"/>
              <w:jc w:val="left"/>
              <w:rPr>
                <w:rFonts w:hint="eastAsia" w:ascii="仿宋" w:hAnsi="仿宋" w:eastAsia="仿宋" w:cs="仿宋"/>
                <w:bCs/>
                <w:color w:val="auto"/>
                <w:w w:val="90"/>
                <w:szCs w:val="21"/>
                <w:highlight w:val="none"/>
              </w:rPr>
            </w:pPr>
          </w:p>
        </w:tc>
        <w:tc>
          <w:tcPr>
            <w:tcW w:w="2552" w:type="dxa"/>
            <w:vAlign w:val="center"/>
          </w:tcPr>
          <w:p>
            <w:pPr>
              <w:pStyle w:val="154"/>
              <w:ind w:firstLine="0"/>
              <w:jc w:val="left"/>
              <w:rPr>
                <w:rFonts w:hint="eastAsia" w:ascii="仿宋" w:hAnsi="仿宋" w:eastAsia="仿宋" w:cs="仿宋"/>
                <w:bCs/>
                <w:color w:val="auto"/>
                <w:w w:val="90"/>
                <w:szCs w:val="21"/>
                <w:highlight w:val="none"/>
              </w:rPr>
            </w:pPr>
          </w:p>
        </w:tc>
        <w:tc>
          <w:tcPr>
            <w:tcW w:w="2126" w:type="dxa"/>
            <w:vAlign w:val="center"/>
          </w:tcPr>
          <w:p>
            <w:pPr>
              <w:pStyle w:val="154"/>
              <w:ind w:firstLine="0"/>
              <w:jc w:val="left"/>
              <w:rPr>
                <w:rFonts w:hint="eastAsia" w:ascii="仿宋" w:hAnsi="仿宋" w:eastAsia="仿宋" w:cs="仿宋"/>
                <w:bCs/>
                <w:color w:val="auto"/>
                <w:w w:val="90"/>
                <w:szCs w:val="21"/>
                <w:highlight w:val="none"/>
              </w:rPr>
            </w:pPr>
          </w:p>
        </w:tc>
        <w:tc>
          <w:tcPr>
            <w:tcW w:w="1255" w:type="dxa"/>
            <w:vAlign w:val="center"/>
          </w:tcPr>
          <w:p>
            <w:pPr>
              <w:pStyle w:val="154"/>
              <w:ind w:firstLine="0"/>
              <w:jc w:val="left"/>
              <w:rPr>
                <w:rFonts w:hint="eastAsia" w:ascii="仿宋" w:hAnsi="仿宋" w:eastAsia="仿宋" w:cs="仿宋"/>
                <w:bCs/>
                <w:color w:val="auto"/>
                <w:w w:val="9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vAlign w:val="center"/>
          </w:tcPr>
          <w:p>
            <w:pPr>
              <w:pStyle w:val="154"/>
              <w:ind w:firstLine="0"/>
              <w:jc w:val="center"/>
              <w:rPr>
                <w:rFonts w:hint="eastAsia" w:ascii="仿宋" w:hAnsi="仿宋" w:eastAsia="仿宋" w:cs="仿宋"/>
                <w:bCs/>
                <w:color w:val="auto"/>
                <w:w w:val="90"/>
                <w:szCs w:val="21"/>
                <w:highlight w:val="none"/>
              </w:rPr>
            </w:pPr>
          </w:p>
        </w:tc>
        <w:tc>
          <w:tcPr>
            <w:tcW w:w="2339" w:type="dxa"/>
            <w:vAlign w:val="center"/>
          </w:tcPr>
          <w:p>
            <w:pPr>
              <w:pStyle w:val="154"/>
              <w:ind w:firstLine="0"/>
              <w:jc w:val="left"/>
              <w:rPr>
                <w:rFonts w:hint="eastAsia" w:ascii="仿宋" w:hAnsi="仿宋" w:eastAsia="仿宋" w:cs="仿宋"/>
                <w:bCs/>
                <w:color w:val="auto"/>
                <w:w w:val="90"/>
                <w:szCs w:val="21"/>
                <w:highlight w:val="none"/>
              </w:rPr>
            </w:pPr>
          </w:p>
        </w:tc>
        <w:tc>
          <w:tcPr>
            <w:tcW w:w="2552" w:type="dxa"/>
            <w:vAlign w:val="center"/>
          </w:tcPr>
          <w:p>
            <w:pPr>
              <w:pStyle w:val="154"/>
              <w:ind w:firstLine="0"/>
              <w:jc w:val="left"/>
              <w:rPr>
                <w:rFonts w:hint="eastAsia" w:ascii="仿宋" w:hAnsi="仿宋" w:eastAsia="仿宋" w:cs="仿宋"/>
                <w:bCs/>
                <w:color w:val="auto"/>
                <w:w w:val="90"/>
                <w:szCs w:val="21"/>
                <w:highlight w:val="none"/>
              </w:rPr>
            </w:pPr>
          </w:p>
        </w:tc>
        <w:tc>
          <w:tcPr>
            <w:tcW w:w="2126" w:type="dxa"/>
            <w:vAlign w:val="center"/>
          </w:tcPr>
          <w:p>
            <w:pPr>
              <w:pStyle w:val="154"/>
              <w:ind w:firstLine="0"/>
              <w:jc w:val="left"/>
              <w:rPr>
                <w:rFonts w:hint="eastAsia" w:ascii="仿宋" w:hAnsi="仿宋" w:eastAsia="仿宋" w:cs="仿宋"/>
                <w:bCs/>
                <w:color w:val="auto"/>
                <w:w w:val="90"/>
                <w:szCs w:val="21"/>
                <w:highlight w:val="none"/>
              </w:rPr>
            </w:pPr>
          </w:p>
        </w:tc>
        <w:tc>
          <w:tcPr>
            <w:tcW w:w="1255" w:type="dxa"/>
            <w:vAlign w:val="center"/>
          </w:tcPr>
          <w:p>
            <w:pPr>
              <w:pStyle w:val="154"/>
              <w:ind w:firstLine="0"/>
              <w:jc w:val="left"/>
              <w:rPr>
                <w:rFonts w:hint="eastAsia" w:ascii="仿宋" w:hAnsi="仿宋" w:eastAsia="仿宋" w:cs="仿宋"/>
                <w:bCs/>
                <w:color w:val="auto"/>
                <w:w w:val="9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vAlign w:val="center"/>
          </w:tcPr>
          <w:p>
            <w:pPr>
              <w:pStyle w:val="154"/>
              <w:ind w:firstLine="0"/>
              <w:jc w:val="center"/>
              <w:rPr>
                <w:rFonts w:hint="eastAsia" w:ascii="仿宋" w:hAnsi="仿宋" w:eastAsia="仿宋" w:cs="仿宋"/>
                <w:bCs/>
                <w:color w:val="auto"/>
                <w:w w:val="90"/>
                <w:szCs w:val="21"/>
                <w:highlight w:val="none"/>
              </w:rPr>
            </w:pPr>
          </w:p>
        </w:tc>
        <w:tc>
          <w:tcPr>
            <w:tcW w:w="2339" w:type="dxa"/>
            <w:vAlign w:val="center"/>
          </w:tcPr>
          <w:p>
            <w:pPr>
              <w:pStyle w:val="154"/>
              <w:ind w:firstLine="0"/>
              <w:jc w:val="left"/>
              <w:rPr>
                <w:rFonts w:hint="eastAsia" w:ascii="仿宋" w:hAnsi="仿宋" w:eastAsia="仿宋" w:cs="仿宋"/>
                <w:bCs/>
                <w:color w:val="auto"/>
                <w:w w:val="90"/>
                <w:szCs w:val="21"/>
                <w:highlight w:val="none"/>
              </w:rPr>
            </w:pPr>
          </w:p>
        </w:tc>
        <w:tc>
          <w:tcPr>
            <w:tcW w:w="2552" w:type="dxa"/>
            <w:vAlign w:val="center"/>
          </w:tcPr>
          <w:p>
            <w:pPr>
              <w:pStyle w:val="154"/>
              <w:ind w:firstLine="0"/>
              <w:jc w:val="left"/>
              <w:rPr>
                <w:rFonts w:hint="eastAsia" w:ascii="仿宋" w:hAnsi="仿宋" w:eastAsia="仿宋" w:cs="仿宋"/>
                <w:bCs/>
                <w:color w:val="auto"/>
                <w:w w:val="90"/>
                <w:szCs w:val="21"/>
                <w:highlight w:val="none"/>
              </w:rPr>
            </w:pPr>
          </w:p>
        </w:tc>
        <w:tc>
          <w:tcPr>
            <w:tcW w:w="2126" w:type="dxa"/>
            <w:vAlign w:val="center"/>
          </w:tcPr>
          <w:p>
            <w:pPr>
              <w:pStyle w:val="154"/>
              <w:ind w:firstLine="0"/>
              <w:jc w:val="left"/>
              <w:rPr>
                <w:rFonts w:hint="eastAsia" w:ascii="仿宋" w:hAnsi="仿宋" w:eastAsia="仿宋" w:cs="仿宋"/>
                <w:bCs/>
                <w:color w:val="auto"/>
                <w:w w:val="90"/>
                <w:szCs w:val="21"/>
                <w:highlight w:val="none"/>
              </w:rPr>
            </w:pPr>
          </w:p>
        </w:tc>
        <w:tc>
          <w:tcPr>
            <w:tcW w:w="1255" w:type="dxa"/>
            <w:vAlign w:val="center"/>
          </w:tcPr>
          <w:p>
            <w:pPr>
              <w:pStyle w:val="154"/>
              <w:ind w:firstLine="0"/>
              <w:jc w:val="left"/>
              <w:rPr>
                <w:rFonts w:hint="eastAsia" w:ascii="仿宋" w:hAnsi="仿宋" w:eastAsia="仿宋" w:cs="仿宋"/>
                <w:bCs/>
                <w:color w:val="auto"/>
                <w:w w:val="9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vAlign w:val="center"/>
          </w:tcPr>
          <w:p>
            <w:pPr>
              <w:pStyle w:val="154"/>
              <w:ind w:firstLine="0"/>
              <w:jc w:val="center"/>
              <w:rPr>
                <w:rFonts w:hint="eastAsia" w:ascii="仿宋" w:hAnsi="仿宋" w:eastAsia="仿宋" w:cs="仿宋"/>
                <w:bCs/>
                <w:color w:val="auto"/>
                <w:w w:val="90"/>
                <w:szCs w:val="21"/>
                <w:highlight w:val="none"/>
              </w:rPr>
            </w:pPr>
          </w:p>
        </w:tc>
        <w:tc>
          <w:tcPr>
            <w:tcW w:w="2339" w:type="dxa"/>
            <w:vAlign w:val="center"/>
          </w:tcPr>
          <w:p>
            <w:pPr>
              <w:pStyle w:val="154"/>
              <w:ind w:firstLine="0"/>
              <w:jc w:val="left"/>
              <w:rPr>
                <w:rFonts w:hint="eastAsia" w:ascii="仿宋" w:hAnsi="仿宋" w:eastAsia="仿宋" w:cs="仿宋"/>
                <w:bCs/>
                <w:color w:val="auto"/>
                <w:w w:val="90"/>
                <w:szCs w:val="21"/>
                <w:highlight w:val="none"/>
              </w:rPr>
            </w:pPr>
          </w:p>
        </w:tc>
        <w:tc>
          <w:tcPr>
            <w:tcW w:w="2552" w:type="dxa"/>
            <w:vAlign w:val="center"/>
          </w:tcPr>
          <w:p>
            <w:pPr>
              <w:pStyle w:val="154"/>
              <w:ind w:firstLine="0"/>
              <w:jc w:val="left"/>
              <w:rPr>
                <w:rFonts w:hint="eastAsia" w:ascii="仿宋" w:hAnsi="仿宋" w:eastAsia="仿宋" w:cs="仿宋"/>
                <w:bCs/>
                <w:color w:val="auto"/>
                <w:w w:val="90"/>
                <w:szCs w:val="21"/>
                <w:highlight w:val="none"/>
              </w:rPr>
            </w:pPr>
          </w:p>
        </w:tc>
        <w:tc>
          <w:tcPr>
            <w:tcW w:w="2126" w:type="dxa"/>
            <w:vAlign w:val="center"/>
          </w:tcPr>
          <w:p>
            <w:pPr>
              <w:pStyle w:val="154"/>
              <w:ind w:firstLine="0"/>
              <w:jc w:val="left"/>
              <w:rPr>
                <w:rFonts w:hint="eastAsia" w:ascii="仿宋" w:hAnsi="仿宋" w:eastAsia="仿宋" w:cs="仿宋"/>
                <w:bCs/>
                <w:color w:val="auto"/>
                <w:w w:val="90"/>
                <w:szCs w:val="21"/>
                <w:highlight w:val="none"/>
              </w:rPr>
            </w:pPr>
          </w:p>
        </w:tc>
        <w:tc>
          <w:tcPr>
            <w:tcW w:w="1255" w:type="dxa"/>
            <w:vAlign w:val="center"/>
          </w:tcPr>
          <w:p>
            <w:pPr>
              <w:pStyle w:val="154"/>
              <w:ind w:firstLine="0"/>
              <w:jc w:val="left"/>
              <w:rPr>
                <w:rFonts w:hint="eastAsia" w:ascii="仿宋" w:hAnsi="仿宋" w:eastAsia="仿宋" w:cs="仿宋"/>
                <w:bCs/>
                <w:color w:val="auto"/>
                <w:w w:val="90"/>
                <w:szCs w:val="21"/>
                <w:highlight w:val="none"/>
              </w:rPr>
            </w:pPr>
          </w:p>
        </w:tc>
      </w:tr>
    </w:tbl>
    <w:p>
      <w:pPr>
        <w:pStyle w:val="154"/>
        <w:ind w:firstLine="0"/>
        <w:rPr>
          <w:rFonts w:hint="eastAsia" w:ascii="仿宋" w:hAnsi="仿宋" w:eastAsia="仿宋" w:cs="仿宋"/>
          <w:color w:val="auto"/>
          <w:szCs w:val="21"/>
          <w:highlight w:val="none"/>
        </w:rPr>
      </w:pPr>
    </w:p>
    <w:p>
      <w:pPr>
        <w:pStyle w:val="154"/>
        <w:ind w:firstLine="0"/>
        <w:rPr>
          <w:rFonts w:hint="eastAsia" w:ascii="仿宋" w:hAnsi="仿宋" w:eastAsia="仿宋" w:cs="仿宋"/>
          <w:color w:val="auto"/>
          <w:szCs w:val="21"/>
          <w:highlight w:val="none"/>
        </w:rPr>
      </w:pPr>
    </w:p>
    <w:p>
      <w:pPr>
        <w:pStyle w:val="154"/>
        <w:ind w:firstLine="0"/>
        <w:rPr>
          <w:rFonts w:hint="eastAsia" w:ascii="仿宋" w:hAnsi="仿宋" w:eastAsia="仿宋" w:cs="仿宋"/>
          <w:bCs/>
          <w:color w:val="auto"/>
          <w:spacing w:val="10"/>
          <w:szCs w:val="21"/>
          <w:highlight w:val="none"/>
        </w:rPr>
      </w:pPr>
      <w:r>
        <w:rPr>
          <w:rFonts w:hint="eastAsia" w:ascii="仿宋" w:hAnsi="仿宋" w:eastAsia="仿宋" w:cs="仿宋"/>
          <w:bCs/>
          <w:color w:val="auto"/>
          <w:spacing w:val="10"/>
          <w:szCs w:val="21"/>
          <w:highlight w:val="none"/>
        </w:rPr>
        <w:t>注：1.投标人可根据需要自行增减表格行数。</w:t>
      </w:r>
    </w:p>
    <w:p>
      <w:pPr>
        <w:pStyle w:val="154"/>
        <w:ind w:firstLine="430" w:firstLineChars="200"/>
        <w:rPr>
          <w:rFonts w:hint="eastAsia" w:ascii="仿宋" w:hAnsi="仿宋" w:eastAsia="仿宋" w:cs="仿宋"/>
          <w:bCs/>
          <w:color w:val="auto"/>
          <w:spacing w:val="10"/>
          <w:szCs w:val="21"/>
          <w:highlight w:val="none"/>
        </w:rPr>
      </w:pPr>
      <w:r>
        <w:rPr>
          <w:rFonts w:hint="eastAsia" w:ascii="仿宋" w:hAnsi="仿宋" w:eastAsia="仿宋" w:cs="仿宋"/>
          <w:bCs/>
          <w:color w:val="auto"/>
          <w:spacing w:val="10"/>
          <w:szCs w:val="21"/>
          <w:highlight w:val="none"/>
        </w:rPr>
        <w:t>2.投标人对</w:t>
      </w:r>
      <w:r>
        <w:rPr>
          <w:rFonts w:hint="eastAsia" w:ascii="仿宋" w:hAnsi="仿宋" w:eastAsia="仿宋" w:cs="仿宋"/>
          <w:color w:val="auto"/>
          <w:szCs w:val="21"/>
          <w:highlight w:val="none"/>
        </w:rPr>
        <w:t>所报相关内容的真实性负责，采购代理机构有权将相关内容进行公示，因弄虚作假导致</w:t>
      </w:r>
      <w:r>
        <w:rPr>
          <w:rFonts w:hint="eastAsia" w:ascii="仿宋" w:hAnsi="仿宋" w:eastAsia="仿宋" w:cs="仿宋"/>
          <w:bCs/>
          <w:color w:val="auto"/>
          <w:spacing w:val="10"/>
          <w:szCs w:val="21"/>
          <w:highlight w:val="none"/>
        </w:rPr>
        <w:t>的后果由投标人自行承担</w:t>
      </w:r>
      <w:r>
        <w:rPr>
          <w:rFonts w:hint="eastAsia" w:ascii="仿宋" w:hAnsi="仿宋" w:eastAsia="仿宋" w:cs="仿宋"/>
          <w:color w:val="auto"/>
          <w:szCs w:val="21"/>
          <w:highlight w:val="none"/>
        </w:rPr>
        <w:t>。</w:t>
      </w:r>
    </w:p>
    <w:p>
      <w:pPr>
        <w:rPr>
          <w:rFonts w:hint="eastAsia" w:ascii="仿宋" w:hAnsi="仿宋" w:eastAsia="仿宋" w:cs="仿宋"/>
          <w:color w:val="auto"/>
          <w:highlight w:val="none"/>
        </w:rPr>
        <w:sectPr>
          <w:headerReference r:id="rId12" w:type="first"/>
          <w:footerReference r:id="rId15" w:type="first"/>
          <w:headerReference r:id="rId11" w:type="default"/>
          <w:footerReference r:id="rId13" w:type="default"/>
          <w:footerReference r:id="rId14" w:type="even"/>
          <w:pgSz w:w="11906" w:h="16838"/>
          <w:pgMar w:top="1440" w:right="1803" w:bottom="1440" w:left="1803" w:header="851" w:footer="992" w:gutter="0"/>
          <w:cols w:space="720" w:num="1"/>
          <w:docGrid w:type="linesAndChars" w:linePitch="466" w:charSpace="-3186"/>
        </w:sectPr>
      </w:pPr>
    </w:p>
    <w:p>
      <w:pPr>
        <w:pStyle w:val="5"/>
        <w:rPr>
          <w:rFonts w:hint="eastAsia" w:ascii="仿宋" w:hAnsi="仿宋" w:eastAsia="仿宋" w:cs="仿宋"/>
          <w:color w:val="auto"/>
          <w:highlight w:val="none"/>
        </w:rPr>
      </w:pPr>
      <w:bookmarkStart w:id="200" w:name="_Toc1660878"/>
      <w:bookmarkStart w:id="201" w:name="_Toc20822"/>
      <w:bookmarkStart w:id="202" w:name="_Toc504741952"/>
      <w:r>
        <w:rPr>
          <w:rFonts w:hint="eastAsia" w:ascii="仿宋" w:hAnsi="仿宋" w:eastAsia="仿宋" w:cs="仿宋"/>
          <w:color w:val="auto"/>
          <w:highlight w:val="none"/>
        </w:rPr>
        <w:t>二十</w:t>
      </w:r>
      <w:r>
        <w:rPr>
          <w:rFonts w:hint="eastAsia" w:ascii="仿宋" w:hAnsi="仿宋" w:cs="仿宋"/>
          <w:color w:val="auto"/>
          <w:highlight w:val="none"/>
          <w:lang w:val="en-US" w:eastAsia="zh-CN"/>
        </w:rPr>
        <w:t>三</w:t>
      </w:r>
      <w:r>
        <w:rPr>
          <w:rFonts w:hint="eastAsia" w:ascii="仿宋" w:hAnsi="仿宋" w:eastAsia="仿宋" w:cs="仿宋"/>
          <w:color w:val="auto"/>
          <w:highlight w:val="none"/>
        </w:rPr>
        <w:t>、参与评审打分的合同业绩扫描件</w:t>
      </w:r>
      <w:bookmarkEnd w:id="200"/>
      <w:bookmarkEnd w:id="201"/>
    </w:p>
    <w:p>
      <w:pPr>
        <w:pStyle w:val="5"/>
        <w:rPr>
          <w:rFonts w:hint="eastAsia" w:ascii="仿宋" w:hAnsi="仿宋" w:eastAsia="仿宋" w:cs="仿宋"/>
          <w:color w:val="auto"/>
          <w:highlight w:val="none"/>
        </w:rPr>
      </w:pPr>
      <w:r>
        <w:rPr>
          <w:rFonts w:hint="eastAsia" w:ascii="仿宋" w:hAnsi="仿宋" w:eastAsia="仿宋" w:cs="仿宋"/>
          <w:color w:val="auto"/>
          <w:highlight w:val="none"/>
        </w:rPr>
        <w:br w:type="page"/>
      </w:r>
      <w:bookmarkStart w:id="203" w:name="_Toc11630"/>
      <w:r>
        <w:rPr>
          <w:rFonts w:hint="eastAsia" w:ascii="仿宋" w:hAnsi="仿宋" w:eastAsia="仿宋" w:cs="仿宋"/>
          <w:color w:val="auto"/>
          <w:highlight w:val="none"/>
        </w:rPr>
        <w:t>二十</w:t>
      </w:r>
      <w:r>
        <w:rPr>
          <w:rFonts w:hint="eastAsia" w:ascii="仿宋" w:hAnsi="仿宋" w:cs="仿宋"/>
          <w:color w:val="auto"/>
          <w:highlight w:val="none"/>
          <w:lang w:val="en-US" w:eastAsia="zh-CN"/>
        </w:rPr>
        <w:t>四</w:t>
      </w:r>
      <w:r>
        <w:rPr>
          <w:rFonts w:hint="eastAsia" w:ascii="仿宋" w:hAnsi="仿宋" w:eastAsia="仿宋" w:cs="仿宋"/>
          <w:color w:val="auto"/>
          <w:highlight w:val="none"/>
        </w:rPr>
        <w:t>、</w:t>
      </w:r>
      <w:r>
        <w:rPr>
          <w:rFonts w:hint="eastAsia" w:ascii="仿宋" w:hAnsi="仿宋" w:eastAsia="仿宋" w:cs="仿宋"/>
          <w:color w:val="auto"/>
          <w:spacing w:val="14"/>
          <w:szCs w:val="21"/>
          <w:highlight w:val="none"/>
        </w:rPr>
        <w:t>其他需要提供的资料</w:t>
      </w:r>
      <w:bookmarkEnd w:id="203"/>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bookmarkEnd w:id="202"/>
    <w:p>
      <w:pPr>
        <w:rPr>
          <w:rFonts w:hint="eastAsia" w:ascii="仿宋" w:hAnsi="仿宋" w:eastAsia="仿宋" w:cs="仿宋"/>
          <w:color w:val="auto"/>
          <w:highlight w:val="none"/>
        </w:rPr>
      </w:pPr>
    </w:p>
    <w:p>
      <w:pPr>
        <w:pStyle w:val="24"/>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pStyle w:val="53"/>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4"/>
        <w:rPr>
          <w:rFonts w:hint="eastAsia" w:ascii="仿宋" w:hAnsi="仿宋" w:eastAsia="仿宋" w:cs="仿宋"/>
          <w:color w:val="auto"/>
          <w:highlight w:val="none"/>
        </w:rPr>
      </w:pPr>
    </w:p>
    <w:p>
      <w:pPr>
        <w:pStyle w:val="228"/>
        <w:spacing w:line="276" w:lineRule="auto"/>
        <w:jc w:val="center"/>
        <w:rPr>
          <w:rFonts w:hint="eastAsia" w:ascii="仿宋" w:hAnsi="仿宋" w:eastAsia="仿宋" w:cs="仿宋"/>
          <w:color w:val="auto"/>
          <w:szCs w:val="21"/>
          <w:highlight w:val="none"/>
          <w:lang w:val="zh-TW"/>
        </w:rPr>
      </w:pPr>
      <w:r>
        <w:rPr>
          <w:rFonts w:hint="eastAsia" w:ascii="仿宋" w:hAnsi="仿宋" w:eastAsia="仿宋" w:cs="仿宋"/>
          <w:b/>
          <w:bCs/>
          <w:color w:val="auto"/>
          <w:szCs w:val="21"/>
          <w:highlight w:val="none"/>
        </w:rPr>
        <w:t xml:space="preserve">附         </w:t>
      </w:r>
      <w:r>
        <w:rPr>
          <w:rFonts w:hint="eastAsia" w:ascii="仿宋" w:hAnsi="仿宋" w:eastAsia="仿宋" w:cs="仿宋"/>
          <w:color w:val="auto"/>
          <w:szCs w:val="21"/>
          <w:highlight w:val="none"/>
          <w:lang w:val="zh-TW"/>
        </w:rPr>
        <w:t>建设银行政府采购合同融资产品</w:t>
      </w:r>
    </w:p>
    <w:p>
      <w:pPr>
        <w:pStyle w:val="228"/>
        <w:spacing w:line="276" w:lineRule="auto"/>
        <w:rPr>
          <w:rFonts w:hint="eastAsia" w:ascii="仿宋" w:hAnsi="仿宋" w:eastAsia="仿宋" w:cs="仿宋"/>
          <w:color w:val="auto"/>
          <w:szCs w:val="21"/>
          <w:highlight w:val="none"/>
          <w:lang w:val="zh-TW"/>
        </w:rPr>
      </w:pPr>
      <w:r>
        <w:rPr>
          <w:rFonts w:hint="eastAsia" w:ascii="仿宋" w:hAnsi="仿宋" w:eastAsia="仿宋" w:cs="仿宋"/>
          <w:color w:val="auto"/>
          <w:szCs w:val="21"/>
          <w:highlight w:val="none"/>
          <w:lang w:val="zh-TW"/>
        </w:rPr>
        <w:t>一</w:t>
      </w:r>
      <w:r>
        <w:rPr>
          <w:rFonts w:hint="eastAsia" w:ascii="仿宋" w:hAnsi="仿宋" w:eastAsia="仿宋" w:cs="仿宋"/>
          <w:color w:val="auto"/>
          <w:szCs w:val="21"/>
          <w:highlight w:val="none"/>
          <w:lang w:val="zh-TW" w:eastAsia="zh-TW"/>
        </w:rPr>
        <w:t>、融资产品介绍</w:t>
      </w:r>
    </w:p>
    <w:p>
      <w:pPr>
        <w:pStyle w:val="228"/>
        <w:spacing w:line="276" w:lineRule="auto"/>
        <w:rPr>
          <w:rFonts w:hint="eastAsia" w:ascii="仿宋" w:hAnsi="仿宋" w:eastAsia="仿宋" w:cs="仿宋"/>
          <w:color w:val="auto"/>
          <w:szCs w:val="21"/>
          <w:highlight w:val="none"/>
          <w:lang w:val="zh-TW"/>
        </w:rPr>
      </w:pPr>
      <w:r>
        <w:rPr>
          <w:rFonts w:hint="eastAsia" w:ascii="仿宋" w:hAnsi="仿宋" w:eastAsia="仿宋" w:cs="仿宋"/>
          <w:color w:val="auto"/>
          <w:szCs w:val="21"/>
          <w:highlight w:val="none"/>
          <w:lang w:val="zh-TW"/>
        </w:rPr>
        <w:t>（一）</w:t>
      </w:r>
      <w:r>
        <w:rPr>
          <w:rFonts w:hint="eastAsia" w:ascii="仿宋" w:hAnsi="仿宋" w:eastAsia="仿宋" w:cs="仿宋"/>
          <w:color w:val="auto"/>
          <w:szCs w:val="21"/>
          <w:highlight w:val="none"/>
          <w:lang w:val="zh-TW" w:eastAsia="zh-TW"/>
        </w:rPr>
        <w:t>产品介绍</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1、产品简介</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建行“e政通”是中国建设银行以政府采购供应商中的供应商企业作为借款人，依据政府采购交易信息，通过建行集团供应链平台在线申请、审批、签约、支取的贷款产品。有效解决政府采购中标、成交的供应商资金不足、融资难、融资贵的困难。</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2、业务流程</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（1）采购人的采购资金纳入同级或以上政府财政预算。</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（2）供应商与政府采购部门签署采购合同。</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（3）政府采购合同在政府采购平台进行备案公示。</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（4）采购供应商依托采购合同，通过建行集团供应链平台申请融资。</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（5）建行核实贸易背景，按照采购合同金额的一定比例（考虑质押率）发放融资款项。</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（6）业务到期前，政府部门支付采购款项到建设银行指定的回款专户中。</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3、产品优势</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（1）无需授信（参考政府采购合同确定业务金额）</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（2）无需抵押（需提供应收账款质押）</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（3）贷款额高（单笔合同贷款金额最高3000万元）</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（4）操作便捷（在线审批，快速放款）</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（5）还款灵活（按日计息，可提前还款）</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4、借款人基本条件</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（1）供应商符合国家采购法等法律法规准入条件。</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（2）供应商经工商行政管理机关（或主管机关）核准登记的企业法人或个体工商户，有固定经营场所，合法经营。</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（3）供应商未纳入政府采购严重违法失信行为记录名单。</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（4）不存在我行反洗钱客户身份识别管理制度规定的禁止准入情形或停止业务关系的情形。</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（5）供应商企业具有持续经营能力，信用记录良好，近2年在中国人民银行企业征信系统无不良信用记录。</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（6）供应商企业主个人信用记录良好，近2年在中国人民银行个人征信系统个人逾期或欠息在30天（含）以内的次数不超过2（含）次，且不存在逾期或欠息在30天以上的信用记录。</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（7）采购人的采购资金须纳入同级或以上政府财政预算。</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（8）在河南省政府采购网有真实有效的政府采购合同备案记录。</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（9）所签约政府采购合同约定回款账号为建设银行指定账号。</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（10）供应商与采购人具有长期稳定合作关系，原则上要有2次及以上的历史政府采购中标记录。</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（二）申请路径</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建行集团供应链平台</w:t>
      </w:r>
    </w:p>
    <w:p>
      <w:pPr>
        <w:pStyle w:val="228"/>
        <w:spacing w:line="276" w:lineRule="auto"/>
        <w:rPr>
          <w:rFonts w:hint="eastAsia" w:ascii="仿宋" w:hAnsi="仿宋" w:eastAsia="仿宋" w:cs="仿宋"/>
          <w:color w:val="auto"/>
          <w:szCs w:val="21"/>
          <w:highlight w:val="none"/>
          <w:lang w:val="zh-TW"/>
        </w:rPr>
      </w:pPr>
      <w:r>
        <w:rPr>
          <w:rFonts w:hint="eastAsia" w:ascii="仿宋" w:hAnsi="仿宋" w:eastAsia="仿宋" w:cs="仿宋"/>
          <w:color w:val="auto"/>
          <w:szCs w:val="21"/>
          <w:highlight w:val="none"/>
          <w:lang w:val="zh-TW"/>
        </w:rPr>
        <w:t>（三）</w:t>
      </w:r>
      <w:r>
        <w:rPr>
          <w:rFonts w:hint="eastAsia" w:ascii="仿宋" w:hAnsi="仿宋" w:eastAsia="仿宋" w:cs="仿宋"/>
          <w:color w:val="auto"/>
          <w:szCs w:val="21"/>
          <w:highlight w:val="none"/>
          <w:lang w:val="zh-TW" w:eastAsia="zh-TW"/>
        </w:rPr>
        <w:t>利率</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针对不同客户差别化定价，根据客户综合贡献度合理确定。</w:t>
      </w:r>
    </w:p>
    <w:p>
      <w:pPr>
        <w:pStyle w:val="228"/>
        <w:spacing w:line="276" w:lineRule="auto"/>
        <w:rPr>
          <w:rFonts w:hint="eastAsia" w:ascii="仿宋" w:hAnsi="仿宋" w:eastAsia="仿宋" w:cs="仿宋"/>
          <w:color w:val="auto"/>
          <w:szCs w:val="21"/>
          <w:highlight w:val="none"/>
          <w:lang w:val="zh-TW"/>
        </w:rPr>
      </w:pPr>
      <w:r>
        <w:rPr>
          <w:rFonts w:hint="eastAsia" w:ascii="仿宋" w:hAnsi="仿宋" w:eastAsia="仿宋" w:cs="仿宋"/>
          <w:color w:val="auto"/>
          <w:szCs w:val="21"/>
          <w:highlight w:val="none"/>
          <w:lang w:val="zh-TW"/>
        </w:rPr>
        <w:t>二</w:t>
      </w:r>
      <w:r>
        <w:rPr>
          <w:rFonts w:hint="eastAsia" w:ascii="仿宋" w:hAnsi="仿宋" w:eastAsia="仿宋" w:cs="仿宋"/>
          <w:color w:val="auto"/>
          <w:szCs w:val="21"/>
          <w:highlight w:val="none"/>
          <w:lang w:val="zh-TW" w:eastAsia="zh-TW"/>
        </w:rPr>
        <w:t>、联系方式</w:t>
      </w:r>
    </w:p>
    <w:p>
      <w:pPr>
        <w:pStyle w:val="228"/>
        <w:spacing w:line="276" w:lineRule="auto"/>
        <w:rPr>
          <w:rFonts w:hint="eastAsia" w:ascii="仿宋" w:hAnsi="仿宋" w:eastAsia="仿宋" w:cs="仿宋"/>
          <w:color w:val="auto"/>
          <w:szCs w:val="21"/>
          <w:highlight w:val="none"/>
          <w:lang w:val="zh-TW"/>
        </w:rPr>
      </w:pPr>
      <w:r>
        <w:rPr>
          <w:rFonts w:hint="eastAsia" w:ascii="仿宋" w:hAnsi="仿宋" w:eastAsia="仿宋" w:cs="仿宋"/>
          <w:color w:val="auto"/>
          <w:szCs w:val="21"/>
          <w:highlight w:val="none"/>
          <w:lang w:val="zh-TW"/>
        </w:rPr>
        <w:t>产品负责人：张翠荣13937942294</w:t>
      </w:r>
    </w:p>
    <w:p>
      <w:pPr>
        <w:pStyle w:val="228"/>
        <w:spacing w:line="276" w:lineRule="auto"/>
        <w:rPr>
          <w:rFonts w:hint="eastAsia" w:ascii="仿宋" w:hAnsi="仿宋" w:eastAsia="仿宋" w:cs="仿宋"/>
          <w:color w:val="auto"/>
          <w:szCs w:val="21"/>
          <w:highlight w:val="none"/>
          <w:lang w:val="zh-TW"/>
        </w:rPr>
      </w:pPr>
    </w:p>
    <w:p>
      <w:pPr>
        <w:pStyle w:val="228"/>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农行洛阳分行政采贷</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产品定义：“政采e贷”是指农业银行对接河南省政府采购网的政府采购大数据，以政府采购供应商为借款人，基于政府采购合同，以财政性资金作为还款来源，为履约记录良好的政府采购中标小微供应商，提供的线上批量化的短期流动资金贷款业务。</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2、贷款期限：根据采购合同约定的结算期限确定，最长不超过1年。</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融资额度：授信额度根据供应商近2年政府采购年均总金额的70%来核定，单笔贷款额度不超过政府采购合同总金额的90%。其中地市级（含）以上采购最高额度不超过500万元，县（区）级货物和服务类采购项目最高额度不超过200万元。</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4、贷款利率：目前执行年化3.85%的优惠利率。</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5、适用对象：河南省范围内政府采购中标供应商。</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6、办理条件：企业注册成立一年以上；已取得河南省范围内政府采购《中标通知书》或已签订《政府采购合同》；企业和企业主无不良信用记录，且政府采购履约记录良好；企业政府采购备案账户为农行账户。</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7、业务流程：客户通过企业网银申请-银行在线进行资料审核-系统自动审查审批-在线签署合同-贷款发放。</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业务分管及联系人：</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分管领导：张琦颖 18567663732</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客户经理：姚培培 13838823003</w:t>
      </w:r>
    </w:p>
    <w:p>
      <w:pPr>
        <w:pStyle w:val="228"/>
        <w:spacing w:line="276" w:lineRule="auto"/>
        <w:rPr>
          <w:rFonts w:hint="eastAsia" w:ascii="仿宋" w:hAnsi="仿宋" w:eastAsia="仿宋" w:cs="仿宋"/>
          <w:color w:val="auto"/>
          <w:szCs w:val="21"/>
          <w:highlight w:val="none"/>
        </w:rPr>
      </w:pPr>
    </w:p>
    <w:p>
      <w:pPr>
        <w:pStyle w:val="228"/>
        <w:spacing w:line="276" w:lineRule="auto"/>
        <w:jc w:val="center"/>
        <w:rPr>
          <w:rFonts w:hint="eastAsia" w:ascii="仿宋" w:hAnsi="仿宋" w:eastAsia="仿宋" w:cs="仿宋"/>
          <w:color w:val="auto"/>
          <w:szCs w:val="21"/>
          <w:highlight w:val="none"/>
          <w:lang w:val="zh-TW"/>
        </w:rPr>
      </w:pPr>
      <w:r>
        <w:rPr>
          <w:rFonts w:hint="eastAsia" w:ascii="仿宋" w:hAnsi="仿宋" w:eastAsia="仿宋" w:cs="仿宋"/>
          <w:color w:val="auto"/>
          <w:szCs w:val="21"/>
          <w:highlight w:val="none"/>
          <w:lang w:val="zh-TW"/>
        </w:rPr>
        <w:t>工商银行洛阳分行“政府采购贷款”产品</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一、联系方式：</w:t>
      </w:r>
    </w:p>
    <w:tbl>
      <w:tblPr>
        <w:tblStyle w:val="6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130" w:type="dxa"/>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联系人</w:t>
            </w:r>
          </w:p>
        </w:tc>
        <w:tc>
          <w:tcPr>
            <w:tcW w:w="2130" w:type="dxa"/>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职 务</w:t>
            </w:r>
          </w:p>
        </w:tc>
        <w:tc>
          <w:tcPr>
            <w:tcW w:w="2131" w:type="dxa"/>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 话</w:t>
            </w:r>
          </w:p>
        </w:tc>
        <w:tc>
          <w:tcPr>
            <w:tcW w:w="2131" w:type="dxa"/>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地 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30" w:type="dxa"/>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陈高立</w:t>
            </w:r>
          </w:p>
        </w:tc>
        <w:tc>
          <w:tcPr>
            <w:tcW w:w="2130" w:type="dxa"/>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副总经理</w:t>
            </w:r>
          </w:p>
        </w:tc>
        <w:tc>
          <w:tcPr>
            <w:tcW w:w="2131" w:type="dxa"/>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13721680079</w:t>
            </w:r>
          </w:p>
        </w:tc>
        <w:tc>
          <w:tcPr>
            <w:tcW w:w="2131" w:type="dxa"/>
            <w:vMerge w:val="restart"/>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洛阳市西工区中州中路230号工商银行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130" w:type="dxa"/>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许小琰</w:t>
            </w:r>
          </w:p>
        </w:tc>
        <w:tc>
          <w:tcPr>
            <w:tcW w:w="2130" w:type="dxa"/>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业务负责人</w:t>
            </w:r>
          </w:p>
        </w:tc>
        <w:tc>
          <w:tcPr>
            <w:tcW w:w="2131" w:type="dxa"/>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16603796606</w:t>
            </w:r>
          </w:p>
        </w:tc>
        <w:tc>
          <w:tcPr>
            <w:tcW w:w="2131" w:type="dxa"/>
            <w:vMerge w:val="continue"/>
          </w:tcPr>
          <w:p>
            <w:pPr>
              <w:pStyle w:val="228"/>
              <w:spacing w:line="276" w:lineRule="auto"/>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2130" w:type="dxa"/>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朱建国</w:t>
            </w:r>
          </w:p>
        </w:tc>
        <w:tc>
          <w:tcPr>
            <w:tcW w:w="2130" w:type="dxa"/>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客户经理</w:t>
            </w:r>
          </w:p>
        </w:tc>
        <w:tc>
          <w:tcPr>
            <w:tcW w:w="2131" w:type="dxa"/>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13653893229</w:t>
            </w:r>
          </w:p>
        </w:tc>
        <w:tc>
          <w:tcPr>
            <w:tcW w:w="2131" w:type="dxa"/>
            <w:vMerge w:val="continue"/>
          </w:tcPr>
          <w:p>
            <w:pPr>
              <w:pStyle w:val="228"/>
              <w:spacing w:line="276" w:lineRule="auto"/>
              <w:rPr>
                <w:rFonts w:hint="eastAsia" w:ascii="仿宋" w:hAnsi="仿宋" w:eastAsia="仿宋" w:cs="仿宋"/>
                <w:color w:val="auto"/>
                <w:szCs w:val="21"/>
                <w:highlight w:val="none"/>
              </w:rPr>
            </w:pPr>
          </w:p>
        </w:tc>
      </w:tr>
    </w:tbl>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融资产品介绍：</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政采贷”是工行与政府采购数据进行系统对接，根据获取包括但不限于供应商中标、采购合同、收验货、付款以及历史交易数据等信息，为政府供应商提供的融资贷款金融服务，具体产品有“政采贷”及“政采快贷”，具体各产品明细如下：</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（一）政采贷：</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1、适用范围：采购人需为小微企业，采购资金纳入市级或以上政府财政预算。</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2、融资额度：供应商融资最高不超过订单金额70%，单笔金额最高3000万元。</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3、贷款期限：根据政府采购合同等内容确定贷款期限，最长可以5年。</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4、贷款利率：融资利率参考最近市场利率（LPR）合理确定。</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5、办理手续：供应商与工行取得联系，开立账户，开通网上银行。与工行经办人员线下沟通确定融资金额，通过工行网上银行自助申请贷款金额。工行进行贷款指令确定，贷款线上发放至供应商工行账户。</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6、产品优势：无抵押（依据政府采购合同及历史交易、履约信息作为授信依据）、放款快（在线审批，快捷放款）；额度高（单笔合同贷款金额最高3000万元）；操作便捷（流程简捷，全线上化操作）；还款灵活（支持多种还款付息方式，支持提前还款）。</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（二）政采快贷：</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1、适用范围：采购人需为小微企业，采购单位为区县（含）级以上政府（含事业单位）预算部门，采购资金来源为财政资金。</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2、融资额度：供应商融资最高不超过订单金额90%，单笔金额最高500万元。</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3、贷款期限：根据政府采购合同等内容确定贷款期限，最长不超过3年。</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4、贷款利率：融资利率参考最近市场利率（LPR）合理确定。</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5、办理手续：供应商与工行取得联系，开立账户与网上银行。客户经理根据推送信息开展线下信息核实工作，工商银行申报白名单导入，办妥相关质押或担保后，借款人通过工行网上银行自助提款。</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6、产品优势：适用范围广（县、区级财政均可）放款快（在线审批，快捷放款）；操作便捷（流程简捷，全线上化操作）；还款灵活（支持多种还款付息方式，支持提前还款）。</w:t>
      </w:r>
    </w:p>
    <w:p>
      <w:pPr>
        <w:pStyle w:val="228"/>
        <w:spacing w:line="276" w:lineRule="auto"/>
        <w:rPr>
          <w:rFonts w:hint="eastAsia" w:ascii="仿宋" w:hAnsi="仿宋" w:eastAsia="仿宋" w:cs="仿宋"/>
          <w:color w:val="auto"/>
          <w:szCs w:val="21"/>
          <w:highlight w:val="none"/>
        </w:rPr>
      </w:pPr>
    </w:p>
    <w:p>
      <w:pPr>
        <w:pStyle w:val="228"/>
        <w:spacing w:line="276" w:lineRule="auto"/>
        <w:jc w:val="center"/>
        <w:rPr>
          <w:rFonts w:hint="eastAsia" w:ascii="仿宋" w:hAnsi="仿宋" w:eastAsia="仿宋" w:cs="仿宋"/>
          <w:color w:val="auto"/>
          <w:szCs w:val="21"/>
          <w:highlight w:val="none"/>
          <w:lang w:val="zh-TW"/>
        </w:rPr>
      </w:pPr>
      <w:r>
        <w:rPr>
          <w:rFonts w:hint="eastAsia" w:ascii="仿宋" w:hAnsi="仿宋" w:eastAsia="仿宋" w:cs="仿宋"/>
          <w:color w:val="auto"/>
          <w:szCs w:val="21"/>
          <w:highlight w:val="none"/>
          <w:lang w:val="zh-TW"/>
        </w:rPr>
        <w:t>中原银行洛阳分行“政采贷”产品简介</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政采贷是中原银行为成功中标河南省政府采购项目的小微企业提供的融资服务。</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产品特点</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·中标申请、资料简单</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可向中标企业注册所在地的中原银行申请，“中原银行小微金融”微信小程序、政府采购网等渠道实现全线上申请</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·担保简单、备案放款</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无抵押，仅需在合同中签订中原银行保证金账号</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·最高额审批、额度千万</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最高可贷1000万，最长可贷1年</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准入条件</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·中标企业成立1年以上，经营稳定</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·中标项目类型为货物类、服务类、工程类</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中原银行洛阳分行“政采贷”联系人：</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分管领导：陈勃   15837979663</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信贷经理：罗蓓蕾 15838820766</w:t>
      </w:r>
    </w:p>
    <w:p>
      <w:pPr>
        <w:pStyle w:val="228"/>
        <w:spacing w:line="276" w:lineRule="auto"/>
        <w:rPr>
          <w:rFonts w:hint="eastAsia" w:ascii="仿宋" w:hAnsi="仿宋" w:eastAsia="仿宋" w:cs="仿宋"/>
          <w:color w:val="auto"/>
          <w:szCs w:val="21"/>
          <w:highlight w:val="none"/>
          <w:lang w:val="zh-TW"/>
        </w:rPr>
      </w:pPr>
    </w:p>
    <w:p>
      <w:pPr>
        <w:pStyle w:val="228"/>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zh-TW"/>
        </w:rPr>
        <w:t>郑州银行洛阳分行政府采购融资贷联系方式及融资产品介绍</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一、联系方式：</w:t>
      </w:r>
    </w:p>
    <w:tbl>
      <w:tblPr>
        <w:tblStyle w:val="6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联系人</w:t>
            </w:r>
          </w:p>
        </w:tc>
        <w:tc>
          <w:tcPr>
            <w:tcW w:w="2130" w:type="dxa"/>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职务</w:t>
            </w:r>
          </w:p>
        </w:tc>
        <w:tc>
          <w:tcPr>
            <w:tcW w:w="2131" w:type="dxa"/>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地址</w:t>
            </w:r>
          </w:p>
        </w:tc>
        <w:tc>
          <w:tcPr>
            <w:tcW w:w="2131" w:type="dxa"/>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2130" w:type="dxa"/>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王剑</w:t>
            </w:r>
          </w:p>
        </w:tc>
        <w:tc>
          <w:tcPr>
            <w:tcW w:w="2130" w:type="dxa"/>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主任</w:t>
            </w:r>
          </w:p>
        </w:tc>
        <w:tc>
          <w:tcPr>
            <w:tcW w:w="2131" w:type="dxa"/>
            <w:vMerge w:val="restart"/>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洛阳市洛龙区关林路与厚载门街交叉口隆安大厦</w:t>
            </w:r>
          </w:p>
        </w:tc>
        <w:tc>
          <w:tcPr>
            <w:tcW w:w="2131" w:type="dxa"/>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13838808890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130" w:type="dxa"/>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杨洋</w:t>
            </w:r>
          </w:p>
        </w:tc>
        <w:tc>
          <w:tcPr>
            <w:tcW w:w="2130" w:type="dxa"/>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业务负责人</w:t>
            </w:r>
          </w:p>
        </w:tc>
        <w:tc>
          <w:tcPr>
            <w:tcW w:w="2131" w:type="dxa"/>
            <w:vMerge w:val="continue"/>
          </w:tcPr>
          <w:p>
            <w:pPr>
              <w:pStyle w:val="228"/>
              <w:spacing w:line="276" w:lineRule="auto"/>
              <w:rPr>
                <w:rFonts w:hint="eastAsia" w:ascii="仿宋" w:hAnsi="仿宋" w:eastAsia="仿宋" w:cs="仿宋"/>
                <w:color w:val="auto"/>
                <w:szCs w:val="21"/>
                <w:highlight w:val="none"/>
              </w:rPr>
            </w:pPr>
          </w:p>
        </w:tc>
        <w:tc>
          <w:tcPr>
            <w:tcW w:w="2131" w:type="dxa"/>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15896531927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周宜辉</w:t>
            </w:r>
          </w:p>
        </w:tc>
        <w:tc>
          <w:tcPr>
            <w:tcW w:w="2130" w:type="dxa"/>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客户经理</w:t>
            </w:r>
          </w:p>
        </w:tc>
        <w:tc>
          <w:tcPr>
            <w:tcW w:w="2131" w:type="dxa"/>
            <w:vMerge w:val="continue"/>
          </w:tcPr>
          <w:p>
            <w:pPr>
              <w:pStyle w:val="228"/>
              <w:spacing w:line="276" w:lineRule="auto"/>
              <w:rPr>
                <w:rFonts w:hint="eastAsia" w:ascii="仿宋" w:hAnsi="仿宋" w:eastAsia="仿宋" w:cs="仿宋"/>
                <w:color w:val="auto"/>
                <w:szCs w:val="21"/>
                <w:highlight w:val="none"/>
              </w:rPr>
            </w:pPr>
          </w:p>
        </w:tc>
        <w:tc>
          <w:tcPr>
            <w:tcW w:w="2131" w:type="dxa"/>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15036316707</w:t>
            </w:r>
          </w:p>
        </w:tc>
      </w:tr>
    </w:tbl>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二、融资产品介绍：</w:t>
      </w:r>
    </w:p>
    <w:p>
      <w:pPr>
        <w:pStyle w:val="228"/>
        <w:spacing w:line="276"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E采贷”是郑州银行作为参与政府采购的中小企业量身定制的用于政府采购合同履约，并以政府回款为还款来源的贷款产品。该产品主要解决政府采购商中标垫资的痛点，帮助中标企业快速、高效、便捷获取银行资金。告别采购融资难，政府中标即可贷。优先支持纳入省市级财政预算的服务贸易类行业企业。</w:t>
      </w:r>
    </w:p>
    <w:p>
      <w:pPr>
        <w:pStyle w:val="228"/>
        <w:spacing w:line="276" w:lineRule="auto"/>
        <w:ind w:firstLine="422" w:firstLineChars="200"/>
        <w:rPr>
          <w:rFonts w:hint="eastAsia" w:ascii="仿宋" w:hAnsi="仿宋" w:eastAsia="仿宋" w:cs="仿宋"/>
          <w:color w:val="auto"/>
          <w:szCs w:val="21"/>
          <w:highlight w:val="none"/>
        </w:rPr>
      </w:pPr>
      <w:r>
        <w:rPr>
          <w:rFonts w:hint="eastAsia" w:ascii="仿宋" w:hAnsi="仿宋" w:eastAsia="仿宋" w:cs="仿宋"/>
          <w:b/>
          <w:bCs/>
          <w:color w:val="auto"/>
          <w:szCs w:val="21"/>
          <w:highlight w:val="none"/>
        </w:rPr>
        <w:t>“E采贷”五大特点</w:t>
      </w:r>
      <w:r>
        <w:rPr>
          <w:rFonts w:hint="eastAsia" w:ascii="仿宋" w:hAnsi="仿宋" w:eastAsia="仿宋" w:cs="仿宋"/>
          <w:color w:val="auto"/>
          <w:szCs w:val="21"/>
          <w:highlight w:val="none"/>
        </w:rPr>
        <w:t>：1.纯信用：无需抵押、担保；2.更灵活：随借随还，按需支用；3.额度高：最高为上年度中标额的1.3倍，单笔最高1000万元；4.适用广：在河南省政府采购网（www.hngp.gov.cn）有备案信息即可准入；5.效率高：绿色通道，保证时效。</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b/>
          <w:bCs/>
          <w:color w:val="auto"/>
          <w:szCs w:val="21"/>
          <w:highlight w:val="none"/>
        </w:rPr>
        <w:t>业务流程：</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1.企业申请：凭政府采购中标通知书，向郑州银行提出授信申请。</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2.银行审批：客户经理现场调查，3个工作日反馈审批结果。</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3.企业提款：凭政府采购合同、购销合同等即可提款使用。</w:t>
      </w:r>
    </w:p>
    <w:p>
      <w:pPr>
        <w:pStyle w:val="228"/>
        <w:spacing w:line="276"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利率及优惠政策：</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贸易类不低于5.5%，工程类不低于6.5%，对符合条件的小微企业实行减费让利政策，减少客户融资成本（不存在与贷款捆绑强制收费；只收费不服务；超范围、超标准收费；转嫁成本收费；不执行政府指导价、政府定价等提升企业贷款成本的现象）着力解决小微企业“融资难”、“融资贵”的问题帮助客户更好成长。分行所有收费项目均严格根据监管部门和总行要求执行，我行对银行账户一律免收账户管理费。</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w:t>
      </w:r>
    </w:p>
    <w:p>
      <w:pPr>
        <w:pStyle w:val="228"/>
        <w:spacing w:line="276" w:lineRule="auto"/>
        <w:rPr>
          <w:rFonts w:hint="eastAsia" w:ascii="仿宋" w:hAnsi="仿宋" w:eastAsia="仿宋" w:cs="仿宋"/>
          <w:color w:val="auto"/>
          <w:szCs w:val="21"/>
          <w:highlight w:val="none"/>
        </w:rPr>
      </w:pPr>
    </w:p>
    <w:p>
      <w:pPr>
        <w:pStyle w:val="228"/>
        <w:spacing w:line="276" w:lineRule="auto"/>
        <w:jc w:val="center"/>
        <w:rPr>
          <w:rFonts w:hint="eastAsia" w:ascii="仿宋" w:hAnsi="仿宋" w:eastAsia="仿宋" w:cs="仿宋"/>
          <w:color w:val="auto"/>
          <w:szCs w:val="21"/>
          <w:highlight w:val="none"/>
          <w:lang w:val="zh-TW"/>
        </w:rPr>
      </w:pPr>
      <w:r>
        <w:rPr>
          <w:rFonts w:hint="eastAsia" w:ascii="仿宋" w:hAnsi="仿宋" w:eastAsia="仿宋" w:cs="仿宋"/>
          <w:color w:val="auto"/>
          <w:szCs w:val="21"/>
          <w:highlight w:val="none"/>
        </w:rPr>
        <w:t>中信银行洛阳分行”政采贷”</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一、产品释义</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“政采贷”是中信银行为政府采购中标小微企业提供的特色融资业务，致力于解决政府采购上游供应商的融资难题。</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二、产品特点</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授信额度高、授信期限长、担保方式活</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三、产品内容</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金额最高1000万元（含）、贷款期限最长1年（含）、无需抵质押物</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四、申请基本条件</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有固定的经营场所</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信用记录良好，无不良、违法行为；</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持续经营6个月（含）以上或实际控制人从业2年以上</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从事政府采购活动1年以上；</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具备政府采购投标资格且交易记录良好</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采购项目符合国家产业政策和资源环保政策要求</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五、申请资料</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营业执照；实际控制人身份证件；经营情况资料；从事政府采购活动资料；近一年政府采购回款的银行流水</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中信银行洛阳分行”政采贷”联系人：</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候一恺   中信银行洛阳分行客户经理 15139968801</w:t>
      </w:r>
    </w:p>
    <w:p>
      <w:pPr>
        <w:pStyle w:val="228"/>
        <w:spacing w:line="276" w:lineRule="auto"/>
        <w:rPr>
          <w:rFonts w:hint="eastAsia" w:ascii="仿宋" w:hAnsi="仿宋" w:eastAsia="仿宋" w:cs="仿宋"/>
          <w:color w:val="auto"/>
          <w:szCs w:val="21"/>
          <w:highlight w:val="none"/>
        </w:rPr>
      </w:pPr>
    </w:p>
    <w:p>
      <w:pPr>
        <w:pStyle w:val="228"/>
        <w:spacing w:line="276" w:lineRule="auto"/>
        <w:rPr>
          <w:rFonts w:hint="eastAsia" w:ascii="仿宋" w:hAnsi="仿宋" w:eastAsia="仿宋" w:cs="仿宋"/>
          <w:color w:val="auto"/>
          <w:szCs w:val="21"/>
          <w:highlight w:val="none"/>
        </w:rPr>
      </w:pPr>
    </w:p>
    <w:p>
      <w:pPr>
        <w:pStyle w:val="228"/>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兴业银行洛阳分行</w:t>
      </w:r>
    </w:p>
    <w:p>
      <w:pPr>
        <w:pStyle w:val="228"/>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政府采购融资联系方式及产品介绍</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一、联系方式：分管领导：樊博（副行长、18638805299）；信贷经理：尚梅（市场营销部负责人、15538855595）；具体联系人：王文帅（产品经理、15824913655）</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二、产品介绍</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授信额度：最高不超过1000万元（含）。</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期限：主体授信额度有效期不超过1年</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利率：自动生成贷款利率。</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用途：贷款资金专项用于借款企业履行政府交易采购平台采购合同或订单所需的各类成本、费用及劳务支出等短期流动资金需求和日常经营周转需要。</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担保方式：企业主个人提供连带责任保证，追加采购合同或订单对应的应收账款质押。</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支付方式：采用受托支付方式</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还款方式：按月付息，本金可结合采购合同或订单情况及实际资金需求循环使用，采购合同或订单项下回款由系统自动扣划归还对应的贷款本息，借款企业也可自助提前还款。</w:t>
      </w:r>
    </w:p>
    <w:p>
      <w:pPr>
        <w:pStyle w:val="228"/>
        <w:spacing w:line="276" w:lineRule="auto"/>
        <w:rPr>
          <w:rFonts w:hint="eastAsia" w:ascii="仿宋" w:hAnsi="仿宋" w:eastAsia="仿宋" w:cs="仿宋"/>
          <w:color w:val="auto"/>
          <w:szCs w:val="21"/>
          <w:highlight w:val="none"/>
        </w:rPr>
      </w:pPr>
    </w:p>
    <w:p>
      <w:pPr>
        <w:pStyle w:val="228"/>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浦发银行政府采购融资贷联系方式及融资产品介绍</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一、联系方式</w:t>
      </w:r>
    </w:p>
    <w:p>
      <w:pPr>
        <w:pStyle w:val="228"/>
        <w:spacing w:line="276" w:lineRule="auto"/>
        <w:rPr>
          <w:rFonts w:hint="eastAsia" w:ascii="仿宋" w:hAnsi="仿宋" w:eastAsia="仿宋" w:cs="仿宋"/>
          <w:color w:val="auto"/>
          <w:szCs w:val="21"/>
          <w:highlight w:val="none"/>
        </w:rPr>
      </w:pPr>
    </w:p>
    <w:tbl>
      <w:tblPr>
        <w:tblStyle w:val="6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505"/>
        <w:gridCol w:w="1903"/>
        <w:gridCol w:w="1833"/>
        <w:gridCol w:w="1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联系人</w:t>
            </w:r>
          </w:p>
        </w:tc>
        <w:tc>
          <w:tcPr>
            <w:tcW w:w="1505" w:type="dxa"/>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职务</w:t>
            </w:r>
          </w:p>
        </w:tc>
        <w:tc>
          <w:tcPr>
            <w:tcW w:w="1903" w:type="dxa"/>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地址</w:t>
            </w:r>
          </w:p>
        </w:tc>
        <w:tc>
          <w:tcPr>
            <w:tcW w:w="1833" w:type="dxa"/>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电话</w:t>
            </w:r>
          </w:p>
        </w:tc>
        <w:tc>
          <w:tcPr>
            <w:tcW w:w="1577" w:type="dxa"/>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苏冰</w:t>
            </w:r>
          </w:p>
        </w:tc>
        <w:tc>
          <w:tcPr>
            <w:tcW w:w="1505" w:type="dxa"/>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高级产品经理</w:t>
            </w:r>
          </w:p>
        </w:tc>
        <w:tc>
          <w:tcPr>
            <w:tcW w:w="1903" w:type="dxa"/>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洛阳市洛龙区展览路211号</w:t>
            </w:r>
          </w:p>
        </w:tc>
        <w:tc>
          <w:tcPr>
            <w:tcW w:w="1833" w:type="dxa"/>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18623790623 </w:t>
            </w:r>
          </w:p>
        </w:tc>
        <w:tc>
          <w:tcPr>
            <w:tcW w:w="1577" w:type="dxa"/>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微信同手机号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汪乐阳</w:t>
            </w:r>
          </w:p>
        </w:tc>
        <w:tc>
          <w:tcPr>
            <w:tcW w:w="1505" w:type="dxa"/>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普惠金融部总经理</w:t>
            </w:r>
          </w:p>
        </w:tc>
        <w:tc>
          <w:tcPr>
            <w:tcW w:w="1903" w:type="dxa"/>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洛阳市洛龙区展览路211号</w:t>
            </w:r>
          </w:p>
        </w:tc>
        <w:tc>
          <w:tcPr>
            <w:tcW w:w="1833" w:type="dxa"/>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13698889966</w:t>
            </w:r>
          </w:p>
        </w:tc>
        <w:tc>
          <w:tcPr>
            <w:tcW w:w="1577" w:type="dxa"/>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微信同手机号</w:t>
            </w:r>
          </w:p>
        </w:tc>
      </w:tr>
    </w:tbl>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二、融资产品介绍</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在您中标政府采购项目，从合同(订单)生效到最终收款期间，有没有因采购原材料、生产产品等产生资金压力，存在融资需求的情况？</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（一）产品介绍：</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“政采e贷”是由洛阳市财政局与浦发银行共同开发，基于政府采购合同，为供应商提供的信用贷款。</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（二）产品优势：</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1、融资期限最长可达1年。</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2、货物、服务类最高1000万元，工程类最高1500万元。</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3、信用贷款，低门槛，循环额度，随借随还。</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4、业务流程简单，在线秒级放款，尊享快捷体验。</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5、总行补贴，融资利率有优惠。</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（三）适用客户：</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1、在河南省境内注册的供应商，未列入河南省政府采购供应商黑名单。</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2、人民银行征信系统无逾期、垫款等情况，且无其他不良信用记录。</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3、政府采购中标区域：</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（1）河南省省直、郑州市（含市内各区）项目</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（2）洛阳市市直项目</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（3）河南其他地市市直项目</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（4）林州、长垣、新郑、禹州中标项目。</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（四）申请路径</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1、供应商首先与联系人联系，提供企业基本证件、征信报告、中标合同、采购合同等进行客户准入和额度测算。</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2、供应商来浦发银行开户，在政府采购合同中填写浦发银行账号。</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（若客户已签署其他银行账号，则需要联系浦发银行进行备案银行账号变更）</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3、授信审查和放款（资料齐全一周时间）</w:t>
      </w:r>
    </w:p>
    <w:p>
      <w:pPr>
        <w:pStyle w:val="228"/>
        <w:spacing w:line="276" w:lineRule="auto"/>
        <w:rPr>
          <w:rFonts w:hint="eastAsia" w:ascii="仿宋" w:hAnsi="仿宋" w:eastAsia="仿宋" w:cs="仿宋"/>
          <w:color w:val="auto"/>
          <w:szCs w:val="21"/>
          <w:highlight w:val="none"/>
        </w:rPr>
      </w:pPr>
    </w:p>
    <w:p>
      <w:pPr>
        <w:pStyle w:val="228"/>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恒丰银行政府采购融资贷联系方式</w:t>
      </w:r>
    </w:p>
    <w:p>
      <w:pPr>
        <w:pStyle w:val="228"/>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及融资产品介绍</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一、联系方式</w:t>
      </w:r>
    </w:p>
    <w:tbl>
      <w:tblPr>
        <w:tblStyle w:val="6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896"/>
        <w:gridCol w:w="2114"/>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联系人</w:t>
            </w:r>
          </w:p>
        </w:tc>
        <w:tc>
          <w:tcPr>
            <w:tcW w:w="1704" w:type="dxa"/>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职务</w:t>
            </w:r>
          </w:p>
        </w:tc>
        <w:tc>
          <w:tcPr>
            <w:tcW w:w="1896" w:type="dxa"/>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地址</w:t>
            </w:r>
          </w:p>
        </w:tc>
        <w:tc>
          <w:tcPr>
            <w:tcW w:w="2114" w:type="dxa"/>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电话</w:t>
            </w:r>
          </w:p>
        </w:tc>
        <w:tc>
          <w:tcPr>
            <w:tcW w:w="1104" w:type="dxa"/>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张龙妹</w:t>
            </w:r>
          </w:p>
        </w:tc>
        <w:tc>
          <w:tcPr>
            <w:tcW w:w="1704" w:type="dxa"/>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客户经理</w:t>
            </w:r>
          </w:p>
        </w:tc>
        <w:tc>
          <w:tcPr>
            <w:tcW w:w="1896" w:type="dxa"/>
            <w:vMerge w:val="restart"/>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洛龙区展览路泉舜186西侧裙楼</w:t>
            </w:r>
          </w:p>
        </w:tc>
        <w:tc>
          <w:tcPr>
            <w:tcW w:w="2114" w:type="dxa"/>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18538882575</w:t>
            </w:r>
          </w:p>
        </w:tc>
        <w:tc>
          <w:tcPr>
            <w:tcW w:w="1104" w:type="dxa"/>
            <w:vAlign w:val="center"/>
          </w:tcPr>
          <w:p>
            <w:pPr>
              <w:pStyle w:val="228"/>
              <w:spacing w:line="276" w:lineRule="auto"/>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张  浩</w:t>
            </w:r>
          </w:p>
        </w:tc>
        <w:tc>
          <w:tcPr>
            <w:tcW w:w="1704" w:type="dxa"/>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公司金融部负责人</w:t>
            </w:r>
          </w:p>
        </w:tc>
        <w:tc>
          <w:tcPr>
            <w:tcW w:w="1896" w:type="dxa"/>
            <w:vMerge w:val="continue"/>
            <w:vAlign w:val="center"/>
          </w:tcPr>
          <w:p>
            <w:pPr>
              <w:pStyle w:val="228"/>
              <w:spacing w:line="276" w:lineRule="auto"/>
              <w:rPr>
                <w:rFonts w:hint="eastAsia" w:ascii="仿宋" w:hAnsi="仿宋" w:eastAsia="仿宋" w:cs="仿宋"/>
                <w:color w:val="auto"/>
                <w:szCs w:val="21"/>
                <w:highlight w:val="none"/>
              </w:rPr>
            </w:pPr>
          </w:p>
        </w:tc>
        <w:tc>
          <w:tcPr>
            <w:tcW w:w="2114" w:type="dxa"/>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18937966885</w:t>
            </w:r>
          </w:p>
        </w:tc>
        <w:tc>
          <w:tcPr>
            <w:tcW w:w="1104" w:type="dxa"/>
            <w:vAlign w:val="center"/>
          </w:tcPr>
          <w:p>
            <w:pPr>
              <w:pStyle w:val="228"/>
              <w:spacing w:line="276" w:lineRule="auto"/>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裴绍辉</w:t>
            </w:r>
          </w:p>
        </w:tc>
        <w:tc>
          <w:tcPr>
            <w:tcW w:w="1704" w:type="dxa"/>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分管行长</w:t>
            </w:r>
          </w:p>
        </w:tc>
        <w:tc>
          <w:tcPr>
            <w:tcW w:w="1896" w:type="dxa"/>
            <w:vMerge w:val="continue"/>
            <w:vAlign w:val="center"/>
          </w:tcPr>
          <w:p>
            <w:pPr>
              <w:pStyle w:val="228"/>
              <w:spacing w:line="276" w:lineRule="auto"/>
              <w:rPr>
                <w:rFonts w:hint="eastAsia" w:ascii="仿宋" w:hAnsi="仿宋" w:eastAsia="仿宋" w:cs="仿宋"/>
                <w:color w:val="auto"/>
                <w:szCs w:val="21"/>
                <w:highlight w:val="none"/>
              </w:rPr>
            </w:pPr>
          </w:p>
        </w:tc>
        <w:tc>
          <w:tcPr>
            <w:tcW w:w="2114" w:type="dxa"/>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18637904888</w:t>
            </w:r>
          </w:p>
        </w:tc>
        <w:tc>
          <w:tcPr>
            <w:tcW w:w="1104" w:type="dxa"/>
            <w:vAlign w:val="center"/>
          </w:tcPr>
          <w:p>
            <w:pPr>
              <w:pStyle w:val="228"/>
              <w:spacing w:line="276" w:lineRule="auto"/>
              <w:rPr>
                <w:rFonts w:hint="eastAsia" w:ascii="仿宋" w:hAnsi="仿宋" w:eastAsia="仿宋" w:cs="仿宋"/>
                <w:color w:val="auto"/>
                <w:szCs w:val="21"/>
                <w:highlight w:val="none"/>
              </w:rPr>
            </w:pPr>
          </w:p>
        </w:tc>
      </w:tr>
    </w:tbl>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二、融资产品介绍</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1.恒丰银行“政采云贷”</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针对政府采购项目中标小微客户在线发放用于采购项目（不包括工程项目）资金周转需要的流动资金贷款。</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担保方式：免抵押、无担保，开立指定回款账户</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授信额度：单户授信最高不超过1000万元</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授信期限：不超过一年，贷款到期日不晚于政府中标合同约定款日后的十个工作日</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还款方式：按月付息，到期还本或阶段性还款</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2.准入标准</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（1）企业成立一年以上，有洛阳市固定经营场所；企业实际控制人有两年以上行业从业经验。</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（2）企业及其实际控制人信誉良好，合法经营，无不良记录，无恶意违约记录。</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（3）我行信用评级结果在B3三级以上。</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（4）企业名下现有贷款合计不超过上年度总收入的45%。</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（5）近两年有两次含以上政府中标记录，且供货履约情况良好。</w:t>
      </w:r>
    </w:p>
    <w:p>
      <w:pPr>
        <w:pStyle w:val="228"/>
        <w:spacing w:line="276" w:lineRule="auto"/>
        <w:rPr>
          <w:rFonts w:hint="eastAsia" w:ascii="仿宋" w:hAnsi="仿宋" w:eastAsia="仿宋" w:cs="仿宋"/>
          <w:color w:val="auto"/>
          <w:szCs w:val="21"/>
          <w:highlight w:val="none"/>
        </w:rPr>
      </w:pPr>
    </w:p>
    <w:p>
      <w:pPr>
        <w:pStyle w:val="228"/>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中国银行股份有限公司河南省分行普惠金融</w:t>
      </w:r>
    </w:p>
    <w:p>
      <w:pPr>
        <w:pStyle w:val="228"/>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政采通宝业务服务方案</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准入标准:</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1.持续经营2年（含）以上。</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2.客户持有政府采购中标通知书（或以往年度有执行政府采购的记录），且政府采购业务无行政处罚记录。</w:t>
      </w:r>
      <w:r>
        <w:rPr>
          <w:rFonts w:hint="eastAsia" w:ascii="仿宋" w:hAnsi="仿宋" w:eastAsia="仿宋" w:cs="仿宋"/>
          <w:color w:val="auto"/>
          <w:szCs w:val="21"/>
          <w:highlight w:val="none"/>
        </w:rPr>
        <w:cr/>
      </w:r>
      <w:r>
        <w:rPr>
          <w:rFonts w:hint="eastAsia" w:ascii="仿宋" w:hAnsi="仿宋" w:eastAsia="仿宋" w:cs="仿宋"/>
          <w:color w:val="auto"/>
          <w:szCs w:val="21"/>
          <w:highlight w:val="none"/>
        </w:rPr>
        <w:t xml:space="preserve">    3.最近年度纳税申报收入不低于200万元。   </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4.借款人及其法人代表、实际控制人信用良好。</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5、单一客户“政采贷”授信总量最高金额不超过1000万元</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6、单笔贷款期限不超过一年。</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7、根据借款人生产经营及回款周期等特点，可采用按季付息，到期一次还本的还款方式，或分期偿还我行授信。</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中国银行联系人：</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负责人：朱宗沛  15978695077</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信贷经理：印晨  15038659275</w:t>
      </w:r>
    </w:p>
    <w:p>
      <w:pPr>
        <w:pStyle w:val="228"/>
        <w:spacing w:line="276" w:lineRule="auto"/>
        <w:rPr>
          <w:rFonts w:hint="eastAsia" w:ascii="仿宋" w:hAnsi="仿宋" w:eastAsia="仿宋" w:cs="仿宋"/>
          <w:color w:val="auto"/>
          <w:szCs w:val="21"/>
          <w:highlight w:val="none"/>
        </w:rPr>
      </w:pPr>
    </w:p>
    <w:p>
      <w:pPr>
        <w:pStyle w:val="228"/>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平安银行“政采E贷”产品介绍</w:t>
      </w:r>
    </w:p>
    <w:p>
      <w:pPr>
        <w:pStyle w:val="228"/>
        <w:spacing w:line="276"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平安银行“政采E贷”是平安银行与采购中心对接后，基于互联网技术、政府采购数据等信息，为中标政府采购项目的企业提供的互联网信用贷款。</w:t>
      </w:r>
    </w:p>
    <w:p>
      <w:pPr>
        <w:pStyle w:val="228"/>
        <w:spacing w:line="276"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产品优势：</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1、额度高：线上最高500万元。</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2、申请易：5分钟完成线上申请。</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3、用款快：凭订单最快1天生效。</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4、纯信用：凭政府中标订单即可融资。</w:t>
      </w:r>
    </w:p>
    <w:p>
      <w:pPr>
        <w:pStyle w:val="228"/>
        <w:spacing w:line="276"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 xml:space="preserve">产品申请资格： </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1、我行白名单财政项下的政府采购项目融资。</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2、有历史中标采购记录的政府采购供应商。</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3、企业及申请人信用良好。</w:t>
      </w:r>
    </w:p>
    <w:p>
      <w:pPr>
        <w:pStyle w:val="228"/>
        <w:spacing w:line="276"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 xml:space="preserve">期限、利率和还款方式： </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期限：1个月到1年。</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还款方式 ：先息后本、等额本息、等额本金。</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利率：年化利率低至6% 。</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举例1：贷款100万元，3个月（先息后本，利率6%），前两个月需要支付利息5000元/月，到期还本付息。</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举例2：贷款100万元，1年期限（等额本息，利率6%），每个月需要支付本息约86035元。</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平安银行洛阳分行联系人：</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总经理：    王煜    13523601120</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业务经理：  许洛周  13938876588</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业务负责人：许洛周  13938876588</w:t>
      </w:r>
    </w:p>
    <w:p>
      <w:pPr>
        <w:pStyle w:val="228"/>
        <w:spacing w:line="276" w:lineRule="auto"/>
        <w:rPr>
          <w:rFonts w:hint="eastAsia" w:ascii="仿宋" w:hAnsi="仿宋" w:eastAsia="仿宋" w:cs="仿宋"/>
          <w:color w:val="auto"/>
          <w:szCs w:val="21"/>
          <w:highlight w:val="none"/>
        </w:rPr>
      </w:pPr>
    </w:p>
    <w:p>
      <w:pPr>
        <w:pStyle w:val="228"/>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浙商银行“政采贷”</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一、贷款产品介绍</w:t>
      </w:r>
    </w:p>
    <w:p>
      <w:pPr>
        <w:pStyle w:val="228"/>
        <w:spacing w:line="276"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政采贷”是本行为在政府机关、事业单位、社会团体、国有企业等招标进行的采购活动中中标并签订采购合同的小微企业发放的，以采购人合同款支付作为还款来源的流动资金贷款。借款人为符合本行标准的小型、微型企业。融资模式包括采购合同融资模式与应收账款融资模式。采购项目包括货物类、服务类和部分工程类。</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二、适用对象                            </w:t>
      </w:r>
    </w:p>
    <w:p>
      <w:pPr>
        <w:pStyle w:val="228"/>
        <w:spacing w:line="276"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连续经营 2 年及以上或实际控制人有 3 年及以上相关行业从业经验经营状况良好，信用记录良好小微企业。</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三、贷款期限</w:t>
      </w:r>
    </w:p>
    <w:p>
      <w:pPr>
        <w:pStyle w:val="228"/>
        <w:spacing w:line="276"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贷款期限：货物类、服务类利率最长一年，工程类最长可做三年。</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四、产品特点</w:t>
      </w:r>
    </w:p>
    <w:p>
      <w:pPr>
        <w:pStyle w:val="228"/>
        <w:spacing w:line="276"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中标即贷，最高可贷1000万，最快三天审批放款，可做工程类项目。</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分管领导：张庆浩   联系电话： 18538198600  </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信贷经理：郭利波   联系电话：15937918530    具体负责人：李超峰  联系电话：15538530</w:t>
      </w:r>
    </w:p>
    <w:p>
      <w:pPr>
        <w:pStyle w:val="228"/>
        <w:spacing w:line="276" w:lineRule="auto"/>
        <w:rPr>
          <w:rFonts w:hint="eastAsia" w:ascii="仿宋" w:hAnsi="仿宋" w:eastAsia="仿宋" w:cs="仿宋"/>
          <w:color w:val="auto"/>
          <w:szCs w:val="21"/>
          <w:highlight w:val="none"/>
        </w:rPr>
      </w:pPr>
    </w:p>
    <w:p>
      <w:pPr>
        <w:pStyle w:val="228"/>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广发银行“政采贷”</w:t>
      </w:r>
    </w:p>
    <w:p>
      <w:pPr>
        <w:pStyle w:val="228"/>
        <w:spacing w:line="276"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一、广发银行“政采贷”</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1、对象：针对政府采购平台内资信情况良好、经营正常的中小微企业供应商提供原材料购买、组织生产、货物运输等流动资金授信服务。</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2、担保方式：以政府采购项目下的应收账款质押；企业实际控制人及主要个人股东提供连带责任保证担保</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3、授信额度：单户敞口授信额度不超过1000万元；单笔采购项目融资不超过有效合同净额的90%</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4、授信期限：额度有效期一年，授信期限不超过一年且不得超过额度到期日后3个月，不超过采购项目合同约定的最迟付款日后3个月</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5、还款方式：按月付息，可根据单笔业务实际付款频率和时间点进行还款，不得采取随借随还出账模式，还款方式应与政府采购合同约定的应收账款金额、账期等相匹配。</w:t>
      </w:r>
    </w:p>
    <w:p>
      <w:pPr>
        <w:pStyle w:val="228"/>
        <w:spacing w:line="276"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二、准入标准</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1、企业成立且持续经营满3年以上，主营业务未有变化，有固定经营场所，且注册地在当地</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2、政府采购历史超过一年或进入政府采购供应商名单时间超过一年，实际履约不低于一次</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3、近两年销售收入保持正增长或主营业务利润为正</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4、资产负债率不超过70%</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5、在我行评价不低于BB+级</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6、企业主（含实际控制人、主要股东或配偶）拥有本地户口或房产</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7、不得介入在金融机构有未结清（互）保类授信（含实际控制人夫妇个人经营性贷款）的企业</w:t>
      </w:r>
    </w:p>
    <w:p>
      <w:pPr>
        <w:pStyle w:val="228"/>
        <w:spacing w:line="276"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三、授信用途</w:t>
      </w:r>
    </w:p>
    <w:p>
      <w:pPr>
        <w:pStyle w:val="228"/>
        <w:spacing w:line="276"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授信仅限于借款人自身在具体合同项下的原材料采购、组织生产、货物运输等劳动资金需求，不得挪用于担保企业、借款人关联企业、借款人固定资产建设和股本权益类投资</w:t>
      </w:r>
    </w:p>
    <w:p>
      <w:pPr>
        <w:pStyle w:val="228"/>
        <w:spacing w:line="276"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四、业务流程</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1、业务访谈，确定贸易真实性</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2、授信申请，企业按照我行授信调查的相关规定提供申请资料</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3、授信调查与额度核定，客户经理双人调查，发起客户评级，并按流程提交审批</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4、授信审查审批</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5、按照要求出账</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主管行长：      李文强  18137865269</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具体负责人：    何俊杰  13838894026</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信贷经理：      姜晓凤  15103799119</w:t>
      </w:r>
    </w:p>
    <w:p>
      <w:pPr>
        <w:pStyle w:val="228"/>
        <w:spacing w:line="276" w:lineRule="auto"/>
        <w:rPr>
          <w:rFonts w:hint="eastAsia" w:ascii="仿宋" w:hAnsi="仿宋" w:eastAsia="仿宋" w:cs="仿宋"/>
          <w:color w:val="auto"/>
          <w:szCs w:val="21"/>
          <w:highlight w:val="none"/>
        </w:rPr>
      </w:pPr>
    </w:p>
    <w:p>
      <w:pPr>
        <w:pStyle w:val="228"/>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邮储银行政采贷</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贷款对象：</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1.已获得省本级政府采购中标通知，具备履约能力；</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2.企业在政府采购活动中与政府采购合作1年（含）以上；</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3.在邮储银行开立回款专用账户。</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贷款要素：</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1.纯信用；</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2.额度高：可贷合同标的额70%，最高额度300万；</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3.方便用：可一次性或分期还款</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联系方式：</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联系人：王玉辉    职  务： 总经理</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  话：13598159333</w:t>
      </w:r>
    </w:p>
    <w:p>
      <w:pPr>
        <w:pStyle w:val="228"/>
        <w:spacing w:line="276" w:lineRule="auto"/>
        <w:rPr>
          <w:rFonts w:hint="eastAsia" w:ascii="仿宋" w:hAnsi="仿宋" w:eastAsia="仿宋" w:cs="仿宋"/>
          <w:color w:val="auto"/>
          <w:szCs w:val="21"/>
          <w:highlight w:val="none"/>
        </w:rPr>
      </w:pPr>
    </w:p>
    <w:p>
      <w:pPr>
        <w:pStyle w:val="228"/>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光大银行政采贷融资产品“政采易”</w:t>
      </w:r>
    </w:p>
    <w:p>
      <w:pPr>
        <w:pStyle w:val="228"/>
        <w:spacing w:line="276"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该业务单户授信金额在3000万元（含）以下，授信期限不超过合同约定付款日期后两个月且最长不超过3年。</w:t>
      </w:r>
    </w:p>
    <w:p>
      <w:pPr>
        <w:pStyle w:val="228"/>
        <w:spacing w:line="276"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中标供应商准入条件：</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（一）具有独立承担民事责任的能力,有固定的经营场所；（二）企业成立2（含）年以上，且实际控制人有3年以上实际行业经验，具有良好的纳税记录、工商登记记录；</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（三）企业具有履行合同所必需的设备和服务能力；</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（四）生产经营符合国家法律法规、产业政策和环境保护要求，符合我行信贷政策；</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（五）人行征信信息查询系统查询显示企业法人、法定代表人、主要经营者无重大不良记录；政府采购履约行为无不良记录；</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（六）中标供应商在我行信用评级应在B-级（含）以上，或单户授信敞口500万元以下客户适用《小额融易贷（结算类）业务打分卡》得分须不低于60分；</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（七）企业/企业法定代表人不在我行预警黑灰名单内；</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（八）我行要求的其他条件。</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联方式：分管领导 ：王慧18837902280</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信贷经理：刘勇 18837995809</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具体负责人：营业部：刘天倚18569936044；王城路支行：张喆18637129167；西苑路支行：董继华18569935827；</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英才路支行：刘莎18569935682；珠江路支行：李相峰18569936389；华阳支行：张刚18624850206</w:t>
      </w:r>
    </w:p>
    <w:p>
      <w:pPr>
        <w:pStyle w:val="228"/>
        <w:spacing w:line="276" w:lineRule="auto"/>
        <w:rPr>
          <w:rFonts w:hint="eastAsia" w:ascii="仿宋" w:hAnsi="仿宋" w:eastAsia="仿宋" w:cs="仿宋"/>
          <w:color w:val="auto"/>
          <w:szCs w:val="21"/>
          <w:highlight w:val="none"/>
        </w:rPr>
      </w:pPr>
    </w:p>
    <w:p>
      <w:pPr>
        <w:pStyle w:val="228"/>
        <w:spacing w:line="276" w:lineRule="auto"/>
        <w:rPr>
          <w:rFonts w:hint="eastAsia" w:ascii="仿宋" w:hAnsi="仿宋" w:eastAsia="仿宋" w:cs="仿宋"/>
          <w:color w:val="auto"/>
          <w:szCs w:val="21"/>
          <w:highlight w:val="none"/>
        </w:rPr>
      </w:pPr>
    </w:p>
    <w:p>
      <w:pPr>
        <w:pStyle w:val="228"/>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招商银行政府采购融资贷联系方式及融资产品介绍</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一、联系方式：</w:t>
      </w:r>
    </w:p>
    <w:tbl>
      <w:tblPr>
        <w:tblStyle w:val="62"/>
        <w:tblW w:w="9782" w:type="dxa"/>
        <w:tblInd w:w="0" w:type="dxa"/>
        <w:tblLayout w:type="fixed"/>
        <w:tblCellMar>
          <w:top w:w="0" w:type="dxa"/>
          <w:left w:w="108" w:type="dxa"/>
          <w:bottom w:w="0" w:type="dxa"/>
          <w:right w:w="108" w:type="dxa"/>
        </w:tblCellMar>
      </w:tblPr>
      <w:tblGrid>
        <w:gridCol w:w="1457"/>
        <w:gridCol w:w="2216"/>
        <w:gridCol w:w="3784"/>
        <w:gridCol w:w="1616"/>
        <w:gridCol w:w="709"/>
      </w:tblGrid>
      <w:tr>
        <w:tblPrEx>
          <w:tblCellMar>
            <w:top w:w="0" w:type="dxa"/>
            <w:left w:w="108" w:type="dxa"/>
            <w:bottom w:w="0" w:type="dxa"/>
            <w:right w:w="108" w:type="dxa"/>
          </w:tblCellMar>
        </w:tblPrEx>
        <w:trPr>
          <w:trHeight w:val="270" w:hRule="atLeast"/>
        </w:trPr>
        <w:tc>
          <w:tcPr>
            <w:tcW w:w="1457" w:type="dxa"/>
            <w:tcBorders>
              <w:top w:val="single" w:color="auto" w:sz="4" w:space="0"/>
              <w:left w:val="single" w:color="auto" w:sz="4" w:space="0"/>
              <w:bottom w:val="single" w:color="auto" w:sz="4" w:space="0"/>
              <w:right w:val="single" w:color="auto" w:sz="4" w:space="0"/>
            </w:tcBorders>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分管领导</w:t>
            </w:r>
          </w:p>
        </w:tc>
        <w:tc>
          <w:tcPr>
            <w:tcW w:w="2216" w:type="dxa"/>
            <w:tcBorders>
              <w:top w:val="single" w:color="auto" w:sz="4" w:space="0"/>
              <w:left w:val="nil"/>
              <w:bottom w:val="single" w:color="auto" w:sz="4" w:space="0"/>
              <w:right w:val="single" w:color="auto" w:sz="4" w:space="0"/>
            </w:tcBorders>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职务</w:t>
            </w:r>
          </w:p>
        </w:tc>
        <w:tc>
          <w:tcPr>
            <w:tcW w:w="3784" w:type="dxa"/>
            <w:tcBorders>
              <w:top w:val="single" w:color="auto" w:sz="4" w:space="0"/>
              <w:left w:val="nil"/>
              <w:bottom w:val="single" w:color="auto" w:sz="4" w:space="0"/>
              <w:right w:val="single" w:color="auto" w:sz="4" w:space="0"/>
            </w:tcBorders>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地址</w:t>
            </w:r>
          </w:p>
        </w:tc>
        <w:tc>
          <w:tcPr>
            <w:tcW w:w="1616" w:type="dxa"/>
            <w:tcBorders>
              <w:top w:val="single" w:color="auto" w:sz="4" w:space="0"/>
              <w:left w:val="nil"/>
              <w:bottom w:val="single" w:color="auto" w:sz="4" w:space="0"/>
              <w:right w:val="single" w:color="auto" w:sz="4" w:space="0"/>
            </w:tcBorders>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电话</w:t>
            </w:r>
          </w:p>
        </w:tc>
        <w:tc>
          <w:tcPr>
            <w:tcW w:w="709" w:type="dxa"/>
            <w:tcBorders>
              <w:top w:val="single" w:color="auto" w:sz="4" w:space="0"/>
              <w:left w:val="nil"/>
              <w:bottom w:val="single" w:color="auto" w:sz="4" w:space="0"/>
              <w:right w:val="single" w:color="auto" w:sz="4" w:space="0"/>
            </w:tcBorders>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备注</w:t>
            </w:r>
          </w:p>
        </w:tc>
      </w:tr>
      <w:tr>
        <w:tblPrEx>
          <w:tblCellMar>
            <w:top w:w="0" w:type="dxa"/>
            <w:left w:w="108" w:type="dxa"/>
            <w:bottom w:w="0" w:type="dxa"/>
            <w:right w:w="108" w:type="dxa"/>
          </w:tblCellMar>
        </w:tblPrEx>
        <w:trPr>
          <w:trHeight w:val="270" w:hRule="atLeast"/>
        </w:trPr>
        <w:tc>
          <w:tcPr>
            <w:tcW w:w="1457" w:type="dxa"/>
            <w:tcBorders>
              <w:top w:val="nil"/>
              <w:left w:val="single" w:color="auto" w:sz="4" w:space="0"/>
              <w:bottom w:val="nil"/>
              <w:right w:val="single" w:color="auto" w:sz="4" w:space="0"/>
            </w:tcBorders>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彭国庆</w:t>
            </w:r>
          </w:p>
        </w:tc>
        <w:tc>
          <w:tcPr>
            <w:tcW w:w="2216" w:type="dxa"/>
            <w:tcBorders>
              <w:top w:val="nil"/>
              <w:left w:val="nil"/>
              <w:bottom w:val="nil"/>
              <w:right w:val="single" w:color="auto" w:sz="4" w:space="0"/>
            </w:tcBorders>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公司业务分管行长</w:t>
            </w:r>
          </w:p>
        </w:tc>
        <w:tc>
          <w:tcPr>
            <w:tcW w:w="3784" w:type="dxa"/>
            <w:tcBorders>
              <w:top w:val="nil"/>
              <w:left w:val="nil"/>
              <w:bottom w:val="nil"/>
              <w:right w:val="single" w:color="auto" w:sz="4" w:space="0"/>
            </w:tcBorders>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洛阳市涧西区南昌路7号西苑大厦</w:t>
            </w:r>
          </w:p>
        </w:tc>
        <w:tc>
          <w:tcPr>
            <w:tcW w:w="1616" w:type="dxa"/>
            <w:tcBorders>
              <w:top w:val="nil"/>
              <w:left w:val="nil"/>
              <w:bottom w:val="nil"/>
              <w:right w:val="single" w:color="auto" w:sz="4" w:space="0"/>
            </w:tcBorders>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15236667303</w:t>
            </w:r>
          </w:p>
        </w:tc>
        <w:tc>
          <w:tcPr>
            <w:tcW w:w="709" w:type="dxa"/>
            <w:tcBorders>
              <w:top w:val="nil"/>
              <w:left w:val="nil"/>
              <w:bottom w:val="nil"/>
              <w:right w:val="single" w:color="auto" w:sz="4" w:space="0"/>
            </w:tcBorders>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w:t>
            </w:r>
          </w:p>
        </w:tc>
      </w:tr>
      <w:tr>
        <w:tblPrEx>
          <w:tblCellMar>
            <w:top w:w="0" w:type="dxa"/>
            <w:left w:w="108" w:type="dxa"/>
            <w:bottom w:w="0" w:type="dxa"/>
            <w:right w:w="108" w:type="dxa"/>
          </w:tblCellMar>
        </w:tblPrEx>
        <w:trPr>
          <w:trHeight w:val="270" w:hRule="atLeast"/>
        </w:trPr>
        <w:tc>
          <w:tcPr>
            <w:tcW w:w="1457" w:type="dxa"/>
            <w:tcBorders>
              <w:top w:val="nil"/>
              <w:left w:val="single" w:color="auto" w:sz="4" w:space="0"/>
              <w:bottom w:val="single" w:color="auto" w:sz="4" w:space="0"/>
              <w:right w:val="single" w:color="auto" w:sz="4" w:space="0"/>
            </w:tcBorders>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王伊宁</w:t>
            </w:r>
          </w:p>
        </w:tc>
        <w:tc>
          <w:tcPr>
            <w:tcW w:w="2216" w:type="dxa"/>
            <w:tcBorders>
              <w:top w:val="nil"/>
              <w:left w:val="nil"/>
              <w:bottom w:val="single" w:color="auto" w:sz="4" w:space="0"/>
              <w:right w:val="single" w:color="auto" w:sz="4" w:space="0"/>
            </w:tcBorders>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客户经理</w:t>
            </w:r>
          </w:p>
        </w:tc>
        <w:tc>
          <w:tcPr>
            <w:tcW w:w="3784" w:type="dxa"/>
            <w:tcBorders>
              <w:top w:val="nil"/>
              <w:left w:val="nil"/>
              <w:bottom w:val="single" w:color="auto" w:sz="4" w:space="0"/>
              <w:right w:val="single" w:color="auto" w:sz="4" w:space="0"/>
            </w:tcBorders>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洛阳市涧西区南昌路7号西苑大厦</w:t>
            </w:r>
          </w:p>
        </w:tc>
        <w:tc>
          <w:tcPr>
            <w:tcW w:w="1616" w:type="dxa"/>
            <w:tcBorders>
              <w:top w:val="nil"/>
              <w:left w:val="nil"/>
              <w:bottom w:val="single" w:color="auto" w:sz="4" w:space="0"/>
              <w:right w:val="single" w:color="auto" w:sz="4" w:space="0"/>
            </w:tcBorders>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13683861133</w:t>
            </w:r>
          </w:p>
        </w:tc>
        <w:tc>
          <w:tcPr>
            <w:tcW w:w="709" w:type="dxa"/>
            <w:tcBorders>
              <w:top w:val="nil"/>
              <w:left w:val="nil"/>
              <w:bottom w:val="single" w:color="auto" w:sz="4" w:space="0"/>
              <w:right w:val="single" w:color="auto" w:sz="4" w:space="0"/>
            </w:tcBorders>
            <w:vAlign w:val="center"/>
          </w:tcPr>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w:t>
            </w:r>
          </w:p>
        </w:tc>
      </w:tr>
    </w:tbl>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二、审批流程</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1、申请路径：（1）手机扫描二维码申请</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drawing>
          <wp:inline distT="0" distB="0" distL="114300" distR="114300">
            <wp:extent cx="1937385" cy="1571625"/>
            <wp:effectExtent l="0" t="0" r="571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cstate="print"/>
                    <a:stretch>
                      <a:fillRect/>
                    </a:stretch>
                  </pic:blipFill>
                  <pic:spPr>
                    <a:xfrm>
                      <a:off x="0" y="0"/>
                      <a:ext cx="1937385" cy="1571625"/>
                    </a:xfrm>
                    <a:prstGeom prst="rect">
                      <a:avLst/>
                    </a:prstGeom>
                    <a:noFill/>
                    <a:ln>
                      <a:noFill/>
                    </a:ln>
                  </pic:spPr>
                </pic:pic>
              </a:graphicData>
            </a:graphic>
          </wp:inline>
        </w:drawing>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（2）网页版申请</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"https://sme.cmbchina.com/" </w:instrText>
      </w:r>
      <w:r>
        <w:rPr>
          <w:rFonts w:hint="eastAsia" w:ascii="仿宋" w:hAnsi="仿宋" w:eastAsia="仿宋" w:cs="仿宋"/>
          <w:color w:val="auto"/>
          <w:highlight w:val="none"/>
        </w:rPr>
        <w:fldChar w:fldCharType="separate"/>
      </w:r>
      <w:r>
        <w:rPr>
          <w:rFonts w:hint="eastAsia" w:ascii="仿宋" w:hAnsi="仿宋" w:eastAsia="仿宋" w:cs="仿宋"/>
          <w:color w:val="auto"/>
          <w:szCs w:val="21"/>
          <w:highlight w:val="none"/>
        </w:rPr>
        <w:t>https://sme.cmbchina.com/</w:t>
      </w:r>
      <w:r>
        <w:rPr>
          <w:rFonts w:hint="eastAsia" w:ascii="仿宋" w:hAnsi="仿宋" w:eastAsia="仿宋" w:cs="仿宋"/>
          <w:color w:val="auto"/>
          <w:szCs w:val="21"/>
          <w:highlight w:val="none"/>
        </w:rPr>
        <w:fldChar w:fldCharType="end"/>
      </w:r>
      <w:r>
        <w:rPr>
          <w:rFonts w:hint="eastAsia" w:ascii="仿宋" w:hAnsi="仿宋" w:eastAsia="仿宋" w:cs="仿宋"/>
          <w:color w:val="auto"/>
          <w:szCs w:val="21"/>
          <w:highlight w:val="none"/>
        </w:rPr>
        <w:t>；</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2、授信额度：基于政府采购中标总额和实际采购合同办理融资,额度最高可达到3000万，线上自助模式最高1000万；</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3、利率：为切实降低中小微企业融资成本，我行严格执行普惠金融利率政策，对符合标准的普惠小微贷款业务一定补贴优惠；</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4、风控措施：</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（1）回款锁定——保证融资申请人在我行进行融资的政府采购商务合同所对应的回款账户为我行且唯一；（2）在我行据以融资的商务合同项下的应收账款质押；（3）实际控制人夫妇提供连带担保；</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5、客户准入</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（1）采购单位：区县及以上政府机构；由上述政府统筹付款的二甲以上公立医院、学校、科研机构等事业单位； 付款记录良好，无拖欠大额工程款、采购款、逃废银行债务等不良记录；</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（2）采购项目：优先支持货物类采购，稳妥介入服务类采购，审慎介入建设工程类采购； 未在他行办理以同一采购合同为贸易背景的融资业务； </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6、政采自助贷：</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（1）线上申请及预授信，额度最高1000万；（2）网银端线上自助提款，10分钟内即可到账；（3）基于政府采购中标总额和实际采购合同办理融资, 融资比例最高可达合同金额的80%；（4）利率优惠,线上可随借随还，更加符合政采供应商需求并降低企业成本。</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ab/>
      </w:r>
    </w:p>
    <w:p>
      <w:pPr>
        <w:pStyle w:val="228"/>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交通银行政府采购融资贷联系方式及融资产品介绍</w:t>
      </w:r>
    </w:p>
    <w:p>
      <w:pPr>
        <w:pStyle w:val="228"/>
        <w:spacing w:line="276"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交通银行针对政府采购供应商中的小微企业推出的，以未来应收账款作为质押、以财政性资金作为还款来源的融资业务。凡参与过政府采购历史的中标企业，即可提前在我行预申请融资额度，中标且签订采购合同后可随时提用。我行具有绿色批复通道、授信额度高、免抵押担保、期限长等优势。</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负责人：  周贯超     联系方式：15538830369</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联系人：  顾  伟     联系方式：18037558778</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魏柴扉               18837923035</w:t>
      </w:r>
    </w:p>
    <w:p>
      <w:pPr>
        <w:pStyle w:val="228"/>
        <w:spacing w:line="276" w:lineRule="auto"/>
        <w:rPr>
          <w:rFonts w:hint="eastAsia" w:ascii="仿宋" w:hAnsi="仿宋" w:eastAsia="仿宋" w:cs="仿宋"/>
          <w:color w:val="auto"/>
          <w:szCs w:val="21"/>
          <w:highlight w:val="none"/>
        </w:rPr>
      </w:pPr>
    </w:p>
    <w:p>
      <w:pPr>
        <w:pStyle w:val="228"/>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洛阳农商银行“普惠政府采购贷”产品简介及联系人</w:t>
      </w:r>
    </w:p>
    <w:p>
      <w:pPr>
        <w:pStyle w:val="228"/>
        <w:spacing w:line="276"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w:t>产品简介：“普惠政府采购贷”是指本行以政府采购诚信考核和信用审查为基础，凭借中小微企业供应商取得并提供的政府采购合同，依托省财政厅的电子化政府采购系统平台，按优于一般中小微企业的贷款利率及手续，直接向本行申请贷款的中小微企业发放的用于采购合同项下商品备货、生产和加工的贷款。以信用方式为主，追加供货商法定代表人或者实际控制人提供连带责任保证担保，融资额度不超过采购合同标的额的70%，贷款期限不超过1年，贷款利率原则上执行LPR上浮60%执行。</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分管领导：张学强 13083636800</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信贷经理：常洁   13721681719</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具体负责人：娄艳阁 13526989222</w:t>
      </w:r>
    </w:p>
    <w:p>
      <w:pPr>
        <w:pStyle w:val="228"/>
        <w:spacing w:line="276" w:lineRule="auto"/>
        <w:rPr>
          <w:rFonts w:hint="eastAsia" w:ascii="仿宋" w:hAnsi="仿宋" w:eastAsia="仿宋" w:cs="仿宋"/>
          <w:color w:val="auto"/>
          <w:szCs w:val="21"/>
          <w:highlight w:val="none"/>
        </w:rPr>
      </w:pPr>
    </w:p>
    <w:p>
      <w:pPr>
        <w:pStyle w:val="228"/>
        <w:spacing w:line="276" w:lineRule="auto"/>
        <w:rPr>
          <w:rFonts w:hint="eastAsia" w:ascii="仿宋" w:hAnsi="仿宋" w:eastAsia="仿宋" w:cs="仿宋"/>
          <w:color w:val="auto"/>
          <w:szCs w:val="21"/>
          <w:highlight w:val="none"/>
        </w:rPr>
      </w:pPr>
    </w:p>
    <w:p>
      <w:pPr>
        <w:pStyle w:val="228"/>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华夏银行洛阳分行“政采贷”产品介绍</w:t>
      </w:r>
    </w:p>
    <w:p>
      <w:pPr>
        <w:pStyle w:val="228"/>
        <w:spacing w:line="276" w:lineRule="auto"/>
        <w:rPr>
          <w:rFonts w:hint="eastAsia" w:ascii="仿宋" w:hAnsi="仿宋" w:eastAsia="仿宋" w:cs="仿宋"/>
          <w:color w:val="auto"/>
          <w:szCs w:val="21"/>
          <w:highlight w:val="none"/>
        </w:rPr>
      </w:pPr>
    </w:p>
    <w:p>
      <w:pPr>
        <w:pStyle w:val="228"/>
        <w:spacing w:line="276"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产品特点</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融资便捷快捷</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线上提交融资申请，线上反馈审批额度</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审批手续简便</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审批手续及所需的资料相对简便</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融资比例合理</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最高融资比例可达订单金额的80%</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价格合理灵活</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按实际融资天数计息，低于同业平均水平</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还款灵活方便</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按期还息，到期还本，可提前部分还款或全部还款</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无需抵押担保</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凭订单即可申请，无需追加抵押担保</w:t>
      </w:r>
    </w:p>
    <w:p>
      <w:pPr>
        <w:pStyle w:val="228"/>
        <w:spacing w:line="276"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申请条件和资料</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经工商形状管理机关（或主管机关）核准登记的企业法人或个体工商户，有固定经营场所，合法经营；</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企业为货物或服务类供应商；</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未纳入政府采购严重违法失信行为记录名单；</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企业近三年中标数不少于2次；</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企业具备与中标项目相匹配的生产或销售资质。</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b/>
          <w:bCs/>
          <w:color w:val="auto"/>
          <w:szCs w:val="21"/>
          <w:highlight w:val="none"/>
        </w:rPr>
        <w:t>申请资料</w:t>
      </w:r>
      <w:r>
        <w:rPr>
          <w:rFonts w:hint="eastAsia" w:ascii="仿宋" w:hAnsi="仿宋" w:eastAsia="仿宋" w:cs="仿宋"/>
          <w:color w:val="auto"/>
          <w:szCs w:val="21"/>
          <w:highlight w:val="none"/>
        </w:rPr>
        <w:t>：营业执照正副本、法人身份证</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b/>
          <w:bCs/>
          <w:color w:val="auto"/>
          <w:szCs w:val="21"/>
          <w:highlight w:val="none"/>
        </w:rPr>
        <w:t>申请流程</w:t>
      </w:r>
      <w:r>
        <w:rPr>
          <w:rFonts w:hint="eastAsia" w:ascii="仿宋" w:hAnsi="仿宋" w:eastAsia="仿宋" w:cs="仿宋"/>
          <w:color w:val="auto"/>
          <w:szCs w:val="21"/>
          <w:highlight w:val="none"/>
        </w:rPr>
        <w:t>：通过河南省政府采购网进入“华夏政采E贷”根据提示完成授信申请，系统审批通过后，前往网点开立企业账户及签订贷款协议，登陆“华夏政采贷”根据提示完成放款申请，系统审批通过后完成提款。</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b/>
          <w:bCs/>
          <w:color w:val="auto"/>
          <w:szCs w:val="21"/>
          <w:highlight w:val="none"/>
        </w:rPr>
        <w:t>联系方式</w:t>
      </w:r>
      <w:r>
        <w:rPr>
          <w:rFonts w:hint="eastAsia" w:ascii="仿宋" w:hAnsi="仿宋" w:eastAsia="仿宋" w:cs="仿宋"/>
          <w:color w:val="auto"/>
          <w:szCs w:val="21"/>
          <w:highlight w:val="none"/>
        </w:rPr>
        <w:t>：部门经理：杜青青 营销管理部经理13633790075</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具体负责人联系方式：谢逸伦 客户经理15038621500</w:t>
      </w:r>
    </w:p>
    <w:p>
      <w:pPr>
        <w:pStyle w:val="228"/>
        <w:spacing w:line="276" w:lineRule="auto"/>
        <w:rPr>
          <w:rFonts w:hint="eastAsia" w:ascii="仿宋" w:hAnsi="仿宋" w:eastAsia="仿宋" w:cs="仿宋"/>
          <w:color w:val="auto"/>
          <w:szCs w:val="21"/>
          <w:highlight w:val="none"/>
        </w:rPr>
      </w:pPr>
    </w:p>
    <w:p>
      <w:pPr>
        <w:pStyle w:val="228"/>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中国光大银行政府采购贷融资产品</w:t>
      </w:r>
    </w:p>
    <w:p>
      <w:pPr>
        <w:pStyle w:val="228"/>
        <w:spacing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介绍及联系方式</w:t>
      </w:r>
    </w:p>
    <w:p>
      <w:pPr>
        <w:pStyle w:val="228"/>
        <w:spacing w:line="276" w:lineRule="auto"/>
        <w:rPr>
          <w:rFonts w:hint="eastAsia" w:ascii="仿宋" w:hAnsi="仿宋" w:eastAsia="仿宋" w:cs="仿宋"/>
          <w:color w:val="auto"/>
          <w:szCs w:val="21"/>
          <w:highlight w:val="none"/>
        </w:rPr>
      </w:pPr>
    </w:p>
    <w:p>
      <w:pPr>
        <w:pStyle w:val="228"/>
        <w:spacing w:line="276"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一、产品定义</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“政采易”是指光大银行根据政府采购中标通知书，以政府财政支付资金为主要还款来源，通过封闭回款路径等方式，为中标供应商提供流动资金贷款。</w:t>
      </w:r>
    </w:p>
    <w:p>
      <w:pPr>
        <w:pStyle w:val="228"/>
        <w:spacing w:line="276"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二、借款人基本条件</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（一）具有独立承担民事责任的能力,有固定的经营场所；</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（二）企业成立1（含）年以上，且实际控制人有3年以上实际行业经验，具有良好的纳税记录、工商登记记录；</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（三）企业具有履行合同所必需的设备和服务能力；</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（四）生产经营符合国家法律法规、产业政策和环境保护要求，符合我行信贷政策；</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（五）人行征信信息查询系统查询显示企业法人、法定代表人、主要经营者无重大不良记录；政府采购履约行为无不良记录；</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（六）中标供应商在我行信用评级应在B-级（含）以上；</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（七）我行要求的其他条件。</w:t>
      </w:r>
    </w:p>
    <w:p>
      <w:pPr>
        <w:pStyle w:val="228"/>
        <w:spacing w:line="276"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三、业务流程</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供应商的采购资金纳入同级或以上政府财政预算。</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供应商与政府采购部门签署采购合同。</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采购合同在公开平台进行公示或者备案。</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供应商依托采购合同，向光大银行申请融资。</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光大银行对采购商进行调查，根据政府采购中标合同金额扣除预付款*一定比例发放融资款项。</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中标供应商须在光大银行开立结算账户并将其指定为企业政府采购结算专户，回款至该账户。</w:t>
      </w:r>
    </w:p>
    <w:p>
      <w:pPr>
        <w:pStyle w:val="228"/>
        <w:spacing w:line="276"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四、利率</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根据当地同业水平合理确定贷款利率水平，执行总行贷款利率授权管理政策。</w:t>
      </w:r>
    </w:p>
    <w:p>
      <w:pPr>
        <w:pStyle w:val="228"/>
        <w:spacing w:line="276"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五、贷款期限</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贷款期限应与政府采购合同中约定的结算周期、付款方式相匹配，最长不超过合同约定付款日期后两个月。</w:t>
      </w:r>
    </w:p>
    <w:p>
      <w:pPr>
        <w:pStyle w:val="228"/>
        <w:spacing w:line="276"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六、联系方式</w:t>
      </w:r>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1、分管领导 ：王慧18837902280</w:t>
      </w:r>
      <w:bookmarkStart w:id="204" w:name="_GoBack"/>
      <w:bookmarkEnd w:id="204"/>
    </w:p>
    <w:p>
      <w:pPr>
        <w:pStyle w:val="228"/>
        <w:spacing w:line="276"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2、信贷经理：刘勇 18837995809</w:t>
      </w:r>
    </w:p>
    <w:p>
      <w:pPr>
        <w:ind w:firstLine="400" w:firstLineChars="200"/>
        <w:rPr>
          <w:rFonts w:hint="eastAsia" w:ascii="仿宋" w:hAnsi="仿宋" w:eastAsia="仿宋" w:cs="仿宋"/>
          <w:color w:val="auto"/>
          <w:highlight w:val="none"/>
        </w:rPr>
      </w:pPr>
    </w:p>
    <w:sectPr>
      <w:headerReference r:id="rId17" w:type="first"/>
      <w:footerReference r:id="rId20" w:type="first"/>
      <w:headerReference r:id="rId16" w:type="default"/>
      <w:footerReference r:id="rId18" w:type="default"/>
      <w:footerReference r:id="rId19" w:type="even"/>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Arial Unicode MS">
    <w:panose1 w:val="020B0604020202020204"/>
    <w:charset w:val="86"/>
    <w:family w:val="roman"/>
    <w:pitch w:val="default"/>
    <w:sig w:usb0="FFFFFFFF" w:usb1="E9FFFFFF" w:usb2="0000003F" w:usb3="00000000" w:csb0="603F01FF" w:csb1="FFFF0000"/>
  </w:font>
  <w:font w:name="Ђˎ̥">
    <w:altName w:val="Times New Roman"/>
    <w:panose1 w:val="00000000000000000000"/>
    <w:charset w:val="00"/>
    <w:family w:val="roman"/>
    <w:pitch w:val="default"/>
    <w:sig w:usb0="00000000" w:usb1="00000000" w:usb2="00000000" w:usb3="00000000" w:csb0="00040001" w:csb1="00000000"/>
  </w:font>
  <w:font w:name="Univers 57 Condensed">
    <w:altName w:val="宋体"/>
    <w:panose1 w:val="00000000000000000000"/>
    <w:charset w:val="86"/>
    <w:family w:val="swiss"/>
    <w:pitch w:val="default"/>
    <w:sig w:usb0="00000000" w:usb1="00000000" w:usb2="00000010" w:usb3="00000000" w:csb0="00040000" w:csb1="00000000"/>
  </w:font>
  <w:font w:name="Ari">
    <w:altName w:val="Arial"/>
    <w:panose1 w:val="00000000000000000000"/>
    <w:charset w:val="00"/>
    <w:family w:val="swiss"/>
    <w:pitch w:val="default"/>
    <w:sig w:usb0="00000000" w:usb1="00000000" w:usb2="00000000" w:usb3="00000000" w:csb0="00000001" w:csb1="00000000"/>
  </w:font>
  <w:font w:name="华文细黑">
    <w:panose1 w:val="02010600040101010101"/>
    <w:charset w:val="86"/>
    <w:family w:val="auto"/>
    <w:pitch w:val="default"/>
    <w:sig w:usb0="00000287" w:usb1="080F0000" w:usb2="00000000" w:usb3="00000000" w:csb0="0004009F" w:csb1="DFD70000"/>
  </w:font>
  <w:font w:name="方正黑体简体">
    <w:altName w:val="微软雅黑"/>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Futura Bk">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Century Gothic">
    <w:panose1 w:val="020B0502020202020204"/>
    <w:charset w:val="00"/>
    <w:family w:val="swiss"/>
    <w:pitch w:val="default"/>
    <w:sig w:usb0="00000287" w:usb1="00000000" w:usb2="00000000" w:usb3="00000000" w:csb0="2000009F" w:csb1="DFD70000"/>
  </w:font>
  <w:font w:name="华康简宋">
    <w:altName w:val="宋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67"/>
      </w:rPr>
    </w:pPr>
    <w:r>
      <w:fldChar w:fldCharType="begin"/>
    </w:r>
    <w:r>
      <w:rPr>
        <w:rStyle w:val="67"/>
      </w:rPr>
      <w:instrText xml:space="preserve">PAGE  </w:instrText>
    </w:r>
    <w:r>
      <w:fldChar w:fldCharType="end"/>
    </w:r>
  </w:p>
  <w:p>
    <w:pPr>
      <w:pStyle w:val="4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3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4</w:t>
                          </w:r>
                          <w:r>
                            <w:fldChar w:fldCharType="end"/>
                          </w:r>
                        </w:p>
                      </w:txbxContent>
                    </wps:txbx>
                    <wps:bodyPr wrap="none" lIns="0" tIns="0" rIns="0" bIns="0" upright="0">
                      <a:spAutoFit/>
                    </wps:bodyPr>
                  </wps:wsp>
                </a:graphicData>
              </a:graphic>
            </wp:anchor>
          </w:drawing>
        </mc:Choice>
        <mc:Fallback>
          <w:pict>
            <v:shape id="文本框 312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WfGtWdABAACqAwAADgAAAAAAAAABACAAAAAeAQAAZHJz&#10;L2Uyb0RvYy54bWxQSwUGAAAAAAYABgBZAQAAYAU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3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5</w:t>
                          </w:r>
                          <w:r>
                            <w:fldChar w:fldCharType="end"/>
                          </w:r>
                        </w:p>
                      </w:txbxContent>
                    </wps:txbx>
                    <wps:bodyPr wrap="none" lIns="0" tIns="0" rIns="0" bIns="0" upright="0">
                      <a:spAutoFit/>
                    </wps:bodyPr>
                  </wps:wsp>
                </a:graphicData>
              </a:graphic>
            </wp:anchor>
          </w:drawing>
        </mc:Choice>
        <mc:Fallback>
          <w:pict>
            <v:shape id="文本框 312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B9wQ+kzwEAAKoDAAAOAAAAAAAAAAEAIAAAAB4BAABkcnMv&#10;ZTJvRG9jLnhtbFBLBQYAAAAABgAGAFkBAABfBQ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3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48</w:t>
                          </w:r>
                          <w:r>
                            <w:fldChar w:fldCharType="end"/>
                          </w:r>
                        </w:p>
                      </w:txbxContent>
                    </wps:txbx>
                    <wps:bodyPr wrap="none" lIns="0" tIns="0" rIns="0" bIns="0" upright="0">
                      <a:spAutoFit/>
                    </wps:bodyPr>
                  </wps:wsp>
                </a:graphicData>
              </a:graphic>
            </wp:anchor>
          </w:drawing>
        </mc:Choice>
        <mc:Fallback>
          <w:pict>
            <v:shape id="文本框 31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7c0PNzwEAAKsDAAAOAAAAAAAAAAEAIAAAAB4BAABkcnMv&#10;ZTJvRG9jLnhtbFBLBQYAAAAABgAGAFkBAABfBQ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540"/>
      <w:rPr>
        <w:rFonts w:ascii="仿宋" w:hAnsi="仿宋" w:eastAsia="仿宋" w:cs="仿宋"/>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3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67</w:t>
                          </w:r>
                          <w:r>
                            <w:fldChar w:fldCharType="end"/>
                          </w:r>
                        </w:p>
                      </w:txbxContent>
                    </wps:txbx>
                    <wps:bodyPr wrap="none" lIns="0" tIns="0" rIns="0" bIns="0" upright="0">
                      <a:spAutoFit/>
                    </wps:bodyPr>
                  </wps:wsp>
                </a:graphicData>
              </a:graphic>
            </wp:anchor>
          </w:drawing>
        </mc:Choice>
        <mc:Fallback>
          <w:pict>
            <v:shape id="文本框 312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oZ9QEzwEAAKsDAAAOAAAAAAAAAAEAIAAAAB4BAABkcnMv&#10;ZTJvRG9jLnhtbFBLBQYAAAAABgAGAFkBAABfBQ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3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78</w:t>
                          </w:r>
                          <w:r>
                            <w:fldChar w:fldCharType="end"/>
                          </w:r>
                        </w:p>
                      </w:txbxContent>
                    </wps:txbx>
                    <wps:bodyPr wrap="none" lIns="0" tIns="0" rIns="0" bIns="0" upright="0">
                      <a:spAutoFit/>
                    </wps:bodyPr>
                  </wps:wsp>
                </a:graphicData>
              </a:graphic>
            </wp:anchor>
          </w:drawing>
        </mc:Choice>
        <mc:Fallback>
          <w:pict>
            <v:shape id="文本框 3130"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r+E0UzwEAAKsDAAAOAAAAAAAAAAEAIAAAAB4BAABkcnMv&#10;ZTJvRG9jLnhtbFBLBQYAAAAABgAGAFkBAABfBQ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67"/>
      </w:rPr>
    </w:pPr>
    <w:r>
      <w:fldChar w:fldCharType="begin"/>
    </w:r>
    <w:r>
      <w:rPr>
        <w:rStyle w:val="67"/>
      </w:rPr>
      <w:instrText xml:space="preserve">PAGE  </w:instrText>
    </w:r>
    <w:r>
      <w:fldChar w:fldCharType="end"/>
    </w:r>
  </w:p>
  <w:p>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ind w:right="360"/>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3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91</w:t>
                          </w:r>
                          <w:r>
                            <w:fldChar w:fldCharType="end"/>
                          </w:r>
                        </w:p>
                      </w:txbxContent>
                    </wps:txbx>
                    <wps:bodyPr wrap="none" lIns="0" tIns="0" rIns="0" bIns="0" upright="0">
                      <a:spAutoFit/>
                    </wps:bodyPr>
                  </wps:wsp>
                </a:graphicData>
              </a:graphic>
            </wp:anchor>
          </w:drawing>
        </mc:Choice>
        <mc:Fallback>
          <w:pict>
            <v:shape id="文本框 313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PyO/pzwEAAKsDAAAOAAAAAAAAAAEAIAAAAB4BAABkcnMv&#10;ZTJvRG9jLnhtbFBLBQYAAAAABgAGAFkBAABfBQ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91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left" w:pos="855"/>
      </w:tabs>
      <w:jc w:val="left"/>
      <w:rPr>
        <w:rFonts w:eastAsia="楷体_GB2312"/>
        <w:sz w:val="21"/>
        <w:shd w:val="pct10" w:color="auto" w:fill="FFFFFF"/>
      </w:rPr>
    </w:pPr>
    <w:r>
      <w:rPr>
        <w:rFonts w:hint="eastAsia" w:eastAsia="楷体_GB2312"/>
        <w:sz w:val="21"/>
        <w:shd w:val="pct10" w:color="auto" w:fill="FFFFFF"/>
      </w:rPr>
      <w:t>公开 公平 公正 诚信                                                    招标文件</w:t>
    </w:r>
  </w:p>
  <w:p>
    <w:pPr>
      <w:rPr>
        <w:rFonts w:eastAsia="楷体_GB2312"/>
        <w:sz w:val="21"/>
        <w:shd w:val="pct10" w:color="auto" w:fill="FFFFF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15" w:lineRule="auto"/>
      <w:ind w:left="31"/>
      <w:rPr>
        <w:rFonts w:ascii="楷体" w:hAnsi="楷体" w:eastAsia="楷体" w:cs="楷体"/>
        <w:sz w:val="21"/>
        <w:szCs w:val="21"/>
      </w:rPr>
    </w:pPr>
    <w:r>
      <mc:AlternateContent>
        <mc:Choice Requires="wps">
          <w:drawing>
            <wp:anchor distT="0" distB="0" distL="114300" distR="114300" simplePos="0" relativeHeight="251659264" behindDoc="0" locked="0" layoutInCell="0" allowOverlap="1">
              <wp:simplePos x="0" y="0"/>
              <wp:positionH relativeFrom="page">
                <wp:posOffset>887095</wp:posOffset>
              </wp:positionH>
              <wp:positionV relativeFrom="page">
                <wp:posOffset>619760</wp:posOffset>
              </wp:positionV>
              <wp:extent cx="5913120" cy="9525"/>
              <wp:effectExtent l="0" t="0" r="0" b="0"/>
              <wp:wrapNone/>
              <wp:docPr id="1" name="任意多边形 3074"/>
              <wp:cNvGraphicFramePr/>
              <a:graphic xmlns:a="http://schemas.openxmlformats.org/drawingml/2006/main">
                <a:graphicData uri="http://schemas.microsoft.com/office/word/2010/wordprocessingShape">
                  <wps:wsp>
                    <wps:cNvSpPr/>
                    <wps:spPr>
                      <a:xfrm>
                        <a:off x="0" y="0"/>
                        <a:ext cx="5913120" cy="9525"/>
                      </a:xfrm>
                      <a:custGeom>
                        <a:avLst/>
                        <a:gdLst>
                          <a:gd name="A1" fmla="val 0"/>
                          <a:gd name="A2" fmla="val 0"/>
                          <a:gd name="A3" fmla="val 0"/>
                        </a:gdLst>
                        <a:ahLst/>
                        <a:cxnLst/>
                        <a:pathLst>
                          <a:path w="9312" h="15">
                            <a:moveTo>
                              <a:pt x="0" y="15"/>
                            </a:moveTo>
                            <a:lnTo>
                              <a:pt x="9311" y="15"/>
                            </a:lnTo>
                            <a:lnTo>
                              <a:pt x="9311" y="0"/>
                            </a:lnTo>
                            <a:lnTo>
                              <a:pt x="0" y="0"/>
                            </a:lnTo>
                            <a:lnTo>
                              <a:pt x="0" y="15"/>
                            </a:lnTo>
                            <a:close/>
                          </a:path>
                        </a:pathLst>
                      </a:custGeom>
                      <a:solidFill>
                        <a:srgbClr val="000000"/>
                      </a:solidFill>
                      <a:ln>
                        <a:noFill/>
                      </a:ln>
                    </wps:spPr>
                    <wps:bodyPr upright="1"/>
                  </wps:wsp>
                </a:graphicData>
              </a:graphic>
            </wp:anchor>
          </w:drawing>
        </mc:Choice>
        <mc:Fallback>
          <w:pict>
            <v:shape id="任意多边形 3074" o:spid="_x0000_s1026" o:spt="100" style="position:absolute;left:0pt;margin-left:69.85pt;margin-top:48.8pt;height:0.75pt;width:465.6pt;mso-position-horizontal-relative:page;mso-position-vertical-relative:page;z-index:251659264;mso-width-relative:page;mso-height-relative:page;" fillcolor="#000000" filled="t" stroked="f" coordsize="9312,15" o:allowincell="f" o:gfxdata="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O6PBk1gAAAAoBAAAPAAAAAAAAAAEAIAAAACIAAABkcnMvZG93bnJldi54bWxQ&#10;SwECFAAUAAAACACHTuJAQthgNDICAADiBAAADgAAAAAAAAABACAAAAAlAQAAZHJzL2Uyb0RvYy54&#10;bWxQSwUGAAAAAAYABgBZAQAAyQUAAAAA&#10;" path="m0,15l9311,15,9311,0,0,0,0,15xe">
              <v:fill on="t" focussize="0,0"/>
              <v:stroke on="f"/>
              <v:imagedata o:title=""/>
              <o:lock v:ext="edit" aspectratio="f"/>
            </v:shape>
          </w:pict>
        </mc:Fallback>
      </mc:AlternateContent>
    </w:r>
    <w:r>
      <w:rPr>
        <w:rFonts w:ascii="楷体" w:hAnsi="楷体" w:eastAsia="楷体" w:cs="楷体"/>
        <w:spacing w:val="1"/>
        <w:sz w:val="21"/>
        <w:szCs w:val="21"/>
      </w:rPr>
      <w:t>公开</w:t>
    </w:r>
    <w:r>
      <w:rPr>
        <w:rFonts w:ascii="楷体" w:hAnsi="楷体" w:eastAsia="楷体" w:cs="楷体"/>
        <w:sz w:val="21"/>
        <w:szCs w:val="21"/>
      </w:rPr>
      <w:t xml:space="preserve"> 公平 公正 诚信</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eastAsia="楷体_GB2312"/>
        <w:sz w:val="21"/>
      </w:rPr>
    </w:pPr>
    <w:r>
      <w:rPr>
        <w:rFonts w:hint="eastAsia" w:eastAsia="楷体_GB2312"/>
        <w:sz w:val="21"/>
        <w:shd w:val="pct10" w:color="auto" w:fill="FFFFFF"/>
      </w:rPr>
      <w:t>公开 公平 公正 诚信                                                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eastAsia="楷体_GB2312"/>
        <w:sz w:val="21"/>
        <w:shd w:val="pct10" w:color="auto" w:fill="FFFFFF"/>
      </w:rPr>
    </w:pPr>
    <w:r>
      <w:rPr>
        <w:rFonts w:hint="eastAsia" w:eastAsia="楷体_GB2312"/>
        <w:sz w:val="21"/>
        <w:shd w:val="pct10" w:color="auto" w:fill="FFFFFF"/>
      </w:rPr>
      <w:t>公开公平公正诚信                                          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eastAsia="楷体_GB2312"/>
        <w:sz w:val="21"/>
        <w:shd w:val="pct10" w:color="auto" w:fill="FFFFFF"/>
      </w:rPr>
    </w:pPr>
    <w:r>
      <w:rPr>
        <w:rFonts w:hint="eastAsia" w:eastAsia="楷体_GB2312"/>
        <w:sz w:val="21"/>
        <w:shd w:val="pct10" w:color="auto" w:fill="FFFFFF"/>
      </w:rPr>
      <w:t>公开 公平 公正 诚信                                                       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eastAsia="楷体_GB2312"/>
        <w:sz w:val="21"/>
        <w:shd w:val="pct10" w:color="auto" w:fill="FFFFFF"/>
      </w:rPr>
    </w:pPr>
    <w:r>
      <w:rPr>
        <w:rFonts w:hint="eastAsia" w:eastAsia="楷体_GB2312"/>
        <w:sz w:val="21"/>
        <w:shd w:val="pct10" w:color="auto" w:fill="FFFFFF"/>
      </w:rPr>
      <w:t>公开公平公正诚信                                                 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7E340C"/>
    <w:multiLevelType w:val="singleLevel"/>
    <w:tmpl w:val="947E340C"/>
    <w:lvl w:ilvl="0" w:tentative="0">
      <w:start w:val="13"/>
      <w:numFmt w:val="chineseCounting"/>
      <w:suff w:val="nothing"/>
      <w:lvlText w:val="%1、"/>
      <w:lvlJc w:val="left"/>
      <w:rPr>
        <w:rFonts w:hint="eastAsia"/>
      </w:rPr>
    </w:lvl>
  </w:abstractNum>
  <w:abstractNum w:abstractNumId="1">
    <w:nsid w:val="DEC8F048"/>
    <w:multiLevelType w:val="singleLevel"/>
    <w:tmpl w:val="DEC8F048"/>
    <w:lvl w:ilvl="0" w:tentative="0">
      <w:start w:val="1"/>
      <w:numFmt w:val="decimal"/>
      <w:suff w:val="nothing"/>
      <w:lvlText w:val="%1、"/>
      <w:lvlJc w:val="left"/>
    </w:lvl>
  </w:abstractNum>
  <w:abstractNum w:abstractNumId="2">
    <w:nsid w:val="F60B3004"/>
    <w:multiLevelType w:val="singleLevel"/>
    <w:tmpl w:val="F60B3004"/>
    <w:lvl w:ilvl="0" w:tentative="0">
      <w:start w:val="3"/>
      <w:numFmt w:val="chineseCounting"/>
      <w:suff w:val="nothing"/>
      <w:lvlText w:val="%1、"/>
      <w:lvlJc w:val="left"/>
      <w:rPr>
        <w:rFonts w:hint="eastAsia"/>
      </w:rPr>
    </w:lvl>
  </w:abstractNum>
  <w:abstractNum w:abstractNumId="3">
    <w:nsid w:val="00000002"/>
    <w:multiLevelType w:val="multilevel"/>
    <w:tmpl w:val="00000002"/>
    <w:lvl w:ilvl="0" w:tentative="0">
      <w:start w:val="1"/>
      <w:numFmt w:val="decimal"/>
      <w:pStyle w:val="214"/>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6"/>
      <w:numFmt w:val="decimal"/>
      <w:lvlText w:val="%3）"/>
      <w:lvlJc w:val="left"/>
      <w:pPr>
        <w:tabs>
          <w:tab w:val="left" w:pos="1200"/>
        </w:tabs>
        <w:ind w:left="1200" w:hanging="36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A"/>
    <w:multiLevelType w:val="multilevel"/>
    <w:tmpl w:val="0000000A"/>
    <w:lvl w:ilvl="0" w:tentative="0">
      <w:start w:val="1"/>
      <w:numFmt w:val="decimal"/>
      <w:lvlText w:val="%1"/>
      <w:lvlJc w:val="left"/>
      <w:pPr>
        <w:tabs>
          <w:tab w:val="left" w:pos="432"/>
        </w:tabs>
        <w:ind w:left="432" w:hanging="432"/>
      </w:pPr>
      <w:rPr>
        <w:rFonts w:hint="eastAsia"/>
        <w:b w:val="0"/>
      </w:rPr>
    </w:lvl>
    <w:lvl w:ilvl="1" w:tentative="0">
      <w:start w:val="1"/>
      <w:numFmt w:val="decimal"/>
      <w:lvlText w:val="%1.%2"/>
      <w:lvlJc w:val="left"/>
      <w:pPr>
        <w:tabs>
          <w:tab w:val="left" w:pos="180"/>
        </w:tabs>
        <w:ind w:left="756" w:hanging="576"/>
      </w:pPr>
      <w:rPr>
        <w:rFonts w:hint="eastAsia"/>
      </w:rPr>
    </w:lvl>
    <w:lvl w:ilvl="2" w:tentative="0">
      <w:start w:val="1"/>
      <w:numFmt w:val="decimal"/>
      <w:pStyle w:val="235"/>
      <w:lvlText w:val="%1.%2.%3"/>
      <w:lvlJc w:val="left"/>
      <w:pPr>
        <w:tabs>
          <w:tab w:val="left" w:pos="426"/>
        </w:tabs>
        <w:ind w:left="1146" w:hanging="720"/>
      </w:pPr>
      <w:rPr>
        <w:rFonts w:hint="eastAsia" w:ascii="黑体" w:hAnsi="Arial" w:eastAsia="黑体" w:cs="Times New Roman"/>
        <w:color w:val="auto"/>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0000000B"/>
    <w:multiLevelType w:val="multilevel"/>
    <w:tmpl w:val="0000000B"/>
    <w:lvl w:ilvl="0" w:tentative="0">
      <w:start w:val="1"/>
      <w:numFmt w:val="decimal"/>
      <w:pStyle w:val="127"/>
      <w:lvlText w:val="(%1)"/>
      <w:lvlJc w:val="left"/>
      <w:pPr>
        <w:tabs>
          <w:tab w:val="left" w:pos="397"/>
        </w:tabs>
        <w:ind w:left="397" w:hanging="397"/>
      </w:pPr>
      <w:rPr>
        <w:rFonts w:ascii="Arial" w:hAnsi="Arial" w:eastAsia="宋体" w:cs="Times New Roman"/>
        <w:b w:val="0"/>
        <w:i w:val="0"/>
        <w:color w:val="auto"/>
        <w:sz w:val="18"/>
        <w:szCs w:val="18"/>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0000000C"/>
    <w:multiLevelType w:val="multilevel"/>
    <w:tmpl w:val="0000000C"/>
    <w:lvl w:ilvl="0" w:tentative="0">
      <w:start w:val="1"/>
      <w:numFmt w:val="decimal"/>
      <w:pStyle w:val="254"/>
      <w:lvlText w:val="%1、"/>
      <w:lvlJc w:val="left"/>
      <w:pPr>
        <w:tabs>
          <w:tab w:val="left" w:pos="840"/>
        </w:tabs>
        <w:ind w:left="840" w:hanging="360"/>
      </w:pPr>
      <w:rPr>
        <w:rFonts w:hint="eastAsia"/>
      </w:rPr>
    </w:lvl>
    <w:lvl w:ilvl="1" w:tentative="0">
      <w:start w:val="1"/>
      <w:numFmt w:val="decimal"/>
      <w:lvlText w:val="(%2)"/>
      <w:lvlJc w:val="left"/>
      <w:pPr>
        <w:tabs>
          <w:tab w:val="left" w:pos="1320"/>
        </w:tabs>
        <w:ind w:left="1320" w:hanging="420"/>
      </w:pPr>
      <w:rPr>
        <w:rFonts w:hint="eastAsia"/>
      </w:rPr>
    </w:lvl>
    <w:lvl w:ilvl="2" w:tentative="0">
      <w:start w:val="1"/>
      <w:numFmt w:val="decimal"/>
      <w:lvlText w:val="%3．"/>
      <w:lvlJc w:val="left"/>
      <w:pPr>
        <w:tabs>
          <w:tab w:val="left" w:pos="1680"/>
        </w:tabs>
        <w:ind w:left="1680" w:hanging="360"/>
      </w:pPr>
      <w:rPr>
        <w:rFonts w:hint="eastAsia"/>
      </w:r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0000000D"/>
    <w:multiLevelType w:val="multilevel"/>
    <w:tmpl w:val="0000000D"/>
    <w:lvl w:ilvl="0" w:tentative="0">
      <w:start w:val="1"/>
      <w:numFmt w:val="decimal"/>
      <w:suff w:val="space"/>
      <w:lvlText w:val="%1."/>
      <w:lvlJc w:val="left"/>
      <w:pPr>
        <w:tabs>
          <w:tab w:val="left" w:pos="0"/>
        </w:tabs>
        <w:ind w:left="964" w:hanging="964"/>
      </w:pPr>
      <w:rPr>
        <w:rFonts w:hint="eastAsia" w:eastAsia="黑体"/>
      </w:rPr>
    </w:lvl>
    <w:lvl w:ilvl="1" w:tentative="0">
      <w:start w:val="1"/>
      <w:numFmt w:val="decimal"/>
      <w:suff w:val="space"/>
      <w:lvlText w:val="%2."/>
      <w:lvlJc w:val="left"/>
      <w:pPr>
        <w:tabs>
          <w:tab w:val="left" w:pos="0"/>
        </w:tabs>
        <w:ind w:left="493" w:hanging="567"/>
      </w:pPr>
      <w:rPr>
        <w:rFonts w:hint="eastAsia" w:ascii="Times New Roman" w:hAnsi="Times New Roman" w:cs="Times New Roman"/>
        <w:b/>
        <w:bCs w:val="0"/>
        <w:i w:val="0"/>
        <w:iCs w:val="0"/>
        <w:caps w:val="0"/>
        <w:smallCaps w:val="0"/>
        <w:strike w:val="0"/>
        <w:dstrike w:val="0"/>
        <w:vanish w:val="0"/>
        <w:color w:val="000000"/>
        <w:spacing w:val="0"/>
        <w:position w:val="0"/>
        <w:u w:val="none"/>
        <w:vertAlign w:val="baseline"/>
      </w:rPr>
    </w:lvl>
    <w:lvl w:ilvl="2" w:tentative="0">
      <w:start w:val="1"/>
      <w:numFmt w:val="decimal"/>
      <w:suff w:val="space"/>
      <w:lvlText w:val="%1.%2.%3."/>
      <w:lvlJc w:val="left"/>
      <w:pPr>
        <w:tabs>
          <w:tab w:val="left" w:pos="0"/>
        </w:tabs>
        <w:ind w:left="889" w:hanging="709"/>
      </w:pPr>
      <w:rPr>
        <w:rFonts w:hint="eastAsia"/>
      </w:rPr>
    </w:lvl>
    <w:lvl w:ilvl="3" w:tentative="0">
      <w:start w:val="1"/>
      <w:numFmt w:val="decimal"/>
      <w:pStyle w:val="290"/>
      <w:suff w:val="space"/>
      <w:lvlText w:val="%4."/>
      <w:lvlJc w:val="left"/>
      <w:pPr>
        <w:tabs>
          <w:tab w:val="left" w:pos="0"/>
        </w:tabs>
        <w:ind w:left="851" w:hanging="851"/>
      </w:pPr>
      <w:rPr>
        <w:rFonts w:hint="eastAsia"/>
      </w:rPr>
    </w:lvl>
    <w:lvl w:ilvl="4" w:tentative="0">
      <w:start w:val="1"/>
      <w:numFmt w:val="upperLetter"/>
      <w:suff w:val="space"/>
      <w:lvlText w:val="%5."/>
      <w:lvlJc w:val="left"/>
      <w:pPr>
        <w:tabs>
          <w:tab w:val="left" w:pos="0"/>
        </w:tabs>
        <w:ind w:left="918" w:hanging="992"/>
      </w:pPr>
      <w:rPr>
        <w:rFonts w:hint="eastAsia"/>
      </w:rPr>
    </w:lvl>
    <w:lvl w:ilvl="5" w:tentative="0">
      <w:start w:val="1"/>
      <w:numFmt w:val="decimal"/>
      <w:lvlText w:val="%1.%2.%3.%4.%5.%6."/>
      <w:lvlJc w:val="left"/>
      <w:pPr>
        <w:tabs>
          <w:tab w:val="left" w:pos="1060"/>
        </w:tabs>
        <w:ind w:left="1060" w:hanging="1134"/>
      </w:pPr>
      <w:rPr>
        <w:rFonts w:hint="eastAsia"/>
      </w:rPr>
    </w:lvl>
    <w:lvl w:ilvl="6" w:tentative="0">
      <w:start w:val="1"/>
      <w:numFmt w:val="decimal"/>
      <w:lvlText w:val="%1.%2.%3.%4.%5.%6.%7."/>
      <w:lvlJc w:val="left"/>
      <w:pPr>
        <w:tabs>
          <w:tab w:val="left" w:pos="1202"/>
        </w:tabs>
        <w:ind w:left="1202" w:hanging="1276"/>
      </w:pPr>
      <w:rPr>
        <w:rFonts w:hint="eastAsia"/>
      </w:rPr>
    </w:lvl>
    <w:lvl w:ilvl="7" w:tentative="0">
      <w:start w:val="1"/>
      <w:numFmt w:val="decimal"/>
      <w:lvlText w:val="%1.%2.%3.%4.%5.%6.%7.%8."/>
      <w:lvlJc w:val="left"/>
      <w:pPr>
        <w:tabs>
          <w:tab w:val="left" w:pos="1344"/>
        </w:tabs>
        <w:ind w:left="1344" w:hanging="1418"/>
      </w:pPr>
      <w:rPr>
        <w:rFonts w:hint="eastAsia"/>
      </w:rPr>
    </w:lvl>
    <w:lvl w:ilvl="8" w:tentative="0">
      <w:start w:val="1"/>
      <w:numFmt w:val="decimal"/>
      <w:lvlText w:val="%1.%2.%3.%4.%5.%6.%7.%8.%9."/>
      <w:lvlJc w:val="left"/>
      <w:pPr>
        <w:tabs>
          <w:tab w:val="left" w:pos="1485"/>
        </w:tabs>
        <w:ind w:left="1485" w:hanging="1559"/>
      </w:pPr>
      <w:rPr>
        <w:rFonts w:hint="eastAsia"/>
      </w:rPr>
    </w:lvl>
  </w:abstractNum>
  <w:abstractNum w:abstractNumId="8">
    <w:nsid w:val="0000000E"/>
    <w:multiLevelType w:val="multilevel"/>
    <w:tmpl w:val="0000000E"/>
    <w:lvl w:ilvl="0" w:tentative="0">
      <w:start w:val="1"/>
      <w:numFmt w:val="taiwaneseCountingThousand"/>
      <w:suff w:val="nothing"/>
      <w:lvlText w:val="%1、"/>
      <w:lvlJc w:val="left"/>
      <w:pPr>
        <w:tabs>
          <w:tab w:val="left" w:pos="0"/>
        </w:tabs>
        <w:ind w:left="0" w:firstLine="561"/>
      </w:pPr>
      <w:rPr>
        <w:rFonts w:hint="eastAsia"/>
      </w:rPr>
    </w:lvl>
    <w:lvl w:ilvl="1" w:tentative="0">
      <w:start w:val="1"/>
      <w:numFmt w:val="taiwaneseCountingThousand"/>
      <w:suff w:val="nothing"/>
      <w:lvlText w:val="（%2）"/>
      <w:lvlJc w:val="left"/>
      <w:pPr>
        <w:tabs>
          <w:tab w:val="left" w:pos="0"/>
        </w:tabs>
        <w:ind w:left="0" w:firstLine="561"/>
      </w:pPr>
      <w:rPr>
        <w:rFonts w:hint="eastAsia"/>
      </w:rPr>
    </w:lvl>
    <w:lvl w:ilvl="2" w:tentative="0">
      <w:start w:val="1"/>
      <w:numFmt w:val="decimal"/>
      <w:pStyle w:val="246"/>
      <w:suff w:val="nothing"/>
      <w:lvlText w:val="%3、"/>
      <w:lvlJc w:val="left"/>
      <w:pPr>
        <w:tabs>
          <w:tab w:val="left" w:pos="0"/>
        </w:tabs>
        <w:ind w:left="-21" w:firstLine="561"/>
      </w:pPr>
      <w:rPr>
        <w:rFonts w:hint="eastAsia"/>
      </w:rPr>
    </w:lvl>
    <w:lvl w:ilvl="3" w:tentative="0">
      <w:start w:val="1"/>
      <w:numFmt w:val="decimal"/>
      <w:suff w:val="nothing"/>
      <w:lvlText w:val="（%4）"/>
      <w:lvlJc w:val="left"/>
      <w:pPr>
        <w:tabs>
          <w:tab w:val="left" w:pos="0"/>
        </w:tabs>
        <w:ind w:left="1599" w:firstLine="561"/>
      </w:pPr>
      <w:rPr>
        <w:rFonts w:hint="eastAsia"/>
      </w:rPr>
    </w:lvl>
    <w:lvl w:ilvl="4" w:tentative="0">
      <w:start w:val="1"/>
      <w:numFmt w:val="decimal"/>
      <w:lvlText w:val="%1.%2.%3.%4.%5"/>
      <w:lvlJc w:val="left"/>
      <w:pPr>
        <w:tabs>
          <w:tab w:val="left" w:pos="608"/>
        </w:tabs>
        <w:ind w:left="608" w:hanging="1008"/>
      </w:pPr>
      <w:rPr>
        <w:rFonts w:hint="eastAsia"/>
      </w:rPr>
    </w:lvl>
    <w:lvl w:ilvl="5" w:tentative="0">
      <w:start w:val="1"/>
      <w:numFmt w:val="decimal"/>
      <w:lvlText w:val="%1.%2.%3.%4.%5.%6"/>
      <w:lvlJc w:val="left"/>
      <w:pPr>
        <w:tabs>
          <w:tab w:val="left" w:pos="752"/>
        </w:tabs>
        <w:ind w:left="752" w:hanging="1152"/>
      </w:pPr>
      <w:rPr>
        <w:rFonts w:hint="eastAsia"/>
      </w:rPr>
    </w:lvl>
    <w:lvl w:ilvl="6" w:tentative="0">
      <w:start w:val="1"/>
      <w:numFmt w:val="decimal"/>
      <w:lvlText w:val="%1.%2.%3.%4.%5.%6.%7"/>
      <w:lvlJc w:val="left"/>
      <w:pPr>
        <w:tabs>
          <w:tab w:val="left" w:pos="896"/>
        </w:tabs>
        <w:ind w:left="896" w:hanging="1296"/>
      </w:pPr>
      <w:rPr>
        <w:rFonts w:hint="eastAsia"/>
      </w:rPr>
    </w:lvl>
    <w:lvl w:ilvl="7" w:tentative="0">
      <w:start w:val="1"/>
      <w:numFmt w:val="decimal"/>
      <w:lvlText w:val="%1.%2.%3.%4.%5.%6.%7.%8"/>
      <w:lvlJc w:val="left"/>
      <w:pPr>
        <w:tabs>
          <w:tab w:val="left" w:pos="1040"/>
        </w:tabs>
        <w:ind w:left="1040" w:hanging="1440"/>
      </w:pPr>
      <w:rPr>
        <w:rFonts w:hint="eastAsia"/>
      </w:rPr>
    </w:lvl>
    <w:lvl w:ilvl="8" w:tentative="0">
      <w:start w:val="1"/>
      <w:numFmt w:val="decimal"/>
      <w:lvlText w:val="%1.%2.%3.%4.%5.%6.%7.%8.%9"/>
      <w:lvlJc w:val="left"/>
      <w:pPr>
        <w:tabs>
          <w:tab w:val="left" w:pos="1184"/>
        </w:tabs>
        <w:ind w:left="1184" w:hanging="1584"/>
      </w:pPr>
      <w:rPr>
        <w:rFonts w:hint="eastAsia"/>
      </w:rPr>
    </w:lvl>
  </w:abstractNum>
  <w:abstractNum w:abstractNumId="9">
    <w:nsid w:val="0000000F"/>
    <w:multiLevelType w:val="singleLevel"/>
    <w:tmpl w:val="0000000F"/>
    <w:lvl w:ilvl="0" w:tentative="0">
      <w:start w:val="1"/>
      <w:numFmt w:val="decimal"/>
      <w:pStyle w:val="267"/>
      <w:lvlText w:val="%1."/>
      <w:lvlJc w:val="left"/>
      <w:pPr>
        <w:tabs>
          <w:tab w:val="left" w:pos="360"/>
        </w:tabs>
        <w:ind w:left="360" w:hanging="360"/>
      </w:pPr>
    </w:lvl>
  </w:abstractNum>
  <w:abstractNum w:abstractNumId="10">
    <w:nsid w:val="00000012"/>
    <w:multiLevelType w:val="singleLevel"/>
    <w:tmpl w:val="00000012"/>
    <w:lvl w:ilvl="0" w:tentative="0">
      <w:start w:val="1"/>
      <w:numFmt w:val="decimal"/>
      <w:pStyle w:val="306"/>
      <w:lvlText w:val="%1."/>
      <w:lvlJc w:val="left"/>
      <w:pPr>
        <w:tabs>
          <w:tab w:val="left" w:pos="1200"/>
        </w:tabs>
        <w:ind w:left="1200" w:hanging="360"/>
      </w:pPr>
    </w:lvl>
  </w:abstractNum>
  <w:abstractNum w:abstractNumId="11">
    <w:nsid w:val="00000013"/>
    <w:multiLevelType w:val="multilevel"/>
    <w:tmpl w:val="00000013"/>
    <w:lvl w:ilvl="0" w:tentative="0">
      <w:start w:val="1"/>
      <w:numFmt w:val="decimal"/>
      <w:pStyle w:val="190"/>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6BC776C"/>
    <w:multiLevelType w:val="multilevel"/>
    <w:tmpl w:val="06BC776C"/>
    <w:lvl w:ilvl="0" w:tentative="0">
      <w:start w:val="1"/>
      <w:numFmt w:val="japaneseCounting"/>
      <w:lvlText w:val="第%1条"/>
      <w:lvlJc w:val="left"/>
      <w:pPr>
        <w:ind w:left="1245" w:hanging="765"/>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6A52558B"/>
    <w:multiLevelType w:val="singleLevel"/>
    <w:tmpl w:val="6A52558B"/>
    <w:lvl w:ilvl="0" w:tentative="0">
      <w:start w:val="1"/>
      <w:numFmt w:val="decimal"/>
      <w:suff w:val="nothing"/>
      <w:lvlText w:val="%1、"/>
      <w:lvlJc w:val="left"/>
    </w:lvl>
  </w:abstractNum>
  <w:abstractNum w:abstractNumId="14">
    <w:nsid w:val="76596000"/>
    <w:multiLevelType w:val="singleLevel"/>
    <w:tmpl w:val="76596000"/>
    <w:lvl w:ilvl="0" w:tentative="0">
      <w:start w:val="1"/>
      <w:numFmt w:val="decimal"/>
      <w:suff w:val="nothing"/>
      <w:lvlText w:val="%1、"/>
      <w:lvlJc w:val="left"/>
    </w:lvl>
  </w:abstractNum>
  <w:num w:numId="1">
    <w:abstractNumId w:val="5"/>
  </w:num>
  <w:num w:numId="2">
    <w:abstractNumId w:val="11"/>
  </w:num>
  <w:num w:numId="3">
    <w:abstractNumId w:val="3"/>
  </w:num>
  <w:num w:numId="4">
    <w:abstractNumId w:val="4"/>
  </w:num>
  <w:num w:numId="5">
    <w:abstractNumId w:val="8"/>
  </w:num>
  <w:num w:numId="6">
    <w:abstractNumId w:val="6"/>
  </w:num>
  <w:num w:numId="7">
    <w:abstractNumId w:val="9"/>
  </w:num>
  <w:num w:numId="8">
    <w:abstractNumId w:val="7"/>
  </w:num>
  <w:num w:numId="9">
    <w:abstractNumId w:val="10"/>
  </w:num>
  <w:num w:numId="10">
    <w:abstractNumId w:val="14"/>
  </w:num>
  <w:num w:numId="11">
    <w:abstractNumId w:val="13"/>
  </w:num>
  <w:num w:numId="12">
    <w:abstractNumId w:val="1"/>
  </w:num>
  <w:num w:numId="13">
    <w:abstractNumId w:val="2"/>
  </w:num>
  <w:num w:numId="14">
    <w:abstractNumId w:val="1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bordersDoNotSurroundHeader w:val="0"/>
  <w:bordersDoNotSurroundFooter w:val="0"/>
  <w:documentProtection w:enforcement="0"/>
  <w:defaultTabStop w:val="420"/>
  <w:drawingGridHorizontalSpacing w:val="92"/>
  <w:drawingGridVerticalSpacing w:val="233"/>
  <w:displayHorizontalDrawingGridEvery w:val="1"/>
  <w:displayVerticalDrawingGridEvery w:val="1"/>
  <w:noPunctuationKerning w:val="1"/>
  <w:characterSpacingControl w:val="compressPunctuation"/>
  <w:doNotValidateAgainstSchema/>
  <w:doNotDemarcateInvalidXml/>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AzMmEwMGJmNjNjMDlhNDkyZWNjN2Y2ZTdlMmFiZGEifQ=="/>
    <w:docVar w:name="KSO_WPS_MARK_KEY" w:val="45f670b3-a130-4f21-baf6-3188fc5d7a0b"/>
  </w:docVars>
  <w:rsids>
    <w:rsidRoot w:val="00172A27"/>
    <w:rsid w:val="00000AF0"/>
    <w:rsid w:val="00002902"/>
    <w:rsid w:val="00003892"/>
    <w:rsid w:val="00004203"/>
    <w:rsid w:val="00006F9D"/>
    <w:rsid w:val="00007F5D"/>
    <w:rsid w:val="00010135"/>
    <w:rsid w:val="00011931"/>
    <w:rsid w:val="00011BBE"/>
    <w:rsid w:val="00011C46"/>
    <w:rsid w:val="00015D60"/>
    <w:rsid w:val="00015F53"/>
    <w:rsid w:val="00017BC7"/>
    <w:rsid w:val="0002117A"/>
    <w:rsid w:val="00021AE3"/>
    <w:rsid w:val="00022219"/>
    <w:rsid w:val="0002234C"/>
    <w:rsid w:val="000226ED"/>
    <w:rsid w:val="00022714"/>
    <w:rsid w:val="000239AB"/>
    <w:rsid w:val="00023CC7"/>
    <w:rsid w:val="00024AC8"/>
    <w:rsid w:val="00024C48"/>
    <w:rsid w:val="00024D17"/>
    <w:rsid w:val="0002502D"/>
    <w:rsid w:val="00026011"/>
    <w:rsid w:val="00030CEA"/>
    <w:rsid w:val="00034AF3"/>
    <w:rsid w:val="00034D30"/>
    <w:rsid w:val="0003740F"/>
    <w:rsid w:val="00037597"/>
    <w:rsid w:val="00041281"/>
    <w:rsid w:val="00041829"/>
    <w:rsid w:val="00041A42"/>
    <w:rsid w:val="000445CD"/>
    <w:rsid w:val="000455B7"/>
    <w:rsid w:val="0004610A"/>
    <w:rsid w:val="00046123"/>
    <w:rsid w:val="00050739"/>
    <w:rsid w:val="000529F9"/>
    <w:rsid w:val="000538B9"/>
    <w:rsid w:val="000544FE"/>
    <w:rsid w:val="000628B4"/>
    <w:rsid w:val="000643E6"/>
    <w:rsid w:val="000645D0"/>
    <w:rsid w:val="00066337"/>
    <w:rsid w:val="00067057"/>
    <w:rsid w:val="00070464"/>
    <w:rsid w:val="00070B5C"/>
    <w:rsid w:val="00072309"/>
    <w:rsid w:val="00073672"/>
    <w:rsid w:val="00073C99"/>
    <w:rsid w:val="000758E1"/>
    <w:rsid w:val="00076DC6"/>
    <w:rsid w:val="00077173"/>
    <w:rsid w:val="00077949"/>
    <w:rsid w:val="00080742"/>
    <w:rsid w:val="00080B87"/>
    <w:rsid w:val="0008116C"/>
    <w:rsid w:val="0008170C"/>
    <w:rsid w:val="00081CFE"/>
    <w:rsid w:val="000826BA"/>
    <w:rsid w:val="00082BDE"/>
    <w:rsid w:val="00084B31"/>
    <w:rsid w:val="00087658"/>
    <w:rsid w:val="000901C9"/>
    <w:rsid w:val="000902F3"/>
    <w:rsid w:val="00090B85"/>
    <w:rsid w:val="00091145"/>
    <w:rsid w:val="00091680"/>
    <w:rsid w:val="0009169C"/>
    <w:rsid w:val="000924B3"/>
    <w:rsid w:val="000927B5"/>
    <w:rsid w:val="0009397D"/>
    <w:rsid w:val="00093C28"/>
    <w:rsid w:val="00095243"/>
    <w:rsid w:val="000957F5"/>
    <w:rsid w:val="000A1A1D"/>
    <w:rsid w:val="000A1BD5"/>
    <w:rsid w:val="000A29C0"/>
    <w:rsid w:val="000A47AD"/>
    <w:rsid w:val="000A4E0D"/>
    <w:rsid w:val="000A60CF"/>
    <w:rsid w:val="000A7109"/>
    <w:rsid w:val="000B0E6A"/>
    <w:rsid w:val="000B2B61"/>
    <w:rsid w:val="000B329C"/>
    <w:rsid w:val="000B3354"/>
    <w:rsid w:val="000B4B01"/>
    <w:rsid w:val="000B6D8E"/>
    <w:rsid w:val="000B6E41"/>
    <w:rsid w:val="000C0EF0"/>
    <w:rsid w:val="000C1B15"/>
    <w:rsid w:val="000C2D9D"/>
    <w:rsid w:val="000C316F"/>
    <w:rsid w:val="000C3221"/>
    <w:rsid w:val="000C362A"/>
    <w:rsid w:val="000C7733"/>
    <w:rsid w:val="000D2CFF"/>
    <w:rsid w:val="000D7481"/>
    <w:rsid w:val="000D7A53"/>
    <w:rsid w:val="000D7F5F"/>
    <w:rsid w:val="000E159E"/>
    <w:rsid w:val="000E36FC"/>
    <w:rsid w:val="000E41DD"/>
    <w:rsid w:val="000E43AB"/>
    <w:rsid w:val="000E5431"/>
    <w:rsid w:val="000E57FB"/>
    <w:rsid w:val="000E5EDC"/>
    <w:rsid w:val="000F014F"/>
    <w:rsid w:val="000F075F"/>
    <w:rsid w:val="000F1B9B"/>
    <w:rsid w:val="000F4080"/>
    <w:rsid w:val="000F5089"/>
    <w:rsid w:val="000F5272"/>
    <w:rsid w:val="000F5645"/>
    <w:rsid w:val="000F6423"/>
    <w:rsid w:val="000F65F0"/>
    <w:rsid w:val="000F7C79"/>
    <w:rsid w:val="001000CE"/>
    <w:rsid w:val="00100FE3"/>
    <w:rsid w:val="001044D1"/>
    <w:rsid w:val="00105192"/>
    <w:rsid w:val="001052C9"/>
    <w:rsid w:val="001075FB"/>
    <w:rsid w:val="0010797B"/>
    <w:rsid w:val="00107F7B"/>
    <w:rsid w:val="001101E9"/>
    <w:rsid w:val="00111B00"/>
    <w:rsid w:val="0011291B"/>
    <w:rsid w:val="00112D07"/>
    <w:rsid w:val="001132ED"/>
    <w:rsid w:val="00113D12"/>
    <w:rsid w:val="001143CE"/>
    <w:rsid w:val="001164EA"/>
    <w:rsid w:val="00122EC3"/>
    <w:rsid w:val="00122FCD"/>
    <w:rsid w:val="001238CC"/>
    <w:rsid w:val="00123965"/>
    <w:rsid w:val="00123C99"/>
    <w:rsid w:val="0012455F"/>
    <w:rsid w:val="00125861"/>
    <w:rsid w:val="001276AF"/>
    <w:rsid w:val="00127C72"/>
    <w:rsid w:val="00131A2A"/>
    <w:rsid w:val="00132F98"/>
    <w:rsid w:val="0013340D"/>
    <w:rsid w:val="00133A3E"/>
    <w:rsid w:val="0013414D"/>
    <w:rsid w:val="00135EDD"/>
    <w:rsid w:val="0013631F"/>
    <w:rsid w:val="001372ED"/>
    <w:rsid w:val="00137ADE"/>
    <w:rsid w:val="00137BA3"/>
    <w:rsid w:val="00140204"/>
    <w:rsid w:val="001411CE"/>
    <w:rsid w:val="001419DC"/>
    <w:rsid w:val="0014274D"/>
    <w:rsid w:val="00144609"/>
    <w:rsid w:val="001446A7"/>
    <w:rsid w:val="00144BB3"/>
    <w:rsid w:val="00145A59"/>
    <w:rsid w:val="0014654E"/>
    <w:rsid w:val="00146F28"/>
    <w:rsid w:val="00150043"/>
    <w:rsid w:val="00150571"/>
    <w:rsid w:val="0015090B"/>
    <w:rsid w:val="00151472"/>
    <w:rsid w:val="00154BBD"/>
    <w:rsid w:val="00154FE8"/>
    <w:rsid w:val="001559F9"/>
    <w:rsid w:val="00156B84"/>
    <w:rsid w:val="00156D79"/>
    <w:rsid w:val="0015733E"/>
    <w:rsid w:val="001575E8"/>
    <w:rsid w:val="00157D64"/>
    <w:rsid w:val="00162C19"/>
    <w:rsid w:val="0016790F"/>
    <w:rsid w:val="001713F5"/>
    <w:rsid w:val="0017276B"/>
    <w:rsid w:val="00172A27"/>
    <w:rsid w:val="00172CD1"/>
    <w:rsid w:val="00172EBB"/>
    <w:rsid w:val="00173A6D"/>
    <w:rsid w:val="00174C54"/>
    <w:rsid w:val="00176575"/>
    <w:rsid w:val="001775DA"/>
    <w:rsid w:val="00177709"/>
    <w:rsid w:val="001777B1"/>
    <w:rsid w:val="00177D57"/>
    <w:rsid w:val="0018099E"/>
    <w:rsid w:val="00180E05"/>
    <w:rsid w:val="00181433"/>
    <w:rsid w:val="00183007"/>
    <w:rsid w:val="00183CF0"/>
    <w:rsid w:val="00183DFE"/>
    <w:rsid w:val="00184666"/>
    <w:rsid w:val="00186E0C"/>
    <w:rsid w:val="001916D1"/>
    <w:rsid w:val="00191B3A"/>
    <w:rsid w:val="00193053"/>
    <w:rsid w:val="001936DD"/>
    <w:rsid w:val="00193DB0"/>
    <w:rsid w:val="00193DFF"/>
    <w:rsid w:val="001955C4"/>
    <w:rsid w:val="00195F3F"/>
    <w:rsid w:val="001961DC"/>
    <w:rsid w:val="00196D26"/>
    <w:rsid w:val="00197A8D"/>
    <w:rsid w:val="001A249B"/>
    <w:rsid w:val="001A2D7B"/>
    <w:rsid w:val="001A38F3"/>
    <w:rsid w:val="001A56D3"/>
    <w:rsid w:val="001A7225"/>
    <w:rsid w:val="001B0369"/>
    <w:rsid w:val="001B277C"/>
    <w:rsid w:val="001B2D37"/>
    <w:rsid w:val="001B4AD1"/>
    <w:rsid w:val="001B54FE"/>
    <w:rsid w:val="001B69AF"/>
    <w:rsid w:val="001B6BED"/>
    <w:rsid w:val="001B7CF2"/>
    <w:rsid w:val="001C001A"/>
    <w:rsid w:val="001C1221"/>
    <w:rsid w:val="001C2322"/>
    <w:rsid w:val="001C250C"/>
    <w:rsid w:val="001C36F1"/>
    <w:rsid w:val="001C53C9"/>
    <w:rsid w:val="001C5E8C"/>
    <w:rsid w:val="001C67D6"/>
    <w:rsid w:val="001C6DBD"/>
    <w:rsid w:val="001C7681"/>
    <w:rsid w:val="001C7719"/>
    <w:rsid w:val="001C7B3D"/>
    <w:rsid w:val="001D05ED"/>
    <w:rsid w:val="001D1D15"/>
    <w:rsid w:val="001D2EEB"/>
    <w:rsid w:val="001D535D"/>
    <w:rsid w:val="001D57C4"/>
    <w:rsid w:val="001D6943"/>
    <w:rsid w:val="001E05EB"/>
    <w:rsid w:val="001E080B"/>
    <w:rsid w:val="001E1081"/>
    <w:rsid w:val="001E2890"/>
    <w:rsid w:val="001E29E9"/>
    <w:rsid w:val="001E3010"/>
    <w:rsid w:val="001E3252"/>
    <w:rsid w:val="001E395C"/>
    <w:rsid w:val="001E4632"/>
    <w:rsid w:val="001E48D1"/>
    <w:rsid w:val="001E4ED1"/>
    <w:rsid w:val="001E6564"/>
    <w:rsid w:val="001E662A"/>
    <w:rsid w:val="001E6FFD"/>
    <w:rsid w:val="001E77DB"/>
    <w:rsid w:val="001F0E6D"/>
    <w:rsid w:val="001F1537"/>
    <w:rsid w:val="001F29F7"/>
    <w:rsid w:val="001F4EA1"/>
    <w:rsid w:val="001F55CC"/>
    <w:rsid w:val="001F5BB0"/>
    <w:rsid w:val="001F76C7"/>
    <w:rsid w:val="002005C4"/>
    <w:rsid w:val="0020158B"/>
    <w:rsid w:val="00202CE7"/>
    <w:rsid w:val="00202F16"/>
    <w:rsid w:val="00203599"/>
    <w:rsid w:val="0020440B"/>
    <w:rsid w:val="00204E2A"/>
    <w:rsid w:val="00205078"/>
    <w:rsid w:val="0020569C"/>
    <w:rsid w:val="002062C0"/>
    <w:rsid w:val="00206D01"/>
    <w:rsid w:val="00207852"/>
    <w:rsid w:val="00207873"/>
    <w:rsid w:val="00207D59"/>
    <w:rsid w:val="0021006D"/>
    <w:rsid w:val="0021088D"/>
    <w:rsid w:val="00210D03"/>
    <w:rsid w:val="00212C8A"/>
    <w:rsid w:val="0021312E"/>
    <w:rsid w:val="002138B6"/>
    <w:rsid w:val="00213917"/>
    <w:rsid w:val="00216D24"/>
    <w:rsid w:val="0022078C"/>
    <w:rsid w:val="0022109A"/>
    <w:rsid w:val="002210F6"/>
    <w:rsid w:val="00222390"/>
    <w:rsid w:val="00223675"/>
    <w:rsid w:val="00225D5D"/>
    <w:rsid w:val="0022795A"/>
    <w:rsid w:val="00227AEF"/>
    <w:rsid w:val="00232B84"/>
    <w:rsid w:val="0023499B"/>
    <w:rsid w:val="00234FC7"/>
    <w:rsid w:val="002351D5"/>
    <w:rsid w:val="00236532"/>
    <w:rsid w:val="002402AE"/>
    <w:rsid w:val="00240C4C"/>
    <w:rsid w:val="00240F85"/>
    <w:rsid w:val="002437FB"/>
    <w:rsid w:val="00252994"/>
    <w:rsid w:val="00254C39"/>
    <w:rsid w:val="002560BA"/>
    <w:rsid w:val="00256318"/>
    <w:rsid w:val="002568CB"/>
    <w:rsid w:val="00256AE8"/>
    <w:rsid w:val="00257ED4"/>
    <w:rsid w:val="002603CA"/>
    <w:rsid w:val="00261AA7"/>
    <w:rsid w:val="0026263C"/>
    <w:rsid w:val="002629B7"/>
    <w:rsid w:val="00264944"/>
    <w:rsid w:val="00267814"/>
    <w:rsid w:val="00270A5D"/>
    <w:rsid w:val="00270D0C"/>
    <w:rsid w:val="00271DC7"/>
    <w:rsid w:val="00272A31"/>
    <w:rsid w:val="00272E40"/>
    <w:rsid w:val="0027314F"/>
    <w:rsid w:val="002734C5"/>
    <w:rsid w:val="002774E1"/>
    <w:rsid w:val="00277D8F"/>
    <w:rsid w:val="002803EC"/>
    <w:rsid w:val="00281DDA"/>
    <w:rsid w:val="00282105"/>
    <w:rsid w:val="00282A28"/>
    <w:rsid w:val="00284400"/>
    <w:rsid w:val="002869F3"/>
    <w:rsid w:val="002875F2"/>
    <w:rsid w:val="00290BF3"/>
    <w:rsid w:val="00291409"/>
    <w:rsid w:val="00291781"/>
    <w:rsid w:val="00292CB3"/>
    <w:rsid w:val="002933A0"/>
    <w:rsid w:val="0029390D"/>
    <w:rsid w:val="00294263"/>
    <w:rsid w:val="00294F0C"/>
    <w:rsid w:val="002965F9"/>
    <w:rsid w:val="00297538"/>
    <w:rsid w:val="002977EB"/>
    <w:rsid w:val="002A01F0"/>
    <w:rsid w:val="002A03D6"/>
    <w:rsid w:val="002A4C55"/>
    <w:rsid w:val="002A4C8A"/>
    <w:rsid w:val="002A4F43"/>
    <w:rsid w:val="002A5318"/>
    <w:rsid w:val="002A6537"/>
    <w:rsid w:val="002B0A78"/>
    <w:rsid w:val="002B0B38"/>
    <w:rsid w:val="002B0E66"/>
    <w:rsid w:val="002B1468"/>
    <w:rsid w:val="002B1F1E"/>
    <w:rsid w:val="002B2166"/>
    <w:rsid w:val="002B394E"/>
    <w:rsid w:val="002B4006"/>
    <w:rsid w:val="002B4481"/>
    <w:rsid w:val="002B57A6"/>
    <w:rsid w:val="002B6F9A"/>
    <w:rsid w:val="002C0B97"/>
    <w:rsid w:val="002C1014"/>
    <w:rsid w:val="002C10E7"/>
    <w:rsid w:val="002C1961"/>
    <w:rsid w:val="002C1E8B"/>
    <w:rsid w:val="002C1FA1"/>
    <w:rsid w:val="002C48CC"/>
    <w:rsid w:val="002C65F4"/>
    <w:rsid w:val="002D0054"/>
    <w:rsid w:val="002D03AD"/>
    <w:rsid w:val="002D1FCA"/>
    <w:rsid w:val="002D255F"/>
    <w:rsid w:val="002D2DCF"/>
    <w:rsid w:val="002D64C0"/>
    <w:rsid w:val="002D6662"/>
    <w:rsid w:val="002D7ABE"/>
    <w:rsid w:val="002E060A"/>
    <w:rsid w:val="002E0C9D"/>
    <w:rsid w:val="002E1117"/>
    <w:rsid w:val="002E1C4C"/>
    <w:rsid w:val="002E1F98"/>
    <w:rsid w:val="002E4C37"/>
    <w:rsid w:val="002E5383"/>
    <w:rsid w:val="002E5E80"/>
    <w:rsid w:val="002E6413"/>
    <w:rsid w:val="002E7CC4"/>
    <w:rsid w:val="002F06CC"/>
    <w:rsid w:val="002F1270"/>
    <w:rsid w:val="002F2966"/>
    <w:rsid w:val="002F3DB6"/>
    <w:rsid w:val="002F54D2"/>
    <w:rsid w:val="002F55D6"/>
    <w:rsid w:val="002F66D3"/>
    <w:rsid w:val="002F72F2"/>
    <w:rsid w:val="0030296C"/>
    <w:rsid w:val="00303040"/>
    <w:rsid w:val="003033BC"/>
    <w:rsid w:val="00303A51"/>
    <w:rsid w:val="00303CA1"/>
    <w:rsid w:val="00304E57"/>
    <w:rsid w:val="00305522"/>
    <w:rsid w:val="0031113A"/>
    <w:rsid w:val="00312068"/>
    <w:rsid w:val="003121B3"/>
    <w:rsid w:val="003154BA"/>
    <w:rsid w:val="00316743"/>
    <w:rsid w:val="00316877"/>
    <w:rsid w:val="003203FD"/>
    <w:rsid w:val="003223C6"/>
    <w:rsid w:val="00322757"/>
    <w:rsid w:val="003236A2"/>
    <w:rsid w:val="00323833"/>
    <w:rsid w:val="003240B2"/>
    <w:rsid w:val="00326DD6"/>
    <w:rsid w:val="00327D46"/>
    <w:rsid w:val="003300FB"/>
    <w:rsid w:val="003301EE"/>
    <w:rsid w:val="00330B15"/>
    <w:rsid w:val="00330CD9"/>
    <w:rsid w:val="00334BD9"/>
    <w:rsid w:val="003354A8"/>
    <w:rsid w:val="00336C1B"/>
    <w:rsid w:val="00337E53"/>
    <w:rsid w:val="00340002"/>
    <w:rsid w:val="00340569"/>
    <w:rsid w:val="003411E8"/>
    <w:rsid w:val="00341EF2"/>
    <w:rsid w:val="0034204F"/>
    <w:rsid w:val="00343A0F"/>
    <w:rsid w:val="00343F86"/>
    <w:rsid w:val="00346EE3"/>
    <w:rsid w:val="003477ED"/>
    <w:rsid w:val="0034798F"/>
    <w:rsid w:val="00350BA4"/>
    <w:rsid w:val="00350C78"/>
    <w:rsid w:val="003524FC"/>
    <w:rsid w:val="003530CC"/>
    <w:rsid w:val="00353B3F"/>
    <w:rsid w:val="00354C4F"/>
    <w:rsid w:val="00356087"/>
    <w:rsid w:val="00356AC0"/>
    <w:rsid w:val="00356BB6"/>
    <w:rsid w:val="003570C3"/>
    <w:rsid w:val="0036005B"/>
    <w:rsid w:val="00363B83"/>
    <w:rsid w:val="00364CB0"/>
    <w:rsid w:val="00366040"/>
    <w:rsid w:val="003717EB"/>
    <w:rsid w:val="00373E11"/>
    <w:rsid w:val="00373E16"/>
    <w:rsid w:val="00374BC5"/>
    <w:rsid w:val="00375D27"/>
    <w:rsid w:val="00376B90"/>
    <w:rsid w:val="00377193"/>
    <w:rsid w:val="003777C3"/>
    <w:rsid w:val="00377E4F"/>
    <w:rsid w:val="0038006F"/>
    <w:rsid w:val="003801C7"/>
    <w:rsid w:val="0038061A"/>
    <w:rsid w:val="0038073F"/>
    <w:rsid w:val="00381407"/>
    <w:rsid w:val="003820BF"/>
    <w:rsid w:val="00382D11"/>
    <w:rsid w:val="003839F2"/>
    <w:rsid w:val="003844D1"/>
    <w:rsid w:val="00385F9B"/>
    <w:rsid w:val="00387B08"/>
    <w:rsid w:val="003924C6"/>
    <w:rsid w:val="003926EA"/>
    <w:rsid w:val="00393863"/>
    <w:rsid w:val="0039398B"/>
    <w:rsid w:val="003942EC"/>
    <w:rsid w:val="0039653A"/>
    <w:rsid w:val="003A046D"/>
    <w:rsid w:val="003A048A"/>
    <w:rsid w:val="003A0777"/>
    <w:rsid w:val="003A1E4A"/>
    <w:rsid w:val="003A2667"/>
    <w:rsid w:val="003A2E05"/>
    <w:rsid w:val="003A2F78"/>
    <w:rsid w:val="003A3E21"/>
    <w:rsid w:val="003A528D"/>
    <w:rsid w:val="003A64E9"/>
    <w:rsid w:val="003A6836"/>
    <w:rsid w:val="003B1C7C"/>
    <w:rsid w:val="003B1CD8"/>
    <w:rsid w:val="003B48D1"/>
    <w:rsid w:val="003B6DCE"/>
    <w:rsid w:val="003C0015"/>
    <w:rsid w:val="003C18B5"/>
    <w:rsid w:val="003C2309"/>
    <w:rsid w:val="003C2CEA"/>
    <w:rsid w:val="003C68A6"/>
    <w:rsid w:val="003D185A"/>
    <w:rsid w:val="003D1E3A"/>
    <w:rsid w:val="003D2B81"/>
    <w:rsid w:val="003D2D14"/>
    <w:rsid w:val="003D2FA3"/>
    <w:rsid w:val="003D47BB"/>
    <w:rsid w:val="003D6B3C"/>
    <w:rsid w:val="003D7081"/>
    <w:rsid w:val="003D7613"/>
    <w:rsid w:val="003D7C43"/>
    <w:rsid w:val="003D7C50"/>
    <w:rsid w:val="003D7D36"/>
    <w:rsid w:val="003E0B7A"/>
    <w:rsid w:val="003E1B0C"/>
    <w:rsid w:val="003E24CB"/>
    <w:rsid w:val="003E37C9"/>
    <w:rsid w:val="003E5659"/>
    <w:rsid w:val="003E6E2E"/>
    <w:rsid w:val="003E7C7B"/>
    <w:rsid w:val="003F0E68"/>
    <w:rsid w:val="003F3666"/>
    <w:rsid w:val="003F456F"/>
    <w:rsid w:val="003F53A3"/>
    <w:rsid w:val="003F5C1B"/>
    <w:rsid w:val="003F5C58"/>
    <w:rsid w:val="003F74C8"/>
    <w:rsid w:val="003F7C49"/>
    <w:rsid w:val="004024E8"/>
    <w:rsid w:val="00403B63"/>
    <w:rsid w:val="00404F88"/>
    <w:rsid w:val="00405ABD"/>
    <w:rsid w:val="00405CE3"/>
    <w:rsid w:val="00410A8D"/>
    <w:rsid w:val="00413B0E"/>
    <w:rsid w:val="0041499A"/>
    <w:rsid w:val="0041540E"/>
    <w:rsid w:val="00415D80"/>
    <w:rsid w:val="00415F8C"/>
    <w:rsid w:val="00417528"/>
    <w:rsid w:val="0042014F"/>
    <w:rsid w:val="0042048F"/>
    <w:rsid w:val="00420CB3"/>
    <w:rsid w:val="00420F5B"/>
    <w:rsid w:val="00421A9D"/>
    <w:rsid w:val="00423C87"/>
    <w:rsid w:val="0042465B"/>
    <w:rsid w:val="00426734"/>
    <w:rsid w:val="00434CB1"/>
    <w:rsid w:val="0043549A"/>
    <w:rsid w:val="00435FBD"/>
    <w:rsid w:val="004365C0"/>
    <w:rsid w:val="004375E4"/>
    <w:rsid w:val="0043797C"/>
    <w:rsid w:val="00441C7B"/>
    <w:rsid w:val="00442722"/>
    <w:rsid w:val="00443061"/>
    <w:rsid w:val="0044327A"/>
    <w:rsid w:val="00443A04"/>
    <w:rsid w:val="00443CA4"/>
    <w:rsid w:val="0044466D"/>
    <w:rsid w:val="00446420"/>
    <w:rsid w:val="00446977"/>
    <w:rsid w:val="0044763D"/>
    <w:rsid w:val="004478C8"/>
    <w:rsid w:val="00450C3A"/>
    <w:rsid w:val="00450F0A"/>
    <w:rsid w:val="004528FD"/>
    <w:rsid w:val="00453637"/>
    <w:rsid w:val="0045693D"/>
    <w:rsid w:val="00457FF8"/>
    <w:rsid w:val="004613BF"/>
    <w:rsid w:val="00462754"/>
    <w:rsid w:val="00462BD7"/>
    <w:rsid w:val="00464776"/>
    <w:rsid w:val="00465404"/>
    <w:rsid w:val="0046551B"/>
    <w:rsid w:val="004679A4"/>
    <w:rsid w:val="00470D15"/>
    <w:rsid w:val="0047334A"/>
    <w:rsid w:val="004735F2"/>
    <w:rsid w:val="00474FAA"/>
    <w:rsid w:val="004755E4"/>
    <w:rsid w:val="004772B2"/>
    <w:rsid w:val="004809E2"/>
    <w:rsid w:val="00481575"/>
    <w:rsid w:val="0048181E"/>
    <w:rsid w:val="00481FEC"/>
    <w:rsid w:val="0048283C"/>
    <w:rsid w:val="004835E2"/>
    <w:rsid w:val="00484D57"/>
    <w:rsid w:val="0048515B"/>
    <w:rsid w:val="00485372"/>
    <w:rsid w:val="00485EF1"/>
    <w:rsid w:val="004861E9"/>
    <w:rsid w:val="00486B1C"/>
    <w:rsid w:val="00487A8A"/>
    <w:rsid w:val="00487AFA"/>
    <w:rsid w:val="004911F7"/>
    <w:rsid w:val="004918C0"/>
    <w:rsid w:val="00495011"/>
    <w:rsid w:val="004956E7"/>
    <w:rsid w:val="00496EA0"/>
    <w:rsid w:val="004A1C12"/>
    <w:rsid w:val="004A21B4"/>
    <w:rsid w:val="004A225F"/>
    <w:rsid w:val="004A383E"/>
    <w:rsid w:val="004A3F9D"/>
    <w:rsid w:val="004A6D57"/>
    <w:rsid w:val="004A72D9"/>
    <w:rsid w:val="004A7E62"/>
    <w:rsid w:val="004B05DE"/>
    <w:rsid w:val="004B107E"/>
    <w:rsid w:val="004B3454"/>
    <w:rsid w:val="004B385A"/>
    <w:rsid w:val="004B470E"/>
    <w:rsid w:val="004B5247"/>
    <w:rsid w:val="004B52BE"/>
    <w:rsid w:val="004B5790"/>
    <w:rsid w:val="004B5A2A"/>
    <w:rsid w:val="004B6F8D"/>
    <w:rsid w:val="004B7E3C"/>
    <w:rsid w:val="004C0E44"/>
    <w:rsid w:val="004C0E8D"/>
    <w:rsid w:val="004C1CF4"/>
    <w:rsid w:val="004C29BF"/>
    <w:rsid w:val="004C5D4B"/>
    <w:rsid w:val="004C5FDB"/>
    <w:rsid w:val="004C6708"/>
    <w:rsid w:val="004D0177"/>
    <w:rsid w:val="004D03AD"/>
    <w:rsid w:val="004D0EA2"/>
    <w:rsid w:val="004D25FB"/>
    <w:rsid w:val="004D31A7"/>
    <w:rsid w:val="004D50AC"/>
    <w:rsid w:val="004D58B6"/>
    <w:rsid w:val="004D67CA"/>
    <w:rsid w:val="004D6F33"/>
    <w:rsid w:val="004D75E8"/>
    <w:rsid w:val="004D7D9F"/>
    <w:rsid w:val="004E0284"/>
    <w:rsid w:val="004E029A"/>
    <w:rsid w:val="004E05D8"/>
    <w:rsid w:val="004E0ADD"/>
    <w:rsid w:val="004E1D4F"/>
    <w:rsid w:val="004E444A"/>
    <w:rsid w:val="004E4634"/>
    <w:rsid w:val="004E4B73"/>
    <w:rsid w:val="004E4D9F"/>
    <w:rsid w:val="004E5101"/>
    <w:rsid w:val="004E58B1"/>
    <w:rsid w:val="004E5BA9"/>
    <w:rsid w:val="004F05FB"/>
    <w:rsid w:val="004F11B5"/>
    <w:rsid w:val="004F2020"/>
    <w:rsid w:val="004F2481"/>
    <w:rsid w:val="004F2C56"/>
    <w:rsid w:val="004F4189"/>
    <w:rsid w:val="004F5B21"/>
    <w:rsid w:val="004F6D20"/>
    <w:rsid w:val="004F6E56"/>
    <w:rsid w:val="00500052"/>
    <w:rsid w:val="00500685"/>
    <w:rsid w:val="0050181B"/>
    <w:rsid w:val="00501AD5"/>
    <w:rsid w:val="005030BD"/>
    <w:rsid w:val="005033C6"/>
    <w:rsid w:val="00503605"/>
    <w:rsid w:val="0050457F"/>
    <w:rsid w:val="00504A20"/>
    <w:rsid w:val="00506EDC"/>
    <w:rsid w:val="00507C6A"/>
    <w:rsid w:val="00510A88"/>
    <w:rsid w:val="00510F1E"/>
    <w:rsid w:val="0051134E"/>
    <w:rsid w:val="0051259D"/>
    <w:rsid w:val="00512B58"/>
    <w:rsid w:val="00512E20"/>
    <w:rsid w:val="005134B9"/>
    <w:rsid w:val="00514DE2"/>
    <w:rsid w:val="005157D4"/>
    <w:rsid w:val="0051764A"/>
    <w:rsid w:val="00521369"/>
    <w:rsid w:val="00521565"/>
    <w:rsid w:val="00521F56"/>
    <w:rsid w:val="005236D1"/>
    <w:rsid w:val="00523C61"/>
    <w:rsid w:val="00523F90"/>
    <w:rsid w:val="00524DBC"/>
    <w:rsid w:val="00524F88"/>
    <w:rsid w:val="00525328"/>
    <w:rsid w:val="00525336"/>
    <w:rsid w:val="00525E3D"/>
    <w:rsid w:val="00526255"/>
    <w:rsid w:val="0053018E"/>
    <w:rsid w:val="00530346"/>
    <w:rsid w:val="00530F93"/>
    <w:rsid w:val="00533CCE"/>
    <w:rsid w:val="0053418F"/>
    <w:rsid w:val="005358B3"/>
    <w:rsid w:val="00535D90"/>
    <w:rsid w:val="005402F2"/>
    <w:rsid w:val="00541DC5"/>
    <w:rsid w:val="00542392"/>
    <w:rsid w:val="00542CA5"/>
    <w:rsid w:val="0054481E"/>
    <w:rsid w:val="00547613"/>
    <w:rsid w:val="00547B77"/>
    <w:rsid w:val="00550E03"/>
    <w:rsid w:val="00551CA0"/>
    <w:rsid w:val="005526BD"/>
    <w:rsid w:val="00552AF1"/>
    <w:rsid w:val="00552C77"/>
    <w:rsid w:val="005538E7"/>
    <w:rsid w:val="00555FBF"/>
    <w:rsid w:val="005563B9"/>
    <w:rsid w:val="00556472"/>
    <w:rsid w:val="00556EF8"/>
    <w:rsid w:val="00557F65"/>
    <w:rsid w:val="005606BA"/>
    <w:rsid w:val="0056095B"/>
    <w:rsid w:val="005623DB"/>
    <w:rsid w:val="0056275F"/>
    <w:rsid w:val="00563A1F"/>
    <w:rsid w:val="00564E7E"/>
    <w:rsid w:val="005651F3"/>
    <w:rsid w:val="00566B48"/>
    <w:rsid w:val="00566E3D"/>
    <w:rsid w:val="00570A56"/>
    <w:rsid w:val="00571FE6"/>
    <w:rsid w:val="00573D7D"/>
    <w:rsid w:val="0057419D"/>
    <w:rsid w:val="005746CD"/>
    <w:rsid w:val="00574D42"/>
    <w:rsid w:val="00574D92"/>
    <w:rsid w:val="00575BEC"/>
    <w:rsid w:val="00575BFE"/>
    <w:rsid w:val="00576EBD"/>
    <w:rsid w:val="00580AB6"/>
    <w:rsid w:val="0058163B"/>
    <w:rsid w:val="00581817"/>
    <w:rsid w:val="005826BA"/>
    <w:rsid w:val="005827AD"/>
    <w:rsid w:val="00582A30"/>
    <w:rsid w:val="00582D65"/>
    <w:rsid w:val="00583100"/>
    <w:rsid w:val="0058348F"/>
    <w:rsid w:val="005848C5"/>
    <w:rsid w:val="00584F69"/>
    <w:rsid w:val="005874DD"/>
    <w:rsid w:val="0059130E"/>
    <w:rsid w:val="00591407"/>
    <w:rsid w:val="0059150D"/>
    <w:rsid w:val="00592A6C"/>
    <w:rsid w:val="00595656"/>
    <w:rsid w:val="00595B85"/>
    <w:rsid w:val="00596760"/>
    <w:rsid w:val="005969B4"/>
    <w:rsid w:val="00596C65"/>
    <w:rsid w:val="00597DB3"/>
    <w:rsid w:val="005A1630"/>
    <w:rsid w:val="005A1830"/>
    <w:rsid w:val="005A20EC"/>
    <w:rsid w:val="005A25FA"/>
    <w:rsid w:val="005A27D1"/>
    <w:rsid w:val="005A2CD5"/>
    <w:rsid w:val="005A30E9"/>
    <w:rsid w:val="005A3FBF"/>
    <w:rsid w:val="005A45A5"/>
    <w:rsid w:val="005A49CA"/>
    <w:rsid w:val="005A7409"/>
    <w:rsid w:val="005A76C8"/>
    <w:rsid w:val="005A7A6A"/>
    <w:rsid w:val="005A7C9E"/>
    <w:rsid w:val="005B0E39"/>
    <w:rsid w:val="005B239C"/>
    <w:rsid w:val="005B35FA"/>
    <w:rsid w:val="005B3698"/>
    <w:rsid w:val="005B36D0"/>
    <w:rsid w:val="005B5004"/>
    <w:rsid w:val="005B5290"/>
    <w:rsid w:val="005B5B28"/>
    <w:rsid w:val="005B6003"/>
    <w:rsid w:val="005C0A10"/>
    <w:rsid w:val="005C10B2"/>
    <w:rsid w:val="005C2DE9"/>
    <w:rsid w:val="005C478C"/>
    <w:rsid w:val="005C5BED"/>
    <w:rsid w:val="005C5FE6"/>
    <w:rsid w:val="005C62A1"/>
    <w:rsid w:val="005C6EF6"/>
    <w:rsid w:val="005C7BBC"/>
    <w:rsid w:val="005D335B"/>
    <w:rsid w:val="005D3B65"/>
    <w:rsid w:val="005D41FC"/>
    <w:rsid w:val="005D44A9"/>
    <w:rsid w:val="005D4741"/>
    <w:rsid w:val="005D7845"/>
    <w:rsid w:val="005E19EE"/>
    <w:rsid w:val="005E3C04"/>
    <w:rsid w:val="005E3FF9"/>
    <w:rsid w:val="005E4261"/>
    <w:rsid w:val="005E7A3B"/>
    <w:rsid w:val="005F12A7"/>
    <w:rsid w:val="005F560A"/>
    <w:rsid w:val="005F5E66"/>
    <w:rsid w:val="005F6552"/>
    <w:rsid w:val="005F6C8F"/>
    <w:rsid w:val="00600264"/>
    <w:rsid w:val="00601493"/>
    <w:rsid w:val="0060283E"/>
    <w:rsid w:val="00602D41"/>
    <w:rsid w:val="00602EA3"/>
    <w:rsid w:val="00604539"/>
    <w:rsid w:val="0060502A"/>
    <w:rsid w:val="00605126"/>
    <w:rsid w:val="00607284"/>
    <w:rsid w:val="0061008E"/>
    <w:rsid w:val="0061105A"/>
    <w:rsid w:val="006111F1"/>
    <w:rsid w:val="006112CB"/>
    <w:rsid w:val="00612163"/>
    <w:rsid w:val="0061309A"/>
    <w:rsid w:val="006146DD"/>
    <w:rsid w:val="00614F9C"/>
    <w:rsid w:val="0061610C"/>
    <w:rsid w:val="006177BC"/>
    <w:rsid w:val="006179AB"/>
    <w:rsid w:val="00620837"/>
    <w:rsid w:val="0062240A"/>
    <w:rsid w:val="00622678"/>
    <w:rsid w:val="006239B0"/>
    <w:rsid w:val="00623BF5"/>
    <w:rsid w:val="00624633"/>
    <w:rsid w:val="0062480F"/>
    <w:rsid w:val="00624CA0"/>
    <w:rsid w:val="00625DFB"/>
    <w:rsid w:val="006267DD"/>
    <w:rsid w:val="00626B8D"/>
    <w:rsid w:val="00626EF0"/>
    <w:rsid w:val="006273E3"/>
    <w:rsid w:val="00630EC1"/>
    <w:rsid w:val="006317E4"/>
    <w:rsid w:val="00631C38"/>
    <w:rsid w:val="006337C5"/>
    <w:rsid w:val="00633E31"/>
    <w:rsid w:val="0063455B"/>
    <w:rsid w:val="00634EA5"/>
    <w:rsid w:val="00636281"/>
    <w:rsid w:val="006369E6"/>
    <w:rsid w:val="00637D47"/>
    <w:rsid w:val="00637EA8"/>
    <w:rsid w:val="00640203"/>
    <w:rsid w:val="00640DAA"/>
    <w:rsid w:val="00640F03"/>
    <w:rsid w:val="00642C1F"/>
    <w:rsid w:val="00645CC0"/>
    <w:rsid w:val="00645ED2"/>
    <w:rsid w:val="00650724"/>
    <w:rsid w:val="006507F1"/>
    <w:rsid w:val="00650E13"/>
    <w:rsid w:val="006534F7"/>
    <w:rsid w:val="00653D12"/>
    <w:rsid w:val="006540DF"/>
    <w:rsid w:val="00654DE5"/>
    <w:rsid w:val="00655DC3"/>
    <w:rsid w:val="00655F1F"/>
    <w:rsid w:val="006566C0"/>
    <w:rsid w:val="00660080"/>
    <w:rsid w:val="006603A9"/>
    <w:rsid w:val="00660DB4"/>
    <w:rsid w:val="00660F29"/>
    <w:rsid w:val="006617C1"/>
    <w:rsid w:val="00662508"/>
    <w:rsid w:val="00666AD5"/>
    <w:rsid w:val="00666B4A"/>
    <w:rsid w:val="006672C6"/>
    <w:rsid w:val="00670669"/>
    <w:rsid w:val="00671E86"/>
    <w:rsid w:val="00672863"/>
    <w:rsid w:val="006741DA"/>
    <w:rsid w:val="00674203"/>
    <w:rsid w:val="00674A3B"/>
    <w:rsid w:val="00675114"/>
    <w:rsid w:val="00675260"/>
    <w:rsid w:val="00675B82"/>
    <w:rsid w:val="00681224"/>
    <w:rsid w:val="00681F1C"/>
    <w:rsid w:val="0068298A"/>
    <w:rsid w:val="006838BB"/>
    <w:rsid w:val="006842A5"/>
    <w:rsid w:val="00684CAE"/>
    <w:rsid w:val="00684CF9"/>
    <w:rsid w:val="006869B3"/>
    <w:rsid w:val="00686D32"/>
    <w:rsid w:val="006921A4"/>
    <w:rsid w:val="00692511"/>
    <w:rsid w:val="00692972"/>
    <w:rsid w:val="006936DA"/>
    <w:rsid w:val="0069508B"/>
    <w:rsid w:val="0069522B"/>
    <w:rsid w:val="00696ACB"/>
    <w:rsid w:val="00697777"/>
    <w:rsid w:val="00697ED7"/>
    <w:rsid w:val="006A08CE"/>
    <w:rsid w:val="006A0D03"/>
    <w:rsid w:val="006A1ADA"/>
    <w:rsid w:val="006A2330"/>
    <w:rsid w:val="006A2EC2"/>
    <w:rsid w:val="006A6A82"/>
    <w:rsid w:val="006B01A9"/>
    <w:rsid w:val="006B0C76"/>
    <w:rsid w:val="006B1621"/>
    <w:rsid w:val="006B35DF"/>
    <w:rsid w:val="006B4BCB"/>
    <w:rsid w:val="006B58A3"/>
    <w:rsid w:val="006B6CFF"/>
    <w:rsid w:val="006C02BC"/>
    <w:rsid w:val="006C0D59"/>
    <w:rsid w:val="006C23B0"/>
    <w:rsid w:val="006C334C"/>
    <w:rsid w:val="006C33E3"/>
    <w:rsid w:val="006C38BB"/>
    <w:rsid w:val="006C4464"/>
    <w:rsid w:val="006C4BD9"/>
    <w:rsid w:val="006C4E62"/>
    <w:rsid w:val="006C523C"/>
    <w:rsid w:val="006C66EC"/>
    <w:rsid w:val="006C6865"/>
    <w:rsid w:val="006D1177"/>
    <w:rsid w:val="006D1E58"/>
    <w:rsid w:val="006D25D1"/>
    <w:rsid w:val="006D2F6F"/>
    <w:rsid w:val="006D3F36"/>
    <w:rsid w:val="006D568B"/>
    <w:rsid w:val="006D6D50"/>
    <w:rsid w:val="006D7034"/>
    <w:rsid w:val="006D7681"/>
    <w:rsid w:val="006D7869"/>
    <w:rsid w:val="006E146D"/>
    <w:rsid w:val="006E1699"/>
    <w:rsid w:val="006E1809"/>
    <w:rsid w:val="006E181A"/>
    <w:rsid w:val="006E2864"/>
    <w:rsid w:val="006E2936"/>
    <w:rsid w:val="006E4D50"/>
    <w:rsid w:val="006E6960"/>
    <w:rsid w:val="006E6E81"/>
    <w:rsid w:val="006E7FC5"/>
    <w:rsid w:val="006F0DD1"/>
    <w:rsid w:val="006F1789"/>
    <w:rsid w:val="006F252D"/>
    <w:rsid w:val="006F4A2C"/>
    <w:rsid w:val="006F4DB7"/>
    <w:rsid w:val="006F54B6"/>
    <w:rsid w:val="006F64A4"/>
    <w:rsid w:val="00700753"/>
    <w:rsid w:val="0070082E"/>
    <w:rsid w:val="00700B9A"/>
    <w:rsid w:val="00700DA4"/>
    <w:rsid w:val="007020A6"/>
    <w:rsid w:val="0070214D"/>
    <w:rsid w:val="0070231D"/>
    <w:rsid w:val="00702ED7"/>
    <w:rsid w:val="00703206"/>
    <w:rsid w:val="00704A51"/>
    <w:rsid w:val="00705B95"/>
    <w:rsid w:val="00707A37"/>
    <w:rsid w:val="007105A3"/>
    <w:rsid w:val="00710787"/>
    <w:rsid w:val="007109DE"/>
    <w:rsid w:val="00711989"/>
    <w:rsid w:val="00712D13"/>
    <w:rsid w:val="00715758"/>
    <w:rsid w:val="00717235"/>
    <w:rsid w:val="00717905"/>
    <w:rsid w:val="007218D6"/>
    <w:rsid w:val="00721A38"/>
    <w:rsid w:val="00725026"/>
    <w:rsid w:val="00725738"/>
    <w:rsid w:val="00726186"/>
    <w:rsid w:val="007262EE"/>
    <w:rsid w:val="00726439"/>
    <w:rsid w:val="00726523"/>
    <w:rsid w:val="0072674C"/>
    <w:rsid w:val="00731041"/>
    <w:rsid w:val="00732092"/>
    <w:rsid w:val="0073237E"/>
    <w:rsid w:val="0073343D"/>
    <w:rsid w:val="00733C2E"/>
    <w:rsid w:val="00735284"/>
    <w:rsid w:val="00735821"/>
    <w:rsid w:val="00735BB4"/>
    <w:rsid w:val="007377BD"/>
    <w:rsid w:val="007379CF"/>
    <w:rsid w:val="00740C01"/>
    <w:rsid w:val="00741980"/>
    <w:rsid w:val="00744D8A"/>
    <w:rsid w:val="00745A82"/>
    <w:rsid w:val="00746668"/>
    <w:rsid w:val="00746B41"/>
    <w:rsid w:val="007501A6"/>
    <w:rsid w:val="007516B1"/>
    <w:rsid w:val="0075279B"/>
    <w:rsid w:val="007541D7"/>
    <w:rsid w:val="0075429D"/>
    <w:rsid w:val="0075575F"/>
    <w:rsid w:val="00755C2B"/>
    <w:rsid w:val="00757116"/>
    <w:rsid w:val="007578A3"/>
    <w:rsid w:val="00761B64"/>
    <w:rsid w:val="00762346"/>
    <w:rsid w:val="00762FF3"/>
    <w:rsid w:val="0076323A"/>
    <w:rsid w:val="0076389E"/>
    <w:rsid w:val="00763B9B"/>
    <w:rsid w:val="00767C3F"/>
    <w:rsid w:val="00770E02"/>
    <w:rsid w:val="00771922"/>
    <w:rsid w:val="00772299"/>
    <w:rsid w:val="00774429"/>
    <w:rsid w:val="00776A55"/>
    <w:rsid w:val="00776CE3"/>
    <w:rsid w:val="00776F6B"/>
    <w:rsid w:val="00777D38"/>
    <w:rsid w:val="00781283"/>
    <w:rsid w:val="00781377"/>
    <w:rsid w:val="00781AD1"/>
    <w:rsid w:val="007824F6"/>
    <w:rsid w:val="007839DB"/>
    <w:rsid w:val="00783A40"/>
    <w:rsid w:val="00783A52"/>
    <w:rsid w:val="007858F4"/>
    <w:rsid w:val="00785E7C"/>
    <w:rsid w:val="00786462"/>
    <w:rsid w:val="00786992"/>
    <w:rsid w:val="00786A70"/>
    <w:rsid w:val="00787164"/>
    <w:rsid w:val="00791BA5"/>
    <w:rsid w:val="0079239B"/>
    <w:rsid w:val="0079275D"/>
    <w:rsid w:val="00792A4B"/>
    <w:rsid w:val="00793BAF"/>
    <w:rsid w:val="00793D6D"/>
    <w:rsid w:val="0079528C"/>
    <w:rsid w:val="00796E31"/>
    <w:rsid w:val="007971F2"/>
    <w:rsid w:val="007977FF"/>
    <w:rsid w:val="007A0862"/>
    <w:rsid w:val="007A1DFC"/>
    <w:rsid w:val="007A6725"/>
    <w:rsid w:val="007A73FC"/>
    <w:rsid w:val="007A7B94"/>
    <w:rsid w:val="007B087E"/>
    <w:rsid w:val="007B08A2"/>
    <w:rsid w:val="007B11AC"/>
    <w:rsid w:val="007B3294"/>
    <w:rsid w:val="007B437B"/>
    <w:rsid w:val="007B75C8"/>
    <w:rsid w:val="007C0E4A"/>
    <w:rsid w:val="007C1BCF"/>
    <w:rsid w:val="007C2046"/>
    <w:rsid w:val="007C258D"/>
    <w:rsid w:val="007C3276"/>
    <w:rsid w:val="007C3A4A"/>
    <w:rsid w:val="007C3C91"/>
    <w:rsid w:val="007C420B"/>
    <w:rsid w:val="007C4485"/>
    <w:rsid w:val="007C4A9C"/>
    <w:rsid w:val="007C5F63"/>
    <w:rsid w:val="007C7DC0"/>
    <w:rsid w:val="007D3170"/>
    <w:rsid w:val="007D357C"/>
    <w:rsid w:val="007D3FF3"/>
    <w:rsid w:val="007D4253"/>
    <w:rsid w:val="007D49A2"/>
    <w:rsid w:val="007D58CF"/>
    <w:rsid w:val="007D7A10"/>
    <w:rsid w:val="007E1221"/>
    <w:rsid w:val="007E1DB0"/>
    <w:rsid w:val="007E29B6"/>
    <w:rsid w:val="007E3FA4"/>
    <w:rsid w:val="007E48B7"/>
    <w:rsid w:val="007E4A88"/>
    <w:rsid w:val="007E4D2F"/>
    <w:rsid w:val="007E5B74"/>
    <w:rsid w:val="007E7AC3"/>
    <w:rsid w:val="007F0128"/>
    <w:rsid w:val="007F1F30"/>
    <w:rsid w:val="007F1FA3"/>
    <w:rsid w:val="007F285B"/>
    <w:rsid w:val="007F50FE"/>
    <w:rsid w:val="007F617F"/>
    <w:rsid w:val="007F6455"/>
    <w:rsid w:val="007F65F3"/>
    <w:rsid w:val="007F6966"/>
    <w:rsid w:val="007F72D8"/>
    <w:rsid w:val="007F76C9"/>
    <w:rsid w:val="007F7D22"/>
    <w:rsid w:val="007F7FE0"/>
    <w:rsid w:val="00800762"/>
    <w:rsid w:val="0080093A"/>
    <w:rsid w:val="00800B3A"/>
    <w:rsid w:val="008030AE"/>
    <w:rsid w:val="008032BE"/>
    <w:rsid w:val="00803EA8"/>
    <w:rsid w:val="008053EE"/>
    <w:rsid w:val="00806AAA"/>
    <w:rsid w:val="008078E7"/>
    <w:rsid w:val="00810E55"/>
    <w:rsid w:val="00811508"/>
    <w:rsid w:val="00813398"/>
    <w:rsid w:val="00813AD0"/>
    <w:rsid w:val="00813F89"/>
    <w:rsid w:val="00814318"/>
    <w:rsid w:val="00815BA0"/>
    <w:rsid w:val="00816621"/>
    <w:rsid w:val="008169D9"/>
    <w:rsid w:val="008179B0"/>
    <w:rsid w:val="008203AD"/>
    <w:rsid w:val="00821185"/>
    <w:rsid w:val="00822665"/>
    <w:rsid w:val="008246D1"/>
    <w:rsid w:val="00824B03"/>
    <w:rsid w:val="00825A96"/>
    <w:rsid w:val="00826AD4"/>
    <w:rsid w:val="00826E2D"/>
    <w:rsid w:val="0082747C"/>
    <w:rsid w:val="008316CF"/>
    <w:rsid w:val="00832240"/>
    <w:rsid w:val="008334C6"/>
    <w:rsid w:val="00834202"/>
    <w:rsid w:val="008343A9"/>
    <w:rsid w:val="00835815"/>
    <w:rsid w:val="0083765A"/>
    <w:rsid w:val="00841A8F"/>
    <w:rsid w:val="00841D73"/>
    <w:rsid w:val="008425AD"/>
    <w:rsid w:val="00842F5E"/>
    <w:rsid w:val="008433D1"/>
    <w:rsid w:val="0084421F"/>
    <w:rsid w:val="008449D6"/>
    <w:rsid w:val="00845B43"/>
    <w:rsid w:val="008465A0"/>
    <w:rsid w:val="00846FBE"/>
    <w:rsid w:val="0085029C"/>
    <w:rsid w:val="00850469"/>
    <w:rsid w:val="00851AAB"/>
    <w:rsid w:val="00852183"/>
    <w:rsid w:val="00853044"/>
    <w:rsid w:val="008534B0"/>
    <w:rsid w:val="00853C49"/>
    <w:rsid w:val="0085429B"/>
    <w:rsid w:val="008548F1"/>
    <w:rsid w:val="00857C99"/>
    <w:rsid w:val="008603FE"/>
    <w:rsid w:val="008618CC"/>
    <w:rsid w:val="00862E79"/>
    <w:rsid w:val="00864384"/>
    <w:rsid w:val="008659BE"/>
    <w:rsid w:val="00866643"/>
    <w:rsid w:val="00870500"/>
    <w:rsid w:val="00871A3E"/>
    <w:rsid w:val="00871C28"/>
    <w:rsid w:val="00872C8F"/>
    <w:rsid w:val="0087417F"/>
    <w:rsid w:val="008741F8"/>
    <w:rsid w:val="0087504D"/>
    <w:rsid w:val="008752D7"/>
    <w:rsid w:val="00875472"/>
    <w:rsid w:val="00875CAB"/>
    <w:rsid w:val="00876AF2"/>
    <w:rsid w:val="00881FAE"/>
    <w:rsid w:val="0088385E"/>
    <w:rsid w:val="00883C99"/>
    <w:rsid w:val="008852EC"/>
    <w:rsid w:val="008859A1"/>
    <w:rsid w:val="008878DA"/>
    <w:rsid w:val="00890454"/>
    <w:rsid w:val="00890B0E"/>
    <w:rsid w:val="008930A1"/>
    <w:rsid w:val="0089435E"/>
    <w:rsid w:val="008943A2"/>
    <w:rsid w:val="00894696"/>
    <w:rsid w:val="0089551C"/>
    <w:rsid w:val="00895617"/>
    <w:rsid w:val="00895C67"/>
    <w:rsid w:val="00895FA5"/>
    <w:rsid w:val="008971E8"/>
    <w:rsid w:val="008973DB"/>
    <w:rsid w:val="00897777"/>
    <w:rsid w:val="008A1E88"/>
    <w:rsid w:val="008A2457"/>
    <w:rsid w:val="008A27D4"/>
    <w:rsid w:val="008A499F"/>
    <w:rsid w:val="008A4A98"/>
    <w:rsid w:val="008A54C5"/>
    <w:rsid w:val="008A68E6"/>
    <w:rsid w:val="008B1378"/>
    <w:rsid w:val="008B2B0D"/>
    <w:rsid w:val="008B4C02"/>
    <w:rsid w:val="008B59DF"/>
    <w:rsid w:val="008B6129"/>
    <w:rsid w:val="008B692D"/>
    <w:rsid w:val="008B76A2"/>
    <w:rsid w:val="008B780A"/>
    <w:rsid w:val="008C049D"/>
    <w:rsid w:val="008C11E8"/>
    <w:rsid w:val="008C2E22"/>
    <w:rsid w:val="008C37EC"/>
    <w:rsid w:val="008C3D0B"/>
    <w:rsid w:val="008C4512"/>
    <w:rsid w:val="008C6896"/>
    <w:rsid w:val="008C6C44"/>
    <w:rsid w:val="008C6DE2"/>
    <w:rsid w:val="008C6F3B"/>
    <w:rsid w:val="008D097C"/>
    <w:rsid w:val="008D0ACE"/>
    <w:rsid w:val="008D1F38"/>
    <w:rsid w:val="008D27CA"/>
    <w:rsid w:val="008D3990"/>
    <w:rsid w:val="008D72E6"/>
    <w:rsid w:val="008D749E"/>
    <w:rsid w:val="008D7CBF"/>
    <w:rsid w:val="008E03D4"/>
    <w:rsid w:val="008E0418"/>
    <w:rsid w:val="008E0AEB"/>
    <w:rsid w:val="008E17CD"/>
    <w:rsid w:val="008E1879"/>
    <w:rsid w:val="008E187A"/>
    <w:rsid w:val="008E192F"/>
    <w:rsid w:val="008E4835"/>
    <w:rsid w:val="008E5167"/>
    <w:rsid w:val="008E52B7"/>
    <w:rsid w:val="008E6A6B"/>
    <w:rsid w:val="008E78EB"/>
    <w:rsid w:val="008F0BB2"/>
    <w:rsid w:val="008F3019"/>
    <w:rsid w:val="008F39F1"/>
    <w:rsid w:val="008F49E6"/>
    <w:rsid w:val="008F6AE5"/>
    <w:rsid w:val="00902158"/>
    <w:rsid w:val="009072C7"/>
    <w:rsid w:val="00907C78"/>
    <w:rsid w:val="00910995"/>
    <w:rsid w:val="00910ACB"/>
    <w:rsid w:val="00911375"/>
    <w:rsid w:val="009118B2"/>
    <w:rsid w:val="009131F7"/>
    <w:rsid w:val="00915366"/>
    <w:rsid w:val="00916AFF"/>
    <w:rsid w:val="00921EB6"/>
    <w:rsid w:val="0092222F"/>
    <w:rsid w:val="009224EE"/>
    <w:rsid w:val="009239B3"/>
    <w:rsid w:val="00923E01"/>
    <w:rsid w:val="00924E77"/>
    <w:rsid w:val="00927EB7"/>
    <w:rsid w:val="00930807"/>
    <w:rsid w:val="00931B67"/>
    <w:rsid w:val="00931B79"/>
    <w:rsid w:val="00931BBF"/>
    <w:rsid w:val="009321DC"/>
    <w:rsid w:val="00937E4B"/>
    <w:rsid w:val="009419A4"/>
    <w:rsid w:val="009421BC"/>
    <w:rsid w:val="00942C56"/>
    <w:rsid w:val="009431FF"/>
    <w:rsid w:val="00943C06"/>
    <w:rsid w:val="00943D2B"/>
    <w:rsid w:val="00944394"/>
    <w:rsid w:val="00947CC5"/>
    <w:rsid w:val="00950F73"/>
    <w:rsid w:val="00952CE9"/>
    <w:rsid w:val="0095402C"/>
    <w:rsid w:val="009545E5"/>
    <w:rsid w:val="00956900"/>
    <w:rsid w:val="009606C0"/>
    <w:rsid w:val="00960748"/>
    <w:rsid w:val="00960878"/>
    <w:rsid w:val="00961351"/>
    <w:rsid w:val="0096202D"/>
    <w:rsid w:val="00962475"/>
    <w:rsid w:val="00962A5B"/>
    <w:rsid w:val="00963157"/>
    <w:rsid w:val="0096366B"/>
    <w:rsid w:val="00964413"/>
    <w:rsid w:val="00964ECD"/>
    <w:rsid w:val="00966D18"/>
    <w:rsid w:val="00973D96"/>
    <w:rsid w:val="00974A76"/>
    <w:rsid w:val="0098149D"/>
    <w:rsid w:val="00981A6F"/>
    <w:rsid w:val="00982D0E"/>
    <w:rsid w:val="0098327F"/>
    <w:rsid w:val="00985125"/>
    <w:rsid w:val="0098563E"/>
    <w:rsid w:val="00985CEE"/>
    <w:rsid w:val="009861C3"/>
    <w:rsid w:val="00986DEE"/>
    <w:rsid w:val="009870C4"/>
    <w:rsid w:val="009912FB"/>
    <w:rsid w:val="009929C3"/>
    <w:rsid w:val="0099580A"/>
    <w:rsid w:val="00995AC1"/>
    <w:rsid w:val="00995BEA"/>
    <w:rsid w:val="009969FE"/>
    <w:rsid w:val="00997682"/>
    <w:rsid w:val="009A2B97"/>
    <w:rsid w:val="009A446A"/>
    <w:rsid w:val="009A49B8"/>
    <w:rsid w:val="009A5EEE"/>
    <w:rsid w:val="009A6346"/>
    <w:rsid w:val="009B0284"/>
    <w:rsid w:val="009B090C"/>
    <w:rsid w:val="009B0FFF"/>
    <w:rsid w:val="009B1E3A"/>
    <w:rsid w:val="009B28E7"/>
    <w:rsid w:val="009B37A9"/>
    <w:rsid w:val="009B3937"/>
    <w:rsid w:val="009B51CE"/>
    <w:rsid w:val="009B54B7"/>
    <w:rsid w:val="009B63E2"/>
    <w:rsid w:val="009B64AC"/>
    <w:rsid w:val="009B6BEC"/>
    <w:rsid w:val="009C16C4"/>
    <w:rsid w:val="009C2495"/>
    <w:rsid w:val="009C3586"/>
    <w:rsid w:val="009C3AA2"/>
    <w:rsid w:val="009C4356"/>
    <w:rsid w:val="009C525D"/>
    <w:rsid w:val="009C5C9A"/>
    <w:rsid w:val="009C7321"/>
    <w:rsid w:val="009C7367"/>
    <w:rsid w:val="009D0675"/>
    <w:rsid w:val="009D2502"/>
    <w:rsid w:val="009D45EB"/>
    <w:rsid w:val="009D4FE4"/>
    <w:rsid w:val="009D5968"/>
    <w:rsid w:val="009D5E19"/>
    <w:rsid w:val="009D6166"/>
    <w:rsid w:val="009D61E4"/>
    <w:rsid w:val="009D69B0"/>
    <w:rsid w:val="009D6B7B"/>
    <w:rsid w:val="009E0005"/>
    <w:rsid w:val="009E043E"/>
    <w:rsid w:val="009E06F9"/>
    <w:rsid w:val="009E1659"/>
    <w:rsid w:val="009E24D8"/>
    <w:rsid w:val="009E251A"/>
    <w:rsid w:val="009E4464"/>
    <w:rsid w:val="009E6F02"/>
    <w:rsid w:val="009F07B1"/>
    <w:rsid w:val="009F292C"/>
    <w:rsid w:val="009F3818"/>
    <w:rsid w:val="009F4144"/>
    <w:rsid w:val="009F5F59"/>
    <w:rsid w:val="009F690F"/>
    <w:rsid w:val="009F70B9"/>
    <w:rsid w:val="00A01C52"/>
    <w:rsid w:val="00A02EB2"/>
    <w:rsid w:val="00A034C8"/>
    <w:rsid w:val="00A03651"/>
    <w:rsid w:val="00A053F9"/>
    <w:rsid w:val="00A062E4"/>
    <w:rsid w:val="00A1478F"/>
    <w:rsid w:val="00A15553"/>
    <w:rsid w:val="00A165AB"/>
    <w:rsid w:val="00A16DBA"/>
    <w:rsid w:val="00A201F2"/>
    <w:rsid w:val="00A2178A"/>
    <w:rsid w:val="00A219EC"/>
    <w:rsid w:val="00A21AE4"/>
    <w:rsid w:val="00A230FF"/>
    <w:rsid w:val="00A24146"/>
    <w:rsid w:val="00A244F2"/>
    <w:rsid w:val="00A258EB"/>
    <w:rsid w:val="00A2627B"/>
    <w:rsid w:val="00A274C3"/>
    <w:rsid w:val="00A30677"/>
    <w:rsid w:val="00A307C1"/>
    <w:rsid w:val="00A31294"/>
    <w:rsid w:val="00A31651"/>
    <w:rsid w:val="00A32786"/>
    <w:rsid w:val="00A32932"/>
    <w:rsid w:val="00A32E08"/>
    <w:rsid w:val="00A33F25"/>
    <w:rsid w:val="00A35ADB"/>
    <w:rsid w:val="00A365B7"/>
    <w:rsid w:val="00A400DF"/>
    <w:rsid w:val="00A40438"/>
    <w:rsid w:val="00A4069D"/>
    <w:rsid w:val="00A406FC"/>
    <w:rsid w:val="00A40DF3"/>
    <w:rsid w:val="00A41412"/>
    <w:rsid w:val="00A41B8F"/>
    <w:rsid w:val="00A41DA1"/>
    <w:rsid w:val="00A42133"/>
    <w:rsid w:val="00A42DC9"/>
    <w:rsid w:val="00A45250"/>
    <w:rsid w:val="00A45896"/>
    <w:rsid w:val="00A45E18"/>
    <w:rsid w:val="00A465EB"/>
    <w:rsid w:val="00A4669B"/>
    <w:rsid w:val="00A46E44"/>
    <w:rsid w:val="00A5179C"/>
    <w:rsid w:val="00A517BA"/>
    <w:rsid w:val="00A52074"/>
    <w:rsid w:val="00A55705"/>
    <w:rsid w:val="00A559AC"/>
    <w:rsid w:val="00A56EEC"/>
    <w:rsid w:val="00A5746B"/>
    <w:rsid w:val="00A57A4B"/>
    <w:rsid w:val="00A60266"/>
    <w:rsid w:val="00A60BBE"/>
    <w:rsid w:val="00A62BD9"/>
    <w:rsid w:val="00A62BDF"/>
    <w:rsid w:val="00A642D8"/>
    <w:rsid w:val="00A66674"/>
    <w:rsid w:val="00A6687C"/>
    <w:rsid w:val="00A66B50"/>
    <w:rsid w:val="00A66C5A"/>
    <w:rsid w:val="00A66FE2"/>
    <w:rsid w:val="00A67514"/>
    <w:rsid w:val="00A70033"/>
    <w:rsid w:val="00A72203"/>
    <w:rsid w:val="00A72890"/>
    <w:rsid w:val="00A72D44"/>
    <w:rsid w:val="00A735BC"/>
    <w:rsid w:val="00A74B34"/>
    <w:rsid w:val="00A74D9A"/>
    <w:rsid w:val="00A7552E"/>
    <w:rsid w:val="00A77B65"/>
    <w:rsid w:val="00A77BD3"/>
    <w:rsid w:val="00A81CC0"/>
    <w:rsid w:val="00A8256F"/>
    <w:rsid w:val="00A82CCF"/>
    <w:rsid w:val="00A839EB"/>
    <w:rsid w:val="00A83A1A"/>
    <w:rsid w:val="00A83D05"/>
    <w:rsid w:val="00A84690"/>
    <w:rsid w:val="00A8480D"/>
    <w:rsid w:val="00A849C1"/>
    <w:rsid w:val="00A84B24"/>
    <w:rsid w:val="00A85130"/>
    <w:rsid w:val="00A855AD"/>
    <w:rsid w:val="00A858EC"/>
    <w:rsid w:val="00A85C03"/>
    <w:rsid w:val="00A8777C"/>
    <w:rsid w:val="00A9367B"/>
    <w:rsid w:val="00A94AEB"/>
    <w:rsid w:val="00A94F4C"/>
    <w:rsid w:val="00A953F5"/>
    <w:rsid w:val="00A95FFD"/>
    <w:rsid w:val="00AA0270"/>
    <w:rsid w:val="00AA0754"/>
    <w:rsid w:val="00AA1D8D"/>
    <w:rsid w:val="00AA283E"/>
    <w:rsid w:val="00AA2E2F"/>
    <w:rsid w:val="00AA4D50"/>
    <w:rsid w:val="00AA5D6D"/>
    <w:rsid w:val="00AA5F1C"/>
    <w:rsid w:val="00AA7579"/>
    <w:rsid w:val="00AA75D3"/>
    <w:rsid w:val="00AB0979"/>
    <w:rsid w:val="00AB1BFD"/>
    <w:rsid w:val="00AB1E5D"/>
    <w:rsid w:val="00AB2A6C"/>
    <w:rsid w:val="00AB4256"/>
    <w:rsid w:val="00AB55C0"/>
    <w:rsid w:val="00AB5696"/>
    <w:rsid w:val="00AB5A54"/>
    <w:rsid w:val="00AB7366"/>
    <w:rsid w:val="00AB7A5C"/>
    <w:rsid w:val="00AC10AE"/>
    <w:rsid w:val="00AC1993"/>
    <w:rsid w:val="00AC2BD2"/>
    <w:rsid w:val="00AC31DA"/>
    <w:rsid w:val="00AC3262"/>
    <w:rsid w:val="00AC3761"/>
    <w:rsid w:val="00AC42A8"/>
    <w:rsid w:val="00AC543E"/>
    <w:rsid w:val="00AC5CA0"/>
    <w:rsid w:val="00AC6A48"/>
    <w:rsid w:val="00AC6B2F"/>
    <w:rsid w:val="00AC6C0B"/>
    <w:rsid w:val="00AD28D5"/>
    <w:rsid w:val="00AD75AB"/>
    <w:rsid w:val="00AE1C68"/>
    <w:rsid w:val="00AE2C01"/>
    <w:rsid w:val="00AE2FF4"/>
    <w:rsid w:val="00AE3276"/>
    <w:rsid w:val="00AE4359"/>
    <w:rsid w:val="00AE5709"/>
    <w:rsid w:val="00AE65A8"/>
    <w:rsid w:val="00AE683E"/>
    <w:rsid w:val="00AE69F0"/>
    <w:rsid w:val="00AE6A51"/>
    <w:rsid w:val="00AE7211"/>
    <w:rsid w:val="00AF1350"/>
    <w:rsid w:val="00AF362F"/>
    <w:rsid w:val="00AF3851"/>
    <w:rsid w:val="00AF3F37"/>
    <w:rsid w:val="00AF4481"/>
    <w:rsid w:val="00AF4921"/>
    <w:rsid w:val="00AF6625"/>
    <w:rsid w:val="00B00D71"/>
    <w:rsid w:val="00B01DB9"/>
    <w:rsid w:val="00B01EC1"/>
    <w:rsid w:val="00B01F80"/>
    <w:rsid w:val="00B026AD"/>
    <w:rsid w:val="00B02B79"/>
    <w:rsid w:val="00B02DD0"/>
    <w:rsid w:val="00B03807"/>
    <w:rsid w:val="00B0657E"/>
    <w:rsid w:val="00B07CB2"/>
    <w:rsid w:val="00B10C00"/>
    <w:rsid w:val="00B12D72"/>
    <w:rsid w:val="00B14904"/>
    <w:rsid w:val="00B15E89"/>
    <w:rsid w:val="00B16AB7"/>
    <w:rsid w:val="00B17A09"/>
    <w:rsid w:val="00B2245B"/>
    <w:rsid w:val="00B259A3"/>
    <w:rsid w:val="00B273B4"/>
    <w:rsid w:val="00B2755D"/>
    <w:rsid w:val="00B323C7"/>
    <w:rsid w:val="00B34488"/>
    <w:rsid w:val="00B347E6"/>
    <w:rsid w:val="00B3609E"/>
    <w:rsid w:val="00B36EA1"/>
    <w:rsid w:val="00B376A9"/>
    <w:rsid w:val="00B468DF"/>
    <w:rsid w:val="00B516DF"/>
    <w:rsid w:val="00B52917"/>
    <w:rsid w:val="00B52EFD"/>
    <w:rsid w:val="00B52FDB"/>
    <w:rsid w:val="00B53254"/>
    <w:rsid w:val="00B5443F"/>
    <w:rsid w:val="00B55F7E"/>
    <w:rsid w:val="00B573CD"/>
    <w:rsid w:val="00B5776D"/>
    <w:rsid w:val="00B605F4"/>
    <w:rsid w:val="00B62164"/>
    <w:rsid w:val="00B647FB"/>
    <w:rsid w:val="00B671D9"/>
    <w:rsid w:val="00B679CE"/>
    <w:rsid w:val="00B704FB"/>
    <w:rsid w:val="00B71D29"/>
    <w:rsid w:val="00B71D37"/>
    <w:rsid w:val="00B72A26"/>
    <w:rsid w:val="00B7307F"/>
    <w:rsid w:val="00B730B5"/>
    <w:rsid w:val="00B733E1"/>
    <w:rsid w:val="00B738D3"/>
    <w:rsid w:val="00B748B5"/>
    <w:rsid w:val="00B74C00"/>
    <w:rsid w:val="00B77E4A"/>
    <w:rsid w:val="00B80421"/>
    <w:rsid w:val="00B8191C"/>
    <w:rsid w:val="00B82240"/>
    <w:rsid w:val="00B845BB"/>
    <w:rsid w:val="00B8560A"/>
    <w:rsid w:val="00B87E33"/>
    <w:rsid w:val="00B90B98"/>
    <w:rsid w:val="00B90D7C"/>
    <w:rsid w:val="00B910F4"/>
    <w:rsid w:val="00B91333"/>
    <w:rsid w:val="00B918DE"/>
    <w:rsid w:val="00B9285D"/>
    <w:rsid w:val="00B93899"/>
    <w:rsid w:val="00B939DE"/>
    <w:rsid w:val="00B95DBF"/>
    <w:rsid w:val="00B96D9B"/>
    <w:rsid w:val="00B971C2"/>
    <w:rsid w:val="00BA1A55"/>
    <w:rsid w:val="00BA1B8D"/>
    <w:rsid w:val="00BA1C52"/>
    <w:rsid w:val="00BA2497"/>
    <w:rsid w:val="00BA2AC4"/>
    <w:rsid w:val="00BA2F1C"/>
    <w:rsid w:val="00BA3868"/>
    <w:rsid w:val="00BA5698"/>
    <w:rsid w:val="00BA7B4D"/>
    <w:rsid w:val="00BB1298"/>
    <w:rsid w:val="00BB148C"/>
    <w:rsid w:val="00BB1887"/>
    <w:rsid w:val="00BB1C05"/>
    <w:rsid w:val="00BB2695"/>
    <w:rsid w:val="00BB363B"/>
    <w:rsid w:val="00BB423F"/>
    <w:rsid w:val="00BB5935"/>
    <w:rsid w:val="00BB7ED4"/>
    <w:rsid w:val="00BC06A0"/>
    <w:rsid w:val="00BC24F0"/>
    <w:rsid w:val="00BC3689"/>
    <w:rsid w:val="00BC62F7"/>
    <w:rsid w:val="00BC65D1"/>
    <w:rsid w:val="00BD6348"/>
    <w:rsid w:val="00BE05B2"/>
    <w:rsid w:val="00BE0838"/>
    <w:rsid w:val="00BE102C"/>
    <w:rsid w:val="00BE1372"/>
    <w:rsid w:val="00BE13C9"/>
    <w:rsid w:val="00BE1540"/>
    <w:rsid w:val="00BE2E09"/>
    <w:rsid w:val="00BE379D"/>
    <w:rsid w:val="00BE4CDF"/>
    <w:rsid w:val="00BE536B"/>
    <w:rsid w:val="00BE5AE7"/>
    <w:rsid w:val="00BE6913"/>
    <w:rsid w:val="00BF1B4B"/>
    <w:rsid w:val="00BF1DA1"/>
    <w:rsid w:val="00BF3364"/>
    <w:rsid w:val="00BF3702"/>
    <w:rsid w:val="00BF3AB2"/>
    <w:rsid w:val="00BF3DE9"/>
    <w:rsid w:val="00BF458B"/>
    <w:rsid w:val="00BF4A63"/>
    <w:rsid w:val="00BF5737"/>
    <w:rsid w:val="00BF5EDB"/>
    <w:rsid w:val="00C02D4F"/>
    <w:rsid w:val="00C0375B"/>
    <w:rsid w:val="00C03CEB"/>
    <w:rsid w:val="00C04FB6"/>
    <w:rsid w:val="00C05CC4"/>
    <w:rsid w:val="00C07D97"/>
    <w:rsid w:val="00C10229"/>
    <w:rsid w:val="00C107DD"/>
    <w:rsid w:val="00C10EE7"/>
    <w:rsid w:val="00C111E2"/>
    <w:rsid w:val="00C1135F"/>
    <w:rsid w:val="00C12127"/>
    <w:rsid w:val="00C12BF3"/>
    <w:rsid w:val="00C1315A"/>
    <w:rsid w:val="00C13848"/>
    <w:rsid w:val="00C14521"/>
    <w:rsid w:val="00C15193"/>
    <w:rsid w:val="00C157D0"/>
    <w:rsid w:val="00C15DB0"/>
    <w:rsid w:val="00C15DDE"/>
    <w:rsid w:val="00C167E6"/>
    <w:rsid w:val="00C16F67"/>
    <w:rsid w:val="00C171FF"/>
    <w:rsid w:val="00C2015E"/>
    <w:rsid w:val="00C214F7"/>
    <w:rsid w:val="00C23674"/>
    <w:rsid w:val="00C24A8C"/>
    <w:rsid w:val="00C24AEA"/>
    <w:rsid w:val="00C24C56"/>
    <w:rsid w:val="00C25150"/>
    <w:rsid w:val="00C252BC"/>
    <w:rsid w:val="00C26793"/>
    <w:rsid w:val="00C269B6"/>
    <w:rsid w:val="00C26CAE"/>
    <w:rsid w:val="00C271BF"/>
    <w:rsid w:val="00C27ED3"/>
    <w:rsid w:val="00C30E96"/>
    <w:rsid w:val="00C30F5A"/>
    <w:rsid w:val="00C31810"/>
    <w:rsid w:val="00C31D69"/>
    <w:rsid w:val="00C335C4"/>
    <w:rsid w:val="00C338F0"/>
    <w:rsid w:val="00C34C51"/>
    <w:rsid w:val="00C35240"/>
    <w:rsid w:val="00C4107B"/>
    <w:rsid w:val="00C41B94"/>
    <w:rsid w:val="00C442A1"/>
    <w:rsid w:val="00C444FB"/>
    <w:rsid w:val="00C45D3A"/>
    <w:rsid w:val="00C46993"/>
    <w:rsid w:val="00C512C4"/>
    <w:rsid w:val="00C51415"/>
    <w:rsid w:val="00C51B51"/>
    <w:rsid w:val="00C53DA2"/>
    <w:rsid w:val="00C57239"/>
    <w:rsid w:val="00C60784"/>
    <w:rsid w:val="00C609FB"/>
    <w:rsid w:val="00C60DE8"/>
    <w:rsid w:val="00C616CB"/>
    <w:rsid w:val="00C61A81"/>
    <w:rsid w:val="00C62C2B"/>
    <w:rsid w:val="00C63009"/>
    <w:rsid w:val="00C636E7"/>
    <w:rsid w:val="00C63B68"/>
    <w:rsid w:val="00C63BA3"/>
    <w:rsid w:val="00C64807"/>
    <w:rsid w:val="00C65757"/>
    <w:rsid w:val="00C6642C"/>
    <w:rsid w:val="00C6659E"/>
    <w:rsid w:val="00C67EAA"/>
    <w:rsid w:val="00C70311"/>
    <w:rsid w:val="00C710C6"/>
    <w:rsid w:val="00C743BB"/>
    <w:rsid w:val="00C7678F"/>
    <w:rsid w:val="00C76F3D"/>
    <w:rsid w:val="00C80132"/>
    <w:rsid w:val="00C80B67"/>
    <w:rsid w:val="00C80D61"/>
    <w:rsid w:val="00C810EF"/>
    <w:rsid w:val="00C811E8"/>
    <w:rsid w:val="00C82924"/>
    <w:rsid w:val="00C84EF8"/>
    <w:rsid w:val="00C84F01"/>
    <w:rsid w:val="00C860A7"/>
    <w:rsid w:val="00C86F23"/>
    <w:rsid w:val="00C870AB"/>
    <w:rsid w:val="00C8750B"/>
    <w:rsid w:val="00C905A2"/>
    <w:rsid w:val="00C92493"/>
    <w:rsid w:val="00C93541"/>
    <w:rsid w:val="00C93D71"/>
    <w:rsid w:val="00C949C5"/>
    <w:rsid w:val="00C95374"/>
    <w:rsid w:val="00C953A3"/>
    <w:rsid w:val="00C95748"/>
    <w:rsid w:val="00C9671C"/>
    <w:rsid w:val="00C97E48"/>
    <w:rsid w:val="00CA0064"/>
    <w:rsid w:val="00CA1E13"/>
    <w:rsid w:val="00CA2EE3"/>
    <w:rsid w:val="00CA3B26"/>
    <w:rsid w:val="00CA502E"/>
    <w:rsid w:val="00CA5470"/>
    <w:rsid w:val="00CA54CA"/>
    <w:rsid w:val="00CA5B4D"/>
    <w:rsid w:val="00CA6417"/>
    <w:rsid w:val="00CA7AD9"/>
    <w:rsid w:val="00CB123E"/>
    <w:rsid w:val="00CB1D88"/>
    <w:rsid w:val="00CB1F43"/>
    <w:rsid w:val="00CB2E5D"/>
    <w:rsid w:val="00CB3C76"/>
    <w:rsid w:val="00CB4361"/>
    <w:rsid w:val="00CB5FDD"/>
    <w:rsid w:val="00CB6FCD"/>
    <w:rsid w:val="00CB7459"/>
    <w:rsid w:val="00CB7B13"/>
    <w:rsid w:val="00CC17FD"/>
    <w:rsid w:val="00CC1833"/>
    <w:rsid w:val="00CC23C1"/>
    <w:rsid w:val="00CC295F"/>
    <w:rsid w:val="00CC3396"/>
    <w:rsid w:val="00CC5294"/>
    <w:rsid w:val="00CC548B"/>
    <w:rsid w:val="00CC6683"/>
    <w:rsid w:val="00CC6885"/>
    <w:rsid w:val="00CC7253"/>
    <w:rsid w:val="00CC75FC"/>
    <w:rsid w:val="00CC7FF9"/>
    <w:rsid w:val="00CD112D"/>
    <w:rsid w:val="00CD218F"/>
    <w:rsid w:val="00CD2FE9"/>
    <w:rsid w:val="00CD312B"/>
    <w:rsid w:val="00CD31D0"/>
    <w:rsid w:val="00CD4538"/>
    <w:rsid w:val="00CD69C3"/>
    <w:rsid w:val="00CD6EED"/>
    <w:rsid w:val="00CD7151"/>
    <w:rsid w:val="00CD72DF"/>
    <w:rsid w:val="00CD7405"/>
    <w:rsid w:val="00CE1312"/>
    <w:rsid w:val="00CE17C4"/>
    <w:rsid w:val="00CE1893"/>
    <w:rsid w:val="00CE2855"/>
    <w:rsid w:val="00CE37C5"/>
    <w:rsid w:val="00CE38E9"/>
    <w:rsid w:val="00CE3946"/>
    <w:rsid w:val="00CE3EEE"/>
    <w:rsid w:val="00CE4E94"/>
    <w:rsid w:val="00CE52D9"/>
    <w:rsid w:val="00CE6022"/>
    <w:rsid w:val="00CE6DB8"/>
    <w:rsid w:val="00CE7294"/>
    <w:rsid w:val="00CE7912"/>
    <w:rsid w:val="00CF0390"/>
    <w:rsid w:val="00CF38AF"/>
    <w:rsid w:val="00CF49F5"/>
    <w:rsid w:val="00CF6A01"/>
    <w:rsid w:val="00D00452"/>
    <w:rsid w:val="00D01139"/>
    <w:rsid w:val="00D01C18"/>
    <w:rsid w:val="00D01DFF"/>
    <w:rsid w:val="00D0269C"/>
    <w:rsid w:val="00D05B3E"/>
    <w:rsid w:val="00D061F8"/>
    <w:rsid w:val="00D10012"/>
    <w:rsid w:val="00D10615"/>
    <w:rsid w:val="00D1091C"/>
    <w:rsid w:val="00D1288B"/>
    <w:rsid w:val="00D139D4"/>
    <w:rsid w:val="00D13BAA"/>
    <w:rsid w:val="00D13CD4"/>
    <w:rsid w:val="00D170CC"/>
    <w:rsid w:val="00D17689"/>
    <w:rsid w:val="00D179A3"/>
    <w:rsid w:val="00D17ACB"/>
    <w:rsid w:val="00D21082"/>
    <w:rsid w:val="00D2171B"/>
    <w:rsid w:val="00D22472"/>
    <w:rsid w:val="00D2251E"/>
    <w:rsid w:val="00D22E53"/>
    <w:rsid w:val="00D24060"/>
    <w:rsid w:val="00D24531"/>
    <w:rsid w:val="00D250CA"/>
    <w:rsid w:val="00D272AE"/>
    <w:rsid w:val="00D30157"/>
    <w:rsid w:val="00D31FFD"/>
    <w:rsid w:val="00D332D9"/>
    <w:rsid w:val="00D338E8"/>
    <w:rsid w:val="00D33A6C"/>
    <w:rsid w:val="00D36752"/>
    <w:rsid w:val="00D40D3F"/>
    <w:rsid w:val="00D4128C"/>
    <w:rsid w:val="00D418E2"/>
    <w:rsid w:val="00D41D01"/>
    <w:rsid w:val="00D423C2"/>
    <w:rsid w:val="00D4300E"/>
    <w:rsid w:val="00D4371E"/>
    <w:rsid w:val="00D4415E"/>
    <w:rsid w:val="00D44541"/>
    <w:rsid w:val="00D46B3B"/>
    <w:rsid w:val="00D470AE"/>
    <w:rsid w:val="00D50E9D"/>
    <w:rsid w:val="00D512B6"/>
    <w:rsid w:val="00D522C6"/>
    <w:rsid w:val="00D52B1E"/>
    <w:rsid w:val="00D532A0"/>
    <w:rsid w:val="00D5401A"/>
    <w:rsid w:val="00D5439E"/>
    <w:rsid w:val="00D54F22"/>
    <w:rsid w:val="00D55C36"/>
    <w:rsid w:val="00D5605B"/>
    <w:rsid w:val="00D56ACD"/>
    <w:rsid w:val="00D57E81"/>
    <w:rsid w:val="00D60C5E"/>
    <w:rsid w:val="00D61020"/>
    <w:rsid w:val="00D63294"/>
    <w:rsid w:val="00D633FA"/>
    <w:rsid w:val="00D648A5"/>
    <w:rsid w:val="00D653E5"/>
    <w:rsid w:val="00D65A8F"/>
    <w:rsid w:val="00D65B7D"/>
    <w:rsid w:val="00D67F0A"/>
    <w:rsid w:val="00D710AD"/>
    <w:rsid w:val="00D71F45"/>
    <w:rsid w:val="00D74F8A"/>
    <w:rsid w:val="00D77561"/>
    <w:rsid w:val="00D775FC"/>
    <w:rsid w:val="00D77921"/>
    <w:rsid w:val="00D80117"/>
    <w:rsid w:val="00D81435"/>
    <w:rsid w:val="00D82AB9"/>
    <w:rsid w:val="00D832D2"/>
    <w:rsid w:val="00D846AE"/>
    <w:rsid w:val="00D85B06"/>
    <w:rsid w:val="00D86269"/>
    <w:rsid w:val="00D864B5"/>
    <w:rsid w:val="00D86A23"/>
    <w:rsid w:val="00D87C5D"/>
    <w:rsid w:val="00D87F0A"/>
    <w:rsid w:val="00D90FAF"/>
    <w:rsid w:val="00D92ED5"/>
    <w:rsid w:val="00D931DA"/>
    <w:rsid w:val="00D936DD"/>
    <w:rsid w:val="00D937E8"/>
    <w:rsid w:val="00D93A65"/>
    <w:rsid w:val="00D93AE3"/>
    <w:rsid w:val="00D95406"/>
    <w:rsid w:val="00D95B42"/>
    <w:rsid w:val="00D95C51"/>
    <w:rsid w:val="00D9625E"/>
    <w:rsid w:val="00D96811"/>
    <w:rsid w:val="00DA17B9"/>
    <w:rsid w:val="00DA1C33"/>
    <w:rsid w:val="00DA2ED6"/>
    <w:rsid w:val="00DA3E13"/>
    <w:rsid w:val="00DA3F6C"/>
    <w:rsid w:val="00DA46D0"/>
    <w:rsid w:val="00DA50F9"/>
    <w:rsid w:val="00DA6BB6"/>
    <w:rsid w:val="00DB0110"/>
    <w:rsid w:val="00DB011F"/>
    <w:rsid w:val="00DB0DDC"/>
    <w:rsid w:val="00DB116F"/>
    <w:rsid w:val="00DB1A07"/>
    <w:rsid w:val="00DB1B0C"/>
    <w:rsid w:val="00DB2561"/>
    <w:rsid w:val="00DB3649"/>
    <w:rsid w:val="00DB59E4"/>
    <w:rsid w:val="00DB6B64"/>
    <w:rsid w:val="00DB6ED1"/>
    <w:rsid w:val="00DC0076"/>
    <w:rsid w:val="00DC070E"/>
    <w:rsid w:val="00DC4A7B"/>
    <w:rsid w:val="00DC5E0C"/>
    <w:rsid w:val="00DC6A27"/>
    <w:rsid w:val="00DC7C92"/>
    <w:rsid w:val="00DD096A"/>
    <w:rsid w:val="00DD1108"/>
    <w:rsid w:val="00DD3715"/>
    <w:rsid w:val="00DD3DA6"/>
    <w:rsid w:val="00DD4ADA"/>
    <w:rsid w:val="00DD56E5"/>
    <w:rsid w:val="00DD57B8"/>
    <w:rsid w:val="00DE1B79"/>
    <w:rsid w:val="00DE1EEC"/>
    <w:rsid w:val="00DE3384"/>
    <w:rsid w:val="00DE3951"/>
    <w:rsid w:val="00DE3B84"/>
    <w:rsid w:val="00DE5AD6"/>
    <w:rsid w:val="00DE6596"/>
    <w:rsid w:val="00DE6755"/>
    <w:rsid w:val="00DE6AE5"/>
    <w:rsid w:val="00DE6BEF"/>
    <w:rsid w:val="00DF03C0"/>
    <w:rsid w:val="00DF0EA4"/>
    <w:rsid w:val="00DF19B3"/>
    <w:rsid w:val="00DF331E"/>
    <w:rsid w:val="00DF402A"/>
    <w:rsid w:val="00DF481A"/>
    <w:rsid w:val="00DF504C"/>
    <w:rsid w:val="00DF5E13"/>
    <w:rsid w:val="00DF6290"/>
    <w:rsid w:val="00DF7BDC"/>
    <w:rsid w:val="00E026B0"/>
    <w:rsid w:val="00E0442B"/>
    <w:rsid w:val="00E05B3C"/>
    <w:rsid w:val="00E07607"/>
    <w:rsid w:val="00E1058C"/>
    <w:rsid w:val="00E10646"/>
    <w:rsid w:val="00E10F44"/>
    <w:rsid w:val="00E1202F"/>
    <w:rsid w:val="00E12777"/>
    <w:rsid w:val="00E135C4"/>
    <w:rsid w:val="00E143CB"/>
    <w:rsid w:val="00E14C4B"/>
    <w:rsid w:val="00E14C6B"/>
    <w:rsid w:val="00E16310"/>
    <w:rsid w:val="00E17913"/>
    <w:rsid w:val="00E20893"/>
    <w:rsid w:val="00E20A1E"/>
    <w:rsid w:val="00E20E34"/>
    <w:rsid w:val="00E224FB"/>
    <w:rsid w:val="00E23E48"/>
    <w:rsid w:val="00E2430C"/>
    <w:rsid w:val="00E25F44"/>
    <w:rsid w:val="00E2771D"/>
    <w:rsid w:val="00E27F53"/>
    <w:rsid w:val="00E313D4"/>
    <w:rsid w:val="00E31745"/>
    <w:rsid w:val="00E31D9F"/>
    <w:rsid w:val="00E3296C"/>
    <w:rsid w:val="00E36634"/>
    <w:rsid w:val="00E36AD5"/>
    <w:rsid w:val="00E3718F"/>
    <w:rsid w:val="00E37226"/>
    <w:rsid w:val="00E372FF"/>
    <w:rsid w:val="00E40487"/>
    <w:rsid w:val="00E406DC"/>
    <w:rsid w:val="00E41ADE"/>
    <w:rsid w:val="00E41B97"/>
    <w:rsid w:val="00E4202D"/>
    <w:rsid w:val="00E42888"/>
    <w:rsid w:val="00E44153"/>
    <w:rsid w:val="00E44B4C"/>
    <w:rsid w:val="00E450D3"/>
    <w:rsid w:val="00E475C8"/>
    <w:rsid w:val="00E502C9"/>
    <w:rsid w:val="00E51669"/>
    <w:rsid w:val="00E51CDD"/>
    <w:rsid w:val="00E52001"/>
    <w:rsid w:val="00E53474"/>
    <w:rsid w:val="00E56190"/>
    <w:rsid w:val="00E562F8"/>
    <w:rsid w:val="00E61D1E"/>
    <w:rsid w:val="00E645F8"/>
    <w:rsid w:val="00E64E5D"/>
    <w:rsid w:val="00E65BC8"/>
    <w:rsid w:val="00E662F6"/>
    <w:rsid w:val="00E67102"/>
    <w:rsid w:val="00E671C8"/>
    <w:rsid w:val="00E67816"/>
    <w:rsid w:val="00E67C60"/>
    <w:rsid w:val="00E67DAD"/>
    <w:rsid w:val="00E7008C"/>
    <w:rsid w:val="00E706B9"/>
    <w:rsid w:val="00E70893"/>
    <w:rsid w:val="00E70E4E"/>
    <w:rsid w:val="00E71BC0"/>
    <w:rsid w:val="00E746FF"/>
    <w:rsid w:val="00E750C4"/>
    <w:rsid w:val="00E774F1"/>
    <w:rsid w:val="00E77A95"/>
    <w:rsid w:val="00E810C5"/>
    <w:rsid w:val="00E81645"/>
    <w:rsid w:val="00E829AD"/>
    <w:rsid w:val="00E829F7"/>
    <w:rsid w:val="00E82B7C"/>
    <w:rsid w:val="00E83C81"/>
    <w:rsid w:val="00E8591C"/>
    <w:rsid w:val="00E86093"/>
    <w:rsid w:val="00E87834"/>
    <w:rsid w:val="00E87C41"/>
    <w:rsid w:val="00E9210D"/>
    <w:rsid w:val="00E924A4"/>
    <w:rsid w:val="00E9251C"/>
    <w:rsid w:val="00E96BAB"/>
    <w:rsid w:val="00E96E7C"/>
    <w:rsid w:val="00E96EDD"/>
    <w:rsid w:val="00EA0B8E"/>
    <w:rsid w:val="00EA15A6"/>
    <w:rsid w:val="00EA375A"/>
    <w:rsid w:val="00EA3C85"/>
    <w:rsid w:val="00EA4323"/>
    <w:rsid w:val="00EA4CE7"/>
    <w:rsid w:val="00EA5C78"/>
    <w:rsid w:val="00EA6205"/>
    <w:rsid w:val="00EA7E1A"/>
    <w:rsid w:val="00EB079B"/>
    <w:rsid w:val="00EB143F"/>
    <w:rsid w:val="00EB21BA"/>
    <w:rsid w:val="00EB3813"/>
    <w:rsid w:val="00EB4411"/>
    <w:rsid w:val="00EB4588"/>
    <w:rsid w:val="00EB6916"/>
    <w:rsid w:val="00EC21A9"/>
    <w:rsid w:val="00EC4789"/>
    <w:rsid w:val="00EC54CE"/>
    <w:rsid w:val="00EC5CC1"/>
    <w:rsid w:val="00EC66C8"/>
    <w:rsid w:val="00EC67C7"/>
    <w:rsid w:val="00EC682C"/>
    <w:rsid w:val="00EC687B"/>
    <w:rsid w:val="00ED0A30"/>
    <w:rsid w:val="00ED0D19"/>
    <w:rsid w:val="00ED0D88"/>
    <w:rsid w:val="00ED3358"/>
    <w:rsid w:val="00ED4976"/>
    <w:rsid w:val="00ED5BA8"/>
    <w:rsid w:val="00ED7480"/>
    <w:rsid w:val="00EE02C5"/>
    <w:rsid w:val="00EE08F1"/>
    <w:rsid w:val="00EE278C"/>
    <w:rsid w:val="00EE3019"/>
    <w:rsid w:val="00EE4108"/>
    <w:rsid w:val="00EE4CA2"/>
    <w:rsid w:val="00EE529B"/>
    <w:rsid w:val="00EE5B7B"/>
    <w:rsid w:val="00EE5E79"/>
    <w:rsid w:val="00EE639B"/>
    <w:rsid w:val="00EF03ED"/>
    <w:rsid w:val="00EF08CF"/>
    <w:rsid w:val="00EF25AD"/>
    <w:rsid w:val="00EF2933"/>
    <w:rsid w:val="00EF3007"/>
    <w:rsid w:val="00EF3014"/>
    <w:rsid w:val="00EF3019"/>
    <w:rsid w:val="00EF339D"/>
    <w:rsid w:val="00EF391F"/>
    <w:rsid w:val="00EF3F6F"/>
    <w:rsid w:val="00EF4205"/>
    <w:rsid w:val="00EF5096"/>
    <w:rsid w:val="00EF6649"/>
    <w:rsid w:val="00EF70C3"/>
    <w:rsid w:val="00F004A1"/>
    <w:rsid w:val="00F00B5B"/>
    <w:rsid w:val="00F015C3"/>
    <w:rsid w:val="00F01B52"/>
    <w:rsid w:val="00F02470"/>
    <w:rsid w:val="00F02B10"/>
    <w:rsid w:val="00F02BCE"/>
    <w:rsid w:val="00F030E4"/>
    <w:rsid w:val="00F03B7E"/>
    <w:rsid w:val="00F056A0"/>
    <w:rsid w:val="00F077EA"/>
    <w:rsid w:val="00F07B40"/>
    <w:rsid w:val="00F10041"/>
    <w:rsid w:val="00F11C0A"/>
    <w:rsid w:val="00F12ACA"/>
    <w:rsid w:val="00F12D60"/>
    <w:rsid w:val="00F12DAB"/>
    <w:rsid w:val="00F13967"/>
    <w:rsid w:val="00F13B1F"/>
    <w:rsid w:val="00F13F60"/>
    <w:rsid w:val="00F143E8"/>
    <w:rsid w:val="00F1475E"/>
    <w:rsid w:val="00F16CDC"/>
    <w:rsid w:val="00F17669"/>
    <w:rsid w:val="00F20086"/>
    <w:rsid w:val="00F2009E"/>
    <w:rsid w:val="00F20F70"/>
    <w:rsid w:val="00F211C1"/>
    <w:rsid w:val="00F216B3"/>
    <w:rsid w:val="00F223B9"/>
    <w:rsid w:val="00F224BA"/>
    <w:rsid w:val="00F243DC"/>
    <w:rsid w:val="00F26228"/>
    <w:rsid w:val="00F26D00"/>
    <w:rsid w:val="00F27907"/>
    <w:rsid w:val="00F27AED"/>
    <w:rsid w:val="00F31D46"/>
    <w:rsid w:val="00F325A1"/>
    <w:rsid w:val="00F32709"/>
    <w:rsid w:val="00F328B2"/>
    <w:rsid w:val="00F336F3"/>
    <w:rsid w:val="00F33E83"/>
    <w:rsid w:val="00F3454A"/>
    <w:rsid w:val="00F34700"/>
    <w:rsid w:val="00F34BF6"/>
    <w:rsid w:val="00F34DEF"/>
    <w:rsid w:val="00F36A24"/>
    <w:rsid w:val="00F40760"/>
    <w:rsid w:val="00F40F67"/>
    <w:rsid w:val="00F42D69"/>
    <w:rsid w:val="00F4434C"/>
    <w:rsid w:val="00F4446A"/>
    <w:rsid w:val="00F45506"/>
    <w:rsid w:val="00F457DA"/>
    <w:rsid w:val="00F475F0"/>
    <w:rsid w:val="00F47858"/>
    <w:rsid w:val="00F47957"/>
    <w:rsid w:val="00F50923"/>
    <w:rsid w:val="00F50A03"/>
    <w:rsid w:val="00F50AC2"/>
    <w:rsid w:val="00F50F34"/>
    <w:rsid w:val="00F5151A"/>
    <w:rsid w:val="00F52F70"/>
    <w:rsid w:val="00F538FB"/>
    <w:rsid w:val="00F56625"/>
    <w:rsid w:val="00F57323"/>
    <w:rsid w:val="00F57333"/>
    <w:rsid w:val="00F57931"/>
    <w:rsid w:val="00F60022"/>
    <w:rsid w:val="00F61D4D"/>
    <w:rsid w:val="00F62357"/>
    <w:rsid w:val="00F6392F"/>
    <w:rsid w:val="00F6450F"/>
    <w:rsid w:val="00F65405"/>
    <w:rsid w:val="00F65A52"/>
    <w:rsid w:val="00F65FF1"/>
    <w:rsid w:val="00F7121A"/>
    <w:rsid w:val="00F71621"/>
    <w:rsid w:val="00F727B0"/>
    <w:rsid w:val="00F72B50"/>
    <w:rsid w:val="00F72C67"/>
    <w:rsid w:val="00F74BEA"/>
    <w:rsid w:val="00F7521D"/>
    <w:rsid w:val="00F776AC"/>
    <w:rsid w:val="00F77D38"/>
    <w:rsid w:val="00F81C0B"/>
    <w:rsid w:val="00F82764"/>
    <w:rsid w:val="00F835C8"/>
    <w:rsid w:val="00F8480F"/>
    <w:rsid w:val="00F8646F"/>
    <w:rsid w:val="00F86B52"/>
    <w:rsid w:val="00F86E31"/>
    <w:rsid w:val="00F91668"/>
    <w:rsid w:val="00F922CB"/>
    <w:rsid w:val="00F92675"/>
    <w:rsid w:val="00F93333"/>
    <w:rsid w:val="00F93E92"/>
    <w:rsid w:val="00F94AED"/>
    <w:rsid w:val="00F94C37"/>
    <w:rsid w:val="00F950D5"/>
    <w:rsid w:val="00F97920"/>
    <w:rsid w:val="00FA0A83"/>
    <w:rsid w:val="00FA1277"/>
    <w:rsid w:val="00FA2585"/>
    <w:rsid w:val="00FA39F0"/>
    <w:rsid w:val="00FA3F0D"/>
    <w:rsid w:val="00FA7D0F"/>
    <w:rsid w:val="00FB001F"/>
    <w:rsid w:val="00FB127A"/>
    <w:rsid w:val="00FB1476"/>
    <w:rsid w:val="00FB16CA"/>
    <w:rsid w:val="00FB18B6"/>
    <w:rsid w:val="00FB1D61"/>
    <w:rsid w:val="00FB340E"/>
    <w:rsid w:val="00FB4760"/>
    <w:rsid w:val="00FB4D87"/>
    <w:rsid w:val="00FB5047"/>
    <w:rsid w:val="00FB5754"/>
    <w:rsid w:val="00FC0E74"/>
    <w:rsid w:val="00FC1017"/>
    <w:rsid w:val="00FC1640"/>
    <w:rsid w:val="00FC2507"/>
    <w:rsid w:val="00FC4F21"/>
    <w:rsid w:val="00FC505C"/>
    <w:rsid w:val="00FC5376"/>
    <w:rsid w:val="00FC5675"/>
    <w:rsid w:val="00FC608E"/>
    <w:rsid w:val="00FC69BD"/>
    <w:rsid w:val="00FC7257"/>
    <w:rsid w:val="00FC7FCF"/>
    <w:rsid w:val="00FD3B37"/>
    <w:rsid w:val="00FD4E7E"/>
    <w:rsid w:val="00FD5EF3"/>
    <w:rsid w:val="00FD6623"/>
    <w:rsid w:val="00FD7B08"/>
    <w:rsid w:val="00FD7D11"/>
    <w:rsid w:val="00FE18BC"/>
    <w:rsid w:val="00FE289A"/>
    <w:rsid w:val="00FE31B2"/>
    <w:rsid w:val="00FE72E0"/>
    <w:rsid w:val="00FF2967"/>
    <w:rsid w:val="00FF32CD"/>
    <w:rsid w:val="00FF4942"/>
    <w:rsid w:val="00FF5835"/>
    <w:rsid w:val="00FF7114"/>
    <w:rsid w:val="00FF7587"/>
    <w:rsid w:val="00FF76D4"/>
    <w:rsid w:val="00FF777F"/>
    <w:rsid w:val="010D6029"/>
    <w:rsid w:val="01186083"/>
    <w:rsid w:val="01211AD4"/>
    <w:rsid w:val="01233A9E"/>
    <w:rsid w:val="013864A2"/>
    <w:rsid w:val="01437366"/>
    <w:rsid w:val="01527EDF"/>
    <w:rsid w:val="015D0D5E"/>
    <w:rsid w:val="016C0258"/>
    <w:rsid w:val="017544C9"/>
    <w:rsid w:val="01777165"/>
    <w:rsid w:val="017E1A1D"/>
    <w:rsid w:val="01861FB2"/>
    <w:rsid w:val="018E7169"/>
    <w:rsid w:val="0194674A"/>
    <w:rsid w:val="019A54A7"/>
    <w:rsid w:val="01A916C8"/>
    <w:rsid w:val="01BE5948"/>
    <w:rsid w:val="01C54B55"/>
    <w:rsid w:val="01E4322D"/>
    <w:rsid w:val="01E61E7D"/>
    <w:rsid w:val="01EC155F"/>
    <w:rsid w:val="01EF427D"/>
    <w:rsid w:val="021066E2"/>
    <w:rsid w:val="021138F7"/>
    <w:rsid w:val="021A27AB"/>
    <w:rsid w:val="021B4775"/>
    <w:rsid w:val="02627A70"/>
    <w:rsid w:val="0264116E"/>
    <w:rsid w:val="027C2552"/>
    <w:rsid w:val="028B5457"/>
    <w:rsid w:val="029D518A"/>
    <w:rsid w:val="02A110C1"/>
    <w:rsid w:val="02AF311C"/>
    <w:rsid w:val="02B32C00"/>
    <w:rsid w:val="02B726F0"/>
    <w:rsid w:val="02CB3070"/>
    <w:rsid w:val="02E5725D"/>
    <w:rsid w:val="030222F3"/>
    <w:rsid w:val="030B6598"/>
    <w:rsid w:val="03402533"/>
    <w:rsid w:val="03471756"/>
    <w:rsid w:val="034B00E1"/>
    <w:rsid w:val="035241C7"/>
    <w:rsid w:val="03547EE0"/>
    <w:rsid w:val="03593570"/>
    <w:rsid w:val="035D3297"/>
    <w:rsid w:val="036363D4"/>
    <w:rsid w:val="03641FE1"/>
    <w:rsid w:val="036D1000"/>
    <w:rsid w:val="037C15DE"/>
    <w:rsid w:val="037E01BE"/>
    <w:rsid w:val="038077DF"/>
    <w:rsid w:val="03B40C49"/>
    <w:rsid w:val="03B63F86"/>
    <w:rsid w:val="03DD7F34"/>
    <w:rsid w:val="03E7444B"/>
    <w:rsid w:val="03EB7F0A"/>
    <w:rsid w:val="03ED2AFE"/>
    <w:rsid w:val="03F40681"/>
    <w:rsid w:val="03F50C28"/>
    <w:rsid w:val="040031FC"/>
    <w:rsid w:val="0401799B"/>
    <w:rsid w:val="040A2CF3"/>
    <w:rsid w:val="04114082"/>
    <w:rsid w:val="041F054D"/>
    <w:rsid w:val="04275653"/>
    <w:rsid w:val="042D5ACB"/>
    <w:rsid w:val="042F62B6"/>
    <w:rsid w:val="0433224A"/>
    <w:rsid w:val="045269D6"/>
    <w:rsid w:val="046F138C"/>
    <w:rsid w:val="0481368B"/>
    <w:rsid w:val="04854128"/>
    <w:rsid w:val="0490144A"/>
    <w:rsid w:val="04937E06"/>
    <w:rsid w:val="049D5915"/>
    <w:rsid w:val="04A86254"/>
    <w:rsid w:val="04AD0BA6"/>
    <w:rsid w:val="04AE3BB9"/>
    <w:rsid w:val="04AE7B23"/>
    <w:rsid w:val="04AE7EFA"/>
    <w:rsid w:val="04C52BED"/>
    <w:rsid w:val="04CE3D21"/>
    <w:rsid w:val="04D70E27"/>
    <w:rsid w:val="04E35A1E"/>
    <w:rsid w:val="04E56E3A"/>
    <w:rsid w:val="04EA6DAD"/>
    <w:rsid w:val="04EA7164"/>
    <w:rsid w:val="04EF4FD3"/>
    <w:rsid w:val="04F100E4"/>
    <w:rsid w:val="04FC4545"/>
    <w:rsid w:val="04FC6AE0"/>
    <w:rsid w:val="0508227C"/>
    <w:rsid w:val="0517066E"/>
    <w:rsid w:val="053973EC"/>
    <w:rsid w:val="053A3164"/>
    <w:rsid w:val="053D65D5"/>
    <w:rsid w:val="053E28C2"/>
    <w:rsid w:val="05461B09"/>
    <w:rsid w:val="054C3101"/>
    <w:rsid w:val="055406CA"/>
    <w:rsid w:val="05670108"/>
    <w:rsid w:val="0567616E"/>
    <w:rsid w:val="057228FE"/>
    <w:rsid w:val="057E74F5"/>
    <w:rsid w:val="05850883"/>
    <w:rsid w:val="058634AA"/>
    <w:rsid w:val="05964DAF"/>
    <w:rsid w:val="05972365"/>
    <w:rsid w:val="05B26F26"/>
    <w:rsid w:val="05B57DF5"/>
    <w:rsid w:val="05B9740C"/>
    <w:rsid w:val="05BC001D"/>
    <w:rsid w:val="05D67331"/>
    <w:rsid w:val="05E0745C"/>
    <w:rsid w:val="05E76E48"/>
    <w:rsid w:val="05EA2DDC"/>
    <w:rsid w:val="05F63ED8"/>
    <w:rsid w:val="05FE0636"/>
    <w:rsid w:val="060774EA"/>
    <w:rsid w:val="06090B03"/>
    <w:rsid w:val="060F45F1"/>
    <w:rsid w:val="061338B6"/>
    <w:rsid w:val="061B3687"/>
    <w:rsid w:val="06287461"/>
    <w:rsid w:val="062B705F"/>
    <w:rsid w:val="062C0CFF"/>
    <w:rsid w:val="064610E7"/>
    <w:rsid w:val="065F2915"/>
    <w:rsid w:val="0686372B"/>
    <w:rsid w:val="068A7C31"/>
    <w:rsid w:val="068B5A0C"/>
    <w:rsid w:val="06985569"/>
    <w:rsid w:val="069E0CB0"/>
    <w:rsid w:val="06A66050"/>
    <w:rsid w:val="06B84C89"/>
    <w:rsid w:val="06C72E81"/>
    <w:rsid w:val="06CB49BC"/>
    <w:rsid w:val="06CE625A"/>
    <w:rsid w:val="06D33870"/>
    <w:rsid w:val="06D56219"/>
    <w:rsid w:val="06DA69AD"/>
    <w:rsid w:val="06E64CB2"/>
    <w:rsid w:val="06F7755F"/>
    <w:rsid w:val="06F83EEA"/>
    <w:rsid w:val="06FC2DC7"/>
    <w:rsid w:val="06FF416F"/>
    <w:rsid w:val="070103DE"/>
    <w:rsid w:val="07023C58"/>
    <w:rsid w:val="07045847"/>
    <w:rsid w:val="07072833"/>
    <w:rsid w:val="07100621"/>
    <w:rsid w:val="071213B4"/>
    <w:rsid w:val="0715574B"/>
    <w:rsid w:val="07283BBC"/>
    <w:rsid w:val="07326882"/>
    <w:rsid w:val="0733430F"/>
    <w:rsid w:val="073D0CEA"/>
    <w:rsid w:val="07487DBA"/>
    <w:rsid w:val="07571DAC"/>
    <w:rsid w:val="07683662"/>
    <w:rsid w:val="07686EDA"/>
    <w:rsid w:val="07727EB0"/>
    <w:rsid w:val="07747AA2"/>
    <w:rsid w:val="077D7B0E"/>
    <w:rsid w:val="078736C3"/>
    <w:rsid w:val="07911761"/>
    <w:rsid w:val="079A613C"/>
    <w:rsid w:val="07A33243"/>
    <w:rsid w:val="07A84F7C"/>
    <w:rsid w:val="07AF3B4C"/>
    <w:rsid w:val="07C136C9"/>
    <w:rsid w:val="07C953F6"/>
    <w:rsid w:val="07D30927"/>
    <w:rsid w:val="07D72EEC"/>
    <w:rsid w:val="07E1193E"/>
    <w:rsid w:val="07F4271D"/>
    <w:rsid w:val="07FE40C3"/>
    <w:rsid w:val="081E0B1B"/>
    <w:rsid w:val="0821435D"/>
    <w:rsid w:val="082D126D"/>
    <w:rsid w:val="082E7225"/>
    <w:rsid w:val="08376892"/>
    <w:rsid w:val="083C3D2C"/>
    <w:rsid w:val="08640C24"/>
    <w:rsid w:val="0869448C"/>
    <w:rsid w:val="087807CF"/>
    <w:rsid w:val="087B41C0"/>
    <w:rsid w:val="087B5F6E"/>
    <w:rsid w:val="08821811"/>
    <w:rsid w:val="08874912"/>
    <w:rsid w:val="08900955"/>
    <w:rsid w:val="08A13C26"/>
    <w:rsid w:val="08AE00F1"/>
    <w:rsid w:val="08C079C4"/>
    <w:rsid w:val="08C276F9"/>
    <w:rsid w:val="08DB53D5"/>
    <w:rsid w:val="08DD4532"/>
    <w:rsid w:val="08EB6C4F"/>
    <w:rsid w:val="08EC5921"/>
    <w:rsid w:val="09004CD8"/>
    <w:rsid w:val="090221EB"/>
    <w:rsid w:val="090715AF"/>
    <w:rsid w:val="0911271A"/>
    <w:rsid w:val="09207EB0"/>
    <w:rsid w:val="09284801"/>
    <w:rsid w:val="09297778"/>
    <w:rsid w:val="092A791F"/>
    <w:rsid w:val="092C6D9A"/>
    <w:rsid w:val="092E4D8E"/>
    <w:rsid w:val="09414BE4"/>
    <w:rsid w:val="09430978"/>
    <w:rsid w:val="09482240"/>
    <w:rsid w:val="095F177A"/>
    <w:rsid w:val="09680114"/>
    <w:rsid w:val="0969335A"/>
    <w:rsid w:val="0972111F"/>
    <w:rsid w:val="097A3962"/>
    <w:rsid w:val="097E3F67"/>
    <w:rsid w:val="09855F96"/>
    <w:rsid w:val="09BB5137"/>
    <w:rsid w:val="09C53944"/>
    <w:rsid w:val="09CB6A81"/>
    <w:rsid w:val="09CF47C3"/>
    <w:rsid w:val="09D06E6D"/>
    <w:rsid w:val="09DF518F"/>
    <w:rsid w:val="09E33DCA"/>
    <w:rsid w:val="09F064E7"/>
    <w:rsid w:val="09F07868"/>
    <w:rsid w:val="09F67759"/>
    <w:rsid w:val="0A0F7B9A"/>
    <w:rsid w:val="0A131AD0"/>
    <w:rsid w:val="0A140428"/>
    <w:rsid w:val="0A36039E"/>
    <w:rsid w:val="0A426D43"/>
    <w:rsid w:val="0A4F76B2"/>
    <w:rsid w:val="0A5E16A3"/>
    <w:rsid w:val="0A6A5E0F"/>
    <w:rsid w:val="0A754AE1"/>
    <w:rsid w:val="0A7B4003"/>
    <w:rsid w:val="0A7C443D"/>
    <w:rsid w:val="0A8D0CF1"/>
    <w:rsid w:val="0A984BB5"/>
    <w:rsid w:val="0A9F717D"/>
    <w:rsid w:val="0AA7129C"/>
    <w:rsid w:val="0AAD71FF"/>
    <w:rsid w:val="0AB1659F"/>
    <w:rsid w:val="0ABD7B21"/>
    <w:rsid w:val="0ACC2F51"/>
    <w:rsid w:val="0ADE0D1E"/>
    <w:rsid w:val="0ADE4D33"/>
    <w:rsid w:val="0ADE7C6F"/>
    <w:rsid w:val="0ADF4592"/>
    <w:rsid w:val="0B0C7351"/>
    <w:rsid w:val="0B112BB9"/>
    <w:rsid w:val="0B1D3715"/>
    <w:rsid w:val="0B2C03E4"/>
    <w:rsid w:val="0B2E5519"/>
    <w:rsid w:val="0B3B3792"/>
    <w:rsid w:val="0B405E0F"/>
    <w:rsid w:val="0B4307AD"/>
    <w:rsid w:val="0B6B4077"/>
    <w:rsid w:val="0B703A4D"/>
    <w:rsid w:val="0B750216"/>
    <w:rsid w:val="0B892750"/>
    <w:rsid w:val="0B9210A2"/>
    <w:rsid w:val="0B923CFA"/>
    <w:rsid w:val="0BA61553"/>
    <w:rsid w:val="0BBF6171"/>
    <w:rsid w:val="0BC45868"/>
    <w:rsid w:val="0BD61B28"/>
    <w:rsid w:val="0BD61DB3"/>
    <w:rsid w:val="0BDB7FAF"/>
    <w:rsid w:val="0C01678A"/>
    <w:rsid w:val="0C0D5409"/>
    <w:rsid w:val="0C0F70F9"/>
    <w:rsid w:val="0C364685"/>
    <w:rsid w:val="0C3D0C3A"/>
    <w:rsid w:val="0C443FA3"/>
    <w:rsid w:val="0C547201"/>
    <w:rsid w:val="0C5B233E"/>
    <w:rsid w:val="0C635078"/>
    <w:rsid w:val="0C6C62F9"/>
    <w:rsid w:val="0C711B61"/>
    <w:rsid w:val="0C7D05E9"/>
    <w:rsid w:val="0C8B69DC"/>
    <w:rsid w:val="0C9807F7"/>
    <w:rsid w:val="0C9970F3"/>
    <w:rsid w:val="0CAA1D15"/>
    <w:rsid w:val="0CB55467"/>
    <w:rsid w:val="0CB92195"/>
    <w:rsid w:val="0CBA3508"/>
    <w:rsid w:val="0CCC5D25"/>
    <w:rsid w:val="0CD46F71"/>
    <w:rsid w:val="0CD520F0"/>
    <w:rsid w:val="0CDE6ACB"/>
    <w:rsid w:val="0CF32E75"/>
    <w:rsid w:val="0CF63E15"/>
    <w:rsid w:val="0CFA1B57"/>
    <w:rsid w:val="0CFB142B"/>
    <w:rsid w:val="0D026DAD"/>
    <w:rsid w:val="0D0522AA"/>
    <w:rsid w:val="0D054058"/>
    <w:rsid w:val="0D060E61"/>
    <w:rsid w:val="0D084B45"/>
    <w:rsid w:val="0D0C53E6"/>
    <w:rsid w:val="0D3D5EE8"/>
    <w:rsid w:val="0D417E3A"/>
    <w:rsid w:val="0D470B14"/>
    <w:rsid w:val="0D5A3150"/>
    <w:rsid w:val="0D6671EC"/>
    <w:rsid w:val="0D6A14E8"/>
    <w:rsid w:val="0D6D6245"/>
    <w:rsid w:val="0D782393"/>
    <w:rsid w:val="0D9607DB"/>
    <w:rsid w:val="0D994044"/>
    <w:rsid w:val="0D9A50E8"/>
    <w:rsid w:val="0D9C676A"/>
    <w:rsid w:val="0DB241E0"/>
    <w:rsid w:val="0DB429A2"/>
    <w:rsid w:val="0DBC6E0C"/>
    <w:rsid w:val="0DC108C7"/>
    <w:rsid w:val="0DDC125D"/>
    <w:rsid w:val="0DDC6937"/>
    <w:rsid w:val="0DDF6F9F"/>
    <w:rsid w:val="0DE325EB"/>
    <w:rsid w:val="0DE871CD"/>
    <w:rsid w:val="0E0407B3"/>
    <w:rsid w:val="0E0B1B42"/>
    <w:rsid w:val="0E194F31"/>
    <w:rsid w:val="0E1E7705"/>
    <w:rsid w:val="0E2624D8"/>
    <w:rsid w:val="0E2B5D40"/>
    <w:rsid w:val="0E2F3A82"/>
    <w:rsid w:val="0E5057A7"/>
    <w:rsid w:val="0E5564EE"/>
    <w:rsid w:val="0E6354DA"/>
    <w:rsid w:val="0E7507C4"/>
    <w:rsid w:val="0E8612AA"/>
    <w:rsid w:val="0E9B227E"/>
    <w:rsid w:val="0EA9183C"/>
    <w:rsid w:val="0EAF6971"/>
    <w:rsid w:val="0EBD108E"/>
    <w:rsid w:val="0EC20452"/>
    <w:rsid w:val="0ECD2F96"/>
    <w:rsid w:val="0EE77EB9"/>
    <w:rsid w:val="0EFF01A9"/>
    <w:rsid w:val="0EFF16A6"/>
    <w:rsid w:val="0F141508"/>
    <w:rsid w:val="0F16079E"/>
    <w:rsid w:val="0F267997"/>
    <w:rsid w:val="0F334EAC"/>
    <w:rsid w:val="0F3B486A"/>
    <w:rsid w:val="0F3F7CF5"/>
    <w:rsid w:val="0F417094"/>
    <w:rsid w:val="0F42346F"/>
    <w:rsid w:val="0F43035C"/>
    <w:rsid w:val="0F557BBF"/>
    <w:rsid w:val="0F5B4403"/>
    <w:rsid w:val="0F6239E3"/>
    <w:rsid w:val="0F6314E7"/>
    <w:rsid w:val="0F64775C"/>
    <w:rsid w:val="0F654D69"/>
    <w:rsid w:val="0F7316A6"/>
    <w:rsid w:val="0F735BF1"/>
    <w:rsid w:val="0F781459"/>
    <w:rsid w:val="0F803E6A"/>
    <w:rsid w:val="0F827BE2"/>
    <w:rsid w:val="0F9743A1"/>
    <w:rsid w:val="0FAD1102"/>
    <w:rsid w:val="0FB203DF"/>
    <w:rsid w:val="0FC30926"/>
    <w:rsid w:val="0FCB0FB9"/>
    <w:rsid w:val="0FCE2E27"/>
    <w:rsid w:val="0FCF62BF"/>
    <w:rsid w:val="0FDF4C74"/>
    <w:rsid w:val="0FF655B7"/>
    <w:rsid w:val="0FFA688E"/>
    <w:rsid w:val="100811EF"/>
    <w:rsid w:val="103672FB"/>
    <w:rsid w:val="10392996"/>
    <w:rsid w:val="103A7E9E"/>
    <w:rsid w:val="104126C9"/>
    <w:rsid w:val="1045393E"/>
    <w:rsid w:val="104B26C9"/>
    <w:rsid w:val="104B615E"/>
    <w:rsid w:val="104E5D16"/>
    <w:rsid w:val="105570A4"/>
    <w:rsid w:val="106D43EE"/>
    <w:rsid w:val="106D7D65"/>
    <w:rsid w:val="10725EA8"/>
    <w:rsid w:val="107734BE"/>
    <w:rsid w:val="107C4C75"/>
    <w:rsid w:val="107F0312"/>
    <w:rsid w:val="10831BFF"/>
    <w:rsid w:val="108B0D18"/>
    <w:rsid w:val="10AD5132"/>
    <w:rsid w:val="10C61D50"/>
    <w:rsid w:val="10CD1330"/>
    <w:rsid w:val="10E051AE"/>
    <w:rsid w:val="10E072B6"/>
    <w:rsid w:val="10E16B8A"/>
    <w:rsid w:val="10E533A7"/>
    <w:rsid w:val="10EA1EE2"/>
    <w:rsid w:val="10F66AD9"/>
    <w:rsid w:val="110A6481"/>
    <w:rsid w:val="110D6C23"/>
    <w:rsid w:val="11115CFE"/>
    <w:rsid w:val="111927C8"/>
    <w:rsid w:val="111E393A"/>
    <w:rsid w:val="112A2799"/>
    <w:rsid w:val="112C24FB"/>
    <w:rsid w:val="11353824"/>
    <w:rsid w:val="113F222E"/>
    <w:rsid w:val="11472E91"/>
    <w:rsid w:val="115C6067"/>
    <w:rsid w:val="116D4627"/>
    <w:rsid w:val="117417AC"/>
    <w:rsid w:val="119A7465"/>
    <w:rsid w:val="11C049F1"/>
    <w:rsid w:val="11D5049D"/>
    <w:rsid w:val="11DB182B"/>
    <w:rsid w:val="11E132E5"/>
    <w:rsid w:val="11E3705D"/>
    <w:rsid w:val="11F00204"/>
    <w:rsid w:val="11FA6155"/>
    <w:rsid w:val="11FC2DE6"/>
    <w:rsid w:val="1200766C"/>
    <w:rsid w:val="12072620"/>
    <w:rsid w:val="12102087"/>
    <w:rsid w:val="121461FF"/>
    <w:rsid w:val="121C4531"/>
    <w:rsid w:val="122935A0"/>
    <w:rsid w:val="1233661D"/>
    <w:rsid w:val="1243277E"/>
    <w:rsid w:val="12433FBF"/>
    <w:rsid w:val="12451C2F"/>
    <w:rsid w:val="12482F23"/>
    <w:rsid w:val="12535865"/>
    <w:rsid w:val="125515DD"/>
    <w:rsid w:val="12555A81"/>
    <w:rsid w:val="127961AB"/>
    <w:rsid w:val="127A7296"/>
    <w:rsid w:val="127B4131"/>
    <w:rsid w:val="127C300E"/>
    <w:rsid w:val="128B22F7"/>
    <w:rsid w:val="12993BC0"/>
    <w:rsid w:val="12997DDC"/>
    <w:rsid w:val="12A21A40"/>
    <w:rsid w:val="12A34214"/>
    <w:rsid w:val="12AA1929"/>
    <w:rsid w:val="12B32296"/>
    <w:rsid w:val="12BC76AC"/>
    <w:rsid w:val="12D97B14"/>
    <w:rsid w:val="12EA1D76"/>
    <w:rsid w:val="13004687"/>
    <w:rsid w:val="130835B9"/>
    <w:rsid w:val="130C4592"/>
    <w:rsid w:val="13143247"/>
    <w:rsid w:val="1319085D"/>
    <w:rsid w:val="132C5A1B"/>
    <w:rsid w:val="132E6A85"/>
    <w:rsid w:val="138F435F"/>
    <w:rsid w:val="13946135"/>
    <w:rsid w:val="13A24CF6"/>
    <w:rsid w:val="13B32A60"/>
    <w:rsid w:val="13BB4E27"/>
    <w:rsid w:val="13CA1B57"/>
    <w:rsid w:val="13E76BAD"/>
    <w:rsid w:val="13E9022F"/>
    <w:rsid w:val="13F466E6"/>
    <w:rsid w:val="1402475B"/>
    <w:rsid w:val="14177651"/>
    <w:rsid w:val="14362326"/>
    <w:rsid w:val="143A6CDD"/>
    <w:rsid w:val="14575AE1"/>
    <w:rsid w:val="14786413"/>
    <w:rsid w:val="147B7751"/>
    <w:rsid w:val="14852199"/>
    <w:rsid w:val="14904B4F"/>
    <w:rsid w:val="14B364C3"/>
    <w:rsid w:val="14B545B5"/>
    <w:rsid w:val="14B7032D"/>
    <w:rsid w:val="14BE7F10"/>
    <w:rsid w:val="14D507B4"/>
    <w:rsid w:val="14ED3D4F"/>
    <w:rsid w:val="14F11C0E"/>
    <w:rsid w:val="14FF1DF6"/>
    <w:rsid w:val="150643CD"/>
    <w:rsid w:val="15064A21"/>
    <w:rsid w:val="150F79DC"/>
    <w:rsid w:val="151E6A48"/>
    <w:rsid w:val="15292003"/>
    <w:rsid w:val="15393438"/>
    <w:rsid w:val="15475B55"/>
    <w:rsid w:val="155B6F0B"/>
    <w:rsid w:val="15611C26"/>
    <w:rsid w:val="15782BC9"/>
    <w:rsid w:val="15787ABD"/>
    <w:rsid w:val="158F4E06"/>
    <w:rsid w:val="1596627D"/>
    <w:rsid w:val="159E69E5"/>
    <w:rsid w:val="15B028DA"/>
    <w:rsid w:val="15B42ABF"/>
    <w:rsid w:val="15B71C16"/>
    <w:rsid w:val="15BA6327"/>
    <w:rsid w:val="15CC09DD"/>
    <w:rsid w:val="15DB629E"/>
    <w:rsid w:val="15DB6A5A"/>
    <w:rsid w:val="1602382A"/>
    <w:rsid w:val="16231DB1"/>
    <w:rsid w:val="165C1A47"/>
    <w:rsid w:val="166605F9"/>
    <w:rsid w:val="16685D83"/>
    <w:rsid w:val="16691AFB"/>
    <w:rsid w:val="16730284"/>
    <w:rsid w:val="16736A4D"/>
    <w:rsid w:val="1695285C"/>
    <w:rsid w:val="16BD6DCA"/>
    <w:rsid w:val="16C17D3F"/>
    <w:rsid w:val="16C53E67"/>
    <w:rsid w:val="16C8451B"/>
    <w:rsid w:val="16D03928"/>
    <w:rsid w:val="16D3224E"/>
    <w:rsid w:val="16D474D6"/>
    <w:rsid w:val="16E57E21"/>
    <w:rsid w:val="16EF2001"/>
    <w:rsid w:val="16FA09A5"/>
    <w:rsid w:val="17033CFE"/>
    <w:rsid w:val="172F4AF3"/>
    <w:rsid w:val="1731510D"/>
    <w:rsid w:val="17332E28"/>
    <w:rsid w:val="173503D8"/>
    <w:rsid w:val="17400AAE"/>
    <w:rsid w:val="1749053F"/>
    <w:rsid w:val="174D31CB"/>
    <w:rsid w:val="175045F4"/>
    <w:rsid w:val="178169D1"/>
    <w:rsid w:val="17824C23"/>
    <w:rsid w:val="17897293"/>
    <w:rsid w:val="179761F4"/>
    <w:rsid w:val="179B7376"/>
    <w:rsid w:val="179C380B"/>
    <w:rsid w:val="17A27073"/>
    <w:rsid w:val="17B558E8"/>
    <w:rsid w:val="17B86896"/>
    <w:rsid w:val="17C02A9C"/>
    <w:rsid w:val="17C731EE"/>
    <w:rsid w:val="17DD621A"/>
    <w:rsid w:val="17E537F2"/>
    <w:rsid w:val="17EE2027"/>
    <w:rsid w:val="17F35B20"/>
    <w:rsid w:val="17F67A92"/>
    <w:rsid w:val="17FE4324"/>
    <w:rsid w:val="18060069"/>
    <w:rsid w:val="180970F2"/>
    <w:rsid w:val="1810194F"/>
    <w:rsid w:val="181635BD"/>
    <w:rsid w:val="18253800"/>
    <w:rsid w:val="18283C24"/>
    <w:rsid w:val="18291542"/>
    <w:rsid w:val="182C41A6"/>
    <w:rsid w:val="184A3267"/>
    <w:rsid w:val="18574301"/>
    <w:rsid w:val="18590993"/>
    <w:rsid w:val="185B1342"/>
    <w:rsid w:val="18650063"/>
    <w:rsid w:val="186719E1"/>
    <w:rsid w:val="186E6189"/>
    <w:rsid w:val="18702CCD"/>
    <w:rsid w:val="187F2F8D"/>
    <w:rsid w:val="18822A00"/>
    <w:rsid w:val="189015C1"/>
    <w:rsid w:val="18910E95"/>
    <w:rsid w:val="18953409"/>
    <w:rsid w:val="18956BD8"/>
    <w:rsid w:val="18964D5D"/>
    <w:rsid w:val="189746FE"/>
    <w:rsid w:val="189D5A8C"/>
    <w:rsid w:val="18A230A3"/>
    <w:rsid w:val="18A94431"/>
    <w:rsid w:val="18B955D1"/>
    <w:rsid w:val="18BA03EC"/>
    <w:rsid w:val="18C845CF"/>
    <w:rsid w:val="18CD4A2F"/>
    <w:rsid w:val="18D71944"/>
    <w:rsid w:val="18E130D6"/>
    <w:rsid w:val="18E51830"/>
    <w:rsid w:val="18E848D5"/>
    <w:rsid w:val="18ED4079"/>
    <w:rsid w:val="19023ED4"/>
    <w:rsid w:val="190D676E"/>
    <w:rsid w:val="191E097B"/>
    <w:rsid w:val="192A5572"/>
    <w:rsid w:val="192D5989"/>
    <w:rsid w:val="193E2DCB"/>
    <w:rsid w:val="193E737D"/>
    <w:rsid w:val="194B7296"/>
    <w:rsid w:val="19573039"/>
    <w:rsid w:val="195A3789"/>
    <w:rsid w:val="195A46B8"/>
    <w:rsid w:val="195E346D"/>
    <w:rsid w:val="19617711"/>
    <w:rsid w:val="196565AA"/>
    <w:rsid w:val="19722BC3"/>
    <w:rsid w:val="197F7CB8"/>
    <w:rsid w:val="19924EC5"/>
    <w:rsid w:val="199944A6"/>
    <w:rsid w:val="19A21C4A"/>
    <w:rsid w:val="19A277FE"/>
    <w:rsid w:val="19B337B9"/>
    <w:rsid w:val="19B968F6"/>
    <w:rsid w:val="19CD54FC"/>
    <w:rsid w:val="19CE17F2"/>
    <w:rsid w:val="19D13C3F"/>
    <w:rsid w:val="1A0933D9"/>
    <w:rsid w:val="1A14235D"/>
    <w:rsid w:val="1A31167B"/>
    <w:rsid w:val="1A3418C5"/>
    <w:rsid w:val="1A534654"/>
    <w:rsid w:val="1A693E78"/>
    <w:rsid w:val="1A6D6C0F"/>
    <w:rsid w:val="1A7F3B92"/>
    <w:rsid w:val="1A862C7C"/>
    <w:rsid w:val="1A8A2F84"/>
    <w:rsid w:val="1A8B25B5"/>
    <w:rsid w:val="1A9112E0"/>
    <w:rsid w:val="1A98475D"/>
    <w:rsid w:val="1A9D7C87"/>
    <w:rsid w:val="1AA20B3C"/>
    <w:rsid w:val="1ACC4407"/>
    <w:rsid w:val="1AE259D8"/>
    <w:rsid w:val="1AEE4C0A"/>
    <w:rsid w:val="1AF376D2"/>
    <w:rsid w:val="1AFA6C16"/>
    <w:rsid w:val="1AFF6950"/>
    <w:rsid w:val="1B090B87"/>
    <w:rsid w:val="1B136ACD"/>
    <w:rsid w:val="1B19589E"/>
    <w:rsid w:val="1B3E5259"/>
    <w:rsid w:val="1B410951"/>
    <w:rsid w:val="1B416BA3"/>
    <w:rsid w:val="1B422E5C"/>
    <w:rsid w:val="1B5355BF"/>
    <w:rsid w:val="1B570174"/>
    <w:rsid w:val="1B671A7F"/>
    <w:rsid w:val="1B6D7998"/>
    <w:rsid w:val="1B6F1962"/>
    <w:rsid w:val="1B7C5E2D"/>
    <w:rsid w:val="1B7E3953"/>
    <w:rsid w:val="1B9A1AA4"/>
    <w:rsid w:val="1BAA4748"/>
    <w:rsid w:val="1BAC34C7"/>
    <w:rsid w:val="1BB53BFC"/>
    <w:rsid w:val="1BBE1FA1"/>
    <w:rsid w:val="1BC3580A"/>
    <w:rsid w:val="1BC7354C"/>
    <w:rsid w:val="1BC81469"/>
    <w:rsid w:val="1BD619E1"/>
    <w:rsid w:val="1BE20386"/>
    <w:rsid w:val="1BEC40AD"/>
    <w:rsid w:val="1BEC449D"/>
    <w:rsid w:val="1BF004DF"/>
    <w:rsid w:val="1C054074"/>
    <w:rsid w:val="1C1D60A5"/>
    <w:rsid w:val="1C283ECE"/>
    <w:rsid w:val="1C35495A"/>
    <w:rsid w:val="1C640D9B"/>
    <w:rsid w:val="1C7865F4"/>
    <w:rsid w:val="1C8F1839"/>
    <w:rsid w:val="1C903698"/>
    <w:rsid w:val="1C9A5FAA"/>
    <w:rsid w:val="1C9B0535"/>
    <w:rsid w:val="1CA16E86"/>
    <w:rsid w:val="1CAE2016"/>
    <w:rsid w:val="1CAF38A8"/>
    <w:rsid w:val="1CB6230B"/>
    <w:rsid w:val="1CC24E02"/>
    <w:rsid w:val="1CC62A8C"/>
    <w:rsid w:val="1CCC01EC"/>
    <w:rsid w:val="1CDF48C5"/>
    <w:rsid w:val="1CDF6673"/>
    <w:rsid w:val="1CE1063D"/>
    <w:rsid w:val="1D012A8E"/>
    <w:rsid w:val="1D22539B"/>
    <w:rsid w:val="1D303373"/>
    <w:rsid w:val="1D33076D"/>
    <w:rsid w:val="1D382A84"/>
    <w:rsid w:val="1D4961E3"/>
    <w:rsid w:val="1D4D182F"/>
    <w:rsid w:val="1D5D57EA"/>
    <w:rsid w:val="1D5F77B4"/>
    <w:rsid w:val="1D623BCD"/>
    <w:rsid w:val="1D632E00"/>
    <w:rsid w:val="1D644DCB"/>
    <w:rsid w:val="1D6616C9"/>
    <w:rsid w:val="1D6B3A69"/>
    <w:rsid w:val="1D6C021A"/>
    <w:rsid w:val="1D725739"/>
    <w:rsid w:val="1D7C2114"/>
    <w:rsid w:val="1D7D772A"/>
    <w:rsid w:val="1D974969"/>
    <w:rsid w:val="1D9E7349"/>
    <w:rsid w:val="1DB3277E"/>
    <w:rsid w:val="1DC67833"/>
    <w:rsid w:val="1DD42019"/>
    <w:rsid w:val="1DE67D48"/>
    <w:rsid w:val="1DE81DE1"/>
    <w:rsid w:val="1DE87377"/>
    <w:rsid w:val="1DEB1C3C"/>
    <w:rsid w:val="1DF659BB"/>
    <w:rsid w:val="1DFE6FCD"/>
    <w:rsid w:val="1E08481E"/>
    <w:rsid w:val="1E1103F2"/>
    <w:rsid w:val="1E135668"/>
    <w:rsid w:val="1E2950C5"/>
    <w:rsid w:val="1E2E78B2"/>
    <w:rsid w:val="1E2F362A"/>
    <w:rsid w:val="1E311151"/>
    <w:rsid w:val="1E3926FC"/>
    <w:rsid w:val="1E426EBA"/>
    <w:rsid w:val="1E5135A1"/>
    <w:rsid w:val="1E543091"/>
    <w:rsid w:val="1E546BED"/>
    <w:rsid w:val="1E5866DD"/>
    <w:rsid w:val="1E636620"/>
    <w:rsid w:val="1E6A5734"/>
    <w:rsid w:val="1E7679C4"/>
    <w:rsid w:val="1E786D7F"/>
    <w:rsid w:val="1E7D7EF2"/>
    <w:rsid w:val="1E8618BB"/>
    <w:rsid w:val="1EAA6178"/>
    <w:rsid w:val="1EBC04BB"/>
    <w:rsid w:val="1EBC2425"/>
    <w:rsid w:val="1EC46CC2"/>
    <w:rsid w:val="1ECB3486"/>
    <w:rsid w:val="1EDC2ED8"/>
    <w:rsid w:val="1EE937D9"/>
    <w:rsid w:val="1EEE7042"/>
    <w:rsid w:val="1F006EB0"/>
    <w:rsid w:val="1F01666F"/>
    <w:rsid w:val="1F0431AF"/>
    <w:rsid w:val="1F055723"/>
    <w:rsid w:val="1F0C571A"/>
    <w:rsid w:val="1F216B3E"/>
    <w:rsid w:val="1F260856"/>
    <w:rsid w:val="1F2A0951"/>
    <w:rsid w:val="1F30529C"/>
    <w:rsid w:val="1F38206B"/>
    <w:rsid w:val="1F384365"/>
    <w:rsid w:val="1F3C5FFF"/>
    <w:rsid w:val="1F432E05"/>
    <w:rsid w:val="1F443106"/>
    <w:rsid w:val="1F4F6BF0"/>
    <w:rsid w:val="1F53694E"/>
    <w:rsid w:val="1F612DBB"/>
    <w:rsid w:val="1F75506D"/>
    <w:rsid w:val="1F7C2ED7"/>
    <w:rsid w:val="1F9C084C"/>
    <w:rsid w:val="1FA80B45"/>
    <w:rsid w:val="1FB100D0"/>
    <w:rsid w:val="1FBC2C9C"/>
    <w:rsid w:val="1FC14756"/>
    <w:rsid w:val="1FD162B0"/>
    <w:rsid w:val="1FD16DFB"/>
    <w:rsid w:val="1FD91AA0"/>
    <w:rsid w:val="1FED554B"/>
    <w:rsid w:val="1FF24727"/>
    <w:rsid w:val="1FF50BF5"/>
    <w:rsid w:val="20062169"/>
    <w:rsid w:val="200B00D4"/>
    <w:rsid w:val="20166850"/>
    <w:rsid w:val="201737CB"/>
    <w:rsid w:val="201D7A8B"/>
    <w:rsid w:val="20256A93"/>
    <w:rsid w:val="202A22FB"/>
    <w:rsid w:val="202A7DFC"/>
    <w:rsid w:val="202F346E"/>
    <w:rsid w:val="203714D6"/>
    <w:rsid w:val="20415E85"/>
    <w:rsid w:val="207C05E4"/>
    <w:rsid w:val="20866ED0"/>
    <w:rsid w:val="20987CF7"/>
    <w:rsid w:val="20A756FA"/>
    <w:rsid w:val="20AC0F62"/>
    <w:rsid w:val="20AC4ABE"/>
    <w:rsid w:val="20B35E4D"/>
    <w:rsid w:val="20B56671"/>
    <w:rsid w:val="20C55B80"/>
    <w:rsid w:val="20D67D8D"/>
    <w:rsid w:val="20E56222"/>
    <w:rsid w:val="20E64474"/>
    <w:rsid w:val="20E93F65"/>
    <w:rsid w:val="20ED1F5F"/>
    <w:rsid w:val="20EF40DD"/>
    <w:rsid w:val="20F0149A"/>
    <w:rsid w:val="20F473E1"/>
    <w:rsid w:val="20FD356C"/>
    <w:rsid w:val="21020B82"/>
    <w:rsid w:val="21043140"/>
    <w:rsid w:val="210963B5"/>
    <w:rsid w:val="2116462E"/>
    <w:rsid w:val="211A5ECC"/>
    <w:rsid w:val="212925B3"/>
    <w:rsid w:val="213A031C"/>
    <w:rsid w:val="214248A7"/>
    <w:rsid w:val="214E3782"/>
    <w:rsid w:val="21555156"/>
    <w:rsid w:val="2162294F"/>
    <w:rsid w:val="216967BC"/>
    <w:rsid w:val="21893052"/>
    <w:rsid w:val="2191729C"/>
    <w:rsid w:val="219739C1"/>
    <w:rsid w:val="219A700D"/>
    <w:rsid w:val="21A366C8"/>
    <w:rsid w:val="21DD0C8E"/>
    <w:rsid w:val="220A5F40"/>
    <w:rsid w:val="22124DF5"/>
    <w:rsid w:val="221768AF"/>
    <w:rsid w:val="2228286B"/>
    <w:rsid w:val="223026D2"/>
    <w:rsid w:val="22315DA8"/>
    <w:rsid w:val="22405E06"/>
    <w:rsid w:val="22474DEB"/>
    <w:rsid w:val="225C42C2"/>
    <w:rsid w:val="227800CF"/>
    <w:rsid w:val="228D248E"/>
    <w:rsid w:val="22A2565A"/>
    <w:rsid w:val="22A54C94"/>
    <w:rsid w:val="22A939AB"/>
    <w:rsid w:val="22AB1691"/>
    <w:rsid w:val="22AD384A"/>
    <w:rsid w:val="22AE1DE0"/>
    <w:rsid w:val="22AF5E78"/>
    <w:rsid w:val="22B440FE"/>
    <w:rsid w:val="22EF583E"/>
    <w:rsid w:val="22F56BF1"/>
    <w:rsid w:val="230A01C2"/>
    <w:rsid w:val="23213317"/>
    <w:rsid w:val="232C1077"/>
    <w:rsid w:val="232F07A9"/>
    <w:rsid w:val="23324A2F"/>
    <w:rsid w:val="2338094A"/>
    <w:rsid w:val="233C1D90"/>
    <w:rsid w:val="233D51EB"/>
    <w:rsid w:val="2351345C"/>
    <w:rsid w:val="23716AC8"/>
    <w:rsid w:val="23762948"/>
    <w:rsid w:val="2378337E"/>
    <w:rsid w:val="23810484"/>
    <w:rsid w:val="2383244E"/>
    <w:rsid w:val="23AE6326"/>
    <w:rsid w:val="23DF164F"/>
    <w:rsid w:val="23E71636"/>
    <w:rsid w:val="23F77245"/>
    <w:rsid w:val="24015832"/>
    <w:rsid w:val="24097F6C"/>
    <w:rsid w:val="241237D2"/>
    <w:rsid w:val="241B2FC0"/>
    <w:rsid w:val="241E76B3"/>
    <w:rsid w:val="241F2F09"/>
    <w:rsid w:val="24212808"/>
    <w:rsid w:val="242332EA"/>
    <w:rsid w:val="242F0E3B"/>
    <w:rsid w:val="2432177F"/>
    <w:rsid w:val="24480FA2"/>
    <w:rsid w:val="244D7809"/>
    <w:rsid w:val="245C2632"/>
    <w:rsid w:val="246062EC"/>
    <w:rsid w:val="246E3081"/>
    <w:rsid w:val="24743B45"/>
    <w:rsid w:val="24763D61"/>
    <w:rsid w:val="24820777"/>
    <w:rsid w:val="24833D88"/>
    <w:rsid w:val="24A93807"/>
    <w:rsid w:val="24C57494"/>
    <w:rsid w:val="24CD74CD"/>
    <w:rsid w:val="24D12B92"/>
    <w:rsid w:val="24E32A79"/>
    <w:rsid w:val="24F1107B"/>
    <w:rsid w:val="24F6199F"/>
    <w:rsid w:val="24FA0107"/>
    <w:rsid w:val="24FF6202"/>
    <w:rsid w:val="25002580"/>
    <w:rsid w:val="25017DE4"/>
    <w:rsid w:val="2503311B"/>
    <w:rsid w:val="250C0DD6"/>
    <w:rsid w:val="251324DD"/>
    <w:rsid w:val="251E194C"/>
    <w:rsid w:val="25221E08"/>
    <w:rsid w:val="252B4B4C"/>
    <w:rsid w:val="252C233A"/>
    <w:rsid w:val="25341526"/>
    <w:rsid w:val="253B75C6"/>
    <w:rsid w:val="2556149D"/>
    <w:rsid w:val="255F65A3"/>
    <w:rsid w:val="256E79F1"/>
    <w:rsid w:val="2585697E"/>
    <w:rsid w:val="259205FB"/>
    <w:rsid w:val="25951FC5"/>
    <w:rsid w:val="25963E08"/>
    <w:rsid w:val="25A42208"/>
    <w:rsid w:val="25C5032F"/>
    <w:rsid w:val="25DC10D8"/>
    <w:rsid w:val="25DF76E4"/>
    <w:rsid w:val="2601323E"/>
    <w:rsid w:val="26025181"/>
    <w:rsid w:val="26164C47"/>
    <w:rsid w:val="261B3577"/>
    <w:rsid w:val="262E41C8"/>
    <w:rsid w:val="26415CA9"/>
    <w:rsid w:val="26487037"/>
    <w:rsid w:val="266876DA"/>
    <w:rsid w:val="266D2F7E"/>
    <w:rsid w:val="266F53B9"/>
    <w:rsid w:val="267F239F"/>
    <w:rsid w:val="267F55CC"/>
    <w:rsid w:val="2685388C"/>
    <w:rsid w:val="2685408F"/>
    <w:rsid w:val="269E6872"/>
    <w:rsid w:val="26A04745"/>
    <w:rsid w:val="26A2325F"/>
    <w:rsid w:val="26A87525"/>
    <w:rsid w:val="26B00267"/>
    <w:rsid w:val="26B172D2"/>
    <w:rsid w:val="26CC5EBA"/>
    <w:rsid w:val="26DC3C24"/>
    <w:rsid w:val="26EB04BB"/>
    <w:rsid w:val="26F3522E"/>
    <w:rsid w:val="26FA54B9"/>
    <w:rsid w:val="27003DB6"/>
    <w:rsid w:val="270B67B1"/>
    <w:rsid w:val="270B7843"/>
    <w:rsid w:val="270F7B55"/>
    <w:rsid w:val="271D6716"/>
    <w:rsid w:val="272A498F"/>
    <w:rsid w:val="273B6B9C"/>
    <w:rsid w:val="273F47A8"/>
    <w:rsid w:val="274912B9"/>
    <w:rsid w:val="27541A0C"/>
    <w:rsid w:val="27653C19"/>
    <w:rsid w:val="276A7481"/>
    <w:rsid w:val="277D0F63"/>
    <w:rsid w:val="27934C2A"/>
    <w:rsid w:val="279E430F"/>
    <w:rsid w:val="27A44741"/>
    <w:rsid w:val="27AA4492"/>
    <w:rsid w:val="27BD1DE3"/>
    <w:rsid w:val="27C941A8"/>
    <w:rsid w:val="27CB6172"/>
    <w:rsid w:val="27CD4B68"/>
    <w:rsid w:val="27DD1BD2"/>
    <w:rsid w:val="27E41979"/>
    <w:rsid w:val="27E601D4"/>
    <w:rsid w:val="27F07987"/>
    <w:rsid w:val="28001934"/>
    <w:rsid w:val="280641D4"/>
    <w:rsid w:val="280E7074"/>
    <w:rsid w:val="28245882"/>
    <w:rsid w:val="28271394"/>
    <w:rsid w:val="28277120"/>
    <w:rsid w:val="282A00D2"/>
    <w:rsid w:val="282F3137"/>
    <w:rsid w:val="284877E7"/>
    <w:rsid w:val="284C6A88"/>
    <w:rsid w:val="285A2C3A"/>
    <w:rsid w:val="286F79CD"/>
    <w:rsid w:val="2874007E"/>
    <w:rsid w:val="288527C5"/>
    <w:rsid w:val="2892565D"/>
    <w:rsid w:val="289D7904"/>
    <w:rsid w:val="28A14BD7"/>
    <w:rsid w:val="28B05368"/>
    <w:rsid w:val="28BA36CE"/>
    <w:rsid w:val="28CB21A2"/>
    <w:rsid w:val="28CE1F95"/>
    <w:rsid w:val="28CF1C92"/>
    <w:rsid w:val="28E351C9"/>
    <w:rsid w:val="28EA76E6"/>
    <w:rsid w:val="28EB41C0"/>
    <w:rsid w:val="28F2659B"/>
    <w:rsid w:val="28F32B26"/>
    <w:rsid w:val="29015BC3"/>
    <w:rsid w:val="290548E8"/>
    <w:rsid w:val="290B24CA"/>
    <w:rsid w:val="29114058"/>
    <w:rsid w:val="2916341D"/>
    <w:rsid w:val="29233D8C"/>
    <w:rsid w:val="293905B7"/>
    <w:rsid w:val="293E5DCA"/>
    <w:rsid w:val="294C6E3F"/>
    <w:rsid w:val="294F4B81"/>
    <w:rsid w:val="295E3016"/>
    <w:rsid w:val="296E616D"/>
    <w:rsid w:val="297B3519"/>
    <w:rsid w:val="297E56EF"/>
    <w:rsid w:val="29827443"/>
    <w:rsid w:val="298B7DD3"/>
    <w:rsid w:val="29916F47"/>
    <w:rsid w:val="299D0CE4"/>
    <w:rsid w:val="299E3412"/>
    <w:rsid w:val="29B63FED"/>
    <w:rsid w:val="29C837D8"/>
    <w:rsid w:val="29CD6B1A"/>
    <w:rsid w:val="29DD3F3B"/>
    <w:rsid w:val="29E844B5"/>
    <w:rsid w:val="29E96D83"/>
    <w:rsid w:val="29F7710D"/>
    <w:rsid w:val="2A023B74"/>
    <w:rsid w:val="2A0911D4"/>
    <w:rsid w:val="2A135C63"/>
    <w:rsid w:val="2A305142"/>
    <w:rsid w:val="2A322F6A"/>
    <w:rsid w:val="2A337EBB"/>
    <w:rsid w:val="2A420242"/>
    <w:rsid w:val="2A454BC0"/>
    <w:rsid w:val="2A4B359A"/>
    <w:rsid w:val="2A5E6C80"/>
    <w:rsid w:val="2A631EB7"/>
    <w:rsid w:val="2A70559B"/>
    <w:rsid w:val="2A783C63"/>
    <w:rsid w:val="2A9211C9"/>
    <w:rsid w:val="2A9F7442"/>
    <w:rsid w:val="2AD6555A"/>
    <w:rsid w:val="2ADB2DE2"/>
    <w:rsid w:val="2ADB3062"/>
    <w:rsid w:val="2AE01A73"/>
    <w:rsid w:val="2AFB6D6E"/>
    <w:rsid w:val="2B0507DE"/>
    <w:rsid w:val="2B1A481B"/>
    <w:rsid w:val="2B1D30FF"/>
    <w:rsid w:val="2B2142FB"/>
    <w:rsid w:val="2B230073"/>
    <w:rsid w:val="2B4E2E20"/>
    <w:rsid w:val="2B55380D"/>
    <w:rsid w:val="2B607D2C"/>
    <w:rsid w:val="2B637EAF"/>
    <w:rsid w:val="2B7C75CA"/>
    <w:rsid w:val="2B817C7B"/>
    <w:rsid w:val="2BA2736B"/>
    <w:rsid w:val="2BAF3366"/>
    <w:rsid w:val="2BB03191"/>
    <w:rsid w:val="2BB91DBE"/>
    <w:rsid w:val="2BC07496"/>
    <w:rsid w:val="2BCB5166"/>
    <w:rsid w:val="2BD458DF"/>
    <w:rsid w:val="2BD66F2D"/>
    <w:rsid w:val="2BF13CCD"/>
    <w:rsid w:val="2BF612E4"/>
    <w:rsid w:val="2BF65788"/>
    <w:rsid w:val="2BFF463C"/>
    <w:rsid w:val="2BFF63EA"/>
    <w:rsid w:val="2C091017"/>
    <w:rsid w:val="2C0B2FE1"/>
    <w:rsid w:val="2C0C3C1A"/>
    <w:rsid w:val="2C0E487F"/>
    <w:rsid w:val="2C101CED"/>
    <w:rsid w:val="2C1957AC"/>
    <w:rsid w:val="2C640943"/>
    <w:rsid w:val="2C6F4972"/>
    <w:rsid w:val="2C6F72CA"/>
    <w:rsid w:val="2C782689"/>
    <w:rsid w:val="2C98683F"/>
    <w:rsid w:val="2CAB6572"/>
    <w:rsid w:val="2CAD4098"/>
    <w:rsid w:val="2CB035E9"/>
    <w:rsid w:val="2CB74404"/>
    <w:rsid w:val="2CB74F17"/>
    <w:rsid w:val="2CBA4A07"/>
    <w:rsid w:val="2CC53969"/>
    <w:rsid w:val="2CC649DD"/>
    <w:rsid w:val="2CDE06F5"/>
    <w:rsid w:val="2CE02DD1"/>
    <w:rsid w:val="2CEE71AA"/>
    <w:rsid w:val="2CF053E4"/>
    <w:rsid w:val="2CFD0E66"/>
    <w:rsid w:val="2D0F08AF"/>
    <w:rsid w:val="2D157E8F"/>
    <w:rsid w:val="2D2702CF"/>
    <w:rsid w:val="2D297497"/>
    <w:rsid w:val="2D2D342B"/>
    <w:rsid w:val="2D2F779D"/>
    <w:rsid w:val="2D342D35"/>
    <w:rsid w:val="2D35408E"/>
    <w:rsid w:val="2D450775"/>
    <w:rsid w:val="2D4B38B1"/>
    <w:rsid w:val="2D5844CF"/>
    <w:rsid w:val="2D5C161A"/>
    <w:rsid w:val="2D686211"/>
    <w:rsid w:val="2D987795"/>
    <w:rsid w:val="2DA16B51"/>
    <w:rsid w:val="2DB72CF5"/>
    <w:rsid w:val="2DC55411"/>
    <w:rsid w:val="2DF06932"/>
    <w:rsid w:val="2DF83A39"/>
    <w:rsid w:val="2E144BAF"/>
    <w:rsid w:val="2E250712"/>
    <w:rsid w:val="2E385BE3"/>
    <w:rsid w:val="2E3B56D4"/>
    <w:rsid w:val="2E410741"/>
    <w:rsid w:val="2E4839E5"/>
    <w:rsid w:val="2E5B3C6C"/>
    <w:rsid w:val="2E5C1E4A"/>
    <w:rsid w:val="2E8928E3"/>
    <w:rsid w:val="2E89794B"/>
    <w:rsid w:val="2EB711FE"/>
    <w:rsid w:val="2EBA0CEE"/>
    <w:rsid w:val="2EBD1710"/>
    <w:rsid w:val="2EC66BA7"/>
    <w:rsid w:val="2EC74CFC"/>
    <w:rsid w:val="2ECB2EFB"/>
    <w:rsid w:val="2ED52A2A"/>
    <w:rsid w:val="2EE55832"/>
    <w:rsid w:val="2EE8585B"/>
    <w:rsid w:val="2EED10BE"/>
    <w:rsid w:val="2EEE0093"/>
    <w:rsid w:val="2EF05F28"/>
    <w:rsid w:val="2EFD03CC"/>
    <w:rsid w:val="2F040759"/>
    <w:rsid w:val="2F1172A9"/>
    <w:rsid w:val="2F176141"/>
    <w:rsid w:val="2F1C5505"/>
    <w:rsid w:val="2F2148C9"/>
    <w:rsid w:val="2F2F0908"/>
    <w:rsid w:val="2F3C2B1C"/>
    <w:rsid w:val="2F517598"/>
    <w:rsid w:val="2F56121E"/>
    <w:rsid w:val="2F594063"/>
    <w:rsid w:val="2F68074A"/>
    <w:rsid w:val="2F913DDA"/>
    <w:rsid w:val="2F917CA1"/>
    <w:rsid w:val="2F941881"/>
    <w:rsid w:val="2F9424AE"/>
    <w:rsid w:val="2F963509"/>
    <w:rsid w:val="2F9652B7"/>
    <w:rsid w:val="2F972DDE"/>
    <w:rsid w:val="2F9D7924"/>
    <w:rsid w:val="2FB41F2D"/>
    <w:rsid w:val="2FB46457"/>
    <w:rsid w:val="2FBD6B37"/>
    <w:rsid w:val="2FCF4325"/>
    <w:rsid w:val="2FD656B4"/>
    <w:rsid w:val="2FFE64AB"/>
    <w:rsid w:val="301B1B1E"/>
    <w:rsid w:val="30202DD3"/>
    <w:rsid w:val="30211C76"/>
    <w:rsid w:val="302278EF"/>
    <w:rsid w:val="302503E9"/>
    <w:rsid w:val="302D7D87"/>
    <w:rsid w:val="303C26BB"/>
    <w:rsid w:val="30437CE4"/>
    <w:rsid w:val="304F6E2A"/>
    <w:rsid w:val="30536D05"/>
    <w:rsid w:val="306A22A0"/>
    <w:rsid w:val="308D5615"/>
    <w:rsid w:val="309538B2"/>
    <w:rsid w:val="309C68FD"/>
    <w:rsid w:val="309D08C8"/>
    <w:rsid w:val="309F15F3"/>
    <w:rsid w:val="30A77BE6"/>
    <w:rsid w:val="30B71DED"/>
    <w:rsid w:val="30C67FF4"/>
    <w:rsid w:val="30C75B4D"/>
    <w:rsid w:val="30D81900"/>
    <w:rsid w:val="30DD6F16"/>
    <w:rsid w:val="30FD4EC2"/>
    <w:rsid w:val="30FD6723"/>
    <w:rsid w:val="31083F93"/>
    <w:rsid w:val="310E70CF"/>
    <w:rsid w:val="3119682E"/>
    <w:rsid w:val="31264419"/>
    <w:rsid w:val="313300E2"/>
    <w:rsid w:val="31366B4A"/>
    <w:rsid w:val="313F3DBA"/>
    <w:rsid w:val="315F16D9"/>
    <w:rsid w:val="31664263"/>
    <w:rsid w:val="317258B0"/>
    <w:rsid w:val="3177589F"/>
    <w:rsid w:val="31807FCD"/>
    <w:rsid w:val="318F3191"/>
    <w:rsid w:val="319C697D"/>
    <w:rsid w:val="319E48F7"/>
    <w:rsid w:val="31A03482"/>
    <w:rsid w:val="31A158E5"/>
    <w:rsid w:val="31A61F4B"/>
    <w:rsid w:val="31B41A25"/>
    <w:rsid w:val="31BC38BA"/>
    <w:rsid w:val="31C52AA9"/>
    <w:rsid w:val="31C565D1"/>
    <w:rsid w:val="31DA00A5"/>
    <w:rsid w:val="31EA18EB"/>
    <w:rsid w:val="31EF0CAF"/>
    <w:rsid w:val="31F11DE2"/>
    <w:rsid w:val="31F253B6"/>
    <w:rsid w:val="31F75DB5"/>
    <w:rsid w:val="32017492"/>
    <w:rsid w:val="3207424B"/>
    <w:rsid w:val="320F78C2"/>
    <w:rsid w:val="3216448E"/>
    <w:rsid w:val="32194DEE"/>
    <w:rsid w:val="321D5C43"/>
    <w:rsid w:val="322240E8"/>
    <w:rsid w:val="322C1F03"/>
    <w:rsid w:val="322C5A5F"/>
    <w:rsid w:val="322F3FB8"/>
    <w:rsid w:val="322F72FD"/>
    <w:rsid w:val="323816E9"/>
    <w:rsid w:val="32394022"/>
    <w:rsid w:val="323B365B"/>
    <w:rsid w:val="32427031"/>
    <w:rsid w:val="3264169D"/>
    <w:rsid w:val="32867865"/>
    <w:rsid w:val="32870EE7"/>
    <w:rsid w:val="328C2616"/>
    <w:rsid w:val="32A43DB5"/>
    <w:rsid w:val="32A510F7"/>
    <w:rsid w:val="32AD651F"/>
    <w:rsid w:val="32E116A8"/>
    <w:rsid w:val="32EB4752"/>
    <w:rsid w:val="330864CC"/>
    <w:rsid w:val="33093135"/>
    <w:rsid w:val="331210F9"/>
    <w:rsid w:val="331935FC"/>
    <w:rsid w:val="3329184C"/>
    <w:rsid w:val="33385662"/>
    <w:rsid w:val="333948D8"/>
    <w:rsid w:val="334105CE"/>
    <w:rsid w:val="33490893"/>
    <w:rsid w:val="33494DC2"/>
    <w:rsid w:val="33594D5A"/>
    <w:rsid w:val="337376BE"/>
    <w:rsid w:val="337551E4"/>
    <w:rsid w:val="33784CD4"/>
    <w:rsid w:val="337A6C9E"/>
    <w:rsid w:val="33884F17"/>
    <w:rsid w:val="33953BFB"/>
    <w:rsid w:val="33954231"/>
    <w:rsid w:val="33972846"/>
    <w:rsid w:val="339B5ACE"/>
    <w:rsid w:val="33AB32FB"/>
    <w:rsid w:val="33C00B55"/>
    <w:rsid w:val="33C57F19"/>
    <w:rsid w:val="33D00B74"/>
    <w:rsid w:val="33E34843"/>
    <w:rsid w:val="33ED56C2"/>
    <w:rsid w:val="33EF4F96"/>
    <w:rsid w:val="33F22B2B"/>
    <w:rsid w:val="340A57D1"/>
    <w:rsid w:val="343B4069"/>
    <w:rsid w:val="344826A7"/>
    <w:rsid w:val="34482813"/>
    <w:rsid w:val="34487D91"/>
    <w:rsid w:val="344F47AF"/>
    <w:rsid w:val="345117AD"/>
    <w:rsid w:val="3465443C"/>
    <w:rsid w:val="346B3592"/>
    <w:rsid w:val="347242F2"/>
    <w:rsid w:val="34733E19"/>
    <w:rsid w:val="347831DE"/>
    <w:rsid w:val="34794235"/>
    <w:rsid w:val="34796F56"/>
    <w:rsid w:val="348F49A5"/>
    <w:rsid w:val="34B441C3"/>
    <w:rsid w:val="34C75F13"/>
    <w:rsid w:val="34CC52D7"/>
    <w:rsid w:val="34D17379"/>
    <w:rsid w:val="34DA5C46"/>
    <w:rsid w:val="34F374C0"/>
    <w:rsid w:val="350C5C16"/>
    <w:rsid w:val="350E5A13"/>
    <w:rsid w:val="352E1AEE"/>
    <w:rsid w:val="35352E7D"/>
    <w:rsid w:val="354457B6"/>
    <w:rsid w:val="35610116"/>
    <w:rsid w:val="356419B4"/>
    <w:rsid w:val="35725E7F"/>
    <w:rsid w:val="357C2767"/>
    <w:rsid w:val="357E0CC8"/>
    <w:rsid w:val="358D0F0B"/>
    <w:rsid w:val="359023A0"/>
    <w:rsid w:val="35904557"/>
    <w:rsid w:val="3592665B"/>
    <w:rsid w:val="35995E0E"/>
    <w:rsid w:val="35B446E9"/>
    <w:rsid w:val="35B54F2D"/>
    <w:rsid w:val="35C102F5"/>
    <w:rsid w:val="35D42696"/>
    <w:rsid w:val="35EF5721"/>
    <w:rsid w:val="35F42D38"/>
    <w:rsid w:val="35F519F1"/>
    <w:rsid w:val="35FB18B3"/>
    <w:rsid w:val="35FE3BB6"/>
    <w:rsid w:val="36024E13"/>
    <w:rsid w:val="360B5D14"/>
    <w:rsid w:val="36176A26"/>
    <w:rsid w:val="36232B55"/>
    <w:rsid w:val="3637199B"/>
    <w:rsid w:val="364315C9"/>
    <w:rsid w:val="364A6DFC"/>
    <w:rsid w:val="364D04FD"/>
    <w:rsid w:val="365112A1"/>
    <w:rsid w:val="366A124C"/>
    <w:rsid w:val="366A4FA0"/>
    <w:rsid w:val="3676199F"/>
    <w:rsid w:val="367D5540"/>
    <w:rsid w:val="369C0FD8"/>
    <w:rsid w:val="369C25BC"/>
    <w:rsid w:val="36A479B4"/>
    <w:rsid w:val="36A84F7B"/>
    <w:rsid w:val="36A97487"/>
    <w:rsid w:val="36AC6650"/>
    <w:rsid w:val="36AD2DB4"/>
    <w:rsid w:val="36C91ABA"/>
    <w:rsid w:val="36E31252"/>
    <w:rsid w:val="36ED5D04"/>
    <w:rsid w:val="36F16142"/>
    <w:rsid w:val="37040D59"/>
    <w:rsid w:val="37155A4E"/>
    <w:rsid w:val="371B60A2"/>
    <w:rsid w:val="372D24E2"/>
    <w:rsid w:val="37353608"/>
    <w:rsid w:val="374D6BA3"/>
    <w:rsid w:val="37507D78"/>
    <w:rsid w:val="376350C4"/>
    <w:rsid w:val="37841E99"/>
    <w:rsid w:val="378B393F"/>
    <w:rsid w:val="379501CF"/>
    <w:rsid w:val="37995027"/>
    <w:rsid w:val="379F3F3D"/>
    <w:rsid w:val="37BD3EB3"/>
    <w:rsid w:val="37BE35FD"/>
    <w:rsid w:val="37DA7D0B"/>
    <w:rsid w:val="37DF37A5"/>
    <w:rsid w:val="37E42938"/>
    <w:rsid w:val="37E62B54"/>
    <w:rsid w:val="37FA2FBA"/>
    <w:rsid w:val="38051090"/>
    <w:rsid w:val="38066D52"/>
    <w:rsid w:val="3810197F"/>
    <w:rsid w:val="381E5E4A"/>
    <w:rsid w:val="383B7486"/>
    <w:rsid w:val="38404012"/>
    <w:rsid w:val="38453638"/>
    <w:rsid w:val="384635F3"/>
    <w:rsid w:val="384B1B1D"/>
    <w:rsid w:val="384B7C9B"/>
    <w:rsid w:val="384D1477"/>
    <w:rsid w:val="3851012C"/>
    <w:rsid w:val="38606B7D"/>
    <w:rsid w:val="386160B2"/>
    <w:rsid w:val="38632B5B"/>
    <w:rsid w:val="386C273B"/>
    <w:rsid w:val="386D5DB5"/>
    <w:rsid w:val="387442A3"/>
    <w:rsid w:val="387E4E30"/>
    <w:rsid w:val="388F0AF6"/>
    <w:rsid w:val="38A5656B"/>
    <w:rsid w:val="38A85352"/>
    <w:rsid w:val="38C35221"/>
    <w:rsid w:val="38CF3B09"/>
    <w:rsid w:val="38F333AF"/>
    <w:rsid w:val="39045C82"/>
    <w:rsid w:val="39051A7C"/>
    <w:rsid w:val="39237490"/>
    <w:rsid w:val="392576AC"/>
    <w:rsid w:val="39276F80"/>
    <w:rsid w:val="392C50EB"/>
    <w:rsid w:val="39302D55"/>
    <w:rsid w:val="39331FF9"/>
    <w:rsid w:val="39417DE7"/>
    <w:rsid w:val="394B7113"/>
    <w:rsid w:val="394C0994"/>
    <w:rsid w:val="395D0BF4"/>
    <w:rsid w:val="395E16BA"/>
    <w:rsid w:val="39644CFB"/>
    <w:rsid w:val="3985080C"/>
    <w:rsid w:val="39882B3C"/>
    <w:rsid w:val="398E1344"/>
    <w:rsid w:val="39903414"/>
    <w:rsid w:val="39904E01"/>
    <w:rsid w:val="399A1E48"/>
    <w:rsid w:val="39B6764A"/>
    <w:rsid w:val="39CD70C1"/>
    <w:rsid w:val="39D42485"/>
    <w:rsid w:val="39D43DF0"/>
    <w:rsid w:val="39D72754"/>
    <w:rsid w:val="39E6187D"/>
    <w:rsid w:val="39F552D0"/>
    <w:rsid w:val="3A0E126E"/>
    <w:rsid w:val="3A1D731A"/>
    <w:rsid w:val="3A255109"/>
    <w:rsid w:val="3A3000B7"/>
    <w:rsid w:val="3A3249A3"/>
    <w:rsid w:val="3A33359F"/>
    <w:rsid w:val="3A376C4B"/>
    <w:rsid w:val="3A465B2C"/>
    <w:rsid w:val="3A4F2DE3"/>
    <w:rsid w:val="3A4F6400"/>
    <w:rsid w:val="3A5913BB"/>
    <w:rsid w:val="3A6F597C"/>
    <w:rsid w:val="3A744447"/>
    <w:rsid w:val="3A75112A"/>
    <w:rsid w:val="3A7F2A8C"/>
    <w:rsid w:val="3A927F79"/>
    <w:rsid w:val="3A9C1A67"/>
    <w:rsid w:val="3AAA009C"/>
    <w:rsid w:val="3ABB3E24"/>
    <w:rsid w:val="3ADB44C6"/>
    <w:rsid w:val="3AE634E9"/>
    <w:rsid w:val="3AE67B26"/>
    <w:rsid w:val="3AEA4709"/>
    <w:rsid w:val="3AEA6112"/>
    <w:rsid w:val="3AEE41FA"/>
    <w:rsid w:val="3AF50731"/>
    <w:rsid w:val="3AF64E5C"/>
    <w:rsid w:val="3B082DE1"/>
    <w:rsid w:val="3B13041B"/>
    <w:rsid w:val="3B157E95"/>
    <w:rsid w:val="3B1E43B3"/>
    <w:rsid w:val="3B27770B"/>
    <w:rsid w:val="3B2F036E"/>
    <w:rsid w:val="3B2F187C"/>
    <w:rsid w:val="3B30241A"/>
    <w:rsid w:val="3B4007CD"/>
    <w:rsid w:val="3B4A51A8"/>
    <w:rsid w:val="3B584725"/>
    <w:rsid w:val="3B595337"/>
    <w:rsid w:val="3B5968B6"/>
    <w:rsid w:val="3B70502D"/>
    <w:rsid w:val="3B7F3421"/>
    <w:rsid w:val="3B7F48FF"/>
    <w:rsid w:val="3B821613"/>
    <w:rsid w:val="3B842468"/>
    <w:rsid w:val="3B8701AA"/>
    <w:rsid w:val="3B8B5737"/>
    <w:rsid w:val="3BAB2C3C"/>
    <w:rsid w:val="3BD37BB0"/>
    <w:rsid w:val="3BDB4F57"/>
    <w:rsid w:val="3BEB24E7"/>
    <w:rsid w:val="3BF27D19"/>
    <w:rsid w:val="3C146B34"/>
    <w:rsid w:val="3C1934F8"/>
    <w:rsid w:val="3C2052E9"/>
    <w:rsid w:val="3C3C2D43"/>
    <w:rsid w:val="3C456A0D"/>
    <w:rsid w:val="3C4D31A2"/>
    <w:rsid w:val="3C526A0A"/>
    <w:rsid w:val="3C553E04"/>
    <w:rsid w:val="3C5A3489"/>
    <w:rsid w:val="3C65673D"/>
    <w:rsid w:val="3C6978B0"/>
    <w:rsid w:val="3C6B187A"/>
    <w:rsid w:val="3C701FEE"/>
    <w:rsid w:val="3C7B04E7"/>
    <w:rsid w:val="3C7E0814"/>
    <w:rsid w:val="3C81109D"/>
    <w:rsid w:val="3C8534DB"/>
    <w:rsid w:val="3C887E21"/>
    <w:rsid w:val="3C99180B"/>
    <w:rsid w:val="3C9F7284"/>
    <w:rsid w:val="3CA1704A"/>
    <w:rsid w:val="3CA215D2"/>
    <w:rsid w:val="3CB43221"/>
    <w:rsid w:val="3CC203DF"/>
    <w:rsid w:val="3CC96E9C"/>
    <w:rsid w:val="3CDE204C"/>
    <w:rsid w:val="3CE33B06"/>
    <w:rsid w:val="3CE807A0"/>
    <w:rsid w:val="3CF66243"/>
    <w:rsid w:val="3CF87AAE"/>
    <w:rsid w:val="3D0353BB"/>
    <w:rsid w:val="3D074750"/>
    <w:rsid w:val="3D0D46DF"/>
    <w:rsid w:val="3D0D6937"/>
    <w:rsid w:val="3D10448B"/>
    <w:rsid w:val="3D224225"/>
    <w:rsid w:val="3D246AA5"/>
    <w:rsid w:val="3D2D724F"/>
    <w:rsid w:val="3D365930"/>
    <w:rsid w:val="3D365F77"/>
    <w:rsid w:val="3D3E74F7"/>
    <w:rsid w:val="3D4C3459"/>
    <w:rsid w:val="3D4E71D1"/>
    <w:rsid w:val="3D567E34"/>
    <w:rsid w:val="3D5879B8"/>
    <w:rsid w:val="3D672041"/>
    <w:rsid w:val="3D687018"/>
    <w:rsid w:val="3D6A5F84"/>
    <w:rsid w:val="3D6A7D5F"/>
    <w:rsid w:val="3D785FFC"/>
    <w:rsid w:val="3D796A77"/>
    <w:rsid w:val="3D840E45"/>
    <w:rsid w:val="3D8C1AA8"/>
    <w:rsid w:val="3D931088"/>
    <w:rsid w:val="3D9939B2"/>
    <w:rsid w:val="3D9B618F"/>
    <w:rsid w:val="3D9F5A3E"/>
    <w:rsid w:val="3DA46DF1"/>
    <w:rsid w:val="3DA942FC"/>
    <w:rsid w:val="3DB35286"/>
    <w:rsid w:val="3DB72FC9"/>
    <w:rsid w:val="3DC15BF5"/>
    <w:rsid w:val="3DC254CA"/>
    <w:rsid w:val="3DC83E31"/>
    <w:rsid w:val="3DDE3B79"/>
    <w:rsid w:val="3DE503CA"/>
    <w:rsid w:val="3DE546C9"/>
    <w:rsid w:val="3DF319EC"/>
    <w:rsid w:val="3DF76C88"/>
    <w:rsid w:val="3E09134A"/>
    <w:rsid w:val="3E1877DF"/>
    <w:rsid w:val="3E1D0952"/>
    <w:rsid w:val="3E2E7003"/>
    <w:rsid w:val="3E350391"/>
    <w:rsid w:val="3E4B286C"/>
    <w:rsid w:val="3E4E32A2"/>
    <w:rsid w:val="3E516D12"/>
    <w:rsid w:val="3E554590"/>
    <w:rsid w:val="3E594080"/>
    <w:rsid w:val="3E824933"/>
    <w:rsid w:val="3E88226F"/>
    <w:rsid w:val="3E8D49CC"/>
    <w:rsid w:val="3E983AD2"/>
    <w:rsid w:val="3EAD487E"/>
    <w:rsid w:val="3EB5091B"/>
    <w:rsid w:val="3EB95BA0"/>
    <w:rsid w:val="3EBD05B2"/>
    <w:rsid w:val="3EC85997"/>
    <w:rsid w:val="3EC8755F"/>
    <w:rsid w:val="3ECA2888"/>
    <w:rsid w:val="3ECD2378"/>
    <w:rsid w:val="3ECE3EEC"/>
    <w:rsid w:val="3ED20040"/>
    <w:rsid w:val="3ED2798E"/>
    <w:rsid w:val="3ED61008"/>
    <w:rsid w:val="3ED726EA"/>
    <w:rsid w:val="3EDE5228"/>
    <w:rsid w:val="3EE6168C"/>
    <w:rsid w:val="3EF132DD"/>
    <w:rsid w:val="3EF458A4"/>
    <w:rsid w:val="3EF86D15"/>
    <w:rsid w:val="3EFD266B"/>
    <w:rsid w:val="3F0602B4"/>
    <w:rsid w:val="3F0B2EA0"/>
    <w:rsid w:val="3F0D4E6A"/>
    <w:rsid w:val="3F141718"/>
    <w:rsid w:val="3F165F94"/>
    <w:rsid w:val="3F1E711F"/>
    <w:rsid w:val="3F253F62"/>
    <w:rsid w:val="3F255D10"/>
    <w:rsid w:val="3F3B6FC0"/>
    <w:rsid w:val="3F3F022C"/>
    <w:rsid w:val="3F4D5267"/>
    <w:rsid w:val="3F542A99"/>
    <w:rsid w:val="3F54646C"/>
    <w:rsid w:val="3F5465F5"/>
    <w:rsid w:val="3F6251B6"/>
    <w:rsid w:val="3F747366"/>
    <w:rsid w:val="3F805700"/>
    <w:rsid w:val="3F8778D8"/>
    <w:rsid w:val="3F8C30BF"/>
    <w:rsid w:val="3F8F4550"/>
    <w:rsid w:val="3FA7706D"/>
    <w:rsid w:val="3FC10C55"/>
    <w:rsid w:val="3FC20213"/>
    <w:rsid w:val="3FE1502D"/>
    <w:rsid w:val="3FE21909"/>
    <w:rsid w:val="3FEE07F8"/>
    <w:rsid w:val="400700E5"/>
    <w:rsid w:val="400F3E45"/>
    <w:rsid w:val="4015388F"/>
    <w:rsid w:val="401D2E8B"/>
    <w:rsid w:val="402E5098"/>
    <w:rsid w:val="40300596"/>
    <w:rsid w:val="404965DA"/>
    <w:rsid w:val="40546AB2"/>
    <w:rsid w:val="40647D57"/>
    <w:rsid w:val="406501D8"/>
    <w:rsid w:val="40707641"/>
    <w:rsid w:val="40763803"/>
    <w:rsid w:val="4081341A"/>
    <w:rsid w:val="40926B99"/>
    <w:rsid w:val="4099576A"/>
    <w:rsid w:val="409E1999"/>
    <w:rsid w:val="40AA5F6A"/>
    <w:rsid w:val="40AF1ABD"/>
    <w:rsid w:val="40BC4349"/>
    <w:rsid w:val="40C47773"/>
    <w:rsid w:val="40CD665F"/>
    <w:rsid w:val="40ED5584"/>
    <w:rsid w:val="40F40090"/>
    <w:rsid w:val="40F56492"/>
    <w:rsid w:val="41083B3B"/>
    <w:rsid w:val="41090493"/>
    <w:rsid w:val="410963F2"/>
    <w:rsid w:val="41097DCA"/>
    <w:rsid w:val="410C5C2E"/>
    <w:rsid w:val="411029F0"/>
    <w:rsid w:val="41195D48"/>
    <w:rsid w:val="412344D1"/>
    <w:rsid w:val="41391F47"/>
    <w:rsid w:val="4157154C"/>
    <w:rsid w:val="41744D2D"/>
    <w:rsid w:val="417D2639"/>
    <w:rsid w:val="41850B71"/>
    <w:rsid w:val="41883F14"/>
    <w:rsid w:val="418A4550"/>
    <w:rsid w:val="41901767"/>
    <w:rsid w:val="41931657"/>
    <w:rsid w:val="41970A1B"/>
    <w:rsid w:val="419742BE"/>
    <w:rsid w:val="41990C37"/>
    <w:rsid w:val="41B8730F"/>
    <w:rsid w:val="41BD0482"/>
    <w:rsid w:val="41C04416"/>
    <w:rsid w:val="41C77584"/>
    <w:rsid w:val="41C95079"/>
    <w:rsid w:val="41CC68BB"/>
    <w:rsid w:val="41D63C39"/>
    <w:rsid w:val="41E16F5A"/>
    <w:rsid w:val="41F8595E"/>
    <w:rsid w:val="41FF5FF8"/>
    <w:rsid w:val="42201B84"/>
    <w:rsid w:val="42266ACF"/>
    <w:rsid w:val="4236566E"/>
    <w:rsid w:val="42562684"/>
    <w:rsid w:val="426E79CE"/>
    <w:rsid w:val="42736D24"/>
    <w:rsid w:val="4280363B"/>
    <w:rsid w:val="42876CE2"/>
    <w:rsid w:val="42890666"/>
    <w:rsid w:val="428A2091"/>
    <w:rsid w:val="428B4E0F"/>
    <w:rsid w:val="429A2811"/>
    <w:rsid w:val="42B0448A"/>
    <w:rsid w:val="42BA70B7"/>
    <w:rsid w:val="42BB39E7"/>
    <w:rsid w:val="42BC4BDD"/>
    <w:rsid w:val="42BD2703"/>
    <w:rsid w:val="42BF46CD"/>
    <w:rsid w:val="42C817D4"/>
    <w:rsid w:val="42CB4E20"/>
    <w:rsid w:val="42CE7FA4"/>
    <w:rsid w:val="42D4505F"/>
    <w:rsid w:val="42D53C5B"/>
    <w:rsid w:val="42D57A4D"/>
    <w:rsid w:val="42F75C15"/>
    <w:rsid w:val="432E3DDB"/>
    <w:rsid w:val="43326F98"/>
    <w:rsid w:val="433946A3"/>
    <w:rsid w:val="433B01F8"/>
    <w:rsid w:val="43411DBA"/>
    <w:rsid w:val="43486471"/>
    <w:rsid w:val="43526A49"/>
    <w:rsid w:val="435E5C94"/>
    <w:rsid w:val="43696101"/>
    <w:rsid w:val="43A20C3E"/>
    <w:rsid w:val="43B835F7"/>
    <w:rsid w:val="43C26223"/>
    <w:rsid w:val="43D16466"/>
    <w:rsid w:val="43D615C5"/>
    <w:rsid w:val="43DE42AE"/>
    <w:rsid w:val="43E837B0"/>
    <w:rsid w:val="43F8502C"/>
    <w:rsid w:val="44103433"/>
    <w:rsid w:val="441822E7"/>
    <w:rsid w:val="443A04B0"/>
    <w:rsid w:val="443C400D"/>
    <w:rsid w:val="443F7BCD"/>
    <w:rsid w:val="44472BCC"/>
    <w:rsid w:val="44506D4B"/>
    <w:rsid w:val="445E7F39"/>
    <w:rsid w:val="44654358"/>
    <w:rsid w:val="44711D77"/>
    <w:rsid w:val="447137A5"/>
    <w:rsid w:val="44764627"/>
    <w:rsid w:val="4476700E"/>
    <w:rsid w:val="447D7D11"/>
    <w:rsid w:val="447F439B"/>
    <w:rsid w:val="448434D9"/>
    <w:rsid w:val="44894F93"/>
    <w:rsid w:val="448B4867"/>
    <w:rsid w:val="449F6565"/>
    <w:rsid w:val="44A47D5E"/>
    <w:rsid w:val="44A81532"/>
    <w:rsid w:val="44BC0C9D"/>
    <w:rsid w:val="44BE6C92"/>
    <w:rsid w:val="44C73109"/>
    <w:rsid w:val="44CD6BA8"/>
    <w:rsid w:val="44D51F86"/>
    <w:rsid w:val="45056E09"/>
    <w:rsid w:val="45124F88"/>
    <w:rsid w:val="45375AF0"/>
    <w:rsid w:val="45444CD8"/>
    <w:rsid w:val="45447333"/>
    <w:rsid w:val="454F661D"/>
    <w:rsid w:val="455402C8"/>
    <w:rsid w:val="4561708B"/>
    <w:rsid w:val="456F5E08"/>
    <w:rsid w:val="457C7B66"/>
    <w:rsid w:val="45801ED6"/>
    <w:rsid w:val="45837714"/>
    <w:rsid w:val="45844CF3"/>
    <w:rsid w:val="45854F33"/>
    <w:rsid w:val="459267E2"/>
    <w:rsid w:val="45AA51C1"/>
    <w:rsid w:val="45B1654F"/>
    <w:rsid w:val="45B46040"/>
    <w:rsid w:val="45BB5620"/>
    <w:rsid w:val="45BC4EF4"/>
    <w:rsid w:val="45C96FF3"/>
    <w:rsid w:val="45D937A5"/>
    <w:rsid w:val="45E64CE6"/>
    <w:rsid w:val="45EC42C8"/>
    <w:rsid w:val="462907DC"/>
    <w:rsid w:val="46333408"/>
    <w:rsid w:val="466C691A"/>
    <w:rsid w:val="467A753A"/>
    <w:rsid w:val="46863764"/>
    <w:rsid w:val="46957C1F"/>
    <w:rsid w:val="469A17BB"/>
    <w:rsid w:val="469C357A"/>
    <w:rsid w:val="46A12A7C"/>
    <w:rsid w:val="46CA58CF"/>
    <w:rsid w:val="46D84DED"/>
    <w:rsid w:val="46E62229"/>
    <w:rsid w:val="46EB5A91"/>
    <w:rsid w:val="472E2FE6"/>
    <w:rsid w:val="473614B6"/>
    <w:rsid w:val="473840C1"/>
    <w:rsid w:val="47613FA5"/>
    <w:rsid w:val="47694993"/>
    <w:rsid w:val="47745A86"/>
    <w:rsid w:val="47786A85"/>
    <w:rsid w:val="47811F51"/>
    <w:rsid w:val="478163F5"/>
    <w:rsid w:val="478A67E0"/>
    <w:rsid w:val="47953C4F"/>
    <w:rsid w:val="479F062A"/>
    <w:rsid w:val="479F23F2"/>
    <w:rsid w:val="47AE49C7"/>
    <w:rsid w:val="47B40579"/>
    <w:rsid w:val="47B42327"/>
    <w:rsid w:val="47B46F2B"/>
    <w:rsid w:val="47C60F6C"/>
    <w:rsid w:val="47CB55C8"/>
    <w:rsid w:val="47E05FA4"/>
    <w:rsid w:val="47E30E5E"/>
    <w:rsid w:val="47F00E85"/>
    <w:rsid w:val="47F155E6"/>
    <w:rsid w:val="47FB61A8"/>
    <w:rsid w:val="480542FE"/>
    <w:rsid w:val="48082B37"/>
    <w:rsid w:val="48180B08"/>
    <w:rsid w:val="48403C24"/>
    <w:rsid w:val="484F0241"/>
    <w:rsid w:val="484F69EF"/>
    <w:rsid w:val="48617145"/>
    <w:rsid w:val="48627FF5"/>
    <w:rsid w:val="4873378B"/>
    <w:rsid w:val="48742F45"/>
    <w:rsid w:val="48793AA9"/>
    <w:rsid w:val="487D6BBD"/>
    <w:rsid w:val="487F3C4F"/>
    <w:rsid w:val="48944AEB"/>
    <w:rsid w:val="489B1DE1"/>
    <w:rsid w:val="48AF0F60"/>
    <w:rsid w:val="48B22EB4"/>
    <w:rsid w:val="48BB7F78"/>
    <w:rsid w:val="48BF2034"/>
    <w:rsid w:val="48C42A3E"/>
    <w:rsid w:val="48D133AD"/>
    <w:rsid w:val="48D64F75"/>
    <w:rsid w:val="48DA1715"/>
    <w:rsid w:val="48DA7B6B"/>
    <w:rsid w:val="4903698D"/>
    <w:rsid w:val="49094FD1"/>
    <w:rsid w:val="49095523"/>
    <w:rsid w:val="490B3659"/>
    <w:rsid w:val="49170DBF"/>
    <w:rsid w:val="493D7280"/>
    <w:rsid w:val="496672F0"/>
    <w:rsid w:val="49667651"/>
    <w:rsid w:val="49675A49"/>
    <w:rsid w:val="49724248"/>
    <w:rsid w:val="498413E9"/>
    <w:rsid w:val="4996595D"/>
    <w:rsid w:val="499A554C"/>
    <w:rsid w:val="49CD147E"/>
    <w:rsid w:val="49D64346"/>
    <w:rsid w:val="49F219E3"/>
    <w:rsid w:val="49F904C5"/>
    <w:rsid w:val="4A031344"/>
    <w:rsid w:val="4A0B01F8"/>
    <w:rsid w:val="4A140AEE"/>
    <w:rsid w:val="4A2C543B"/>
    <w:rsid w:val="4A3239D7"/>
    <w:rsid w:val="4A372676"/>
    <w:rsid w:val="4A3B69AF"/>
    <w:rsid w:val="4A4658AA"/>
    <w:rsid w:val="4A53226E"/>
    <w:rsid w:val="4A5C2802"/>
    <w:rsid w:val="4A5F6D8C"/>
    <w:rsid w:val="4A654D2B"/>
    <w:rsid w:val="4A6F69D9"/>
    <w:rsid w:val="4A740C87"/>
    <w:rsid w:val="4A7604FF"/>
    <w:rsid w:val="4A890A16"/>
    <w:rsid w:val="4A8C1339"/>
    <w:rsid w:val="4AB34B18"/>
    <w:rsid w:val="4AC82096"/>
    <w:rsid w:val="4AC826F9"/>
    <w:rsid w:val="4ADF3B5F"/>
    <w:rsid w:val="4AE857CA"/>
    <w:rsid w:val="4AEA2192"/>
    <w:rsid w:val="4AF15640"/>
    <w:rsid w:val="4B06387A"/>
    <w:rsid w:val="4B0709C0"/>
    <w:rsid w:val="4B082568"/>
    <w:rsid w:val="4B1F08EE"/>
    <w:rsid w:val="4B224427"/>
    <w:rsid w:val="4B265E3C"/>
    <w:rsid w:val="4B296C14"/>
    <w:rsid w:val="4B2B0B52"/>
    <w:rsid w:val="4B3D0885"/>
    <w:rsid w:val="4B425E9C"/>
    <w:rsid w:val="4B481704"/>
    <w:rsid w:val="4B541BD0"/>
    <w:rsid w:val="4B5C0D0B"/>
    <w:rsid w:val="4B611AC1"/>
    <w:rsid w:val="4B683CC5"/>
    <w:rsid w:val="4B7B2C98"/>
    <w:rsid w:val="4B8B7843"/>
    <w:rsid w:val="4BA44460"/>
    <w:rsid w:val="4BB072A9"/>
    <w:rsid w:val="4BBC125B"/>
    <w:rsid w:val="4BBC79FC"/>
    <w:rsid w:val="4BE551A5"/>
    <w:rsid w:val="4BE64AD4"/>
    <w:rsid w:val="4BF30F0E"/>
    <w:rsid w:val="4BFB49C8"/>
    <w:rsid w:val="4C015793"/>
    <w:rsid w:val="4C0864B6"/>
    <w:rsid w:val="4C0B16FA"/>
    <w:rsid w:val="4C231829"/>
    <w:rsid w:val="4C48652B"/>
    <w:rsid w:val="4C4D3BD6"/>
    <w:rsid w:val="4C606CD8"/>
    <w:rsid w:val="4C651E42"/>
    <w:rsid w:val="4C727A96"/>
    <w:rsid w:val="4C7E2E68"/>
    <w:rsid w:val="4C880897"/>
    <w:rsid w:val="4C893887"/>
    <w:rsid w:val="4C8A7AFA"/>
    <w:rsid w:val="4C963D90"/>
    <w:rsid w:val="4C997D3D"/>
    <w:rsid w:val="4CA25012"/>
    <w:rsid w:val="4CB1005E"/>
    <w:rsid w:val="4CBD57DA"/>
    <w:rsid w:val="4CC02E10"/>
    <w:rsid w:val="4CD07C03"/>
    <w:rsid w:val="4CD314A1"/>
    <w:rsid w:val="4CD55219"/>
    <w:rsid w:val="4CD95D09"/>
    <w:rsid w:val="4CDC0E22"/>
    <w:rsid w:val="4CEA67EB"/>
    <w:rsid w:val="4CF3569F"/>
    <w:rsid w:val="4CF6702F"/>
    <w:rsid w:val="4D004273"/>
    <w:rsid w:val="4D0F7FFF"/>
    <w:rsid w:val="4D106715"/>
    <w:rsid w:val="4D170DB2"/>
    <w:rsid w:val="4D1B0481"/>
    <w:rsid w:val="4D1D096E"/>
    <w:rsid w:val="4D353B4D"/>
    <w:rsid w:val="4D3B0DF4"/>
    <w:rsid w:val="4D3F2693"/>
    <w:rsid w:val="4D6E4357"/>
    <w:rsid w:val="4D6E4D26"/>
    <w:rsid w:val="4D7367E0"/>
    <w:rsid w:val="4D7B134F"/>
    <w:rsid w:val="4D8924BB"/>
    <w:rsid w:val="4D901140"/>
    <w:rsid w:val="4D9232E6"/>
    <w:rsid w:val="4D932FAC"/>
    <w:rsid w:val="4D981DA3"/>
    <w:rsid w:val="4DAF278B"/>
    <w:rsid w:val="4DBA440F"/>
    <w:rsid w:val="4DC86B2C"/>
    <w:rsid w:val="4DCA28A4"/>
    <w:rsid w:val="4DD9598E"/>
    <w:rsid w:val="4DD979A2"/>
    <w:rsid w:val="4DEF632D"/>
    <w:rsid w:val="4DFE254E"/>
    <w:rsid w:val="4DFE2873"/>
    <w:rsid w:val="4E050B7A"/>
    <w:rsid w:val="4E206783"/>
    <w:rsid w:val="4E2F077A"/>
    <w:rsid w:val="4E390398"/>
    <w:rsid w:val="4E3E0EF8"/>
    <w:rsid w:val="4E4168DE"/>
    <w:rsid w:val="4E573BD3"/>
    <w:rsid w:val="4E617FD2"/>
    <w:rsid w:val="4E6D29C4"/>
    <w:rsid w:val="4E7B76FB"/>
    <w:rsid w:val="4E8628D8"/>
    <w:rsid w:val="4E8B1911"/>
    <w:rsid w:val="4E8D5680"/>
    <w:rsid w:val="4E9C58C3"/>
    <w:rsid w:val="4EA56E6D"/>
    <w:rsid w:val="4EA60658"/>
    <w:rsid w:val="4EAD7613"/>
    <w:rsid w:val="4EB7358C"/>
    <w:rsid w:val="4EB74B86"/>
    <w:rsid w:val="4EC07CF6"/>
    <w:rsid w:val="4EED1BAD"/>
    <w:rsid w:val="4EEE15D5"/>
    <w:rsid w:val="4EFD0A57"/>
    <w:rsid w:val="4F0C2A48"/>
    <w:rsid w:val="4F0F2539"/>
    <w:rsid w:val="4F120703"/>
    <w:rsid w:val="4F155902"/>
    <w:rsid w:val="4F195165"/>
    <w:rsid w:val="4F1C12BD"/>
    <w:rsid w:val="4F2A07A6"/>
    <w:rsid w:val="4F356A49"/>
    <w:rsid w:val="4F367A88"/>
    <w:rsid w:val="4F375603"/>
    <w:rsid w:val="4F3767BB"/>
    <w:rsid w:val="4F493AA8"/>
    <w:rsid w:val="4F5252CE"/>
    <w:rsid w:val="4F5D4375"/>
    <w:rsid w:val="4F5E3989"/>
    <w:rsid w:val="4F74239C"/>
    <w:rsid w:val="4F844CD5"/>
    <w:rsid w:val="4FB31116"/>
    <w:rsid w:val="4FB66609"/>
    <w:rsid w:val="4FC410A0"/>
    <w:rsid w:val="4FD77F76"/>
    <w:rsid w:val="4FF34EAE"/>
    <w:rsid w:val="4FF43C08"/>
    <w:rsid w:val="4FFA2CB9"/>
    <w:rsid w:val="4FFF5E93"/>
    <w:rsid w:val="5007752E"/>
    <w:rsid w:val="500D09D1"/>
    <w:rsid w:val="50151DD1"/>
    <w:rsid w:val="50333DEC"/>
    <w:rsid w:val="503B1D58"/>
    <w:rsid w:val="503E0E21"/>
    <w:rsid w:val="5047736B"/>
    <w:rsid w:val="50505EC7"/>
    <w:rsid w:val="505709DA"/>
    <w:rsid w:val="50595A45"/>
    <w:rsid w:val="50597F0F"/>
    <w:rsid w:val="506D380C"/>
    <w:rsid w:val="50811214"/>
    <w:rsid w:val="50877885"/>
    <w:rsid w:val="508D1967"/>
    <w:rsid w:val="509C604E"/>
    <w:rsid w:val="50A06C3F"/>
    <w:rsid w:val="50A9698B"/>
    <w:rsid w:val="50AC11E4"/>
    <w:rsid w:val="50AF7B2F"/>
    <w:rsid w:val="50C8299F"/>
    <w:rsid w:val="50E85B86"/>
    <w:rsid w:val="50ED0658"/>
    <w:rsid w:val="510850A0"/>
    <w:rsid w:val="510E729F"/>
    <w:rsid w:val="511B51C5"/>
    <w:rsid w:val="512E2B59"/>
    <w:rsid w:val="51350ACA"/>
    <w:rsid w:val="515B27C2"/>
    <w:rsid w:val="515D61BE"/>
    <w:rsid w:val="5177736A"/>
    <w:rsid w:val="518D27D7"/>
    <w:rsid w:val="518E5997"/>
    <w:rsid w:val="51A46E0C"/>
    <w:rsid w:val="51AA0562"/>
    <w:rsid w:val="51C43A71"/>
    <w:rsid w:val="51CB6BEB"/>
    <w:rsid w:val="51D00ACA"/>
    <w:rsid w:val="51D07D5D"/>
    <w:rsid w:val="51D234C1"/>
    <w:rsid w:val="51D27F79"/>
    <w:rsid w:val="51EE583A"/>
    <w:rsid w:val="51F003FF"/>
    <w:rsid w:val="51F30679"/>
    <w:rsid w:val="51FB2396"/>
    <w:rsid w:val="52014570"/>
    <w:rsid w:val="52065E75"/>
    <w:rsid w:val="521A29D3"/>
    <w:rsid w:val="521C68BA"/>
    <w:rsid w:val="52326C6A"/>
    <w:rsid w:val="52462715"/>
    <w:rsid w:val="524A1396"/>
    <w:rsid w:val="524B3888"/>
    <w:rsid w:val="524B7D2C"/>
    <w:rsid w:val="525925E0"/>
    <w:rsid w:val="525941F7"/>
    <w:rsid w:val="525F10E1"/>
    <w:rsid w:val="526D3D56"/>
    <w:rsid w:val="52713913"/>
    <w:rsid w:val="52754DA9"/>
    <w:rsid w:val="528C6F20"/>
    <w:rsid w:val="528D5CA9"/>
    <w:rsid w:val="528D79EF"/>
    <w:rsid w:val="52972F71"/>
    <w:rsid w:val="529E42FF"/>
    <w:rsid w:val="52A87C5A"/>
    <w:rsid w:val="52D47D21"/>
    <w:rsid w:val="52D962A8"/>
    <w:rsid w:val="52DB417E"/>
    <w:rsid w:val="52F71068"/>
    <w:rsid w:val="53074A47"/>
    <w:rsid w:val="530B5DC1"/>
    <w:rsid w:val="531A550D"/>
    <w:rsid w:val="53206AC2"/>
    <w:rsid w:val="53380292"/>
    <w:rsid w:val="533D7674"/>
    <w:rsid w:val="53407165"/>
    <w:rsid w:val="53450BA5"/>
    <w:rsid w:val="53495FB0"/>
    <w:rsid w:val="537868FE"/>
    <w:rsid w:val="538B41E2"/>
    <w:rsid w:val="538E7ED0"/>
    <w:rsid w:val="53B35B89"/>
    <w:rsid w:val="53BC5419"/>
    <w:rsid w:val="53C24270"/>
    <w:rsid w:val="53C41B44"/>
    <w:rsid w:val="53C5539E"/>
    <w:rsid w:val="53C71634"/>
    <w:rsid w:val="53CC27A6"/>
    <w:rsid w:val="53DA0B8E"/>
    <w:rsid w:val="53DC7C24"/>
    <w:rsid w:val="53E60212"/>
    <w:rsid w:val="53E75240"/>
    <w:rsid w:val="53ED6E07"/>
    <w:rsid w:val="540C4F99"/>
    <w:rsid w:val="541645C6"/>
    <w:rsid w:val="541859EC"/>
    <w:rsid w:val="542919A7"/>
    <w:rsid w:val="542D1D9A"/>
    <w:rsid w:val="543071D9"/>
    <w:rsid w:val="544A72F2"/>
    <w:rsid w:val="544E5094"/>
    <w:rsid w:val="545F361A"/>
    <w:rsid w:val="54603F5B"/>
    <w:rsid w:val="5480721B"/>
    <w:rsid w:val="549E1B6B"/>
    <w:rsid w:val="54A03FBE"/>
    <w:rsid w:val="54A6749B"/>
    <w:rsid w:val="54B35714"/>
    <w:rsid w:val="54C87412"/>
    <w:rsid w:val="54D538DD"/>
    <w:rsid w:val="54DB3CF7"/>
    <w:rsid w:val="54E067FF"/>
    <w:rsid w:val="54F15DA2"/>
    <w:rsid w:val="54F45268"/>
    <w:rsid w:val="54F815E4"/>
    <w:rsid w:val="55081F04"/>
    <w:rsid w:val="55102285"/>
    <w:rsid w:val="551255ED"/>
    <w:rsid w:val="55142657"/>
    <w:rsid w:val="551B5793"/>
    <w:rsid w:val="55254864"/>
    <w:rsid w:val="55293F19"/>
    <w:rsid w:val="552D36BF"/>
    <w:rsid w:val="553F216C"/>
    <w:rsid w:val="55411085"/>
    <w:rsid w:val="55572544"/>
    <w:rsid w:val="55687BAE"/>
    <w:rsid w:val="556F516C"/>
    <w:rsid w:val="5572737D"/>
    <w:rsid w:val="55821CB6"/>
    <w:rsid w:val="558327A4"/>
    <w:rsid w:val="558C48E3"/>
    <w:rsid w:val="55943798"/>
    <w:rsid w:val="55944102"/>
    <w:rsid w:val="559A7000"/>
    <w:rsid w:val="55B85DEB"/>
    <w:rsid w:val="55C4407D"/>
    <w:rsid w:val="55C55517"/>
    <w:rsid w:val="55CD0B52"/>
    <w:rsid w:val="55DB44CA"/>
    <w:rsid w:val="55DE50EE"/>
    <w:rsid w:val="55E71DAA"/>
    <w:rsid w:val="55EC3AF5"/>
    <w:rsid w:val="55ED4C54"/>
    <w:rsid w:val="55F73556"/>
    <w:rsid w:val="560C332E"/>
    <w:rsid w:val="5612303A"/>
    <w:rsid w:val="561B7A15"/>
    <w:rsid w:val="5621327D"/>
    <w:rsid w:val="562E2086"/>
    <w:rsid w:val="56330390"/>
    <w:rsid w:val="563352B9"/>
    <w:rsid w:val="563C1E65"/>
    <w:rsid w:val="564C7BCE"/>
    <w:rsid w:val="565E627F"/>
    <w:rsid w:val="568A2257"/>
    <w:rsid w:val="569A71C2"/>
    <w:rsid w:val="569B1411"/>
    <w:rsid w:val="569F0646"/>
    <w:rsid w:val="569F42C9"/>
    <w:rsid w:val="56BC2FD6"/>
    <w:rsid w:val="56C50231"/>
    <w:rsid w:val="56C62FC9"/>
    <w:rsid w:val="56CB32DD"/>
    <w:rsid w:val="56DC0F52"/>
    <w:rsid w:val="56F75F88"/>
    <w:rsid w:val="571132F2"/>
    <w:rsid w:val="572052E3"/>
    <w:rsid w:val="572701CF"/>
    <w:rsid w:val="572D17AE"/>
    <w:rsid w:val="572D2229"/>
    <w:rsid w:val="575256B8"/>
    <w:rsid w:val="577C4E30"/>
    <w:rsid w:val="57931F59"/>
    <w:rsid w:val="57A10134"/>
    <w:rsid w:val="57B02EBF"/>
    <w:rsid w:val="57B8376D"/>
    <w:rsid w:val="57C37F4E"/>
    <w:rsid w:val="57D62564"/>
    <w:rsid w:val="57EA3B43"/>
    <w:rsid w:val="57F02618"/>
    <w:rsid w:val="57F15804"/>
    <w:rsid w:val="58207565"/>
    <w:rsid w:val="582676C1"/>
    <w:rsid w:val="583A0626"/>
    <w:rsid w:val="583D5667"/>
    <w:rsid w:val="585F62DF"/>
    <w:rsid w:val="586B07E0"/>
    <w:rsid w:val="58951D01"/>
    <w:rsid w:val="58A36EF0"/>
    <w:rsid w:val="58AF4D40"/>
    <w:rsid w:val="58B12A6C"/>
    <w:rsid w:val="58BF6D7E"/>
    <w:rsid w:val="58C779E0"/>
    <w:rsid w:val="58C85C32"/>
    <w:rsid w:val="58D14210"/>
    <w:rsid w:val="58D423F1"/>
    <w:rsid w:val="58D42829"/>
    <w:rsid w:val="58DE21F2"/>
    <w:rsid w:val="58E64D02"/>
    <w:rsid w:val="58ED7447"/>
    <w:rsid w:val="58FC58DC"/>
    <w:rsid w:val="58FE583A"/>
    <w:rsid w:val="58FE78A6"/>
    <w:rsid w:val="590442D0"/>
    <w:rsid w:val="59117B17"/>
    <w:rsid w:val="59140DD8"/>
    <w:rsid w:val="5919371C"/>
    <w:rsid w:val="59253085"/>
    <w:rsid w:val="59350C74"/>
    <w:rsid w:val="59373F86"/>
    <w:rsid w:val="593A6404"/>
    <w:rsid w:val="593E7CA2"/>
    <w:rsid w:val="59452339"/>
    <w:rsid w:val="594D25DB"/>
    <w:rsid w:val="59587CA1"/>
    <w:rsid w:val="596832DC"/>
    <w:rsid w:val="596865D0"/>
    <w:rsid w:val="596A4F3B"/>
    <w:rsid w:val="596F1325"/>
    <w:rsid w:val="598002BB"/>
    <w:rsid w:val="598B2F92"/>
    <w:rsid w:val="59B5319E"/>
    <w:rsid w:val="59B60656"/>
    <w:rsid w:val="59CF5B06"/>
    <w:rsid w:val="59DD395F"/>
    <w:rsid w:val="59F12F67"/>
    <w:rsid w:val="5A2330DF"/>
    <w:rsid w:val="5A2607FB"/>
    <w:rsid w:val="5A382944"/>
    <w:rsid w:val="5A4B7125"/>
    <w:rsid w:val="5A5020C0"/>
    <w:rsid w:val="5A552CF9"/>
    <w:rsid w:val="5A5A6D5E"/>
    <w:rsid w:val="5A721101"/>
    <w:rsid w:val="5A793595"/>
    <w:rsid w:val="5A7B1206"/>
    <w:rsid w:val="5A93705A"/>
    <w:rsid w:val="5A9B436D"/>
    <w:rsid w:val="5AA12BDF"/>
    <w:rsid w:val="5ABC1339"/>
    <w:rsid w:val="5ACD39D4"/>
    <w:rsid w:val="5ACF3EF5"/>
    <w:rsid w:val="5ADA5294"/>
    <w:rsid w:val="5ADC7773"/>
    <w:rsid w:val="5AE8436A"/>
    <w:rsid w:val="5B184523"/>
    <w:rsid w:val="5B1C7423"/>
    <w:rsid w:val="5B2E5A07"/>
    <w:rsid w:val="5B3A3A6E"/>
    <w:rsid w:val="5B3C46B5"/>
    <w:rsid w:val="5B4D2EC4"/>
    <w:rsid w:val="5B503C71"/>
    <w:rsid w:val="5B5210A1"/>
    <w:rsid w:val="5B612A70"/>
    <w:rsid w:val="5B700EE9"/>
    <w:rsid w:val="5B70610D"/>
    <w:rsid w:val="5B791466"/>
    <w:rsid w:val="5B877C59"/>
    <w:rsid w:val="5B8A71CF"/>
    <w:rsid w:val="5B8E36FB"/>
    <w:rsid w:val="5B924EAE"/>
    <w:rsid w:val="5BA04C44"/>
    <w:rsid w:val="5BA3225F"/>
    <w:rsid w:val="5BA83AF9"/>
    <w:rsid w:val="5BAC183B"/>
    <w:rsid w:val="5BC83433"/>
    <w:rsid w:val="5BCC1B70"/>
    <w:rsid w:val="5BCE775B"/>
    <w:rsid w:val="5BD075BB"/>
    <w:rsid w:val="5BD62414"/>
    <w:rsid w:val="5BDD49BB"/>
    <w:rsid w:val="5BE32D83"/>
    <w:rsid w:val="5BF07652"/>
    <w:rsid w:val="5BF37B42"/>
    <w:rsid w:val="5C1301F1"/>
    <w:rsid w:val="5C1B7B96"/>
    <w:rsid w:val="5C245875"/>
    <w:rsid w:val="5C2C297C"/>
    <w:rsid w:val="5C3242F4"/>
    <w:rsid w:val="5C3630B8"/>
    <w:rsid w:val="5C390BF5"/>
    <w:rsid w:val="5C3B671B"/>
    <w:rsid w:val="5C4F783A"/>
    <w:rsid w:val="5C510C05"/>
    <w:rsid w:val="5C545FFD"/>
    <w:rsid w:val="5C5D0D87"/>
    <w:rsid w:val="5C5D5711"/>
    <w:rsid w:val="5C62639E"/>
    <w:rsid w:val="5C656656"/>
    <w:rsid w:val="5C6A7000"/>
    <w:rsid w:val="5C6F2B1E"/>
    <w:rsid w:val="5C8A5AE3"/>
    <w:rsid w:val="5CA2018D"/>
    <w:rsid w:val="5CB564CD"/>
    <w:rsid w:val="5CC55D17"/>
    <w:rsid w:val="5CC631D0"/>
    <w:rsid w:val="5CC826A5"/>
    <w:rsid w:val="5CCE758F"/>
    <w:rsid w:val="5CDA4186"/>
    <w:rsid w:val="5CF74D38"/>
    <w:rsid w:val="5D072AA1"/>
    <w:rsid w:val="5D085B78"/>
    <w:rsid w:val="5D1C479E"/>
    <w:rsid w:val="5D1C654D"/>
    <w:rsid w:val="5D1E3831"/>
    <w:rsid w:val="5D347D3A"/>
    <w:rsid w:val="5D3C6352"/>
    <w:rsid w:val="5D5C2DED"/>
    <w:rsid w:val="5D63417B"/>
    <w:rsid w:val="5D6767E6"/>
    <w:rsid w:val="5D6D61C1"/>
    <w:rsid w:val="5D6E566F"/>
    <w:rsid w:val="5D7302AA"/>
    <w:rsid w:val="5D815B15"/>
    <w:rsid w:val="5D8C2DFF"/>
    <w:rsid w:val="5DB20E44"/>
    <w:rsid w:val="5DBC642D"/>
    <w:rsid w:val="5DD422FB"/>
    <w:rsid w:val="5DDA632D"/>
    <w:rsid w:val="5DDC7A8A"/>
    <w:rsid w:val="5DE043F8"/>
    <w:rsid w:val="5DE30E18"/>
    <w:rsid w:val="5DE433D0"/>
    <w:rsid w:val="5DF03535"/>
    <w:rsid w:val="5E03770C"/>
    <w:rsid w:val="5E124136"/>
    <w:rsid w:val="5E1B090E"/>
    <w:rsid w:val="5E303744"/>
    <w:rsid w:val="5E385608"/>
    <w:rsid w:val="5E3D0431"/>
    <w:rsid w:val="5E3D0AD4"/>
    <w:rsid w:val="5E9D190F"/>
    <w:rsid w:val="5ED43F19"/>
    <w:rsid w:val="5ED4697B"/>
    <w:rsid w:val="5EDB185D"/>
    <w:rsid w:val="5EE035AA"/>
    <w:rsid w:val="5EEE216B"/>
    <w:rsid w:val="5EF3152F"/>
    <w:rsid w:val="5F04518C"/>
    <w:rsid w:val="5F0828F9"/>
    <w:rsid w:val="5F1D47FE"/>
    <w:rsid w:val="5F5C70D4"/>
    <w:rsid w:val="5F61609E"/>
    <w:rsid w:val="5F794621"/>
    <w:rsid w:val="5F7E4E71"/>
    <w:rsid w:val="5F976276"/>
    <w:rsid w:val="5FA34D03"/>
    <w:rsid w:val="5FA62A45"/>
    <w:rsid w:val="5FAA6092"/>
    <w:rsid w:val="5FAF1938"/>
    <w:rsid w:val="5FC058B5"/>
    <w:rsid w:val="5FCE18BF"/>
    <w:rsid w:val="5FD30251"/>
    <w:rsid w:val="5FDB59F9"/>
    <w:rsid w:val="5FDC1FC3"/>
    <w:rsid w:val="5FEE74C0"/>
    <w:rsid w:val="5FF76DFD"/>
    <w:rsid w:val="5FFB0183"/>
    <w:rsid w:val="5FFC6958"/>
    <w:rsid w:val="601C6864"/>
    <w:rsid w:val="6025487D"/>
    <w:rsid w:val="602A67D9"/>
    <w:rsid w:val="603E2C7E"/>
    <w:rsid w:val="60512F08"/>
    <w:rsid w:val="606721D5"/>
    <w:rsid w:val="60713EB7"/>
    <w:rsid w:val="607D270E"/>
    <w:rsid w:val="60822B6A"/>
    <w:rsid w:val="608B7FAD"/>
    <w:rsid w:val="608C5797"/>
    <w:rsid w:val="608C655F"/>
    <w:rsid w:val="60924A0D"/>
    <w:rsid w:val="60AD570E"/>
    <w:rsid w:val="60B40477"/>
    <w:rsid w:val="60C70EC5"/>
    <w:rsid w:val="60C75417"/>
    <w:rsid w:val="60DC2349"/>
    <w:rsid w:val="60F63558"/>
    <w:rsid w:val="610830D8"/>
    <w:rsid w:val="61086C8C"/>
    <w:rsid w:val="61135EB8"/>
    <w:rsid w:val="611A0FF5"/>
    <w:rsid w:val="611A7EAE"/>
    <w:rsid w:val="61290722"/>
    <w:rsid w:val="612B4FB0"/>
    <w:rsid w:val="61300818"/>
    <w:rsid w:val="613025C6"/>
    <w:rsid w:val="614222FA"/>
    <w:rsid w:val="614F75DF"/>
    <w:rsid w:val="615564D1"/>
    <w:rsid w:val="616850F4"/>
    <w:rsid w:val="616F0B89"/>
    <w:rsid w:val="617772D9"/>
    <w:rsid w:val="617A1BF7"/>
    <w:rsid w:val="618A0ACD"/>
    <w:rsid w:val="619035F0"/>
    <w:rsid w:val="619F681C"/>
    <w:rsid w:val="61A650EA"/>
    <w:rsid w:val="61AB60F1"/>
    <w:rsid w:val="61AE5BE1"/>
    <w:rsid w:val="61AE798F"/>
    <w:rsid w:val="61C62F2B"/>
    <w:rsid w:val="61CA1599"/>
    <w:rsid w:val="61DF5D9B"/>
    <w:rsid w:val="61EA1B28"/>
    <w:rsid w:val="61EF3877"/>
    <w:rsid w:val="61F4638C"/>
    <w:rsid w:val="62084926"/>
    <w:rsid w:val="620E2447"/>
    <w:rsid w:val="620E672E"/>
    <w:rsid w:val="621F67CD"/>
    <w:rsid w:val="622F47D1"/>
    <w:rsid w:val="625B18C5"/>
    <w:rsid w:val="626A0161"/>
    <w:rsid w:val="626C6CE6"/>
    <w:rsid w:val="627110E9"/>
    <w:rsid w:val="628506F0"/>
    <w:rsid w:val="628F156F"/>
    <w:rsid w:val="629D0DF0"/>
    <w:rsid w:val="62A210DD"/>
    <w:rsid w:val="62C90F25"/>
    <w:rsid w:val="62D653F0"/>
    <w:rsid w:val="62DF1FCF"/>
    <w:rsid w:val="62E24C8C"/>
    <w:rsid w:val="62EE098B"/>
    <w:rsid w:val="62EF1358"/>
    <w:rsid w:val="62F12229"/>
    <w:rsid w:val="62F85366"/>
    <w:rsid w:val="62FD59B6"/>
    <w:rsid w:val="630A191C"/>
    <w:rsid w:val="63152BFA"/>
    <w:rsid w:val="631F6D97"/>
    <w:rsid w:val="63242E07"/>
    <w:rsid w:val="63291B87"/>
    <w:rsid w:val="633A0C85"/>
    <w:rsid w:val="63554A0D"/>
    <w:rsid w:val="636522D0"/>
    <w:rsid w:val="63672026"/>
    <w:rsid w:val="63697D72"/>
    <w:rsid w:val="636F2E72"/>
    <w:rsid w:val="637571EB"/>
    <w:rsid w:val="638B442C"/>
    <w:rsid w:val="638F6634"/>
    <w:rsid w:val="63933079"/>
    <w:rsid w:val="63964A11"/>
    <w:rsid w:val="639F57E1"/>
    <w:rsid w:val="63A86D8C"/>
    <w:rsid w:val="63C22C9D"/>
    <w:rsid w:val="63C67212"/>
    <w:rsid w:val="63CD05A1"/>
    <w:rsid w:val="63CE4319"/>
    <w:rsid w:val="63D61B20"/>
    <w:rsid w:val="63F7561D"/>
    <w:rsid w:val="63F773CC"/>
    <w:rsid w:val="63F975E8"/>
    <w:rsid w:val="64085A7D"/>
    <w:rsid w:val="640B10C9"/>
    <w:rsid w:val="64441684"/>
    <w:rsid w:val="644F3765"/>
    <w:rsid w:val="6457085E"/>
    <w:rsid w:val="64626567"/>
    <w:rsid w:val="64651D07"/>
    <w:rsid w:val="648275DD"/>
    <w:rsid w:val="64AA1012"/>
    <w:rsid w:val="64B11C70"/>
    <w:rsid w:val="64D8544F"/>
    <w:rsid w:val="64DC3870"/>
    <w:rsid w:val="64E02506"/>
    <w:rsid w:val="64E35BA2"/>
    <w:rsid w:val="64EF0C16"/>
    <w:rsid w:val="64F102BF"/>
    <w:rsid w:val="64F63B27"/>
    <w:rsid w:val="64F953C5"/>
    <w:rsid w:val="65044F86"/>
    <w:rsid w:val="65062DB4"/>
    <w:rsid w:val="65067046"/>
    <w:rsid w:val="65075D34"/>
    <w:rsid w:val="65085608"/>
    <w:rsid w:val="651144BD"/>
    <w:rsid w:val="65444C21"/>
    <w:rsid w:val="654C7090"/>
    <w:rsid w:val="654D5EFA"/>
    <w:rsid w:val="654E3963"/>
    <w:rsid w:val="65500E48"/>
    <w:rsid w:val="65510D5D"/>
    <w:rsid w:val="656071F2"/>
    <w:rsid w:val="657418D1"/>
    <w:rsid w:val="65804C4D"/>
    <w:rsid w:val="65893A82"/>
    <w:rsid w:val="659012DA"/>
    <w:rsid w:val="6594000A"/>
    <w:rsid w:val="65A17ADE"/>
    <w:rsid w:val="65A61294"/>
    <w:rsid w:val="65B73664"/>
    <w:rsid w:val="65BF660F"/>
    <w:rsid w:val="65D43BE5"/>
    <w:rsid w:val="65E46075"/>
    <w:rsid w:val="65E47E23"/>
    <w:rsid w:val="65F05BD8"/>
    <w:rsid w:val="65F97393"/>
    <w:rsid w:val="660D1128"/>
    <w:rsid w:val="661D46E2"/>
    <w:rsid w:val="661F1FF1"/>
    <w:rsid w:val="66237B85"/>
    <w:rsid w:val="662B1252"/>
    <w:rsid w:val="662B18B7"/>
    <w:rsid w:val="66465EFD"/>
    <w:rsid w:val="6648692D"/>
    <w:rsid w:val="66501F93"/>
    <w:rsid w:val="66510CA2"/>
    <w:rsid w:val="66551CC6"/>
    <w:rsid w:val="66630D48"/>
    <w:rsid w:val="6663343E"/>
    <w:rsid w:val="666B40A1"/>
    <w:rsid w:val="66855163"/>
    <w:rsid w:val="668A4438"/>
    <w:rsid w:val="6692787F"/>
    <w:rsid w:val="669A4BE0"/>
    <w:rsid w:val="66A11CCB"/>
    <w:rsid w:val="66A7157D"/>
    <w:rsid w:val="66AC3F2B"/>
    <w:rsid w:val="66B4397D"/>
    <w:rsid w:val="66BC53A8"/>
    <w:rsid w:val="66C57C55"/>
    <w:rsid w:val="66C84AC8"/>
    <w:rsid w:val="66D147B6"/>
    <w:rsid w:val="66DC57F7"/>
    <w:rsid w:val="66DE6FD3"/>
    <w:rsid w:val="66E27F5F"/>
    <w:rsid w:val="66ED4AB6"/>
    <w:rsid w:val="66F500AF"/>
    <w:rsid w:val="67022AB0"/>
    <w:rsid w:val="67024A05"/>
    <w:rsid w:val="670D6F06"/>
    <w:rsid w:val="67105C76"/>
    <w:rsid w:val="67112E9A"/>
    <w:rsid w:val="67144738"/>
    <w:rsid w:val="672E785A"/>
    <w:rsid w:val="673F7A07"/>
    <w:rsid w:val="67452B44"/>
    <w:rsid w:val="676175B2"/>
    <w:rsid w:val="6765229D"/>
    <w:rsid w:val="67660278"/>
    <w:rsid w:val="67674868"/>
    <w:rsid w:val="6773145F"/>
    <w:rsid w:val="6773320D"/>
    <w:rsid w:val="6773383E"/>
    <w:rsid w:val="6776172B"/>
    <w:rsid w:val="677A6EE1"/>
    <w:rsid w:val="677D22DE"/>
    <w:rsid w:val="678036F3"/>
    <w:rsid w:val="678634A3"/>
    <w:rsid w:val="67880147"/>
    <w:rsid w:val="67934060"/>
    <w:rsid w:val="67944631"/>
    <w:rsid w:val="67A41555"/>
    <w:rsid w:val="67BD0B38"/>
    <w:rsid w:val="67D0240D"/>
    <w:rsid w:val="67D23E1C"/>
    <w:rsid w:val="67D352CC"/>
    <w:rsid w:val="67D61813"/>
    <w:rsid w:val="67F0485E"/>
    <w:rsid w:val="67F21C81"/>
    <w:rsid w:val="67F60B3E"/>
    <w:rsid w:val="68077DF9"/>
    <w:rsid w:val="68087D6E"/>
    <w:rsid w:val="681349F0"/>
    <w:rsid w:val="681C1AF7"/>
    <w:rsid w:val="681E586F"/>
    <w:rsid w:val="682D4D6B"/>
    <w:rsid w:val="684A6664"/>
    <w:rsid w:val="684D3A5E"/>
    <w:rsid w:val="685079F2"/>
    <w:rsid w:val="68531926"/>
    <w:rsid w:val="685A4E4B"/>
    <w:rsid w:val="68707641"/>
    <w:rsid w:val="688F051A"/>
    <w:rsid w:val="68962D5F"/>
    <w:rsid w:val="689B13BB"/>
    <w:rsid w:val="689B6EBF"/>
    <w:rsid w:val="68A11FFC"/>
    <w:rsid w:val="68C31F72"/>
    <w:rsid w:val="68C71AE9"/>
    <w:rsid w:val="68D128E1"/>
    <w:rsid w:val="68F95994"/>
    <w:rsid w:val="68FE11FC"/>
    <w:rsid w:val="691B0049"/>
    <w:rsid w:val="691C78D4"/>
    <w:rsid w:val="69290927"/>
    <w:rsid w:val="6930405E"/>
    <w:rsid w:val="693764BC"/>
    <w:rsid w:val="694B5B2E"/>
    <w:rsid w:val="695B119D"/>
    <w:rsid w:val="695D5DAB"/>
    <w:rsid w:val="696F5C56"/>
    <w:rsid w:val="699B2EEF"/>
    <w:rsid w:val="69A55B1C"/>
    <w:rsid w:val="69A578CA"/>
    <w:rsid w:val="69AE2C22"/>
    <w:rsid w:val="69B1073E"/>
    <w:rsid w:val="69B85D93"/>
    <w:rsid w:val="69BF2D66"/>
    <w:rsid w:val="69C54C5D"/>
    <w:rsid w:val="69D02B99"/>
    <w:rsid w:val="69D201D0"/>
    <w:rsid w:val="69E77376"/>
    <w:rsid w:val="69EA7580"/>
    <w:rsid w:val="69F85C4B"/>
    <w:rsid w:val="69FD7D33"/>
    <w:rsid w:val="6A06744A"/>
    <w:rsid w:val="6A0779D8"/>
    <w:rsid w:val="6A181EC9"/>
    <w:rsid w:val="6A2151A2"/>
    <w:rsid w:val="6A266C5C"/>
    <w:rsid w:val="6A290330"/>
    <w:rsid w:val="6A2D4D0E"/>
    <w:rsid w:val="6A344187"/>
    <w:rsid w:val="6A3C022E"/>
    <w:rsid w:val="6A3D3FA6"/>
    <w:rsid w:val="6A4749CB"/>
    <w:rsid w:val="6A50122B"/>
    <w:rsid w:val="6A576B75"/>
    <w:rsid w:val="6A5A4559"/>
    <w:rsid w:val="6A5C267E"/>
    <w:rsid w:val="6A65799E"/>
    <w:rsid w:val="6A94006A"/>
    <w:rsid w:val="6A975889"/>
    <w:rsid w:val="6A9910B4"/>
    <w:rsid w:val="6AA53016"/>
    <w:rsid w:val="6AAD6A36"/>
    <w:rsid w:val="6AB5047B"/>
    <w:rsid w:val="6AB623DF"/>
    <w:rsid w:val="6ABD59D5"/>
    <w:rsid w:val="6AC77447"/>
    <w:rsid w:val="6AD06BC8"/>
    <w:rsid w:val="6ADA49EC"/>
    <w:rsid w:val="6AEB57B0"/>
    <w:rsid w:val="6B164FDC"/>
    <w:rsid w:val="6B250CC2"/>
    <w:rsid w:val="6B264A3A"/>
    <w:rsid w:val="6B4078BB"/>
    <w:rsid w:val="6B4D5845"/>
    <w:rsid w:val="6B5111A8"/>
    <w:rsid w:val="6B543355"/>
    <w:rsid w:val="6B5E04F1"/>
    <w:rsid w:val="6B5E5A53"/>
    <w:rsid w:val="6B6A1CED"/>
    <w:rsid w:val="6B741C4A"/>
    <w:rsid w:val="6B78773E"/>
    <w:rsid w:val="6B7D50A7"/>
    <w:rsid w:val="6B9A55E7"/>
    <w:rsid w:val="6BA442DD"/>
    <w:rsid w:val="6BA50055"/>
    <w:rsid w:val="6BAA11C7"/>
    <w:rsid w:val="6BAF4978"/>
    <w:rsid w:val="6BBE4EE8"/>
    <w:rsid w:val="6BC04E8F"/>
    <w:rsid w:val="6BC229B5"/>
    <w:rsid w:val="6BCC4BC6"/>
    <w:rsid w:val="6BCF0C2E"/>
    <w:rsid w:val="6BEA5A68"/>
    <w:rsid w:val="6BF30DC0"/>
    <w:rsid w:val="6C0235C1"/>
    <w:rsid w:val="6C314FD0"/>
    <w:rsid w:val="6C344018"/>
    <w:rsid w:val="6C521745"/>
    <w:rsid w:val="6C53185F"/>
    <w:rsid w:val="6C562B32"/>
    <w:rsid w:val="6C5C23DF"/>
    <w:rsid w:val="6C623FD5"/>
    <w:rsid w:val="6C6463EE"/>
    <w:rsid w:val="6C665595"/>
    <w:rsid w:val="6C6B79A8"/>
    <w:rsid w:val="6C737CFB"/>
    <w:rsid w:val="6C7F273E"/>
    <w:rsid w:val="6CAB05D0"/>
    <w:rsid w:val="6CC138BA"/>
    <w:rsid w:val="6CCB7647"/>
    <w:rsid w:val="6CD504C6"/>
    <w:rsid w:val="6CD52274"/>
    <w:rsid w:val="6CD667DC"/>
    <w:rsid w:val="6CE6684F"/>
    <w:rsid w:val="6CF027F1"/>
    <w:rsid w:val="6CFA15F8"/>
    <w:rsid w:val="6D0F39D8"/>
    <w:rsid w:val="6D237A00"/>
    <w:rsid w:val="6D325918"/>
    <w:rsid w:val="6D3667F9"/>
    <w:rsid w:val="6D3B47CD"/>
    <w:rsid w:val="6D3F3AEA"/>
    <w:rsid w:val="6D3F3B91"/>
    <w:rsid w:val="6D433682"/>
    <w:rsid w:val="6D434DE7"/>
    <w:rsid w:val="6D4774D2"/>
    <w:rsid w:val="6D4A5769"/>
    <w:rsid w:val="6D536D97"/>
    <w:rsid w:val="6D760E66"/>
    <w:rsid w:val="6D785A21"/>
    <w:rsid w:val="6D8D20FD"/>
    <w:rsid w:val="6DA64C35"/>
    <w:rsid w:val="6DB4632D"/>
    <w:rsid w:val="6DB5112D"/>
    <w:rsid w:val="6DBC18F5"/>
    <w:rsid w:val="6DCE3893"/>
    <w:rsid w:val="6DDA2238"/>
    <w:rsid w:val="6DDC4AAE"/>
    <w:rsid w:val="6E1312A6"/>
    <w:rsid w:val="6E235D46"/>
    <w:rsid w:val="6E2D119A"/>
    <w:rsid w:val="6E445903"/>
    <w:rsid w:val="6E57007A"/>
    <w:rsid w:val="6E6E1A43"/>
    <w:rsid w:val="6E7A1325"/>
    <w:rsid w:val="6E857CCC"/>
    <w:rsid w:val="6E8E6BB1"/>
    <w:rsid w:val="6E922B12"/>
    <w:rsid w:val="6EA235BE"/>
    <w:rsid w:val="6EA534E8"/>
    <w:rsid w:val="6EA64B52"/>
    <w:rsid w:val="6EAB3BD4"/>
    <w:rsid w:val="6EB73981"/>
    <w:rsid w:val="6ED07197"/>
    <w:rsid w:val="6F0D68CD"/>
    <w:rsid w:val="6F101C89"/>
    <w:rsid w:val="6F1057E5"/>
    <w:rsid w:val="6F15104E"/>
    <w:rsid w:val="6F173018"/>
    <w:rsid w:val="6F1D6787"/>
    <w:rsid w:val="6F35524C"/>
    <w:rsid w:val="6F3C280B"/>
    <w:rsid w:val="6F49445D"/>
    <w:rsid w:val="6F4B0F13"/>
    <w:rsid w:val="6F4C3895"/>
    <w:rsid w:val="6F563B40"/>
    <w:rsid w:val="6F5953DE"/>
    <w:rsid w:val="6F887A72"/>
    <w:rsid w:val="6F9B77A5"/>
    <w:rsid w:val="6FB013AB"/>
    <w:rsid w:val="6FB72CD4"/>
    <w:rsid w:val="6FB865A9"/>
    <w:rsid w:val="6FD809F9"/>
    <w:rsid w:val="6FEA2615"/>
    <w:rsid w:val="700647FA"/>
    <w:rsid w:val="70076BE8"/>
    <w:rsid w:val="701C79D2"/>
    <w:rsid w:val="70216130"/>
    <w:rsid w:val="7026010C"/>
    <w:rsid w:val="70293112"/>
    <w:rsid w:val="702E23C7"/>
    <w:rsid w:val="70300C4D"/>
    <w:rsid w:val="704553B0"/>
    <w:rsid w:val="704716DB"/>
    <w:rsid w:val="70641B9A"/>
    <w:rsid w:val="706436BD"/>
    <w:rsid w:val="706933FF"/>
    <w:rsid w:val="706C1141"/>
    <w:rsid w:val="706F478E"/>
    <w:rsid w:val="70792A73"/>
    <w:rsid w:val="707E7966"/>
    <w:rsid w:val="708131B0"/>
    <w:rsid w:val="70875F7B"/>
    <w:rsid w:val="708B7819"/>
    <w:rsid w:val="70903082"/>
    <w:rsid w:val="70AE57B2"/>
    <w:rsid w:val="70C20D61"/>
    <w:rsid w:val="70C4379E"/>
    <w:rsid w:val="70CE2F1C"/>
    <w:rsid w:val="70D0347E"/>
    <w:rsid w:val="70DE3AB4"/>
    <w:rsid w:val="70E249A8"/>
    <w:rsid w:val="70E940A0"/>
    <w:rsid w:val="70ED2282"/>
    <w:rsid w:val="70F961C1"/>
    <w:rsid w:val="70FE448F"/>
    <w:rsid w:val="710B5715"/>
    <w:rsid w:val="710D6480"/>
    <w:rsid w:val="711830DE"/>
    <w:rsid w:val="71357E2F"/>
    <w:rsid w:val="714F5645"/>
    <w:rsid w:val="715045BF"/>
    <w:rsid w:val="71535E5D"/>
    <w:rsid w:val="716A5681"/>
    <w:rsid w:val="716E38BD"/>
    <w:rsid w:val="717402AD"/>
    <w:rsid w:val="718631F8"/>
    <w:rsid w:val="71926986"/>
    <w:rsid w:val="71A05546"/>
    <w:rsid w:val="71A36665"/>
    <w:rsid w:val="71B42C15"/>
    <w:rsid w:val="71BD1168"/>
    <w:rsid w:val="71CF1988"/>
    <w:rsid w:val="71D7083C"/>
    <w:rsid w:val="71E60A7F"/>
    <w:rsid w:val="71F03F54"/>
    <w:rsid w:val="71F045F5"/>
    <w:rsid w:val="71F118FE"/>
    <w:rsid w:val="71F26A84"/>
    <w:rsid w:val="71FB277D"/>
    <w:rsid w:val="72006308"/>
    <w:rsid w:val="72042B57"/>
    <w:rsid w:val="720F727B"/>
    <w:rsid w:val="721E646B"/>
    <w:rsid w:val="722632D4"/>
    <w:rsid w:val="722C3F99"/>
    <w:rsid w:val="722D2C6A"/>
    <w:rsid w:val="722E585A"/>
    <w:rsid w:val="723B7692"/>
    <w:rsid w:val="723D646C"/>
    <w:rsid w:val="724715F5"/>
    <w:rsid w:val="724843C4"/>
    <w:rsid w:val="725620A9"/>
    <w:rsid w:val="726913E0"/>
    <w:rsid w:val="727333A6"/>
    <w:rsid w:val="72824501"/>
    <w:rsid w:val="728704B4"/>
    <w:rsid w:val="728B515C"/>
    <w:rsid w:val="72972936"/>
    <w:rsid w:val="729B7ABC"/>
    <w:rsid w:val="72BB1F0C"/>
    <w:rsid w:val="72D00517"/>
    <w:rsid w:val="72D27981"/>
    <w:rsid w:val="72D663F4"/>
    <w:rsid w:val="72F0605A"/>
    <w:rsid w:val="72F46A83"/>
    <w:rsid w:val="73124222"/>
    <w:rsid w:val="732C6241"/>
    <w:rsid w:val="732E60FE"/>
    <w:rsid w:val="733D49C7"/>
    <w:rsid w:val="733E5017"/>
    <w:rsid w:val="73426189"/>
    <w:rsid w:val="73552361"/>
    <w:rsid w:val="73584DE1"/>
    <w:rsid w:val="73725B20"/>
    <w:rsid w:val="737722D7"/>
    <w:rsid w:val="738467A2"/>
    <w:rsid w:val="7386251A"/>
    <w:rsid w:val="738B318F"/>
    <w:rsid w:val="738F5872"/>
    <w:rsid w:val="73944C37"/>
    <w:rsid w:val="73AF381F"/>
    <w:rsid w:val="73BD58F6"/>
    <w:rsid w:val="73E6723F"/>
    <w:rsid w:val="73EB25D1"/>
    <w:rsid w:val="74024296"/>
    <w:rsid w:val="74177616"/>
    <w:rsid w:val="741B5358"/>
    <w:rsid w:val="7435737E"/>
    <w:rsid w:val="74387CB8"/>
    <w:rsid w:val="74441AE5"/>
    <w:rsid w:val="74485A21"/>
    <w:rsid w:val="744C5512"/>
    <w:rsid w:val="746522DF"/>
    <w:rsid w:val="74774EF1"/>
    <w:rsid w:val="748B6945"/>
    <w:rsid w:val="74936C9D"/>
    <w:rsid w:val="74A07E5B"/>
    <w:rsid w:val="74AE7F7A"/>
    <w:rsid w:val="74B56098"/>
    <w:rsid w:val="74C652C4"/>
    <w:rsid w:val="74CE4179"/>
    <w:rsid w:val="74D15A17"/>
    <w:rsid w:val="74D323E0"/>
    <w:rsid w:val="74DA0D6F"/>
    <w:rsid w:val="74DF54F9"/>
    <w:rsid w:val="74F32FEB"/>
    <w:rsid w:val="74F3598D"/>
    <w:rsid w:val="74F87447"/>
    <w:rsid w:val="74FD4A5E"/>
    <w:rsid w:val="75063912"/>
    <w:rsid w:val="751002ED"/>
    <w:rsid w:val="7517716A"/>
    <w:rsid w:val="7523775E"/>
    <w:rsid w:val="75241FEA"/>
    <w:rsid w:val="75407513"/>
    <w:rsid w:val="754908AF"/>
    <w:rsid w:val="754B718E"/>
    <w:rsid w:val="75646EFD"/>
    <w:rsid w:val="756B19C7"/>
    <w:rsid w:val="757B6042"/>
    <w:rsid w:val="75830782"/>
    <w:rsid w:val="758B02BC"/>
    <w:rsid w:val="759D26FD"/>
    <w:rsid w:val="759E7FEF"/>
    <w:rsid w:val="759F209F"/>
    <w:rsid w:val="759F5B15"/>
    <w:rsid w:val="75BD762F"/>
    <w:rsid w:val="75C630A2"/>
    <w:rsid w:val="75C8506C"/>
    <w:rsid w:val="75D05AFE"/>
    <w:rsid w:val="75E241F7"/>
    <w:rsid w:val="75EF43A6"/>
    <w:rsid w:val="760B6D06"/>
    <w:rsid w:val="760D0CD1"/>
    <w:rsid w:val="760E2E52"/>
    <w:rsid w:val="761738FD"/>
    <w:rsid w:val="76263B40"/>
    <w:rsid w:val="762749AA"/>
    <w:rsid w:val="763C55B3"/>
    <w:rsid w:val="764861AD"/>
    <w:rsid w:val="764D4B3C"/>
    <w:rsid w:val="764F753B"/>
    <w:rsid w:val="765468FF"/>
    <w:rsid w:val="76741ADF"/>
    <w:rsid w:val="767B3E8C"/>
    <w:rsid w:val="767C19B2"/>
    <w:rsid w:val="768947FB"/>
    <w:rsid w:val="76962A74"/>
    <w:rsid w:val="76966F18"/>
    <w:rsid w:val="76A07D97"/>
    <w:rsid w:val="76AB1AF8"/>
    <w:rsid w:val="76BE1FCB"/>
    <w:rsid w:val="76C770D1"/>
    <w:rsid w:val="76CD5BE9"/>
    <w:rsid w:val="76D86D54"/>
    <w:rsid w:val="76DE4A7D"/>
    <w:rsid w:val="76F03F24"/>
    <w:rsid w:val="76F1414E"/>
    <w:rsid w:val="76F97614"/>
    <w:rsid w:val="76FB0AD5"/>
    <w:rsid w:val="77010D42"/>
    <w:rsid w:val="77040D55"/>
    <w:rsid w:val="770B601D"/>
    <w:rsid w:val="772026ED"/>
    <w:rsid w:val="77244524"/>
    <w:rsid w:val="773F135E"/>
    <w:rsid w:val="773F310C"/>
    <w:rsid w:val="77416E84"/>
    <w:rsid w:val="7742204C"/>
    <w:rsid w:val="774442C4"/>
    <w:rsid w:val="77866F8C"/>
    <w:rsid w:val="778B6351"/>
    <w:rsid w:val="77933457"/>
    <w:rsid w:val="7797384B"/>
    <w:rsid w:val="77AF4622"/>
    <w:rsid w:val="77B816C6"/>
    <w:rsid w:val="77B94427"/>
    <w:rsid w:val="77C81353"/>
    <w:rsid w:val="77CB0E43"/>
    <w:rsid w:val="77CE4490"/>
    <w:rsid w:val="77DA2E34"/>
    <w:rsid w:val="77E37F3B"/>
    <w:rsid w:val="77E735E8"/>
    <w:rsid w:val="77F02FA9"/>
    <w:rsid w:val="7809640B"/>
    <w:rsid w:val="78106856"/>
    <w:rsid w:val="781B5927"/>
    <w:rsid w:val="782670D9"/>
    <w:rsid w:val="782B3690"/>
    <w:rsid w:val="782F6046"/>
    <w:rsid w:val="78326FD3"/>
    <w:rsid w:val="78462742"/>
    <w:rsid w:val="7847745E"/>
    <w:rsid w:val="785726D7"/>
    <w:rsid w:val="7860333A"/>
    <w:rsid w:val="7863107C"/>
    <w:rsid w:val="78720E40"/>
    <w:rsid w:val="787B4617"/>
    <w:rsid w:val="78880AE2"/>
    <w:rsid w:val="788B412F"/>
    <w:rsid w:val="789456D9"/>
    <w:rsid w:val="78957A98"/>
    <w:rsid w:val="78A80202"/>
    <w:rsid w:val="78B30A0B"/>
    <w:rsid w:val="78C20C10"/>
    <w:rsid w:val="78CA10FB"/>
    <w:rsid w:val="78CE1365"/>
    <w:rsid w:val="78EE4DE9"/>
    <w:rsid w:val="78F60B8B"/>
    <w:rsid w:val="78FF2A3F"/>
    <w:rsid w:val="7908351A"/>
    <w:rsid w:val="790E548B"/>
    <w:rsid w:val="79146DDD"/>
    <w:rsid w:val="791F5422"/>
    <w:rsid w:val="79211026"/>
    <w:rsid w:val="793A1DDD"/>
    <w:rsid w:val="79463BF4"/>
    <w:rsid w:val="794E6B4A"/>
    <w:rsid w:val="79653FBC"/>
    <w:rsid w:val="7971555E"/>
    <w:rsid w:val="79790A1D"/>
    <w:rsid w:val="797E6708"/>
    <w:rsid w:val="798337F2"/>
    <w:rsid w:val="799139C7"/>
    <w:rsid w:val="79914158"/>
    <w:rsid w:val="79975481"/>
    <w:rsid w:val="79CF2BCF"/>
    <w:rsid w:val="79E63657"/>
    <w:rsid w:val="79FA49EF"/>
    <w:rsid w:val="7A016C91"/>
    <w:rsid w:val="7A060B44"/>
    <w:rsid w:val="7A0732E8"/>
    <w:rsid w:val="7A0D52EE"/>
    <w:rsid w:val="7A1E34AC"/>
    <w:rsid w:val="7A2F7467"/>
    <w:rsid w:val="7A3A129A"/>
    <w:rsid w:val="7A3E58FC"/>
    <w:rsid w:val="7A563523"/>
    <w:rsid w:val="7A5C5D83"/>
    <w:rsid w:val="7A5F48AA"/>
    <w:rsid w:val="7A60419C"/>
    <w:rsid w:val="7A644563"/>
    <w:rsid w:val="7A67155F"/>
    <w:rsid w:val="7A7115F3"/>
    <w:rsid w:val="7A7B08FF"/>
    <w:rsid w:val="7A7E219D"/>
    <w:rsid w:val="7A9026C1"/>
    <w:rsid w:val="7A9814B1"/>
    <w:rsid w:val="7AB043AD"/>
    <w:rsid w:val="7AB40906"/>
    <w:rsid w:val="7AB6389B"/>
    <w:rsid w:val="7AB91427"/>
    <w:rsid w:val="7ABA37FC"/>
    <w:rsid w:val="7AD16FF3"/>
    <w:rsid w:val="7ADA5276"/>
    <w:rsid w:val="7AE07B03"/>
    <w:rsid w:val="7AEC29EA"/>
    <w:rsid w:val="7B095F0A"/>
    <w:rsid w:val="7B1448AF"/>
    <w:rsid w:val="7B1F7BE0"/>
    <w:rsid w:val="7B2A5E81"/>
    <w:rsid w:val="7B4F7695"/>
    <w:rsid w:val="7B644953"/>
    <w:rsid w:val="7B65510B"/>
    <w:rsid w:val="7B66335D"/>
    <w:rsid w:val="7B783090"/>
    <w:rsid w:val="7B784E3E"/>
    <w:rsid w:val="7B797640"/>
    <w:rsid w:val="7B7A74E5"/>
    <w:rsid w:val="7B810A53"/>
    <w:rsid w:val="7B871DCF"/>
    <w:rsid w:val="7B8D128E"/>
    <w:rsid w:val="7B997698"/>
    <w:rsid w:val="7B9F0318"/>
    <w:rsid w:val="7BA2010D"/>
    <w:rsid w:val="7BA62F60"/>
    <w:rsid w:val="7BB27D01"/>
    <w:rsid w:val="7BBA0FB3"/>
    <w:rsid w:val="7BCA45EC"/>
    <w:rsid w:val="7BD95F95"/>
    <w:rsid w:val="7BDA78A7"/>
    <w:rsid w:val="7BF11624"/>
    <w:rsid w:val="7BF25C00"/>
    <w:rsid w:val="7C034608"/>
    <w:rsid w:val="7C174657"/>
    <w:rsid w:val="7C2518A9"/>
    <w:rsid w:val="7C2823C0"/>
    <w:rsid w:val="7C3A7FF0"/>
    <w:rsid w:val="7C3B586E"/>
    <w:rsid w:val="7C3D1408"/>
    <w:rsid w:val="7C450A02"/>
    <w:rsid w:val="7C4B2553"/>
    <w:rsid w:val="7C790E6E"/>
    <w:rsid w:val="7C8227C5"/>
    <w:rsid w:val="7C833A9B"/>
    <w:rsid w:val="7C865D82"/>
    <w:rsid w:val="7C8C559B"/>
    <w:rsid w:val="7C8E5914"/>
    <w:rsid w:val="7CA67789"/>
    <w:rsid w:val="7CAD6D69"/>
    <w:rsid w:val="7CB146C9"/>
    <w:rsid w:val="7CB34806"/>
    <w:rsid w:val="7CB400F8"/>
    <w:rsid w:val="7CB92F1E"/>
    <w:rsid w:val="7CBB7BCF"/>
    <w:rsid w:val="7CBE56A6"/>
    <w:rsid w:val="7CD10CAA"/>
    <w:rsid w:val="7CEB004E"/>
    <w:rsid w:val="7CF12A4E"/>
    <w:rsid w:val="7CF16C56"/>
    <w:rsid w:val="7CF62D57"/>
    <w:rsid w:val="7CF73114"/>
    <w:rsid w:val="7CFA21F8"/>
    <w:rsid w:val="7CFD5B1E"/>
    <w:rsid w:val="7D0163B1"/>
    <w:rsid w:val="7D034BDB"/>
    <w:rsid w:val="7D0D0002"/>
    <w:rsid w:val="7D0E4DD0"/>
    <w:rsid w:val="7D162B61"/>
    <w:rsid w:val="7D2B6438"/>
    <w:rsid w:val="7D351393"/>
    <w:rsid w:val="7D363DB1"/>
    <w:rsid w:val="7D380193"/>
    <w:rsid w:val="7D434AF2"/>
    <w:rsid w:val="7D476E1D"/>
    <w:rsid w:val="7D567401"/>
    <w:rsid w:val="7D594549"/>
    <w:rsid w:val="7D646155"/>
    <w:rsid w:val="7D6B3989"/>
    <w:rsid w:val="7D893333"/>
    <w:rsid w:val="7D9341B1"/>
    <w:rsid w:val="7DC2659B"/>
    <w:rsid w:val="7DC7252F"/>
    <w:rsid w:val="7DCC0EB3"/>
    <w:rsid w:val="7DDB3462"/>
    <w:rsid w:val="7DDD542C"/>
    <w:rsid w:val="7DDF16A1"/>
    <w:rsid w:val="7DFD787D"/>
    <w:rsid w:val="7DFF1847"/>
    <w:rsid w:val="7E1C41A7"/>
    <w:rsid w:val="7E274DCF"/>
    <w:rsid w:val="7E32177F"/>
    <w:rsid w:val="7E355268"/>
    <w:rsid w:val="7E3B7D8E"/>
    <w:rsid w:val="7E4D6C2C"/>
    <w:rsid w:val="7E511523"/>
    <w:rsid w:val="7E582F82"/>
    <w:rsid w:val="7E6A2956"/>
    <w:rsid w:val="7E6F077A"/>
    <w:rsid w:val="7E751B09"/>
    <w:rsid w:val="7EA428FA"/>
    <w:rsid w:val="7EA45C36"/>
    <w:rsid w:val="7EB77CC7"/>
    <w:rsid w:val="7EE43B13"/>
    <w:rsid w:val="7EEC0FCB"/>
    <w:rsid w:val="7EF42A2E"/>
    <w:rsid w:val="7EFE0F9A"/>
    <w:rsid w:val="7F0E0C8E"/>
    <w:rsid w:val="7F1B445E"/>
    <w:rsid w:val="7F2A6A40"/>
    <w:rsid w:val="7F2F3A66"/>
    <w:rsid w:val="7F3E2DC8"/>
    <w:rsid w:val="7F403EC5"/>
    <w:rsid w:val="7F451533"/>
    <w:rsid w:val="7F4B7FF1"/>
    <w:rsid w:val="7F4E65E2"/>
    <w:rsid w:val="7F623E3B"/>
    <w:rsid w:val="7F631C62"/>
    <w:rsid w:val="7F78444B"/>
    <w:rsid w:val="7F906B71"/>
    <w:rsid w:val="7F952861"/>
    <w:rsid w:val="7F975FCB"/>
    <w:rsid w:val="7FA86F47"/>
    <w:rsid w:val="7FAA7590"/>
    <w:rsid w:val="7FAB5685"/>
    <w:rsid w:val="7FB4040F"/>
    <w:rsid w:val="7FB63ABB"/>
    <w:rsid w:val="7FC317DF"/>
    <w:rsid w:val="7FC71EF0"/>
    <w:rsid w:val="7FCC39AA"/>
    <w:rsid w:val="7FD02953"/>
    <w:rsid w:val="7FD33D11"/>
    <w:rsid w:val="7FD60385"/>
    <w:rsid w:val="7FDD5BB8"/>
    <w:rsid w:val="7FDE611C"/>
    <w:rsid w:val="7FE7446C"/>
    <w:rsid w:val="7FF54CAF"/>
    <w:rsid w:val="7FF6466E"/>
    <w:rsid w:val="7FFE6D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qFormat="1" w:uiPriority="99" w:semiHidden="0"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99" w:name="List Number 3"/>
    <w:lsdException w:uiPriority="99" w:name="List Number 4"/>
    <w:lsdException w:uiPriority="99" w:name="List Number 5"/>
    <w:lsdException w:qFormat="1" w:unhideWhenUsed="0" w:uiPriority="0" w:semiHidden="0" w:name="Title"/>
    <w:lsdException w:qFormat="1" w:unhideWhenUsed="0" w:uiPriority="0" w:semiHidden="0"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lang w:val="en-US" w:eastAsia="zh-CN" w:bidi="ar-SA"/>
    </w:rPr>
  </w:style>
  <w:style w:type="paragraph" w:styleId="2">
    <w:name w:val="heading 1"/>
    <w:basedOn w:val="1"/>
    <w:next w:val="1"/>
    <w:link w:val="75"/>
    <w:qFormat/>
    <w:uiPriority w:val="0"/>
    <w:pPr>
      <w:keepNext/>
      <w:outlineLvl w:val="0"/>
    </w:pPr>
    <w:rPr>
      <w:kern w:val="2"/>
      <w:sz w:val="30"/>
      <w:szCs w:val="24"/>
    </w:rPr>
  </w:style>
  <w:style w:type="paragraph" w:styleId="3">
    <w:name w:val="heading 2"/>
    <w:basedOn w:val="1"/>
    <w:next w:val="1"/>
    <w:link w:val="76"/>
    <w:qFormat/>
    <w:uiPriority w:val="0"/>
    <w:pPr>
      <w:keepNext/>
      <w:keepLines/>
      <w:spacing w:line="416" w:lineRule="auto"/>
      <w:outlineLvl w:val="1"/>
    </w:pPr>
    <w:rPr>
      <w:rFonts w:ascii="Arial" w:hAnsi="Arial" w:eastAsia="黑体"/>
      <w:b/>
      <w:bCs/>
      <w:kern w:val="2"/>
      <w:sz w:val="32"/>
      <w:szCs w:val="32"/>
    </w:rPr>
  </w:style>
  <w:style w:type="paragraph" w:styleId="4">
    <w:name w:val="heading 3"/>
    <w:basedOn w:val="1"/>
    <w:next w:val="1"/>
    <w:link w:val="77"/>
    <w:qFormat/>
    <w:uiPriority w:val="0"/>
    <w:pPr>
      <w:keepNext/>
      <w:keepLines/>
      <w:outlineLvl w:val="2"/>
    </w:pPr>
    <w:rPr>
      <w:rFonts w:eastAsia="仿宋"/>
      <w:b/>
      <w:bCs/>
      <w:sz w:val="30"/>
    </w:rPr>
  </w:style>
  <w:style w:type="paragraph" w:styleId="5">
    <w:name w:val="heading 4"/>
    <w:basedOn w:val="1"/>
    <w:next w:val="1"/>
    <w:link w:val="78"/>
    <w:qFormat/>
    <w:uiPriority w:val="0"/>
    <w:pPr>
      <w:keepNext/>
      <w:keepLines/>
      <w:outlineLvl w:val="3"/>
    </w:pPr>
    <w:rPr>
      <w:rFonts w:ascii="Arial" w:hAnsi="Arial" w:eastAsia="仿宋"/>
      <w:b/>
      <w:bCs/>
      <w:sz w:val="28"/>
      <w:szCs w:val="28"/>
    </w:rPr>
  </w:style>
  <w:style w:type="paragraph" w:styleId="6">
    <w:name w:val="heading 5"/>
    <w:basedOn w:val="1"/>
    <w:next w:val="1"/>
    <w:link w:val="79"/>
    <w:qFormat/>
    <w:uiPriority w:val="0"/>
    <w:pPr>
      <w:keepNext/>
      <w:keepLines/>
      <w:spacing w:line="376" w:lineRule="auto"/>
      <w:outlineLvl w:val="4"/>
    </w:pPr>
    <w:rPr>
      <w:rFonts w:eastAsia="仿宋_GB2312"/>
      <w:b/>
      <w:bCs/>
      <w:kern w:val="2"/>
      <w:sz w:val="28"/>
      <w:szCs w:val="28"/>
    </w:rPr>
  </w:style>
  <w:style w:type="paragraph" w:styleId="7">
    <w:name w:val="heading 6"/>
    <w:basedOn w:val="1"/>
    <w:next w:val="1"/>
    <w:link w:val="80"/>
    <w:qFormat/>
    <w:uiPriority w:val="0"/>
    <w:pPr>
      <w:widowControl/>
      <w:jc w:val="left"/>
      <w:outlineLvl w:val="5"/>
    </w:pPr>
    <w:rPr>
      <w:rFonts w:ascii="Calibri" w:hAnsi="Calibri"/>
      <w:b/>
      <w:bCs/>
      <w:sz w:val="22"/>
      <w:szCs w:val="22"/>
      <w:lang w:eastAsia="en-US" w:bidi="en-US"/>
    </w:rPr>
  </w:style>
  <w:style w:type="paragraph" w:styleId="8">
    <w:name w:val="heading 7"/>
    <w:basedOn w:val="1"/>
    <w:next w:val="1"/>
    <w:link w:val="81"/>
    <w:qFormat/>
    <w:uiPriority w:val="0"/>
    <w:pPr>
      <w:keepNext/>
      <w:keepLines/>
      <w:spacing w:line="320" w:lineRule="auto"/>
      <w:outlineLvl w:val="6"/>
    </w:pPr>
    <w:rPr>
      <w:rFonts w:eastAsia="仿宋_GB2312"/>
      <w:b/>
      <w:bCs/>
      <w:kern w:val="2"/>
      <w:sz w:val="24"/>
      <w:szCs w:val="24"/>
    </w:rPr>
  </w:style>
  <w:style w:type="paragraph" w:styleId="9">
    <w:name w:val="heading 8"/>
    <w:basedOn w:val="1"/>
    <w:next w:val="1"/>
    <w:link w:val="82"/>
    <w:qFormat/>
    <w:uiPriority w:val="0"/>
    <w:pPr>
      <w:keepNext/>
      <w:keepLines/>
      <w:spacing w:line="320" w:lineRule="auto"/>
      <w:outlineLvl w:val="7"/>
    </w:pPr>
    <w:rPr>
      <w:rFonts w:ascii="Arial" w:hAnsi="Arial" w:eastAsia="黑体"/>
      <w:kern w:val="2"/>
      <w:sz w:val="24"/>
      <w:szCs w:val="24"/>
    </w:rPr>
  </w:style>
  <w:style w:type="paragraph" w:styleId="10">
    <w:name w:val="heading 9"/>
    <w:basedOn w:val="1"/>
    <w:next w:val="1"/>
    <w:link w:val="83"/>
    <w:qFormat/>
    <w:uiPriority w:val="0"/>
    <w:pPr>
      <w:widowControl/>
      <w:jc w:val="left"/>
      <w:outlineLvl w:val="8"/>
    </w:pPr>
    <w:rPr>
      <w:rFonts w:ascii="Cambria" w:hAnsi="Cambria"/>
      <w:sz w:val="22"/>
      <w:szCs w:val="22"/>
      <w:lang w:eastAsia="en-US" w:bidi="en-US"/>
    </w:rPr>
  </w:style>
  <w:style w:type="character" w:default="1" w:styleId="64">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600" w:leftChars="400" w:hanging="200" w:hangingChars="200"/>
    </w:pPr>
    <w:rPr>
      <w:szCs w:val="24"/>
    </w:rPr>
  </w:style>
  <w:style w:type="paragraph" w:styleId="12">
    <w:name w:val="toc 7"/>
    <w:basedOn w:val="1"/>
    <w:next w:val="1"/>
    <w:qFormat/>
    <w:uiPriority w:val="39"/>
    <w:pPr>
      <w:ind w:left="1200"/>
      <w:jc w:val="left"/>
    </w:pPr>
    <w:rPr>
      <w:rFonts w:ascii="Calibri" w:hAnsi="Calibri" w:cs="Calibri"/>
      <w:sz w:val="18"/>
      <w:szCs w:val="18"/>
    </w:rPr>
  </w:style>
  <w:style w:type="paragraph" w:styleId="13">
    <w:name w:val="List Number 2"/>
    <w:basedOn w:val="1"/>
    <w:qFormat/>
    <w:uiPriority w:val="0"/>
    <w:pPr>
      <w:tabs>
        <w:tab w:val="left" w:pos="435"/>
        <w:tab w:val="left" w:pos="780"/>
      </w:tabs>
      <w:ind w:left="780" w:hanging="435"/>
    </w:pPr>
    <w:rPr>
      <w:sz w:val="28"/>
    </w:rPr>
  </w:style>
  <w:style w:type="paragraph" w:styleId="14">
    <w:name w:val="List Bullet 4"/>
    <w:basedOn w:val="1"/>
    <w:qFormat/>
    <w:uiPriority w:val="0"/>
    <w:pPr>
      <w:tabs>
        <w:tab w:val="left" w:pos="1620"/>
      </w:tabs>
      <w:ind w:left="800" w:leftChars="600" w:hanging="200" w:hangingChars="200"/>
    </w:pPr>
  </w:style>
  <w:style w:type="paragraph" w:styleId="15">
    <w:name w:val="Normal Indent"/>
    <w:basedOn w:val="1"/>
    <w:link w:val="84"/>
    <w:qFormat/>
    <w:uiPriority w:val="0"/>
    <w:pPr>
      <w:ind w:firstLine="420"/>
    </w:pPr>
    <w:rPr>
      <w:rFonts w:eastAsia="仿宋_GB2312"/>
      <w:kern w:val="2"/>
      <w:sz w:val="30"/>
      <w:szCs w:val="30"/>
    </w:rPr>
  </w:style>
  <w:style w:type="paragraph" w:styleId="16">
    <w:name w:val="caption"/>
    <w:basedOn w:val="1"/>
    <w:next w:val="1"/>
    <w:qFormat/>
    <w:uiPriority w:val="0"/>
    <w:rPr>
      <w:rFonts w:ascii="Arial" w:hAnsi="Arial" w:eastAsia="黑体"/>
    </w:rPr>
  </w:style>
  <w:style w:type="paragraph" w:styleId="17">
    <w:name w:val="Document Map"/>
    <w:basedOn w:val="1"/>
    <w:link w:val="85"/>
    <w:qFormat/>
    <w:uiPriority w:val="99"/>
    <w:pPr>
      <w:shd w:val="clear" w:color="auto" w:fill="000080"/>
      <w:spacing w:line="360" w:lineRule="auto"/>
      <w:ind w:firstLine="480" w:firstLineChars="200"/>
    </w:pPr>
    <w:rPr>
      <w:rFonts w:ascii="宋体"/>
      <w:kern w:val="2"/>
      <w:sz w:val="24"/>
      <w:szCs w:val="24"/>
      <w:shd w:val="clear" w:color="auto" w:fill="000080"/>
    </w:rPr>
  </w:style>
  <w:style w:type="paragraph" w:styleId="18">
    <w:name w:val="toa heading"/>
    <w:basedOn w:val="1"/>
    <w:next w:val="1"/>
    <w:unhideWhenUsed/>
    <w:qFormat/>
    <w:uiPriority w:val="99"/>
    <w:rPr>
      <w:rFonts w:ascii="Cambria" w:hAnsi="Cambria" w:eastAsia="微软雅黑"/>
      <w:sz w:val="21"/>
      <w:szCs w:val="24"/>
    </w:rPr>
  </w:style>
  <w:style w:type="paragraph" w:styleId="19">
    <w:name w:val="annotation text"/>
    <w:basedOn w:val="1"/>
    <w:link w:val="86"/>
    <w:qFormat/>
    <w:uiPriority w:val="0"/>
    <w:pPr>
      <w:adjustRightInd w:val="0"/>
      <w:spacing w:line="360" w:lineRule="atLeast"/>
      <w:jc w:val="left"/>
      <w:textAlignment w:val="baseline"/>
    </w:pPr>
    <w:rPr>
      <w:spacing w:val="4"/>
      <w:sz w:val="24"/>
    </w:rPr>
  </w:style>
  <w:style w:type="paragraph" w:styleId="20">
    <w:name w:val="Salutation"/>
    <w:basedOn w:val="1"/>
    <w:next w:val="1"/>
    <w:link w:val="87"/>
    <w:qFormat/>
    <w:uiPriority w:val="0"/>
    <w:rPr>
      <w:rFonts w:ascii="Arial" w:hAnsi="Arial"/>
      <w:kern w:val="2"/>
      <w:sz w:val="24"/>
      <w:szCs w:val="24"/>
    </w:rPr>
  </w:style>
  <w:style w:type="paragraph" w:styleId="21">
    <w:name w:val="Body Text 3"/>
    <w:basedOn w:val="1"/>
    <w:link w:val="88"/>
    <w:qFormat/>
    <w:uiPriority w:val="0"/>
    <w:pPr>
      <w:jc w:val="center"/>
      <w:outlineLvl w:val="0"/>
    </w:pPr>
    <w:rPr>
      <w:rFonts w:ascii="楷体_GB2312" w:eastAsia="仿宋_GB2312"/>
      <w:kern w:val="2"/>
      <w:sz w:val="21"/>
    </w:rPr>
  </w:style>
  <w:style w:type="paragraph" w:styleId="22">
    <w:name w:val="Closing"/>
    <w:basedOn w:val="1"/>
    <w:link w:val="89"/>
    <w:qFormat/>
    <w:uiPriority w:val="0"/>
    <w:pPr>
      <w:ind w:left="2100" w:leftChars="2100"/>
    </w:pPr>
    <w:rPr>
      <w:rFonts w:ascii="Arial" w:hAnsi="Arial"/>
      <w:kern w:val="2"/>
      <w:sz w:val="24"/>
      <w:szCs w:val="24"/>
    </w:rPr>
  </w:style>
  <w:style w:type="paragraph" w:styleId="23">
    <w:name w:val="List Bullet 3"/>
    <w:basedOn w:val="1"/>
    <w:qFormat/>
    <w:uiPriority w:val="0"/>
    <w:pPr>
      <w:tabs>
        <w:tab w:val="left" w:pos="1200"/>
      </w:tabs>
      <w:ind w:left="600" w:leftChars="400" w:hanging="200" w:hangingChars="200"/>
    </w:pPr>
  </w:style>
  <w:style w:type="paragraph" w:styleId="24">
    <w:name w:val="Body Text"/>
    <w:basedOn w:val="1"/>
    <w:next w:val="25"/>
    <w:link w:val="73"/>
    <w:qFormat/>
    <w:uiPriority w:val="0"/>
    <w:rPr>
      <w:rFonts w:eastAsia="仿宋_GB2312"/>
      <w:kern w:val="2"/>
      <w:sz w:val="28"/>
      <w:szCs w:val="30"/>
    </w:rPr>
  </w:style>
  <w:style w:type="paragraph" w:customStyle="1" w:styleId="25">
    <w:name w:val="Default"/>
    <w:next w:val="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26">
    <w:name w:val="Body Text Indent"/>
    <w:basedOn w:val="1"/>
    <w:link w:val="90"/>
    <w:qFormat/>
    <w:uiPriority w:val="0"/>
    <w:pPr>
      <w:spacing w:line="400" w:lineRule="exact"/>
      <w:ind w:left="630"/>
    </w:pPr>
    <w:rPr>
      <w:rFonts w:ascii="楷体_GB2312" w:eastAsia="仿宋_GB2312"/>
      <w:kern w:val="2"/>
      <w:sz w:val="30"/>
      <w:szCs w:val="30"/>
    </w:rPr>
  </w:style>
  <w:style w:type="paragraph" w:styleId="27">
    <w:name w:val="List 2"/>
    <w:basedOn w:val="1"/>
    <w:qFormat/>
    <w:uiPriority w:val="0"/>
    <w:pPr>
      <w:ind w:left="400" w:leftChars="200" w:hanging="200" w:hangingChars="200"/>
    </w:pPr>
    <w:rPr>
      <w:szCs w:val="24"/>
    </w:rPr>
  </w:style>
  <w:style w:type="paragraph" w:styleId="28">
    <w:name w:val="List Continue"/>
    <w:basedOn w:val="1"/>
    <w:qFormat/>
    <w:uiPriority w:val="0"/>
    <w:pPr>
      <w:ind w:left="420"/>
    </w:pPr>
    <w:rPr>
      <w:rFonts w:eastAsia="楷体_GB2312"/>
    </w:rPr>
  </w:style>
  <w:style w:type="paragraph" w:styleId="29">
    <w:name w:val="Block Text"/>
    <w:basedOn w:val="1"/>
    <w:qFormat/>
    <w:uiPriority w:val="0"/>
    <w:pPr>
      <w:spacing w:line="300" w:lineRule="auto"/>
      <w:ind w:left="735" w:right="-26"/>
    </w:pPr>
    <w:rPr>
      <w:rFonts w:ascii="楷体_GB2312" w:eastAsia="楷体_GB2312"/>
      <w:sz w:val="24"/>
    </w:rPr>
  </w:style>
  <w:style w:type="paragraph" w:styleId="30">
    <w:name w:val="List Bullet 2"/>
    <w:basedOn w:val="1"/>
    <w:qFormat/>
    <w:uiPriority w:val="0"/>
    <w:pPr>
      <w:widowControl/>
      <w:spacing w:line="0" w:lineRule="atLeast"/>
    </w:pPr>
    <w:rPr>
      <w:rFonts w:ascii="宋体"/>
      <w:sz w:val="24"/>
      <w:szCs w:val="24"/>
    </w:rPr>
  </w:style>
  <w:style w:type="paragraph" w:styleId="31">
    <w:name w:val="toc 5"/>
    <w:basedOn w:val="1"/>
    <w:next w:val="1"/>
    <w:qFormat/>
    <w:uiPriority w:val="39"/>
    <w:pPr>
      <w:ind w:left="800"/>
      <w:jc w:val="left"/>
    </w:pPr>
    <w:rPr>
      <w:rFonts w:ascii="Calibri" w:hAnsi="Calibri" w:cs="Calibri"/>
      <w:sz w:val="18"/>
      <w:szCs w:val="18"/>
    </w:rPr>
  </w:style>
  <w:style w:type="paragraph" w:styleId="32">
    <w:name w:val="toc 3"/>
    <w:basedOn w:val="1"/>
    <w:next w:val="1"/>
    <w:qFormat/>
    <w:uiPriority w:val="39"/>
    <w:pPr>
      <w:ind w:left="400"/>
      <w:jc w:val="left"/>
    </w:pPr>
    <w:rPr>
      <w:rFonts w:ascii="Calibri" w:hAnsi="Calibri" w:eastAsia="微软雅黑" w:cs="Calibri"/>
      <w:iCs/>
      <w:sz w:val="21"/>
    </w:rPr>
  </w:style>
  <w:style w:type="paragraph" w:styleId="33">
    <w:name w:val="Plain Text"/>
    <w:basedOn w:val="1"/>
    <w:link w:val="91"/>
    <w:qFormat/>
    <w:uiPriority w:val="0"/>
    <w:rPr>
      <w:rFonts w:ascii="宋体" w:hAnsi="Courier New"/>
      <w:kern w:val="2"/>
      <w:sz w:val="21"/>
    </w:rPr>
  </w:style>
  <w:style w:type="paragraph" w:styleId="34">
    <w:name w:val="List Bullet 5"/>
    <w:basedOn w:val="1"/>
    <w:qFormat/>
    <w:uiPriority w:val="0"/>
    <w:pPr>
      <w:tabs>
        <w:tab w:val="left" w:pos="2040"/>
      </w:tabs>
      <w:ind w:left="1000" w:leftChars="800" w:hanging="200" w:hangingChars="200"/>
    </w:pPr>
  </w:style>
  <w:style w:type="paragraph" w:styleId="35">
    <w:name w:val="toc 8"/>
    <w:basedOn w:val="1"/>
    <w:next w:val="1"/>
    <w:qFormat/>
    <w:uiPriority w:val="39"/>
    <w:pPr>
      <w:ind w:left="1400"/>
      <w:jc w:val="left"/>
    </w:pPr>
    <w:rPr>
      <w:rFonts w:ascii="Calibri" w:hAnsi="Calibri" w:cs="Calibri"/>
      <w:sz w:val="18"/>
      <w:szCs w:val="18"/>
    </w:rPr>
  </w:style>
  <w:style w:type="paragraph" w:styleId="36">
    <w:name w:val="Date"/>
    <w:basedOn w:val="1"/>
    <w:next w:val="1"/>
    <w:link w:val="92"/>
    <w:qFormat/>
    <w:uiPriority w:val="0"/>
    <w:rPr>
      <w:rFonts w:ascii="仿宋_GB2312" w:eastAsia="楷体_GB2312"/>
      <w:kern w:val="2"/>
      <w:sz w:val="32"/>
      <w:szCs w:val="30"/>
    </w:rPr>
  </w:style>
  <w:style w:type="paragraph" w:styleId="37">
    <w:name w:val="Body Text Indent 2"/>
    <w:basedOn w:val="1"/>
    <w:link w:val="93"/>
    <w:qFormat/>
    <w:uiPriority w:val="0"/>
    <w:pPr>
      <w:spacing w:line="480" w:lineRule="auto"/>
      <w:ind w:left="420" w:leftChars="200"/>
    </w:pPr>
    <w:rPr>
      <w:rFonts w:ascii="仿宋_GB2312" w:eastAsia="仿宋_GB2312"/>
      <w:kern w:val="2"/>
      <w:sz w:val="32"/>
      <w:szCs w:val="32"/>
    </w:rPr>
  </w:style>
  <w:style w:type="paragraph" w:styleId="38">
    <w:name w:val="endnote text"/>
    <w:basedOn w:val="1"/>
    <w:unhideWhenUsed/>
    <w:qFormat/>
    <w:uiPriority w:val="99"/>
    <w:pPr>
      <w:snapToGrid w:val="0"/>
      <w:jc w:val="left"/>
    </w:pPr>
  </w:style>
  <w:style w:type="paragraph" w:styleId="39">
    <w:name w:val="Balloon Text"/>
    <w:basedOn w:val="1"/>
    <w:link w:val="94"/>
    <w:qFormat/>
    <w:uiPriority w:val="99"/>
    <w:rPr>
      <w:kern w:val="2"/>
      <w:sz w:val="18"/>
      <w:szCs w:val="18"/>
    </w:rPr>
  </w:style>
  <w:style w:type="paragraph" w:styleId="40">
    <w:name w:val="footer"/>
    <w:basedOn w:val="1"/>
    <w:link w:val="95"/>
    <w:qFormat/>
    <w:uiPriority w:val="99"/>
    <w:pPr>
      <w:tabs>
        <w:tab w:val="center" w:pos="4153"/>
        <w:tab w:val="right" w:pos="8306"/>
      </w:tabs>
      <w:snapToGrid w:val="0"/>
      <w:jc w:val="left"/>
    </w:pPr>
    <w:rPr>
      <w:rFonts w:ascii="仿宋_GB2312" w:eastAsia="仿宋_GB2312"/>
      <w:kern w:val="2"/>
      <w:sz w:val="18"/>
      <w:szCs w:val="18"/>
    </w:rPr>
  </w:style>
  <w:style w:type="paragraph" w:styleId="41">
    <w:name w:val="header"/>
    <w:basedOn w:val="1"/>
    <w:link w:val="96"/>
    <w:qFormat/>
    <w:uiPriority w:val="99"/>
    <w:pPr>
      <w:pBdr>
        <w:bottom w:val="single" w:color="auto" w:sz="6" w:space="1"/>
      </w:pBdr>
      <w:tabs>
        <w:tab w:val="center" w:pos="4153"/>
        <w:tab w:val="right" w:pos="8306"/>
      </w:tabs>
      <w:snapToGrid w:val="0"/>
      <w:jc w:val="center"/>
    </w:pPr>
    <w:rPr>
      <w:rFonts w:ascii="仿宋_GB2312" w:eastAsia="仿宋_GB2312"/>
      <w:kern w:val="2"/>
      <w:sz w:val="18"/>
      <w:szCs w:val="18"/>
    </w:rPr>
  </w:style>
  <w:style w:type="paragraph" w:styleId="42">
    <w:name w:val="toc 1"/>
    <w:basedOn w:val="1"/>
    <w:next w:val="1"/>
    <w:qFormat/>
    <w:uiPriority w:val="39"/>
    <w:pPr>
      <w:spacing w:before="120" w:after="120"/>
      <w:jc w:val="left"/>
    </w:pPr>
    <w:rPr>
      <w:rFonts w:ascii="Calibri" w:hAnsi="Calibri" w:eastAsia="微软雅黑" w:cs="Calibri"/>
      <w:b/>
      <w:bCs/>
      <w:caps/>
      <w:sz w:val="21"/>
    </w:rPr>
  </w:style>
  <w:style w:type="paragraph" w:styleId="43">
    <w:name w:val="toc 4"/>
    <w:basedOn w:val="1"/>
    <w:next w:val="1"/>
    <w:qFormat/>
    <w:uiPriority w:val="39"/>
    <w:pPr>
      <w:ind w:left="600"/>
      <w:jc w:val="left"/>
    </w:pPr>
    <w:rPr>
      <w:rFonts w:ascii="Calibri" w:hAnsi="Calibri" w:eastAsia="微软雅黑" w:cs="Calibri"/>
      <w:sz w:val="21"/>
      <w:szCs w:val="18"/>
    </w:rPr>
  </w:style>
  <w:style w:type="paragraph" w:styleId="44">
    <w:name w:val="Subtitle"/>
    <w:basedOn w:val="1"/>
    <w:next w:val="1"/>
    <w:link w:val="97"/>
    <w:qFormat/>
    <w:uiPriority w:val="0"/>
    <w:pPr>
      <w:widowControl/>
      <w:jc w:val="center"/>
      <w:outlineLvl w:val="1"/>
    </w:pPr>
    <w:rPr>
      <w:rFonts w:ascii="Cambria" w:hAnsi="Cambria"/>
      <w:sz w:val="24"/>
      <w:szCs w:val="24"/>
      <w:lang w:eastAsia="en-US" w:bidi="en-US"/>
    </w:rPr>
  </w:style>
  <w:style w:type="paragraph" w:styleId="45">
    <w:name w:val="List"/>
    <w:basedOn w:val="1"/>
    <w:qFormat/>
    <w:uiPriority w:val="0"/>
    <w:pPr>
      <w:ind w:left="420" w:hanging="420"/>
    </w:pPr>
    <w:rPr>
      <w:rFonts w:eastAsia="楷体_GB2312"/>
    </w:rPr>
  </w:style>
  <w:style w:type="paragraph" w:styleId="46">
    <w:name w:val="footnote text"/>
    <w:basedOn w:val="1"/>
    <w:link w:val="98"/>
    <w:qFormat/>
    <w:uiPriority w:val="0"/>
    <w:pPr>
      <w:snapToGrid w:val="0"/>
      <w:jc w:val="left"/>
    </w:pPr>
    <w:rPr>
      <w:kern w:val="2"/>
      <w:sz w:val="18"/>
      <w:szCs w:val="18"/>
    </w:rPr>
  </w:style>
  <w:style w:type="paragraph" w:styleId="47">
    <w:name w:val="toc 6"/>
    <w:basedOn w:val="1"/>
    <w:next w:val="1"/>
    <w:qFormat/>
    <w:uiPriority w:val="39"/>
    <w:pPr>
      <w:ind w:left="1000"/>
      <w:jc w:val="left"/>
    </w:pPr>
    <w:rPr>
      <w:rFonts w:ascii="Calibri" w:hAnsi="Calibri" w:cs="Calibri"/>
      <w:sz w:val="18"/>
      <w:szCs w:val="18"/>
    </w:rPr>
  </w:style>
  <w:style w:type="paragraph" w:styleId="48">
    <w:name w:val="List 5"/>
    <w:basedOn w:val="1"/>
    <w:qFormat/>
    <w:uiPriority w:val="0"/>
    <w:pPr>
      <w:ind w:left="2100" w:hanging="420"/>
    </w:pPr>
    <w:rPr>
      <w:rFonts w:eastAsia="楷体_GB2312"/>
    </w:rPr>
  </w:style>
  <w:style w:type="paragraph" w:styleId="49">
    <w:name w:val="Body Text Indent 3"/>
    <w:basedOn w:val="1"/>
    <w:link w:val="99"/>
    <w:qFormat/>
    <w:uiPriority w:val="0"/>
    <w:pPr>
      <w:ind w:left="-136" w:firstLine="764" w:firstLineChars="307"/>
    </w:pPr>
    <w:rPr>
      <w:rFonts w:eastAsia="仿宋_GB2312"/>
      <w:kern w:val="2"/>
      <w:sz w:val="24"/>
      <w:szCs w:val="24"/>
    </w:rPr>
  </w:style>
  <w:style w:type="paragraph" w:styleId="50">
    <w:name w:val="table of figures"/>
    <w:basedOn w:val="1"/>
    <w:next w:val="1"/>
    <w:qFormat/>
    <w:uiPriority w:val="0"/>
    <w:pPr>
      <w:jc w:val="left"/>
    </w:pPr>
    <w:rPr>
      <w:rFonts w:ascii="宋体"/>
      <w:sz w:val="24"/>
      <w:szCs w:val="24"/>
    </w:rPr>
  </w:style>
  <w:style w:type="paragraph" w:styleId="51">
    <w:name w:val="toc 2"/>
    <w:basedOn w:val="1"/>
    <w:next w:val="1"/>
    <w:qFormat/>
    <w:uiPriority w:val="39"/>
    <w:pPr>
      <w:ind w:left="198"/>
      <w:jc w:val="left"/>
    </w:pPr>
    <w:rPr>
      <w:rFonts w:ascii="Calibri" w:hAnsi="Calibri" w:eastAsia="微软雅黑" w:cs="Calibri"/>
      <w:smallCaps/>
      <w:sz w:val="21"/>
    </w:rPr>
  </w:style>
  <w:style w:type="paragraph" w:styleId="52">
    <w:name w:val="toc 9"/>
    <w:basedOn w:val="1"/>
    <w:next w:val="1"/>
    <w:qFormat/>
    <w:uiPriority w:val="39"/>
    <w:pPr>
      <w:ind w:left="1600"/>
      <w:jc w:val="left"/>
    </w:pPr>
    <w:rPr>
      <w:rFonts w:ascii="Calibri" w:hAnsi="Calibri" w:cs="Calibri"/>
      <w:sz w:val="18"/>
      <w:szCs w:val="18"/>
    </w:rPr>
  </w:style>
  <w:style w:type="paragraph" w:styleId="53">
    <w:name w:val="Body Text 2"/>
    <w:basedOn w:val="1"/>
    <w:next w:val="24"/>
    <w:link w:val="74"/>
    <w:qFormat/>
    <w:uiPriority w:val="0"/>
    <w:pPr>
      <w:jc w:val="center"/>
      <w:outlineLvl w:val="0"/>
    </w:pPr>
    <w:rPr>
      <w:rFonts w:ascii="楷体_GB2312" w:eastAsia="仿宋_GB2312"/>
      <w:kern w:val="2"/>
      <w:sz w:val="30"/>
    </w:rPr>
  </w:style>
  <w:style w:type="paragraph" w:styleId="54">
    <w:name w:val="List 4"/>
    <w:basedOn w:val="1"/>
    <w:qFormat/>
    <w:uiPriority w:val="0"/>
    <w:pPr>
      <w:ind w:left="1680" w:hanging="420"/>
    </w:pPr>
    <w:rPr>
      <w:rFonts w:eastAsia="楷体_GB2312"/>
    </w:rPr>
  </w:style>
  <w:style w:type="paragraph" w:styleId="55">
    <w:name w:val="HTML Preformatted"/>
    <w:basedOn w:val="1"/>
    <w:link w:val="1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Courier New"/>
    </w:rPr>
  </w:style>
  <w:style w:type="paragraph" w:styleId="56">
    <w:name w:val="Normal (Web)"/>
    <w:basedOn w:val="1"/>
    <w:qFormat/>
    <w:uiPriority w:val="0"/>
    <w:pPr>
      <w:widowControl/>
      <w:spacing w:beforeAutospacing="1" w:afterAutospacing="1"/>
      <w:jc w:val="left"/>
    </w:pPr>
    <w:rPr>
      <w:rFonts w:ascii="宋体" w:hAnsi="宋体"/>
      <w:sz w:val="24"/>
      <w:szCs w:val="24"/>
    </w:rPr>
  </w:style>
  <w:style w:type="paragraph" w:styleId="57">
    <w:name w:val="index 1"/>
    <w:basedOn w:val="1"/>
    <w:next w:val="1"/>
    <w:qFormat/>
    <w:uiPriority w:val="0"/>
    <w:pPr>
      <w:spacing w:line="360" w:lineRule="auto"/>
    </w:pPr>
    <w:rPr>
      <w:rFonts w:ascii="宋体"/>
      <w:b/>
      <w:szCs w:val="21"/>
    </w:rPr>
  </w:style>
  <w:style w:type="paragraph" w:styleId="58">
    <w:name w:val="Title"/>
    <w:basedOn w:val="1"/>
    <w:next w:val="1"/>
    <w:link w:val="101"/>
    <w:qFormat/>
    <w:uiPriority w:val="0"/>
    <w:pPr>
      <w:widowControl/>
      <w:jc w:val="center"/>
      <w:outlineLvl w:val="0"/>
    </w:pPr>
    <w:rPr>
      <w:rFonts w:ascii="Cambria" w:hAnsi="Cambria" w:eastAsia="微软雅黑"/>
      <w:b/>
      <w:bCs/>
      <w:kern w:val="28"/>
      <w:sz w:val="44"/>
      <w:lang w:eastAsia="en-US" w:bidi="en-US"/>
    </w:rPr>
  </w:style>
  <w:style w:type="paragraph" w:styleId="59">
    <w:name w:val="annotation subject"/>
    <w:basedOn w:val="19"/>
    <w:next w:val="19"/>
    <w:link w:val="102"/>
    <w:semiHidden/>
    <w:qFormat/>
    <w:uiPriority w:val="0"/>
    <w:pPr>
      <w:adjustRightInd/>
      <w:spacing w:line="240" w:lineRule="auto"/>
      <w:textAlignment w:val="auto"/>
    </w:pPr>
    <w:rPr>
      <w:b/>
      <w:bCs/>
      <w:kern w:val="2"/>
      <w:sz w:val="21"/>
    </w:rPr>
  </w:style>
  <w:style w:type="paragraph" w:styleId="60">
    <w:name w:val="Body Text First Indent"/>
    <w:basedOn w:val="24"/>
    <w:next w:val="61"/>
    <w:link w:val="103"/>
    <w:qFormat/>
    <w:uiPriority w:val="0"/>
    <w:pPr>
      <w:ind w:firstLine="420"/>
    </w:pPr>
  </w:style>
  <w:style w:type="paragraph" w:styleId="61">
    <w:name w:val="Body Text First Indent 2"/>
    <w:basedOn w:val="26"/>
    <w:link w:val="104"/>
    <w:qFormat/>
    <w:uiPriority w:val="0"/>
    <w:pPr>
      <w:spacing w:line="240" w:lineRule="auto"/>
      <w:ind w:left="200" w:leftChars="200" w:firstLine="200" w:firstLineChars="200"/>
    </w:pPr>
  </w:style>
  <w:style w:type="table" w:styleId="63">
    <w:name w:val="Table Grid"/>
    <w:basedOn w:val="62"/>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65">
    <w:name w:val="Strong"/>
    <w:qFormat/>
    <w:uiPriority w:val="0"/>
    <w:rPr>
      <w:b/>
      <w:bCs/>
    </w:rPr>
  </w:style>
  <w:style w:type="character" w:styleId="66">
    <w:name w:val="endnote reference"/>
    <w:unhideWhenUsed/>
    <w:qFormat/>
    <w:uiPriority w:val="99"/>
    <w:rPr>
      <w:vertAlign w:val="superscript"/>
    </w:rPr>
  </w:style>
  <w:style w:type="character" w:styleId="67">
    <w:name w:val="page number"/>
    <w:qFormat/>
    <w:uiPriority w:val="0"/>
  </w:style>
  <w:style w:type="character" w:styleId="68">
    <w:name w:val="FollowedHyperlink"/>
    <w:qFormat/>
    <w:uiPriority w:val="0"/>
    <w:rPr>
      <w:color w:val="444444"/>
      <w:sz w:val="21"/>
      <w:szCs w:val="21"/>
      <w:u w:val="none"/>
    </w:rPr>
  </w:style>
  <w:style w:type="character" w:styleId="69">
    <w:name w:val="Emphasis"/>
    <w:qFormat/>
    <w:uiPriority w:val="0"/>
    <w:rPr>
      <w:rFonts w:ascii="Calibri" w:hAnsi="Calibri"/>
      <w:b/>
      <w:i/>
      <w:iCs/>
    </w:rPr>
  </w:style>
  <w:style w:type="character" w:styleId="70">
    <w:name w:val="Hyperlink"/>
    <w:qFormat/>
    <w:uiPriority w:val="99"/>
    <w:rPr>
      <w:color w:val="0368A8"/>
      <w:u w:val="none"/>
    </w:rPr>
  </w:style>
  <w:style w:type="character" w:styleId="71">
    <w:name w:val="annotation reference"/>
    <w:qFormat/>
    <w:uiPriority w:val="0"/>
    <w:rPr>
      <w:sz w:val="21"/>
      <w:szCs w:val="21"/>
    </w:rPr>
  </w:style>
  <w:style w:type="character" w:styleId="72">
    <w:name w:val="footnote reference"/>
    <w:qFormat/>
    <w:uiPriority w:val="0"/>
    <w:rPr>
      <w:vertAlign w:val="superscript"/>
    </w:rPr>
  </w:style>
  <w:style w:type="character" w:customStyle="1" w:styleId="73">
    <w:name w:val="正文文本 Char1"/>
    <w:link w:val="24"/>
    <w:qFormat/>
    <w:uiPriority w:val="0"/>
    <w:rPr>
      <w:rFonts w:eastAsia="仿宋_GB2312"/>
      <w:kern w:val="2"/>
      <w:sz w:val="28"/>
      <w:szCs w:val="30"/>
    </w:rPr>
  </w:style>
  <w:style w:type="character" w:customStyle="1" w:styleId="74">
    <w:name w:val="正文文本 2 Char"/>
    <w:link w:val="53"/>
    <w:qFormat/>
    <w:uiPriority w:val="0"/>
    <w:rPr>
      <w:rFonts w:ascii="楷体_GB2312" w:eastAsia="仿宋_GB2312"/>
      <w:kern w:val="2"/>
      <w:sz w:val="30"/>
    </w:rPr>
  </w:style>
  <w:style w:type="character" w:customStyle="1" w:styleId="75">
    <w:name w:val="标题 1 Char"/>
    <w:link w:val="2"/>
    <w:qFormat/>
    <w:uiPriority w:val="0"/>
    <w:rPr>
      <w:kern w:val="2"/>
      <w:sz w:val="30"/>
      <w:szCs w:val="24"/>
    </w:rPr>
  </w:style>
  <w:style w:type="character" w:customStyle="1" w:styleId="76">
    <w:name w:val="标题 2 Char"/>
    <w:link w:val="3"/>
    <w:qFormat/>
    <w:uiPriority w:val="0"/>
    <w:rPr>
      <w:rFonts w:ascii="Arial" w:hAnsi="Arial" w:eastAsia="黑体"/>
      <w:b/>
      <w:bCs/>
      <w:kern w:val="2"/>
      <w:sz w:val="32"/>
      <w:szCs w:val="32"/>
    </w:rPr>
  </w:style>
  <w:style w:type="character" w:customStyle="1" w:styleId="77">
    <w:name w:val="标题 3 Char"/>
    <w:link w:val="4"/>
    <w:qFormat/>
    <w:uiPriority w:val="0"/>
    <w:rPr>
      <w:rFonts w:eastAsia="仿宋"/>
      <w:b/>
      <w:bCs/>
      <w:sz w:val="30"/>
    </w:rPr>
  </w:style>
  <w:style w:type="character" w:customStyle="1" w:styleId="78">
    <w:name w:val="标题 4 Char"/>
    <w:link w:val="5"/>
    <w:qFormat/>
    <w:uiPriority w:val="0"/>
    <w:rPr>
      <w:rFonts w:ascii="Arial" w:hAnsi="Arial" w:eastAsia="仿宋"/>
      <w:b/>
      <w:bCs/>
      <w:sz w:val="28"/>
      <w:szCs w:val="28"/>
    </w:rPr>
  </w:style>
  <w:style w:type="character" w:customStyle="1" w:styleId="79">
    <w:name w:val="标题 5 Char"/>
    <w:link w:val="6"/>
    <w:qFormat/>
    <w:uiPriority w:val="0"/>
    <w:rPr>
      <w:rFonts w:eastAsia="仿宋_GB2312"/>
      <w:b/>
      <w:bCs/>
      <w:kern w:val="2"/>
      <w:sz w:val="28"/>
      <w:szCs w:val="28"/>
    </w:rPr>
  </w:style>
  <w:style w:type="character" w:customStyle="1" w:styleId="80">
    <w:name w:val="标题 6 Char"/>
    <w:link w:val="7"/>
    <w:qFormat/>
    <w:uiPriority w:val="0"/>
    <w:rPr>
      <w:rFonts w:ascii="Calibri" w:hAnsi="Calibri"/>
      <w:b/>
      <w:bCs/>
      <w:sz w:val="22"/>
      <w:szCs w:val="22"/>
      <w:lang w:eastAsia="en-US" w:bidi="en-US"/>
    </w:rPr>
  </w:style>
  <w:style w:type="character" w:customStyle="1" w:styleId="81">
    <w:name w:val="标题 7 Char"/>
    <w:link w:val="8"/>
    <w:qFormat/>
    <w:uiPriority w:val="0"/>
    <w:rPr>
      <w:rFonts w:eastAsia="仿宋_GB2312"/>
      <w:b/>
      <w:bCs/>
      <w:kern w:val="2"/>
      <w:sz w:val="24"/>
      <w:szCs w:val="24"/>
    </w:rPr>
  </w:style>
  <w:style w:type="character" w:customStyle="1" w:styleId="82">
    <w:name w:val="标题 8 Char"/>
    <w:link w:val="9"/>
    <w:qFormat/>
    <w:uiPriority w:val="0"/>
    <w:rPr>
      <w:rFonts w:ascii="Arial" w:hAnsi="Arial" w:eastAsia="黑体"/>
      <w:kern w:val="2"/>
      <w:sz w:val="24"/>
      <w:szCs w:val="24"/>
    </w:rPr>
  </w:style>
  <w:style w:type="character" w:customStyle="1" w:styleId="83">
    <w:name w:val="标题 9 Char"/>
    <w:link w:val="10"/>
    <w:qFormat/>
    <w:uiPriority w:val="0"/>
    <w:rPr>
      <w:rFonts w:ascii="Cambria" w:hAnsi="Cambria"/>
      <w:sz w:val="22"/>
      <w:szCs w:val="22"/>
      <w:lang w:eastAsia="en-US" w:bidi="en-US"/>
    </w:rPr>
  </w:style>
  <w:style w:type="character" w:customStyle="1" w:styleId="84">
    <w:name w:val="正文缩进 Char"/>
    <w:link w:val="15"/>
    <w:qFormat/>
    <w:uiPriority w:val="0"/>
    <w:rPr>
      <w:rFonts w:eastAsia="仿宋_GB2312"/>
      <w:kern w:val="2"/>
      <w:sz w:val="30"/>
      <w:szCs w:val="30"/>
    </w:rPr>
  </w:style>
  <w:style w:type="character" w:customStyle="1" w:styleId="85">
    <w:name w:val="文档结构图 Char"/>
    <w:link w:val="17"/>
    <w:qFormat/>
    <w:uiPriority w:val="99"/>
    <w:rPr>
      <w:rFonts w:ascii="宋体"/>
      <w:kern w:val="2"/>
      <w:sz w:val="24"/>
      <w:szCs w:val="24"/>
      <w:shd w:val="clear" w:color="auto" w:fill="000080"/>
    </w:rPr>
  </w:style>
  <w:style w:type="character" w:customStyle="1" w:styleId="86">
    <w:name w:val="批注文字 Char"/>
    <w:link w:val="19"/>
    <w:qFormat/>
    <w:uiPriority w:val="0"/>
    <w:rPr>
      <w:spacing w:val="4"/>
      <w:sz w:val="24"/>
    </w:rPr>
  </w:style>
  <w:style w:type="character" w:customStyle="1" w:styleId="87">
    <w:name w:val="称呼 Char"/>
    <w:link w:val="20"/>
    <w:qFormat/>
    <w:uiPriority w:val="0"/>
    <w:rPr>
      <w:rFonts w:ascii="Arial" w:hAnsi="Arial"/>
      <w:kern w:val="2"/>
      <w:sz w:val="24"/>
      <w:szCs w:val="24"/>
    </w:rPr>
  </w:style>
  <w:style w:type="character" w:customStyle="1" w:styleId="88">
    <w:name w:val="正文文本 3 Char"/>
    <w:link w:val="21"/>
    <w:qFormat/>
    <w:uiPriority w:val="0"/>
    <w:rPr>
      <w:rFonts w:ascii="楷体_GB2312" w:eastAsia="仿宋_GB2312"/>
      <w:kern w:val="2"/>
      <w:sz w:val="21"/>
    </w:rPr>
  </w:style>
  <w:style w:type="character" w:customStyle="1" w:styleId="89">
    <w:name w:val="结束语 Char"/>
    <w:link w:val="22"/>
    <w:qFormat/>
    <w:uiPriority w:val="0"/>
    <w:rPr>
      <w:rFonts w:ascii="Arial" w:hAnsi="Arial"/>
      <w:kern w:val="2"/>
      <w:sz w:val="24"/>
      <w:szCs w:val="24"/>
    </w:rPr>
  </w:style>
  <w:style w:type="character" w:customStyle="1" w:styleId="90">
    <w:name w:val="正文文本缩进 Char"/>
    <w:link w:val="26"/>
    <w:qFormat/>
    <w:uiPriority w:val="0"/>
    <w:rPr>
      <w:rFonts w:ascii="楷体_GB2312" w:eastAsia="仿宋_GB2312"/>
      <w:kern w:val="2"/>
      <w:sz w:val="30"/>
      <w:szCs w:val="30"/>
    </w:rPr>
  </w:style>
  <w:style w:type="character" w:customStyle="1" w:styleId="91">
    <w:name w:val="纯文本 Char"/>
    <w:link w:val="33"/>
    <w:qFormat/>
    <w:uiPriority w:val="0"/>
    <w:rPr>
      <w:rFonts w:ascii="宋体" w:hAnsi="Courier New"/>
      <w:kern w:val="2"/>
      <w:sz w:val="21"/>
    </w:rPr>
  </w:style>
  <w:style w:type="character" w:customStyle="1" w:styleId="92">
    <w:name w:val="日期 Char"/>
    <w:link w:val="36"/>
    <w:qFormat/>
    <w:uiPriority w:val="0"/>
    <w:rPr>
      <w:rFonts w:ascii="仿宋_GB2312" w:eastAsia="楷体_GB2312"/>
      <w:kern w:val="2"/>
      <w:sz w:val="32"/>
      <w:szCs w:val="30"/>
    </w:rPr>
  </w:style>
  <w:style w:type="character" w:customStyle="1" w:styleId="93">
    <w:name w:val="正文文本缩进 2 Char"/>
    <w:link w:val="37"/>
    <w:qFormat/>
    <w:uiPriority w:val="0"/>
    <w:rPr>
      <w:rFonts w:ascii="仿宋_GB2312" w:eastAsia="仿宋_GB2312"/>
      <w:kern w:val="2"/>
      <w:sz w:val="32"/>
      <w:szCs w:val="32"/>
    </w:rPr>
  </w:style>
  <w:style w:type="character" w:customStyle="1" w:styleId="94">
    <w:name w:val="批注框文本 Char"/>
    <w:link w:val="39"/>
    <w:qFormat/>
    <w:uiPriority w:val="99"/>
    <w:rPr>
      <w:kern w:val="2"/>
      <w:sz w:val="18"/>
      <w:szCs w:val="18"/>
    </w:rPr>
  </w:style>
  <w:style w:type="character" w:customStyle="1" w:styleId="95">
    <w:name w:val="页脚 Char"/>
    <w:link w:val="40"/>
    <w:qFormat/>
    <w:uiPriority w:val="99"/>
    <w:rPr>
      <w:rFonts w:ascii="仿宋_GB2312" w:eastAsia="仿宋_GB2312"/>
      <w:kern w:val="2"/>
      <w:sz w:val="18"/>
      <w:szCs w:val="18"/>
    </w:rPr>
  </w:style>
  <w:style w:type="character" w:customStyle="1" w:styleId="96">
    <w:name w:val="页眉 Char"/>
    <w:link w:val="41"/>
    <w:qFormat/>
    <w:uiPriority w:val="99"/>
    <w:rPr>
      <w:rFonts w:ascii="仿宋_GB2312" w:eastAsia="仿宋_GB2312"/>
      <w:kern w:val="2"/>
      <w:sz w:val="18"/>
      <w:szCs w:val="18"/>
    </w:rPr>
  </w:style>
  <w:style w:type="character" w:customStyle="1" w:styleId="97">
    <w:name w:val="副标题 Char"/>
    <w:link w:val="44"/>
    <w:qFormat/>
    <w:uiPriority w:val="0"/>
    <w:rPr>
      <w:rFonts w:ascii="Cambria" w:hAnsi="Cambria"/>
      <w:sz w:val="24"/>
      <w:szCs w:val="24"/>
      <w:lang w:eastAsia="en-US" w:bidi="en-US"/>
    </w:rPr>
  </w:style>
  <w:style w:type="character" w:customStyle="1" w:styleId="98">
    <w:name w:val="脚注文本 Char"/>
    <w:link w:val="46"/>
    <w:qFormat/>
    <w:uiPriority w:val="0"/>
    <w:rPr>
      <w:kern w:val="2"/>
      <w:sz w:val="18"/>
      <w:szCs w:val="18"/>
    </w:rPr>
  </w:style>
  <w:style w:type="character" w:customStyle="1" w:styleId="99">
    <w:name w:val="正文文本缩进 3 Char"/>
    <w:link w:val="49"/>
    <w:qFormat/>
    <w:uiPriority w:val="0"/>
    <w:rPr>
      <w:rFonts w:eastAsia="仿宋_GB2312"/>
      <w:kern w:val="2"/>
      <w:sz w:val="24"/>
      <w:szCs w:val="24"/>
    </w:rPr>
  </w:style>
  <w:style w:type="character" w:customStyle="1" w:styleId="100">
    <w:name w:val="HTML 预设格式 Char"/>
    <w:link w:val="55"/>
    <w:qFormat/>
    <w:uiPriority w:val="0"/>
    <w:rPr>
      <w:rFonts w:ascii="Arial Unicode MS" w:hAnsi="Arial Unicode MS" w:eastAsia="Courier New" w:cs="Courier New"/>
    </w:rPr>
  </w:style>
  <w:style w:type="character" w:customStyle="1" w:styleId="101">
    <w:name w:val="标题 Char"/>
    <w:link w:val="58"/>
    <w:qFormat/>
    <w:uiPriority w:val="0"/>
    <w:rPr>
      <w:rFonts w:ascii="Cambria" w:hAnsi="Cambria" w:eastAsia="微软雅黑"/>
      <w:b/>
      <w:bCs/>
      <w:kern w:val="28"/>
      <w:sz w:val="44"/>
      <w:lang w:eastAsia="en-US" w:bidi="en-US"/>
    </w:rPr>
  </w:style>
  <w:style w:type="character" w:customStyle="1" w:styleId="102">
    <w:name w:val="批注主题 Char"/>
    <w:link w:val="59"/>
    <w:semiHidden/>
    <w:qFormat/>
    <w:uiPriority w:val="0"/>
    <w:rPr>
      <w:b/>
      <w:bCs/>
      <w:spacing w:val="4"/>
      <w:kern w:val="2"/>
      <w:sz w:val="21"/>
    </w:rPr>
  </w:style>
  <w:style w:type="character" w:customStyle="1" w:styleId="103">
    <w:name w:val="正文首行缩进 Char"/>
    <w:link w:val="60"/>
    <w:qFormat/>
    <w:uiPriority w:val="0"/>
    <w:rPr>
      <w:rFonts w:eastAsia="仿宋_GB2312"/>
      <w:kern w:val="2"/>
      <w:sz w:val="28"/>
      <w:szCs w:val="30"/>
    </w:rPr>
  </w:style>
  <w:style w:type="character" w:customStyle="1" w:styleId="104">
    <w:name w:val="正文首行缩进 2 Char"/>
    <w:link w:val="61"/>
    <w:qFormat/>
    <w:uiPriority w:val="0"/>
    <w:rPr>
      <w:rFonts w:ascii="楷体_GB2312" w:eastAsia="仿宋_GB2312"/>
      <w:kern w:val="2"/>
      <w:sz w:val="30"/>
      <w:szCs w:val="30"/>
    </w:rPr>
  </w:style>
  <w:style w:type="paragraph" w:customStyle="1" w:styleId="105">
    <w:name w:val="style4"/>
    <w:basedOn w:val="1"/>
    <w:next w:val="106"/>
    <w:qFormat/>
    <w:uiPriority w:val="0"/>
    <w:pPr>
      <w:widowControl/>
      <w:spacing w:before="100" w:beforeAutospacing="1" w:after="100" w:afterAutospacing="1"/>
      <w:jc w:val="left"/>
    </w:pPr>
    <w:rPr>
      <w:rFonts w:ascii="宋体" w:hAnsi="宋体" w:cs="宋体"/>
      <w:sz w:val="18"/>
      <w:szCs w:val="18"/>
    </w:rPr>
  </w:style>
  <w:style w:type="paragraph" w:customStyle="1" w:styleId="106">
    <w:name w:val="2"/>
    <w:next w:val="1"/>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107">
    <w:name w:val="文档正文"/>
    <w:basedOn w:val="1"/>
    <w:link w:val="108"/>
    <w:qFormat/>
    <w:uiPriority w:val="0"/>
    <w:pPr>
      <w:widowControl/>
      <w:ind w:firstLine="560" w:firstLineChars="200"/>
      <w:jc w:val="left"/>
    </w:pPr>
    <w:rPr>
      <w:rFonts w:ascii="Calibri" w:hAnsi="Calibri"/>
      <w:sz w:val="28"/>
      <w:szCs w:val="28"/>
      <w:lang w:eastAsia="en-US" w:bidi="en-US"/>
    </w:rPr>
  </w:style>
  <w:style w:type="character" w:customStyle="1" w:styleId="108">
    <w:name w:val="文档正文 Char Char"/>
    <w:link w:val="107"/>
    <w:qFormat/>
    <w:uiPriority w:val="0"/>
    <w:rPr>
      <w:rFonts w:ascii="Calibri" w:hAnsi="Calibri"/>
      <w:sz w:val="28"/>
      <w:szCs w:val="28"/>
      <w:lang w:eastAsia="en-US" w:bidi="en-US"/>
    </w:rPr>
  </w:style>
  <w:style w:type="character" w:customStyle="1" w:styleId="109">
    <w:name w:val="zi21"/>
    <w:qFormat/>
    <w:uiPriority w:val="0"/>
    <w:rPr>
      <w:rFonts w:hint="default" w:ascii="Ђˎ̥" w:hAnsi="Ђˎ̥"/>
      <w:b/>
      <w:bCs/>
      <w:color w:val="0099DD"/>
      <w:sz w:val="18"/>
      <w:szCs w:val="18"/>
      <w:u w:val="none"/>
    </w:rPr>
  </w:style>
  <w:style w:type="character" w:customStyle="1" w:styleId="110">
    <w:name w:val="A9"/>
    <w:qFormat/>
    <w:uiPriority w:val="0"/>
    <w:rPr>
      <w:rFonts w:ascii="Univers 57 Condensed" w:eastAsia="Univers 57 Condensed" w:cs="Univers 57 Condensed"/>
      <w:color w:val="000000"/>
      <w:sz w:val="5"/>
      <w:szCs w:val="5"/>
    </w:rPr>
  </w:style>
  <w:style w:type="character" w:customStyle="1" w:styleId="111">
    <w:name w:val="1.1.1.1 Char"/>
    <w:link w:val="112"/>
    <w:qFormat/>
    <w:uiPriority w:val="0"/>
    <w:rPr>
      <w:rFonts w:ascii="Arial" w:hAnsi="Arial"/>
      <w:sz w:val="24"/>
    </w:rPr>
  </w:style>
  <w:style w:type="paragraph" w:customStyle="1" w:styleId="112">
    <w:name w:val="1.1.1.1"/>
    <w:basedOn w:val="1"/>
    <w:link w:val="111"/>
    <w:qFormat/>
    <w:uiPriority w:val="0"/>
    <w:pPr>
      <w:tabs>
        <w:tab w:val="left" w:pos="900"/>
        <w:tab w:val="left" w:pos="1134"/>
      </w:tabs>
      <w:adjustRightInd w:val="0"/>
      <w:snapToGrid w:val="0"/>
      <w:spacing w:before="60" w:after="60" w:line="400" w:lineRule="atLeast"/>
      <w:ind w:left="869" w:leftChars="50" w:right="200" w:rightChars="200"/>
      <w:textAlignment w:val="baseline"/>
    </w:pPr>
    <w:rPr>
      <w:rFonts w:ascii="Arial" w:hAnsi="Arial"/>
      <w:sz w:val="24"/>
    </w:rPr>
  </w:style>
  <w:style w:type="character" w:customStyle="1" w:styleId="113">
    <w:name w:val="正文文本 Char"/>
    <w:qFormat/>
    <w:uiPriority w:val="0"/>
    <w:rPr>
      <w:rFonts w:eastAsia="仿宋_GB2312"/>
      <w:kern w:val="2"/>
      <w:sz w:val="28"/>
      <w:lang w:val="en-US" w:eastAsia="zh-CN" w:bidi="ar-SA"/>
    </w:rPr>
  </w:style>
  <w:style w:type="character" w:customStyle="1" w:styleId="114">
    <w:name w:val="表格内容 Char Char"/>
    <w:link w:val="115"/>
    <w:qFormat/>
    <w:uiPriority w:val="0"/>
    <w:rPr>
      <w:rFonts w:ascii="宋体" w:hAnsi="宋体" w:eastAsia="仿宋_GB2312" w:cs="宋体"/>
      <w:color w:val="000000"/>
      <w:szCs w:val="24"/>
      <w:lang w:eastAsia="en-US" w:bidi="en-US"/>
    </w:rPr>
  </w:style>
  <w:style w:type="paragraph" w:customStyle="1" w:styleId="115">
    <w:name w:val="表格内容"/>
    <w:basedOn w:val="1"/>
    <w:link w:val="114"/>
    <w:qFormat/>
    <w:uiPriority w:val="0"/>
    <w:pPr>
      <w:widowControl/>
      <w:jc w:val="center"/>
    </w:pPr>
    <w:rPr>
      <w:rFonts w:ascii="宋体" w:hAnsi="宋体" w:eastAsia="仿宋_GB2312" w:cs="宋体"/>
      <w:color w:val="000000"/>
      <w:szCs w:val="24"/>
      <w:lang w:eastAsia="en-US" w:bidi="en-US"/>
    </w:rPr>
  </w:style>
  <w:style w:type="character" w:customStyle="1" w:styleId="116">
    <w:name w:val="标题 字符"/>
    <w:qFormat/>
    <w:uiPriority w:val="0"/>
    <w:rPr>
      <w:rFonts w:ascii="Arial" w:hAnsi="Arial" w:cs="Arial"/>
      <w:b/>
      <w:bCs/>
      <w:kern w:val="2"/>
      <w:sz w:val="32"/>
      <w:szCs w:val="32"/>
    </w:rPr>
  </w:style>
  <w:style w:type="character" w:customStyle="1" w:styleId="117">
    <w:name w:val="apple-converted-space"/>
    <w:qFormat/>
    <w:uiPriority w:val="0"/>
  </w:style>
  <w:style w:type="character" w:customStyle="1" w:styleId="118">
    <w:name w:val="Char Char2"/>
    <w:qFormat/>
    <w:uiPriority w:val="0"/>
    <w:rPr>
      <w:rFonts w:ascii="宋体" w:hAnsi="宋体" w:eastAsia="宋体"/>
      <w:kern w:val="2"/>
      <w:sz w:val="18"/>
      <w:lang w:val="en-US" w:eastAsia="zh-CN" w:bidi="ar-SA"/>
    </w:rPr>
  </w:style>
  <w:style w:type="character" w:customStyle="1" w:styleId="119">
    <w:name w:val="书籍标题1"/>
    <w:qFormat/>
    <w:uiPriority w:val="0"/>
    <w:rPr>
      <w:rFonts w:ascii="Cambria" w:hAnsi="Cambria" w:eastAsia="宋体"/>
      <w:b/>
      <w:i/>
      <w:sz w:val="24"/>
      <w:szCs w:val="24"/>
    </w:rPr>
  </w:style>
  <w:style w:type="character" w:customStyle="1" w:styleId="120">
    <w:name w:val="p111"/>
    <w:qFormat/>
    <w:uiPriority w:val="0"/>
    <w:rPr>
      <w:color w:val="000000"/>
      <w:spacing w:val="257"/>
      <w:sz w:val="22"/>
      <w:szCs w:val="22"/>
      <w:u w:val="none"/>
    </w:rPr>
  </w:style>
  <w:style w:type="character" w:customStyle="1" w:styleId="121">
    <w:name w:val="标题 2 Char Char Char"/>
    <w:qFormat/>
    <w:uiPriority w:val="0"/>
    <w:rPr>
      <w:rFonts w:ascii="Arial" w:hAnsi="Arial" w:eastAsia="黑体"/>
      <w:b/>
      <w:bCs/>
      <w:kern w:val="2"/>
      <w:sz w:val="32"/>
      <w:szCs w:val="32"/>
      <w:lang w:val="en-US" w:eastAsia="zh-CN"/>
    </w:rPr>
  </w:style>
  <w:style w:type="character" w:customStyle="1" w:styleId="122">
    <w:name w:val="HTML 预设格式 Char1"/>
    <w:qFormat/>
    <w:uiPriority w:val="99"/>
    <w:rPr>
      <w:rFonts w:ascii="Courier New" w:hAnsi="Courier New" w:cs="Courier New"/>
      <w:kern w:val="2"/>
    </w:rPr>
  </w:style>
  <w:style w:type="character" w:customStyle="1" w:styleId="123">
    <w:name w:val="无间隔 Char"/>
    <w:link w:val="124"/>
    <w:qFormat/>
    <w:uiPriority w:val="1"/>
    <w:rPr>
      <w:rFonts w:ascii="Calibri" w:hAnsi="Calibri" w:eastAsia="仿宋_GB2312"/>
      <w:sz w:val="24"/>
      <w:szCs w:val="32"/>
      <w:lang w:eastAsia="en-US" w:bidi="en-US"/>
    </w:rPr>
  </w:style>
  <w:style w:type="paragraph" w:customStyle="1" w:styleId="124">
    <w:name w:val="无间隔1"/>
    <w:basedOn w:val="1"/>
    <w:link w:val="123"/>
    <w:qFormat/>
    <w:uiPriority w:val="1"/>
    <w:pPr>
      <w:widowControl/>
      <w:jc w:val="left"/>
    </w:pPr>
    <w:rPr>
      <w:rFonts w:ascii="Calibri" w:hAnsi="Calibri" w:eastAsia="仿宋_GB2312"/>
      <w:sz w:val="24"/>
      <w:szCs w:val="32"/>
      <w:lang w:eastAsia="en-US" w:bidi="en-US"/>
    </w:rPr>
  </w:style>
  <w:style w:type="character" w:customStyle="1" w:styleId="125">
    <w:name w:val="px121"/>
    <w:qFormat/>
    <w:uiPriority w:val="0"/>
    <w:rPr>
      <w:spacing w:val="360"/>
      <w:sz w:val="18"/>
      <w:szCs w:val="18"/>
    </w:rPr>
  </w:style>
  <w:style w:type="character" w:customStyle="1" w:styleId="126">
    <w:name w:val="表格 Char Char"/>
    <w:link w:val="127"/>
    <w:qFormat/>
    <w:uiPriority w:val="0"/>
    <w:rPr>
      <w:rFonts w:ascii="Ari" w:hAnsi="Ari"/>
      <w:b/>
      <w:color w:val="000000"/>
      <w:sz w:val="28"/>
      <w:szCs w:val="28"/>
      <w:lang w:val="en-US" w:eastAsia="zh-CN" w:bidi="ar-SA"/>
    </w:rPr>
  </w:style>
  <w:style w:type="paragraph" w:customStyle="1" w:styleId="127">
    <w:name w:val="表格"/>
    <w:link w:val="126"/>
    <w:qFormat/>
    <w:uiPriority w:val="0"/>
    <w:pPr>
      <w:widowControl w:val="0"/>
      <w:numPr>
        <w:ilvl w:val="0"/>
        <w:numId w:val="1"/>
      </w:numPr>
      <w:tabs>
        <w:tab w:val="clear" w:pos="397"/>
      </w:tabs>
      <w:adjustRightInd w:val="0"/>
      <w:snapToGrid w:val="0"/>
      <w:spacing w:line="320" w:lineRule="exact"/>
      <w:ind w:left="1" w:leftChars="1" w:right="113" w:firstLine="0"/>
      <w:jc w:val="center"/>
    </w:pPr>
    <w:rPr>
      <w:rFonts w:ascii="Ari" w:hAnsi="Ari" w:eastAsia="宋体" w:cs="Times New Roman"/>
      <w:b/>
      <w:color w:val="000000"/>
      <w:sz w:val="28"/>
      <w:szCs w:val="28"/>
      <w:lang w:val="en-US" w:eastAsia="zh-CN" w:bidi="ar-SA"/>
    </w:rPr>
  </w:style>
  <w:style w:type="character" w:customStyle="1" w:styleId="128">
    <w:name w:val="明显强调1"/>
    <w:qFormat/>
    <w:uiPriority w:val="0"/>
    <w:rPr>
      <w:b/>
      <w:i/>
      <w:sz w:val="24"/>
      <w:szCs w:val="24"/>
      <w:u w:val="single"/>
    </w:rPr>
  </w:style>
  <w:style w:type="character" w:customStyle="1" w:styleId="129">
    <w:name w:val="point_normal"/>
    <w:qFormat/>
    <w:uiPriority w:val="0"/>
  </w:style>
  <w:style w:type="character" w:customStyle="1" w:styleId="130">
    <w:name w:val="front1"/>
    <w:qFormat/>
    <w:uiPriority w:val="0"/>
  </w:style>
  <w:style w:type="character" w:customStyle="1" w:styleId="131">
    <w:name w:val="para1"/>
    <w:qFormat/>
    <w:uiPriority w:val="0"/>
    <w:rPr>
      <w:rFonts w:ascii="Arial" w:hAnsi="Arial" w:cs="Arial"/>
      <w:sz w:val="18"/>
      <w:szCs w:val="18"/>
      <w:lang w:bidi="ar-SA"/>
    </w:rPr>
  </w:style>
  <w:style w:type="character" w:customStyle="1" w:styleId="132">
    <w:name w:val="文档正文 Char1"/>
    <w:qFormat/>
    <w:uiPriority w:val="0"/>
    <w:rPr>
      <w:rFonts w:ascii="宋体"/>
      <w:sz w:val="24"/>
    </w:rPr>
  </w:style>
  <w:style w:type="character" w:customStyle="1" w:styleId="133">
    <w:name w:val="Body Text Char"/>
    <w:qFormat/>
    <w:locked/>
    <w:uiPriority w:val="99"/>
    <w:rPr>
      <w:rFonts w:eastAsia="仿宋_GB2312"/>
      <w:kern w:val="2"/>
      <w:sz w:val="30"/>
    </w:rPr>
  </w:style>
  <w:style w:type="character" w:customStyle="1" w:styleId="134">
    <w:name w:val="text1"/>
    <w:qFormat/>
    <w:uiPriority w:val="0"/>
    <w:rPr>
      <w:color w:val="000000"/>
      <w:spacing w:val="432"/>
      <w:sz w:val="20"/>
      <w:szCs w:val="20"/>
    </w:rPr>
  </w:style>
  <w:style w:type="character" w:customStyle="1" w:styleId="135">
    <w:name w:val="正文文本 字符"/>
    <w:qFormat/>
    <w:uiPriority w:val="0"/>
    <w:rPr>
      <w:rFonts w:eastAsia="仿宋_GB2312"/>
      <w:kern w:val="2"/>
      <w:sz w:val="28"/>
      <w:szCs w:val="30"/>
    </w:rPr>
  </w:style>
  <w:style w:type="character" w:customStyle="1" w:styleId="136">
    <w:name w:val="bold1"/>
    <w:qFormat/>
    <w:uiPriority w:val="0"/>
    <w:rPr>
      <w:b/>
      <w:bCs/>
    </w:rPr>
  </w:style>
  <w:style w:type="character" w:customStyle="1" w:styleId="137">
    <w:name w:val="apple-style-span"/>
    <w:qFormat/>
    <w:uiPriority w:val="0"/>
  </w:style>
  <w:style w:type="character" w:customStyle="1" w:styleId="138">
    <w:name w:val="明显引用 Char"/>
    <w:link w:val="139"/>
    <w:qFormat/>
    <w:uiPriority w:val="0"/>
    <w:rPr>
      <w:rFonts w:ascii="Calibri" w:hAnsi="Calibri"/>
      <w:b/>
      <w:i/>
      <w:sz w:val="24"/>
      <w:szCs w:val="22"/>
      <w:lang w:eastAsia="en-US" w:bidi="en-US"/>
    </w:rPr>
  </w:style>
  <w:style w:type="paragraph" w:customStyle="1" w:styleId="139">
    <w:name w:val="明显引用1"/>
    <w:basedOn w:val="1"/>
    <w:next w:val="1"/>
    <w:link w:val="138"/>
    <w:qFormat/>
    <w:uiPriority w:val="0"/>
    <w:pPr>
      <w:widowControl/>
      <w:ind w:left="720" w:right="720"/>
      <w:jc w:val="left"/>
    </w:pPr>
    <w:rPr>
      <w:rFonts w:ascii="Calibri" w:hAnsi="Calibri"/>
      <w:b/>
      <w:i/>
      <w:sz w:val="24"/>
      <w:szCs w:val="22"/>
      <w:lang w:eastAsia="en-US" w:bidi="en-US"/>
    </w:rPr>
  </w:style>
  <w:style w:type="character" w:customStyle="1" w:styleId="140">
    <w:name w:val="列出段落 字符"/>
    <w:qFormat/>
    <w:locked/>
    <w:uiPriority w:val="34"/>
    <w:rPr>
      <w:sz w:val="24"/>
    </w:rPr>
  </w:style>
  <w:style w:type="character" w:customStyle="1" w:styleId="141">
    <w:name w:val="hui3"/>
    <w:qFormat/>
    <w:uiPriority w:val="0"/>
    <w:rPr>
      <w:color w:val="333333"/>
    </w:rPr>
  </w:style>
  <w:style w:type="character" w:customStyle="1" w:styleId="142">
    <w:name w:val="h121"/>
    <w:qFormat/>
    <w:uiPriority w:val="0"/>
    <w:rPr>
      <w:color w:val="333333"/>
    </w:rPr>
  </w:style>
  <w:style w:type="character" w:customStyle="1" w:styleId="143">
    <w:name w:val="p91"/>
    <w:qFormat/>
    <w:uiPriority w:val="0"/>
  </w:style>
  <w:style w:type="character" w:customStyle="1" w:styleId="144">
    <w:name w:val="列出段落 Char1"/>
    <w:qFormat/>
    <w:uiPriority w:val="34"/>
    <w:rPr>
      <w:rFonts w:ascii="Calibri" w:hAnsi="Calibri" w:eastAsia="仿宋_GB2312"/>
      <w:sz w:val="24"/>
      <w:szCs w:val="24"/>
      <w:lang w:eastAsia="en-US" w:bidi="en-US"/>
    </w:rPr>
  </w:style>
  <w:style w:type="character" w:customStyle="1" w:styleId="145">
    <w:name w:val="引用 Char"/>
    <w:link w:val="146"/>
    <w:qFormat/>
    <w:uiPriority w:val="0"/>
    <w:rPr>
      <w:rFonts w:ascii="Calibri" w:hAnsi="Calibri"/>
      <w:i/>
      <w:sz w:val="24"/>
      <w:szCs w:val="24"/>
      <w:lang w:eastAsia="en-US" w:bidi="en-US"/>
    </w:rPr>
  </w:style>
  <w:style w:type="paragraph" w:customStyle="1" w:styleId="146">
    <w:name w:val="引用1"/>
    <w:basedOn w:val="1"/>
    <w:next w:val="1"/>
    <w:link w:val="145"/>
    <w:qFormat/>
    <w:uiPriority w:val="0"/>
    <w:pPr>
      <w:widowControl/>
      <w:jc w:val="left"/>
    </w:pPr>
    <w:rPr>
      <w:rFonts w:ascii="Calibri" w:hAnsi="Calibri"/>
      <w:i/>
      <w:sz w:val="24"/>
      <w:szCs w:val="24"/>
      <w:lang w:eastAsia="en-US" w:bidi="en-US"/>
    </w:rPr>
  </w:style>
  <w:style w:type="character" w:customStyle="1" w:styleId="147">
    <w:name w:val="明显参考1"/>
    <w:qFormat/>
    <w:uiPriority w:val="0"/>
    <w:rPr>
      <w:b/>
      <w:sz w:val="24"/>
      <w:u w:val="single"/>
    </w:rPr>
  </w:style>
  <w:style w:type="character" w:customStyle="1" w:styleId="148">
    <w:name w:val="hover16"/>
    <w:qFormat/>
    <w:uiPriority w:val="0"/>
  </w:style>
  <w:style w:type="character" w:customStyle="1" w:styleId="149">
    <w:name w:val="A节1正文 Char"/>
    <w:link w:val="150"/>
    <w:qFormat/>
    <w:uiPriority w:val="0"/>
    <w:rPr>
      <w:rFonts w:ascii="Arial" w:hAnsi="Arial" w:cs="Arial"/>
      <w:iCs/>
      <w:color w:val="000000"/>
      <w:sz w:val="24"/>
      <w:szCs w:val="24"/>
    </w:rPr>
  </w:style>
  <w:style w:type="paragraph" w:customStyle="1" w:styleId="150">
    <w:name w:val="A节1正文"/>
    <w:basedOn w:val="1"/>
    <w:link w:val="149"/>
    <w:qFormat/>
    <w:uiPriority w:val="0"/>
    <w:pPr>
      <w:widowControl/>
      <w:adjustRightInd w:val="0"/>
      <w:snapToGrid w:val="0"/>
      <w:spacing w:before="120" w:line="300" w:lineRule="auto"/>
      <w:ind w:firstLine="420"/>
    </w:pPr>
    <w:rPr>
      <w:rFonts w:ascii="Arial" w:hAnsi="Arial"/>
      <w:iCs/>
      <w:color w:val="000000"/>
      <w:sz w:val="24"/>
      <w:szCs w:val="24"/>
    </w:rPr>
  </w:style>
  <w:style w:type="character" w:customStyle="1" w:styleId="151">
    <w:name w:val="postbody1"/>
    <w:qFormat/>
    <w:uiPriority w:val="0"/>
    <w:rPr>
      <w:sz w:val="18"/>
      <w:szCs w:val="18"/>
    </w:rPr>
  </w:style>
  <w:style w:type="character" w:customStyle="1" w:styleId="152">
    <w:name w:val="pcname2"/>
    <w:qFormat/>
    <w:uiPriority w:val="0"/>
    <w:rPr>
      <w:shd w:val="clear" w:color="auto" w:fill="FFFFFF"/>
    </w:rPr>
  </w:style>
  <w:style w:type="character" w:customStyle="1" w:styleId="153">
    <w:name w:val="*正文 Char Char"/>
    <w:link w:val="154"/>
    <w:qFormat/>
    <w:locked/>
    <w:uiPriority w:val="0"/>
    <w:rPr>
      <w:rFonts w:ascii="微软雅黑" w:hAnsi="微软雅黑" w:eastAsia="微软雅黑"/>
      <w:sz w:val="21"/>
    </w:rPr>
  </w:style>
  <w:style w:type="paragraph" w:customStyle="1" w:styleId="154">
    <w:name w:val="*正文"/>
    <w:basedOn w:val="1"/>
    <w:next w:val="1"/>
    <w:link w:val="153"/>
    <w:qFormat/>
    <w:uiPriority w:val="0"/>
    <w:pPr>
      <w:widowControl/>
      <w:ind w:firstLine="482"/>
    </w:pPr>
    <w:rPr>
      <w:rFonts w:ascii="微软雅黑" w:hAnsi="微软雅黑" w:eastAsia="微软雅黑"/>
      <w:sz w:val="21"/>
    </w:rPr>
  </w:style>
  <w:style w:type="character" w:customStyle="1" w:styleId="155">
    <w:name w:val="cn1"/>
    <w:qFormat/>
    <w:uiPriority w:val="0"/>
    <w:rPr>
      <w:sz w:val="18"/>
      <w:szCs w:val="18"/>
    </w:rPr>
  </w:style>
  <w:style w:type="character" w:customStyle="1" w:styleId="156">
    <w:name w:val="para"/>
    <w:qFormat/>
    <w:uiPriority w:val="0"/>
  </w:style>
  <w:style w:type="character" w:customStyle="1" w:styleId="157">
    <w:name w:val="正文+小四 Char Char"/>
    <w:link w:val="158"/>
    <w:qFormat/>
    <w:uiPriority w:val="0"/>
    <w:rPr>
      <w:rFonts w:ascii="宋体" w:hAnsi="宋体"/>
      <w:kern w:val="2"/>
      <w:sz w:val="24"/>
      <w:szCs w:val="24"/>
    </w:rPr>
  </w:style>
  <w:style w:type="paragraph" w:customStyle="1" w:styleId="158">
    <w:name w:val="正文+小四"/>
    <w:basedOn w:val="1"/>
    <w:link w:val="157"/>
    <w:qFormat/>
    <w:uiPriority w:val="0"/>
    <w:rPr>
      <w:rFonts w:ascii="宋体" w:hAnsi="宋体"/>
      <w:kern w:val="2"/>
      <w:sz w:val="24"/>
      <w:szCs w:val="24"/>
    </w:rPr>
  </w:style>
  <w:style w:type="character" w:customStyle="1" w:styleId="159">
    <w:name w:val="样式 (西文) 华文细黑 (中文) 华文细黑 小四"/>
    <w:qFormat/>
    <w:uiPriority w:val="0"/>
    <w:rPr>
      <w:rFonts w:ascii="华文细黑" w:hAnsi="华文细黑" w:eastAsia="宋体"/>
      <w:sz w:val="24"/>
    </w:rPr>
  </w:style>
  <w:style w:type="character" w:customStyle="1" w:styleId="160">
    <w:name w:val="A7"/>
    <w:qFormat/>
    <w:uiPriority w:val="0"/>
    <w:rPr>
      <w:rFonts w:cs="方正黑体简体"/>
      <w:color w:val="000000"/>
      <w:sz w:val="10"/>
      <w:szCs w:val="10"/>
    </w:rPr>
  </w:style>
  <w:style w:type="character" w:customStyle="1" w:styleId="161">
    <w:name w:val="style111"/>
    <w:qFormat/>
    <w:uiPriority w:val="0"/>
    <w:rPr>
      <w:b/>
      <w:bCs/>
      <w:sz w:val="27"/>
      <w:szCs w:val="27"/>
    </w:rPr>
  </w:style>
  <w:style w:type="character" w:customStyle="1" w:styleId="162">
    <w:name w:val="txt"/>
    <w:qFormat/>
    <w:uiPriority w:val="0"/>
  </w:style>
  <w:style w:type="character" w:customStyle="1" w:styleId="163">
    <w:name w:val="普通文字 Char Char"/>
    <w:qFormat/>
    <w:uiPriority w:val="0"/>
    <w:rPr>
      <w:rFonts w:ascii="宋体" w:eastAsia="宋体"/>
      <w:kern w:val="2"/>
      <w:sz w:val="21"/>
      <w:lang w:val="en-US" w:eastAsia="zh-CN"/>
    </w:rPr>
  </w:style>
  <w:style w:type="character" w:customStyle="1" w:styleId="164">
    <w:name w:val="point_normal1"/>
    <w:qFormat/>
    <w:uiPriority w:val="0"/>
    <w:rPr>
      <w:rFonts w:ascii="Arial" w:hAnsi="Arial" w:cs="Arial"/>
      <w:sz w:val="18"/>
      <w:szCs w:val="18"/>
      <w:lang w:bidi="ar-SA"/>
    </w:rPr>
  </w:style>
  <w:style w:type="character" w:customStyle="1" w:styleId="165">
    <w:name w:val="样式 标题 2 + 黑体 Char"/>
    <w:link w:val="166"/>
    <w:qFormat/>
    <w:uiPriority w:val="0"/>
    <w:rPr>
      <w:rFonts w:ascii="宋体" w:hAnsi="宋体"/>
      <w:b/>
      <w:bCs/>
      <w:kern w:val="2"/>
      <w:sz w:val="32"/>
      <w:szCs w:val="32"/>
    </w:rPr>
  </w:style>
  <w:style w:type="paragraph" w:customStyle="1" w:styleId="166">
    <w:name w:val="样式 标题 2 + 黑体"/>
    <w:basedOn w:val="3"/>
    <w:link w:val="165"/>
    <w:qFormat/>
    <w:uiPriority w:val="0"/>
    <w:pPr>
      <w:spacing w:before="120" w:after="120" w:line="360" w:lineRule="auto"/>
    </w:pPr>
    <w:rPr>
      <w:rFonts w:ascii="宋体" w:hAnsi="宋体" w:eastAsia="宋体"/>
    </w:rPr>
  </w:style>
  <w:style w:type="character" w:customStyle="1" w:styleId="167">
    <w:name w:val="ty091"/>
    <w:qFormat/>
    <w:uiPriority w:val="0"/>
    <w:rPr>
      <w:color w:val="000000"/>
      <w:sz w:val="18"/>
      <w:szCs w:val="18"/>
    </w:rPr>
  </w:style>
  <w:style w:type="character" w:customStyle="1" w:styleId="168">
    <w:name w:val="fs_14"/>
    <w:qFormat/>
    <w:uiPriority w:val="0"/>
  </w:style>
  <w:style w:type="character" w:customStyle="1" w:styleId="169">
    <w:name w:val="正文采用 Char Char"/>
    <w:link w:val="170"/>
    <w:qFormat/>
    <w:uiPriority w:val="0"/>
    <w:rPr>
      <w:rFonts w:ascii="宋体" w:hAnsi="宋体"/>
      <w:sz w:val="24"/>
      <w:szCs w:val="24"/>
    </w:rPr>
  </w:style>
  <w:style w:type="paragraph" w:customStyle="1" w:styleId="170">
    <w:name w:val="正文采用"/>
    <w:basedOn w:val="1"/>
    <w:link w:val="169"/>
    <w:qFormat/>
    <w:uiPriority w:val="0"/>
    <w:pPr>
      <w:spacing w:line="500" w:lineRule="exact"/>
      <w:ind w:firstLine="200" w:firstLineChars="200"/>
    </w:pPr>
    <w:rPr>
      <w:rFonts w:ascii="宋体" w:hAnsi="宋体"/>
      <w:sz w:val="24"/>
      <w:szCs w:val="24"/>
    </w:rPr>
  </w:style>
  <w:style w:type="character" w:customStyle="1" w:styleId="171">
    <w:name w:val="black000"/>
    <w:qFormat/>
    <w:uiPriority w:val="0"/>
  </w:style>
  <w:style w:type="character" w:customStyle="1" w:styleId="172">
    <w:name w:val="Char Char4"/>
    <w:qFormat/>
    <w:uiPriority w:val="0"/>
    <w:rPr>
      <w:rFonts w:eastAsia="宋体"/>
      <w:kern w:val="2"/>
      <w:sz w:val="18"/>
      <w:szCs w:val="18"/>
      <w:lang w:bidi="ar-SA"/>
    </w:rPr>
  </w:style>
  <w:style w:type="character" w:customStyle="1" w:styleId="173">
    <w:name w:val="content02"/>
    <w:qFormat/>
    <w:uiPriority w:val="0"/>
  </w:style>
  <w:style w:type="character" w:customStyle="1" w:styleId="174">
    <w:name w:val="font-11"/>
    <w:qFormat/>
    <w:uiPriority w:val="0"/>
    <w:rPr>
      <w:rFonts w:ascii="Verdana" w:hAnsi="Verdana"/>
      <w:color w:val="333333"/>
      <w:sz w:val="18"/>
      <w:szCs w:val="18"/>
    </w:rPr>
  </w:style>
  <w:style w:type="character" w:customStyle="1" w:styleId="175">
    <w:name w:val="不明显强调1"/>
    <w:qFormat/>
    <w:uiPriority w:val="0"/>
    <w:rPr>
      <w:i/>
      <w:color w:val="5A5A5A"/>
    </w:rPr>
  </w:style>
  <w:style w:type="character" w:customStyle="1" w:styleId="176">
    <w:name w:val="ty09 style30"/>
    <w:qFormat/>
    <w:uiPriority w:val="0"/>
  </w:style>
  <w:style w:type="character" w:customStyle="1" w:styleId="177">
    <w:name w:val="pcvalue2"/>
    <w:qFormat/>
    <w:uiPriority w:val="0"/>
    <w:rPr>
      <w:shd w:val="clear" w:color="auto" w:fill="FFFFFF"/>
    </w:rPr>
  </w:style>
  <w:style w:type="character" w:customStyle="1" w:styleId="178">
    <w:name w:val="标五 Char"/>
    <w:qFormat/>
    <w:uiPriority w:val="0"/>
    <w:rPr>
      <w:rFonts w:ascii="楷体_GB2312" w:eastAsia="楷体_GB2312"/>
      <w:kern w:val="2"/>
      <w:sz w:val="24"/>
      <w:szCs w:val="24"/>
      <w:lang w:val="en-US" w:eastAsia="zh-CN"/>
    </w:rPr>
  </w:style>
  <w:style w:type="character" w:customStyle="1" w:styleId="179">
    <w:name w:val="lineitems1"/>
    <w:qFormat/>
    <w:uiPriority w:val="0"/>
    <w:rPr>
      <w:sz w:val="17"/>
      <w:szCs w:val="17"/>
    </w:rPr>
  </w:style>
  <w:style w:type="character" w:customStyle="1" w:styleId="180">
    <w:name w:val="无"/>
    <w:qFormat/>
    <w:uiPriority w:val="0"/>
  </w:style>
  <w:style w:type="character" w:customStyle="1" w:styleId="181">
    <w:name w:val="着重强调"/>
    <w:qFormat/>
    <w:uiPriority w:val="0"/>
    <w:rPr>
      <w:rFonts w:ascii="Arial" w:hAnsi="Arial"/>
      <w:b/>
    </w:rPr>
  </w:style>
  <w:style w:type="character" w:customStyle="1" w:styleId="182">
    <w:name w:val="themebody1"/>
    <w:qFormat/>
    <w:uiPriority w:val="0"/>
    <w:rPr>
      <w:color w:val="FFFFFF"/>
    </w:rPr>
  </w:style>
  <w:style w:type="character" w:customStyle="1" w:styleId="183">
    <w:name w:val="文档结构图 Char1"/>
    <w:qFormat/>
    <w:uiPriority w:val="99"/>
    <w:rPr>
      <w:rFonts w:ascii="宋体"/>
      <w:kern w:val="2"/>
      <w:sz w:val="18"/>
      <w:szCs w:val="18"/>
    </w:rPr>
  </w:style>
  <w:style w:type="character" w:customStyle="1" w:styleId="184">
    <w:name w:val="gray9pt1"/>
    <w:qFormat/>
    <w:uiPriority w:val="0"/>
    <w:rPr>
      <w:rFonts w:ascii="Arial" w:hAnsi="Arial" w:cs="Arial"/>
      <w:color w:val="666666"/>
      <w:sz w:val="18"/>
      <w:szCs w:val="18"/>
      <w:lang w:bidi="ar-SA"/>
    </w:rPr>
  </w:style>
  <w:style w:type="character" w:customStyle="1" w:styleId="185">
    <w:name w:val="content1"/>
    <w:qFormat/>
    <w:uiPriority w:val="0"/>
    <w:rPr>
      <w:spacing w:val="360"/>
      <w:sz w:val="18"/>
      <w:szCs w:val="18"/>
    </w:rPr>
  </w:style>
  <w:style w:type="character" w:customStyle="1" w:styleId="186">
    <w:name w:val="不明显参考1"/>
    <w:qFormat/>
    <w:uiPriority w:val="0"/>
    <w:rPr>
      <w:sz w:val="24"/>
      <w:szCs w:val="24"/>
      <w:u w:val="single"/>
    </w:rPr>
  </w:style>
  <w:style w:type="character" w:customStyle="1" w:styleId="187">
    <w:name w:val="fontblank12"/>
    <w:qFormat/>
    <w:uiPriority w:val="0"/>
  </w:style>
  <w:style w:type="character" w:customStyle="1" w:styleId="188">
    <w:name w:val="para_small1"/>
    <w:qFormat/>
    <w:uiPriority w:val="0"/>
    <w:rPr>
      <w:rFonts w:hint="default" w:ascii="Arial" w:hAnsi="Arial" w:cs="Arial"/>
      <w:sz w:val="18"/>
      <w:szCs w:val="18"/>
    </w:rPr>
  </w:style>
  <w:style w:type="character" w:customStyle="1" w:styleId="189">
    <w:name w:val="hover14"/>
    <w:qFormat/>
    <w:uiPriority w:val="0"/>
  </w:style>
  <w:style w:type="paragraph" w:customStyle="1" w:styleId="190">
    <w:name w:val="标二"/>
    <w:next w:val="1"/>
    <w:qFormat/>
    <w:uiPriority w:val="0"/>
    <w:pPr>
      <w:numPr>
        <w:ilvl w:val="0"/>
        <w:numId w:val="2"/>
      </w:numPr>
      <w:tabs>
        <w:tab w:val="left" w:pos="0"/>
        <w:tab w:val="clear" w:pos="420"/>
      </w:tabs>
      <w:ind w:left="493" w:hanging="567"/>
      <w:outlineLvl w:val="1"/>
    </w:pPr>
    <w:rPr>
      <w:rFonts w:ascii="黑体" w:hAnsi="Times New Roman" w:eastAsia="黑体" w:cs="Times New Roman"/>
      <w:b/>
      <w:bCs/>
      <w:kern w:val="2"/>
      <w:sz w:val="32"/>
      <w:szCs w:val="32"/>
      <w:lang w:val="en-US" w:eastAsia="zh-CN" w:bidi="ar-SA"/>
    </w:rPr>
  </w:style>
  <w:style w:type="paragraph" w:customStyle="1" w:styleId="191">
    <w:name w:val="样式 两端对齐"/>
    <w:basedOn w:val="1"/>
    <w:qFormat/>
    <w:uiPriority w:val="0"/>
    <w:pPr>
      <w:widowControl/>
      <w:spacing w:line="360" w:lineRule="auto"/>
      <w:ind w:firstLine="560" w:firstLineChars="200"/>
      <w:jc w:val="left"/>
    </w:pPr>
    <w:rPr>
      <w:rFonts w:ascii="宋体" w:hAnsi="宋体"/>
      <w:sz w:val="28"/>
      <w:szCs w:val="24"/>
      <w:lang w:eastAsia="en-US" w:bidi="en-US"/>
    </w:rPr>
  </w:style>
  <w:style w:type="paragraph" w:customStyle="1" w:styleId="192">
    <w:name w:val="1 Char Char Char Char"/>
    <w:basedOn w:val="1"/>
    <w:qFormat/>
    <w:uiPriority w:val="0"/>
    <w:pPr>
      <w:tabs>
        <w:tab w:val="left" w:pos="360"/>
      </w:tabs>
    </w:pPr>
    <w:rPr>
      <w:sz w:val="24"/>
      <w:szCs w:val="24"/>
    </w:rPr>
  </w:style>
  <w:style w:type="paragraph" w:customStyle="1" w:styleId="193">
    <w:name w:val="Pa6"/>
    <w:basedOn w:val="1"/>
    <w:next w:val="1"/>
    <w:qFormat/>
    <w:uiPriority w:val="0"/>
    <w:pPr>
      <w:autoSpaceDE w:val="0"/>
      <w:autoSpaceDN w:val="0"/>
      <w:adjustRightInd w:val="0"/>
      <w:spacing w:line="141" w:lineRule="atLeast"/>
      <w:jc w:val="left"/>
    </w:pPr>
    <w:rPr>
      <w:rFonts w:ascii="Arial Unicode MS" w:eastAsia="Arial Unicode MS" w:cs="Arial Unicode MS"/>
      <w:sz w:val="24"/>
      <w:szCs w:val="24"/>
    </w:rPr>
  </w:style>
  <w:style w:type="paragraph" w:customStyle="1" w:styleId="194">
    <w:name w:val="正文缩进1"/>
    <w:basedOn w:val="1"/>
    <w:qFormat/>
    <w:uiPriority w:val="0"/>
    <w:pPr>
      <w:ind w:firstLine="420"/>
    </w:pPr>
    <w:rPr>
      <w:sz w:val="21"/>
    </w:rPr>
  </w:style>
  <w:style w:type="paragraph" w:customStyle="1" w:styleId="195">
    <w:name w:val="Char Char1"/>
    <w:basedOn w:val="1"/>
    <w:qFormat/>
    <w:uiPriority w:val="0"/>
    <w:pPr>
      <w:widowControl/>
      <w:spacing w:line="240" w:lineRule="exact"/>
      <w:jc w:val="left"/>
    </w:pPr>
    <w:rPr>
      <w:sz w:val="24"/>
      <w:szCs w:val="24"/>
    </w:rPr>
  </w:style>
  <w:style w:type="paragraph" w:customStyle="1" w:styleId="196">
    <w:name w:val="xl27"/>
    <w:basedOn w:val="1"/>
    <w:qFormat/>
    <w:uiPriority w:val="0"/>
    <w:pPr>
      <w:widowControl/>
      <w:adjustRightInd w:val="0"/>
      <w:jc w:val="center"/>
      <w:textAlignment w:val="baseline"/>
    </w:pPr>
    <w:rPr>
      <w:rFonts w:ascii="Arial Unicode MS" w:hAnsi="Arial Unicode MS"/>
      <w:sz w:val="24"/>
    </w:rPr>
  </w:style>
  <w:style w:type="paragraph" w:customStyle="1" w:styleId="197">
    <w:name w:val="默认段落字体 Para Char Char Char Char"/>
    <w:basedOn w:val="1"/>
    <w:qFormat/>
    <w:uiPriority w:val="0"/>
    <w:rPr>
      <w:szCs w:val="24"/>
    </w:rPr>
  </w:style>
  <w:style w:type="paragraph" w:customStyle="1" w:styleId="198">
    <w:name w:val="公文标题 1"/>
    <w:basedOn w:val="1"/>
    <w:next w:val="1"/>
    <w:qFormat/>
    <w:uiPriority w:val="0"/>
    <w:pPr>
      <w:tabs>
        <w:tab w:val="left" w:pos="360"/>
      </w:tabs>
      <w:spacing w:line="360" w:lineRule="auto"/>
      <w:ind w:firstLine="200"/>
      <w:outlineLvl w:val="0"/>
    </w:pPr>
    <w:rPr>
      <w:kern w:val="28"/>
      <w:sz w:val="28"/>
      <w:szCs w:val="24"/>
    </w:rPr>
  </w:style>
  <w:style w:type="paragraph" w:customStyle="1" w:styleId="199">
    <w:name w:val="Normal_UserEntry"/>
    <w:basedOn w:val="1"/>
    <w:qFormat/>
    <w:uiPriority w:val="0"/>
    <w:pPr>
      <w:widowControl/>
      <w:jc w:val="left"/>
    </w:pPr>
    <w:rPr>
      <w:rFonts w:ascii="Futura Bk" w:hAnsi="Futura Bk"/>
      <w:color w:val="FF0000"/>
      <w:lang w:val="en-GB" w:eastAsia="en-US"/>
    </w:rPr>
  </w:style>
  <w:style w:type="paragraph" w:customStyle="1" w:styleId="200">
    <w:name w:val="Char1 Char Char Char Char Char Char Char"/>
    <w:basedOn w:val="1"/>
    <w:qFormat/>
    <w:uiPriority w:val="0"/>
    <w:rPr>
      <w:rFonts w:ascii="Tahoma" w:hAnsi="Tahoma"/>
      <w:sz w:val="24"/>
      <w:szCs w:val="30"/>
    </w:rPr>
  </w:style>
  <w:style w:type="paragraph" w:customStyle="1" w:styleId="201">
    <w:name w:val="默认段落字体 Para Char Char Char Char Char Char Char"/>
    <w:basedOn w:val="1"/>
    <w:qFormat/>
    <w:uiPriority w:val="0"/>
    <w:rPr>
      <w:rFonts w:ascii="Tahoma" w:hAnsi="Tahoma"/>
      <w:sz w:val="24"/>
    </w:rPr>
  </w:style>
  <w:style w:type="paragraph" w:customStyle="1" w:styleId="202">
    <w:name w:val="封面标题"/>
    <w:basedOn w:val="1"/>
    <w:qFormat/>
    <w:uiPriority w:val="0"/>
    <w:pPr>
      <w:widowControl/>
      <w:jc w:val="center"/>
    </w:pPr>
    <w:rPr>
      <w:rFonts w:ascii="黑体" w:hAnsi="Calibri" w:eastAsia="黑体"/>
      <w:sz w:val="36"/>
      <w:szCs w:val="36"/>
      <w:lang w:eastAsia="en-US" w:bidi="en-US"/>
    </w:rPr>
  </w:style>
  <w:style w:type="paragraph" w:customStyle="1" w:styleId="203">
    <w:name w:val="公文标题 3"/>
    <w:basedOn w:val="204"/>
    <w:next w:val="1"/>
    <w:qFormat/>
    <w:uiPriority w:val="0"/>
    <w:pPr>
      <w:tabs>
        <w:tab w:val="left" w:pos="360"/>
      </w:tabs>
      <w:ind w:left="-21"/>
      <w:outlineLvl w:val="2"/>
    </w:pPr>
  </w:style>
  <w:style w:type="paragraph" w:customStyle="1" w:styleId="204">
    <w:name w:val="公文标题 2"/>
    <w:basedOn w:val="198"/>
    <w:next w:val="1"/>
    <w:qFormat/>
    <w:uiPriority w:val="0"/>
    <w:pPr>
      <w:outlineLvl w:val="1"/>
    </w:pPr>
  </w:style>
  <w:style w:type="paragraph" w:customStyle="1" w:styleId="205">
    <w:name w:val="Text"/>
    <w:qFormat/>
    <w:uiPriority w:val="0"/>
    <w:pPr>
      <w:tabs>
        <w:tab w:val="left" w:pos="840"/>
        <w:tab w:val="left" w:pos="1260"/>
      </w:tabs>
      <w:adjustRightInd w:val="0"/>
      <w:snapToGrid w:val="0"/>
      <w:spacing w:beforeLines="75" w:afterLines="50" w:line="360" w:lineRule="auto"/>
      <w:ind w:left="473"/>
      <w:jc w:val="both"/>
    </w:pPr>
    <w:rPr>
      <w:rFonts w:ascii="宋体" w:hAnsi="宋体" w:eastAsia="宋体" w:cs="Times New Roman"/>
      <w:sz w:val="21"/>
      <w:szCs w:val="21"/>
      <w:lang w:val="en-US" w:eastAsia="zh-CN" w:bidi="ar-SA"/>
    </w:rPr>
  </w:style>
  <w:style w:type="paragraph" w:customStyle="1" w:styleId="206">
    <w:name w:val="列出段落2"/>
    <w:basedOn w:val="1"/>
    <w:qFormat/>
    <w:uiPriority w:val="0"/>
    <w:pPr>
      <w:tabs>
        <w:tab w:val="left" w:pos="1680"/>
      </w:tabs>
      <w:ind w:firstLine="200" w:firstLineChars="200"/>
    </w:pPr>
  </w:style>
  <w:style w:type="paragraph" w:customStyle="1" w:styleId="207">
    <w:name w:val="NAP Normal"/>
    <w:basedOn w:val="1"/>
    <w:qFormat/>
    <w:uiPriority w:val="0"/>
    <w:pPr>
      <w:spacing w:line="240" w:lineRule="exact"/>
    </w:pPr>
    <w:rPr>
      <w:sz w:val="22"/>
    </w:rPr>
  </w:style>
  <w:style w:type="paragraph" w:customStyle="1" w:styleId="208">
    <w:name w:val="样式 标题 1 + 四号 居中 段前: 12 磅 段后: 12 磅 行距: 单倍行距"/>
    <w:basedOn w:val="2"/>
    <w:qFormat/>
    <w:uiPriority w:val="0"/>
    <w:pPr>
      <w:keepLines/>
      <w:adjustRightInd w:val="0"/>
      <w:jc w:val="center"/>
      <w:textAlignment w:val="baseline"/>
    </w:pPr>
    <w:rPr>
      <w:b/>
      <w:kern w:val="44"/>
      <w:sz w:val="28"/>
      <w:szCs w:val="20"/>
    </w:rPr>
  </w:style>
  <w:style w:type="paragraph" w:customStyle="1" w:styleId="209">
    <w:name w:val="样式 首行缩进:  2 字符"/>
    <w:basedOn w:val="1"/>
    <w:qFormat/>
    <w:uiPriority w:val="99"/>
    <w:pPr>
      <w:spacing w:line="360" w:lineRule="auto"/>
      <w:ind w:firstLine="200" w:firstLineChars="200"/>
    </w:pPr>
    <w:rPr>
      <w:rFonts w:cs="宋体"/>
      <w:sz w:val="24"/>
    </w:rPr>
  </w:style>
  <w:style w:type="paragraph" w:customStyle="1" w:styleId="210">
    <w:name w:val="Char1 Char Char Char"/>
    <w:basedOn w:val="17"/>
    <w:qFormat/>
    <w:uiPriority w:val="0"/>
    <w:pPr>
      <w:spacing w:line="240" w:lineRule="auto"/>
      <w:ind w:firstLine="0" w:firstLineChars="0"/>
    </w:pPr>
    <w:rPr>
      <w:rFonts w:ascii="Tahoma" w:hAnsi="Tahoma"/>
    </w:rPr>
  </w:style>
  <w:style w:type="paragraph" w:customStyle="1" w:styleId="211">
    <w:name w:val="1、项目编号"/>
    <w:basedOn w:val="15"/>
    <w:qFormat/>
    <w:uiPriority w:val="0"/>
    <w:pPr>
      <w:tabs>
        <w:tab w:val="left" w:pos="0"/>
      </w:tabs>
      <w:spacing w:line="360" w:lineRule="auto"/>
      <w:ind w:left="420" w:hanging="420"/>
    </w:pPr>
    <w:rPr>
      <w:rFonts w:eastAsia="宋体"/>
      <w:sz w:val="24"/>
      <w:szCs w:val="24"/>
    </w:rPr>
  </w:style>
  <w:style w:type="paragraph" w:customStyle="1" w:styleId="212">
    <w:name w:val="封面中部"/>
    <w:basedOn w:val="1"/>
    <w:qFormat/>
    <w:uiPriority w:val="0"/>
    <w:pPr>
      <w:tabs>
        <w:tab w:val="left" w:pos="2977"/>
      </w:tabs>
      <w:adjustRightInd w:val="0"/>
      <w:spacing w:line="880" w:lineRule="exact"/>
      <w:jc w:val="center"/>
      <w:textAlignment w:val="baseline"/>
    </w:pPr>
    <w:rPr>
      <w:rFonts w:ascii="宋体" w:eastAsia="黑体"/>
      <w:sz w:val="36"/>
      <w:szCs w:val="36"/>
    </w:rPr>
  </w:style>
  <w:style w:type="paragraph" w:customStyle="1" w:styleId="213">
    <w:name w:val="_Style 173"/>
    <w:next w:val="1"/>
    <w:qFormat/>
    <w:uiPriority w:val="0"/>
    <w:pPr>
      <w:widowControl w:val="0"/>
      <w:jc w:val="both"/>
    </w:pPr>
    <w:rPr>
      <w:rFonts w:ascii="仿宋_GB2312" w:hAnsi="Times New Roman" w:eastAsia="仿宋_GB2312" w:cs="Times New Roman"/>
      <w:kern w:val="2"/>
      <w:sz w:val="32"/>
      <w:szCs w:val="32"/>
      <w:lang w:val="en-US" w:eastAsia="zh-CN" w:bidi="ar-SA"/>
    </w:rPr>
  </w:style>
  <w:style w:type="paragraph" w:customStyle="1" w:styleId="214">
    <w:name w:val="默认段落字体 Para Char"/>
    <w:basedOn w:val="1"/>
    <w:qFormat/>
    <w:uiPriority w:val="0"/>
    <w:pPr>
      <w:numPr>
        <w:ilvl w:val="0"/>
        <w:numId w:val="3"/>
      </w:numPr>
      <w:tabs>
        <w:tab w:val="left" w:pos="360"/>
        <w:tab w:val="clear" w:pos="420"/>
      </w:tabs>
    </w:pPr>
    <w:rPr>
      <w:sz w:val="24"/>
      <w:szCs w:val="24"/>
    </w:rPr>
  </w:style>
  <w:style w:type="paragraph" w:customStyle="1" w:styleId="215">
    <w:name w:val="资格信目录"/>
    <w:basedOn w:val="17"/>
    <w:qFormat/>
    <w:uiPriority w:val="0"/>
    <w:pPr>
      <w:spacing w:line="240" w:lineRule="auto"/>
      <w:ind w:firstLine="0" w:firstLineChars="0"/>
    </w:pPr>
    <w:rPr>
      <w:rFonts w:ascii="Tahoma" w:hAnsi="Tahoma"/>
      <w:sz w:val="32"/>
    </w:rPr>
  </w:style>
  <w:style w:type="paragraph" w:customStyle="1" w:styleId="216">
    <w:name w:val="List Paragraph1"/>
    <w:basedOn w:val="1"/>
    <w:qFormat/>
    <w:uiPriority w:val="99"/>
    <w:pPr>
      <w:ind w:firstLine="420" w:firstLineChars="200"/>
    </w:pPr>
    <w:rPr>
      <w:rFonts w:ascii="Calibri" w:hAnsi="Calibri"/>
      <w:sz w:val="21"/>
      <w:szCs w:val="22"/>
    </w:rPr>
  </w:style>
  <w:style w:type="paragraph" w:customStyle="1" w:styleId="217">
    <w:name w:val="纯文本1"/>
    <w:basedOn w:val="1"/>
    <w:qFormat/>
    <w:uiPriority w:val="0"/>
    <w:pPr>
      <w:adjustRightInd w:val="0"/>
      <w:spacing w:line="312" w:lineRule="atLeast"/>
      <w:textAlignment w:val="baseline"/>
    </w:pPr>
    <w:rPr>
      <w:rFonts w:ascii="宋体"/>
    </w:rPr>
  </w:style>
  <w:style w:type="paragraph" w:customStyle="1" w:styleId="218">
    <w:name w:val="封面**"/>
    <w:basedOn w:val="212"/>
    <w:qFormat/>
    <w:uiPriority w:val="0"/>
    <w:rPr>
      <w:rFonts w:eastAsia="Times New Roman"/>
      <w:sz w:val="24"/>
      <w:szCs w:val="24"/>
    </w:rPr>
  </w:style>
  <w:style w:type="paragraph" w:customStyle="1" w:styleId="219">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220">
    <w:name w:val="Char2"/>
    <w:basedOn w:val="1"/>
    <w:qFormat/>
    <w:uiPriority w:val="0"/>
    <w:pPr>
      <w:tabs>
        <w:tab w:val="left" w:pos="360"/>
      </w:tabs>
    </w:pPr>
    <w:rPr>
      <w:sz w:val="24"/>
      <w:szCs w:val="24"/>
    </w:rPr>
  </w:style>
  <w:style w:type="paragraph" w:customStyle="1" w:styleId="221">
    <w:name w:val="项目1"/>
    <w:basedOn w:val="1"/>
    <w:qFormat/>
    <w:uiPriority w:val="0"/>
    <w:pPr>
      <w:widowControl/>
      <w:tabs>
        <w:tab w:val="left" w:pos="720"/>
      </w:tabs>
      <w:autoSpaceDE w:val="0"/>
      <w:autoSpaceDN w:val="0"/>
      <w:adjustRightInd w:val="0"/>
      <w:spacing w:line="300" w:lineRule="auto"/>
      <w:ind w:left="720" w:hanging="720"/>
      <w:jc w:val="left"/>
      <w:textAlignment w:val="bottom"/>
    </w:pPr>
    <w:rPr>
      <w:rFonts w:eastAsia="楷体_GB2312"/>
      <w:sz w:val="24"/>
    </w:rPr>
  </w:style>
  <w:style w:type="paragraph" w:customStyle="1" w:styleId="222">
    <w:name w:val="表格列标题"/>
    <w:basedOn w:val="1"/>
    <w:qFormat/>
    <w:uiPriority w:val="0"/>
    <w:pPr>
      <w:autoSpaceDE w:val="0"/>
      <w:autoSpaceDN w:val="0"/>
      <w:adjustRightInd w:val="0"/>
      <w:jc w:val="center"/>
    </w:pPr>
    <w:rPr>
      <w:b/>
    </w:rPr>
  </w:style>
  <w:style w:type="paragraph" w:customStyle="1" w:styleId="223">
    <w:name w:val="a2"/>
    <w:basedOn w:val="1"/>
    <w:qFormat/>
    <w:uiPriority w:val="0"/>
    <w:pPr>
      <w:widowControl/>
      <w:spacing w:beforeAutospacing="1" w:afterAutospacing="1"/>
      <w:jc w:val="left"/>
    </w:pPr>
    <w:rPr>
      <w:rFonts w:ascii="宋体" w:hAnsi="宋体" w:cs="宋体"/>
      <w:sz w:val="24"/>
      <w:szCs w:val="24"/>
    </w:rPr>
  </w:style>
  <w:style w:type="paragraph" w:customStyle="1" w:styleId="224">
    <w:name w:val="Numbered list 2.3"/>
    <w:basedOn w:val="4"/>
    <w:next w:val="1"/>
    <w:qFormat/>
    <w:uiPriority w:val="0"/>
    <w:pPr>
      <w:keepLines w:val="0"/>
      <w:widowControl/>
      <w:tabs>
        <w:tab w:val="left" w:pos="360"/>
        <w:tab w:val="left" w:pos="705"/>
        <w:tab w:val="left" w:pos="1080"/>
      </w:tabs>
      <w:ind w:left="720" w:hanging="720"/>
      <w:jc w:val="left"/>
    </w:pPr>
    <w:rPr>
      <w:rFonts w:ascii="Arial" w:hAnsi="Arial" w:eastAsia="宋体"/>
      <w:b w:val="0"/>
      <w:iCs/>
      <w:sz w:val="28"/>
      <w:szCs w:val="24"/>
    </w:rPr>
  </w:style>
  <w:style w:type="paragraph" w:customStyle="1" w:styleId="225">
    <w:name w:val="大标题"/>
    <w:basedOn w:val="1"/>
    <w:qFormat/>
    <w:uiPriority w:val="0"/>
    <w:pPr>
      <w:jc w:val="center"/>
    </w:pPr>
    <w:rPr>
      <w:rFonts w:ascii="Arial" w:hAnsi="Arial"/>
      <w:b/>
      <w:sz w:val="28"/>
      <w:szCs w:val="24"/>
    </w:rPr>
  </w:style>
  <w:style w:type="paragraph" w:customStyle="1" w:styleId="226">
    <w:name w:val="样式1"/>
    <w:basedOn w:val="5"/>
    <w:qFormat/>
    <w:uiPriority w:val="0"/>
    <w:pPr>
      <w:spacing w:line="360" w:lineRule="auto"/>
    </w:pPr>
  </w:style>
  <w:style w:type="paragraph" w:customStyle="1" w:styleId="227">
    <w:name w:val="*正文_2"/>
    <w:basedOn w:val="228"/>
    <w:next w:val="228"/>
    <w:qFormat/>
    <w:uiPriority w:val="0"/>
    <w:pPr>
      <w:widowControl/>
      <w:ind w:firstLine="482"/>
    </w:pPr>
    <w:rPr>
      <w:rFonts w:ascii="微软雅黑" w:hAnsi="微软雅黑" w:eastAsia="微软雅黑"/>
      <w:kern w:val="0"/>
      <w:szCs w:val="20"/>
    </w:rPr>
  </w:style>
  <w:style w:type="paragraph" w:customStyle="1" w:styleId="228">
    <w:name w:val="正文_1"/>
    <w:next w:val="22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29">
    <w:name w:val="正文首行缩进 2_1"/>
    <w:basedOn w:val="230"/>
    <w:qFormat/>
    <w:uiPriority w:val="0"/>
    <w:pPr>
      <w:spacing w:after="120" w:afterLines="0" w:line="240" w:lineRule="auto"/>
      <w:ind w:left="200" w:leftChars="200" w:firstLine="200" w:firstLineChars="200"/>
    </w:pPr>
    <w:rPr>
      <w:rFonts w:ascii="Calibri" w:hAnsi="Calibri" w:eastAsia="Times New Roman"/>
    </w:rPr>
  </w:style>
  <w:style w:type="paragraph" w:customStyle="1" w:styleId="230">
    <w:name w:val="正文文本缩进_1"/>
    <w:basedOn w:val="228"/>
    <w:unhideWhenUsed/>
    <w:qFormat/>
    <w:uiPriority w:val="0"/>
    <w:pPr>
      <w:widowControl/>
      <w:overflowPunct w:val="0"/>
      <w:autoSpaceDE w:val="0"/>
      <w:autoSpaceDN w:val="0"/>
      <w:adjustRightInd w:val="0"/>
      <w:spacing w:line="360" w:lineRule="auto"/>
      <w:ind w:firstLine="540"/>
    </w:pPr>
    <w:rPr>
      <w:rFonts w:ascii="宋体" w:hAnsi="MS Sans Serif"/>
      <w:spacing w:val="12"/>
      <w:kern w:val="0"/>
      <w:sz w:val="24"/>
      <w:szCs w:val="20"/>
    </w:rPr>
  </w:style>
  <w:style w:type="paragraph" w:customStyle="1" w:styleId="231">
    <w:name w:val="Default_1"/>
    <w:next w:val="228"/>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32">
    <w:name w:val="p0"/>
    <w:basedOn w:val="1"/>
    <w:qFormat/>
    <w:uiPriority w:val="0"/>
    <w:pPr>
      <w:widowControl/>
      <w:spacing w:beforeAutospacing="1" w:afterAutospacing="1"/>
      <w:jc w:val="left"/>
    </w:pPr>
    <w:rPr>
      <w:rFonts w:ascii="宋体" w:cs="宋体"/>
      <w:sz w:val="24"/>
      <w:szCs w:val="24"/>
    </w:rPr>
  </w:style>
  <w:style w:type="paragraph" w:customStyle="1" w:styleId="233">
    <w:name w:val="安徽正文"/>
    <w:basedOn w:val="1"/>
    <w:qFormat/>
    <w:uiPriority w:val="0"/>
    <w:pPr>
      <w:snapToGrid w:val="0"/>
      <w:spacing w:line="312" w:lineRule="auto"/>
      <w:ind w:firstLine="454"/>
    </w:pPr>
    <w:rPr>
      <w:rFonts w:ascii="Century Gothic" w:hAnsi="Century Gothic" w:eastAsia="华康简宋"/>
      <w:smallCaps/>
      <w:snapToGrid w:val="0"/>
      <w:spacing w:val="8"/>
      <w:sz w:val="24"/>
    </w:rPr>
  </w:style>
  <w:style w:type="paragraph" w:customStyle="1" w:styleId="234">
    <w:name w:val="font5"/>
    <w:basedOn w:val="1"/>
    <w:qFormat/>
    <w:uiPriority w:val="0"/>
    <w:pPr>
      <w:widowControl/>
      <w:spacing w:beforeAutospacing="1" w:afterAutospacing="1"/>
      <w:jc w:val="left"/>
    </w:pPr>
    <w:rPr>
      <w:rFonts w:hint="eastAsia" w:ascii="宋体" w:hAnsi="宋体"/>
      <w:sz w:val="24"/>
      <w:szCs w:val="24"/>
    </w:rPr>
  </w:style>
  <w:style w:type="paragraph" w:customStyle="1" w:styleId="235">
    <w:name w:val="样式 三级条文 + 段前: 0.5 行 段后: 0.5 行"/>
    <w:basedOn w:val="1"/>
    <w:qFormat/>
    <w:uiPriority w:val="0"/>
    <w:pPr>
      <w:numPr>
        <w:ilvl w:val="2"/>
        <w:numId w:val="4"/>
      </w:numPr>
      <w:adjustRightInd w:val="0"/>
      <w:snapToGrid w:val="0"/>
      <w:spacing w:line="400" w:lineRule="exact"/>
    </w:pPr>
    <w:rPr>
      <w:sz w:val="24"/>
      <w:szCs w:val="24"/>
    </w:rPr>
  </w:style>
  <w:style w:type="paragraph" w:customStyle="1" w:styleId="236">
    <w:name w:val="样式 正文缩进表正文正文非缩进特点四号段1缩进ALT+Z标题4正文不缩进水上软件正文缩进（首行缩进两字）..."/>
    <w:basedOn w:val="15"/>
    <w:qFormat/>
    <w:uiPriority w:val="0"/>
    <w:pPr>
      <w:spacing w:line="360" w:lineRule="auto"/>
    </w:pPr>
    <w:rPr>
      <w:rFonts w:ascii="Arial" w:hAnsi="Arial" w:eastAsia="宋体" w:cs="宋体"/>
      <w:sz w:val="28"/>
      <w:szCs w:val="28"/>
    </w:rPr>
  </w:style>
  <w:style w:type="paragraph" w:customStyle="1" w:styleId="237">
    <w:name w:val="xl23"/>
    <w:basedOn w:val="1"/>
    <w:qFormat/>
    <w:uiPriority w:val="0"/>
    <w:pPr>
      <w:widowControl/>
      <w:spacing w:beforeAutospacing="1" w:afterAutospacing="1" w:line="360" w:lineRule="auto"/>
    </w:pPr>
    <w:rPr>
      <w:sz w:val="24"/>
      <w:szCs w:val="24"/>
    </w:rPr>
  </w:style>
  <w:style w:type="paragraph" w:customStyle="1" w:styleId="238">
    <w:name w:val="WPS Plain"/>
    <w:qFormat/>
    <w:uiPriority w:val="0"/>
    <w:rPr>
      <w:rFonts w:ascii="Times New Roman" w:hAnsi="Times New Roman" w:eastAsia="宋体" w:cs="Times New Roman"/>
      <w:lang w:val="en-US" w:eastAsia="zh-CN" w:bidi="ar-SA"/>
    </w:rPr>
  </w:style>
  <w:style w:type="paragraph" w:customStyle="1" w:styleId="239">
    <w:name w:val="tableheading"/>
    <w:basedOn w:val="1"/>
    <w:qFormat/>
    <w:uiPriority w:val="0"/>
    <w:pPr>
      <w:widowControl/>
      <w:spacing w:beforeAutospacing="1" w:afterAutospacing="1"/>
      <w:jc w:val="left"/>
    </w:pPr>
    <w:rPr>
      <w:rFonts w:ascii="宋体" w:cs="宋体"/>
      <w:sz w:val="24"/>
      <w:szCs w:val="24"/>
    </w:rPr>
  </w:style>
  <w:style w:type="paragraph" w:customStyle="1" w:styleId="240">
    <w:name w:val="正文文字"/>
    <w:basedOn w:val="1"/>
    <w:qFormat/>
    <w:uiPriority w:val="0"/>
    <w:pPr>
      <w:adjustRightInd w:val="0"/>
      <w:snapToGrid w:val="0"/>
      <w:spacing w:line="360" w:lineRule="auto"/>
      <w:ind w:firstLine="200" w:firstLineChars="200"/>
    </w:pPr>
    <w:rPr>
      <w:rFonts w:ascii="宋体"/>
      <w:snapToGrid w:val="0"/>
      <w:sz w:val="24"/>
      <w:szCs w:val="24"/>
    </w:rPr>
  </w:style>
  <w:style w:type="paragraph" w:customStyle="1" w:styleId="241">
    <w:name w:val="Char1 Char Char Char1"/>
    <w:basedOn w:val="17"/>
    <w:qFormat/>
    <w:uiPriority w:val="0"/>
    <w:pPr>
      <w:spacing w:line="240" w:lineRule="auto"/>
      <w:ind w:firstLine="0" w:firstLineChars="0"/>
    </w:pPr>
    <w:rPr>
      <w:rFonts w:ascii="Tahoma" w:hAnsi="Tahoma"/>
    </w:rPr>
  </w:style>
  <w:style w:type="paragraph" w:customStyle="1" w:styleId="242">
    <w:name w:val="正文（标题4）"/>
    <w:basedOn w:val="1"/>
    <w:qFormat/>
    <w:uiPriority w:val="0"/>
    <w:pPr>
      <w:spacing w:line="360" w:lineRule="auto"/>
      <w:ind w:left="227" w:firstLine="200" w:firstLineChars="200"/>
    </w:pPr>
    <w:rPr>
      <w:sz w:val="24"/>
      <w:szCs w:val="24"/>
    </w:rPr>
  </w:style>
  <w:style w:type="paragraph" w:customStyle="1" w:styleId="243">
    <w:name w:val="标四"/>
    <w:next w:val="1"/>
    <w:qFormat/>
    <w:uiPriority w:val="0"/>
    <w:pPr>
      <w:tabs>
        <w:tab w:val="left" w:pos="420"/>
      </w:tabs>
      <w:spacing w:line="360" w:lineRule="auto"/>
      <w:ind w:left="420" w:hanging="420"/>
      <w:outlineLvl w:val="3"/>
    </w:pPr>
    <w:rPr>
      <w:rFonts w:ascii="仿宋_GB2312" w:hAnsi="Times New Roman" w:eastAsia="仿宋_GB2312" w:cs="Times New Roman"/>
      <w:kern w:val="2"/>
      <w:sz w:val="24"/>
      <w:szCs w:val="24"/>
      <w:lang w:val="en-US" w:eastAsia="zh-CN" w:bidi="ar-SA"/>
    </w:rPr>
  </w:style>
  <w:style w:type="paragraph" w:customStyle="1" w:styleId="244">
    <w:name w:val="tabletext"/>
    <w:basedOn w:val="1"/>
    <w:qFormat/>
    <w:uiPriority w:val="0"/>
    <w:pPr>
      <w:widowControl/>
      <w:spacing w:beforeAutospacing="1" w:afterAutospacing="1"/>
      <w:jc w:val="left"/>
    </w:pPr>
    <w:rPr>
      <w:rFonts w:ascii="宋体" w:cs="宋体"/>
      <w:sz w:val="24"/>
      <w:szCs w:val="24"/>
    </w:rPr>
  </w:style>
  <w:style w:type="paragraph" w:customStyle="1" w:styleId="245">
    <w:name w:val="表格1"/>
    <w:basedOn w:val="1"/>
    <w:qFormat/>
    <w:uiPriority w:val="0"/>
    <w:pPr>
      <w:spacing w:beforeAutospacing="1" w:afterAutospacing="1"/>
    </w:pPr>
    <w:rPr>
      <w:sz w:val="28"/>
      <w:szCs w:val="28"/>
    </w:rPr>
  </w:style>
  <w:style w:type="paragraph" w:customStyle="1" w:styleId="246">
    <w:name w:val="Char Char Char Char Char Char Char Char Char Char Char Char"/>
    <w:basedOn w:val="1"/>
    <w:qFormat/>
    <w:uiPriority w:val="0"/>
    <w:pPr>
      <w:numPr>
        <w:ilvl w:val="2"/>
        <w:numId w:val="5"/>
      </w:numPr>
      <w:spacing w:line="300" w:lineRule="auto"/>
      <w:ind w:left="0" w:firstLine="0"/>
    </w:pPr>
    <w:rPr>
      <w:rFonts w:ascii="宋体"/>
      <w:b/>
      <w:bCs/>
      <w:color w:val="000000"/>
      <w:spacing w:val="8"/>
      <w:sz w:val="24"/>
      <w:szCs w:val="24"/>
    </w:rPr>
  </w:style>
  <w:style w:type="paragraph" w:customStyle="1" w:styleId="247">
    <w:name w:val="默认段落字体 Para Char Char Char Char Char Char Char Char Char Char Char Char Char Char Char Char"/>
    <w:basedOn w:val="1"/>
    <w:qFormat/>
    <w:uiPriority w:val="0"/>
    <w:rPr>
      <w:rFonts w:ascii="Tahoma" w:hAnsi="Tahoma"/>
      <w:sz w:val="24"/>
    </w:rPr>
  </w:style>
  <w:style w:type="paragraph" w:customStyle="1" w:styleId="248">
    <w:name w:val="项目编号"/>
    <w:basedOn w:val="1"/>
    <w:qFormat/>
    <w:uiPriority w:val="0"/>
    <w:pPr>
      <w:tabs>
        <w:tab w:val="left" w:pos="840"/>
      </w:tabs>
      <w:spacing w:line="360" w:lineRule="auto"/>
      <w:ind w:left="840" w:hanging="840"/>
    </w:pPr>
    <w:rPr>
      <w:rFonts w:ascii="宋体"/>
      <w:sz w:val="24"/>
      <w:szCs w:val="24"/>
    </w:rPr>
  </w:style>
  <w:style w:type="paragraph" w:customStyle="1" w:styleId="249">
    <w:name w:val="默认段落字体 Para Char Char Char Char Char Char Char Char Char Char Char Char Char Char Char Char Char Char Char Char Char Char Char Char Char Char Char Char Char"/>
    <w:basedOn w:val="17"/>
    <w:qFormat/>
    <w:uiPriority w:val="0"/>
    <w:pPr>
      <w:spacing w:line="240" w:lineRule="auto"/>
      <w:ind w:firstLine="0" w:firstLineChars="0"/>
    </w:pPr>
    <w:rPr>
      <w:rFonts w:ascii="Tahoma" w:hAnsi="Tahoma"/>
    </w:rPr>
  </w:style>
  <w:style w:type="paragraph" w:customStyle="1" w:styleId="250">
    <w:name w:val="默认段落字体 Para Char Char Char Char Char Char Char Char Char Char"/>
    <w:basedOn w:val="1"/>
    <w:qFormat/>
    <w:uiPriority w:val="0"/>
    <w:pPr>
      <w:tabs>
        <w:tab w:val="right" w:pos="-2120"/>
      </w:tabs>
      <w:snapToGrid w:val="0"/>
    </w:pPr>
    <w:rPr>
      <w:rFonts w:ascii="Tahoma" w:hAnsi="Tahoma"/>
      <w:spacing w:val="6"/>
      <w:sz w:val="24"/>
    </w:rPr>
  </w:style>
  <w:style w:type="paragraph" w:customStyle="1" w:styleId="251">
    <w:name w:val="Char"/>
    <w:basedOn w:val="1"/>
    <w:qFormat/>
    <w:uiPriority w:val="0"/>
    <w:rPr>
      <w:b/>
    </w:rPr>
  </w:style>
  <w:style w:type="paragraph" w:customStyle="1" w:styleId="252">
    <w:name w:val="文字 Char Char Char Char Char Char1 Char Char"/>
    <w:basedOn w:val="1"/>
    <w:qFormat/>
    <w:uiPriority w:val="0"/>
    <w:pPr>
      <w:widowControl/>
      <w:snapToGrid w:val="0"/>
      <w:spacing w:line="360" w:lineRule="auto"/>
      <w:ind w:right="-360"/>
      <w:jc w:val="left"/>
    </w:pPr>
    <w:rPr>
      <w:rFonts w:ascii="Arial" w:hAnsi="Arial"/>
      <w:sz w:val="24"/>
      <w:szCs w:val="24"/>
      <w:lang w:eastAsia="en-US"/>
    </w:rPr>
  </w:style>
  <w:style w:type="paragraph" w:customStyle="1" w:styleId="253">
    <w:name w:val="文档标签"/>
    <w:basedOn w:val="1"/>
    <w:qFormat/>
    <w:uiPriority w:val="0"/>
    <w:pPr>
      <w:keepNext/>
      <w:keepLines/>
      <w:widowControl/>
      <w:overflowPunct w:val="0"/>
      <w:autoSpaceDE w:val="0"/>
      <w:autoSpaceDN w:val="0"/>
      <w:spacing w:line="600" w:lineRule="exact"/>
      <w:ind w:left="660" w:right="720"/>
      <w:jc w:val="left"/>
    </w:pPr>
    <w:rPr>
      <w:spacing w:val="-30"/>
      <w:kern w:val="28"/>
      <w:sz w:val="60"/>
    </w:rPr>
  </w:style>
  <w:style w:type="paragraph" w:customStyle="1" w:styleId="254">
    <w:name w:val="样式2"/>
    <w:basedOn w:val="1"/>
    <w:qFormat/>
    <w:uiPriority w:val="0"/>
    <w:pPr>
      <w:numPr>
        <w:ilvl w:val="0"/>
        <w:numId w:val="6"/>
      </w:numPr>
      <w:spacing w:line="360" w:lineRule="auto"/>
      <w:ind w:left="0" w:firstLine="200" w:firstLineChars="200"/>
    </w:pPr>
    <w:rPr>
      <w:rFonts w:ascii="宋体"/>
      <w:sz w:val="28"/>
      <w:szCs w:val="24"/>
    </w:rPr>
  </w:style>
  <w:style w:type="paragraph" w:customStyle="1" w:styleId="255">
    <w:name w:val="style5"/>
    <w:basedOn w:val="1"/>
    <w:qFormat/>
    <w:uiPriority w:val="0"/>
    <w:pPr>
      <w:widowControl/>
      <w:spacing w:beforeAutospacing="1" w:afterAutospacing="1"/>
      <w:jc w:val="left"/>
    </w:pPr>
    <w:rPr>
      <w:rFonts w:ascii="Arial" w:hAnsi="Arial" w:cs="Arial"/>
    </w:rPr>
  </w:style>
  <w:style w:type="paragraph" w:customStyle="1" w:styleId="256">
    <w:name w:val="Char Char Char Char1 Char Char"/>
    <w:basedOn w:val="1"/>
    <w:qFormat/>
    <w:uiPriority w:val="0"/>
    <w:pPr>
      <w:widowControl/>
      <w:spacing w:line="240" w:lineRule="exact"/>
      <w:jc w:val="left"/>
    </w:pPr>
    <w:rPr>
      <w:rFonts w:ascii="Verdana" w:hAnsi="Verdana"/>
      <w:lang w:eastAsia="en-US"/>
    </w:rPr>
  </w:style>
  <w:style w:type="paragraph" w:customStyle="1" w:styleId="257">
    <w:name w:val="_Style 181"/>
    <w:next w:val="1"/>
    <w:qFormat/>
    <w:uiPriority w:val="0"/>
    <w:pPr>
      <w:widowControl w:val="0"/>
      <w:jc w:val="both"/>
    </w:pPr>
    <w:rPr>
      <w:rFonts w:ascii="仿宋_GB2312" w:hAnsi="Times New Roman" w:eastAsia="仿宋_GB2312" w:cs="Times New Roman"/>
      <w:kern w:val="2"/>
      <w:sz w:val="32"/>
      <w:szCs w:val="32"/>
      <w:lang w:val="en-US" w:eastAsia="zh-CN" w:bidi="ar-SA"/>
    </w:rPr>
  </w:style>
  <w:style w:type="paragraph" w:customStyle="1" w:styleId="258">
    <w:name w:val="È±Ê¡ÎÄ±¾"/>
    <w:basedOn w:val="1"/>
    <w:qFormat/>
    <w:uiPriority w:val="0"/>
    <w:pPr>
      <w:widowControl/>
      <w:overflowPunct w:val="0"/>
      <w:autoSpaceDE w:val="0"/>
      <w:autoSpaceDN w:val="0"/>
      <w:adjustRightInd w:val="0"/>
      <w:spacing w:line="360" w:lineRule="auto"/>
      <w:textAlignment w:val="baseline"/>
    </w:pPr>
  </w:style>
  <w:style w:type="paragraph" w:customStyle="1" w:styleId="259">
    <w:name w:val="封面上部"/>
    <w:basedOn w:val="1"/>
    <w:qFormat/>
    <w:uiPriority w:val="0"/>
    <w:pPr>
      <w:adjustRightInd w:val="0"/>
      <w:spacing w:line="440" w:lineRule="exact"/>
      <w:jc w:val="right"/>
      <w:textAlignment w:val="baseline"/>
    </w:pPr>
    <w:rPr>
      <w:rFonts w:ascii="宋体"/>
      <w:sz w:val="24"/>
      <w:szCs w:val="24"/>
    </w:rPr>
  </w:style>
  <w:style w:type="paragraph" w:customStyle="1" w:styleId="260">
    <w:name w:val="Table Paragraph"/>
    <w:basedOn w:val="1"/>
    <w:qFormat/>
    <w:uiPriority w:val="1"/>
    <w:rPr>
      <w:rFonts w:ascii="宋体" w:hAnsi="宋体" w:cs="宋体"/>
      <w:lang w:val="zh-CN" w:bidi="zh-CN"/>
    </w:rPr>
  </w:style>
  <w:style w:type="paragraph" w:customStyle="1" w:styleId="261">
    <w:name w:val="Option"/>
    <w:basedOn w:val="1"/>
    <w:qFormat/>
    <w:uiPriority w:val="0"/>
    <w:pPr>
      <w:widowControl/>
      <w:tabs>
        <w:tab w:val="left" w:pos="1080"/>
      </w:tabs>
      <w:ind w:left="1080" w:hanging="360"/>
      <w:jc w:val="left"/>
    </w:pPr>
    <w:rPr>
      <w:rFonts w:ascii="Arial" w:hAnsi="Arial"/>
      <w:color w:val="000000"/>
      <w:sz w:val="22"/>
    </w:rPr>
  </w:style>
  <w:style w:type="paragraph" w:customStyle="1" w:styleId="262">
    <w:name w:val="TOC 标题1"/>
    <w:basedOn w:val="2"/>
    <w:next w:val="1"/>
    <w:qFormat/>
    <w:uiPriority w:val="39"/>
    <w:pPr>
      <w:widowControl/>
      <w:jc w:val="left"/>
      <w:outlineLvl w:val="9"/>
    </w:pPr>
    <w:rPr>
      <w:rFonts w:ascii="Cambria" w:hAnsi="Cambria"/>
      <w:b/>
      <w:bCs/>
      <w:kern w:val="32"/>
      <w:sz w:val="32"/>
      <w:szCs w:val="32"/>
      <w:lang w:eastAsia="en-US" w:bidi="en-US"/>
    </w:rPr>
  </w:style>
  <w:style w:type="paragraph" w:customStyle="1" w:styleId="263">
    <w:name w:val="表目录1"/>
    <w:basedOn w:val="1"/>
    <w:qFormat/>
    <w:uiPriority w:val="0"/>
    <w:pPr>
      <w:spacing w:line="300" w:lineRule="auto"/>
    </w:pPr>
    <w:rPr>
      <w:rFonts w:ascii="Tahoma" w:hAnsi="Tahoma"/>
      <w:sz w:val="24"/>
    </w:rPr>
  </w:style>
  <w:style w:type="paragraph" w:customStyle="1" w:styleId="264">
    <w:name w:val="Char Char Char Char1"/>
    <w:basedOn w:val="1"/>
    <w:qFormat/>
    <w:uiPriority w:val="0"/>
    <w:pPr>
      <w:widowControl/>
      <w:snapToGrid w:val="0"/>
      <w:spacing w:line="360" w:lineRule="auto"/>
      <w:jc w:val="left"/>
    </w:pPr>
    <w:rPr>
      <w:sz w:val="24"/>
      <w:szCs w:val="24"/>
      <w:lang w:eastAsia="en-US"/>
    </w:rPr>
  </w:style>
  <w:style w:type="paragraph" w:customStyle="1" w:styleId="265">
    <w:name w:val="Item Step in Table"/>
    <w:qFormat/>
    <w:uiPriority w:val="0"/>
    <w:pPr>
      <w:tabs>
        <w:tab w:val="left" w:pos="360"/>
      </w:tabs>
      <w:spacing w:before="40" w:after="40"/>
      <w:ind w:left="360" w:hanging="360"/>
      <w:jc w:val="both"/>
    </w:pPr>
    <w:rPr>
      <w:rFonts w:ascii="Arial" w:hAnsi="Arial" w:eastAsia="宋体" w:cs="Arial"/>
      <w:sz w:val="18"/>
      <w:szCs w:val="18"/>
      <w:lang w:val="en-US" w:eastAsia="zh-CN" w:bidi="ar-SA"/>
    </w:rPr>
  </w:style>
  <w:style w:type="paragraph" w:customStyle="1" w:styleId="266">
    <w:name w:val="样式7"/>
    <w:basedOn w:val="1"/>
    <w:qFormat/>
    <w:uiPriority w:val="0"/>
    <w:pPr>
      <w:tabs>
        <w:tab w:val="left" w:pos="0"/>
      </w:tabs>
      <w:adjustRightInd w:val="0"/>
      <w:spacing w:beforeLines="50" w:afterLines="50" w:line="360" w:lineRule="auto"/>
      <w:ind w:firstLine="669"/>
      <w:textAlignment w:val="baseline"/>
    </w:pPr>
    <w:rPr>
      <w:rFonts w:ascii="宋体"/>
      <w:sz w:val="28"/>
    </w:rPr>
  </w:style>
  <w:style w:type="paragraph" w:customStyle="1" w:styleId="267">
    <w:name w:val="文件正文版式"/>
    <w:basedOn w:val="1"/>
    <w:qFormat/>
    <w:uiPriority w:val="0"/>
    <w:pPr>
      <w:numPr>
        <w:ilvl w:val="0"/>
        <w:numId w:val="7"/>
      </w:numPr>
      <w:ind w:left="0" w:firstLine="0"/>
    </w:pPr>
    <w:rPr>
      <w:rFonts w:ascii="宋体"/>
      <w:b/>
    </w:rPr>
  </w:style>
  <w:style w:type="paragraph" w:customStyle="1" w:styleId="268">
    <w:name w:val="±íÏî"/>
    <w:basedOn w:val="1"/>
    <w:qFormat/>
    <w:uiPriority w:val="0"/>
    <w:pPr>
      <w:widowControl/>
      <w:overflowPunct w:val="0"/>
      <w:autoSpaceDE w:val="0"/>
      <w:autoSpaceDN w:val="0"/>
      <w:adjustRightInd w:val="0"/>
      <w:spacing w:line="300" w:lineRule="auto"/>
      <w:jc w:val="center"/>
      <w:textAlignment w:val="baseline"/>
    </w:pPr>
    <w:rPr>
      <w:sz w:val="18"/>
    </w:rPr>
  </w:style>
  <w:style w:type="paragraph" w:customStyle="1" w:styleId="269">
    <w:name w:val="列出段落1"/>
    <w:basedOn w:val="1"/>
    <w:qFormat/>
    <w:uiPriority w:val="0"/>
    <w:pPr>
      <w:widowControl/>
      <w:spacing w:line="300" w:lineRule="auto"/>
      <w:ind w:firstLine="200" w:firstLineChars="200"/>
    </w:pPr>
    <w:rPr>
      <w:rFonts w:ascii="Arial" w:hAnsi="Arial"/>
      <w:sz w:val="18"/>
    </w:rPr>
  </w:style>
  <w:style w:type="paragraph" w:customStyle="1" w:styleId="270">
    <w:name w:val="列表内容"/>
    <w:basedOn w:val="1"/>
    <w:next w:val="1"/>
    <w:qFormat/>
    <w:uiPriority w:val="0"/>
    <w:pPr>
      <w:widowControl/>
      <w:tabs>
        <w:tab w:val="left" w:pos="360"/>
      </w:tabs>
      <w:ind w:left="360" w:hanging="360"/>
      <w:jc w:val="left"/>
    </w:pPr>
    <w:rPr>
      <w:sz w:val="18"/>
      <w:szCs w:val="24"/>
    </w:rPr>
  </w:style>
  <w:style w:type="paragraph" w:customStyle="1" w:styleId="271">
    <w:name w:val="表格文本"/>
    <w:basedOn w:val="1"/>
    <w:qFormat/>
    <w:uiPriority w:val="0"/>
    <w:pPr>
      <w:tabs>
        <w:tab w:val="decimal" w:pos="0"/>
      </w:tabs>
      <w:autoSpaceDE w:val="0"/>
      <w:autoSpaceDN w:val="0"/>
      <w:adjustRightInd w:val="0"/>
      <w:jc w:val="left"/>
    </w:pPr>
    <w:rPr>
      <w:rFonts w:ascii="Arial" w:hAnsi="Arial"/>
      <w:szCs w:val="21"/>
    </w:rPr>
  </w:style>
  <w:style w:type="paragraph" w:customStyle="1" w:styleId="272">
    <w:name w:val="Char1 Char Char Char Char Char Char1"/>
    <w:basedOn w:val="1"/>
    <w:qFormat/>
    <w:uiPriority w:val="0"/>
    <w:rPr>
      <w:rFonts w:ascii="Tahoma" w:hAnsi="Tahoma"/>
      <w:sz w:val="24"/>
    </w:rPr>
  </w:style>
  <w:style w:type="paragraph" w:customStyle="1" w:styleId="273">
    <w:name w:val="Char11"/>
    <w:basedOn w:val="17"/>
    <w:qFormat/>
    <w:uiPriority w:val="0"/>
    <w:pPr>
      <w:spacing w:line="240" w:lineRule="auto"/>
      <w:ind w:firstLine="0" w:firstLineChars="0"/>
    </w:pPr>
    <w:rPr>
      <w:rFonts w:ascii="Tahoma" w:hAnsi="Tahoma"/>
    </w:rPr>
  </w:style>
  <w:style w:type="paragraph" w:customStyle="1" w:styleId="274">
    <w:name w:val="样式 Verdana 首行缩进:  0.74 厘米"/>
    <w:basedOn w:val="1"/>
    <w:qFormat/>
    <w:uiPriority w:val="0"/>
    <w:pPr>
      <w:spacing w:line="360" w:lineRule="auto"/>
      <w:ind w:firstLine="420"/>
    </w:pPr>
    <w:rPr>
      <w:rFonts w:ascii="Verdana" w:hAnsi="Verdana" w:cs="宋体"/>
      <w:sz w:val="24"/>
    </w:rPr>
  </w:style>
  <w:style w:type="paragraph" w:customStyle="1" w:styleId="275">
    <w:name w:val="*正文_0"/>
    <w:basedOn w:val="276"/>
    <w:next w:val="276"/>
    <w:qFormat/>
    <w:uiPriority w:val="0"/>
    <w:pPr>
      <w:widowControl/>
      <w:ind w:firstLine="482"/>
    </w:pPr>
    <w:rPr>
      <w:rFonts w:ascii="微软雅黑" w:hAnsi="微软雅黑" w:eastAsia="微软雅黑"/>
      <w:kern w:val="0"/>
      <w:szCs w:val="20"/>
    </w:rPr>
  </w:style>
  <w:style w:type="paragraph" w:customStyle="1" w:styleId="276">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7">
    <w:name w:val="正文_2"/>
    <w:next w:val="231"/>
    <w:qFormat/>
    <w:uiPriority w:val="0"/>
    <w:pPr>
      <w:widowControl w:val="0"/>
      <w:jc w:val="both"/>
    </w:pPr>
    <w:rPr>
      <w:rFonts w:ascii="Times New Roman" w:hAnsi="Times New Roman" w:eastAsia="宋体" w:cs="Times New Roman"/>
      <w:lang w:val="en-US" w:eastAsia="zh-CN" w:bidi="ar-SA"/>
    </w:rPr>
  </w:style>
  <w:style w:type="paragraph" w:customStyle="1" w:styleId="278">
    <w:name w:val="样式 标题 2PIM2H2Heading 2 HiddenHeading 2 CCBSheading 2Titre3..."/>
    <w:basedOn w:val="3"/>
    <w:qFormat/>
    <w:uiPriority w:val="0"/>
    <w:pPr>
      <w:tabs>
        <w:tab w:val="left" w:pos="840"/>
      </w:tabs>
      <w:adjustRightInd w:val="0"/>
      <w:ind w:left="-171" w:leftChars="-171"/>
      <w:textAlignment w:val="baseline"/>
    </w:pPr>
    <w:rPr>
      <w:rFonts w:ascii="仿宋_GB2312" w:eastAsia="仿宋_GB2312"/>
      <w:b w:val="0"/>
      <w:bCs w:val="0"/>
      <w:i/>
      <w:iCs/>
    </w:rPr>
  </w:style>
  <w:style w:type="paragraph" w:customStyle="1" w:styleId="279">
    <w:name w:val="Char1 Char Char Char Char Char Char"/>
    <w:basedOn w:val="1"/>
    <w:qFormat/>
    <w:uiPriority w:val="0"/>
    <w:rPr>
      <w:rFonts w:ascii="Tahoma" w:hAnsi="Tahoma"/>
      <w:sz w:val="24"/>
    </w:rPr>
  </w:style>
  <w:style w:type="paragraph" w:customStyle="1" w:styleId="280">
    <w:name w:val="a14"/>
    <w:basedOn w:val="1"/>
    <w:qFormat/>
    <w:uiPriority w:val="0"/>
    <w:pPr>
      <w:widowControl/>
      <w:spacing w:beforeAutospacing="1" w:afterAutospacing="1" w:line="257" w:lineRule="atLeast"/>
      <w:ind w:firstLine="321"/>
      <w:jc w:val="left"/>
    </w:pPr>
    <w:rPr>
      <w:rFonts w:ascii="宋体"/>
      <w:sz w:val="18"/>
      <w:szCs w:val="18"/>
    </w:rPr>
  </w:style>
  <w:style w:type="paragraph" w:customStyle="1" w:styleId="281">
    <w:name w:val="reader-word-layer"/>
    <w:basedOn w:val="1"/>
    <w:qFormat/>
    <w:uiPriority w:val="0"/>
    <w:pPr>
      <w:widowControl/>
      <w:spacing w:beforeAutospacing="1" w:afterAutospacing="1"/>
      <w:jc w:val="left"/>
    </w:pPr>
    <w:rPr>
      <w:rFonts w:ascii="宋体" w:hAnsi="宋体" w:cs="宋体"/>
      <w:sz w:val="24"/>
      <w:szCs w:val="24"/>
    </w:rPr>
  </w:style>
  <w:style w:type="paragraph" w:customStyle="1" w:styleId="282">
    <w:name w:val="Pa10"/>
    <w:basedOn w:val="1"/>
    <w:next w:val="1"/>
    <w:qFormat/>
    <w:uiPriority w:val="0"/>
    <w:pPr>
      <w:autoSpaceDE w:val="0"/>
      <w:autoSpaceDN w:val="0"/>
      <w:adjustRightInd w:val="0"/>
      <w:spacing w:line="141" w:lineRule="atLeast"/>
      <w:jc w:val="left"/>
    </w:pPr>
    <w:rPr>
      <w:rFonts w:ascii="方正黑体简体" w:eastAsia="方正黑体简体"/>
      <w:sz w:val="24"/>
      <w:szCs w:val="24"/>
    </w:rPr>
  </w:style>
  <w:style w:type="paragraph" w:customStyle="1" w:styleId="283">
    <w:name w:val="（1）项目编号"/>
    <w:basedOn w:val="211"/>
    <w:qFormat/>
    <w:uiPriority w:val="0"/>
    <w:pPr>
      <w:tabs>
        <w:tab w:val="left" w:pos="360"/>
        <w:tab w:val="left" w:pos="780"/>
        <w:tab w:val="clear" w:pos="0"/>
      </w:tabs>
      <w:ind w:left="840" w:hanging="360"/>
    </w:pPr>
  </w:style>
  <w:style w:type="paragraph" w:customStyle="1" w:styleId="284">
    <w:name w:val="目录"/>
    <w:basedOn w:val="1"/>
    <w:next w:val="1"/>
    <w:qFormat/>
    <w:uiPriority w:val="0"/>
    <w:pPr>
      <w:adjustRightInd w:val="0"/>
      <w:spacing w:line="300" w:lineRule="auto"/>
      <w:jc w:val="center"/>
      <w:textAlignment w:val="baseline"/>
    </w:pPr>
    <w:rPr>
      <w:rFonts w:ascii="宋体" w:hAnsi="宋体" w:eastAsia="黑体"/>
      <w:spacing w:val="20"/>
    </w:rPr>
  </w:style>
  <w:style w:type="paragraph" w:customStyle="1" w:styleId="285">
    <w:name w:val="Char Char Char Char Char Char Char Char Char Char Char Char Char Char Char Char"/>
    <w:basedOn w:val="1"/>
    <w:qFormat/>
    <w:uiPriority w:val="0"/>
    <w:pPr>
      <w:tabs>
        <w:tab w:val="left" w:pos="360"/>
      </w:tabs>
    </w:pPr>
    <w:rPr>
      <w:sz w:val="24"/>
      <w:szCs w:val="24"/>
    </w:rPr>
  </w:style>
  <w:style w:type="paragraph" w:customStyle="1" w:styleId="286">
    <w:name w:val="Char Char"/>
    <w:basedOn w:val="1"/>
    <w:qFormat/>
    <w:uiPriority w:val="0"/>
    <w:pPr>
      <w:widowControl/>
      <w:spacing w:after="160" w:line="240" w:lineRule="exact"/>
      <w:jc w:val="left"/>
    </w:pPr>
    <w:rPr>
      <w:rFonts w:ascii="Verdana" w:hAnsi="Verdana"/>
      <w:lang w:eastAsia="en-US"/>
    </w:rPr>
  </w:style>
  <w:style w:type="paragraph" w:customStyle="1" w:styleId="287">
    <w:name w:val="ZW"/>
    <w:basedOn w:val="1"/>
    <w:qFormat/>
    <w:uiPriority w:val="0"/>
    <w:pPr>
      <w:widowControl/>
      <w:topLinePunct/>
      <w:spacing w:line="360" w:lineRule="auto"/>
      <w:ind w:firstLine="425" w:firstLineChars="200"/>
    </w:pPr>
    <w:rPr>
      <w:spacing w:val="8"/>
      <w:sz w:val="24"/>
    </w:rPr>
  </w:style>
  <w:style w:type="paragraph" w:customStyle="1" w:styleId="288">
    <w:name w:val="标书正文"/>
    <w:basedOn w:val="24"/>
    <w:qFormat/>
    <w:uiPriority w:val="0"/>
    <w:pPr>
      <w:widowControl/>
      <w:spacing w:beforeLines="50" w:afterLines="50" w:line="400" w:lineRule="exact"/>
      <w:ind w:firstLine="200" w:firstLineChars="200"/>
    </w:pPr>
    <w:rPr>
      <w:rFonts w:ascii="黑体" w:hAnsi="黑体" w:eastAsia="宋体"/>
      <w:kern w:val="0"/>
      <w:sz w:val="24"/>
      <w:szCs w:val="20"/>
    </w:rPr>
  </w:style>
  <w:style w:type="paragraph" w:customStyle="1" w:styleId="289">
    <w:name w:val="alta"/>
    <w:basedOn w:val="1"/>
    <w:qFormat/>
    <w:uiPriority w:val="0"/>
    <w:pPr>
      <w:widowControl/>
      <w:spacing w:beforeAutospacing="1" w:afterAutospacing="1"/>
      <w:jc w:val="left"/>
    </w:pPr>
    <w:rPr>
      <w:rFonts w:ascii="宋体" w:cs="宋体"/>
      <w:sz w:val="24"/>
      <w:szCs w:val="24"/>
    </w:rPr>
  </w:style>
  <w:style w:type="paragraph" w:customStyle="1" w:styleId="290">
    <w:name w:val="五号正文（标准）"/>
    <w:basedOn w:val="1"/>
    <w:qFormat/>
    <w:uiPriority w:val="0"/>
    <w:pPr>
      <w:numPr>
        <w:ilvl w:val="3"/>
        <w:numId w:val="8"/>
      </w:numPr>
      <w:spacing w:line="360" w:lineRule="auto"/>
      <w:ind w:left="0" w:firstLine="200" w:firstLineChars="200"/>
    </w:pPr>
    <w:rPr>
      <w:rFonts w:ascii="宋体"/>
      <w:sz w:val="24"/>
      <w:szCs w:val="24"/>
    </w:rPr>
  </w:style>
  <w:style w:type="paragraph" w:customStyle="1" w:styleId="291">
    <w:name w:val="±íÉí"/>
    <w:basedOn w:val="1"/>
    <w:qFormat/>
    <w:uiPriority w:val="0"/>
    <w:pPr>
      <w:widowControl/>
      <w:overflowPunct w:val="0"/>
      <w:autoSpaceDE w:val="0"/>
      <w:autoSpaceDN w:val="0"/>
      <w:adjustRightInd w:val="0"/>
      <w:spacing w:line="300" w:lineRule="auto"/>
      <w:jc w:val="left"/>
      <w:textAlignment w:val="baseline"/>
    </w:pPr>
    <w:rPr>
      <w:sz w:val="18"/>
    </w:rPr>
  </w:style>
  <w:style w:type="paragraph" w:customStyle="1" w:styleId="292">
    <w:name w:val="样式 标题 1h1H1Heading 0Section HeadHeader11st levell1第*部分第..."/>
    <w:basedOn w:val="1"/>
    <w:qFormat/>
    <w:uiPriority w:val="0"/>
    <w:pPr>
      <w:tabs>
        <w:tab w:val="left" w:pos="720"/>
      </w:tabs>
      <w:ind w:left="720" w:hanging="720"/>
    </w:pPr>
    <w:rPr>
      <w:szCs w:val="24"/>
    </w:rPr>
  </w:style>
  <w:style w:type="paragraph" w:customStyle="1" w:styleId="293">
    <w:name w:val="正文（绿盟科技）"/>
    <w:qFormat/>
    <w:uiPriority w:val="0"/>
    <w:pPr>
      <w:spacing w:line="300" w:lineRule="auto"/>
    </w:pPr>
    <w:rPr>
      <w:rFonts w:ascii="Arial" w:hAnsi="Arial" w:eastAsia="宋体" w:cs="Times New Roman"/>
      <w:sz w:val="21"/>
      <w:szCs w:val="21"/>
      <w:lang w:val="en-US" w:eastAsia="zh-CN" w:bidi="ar-SA"/>
    </w:rPr>
  </w:style>
  <w:style w:type="paragraph" w:customStyle="1" w:styleId="294">
    <w:name w:val="Char Char1 Char Char Char Char Char Char Char Char Char Char Char Char Char Char Char"/>
    <w:basedOn w:val="1"/>
    <w:qFormat/>
    <w:uiPriority w:val="0"/>
    <w:pPr>
      <w:widowControl/>
      <w:spacing w:line="240" w:lineRule="exact"/>
      <w:jc w:val="left"/>
    </w:pPr>
    <w:rPr>
      <w:rFonts w:ascii="Verdana" w:hAnsi="Verdana"/>
      <w:lang w:eastAsia="en-US"/>
    </w:rPr>
  </w:style>
  <w:style w:type="paragraph" w:customStyle="1" w:styleId="295">
    <w:name w:val="5号"/>
    <w:qFormat/>
    <w:uiPriority w:val="0"/>
    <w:rPr>
      <w:rFonts w:ascii="Times New Roman" w:hAnsi="Times New Roman" w:eastAsia="宋体" w:cs="Times New Roman"/>
      <w:sz w:val="21"/>
      <w:lang w:val="en-US" w:eastAsia="zh-CN" w:bidi="ar-SA"/>
    </w:rPr>
  </w:style>
  <w:style w:type="paragraph" w:customStyle="1" w:styleId="296">
    <w:name w:val="Char1"/>
    <w:basedOn w:val="17"/>
    <w:qFormat/>
    <w:uiPriority w:val="0"/>
    <w:pPr>
      <w:spacing w:line="240" w:lineRule="auto"/>
      <w:ind w:firstLine="0" w:firstLineChars="0"/>
    </w:pPr>
    <w:rPr>
      <w:rFonts w:ascii="Tahoma" w:hAnsi="Tahoma"/>
    </w:rPr>
  </w:style>
  <w:style w:type="paragraph" w:customStyle="1" w:styleId="297">
    <w:name w:val="样式 标题 +"/>
    <w:basedOn w:val="1"/>
    <w:qFormat/>
    <w:uiPriority w:val="0"/>
    <w:pPr>
      <w:widowControl/>
      <w:autoSpaceDE w:val="0"/>
      <w:autoSpaceDN w:val="0"/>
      <w:adjustRightInd w:val="0"/>
      <w:spacing w:line="360" w:lineRule="auto"/>
      <w:jc w:val="center"/>
      <w:outlineLvl w:val="0"/>
    </w:pPr>
    <w:rPr>
      <w:rFonts w:ascii="Arial" w:hAnsi="Arial" w:eastAsia="黑体"/>
      <w:color w:val="000000"/>
      <w:sz w:val="44"/>
    </w:rPr>
  </w:style>
  <w:style w:type="paragraph" w:customStyle="1" w:styleId="298">
    <w:name w:val="*正文_1"/>
    <w:basedOn w:val="228"/>
    <w:next w:val="228"/>
    <w:qFormat/>
    <w:uiPriority w:val="0"/>
    <w:pPr>
      <w:widowControl/>
      <w:ind w:firstLine="482"/>
    </w:pPr>
    <w:rPr>
      <w:rFonts w:ascii="微软雅黑" w:hAnsi="微软雅黑" w:eastAsia="微软雅黑"/>
      <w:kern w:val="0"/>
      <w:szCs w:val="20"/>
    </w:rPr>
  </w:style>
  <w:style w:type="paragraph" w:customStyle="1" w:styleId="299">
    <w:name w:val="样式3"/>
    <w:basedOn w:val="3"/>
    <w:qFormat/>
    <w:uiPriority w:val="0"/>
    <w:pPr>
      <w:tabs>
        <w:tab w:val="left" w:pos="0"/>
        <w:tab w:val="left" w:pos="840"/>
      </w:tabs>
      <w:spacing w:line="360" w:lineRule="auto"/>
      <w:ind w:left="420" w:hanging="420"/>
    </w:pPr>
    <w:rPr>
      <w:i/>
      <w:iCs/>
    </w:rPr>
  </w:style>
  <w:style w:type="paragraph" w:customStyle="1" w:styleId="300">
    <w:name w:val="Char Char Char Char"/>
    <w:basedOn w:val="1"/>
    <w:qFormat/>
    <w:uiPriority w:val="0"/>
    <w:pPr>
      <w:widowControl/>
      <w:spacing w:line="400" w:lineRule="exact"/>
      <w:jc w:val="center"/>
    </w:pPr>
    <w:rPr>
      <w:rFonts w:ascii="Verdana" w:hAnsi="Verdana"/>
      <w:lang w:eastAsia="en-US"/>
    </w:rPr>
  </w:style>
  <w:style w:type="paragraph" w:customStyle="1" w:styleId="301">
    <w:name w:val="CM74"/>
    <w:basedOn w:val="1"/>
    <w:next w:val="1"/>
    <w:qFormat/>
    <w:uiPriority w:val="99"/>
    <w:pPr>
      <w:autoSpaceDE w:val="0"/>
      <w:autoSpaceDN w:val="0"/>
      <w:adjustRightInd w:val="0"/>
      <w:spacing w:after="105"/>
      <w:jc w:val="left"/>
    </w:pPr>
    <w:rPr>
      <w:rFonts w:ascii="黑体" w:hAnsi="Calibri" w:eastAsia="黑体"/>
      <w:sz w:val="24"/>
      <w:szCs w:val="24"/>
    </w:rPr>
  </w:style>
  <w:style w:type="paragraph" w:customStyle="1" w:styleId="302">
    <w:name w:val="正文加粗"/>
    <w:basedOn w:val="1"/>
    <w:qFormat/>
    <w:uiPriority w:val="0"/>
    <w:pPr>
      <w:widowControl/>
      <w:spacing w:line="360" w:lineRule="auto"/>
      <w:ind w:firstLine="200" w:firstLineChars="200"/>
      <w:jc w:val="left"/>
    </w:pPr>
    <w:rPr>
      <w:rFonts w:ascii="Arial" w:hAnsi="Arial"/>
      <w:b/>
      <w:sz w:val="24"/>
    </w:rPr>
  </w:style>
  <w:style w:type="paragraph" w:customStyle="1" w:styleId="303">
    <w:name w:val="公文标题 4"/>
    <w:basedOn w:val="203"/>
    <w:next w:val="1"/>
    <w:qFormat/>
    <w:uiPriority w:val="0"/>
    <w:pPr>
      <w:ind w:left="1599"/>
      <w:outlineLvl w:val="9"/>
    </w:pPr>
  </w:style>
  <w:style w:type="paragraph" w:customStyle="1" w:styleId="304">
    <w:name w:val="Char Char Char Char Char Char Char"/>
    <w:basedOn w:val="1"/>
    <w:qFormat/>
    <w:uiPriority w:val="0"/>
    <w:rPr>
      <w:szCs w:val="24"/>
    </w:rPr>
  </w:style>
  <w:style w:type="paragraph" w:customStyle="1" w:styleId="305">
    <w:name w:val="首行缩进:  2 字符 + 首行缩进:  2 字符 + 首行缩进:  2 字符"/>
    <w:basedOn w:val="1"/>
    <w:qFormat/>
    <w:uiPriority w:val="0"/>
    <w:pPr>
      <w:spacing w:line="400" w:lineRule="atLeast"/>
      <w:ind w:firstLine="200" w:firstLineChars="200"/>
    </w:pPr>
  </w:style>
  <w:style w:type="paragraph" w:customStyle="1" w:styleId="306">
    <w:name w:val="Char1 Char Char Char Char Char Char2"/>
    <w:basedOn w:val="1"/>
    <w:qFormat/>
    <w:uiPriority w:val="0"/>
    <w:pPr>
      <w:numPr>
        <w:ilvl w:val="0"/>
        <w:numId w:val="9"/>
      </w:numPr>
      <w:ind w:left="0" w:firstLine="0"/>
    </w:pPr>
    <w:rPr>
      <w:rFonts w:ascii="Tahoma" w:hAnsi="Tahoma"/>
      <w:sz w:val="24"/>
    </w:rPr>
  </w:style>
  <w:style w:type="paragraph" w:customStyle="1" w:styleId="307">
    <w:name w:val="表居中"/>
    <w:basedOn w:val="15"/>
    <w:qFormat/>
    <w:uiPriority w:val="0"/>
    <w:pPr>
      <w:spacing w:line="360" w:lineRule="auto"/>
      <w:ind w:firstLine="0"/>
      <w:jc w:val="center"/>
    </w:pPr>
    <w:rPr>
      <w:rFonts w:ascii="宋体" w:eastAsia="宋体"/>
      <w:kern w:val="0"/>
      <w:sz w:val="24"/>
      <w:szCs w:val="24"/>
    </w:rPr>
  </w:style>
  <w:style w:type="paragraph" w:customStyle="1" w:styleId="308">
    <w:name w:val="封面下部"/>
    <w:basedOn w:val="1"/>
    <w:qFormat/>
    <w:uiPriority w:val="0"/>
    <w:pPr>
      <w:adjustRightInd w:val="0"/>
      <w:spacing w:line="520" w:lineRule="exact"/>
      <w:jc w:val="left"/>
      <w:textAlignment w:val="baseline"/>
    </w:pPr>
    <w:rPr>
      <w:rFonts w:ascii="宋体" w:eastAsia="黑体"/>
    </w:rPr>
  </w:style>
  <w:style w:type="paragraph" w:customStyle="1" w:styleId="309">
    <w:name w:val="加点"/>
    <w:basedOn w:val="1"/>
    <w:qFormat/>
    <w:uiPriority w:val="0"/>
    <w:pPr>
      <w:spacing w:line="360" w:lineRule="auto"/>
    </w:pPr>
    <w:rPr>
      <w:rFonts w:eastAsia="楷体_GB2312"/>
      <w:sz w:val="24"/>
    </w:rPr>
  </w:style>
  <w:style w:type="paragraph" w:customStyle="1" w:styleId="310">
    <w:name w:val="Char4"/>
    <w:basedOn w:val="1"/>
    <w:qFormat/>
    <w:uiPriority w:val="0"/>
    <w:rPr>
      <w:b/>
    </w:rPr>
  </w:style>
  <w:style w:type="paragraph" w:customStyle="1" w:styleId="311">
    <w:name w:val="标准1 段落"/>
    <w:basedOn w:val="1"/>
    <w:qFormat/>
    <w:uiPriority w:val="0"/>
    <w:pPr>
      <w:tabs>
        <w:tab w:val="left" w:pos="360"/>
      </w:tabs>
      <w:spacing w:beforeLines="50" w:line="360" w:lineRule="auto"/>
      <w:ind w:left="360" w:hanging="360"/>
    </w:pPr>
    <w:rPr>
      <w:sz w:val="24"/>
      <w:szCs w:val="24"/>
    </w:rPr>
  </w:style>
  <w:style w:type="paragraph" w:customStyle="1" w:styleId="312">
    <w:name w:val="p2"/>
    <w:basedOn w:val="1"/>
    <w:qFormat/>
    <w:uiPriority w:val="0"/>
    <w:pPr>
      <w:widowControl/>
      <w:spacing w:line="360" w:lineRule="auto"/>
      <w:ind w:left="480" w:right="640" w:firstLine="560"/>
      <w:jc w:val="left"/>
    </w:pPr>
    <w:rPr>
      <w:rFonts w:ascii="宋体" w:cs="宋体"/>
      <w:sz w:val="28"/>
      <w:szCs w:val="28"/>
    </w:rPr>
  </w:style>
  <w:style w:type="paragraph" w:customStyle="1" w:styleId="313">
    <w:name w:val="列出段落3"/>
    <w:basedOn w:val="1"/>
    <w:qFormat/>
    <w:uiPriority w:val="34"/>
    <w:pPr>
      <w:widowControl/>
      <w:ind w:left="720"/>
      <w:contextualSpacing/>
      <w:jc w:val="left"/>
    </w:pPr>
    <w:rPr>
      <w:rFonts w:ascii="Calibri" w:hAnsi="Calibri"/>
      <w:sz w:val="24"/>
      <w:szCs w:val="24"/>
      <w:lang w:eastAsia="en-US" w:bidi="en-US"/>
    </w:rPr>
  </w:style>
  <w:style w:type="paragraph" w:customStyle="1" w:styleId="314">
    <w:name w:val="图"/>
    <w:basedOn w:val="1"/>
    <w:qFormat/>
    <w:uiPriority w:val="0"/>
    <w:pPr>
      <w:keepNext/>
      <w:adjustRightInd w:val="0"/>
      <w:spacing w:before="60" w:after="60" w:line="300" w:lineRule="auto"/>
      <w:jc w:val="center"/>
      <w:textAlignment w:val="center"/>
    </w:pPr>
    <w:rPr>
      <w:snapToGrid w:val="0"/>
      <w:spacing w:val="20"/>
      <w:sz w:val="24"/>
    </w:rPr>
  </w:style>
  <w:style w:type="paragraph" w:customStyle="1" w:styleId="315">
    <w:name w:val="列出段落4"/>
    <w:basedOn w:val="1"/>
    <w:qFormat/>
    <w:uiPriority w:val="0"/>
    <w:pPr>
      <w:ind w:firstLine="420" w:firstLineChars="200"/>
    </w:pPr>
    <w:rPr>
      <w:rFonts w:ascii="Calibri" w:hAnsi="Calibri"/>
      <w:sz w:val="21"/>
      <w:szCs w:val="22"/>
    </w:rPr>
  </w:style>
  <w:style w:type="paragraph" w:customStyle="1" w:styleId="316">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7">
    <w:name w:val="正文_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18">
    <w:name w:val="Normal_10"/>
    <w:qFormat/>
    <w:uiPriority w:val="0"/>
    <w:rPr>
      <w:rFonts w:ascii="黑体" w:hAnsi="黑体" w:eastAsia="黑体" w:cs="Times New Roman"/>
      <w:b/>
      <w:sz w:val="32"/>
      <w:szCs w:val="24"/>
      <w:lang w:val="en-US" w:eastAsia="zh-CN" w:bidi="ar-SA"/>
    </w:rPr>
  </w:style>
  <w:style w:type="paragraph" w:customStyle="1" w:styleId="319">
    <w:name w:val="正文_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20">
    <w:name w:val="Normal_23"/>
    <w:qFormat/>
    <w:uiPriority w:val="0"/>
    <w:rPr>
      <w:rFonts w:ascii="Times New Roman" w:hAnsi="Times New Roman" w:eastAsia="Times New Roman" w:cs="Times New Roman"/>
      <w:sz w:val="24"/>
      <w:szCs w:val="24"/>
      <w:lang w:val="en-US" w:eastAsia="zh-CN" w:bidi="ar-SA"/>
    </w:rPr>
  </w:style>
  <w:style w:type="paragraph" w:customStyle="1" w:styleId="321">
    <w:name w:val="正文_20"/>
    <w:next w:val="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22">
    <w:name w:val="Normal_6"/>
    <w:qFormat/>
    <w:uiPriority w:val="0"/>
    <w:rPr>
      <w:rFonts w:ascii="黑体" w:hAnsi="黑体" w:eastAsia="黑体" w:cs="Times New Roman"/>
      <w:b/>
      <w:sz w:val="32"/>
      <w:szCs w:val="24"/>
      <w:lang w:val="en-US" w:eastAsia="zh-CN" w:bidi="ar-SA"/>
    </w:rPr>
  </w:style>
  <w:style w:type="paragraph" w:customStyle="1" w:styleId="323">
    <w:name w:val="*正文_2_0"/>
    <w:basedOn w:val="1"/>
    <w:next w:val="1"/>
    <w:qFormat/>
    <w:uiPriority w:val="0"/>
    <w:pPr>
      <w:widowControl/>
      <w:ind w:firstLine="482"/>
    </w:pPr>
    <w:rPr>
      <w:rFonts w:ascii="微软雅黑" w:hAnsi="微软雅黑" w:eastAsia="微软雅黑"/>
      <w:sz w:val="21"/>
    </w:rPr>
  </w:style>
  <w:style w:type="paragraph" w:customStyle="1" w:styleId="324">
    <w:name w:val="标题 3_0"/>
    <w:basedOn w:val="228"/>
    <w:next w:val="228"/>
    <w:qFormat/>
    <w:uiPriority w:val="0"/>
    <w:pPr>
      <w:keepNext/>
      <w:keepLines/>
      <w:outlineLvl w:val="2"/>
    </w:pPr>
    <w:rPr>
      <w:rFonts w:eastAsia="仿宋"/>
      <w:b/>
      <w:bCs/>
      <w:sz w:val="30"/>
    </w:rPr>
  </w:style>
  <w:style w:type="paragraph" w:customStyle="1" w:styleId="325">
    <w:name w:val="无间隔11"/>
    <w:basedOn w:val="1"/>
    <w:qFormat/>
    <w:uiPriority w:val="0"/>
    <w:pPr>
      <w:spacing w:line="400" w:lineRule="exact"/>
    </w:pPr>
    <w:rPr>
      <w:sz w:val="24"/>
    </w:rPr>
  </w:style>
  <w:style w:type="paragraph" w:customStyle="1" w:styleId="326">
    <w:name w:val="_Style 2"/>
    <w:basedOn w:val="1"/>
    <w:qFormat/>
    <w:uiPriority w:val="0"/>
    <w:pPr>
      <w:ind w:firstLine="420" w:firstLineChars="200"/>
    </w:pPr>
  </w:style>
  <w:style w:type="character" w:customStyle="1" w:styleId="327">
    <w:name w:val="icon_gys"/>
    <w:basedOn w:val="64"/>
    <w:qFormat/>
    <w:uiPriority w:val="0"/>
    <w:rPr>
      <w:sz w:val="21"/>
      <w:szCs w:val="21"/>
    </w:rPr>
  </w:style>
  <w:style w:type="character" w:customStyle="1" w:styleId="328">
    <w:name w:val="first-child1"/>
    <w:basedOn w:val="64"/>
    <w:qFormat/>
    <w:uiPriority w:val="0"/>
    <w:rPr>
      <w:color w:val="1F3149"/>
      <w:sz w:val="24"/>
      <w:szCs w:val="24"/>
    </w:rPr>
  </w:style>
  <w:style w:type="character" w:customStyle="1" w:styleId="329">
    <w:name w:val="first-child2"/>
    <w:basedOn w:val="64"/>
    <w:qFormat/>
    <w:uiPriority w:val="0"/>
    <w:rPr>
      <w:color w:val="1F3149"/>
      <w:sz w:val="24"/>
      <w:szCs w:val="24"/>
    </w:rPr>
  </w:style>
  <w:style w:type="character" w:customStyle="1" w:styleId="330">
    <w:name w:val="xiadan"/>
    <w:basedOn w:val="64"/>
    <w:qFormat/>
    <w:uiPriority w:val="0"/>
    <w:rPr>
      <w:shd w:val="clear" w:color="auto" w:fill="E4393C"/>
    </w:rPr>
  </w:style>
  <w:style w:type="character" w:customStyle="1" w:styleId="331">
    <w:name w:val="fr"/>
    <w:basedOn w:val="64"/>
    <w:qFormat/>
    <w:uiPriority w:val="0"/>
  </w:style>
  <w:style w:type="character" w:customStyle="1" w:styleId="332">
    <w:name w:val="icon_ds"/>
    <w:basedOn w:val="64"/>
    <w:qFormat/>
    <w:uiPriority w:val="0"/>
  </w:style>
  <w:style w:type="character" w:customStyle="1" w:styleId="333">
    <w:name w:val="icon_ds1"/>
    <w:basedOn w:val="64"/>
    <w:qFormat/>
    <w:uiPriority w:val="0"/>
    <w:rPr>
      <w:sz w:val="21"/>
      <w:szCs w:val="21"/>
    </w:rPr>
  </w:style>
  <w:style w:type="character" w:customStyle="1" w:styleId="334">
    <w:name w:val="first-child"/>
    <w:basedOn w:val="64"/>
    <w:qFormat/>
    <w:uiPriority w:val="0"/>
    <w:rPr>
      <w:color w:val="1F3149"/>
      <w:sz w:val="24"/>
      <w:szCs w:val="24"/>
    </w:rPr>
  </w:style>
  <w:style w:type="paragraph" w:customStyle="1" w:styleId="335">
    <w:name w:val="正文_0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36">
    <w:name w:val="正文_3"/>
    <w:next w:val="337"/>
    <w:qFormat/>
    <w:uiPriority w:val="0"/>
    <w:pPr>
      <w:widowControl w:val="0"/>
      <w:jc w:val="both"/>
    </w:pPr>
    <w:rPr>
      <w:rFonts w:ascii="Calibri" w:hAnsi="Calibri" w:eastAsia="宋体" w:cs="Times New Roman"/>
      <w:kern w:val="2"/>
      <w:sz w:val="21"/>
      <w:szCs w:val="22"/>
      <w:lang w:val="en-US" w:eastAsia="zh-CN" w:bidi="ar-SA"/>
    </w:rPr>
  </w:style>
  <w:style w:type="paragraph" w:customStyle="1" w:styleId="337">
    <w:name w:val="正文缩进_0"/>
    <w:basedOn w:val="336"/>
    <w:unhideWhenUsed/>
    <w:qFormat/>
    <w:uiPriority w:val="0"/>
    <w:pPr>
      <w:ind w:firstLine="420" w:firstLineChars="200"/>
    </w:pPr>
  </w:style>
  <w:style w:type="table" w:customStyle="1" w:styleId="338">
    <w:name w:val="Table Normal"/>
    <w:unhideWhenUsed/>
    <w:qFormat/>
    <w:uiPriority w:val="0"/>
    <w:tblPr>
      <w:tblCellMar>
        <w:top w:w="0" w:type="dxa"/>
        <w:left w:w="0" w:type="dxa"/>
        <w:bottom w:w="0" w:type="dxa"/>
        <w:right w:w="0" w:type="dxa"/>
      </w:tblCellMar>
    </w:tblPr>
  </w:style>
  <w:style w:type="paragraph" w:styleId="339">
    <w:name w:val="No Spacing"/>
    <w:basedOn w:val="1"/>
    <w:qFormat/>
    <w:uiPriority w:val="0"/>
    <w:pPr>
      <w:widowControl/>
      <w:jc w:val="left"/>
    </w:pPr>
    <w:rPr>
      <w:rFonts w:ascii="Calibri" w:hAnsi="Calibri" w:eastAsia="仿宋_GB2312"/>
      <w:sz w:val="24"/>
      <w:szCs w:val="32"/>
      <w:lang w:eastAsia="en-US" w:bidi="en-US"/>
    </w:rPr>
  </w:style>
  <w:style w:type="table" w:customStyle="1" w:styleId="340">
    <w:name w:val="网格型1"/>
    <w:basedOn w:val="62"/>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41">
    <w:name w:val="hover17"/>
    <w:basedOn w:val="64"/>
    <w:qFormat/>
    <w:uiPriority w:val="0"/>
  </w:style>
  <w:style w:type="character" w:customStyle="1" w:styleId="342">
    <w:name w:val="hover18"/>
    <w:basedOn w:val="64"/>
    <w:qFormat/>
    <w:uiPriority w:val="0"/>
  </w:style>
  <w:style w:type="paragraph" w:customStyle="1" w:styleId="343">
    <w:name w:val="Normal_8"/>
    <w:qFormat/>
    <w:uiPriority w:val="0"/>
    <w:rPr>
      <w:rFonts w:ascii="黑体" w:hAnsi="黑体" w:eastAsia="黑体" w:cs="Times New Roman"/>
      <w:b/>
      <w:sz w:val="32"/>
      <w:szCs w:val="24"/>
      <w:lang w:val="en-US" w:eastAsia="zh-CN" w:bidi="ar-SA"/>
    </w:rPr>
  </w:style>
  <w:style w:type="paragraph" w:customStyle="1" w:styleId="344">
    <w:name w:val="Normal_18"/>
    <w:qFormat/>
    <w:uiPriority w:val="0"/>
    <w:rPr>
      <w:rFonts w:ascii="黑体" w:hAnsi="黑体" w:eastAsia="黑体" w:cs="Times New Roman"/>
      <w:b/>
      <w:sz w:val="32"/>
      <w:szCs w:val="24"/>
      <w:lang w:val="en-US" w:eastAsia="zh-CN" w:bidi="ar-SA"/>
    </w:rPr>
  </w:style>
  <w:style w:type="paragraph" w:customStyle="1" w:styleId="345">
    <w:name w:val="正文_17"/>
    <w:next w:val="346"/>
    <w:qFormat/>
    <w:uiPriority w:val="0"/>
    <w:pPr>
      <w:widowControl w:val="0"/>
      <w:jc w:val="both"/>
    </w:pPr>
    <w:rPr>
      <w:rFonts w:ascii="Calibri" w:hAnsi="Calibri" w:eastAsia="宋体" w:cs="Times New Roman"/>
      <w:kern w:val="2"/>
      <w:sz w:val="21"/>
      <w:szCs w:val="22"/>
      <w:lang w:val="en-US" w:eastAsia="zh-CN" w:bidi="ar-SA"/>
    </w:rPr>
  </w:style>
  <w:style w:type="paragraph" w:customStyle="1" w:styleId="346">
    <w:name w:val="标题 2_2_0"/>
    <w:basedOn w:val="345"/>
    <w:next w:val="345"/>
    <w:unhideWhenUsed/>
    <w:qFormat/>
    <w:uiPriority w:val="0"/>
    <w:pPr>
      <w:keepNext/>
      <w:keepLines/>
      <w:spacing w:before="260" w:after="260" w:line="415" w:lineRule="auto"/>
      <w:outlineLvl w:val="1"/>
    </w:pPr>
    <w:rPr>
      <w:rFonts w:ascii="Arial" w:hAnsi="Arial" w:eastAsia="黑体"/>
      <w:b/>
      <w:bCs/>
      <w:sz w:val="32"/>
      <w:szCs w:val="32"/>
    </w:rPr>
  </w:style>
  <w:style w:type="paragraph" w:customStyle="1" w:styleId="347">
    <w:name w:val="正文_1_0_0"/>
    <w:next w:val="34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48">
    <w:name w:val="正文文本_1_0_0"/>
    <w:basedOn w:val="347"/>
    <w:unhideWhenUsed/>
    <w:qFormat/>
    <w:uiPriority w:val="0"/>
    <w:pPr>
      <w:widowControl/>
      <w:adjustRightInd w:val="0"/>
      <w:spacing w:after="60" w:line="360" w:lineRule="atLeast"/>
      <w:ind w:left="72" w:leftChars="30" w:right="30" w:rightChars="30" w:firstLine="200" w:firstLineChars="200"/>
      <w:jc w:val="center"/>
    </w:pPr>
    <w:rPr>
      <w:rFonts w:ascii="Calibri" w:hAnsi="Calibri"/>
      <w:kern w:val="0"/>
      <w:sz w:val="20"/>
      <w:szCs w:val="20"/>
    </w:rPr>
  </w:style>
  <w:style w:type="paragraph" w:styleId="34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4.jpe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Company>
  <Pages>114</Pages>
  <Words>52714</Words>
  <Characters>56988</Characters>
  <Lines>384</Lines>
  <Paragraphs>108</Paragraphs>
  <TotalTime>5</TotalTime>
  <ScaleCrop>false</ScaleCrop>
  <LinksUpToDate>false</LinksUpToDate>
  <CharactersWithSpaces>60279</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2022-01-28T02:39:00Z</dcterms:created>
  <dc:creator>USER</dc:creator>
  <cp:lastModifiedBy>vivi</cp:lastModifiedBy>
  <cp:lastPrinted>2024-05-22T09:21:00Z</cp:lastPrinted>
  <dcterms:modified xsi:type="dcterms:W3CDTF">2024-05-27T08:11:28Z</dcterms:modified>
  <dc:title>洛阳市政府采购中心</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A3A94C2522AA4A61A5229E144D25CFDF_13</vt:lpwstr>
  </property>
</Properties>
</file>