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01805D">
      <w:pPr>
        <w:rPr>
          <w:rFonts w:ascii="仿宋" w:hAnsi="仿宋" w:eastAsia="仿宋" w:cs="Calibri"/>
          <w:b/>
          <w:bCs/>
          <w:caps/>
          <w:color w:val="000000"/>
          <w:spacing w:val="14"/>
          <w:highlight w:val="none"/>
        </w:rPr>
      </w:pPr>
      <w:bookmarkStart w:id="0" w:name="EB28b1b3d801534d13bb47896bced75913"/>
    </w:p>
    <w:p w14:paraId="3201FB95">
      <w:pPr>
        <w:rPr>
          <w:rFonts w:hint="eastAsia" w:ascii="仿宋" w:hAnsi="仿宋" w:eastAsia="仿宋" w:cs="仿宋"/>
          <w:b/>
          <w:color w:val="auto"/>
          <w:sz w:val="44"/>
          <w:szCs w:val="44"/>
          <w:highlight w:val="none"/>
          <w:lang w:eastAsia="zh-CN"/>
        </w:rPr>
      </w:pPr>
      <w:bookmarkStart w:id="1" w:name="EB28b1b3d801534d13bb47896bced75913_0"/>
      <w:r>
        <w:rPr>
          <w:rFonts w:hint="eastAsia"/>
          <w:color w:val="auto"/>
          <w:highlight w:val="none"/>
        </w:rPr>
        <w:t xml:space="preserve">  </w:t>
      </w:r>
      <w:r>
        <w:rPr>
          <w:color w:val="auto"/>
          <w:highlight w:val="none"/>
        </w:rPr>
        <w:t xml:space="preserve"> </w:t>
      </w:r>
    </w:p>
    <w:p w14:paraId="1ABD0D47">
      <w:pPr>
        <w:pStyle w:val="11"/>
        <w:spacing w:line="600" w:lineRule="auto"/>
        <w:jc w:val="center"/>
        <w:rPr>
          <w:rFonts w:hint="eastAsia" w:ascii="仿宋" w:hAnsi="仿宋" w:eastAsia="仿宋" w:cs="仿宋"/>
          <w:b/>
          <w:color w:val="auto"/>
          <w:sz w:val="44"/>
          <w:szCs w:val="44"/>
          <w:highlight w:val="none"/>
          <w:lang w:eastAsia="zh-CN"/>
        </w:rPr>
      </w:pPr>
      <w:r>
        <w:rPr>
          <w:rFonts w:hint="eastAsia" w:ascii="仿宋" w:hAnsi="仿宋" w:eastAsia="仿宋" w:cs="仿宋"/>
          <w:b/>
          <w:color w:val="auto"/>
          <w:sz w:val="44"/>
          <w:szCs w:val="44"/>
          <w:highlight w:val="none"/>
          <w:lang w:eastAsia="zh-CN"/>
        </w:rPr>
        <w:t>河南科技大学附属高级中学理化生实验室装备项目</w:t>
      </w:r>
    </w:p>
    <w:p w14:paraId="0C420EE4">
      <w:pPr>
        <w:pStyle w:val="11"/>
        <w:spacing w:line="600" w:lineRule="auto"/>
        <w:jc w:val="center"/>
        <w:rPr>
          <w:rFonts w:hint="eastAsia" w:ascii="仿宋" w:hAnsi="仿宋" w:eastAsia="仿宋" w:cs="仿宋"/>
          <w:b/>
          <w:color w:val="auto"/>
          <w:sz w:val="60"/>
          <w:szCs w:val="60"/>
          <w:highlight w:val="none"/>
          <w:lang w:eastAsia="zh-CN"/>
        </w:rPr>
      </w:pPr>
      <w:r>
        <w:rPr>
          <w:rFonts w:hint="eastAsia" w:ascii="仿宋" w:hAnsi="仿宋" w:eastAsia="仿宋" w:cs="仿宋"/>
          <w:b/>
          <w:color w:val="auto"/>
          <w:sz w:val="60"/>
          <w:szCs w:val="60"/>
          <w:highlight w:val="none"/>
          <w:lang w:eastAsia="zh-CN"/>
        </w:rPr>
        <w:t>竞争性磋商文件</w:t>
      </w:r>
    </w:p>
    <w:p w14:paraId="3C054D5F">
      <w:pPr>
        <w:pStyle w:val="11"/>
        <w:spacing w:line="600" w:lineRule="auto"/>
        <w:jc w:val="center"/>
        <w:rPr>
          <w:rFonts w:hint="eastAsia" w:ascii="仿宋" w:hAnsi="仿宋" w:eastAsia="仿宋" w:cs="仿宋"/>
          <w:b/>
          <w:color w:val="auto"/>
          <w:sz w:val="28"/>
          <w:szCs w:val="32"/>
          <w:highlight w:val="none"/>
        </w:rPr>
      </w:pPr>
      <w:r>
        <w:rPr>
          <w:rFonts w:hint="eastAsia" w:ascii="仿宋" w:hAnsi="仿宋" w:eastAsia="仿宋" w:cs="仿宋"/>
          <w:b/>
          <w:color w:val="auto"/>
          <w:sz w:val="32"/>
          <w:szCs w:val="32"/>
          <w:highlight w:val="none"/>
          <w:lang w:eastAsia="zh-CN"/>
        </w:rPr>
        <w:t>项目编号：洛采竞磋-2025-188</w:t>
      </w:r>
    </w:p>
    <w:p w14:paraId="31A70AA3">
      <w:pPr>
        <w:pStyle w:val="11"/>
        <w:rPr>
          <w:rFonts w:hint="eastAsia"/>
          <w:highlight w:val="none"/>
        </w:rPr>
      </w:pPr>
    </w:p>
    <w:p w14:paraId="2F931370">
      <w:pPr>
        <w:pStyle w:val="11"/>
        <w:rPr>
          <w:rFonts w:hint="eastAsia"/>
          <w:highlight w:val="none"/>
        </w:rPr>
      </w:pPr>
    </w:p>
    <w:p w14:paraId="0CB88917">
      <w:pPr>
        <w:pStyle w:val="9"/>
        <w:ind w:left="0" w:leftChars="0" w:firstLine="0" w:firstLineChars="0"/>
        <w:jc w:val="both"/>
        <w:rPr>
          <w:rFonts w:hint="eastAsia"/>
          <w:highlight w:val="none"/>
        </w:rPr>
      </w:pPr>
      <w:r>
        <w:rPr>
          <w:rFonts w:hint="eastAsia" w:ascii="仿宋" w:hAnsi="仿宋" w:eastAsia="仿宋" w:cs="仿宋"/>
          <w:color w:val="auto"/>
          <w:highlight w:val="none"/>
        </w:rPr>
        <w:drawing>
          <wp:anchor distT="0" distB="0" distL="114300" distR="114300" simplePos="0" relativeHeight="251659264" behindDoc="1" locked="0" layoutInCell="1" allowOverlap="1">
            <wp:simplePos x="0" y="0"/>
            <wp:positionH relativeFrom="column">
              <wp:posOffset>2110105</wp:posOffset>
            </wp:positionH>
            <wp:positionV relativeFrom="paragraph">
              <wp:posOffset>102235</wp:posOffset>
            </wp:positionV>
            <wp:extent cx="1691640" cy="1650365"/>
            <wp:effectExtent l="0" t="0" r="3810" b="6985"/>
            <wp:wrapNone/>
            <wp:docPr id="5" name="图片 2" descr="城发标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城发标志2"/>
                    <pic:cNvPicPr>
                      <a:picLocks noChangeAspect="1"/>
                    </pic:cNvPicPr>
                  </pic:nvPicPr>
                  <pic:blipFill>
                    <a:blip r:embed="rId9"/>
                    <a:stretch>
                      <a:fillRect/>
                    </a:stretch>
                  </pic:blipFill>
                  <pic:spPr>
                    <a:xfrm>
                      <a:off x="0" y="0"/>
                      <a:ext cx="1691640" cy="1650365"/>
                    </a:xfrm>
                    <a:prstGeom prst="rect">
                      <a:avLst/>
                    </a:prstGeom>
                    <a:noFill/>
                    <a:ln>
                      <a:noFill/>
                    </a:ln>
                  </pic:spPr>
                </pic:pic>
              </a:graphicData>
            </a:graphic>
          </wp:anchor>
        </w:drawing>
      </w:r>
    </w:p>
    <w:p w14:paraId="0C5FD068">
      <w:pPr>
        <w:pStyle w:val="11"/>
        <w:rPr>
          <w:rFonts w:hint="eastAsia"/>
          <w:highlight w:val="none"/>
        </w:rPr>
      </w:pPr>
    </w:p>
    <w:p w14:paraId="005E24C7">
      <w:pPr>
        <w:pStyle w:val="11"/>
        <w:rPr>
          <w:rFonts w:hint="eastAsia"/>
          <w:highlight w:val="none"/>
        </w:rPr>
      </w:pPr>
    </w:p>
    <w:p w14:paraId="2998B449">
      <w:pPr>
        <w:pStyle w:val="11"/>
        <w:rPr>
          <w:rFonts w:hint="eastAsia"/>
          <w:highlight w:val="none"/>
        </w:rPr>
      </w:pPr>
    </w:p>
    <w:p w14:paraId="57A6E11D">
      <w:pPr>
        <w:pStyle w:val="11"/>
        <w:rPr>
          <w:rFonts w:hint="eastAsia"/>
          <w:highlight w:val="none"/>
        </w:rPr>
      </w:pPr>
    </w:p>
    <w:p w14:paraId="769C6155">
      <w:pPr>
        <w:pStyle w:val="11"/>
        <w:rPr>
          <w:rFonts w:hint="eastAsia"/>
          <w:highlight w:val="none"/>
        </w:rPr>
      </w:pPr>
    </w:p>
    <w:p w14:paraId="49B9C90F">
      <w:pPr>
        <w:pStyle w:val="11"/>
        <w:rPr>
          <w:rFonts w:hint="eastAsia"/>
          <w:highlight w:val="none"/>
        </w:rPr>
      </w:pPr>
    </w:p>
    <w:p w14:paraId="1806E57C">
      <w:pPr>
        <w:pStyle w:val="11"/>
        <w:rPr>
          <w:rFonts w:hint="eastAsia"/>
          <w:highlight w:val="none"/>
        </w:rPr>
      </w:pPr>
    </w:p>
    <w:p w14:paraId="277FD41B">
      <w:pPr>
        <w:pStyle w:val="11"/>
        <w:rPr>
          <w:rFonts w:hint="eastAsia"/>
          <w:highlight w:val="none"/>
        </w:rPr>
      </w:pPr>
    </w:p>
    <w:p w14:paraId="66F94D20">
      <w:pPr>
        <w:pStyle w:val="10"/>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rPr>
        <w:t>采 购 人：河南科技大学附属高级中学</w:t>
      </w:r>
    </w:p>
    <w:p w14:paraId="6922EEAE">
      <w:pPr>
        <w:pStyle w:val="10"/>
        <w:tabs>
          <w:tab w:val="left" w:pos="2681"/>
        </w:tabs>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rPr>
        <w:t>采购代理机构：河南城发工程管理有限公司</w:t>
      </w:r>
    </w:p>
    <w:p w14:paraId="3B8E242E">
      <w:pPr>
        <w:pStyle w:val="10"/>
        <w:spacing w:line="360" w:lineRule="auto"/>
        <w:ind w:firstLine="2739" w:firstLineChars="1100"/>
        <w:jc w:val="both"/>
        <w:rPr>
          <w:highlight w:val="none"/>
        </w:rPr>
      </w:pPr>
      <w:r>
        <w:rPr>
          <w:rFonts w:hint="eastAsia" w:ascii="仿宋" w:hAnsi="仿宋" w:eastAsia="仿宋" w:cs="仿宋"/>
          <w:b/>
          <w:color w:val="auto"/>
          <w:sz w:val="28"/>
          <w:szCs w:val="28"/>
          <w:highlight w:val="none"/>
        </w:rPr>
        <w:t>日   期：二〇二</w:t>
      </w:r>
      <w:r>
        <w:rPr>
          <w:rFonts w:hint="eastAsia" w:ascii="仿宋" w:hAnsi="仿宋" w:eastAsia="仿宋" w:cs="仿宋"/>
          <w:b/>
          <w:color w:val="auto"/>
          <w:sz w:val="28"/>
          <w:szCs w:val="28"/>
          <w:highlight w:val="none"/>
          <w:lang w:eastAsia="zh-CN"/>
        </w:rPr>
        <w:t>五</w:t>
      </w:r>
      <w:r>
        <w:rPr>
          <w:rFonts w:hint="eastAsia" w:ascii="仿宋" w:hAnsi="仿宋" w:eastAsia="仿宋" w:cs="仿宋"/>
          <w:b/>
          <w:color w:val="auto"/>
          <w:sz w:val="28"/>
          <w:szCs w:val="28"/>
          <w:highlight w:val="none"/>
        </w:rPr>
        <w:t>年</w:t>
      </w:r>
      <w:r>
        <w:rPr>
          <w:rFonts w:hint="eastAsia" w:ascii="仿宋" w:hAnsi="仿宋" w:eastAsia="仿宋" w:cs="仿宋"/>
          <w:b/>
          <w:color w:val="auto"/>
          <w:sz w:val="28"/>
          <w:szCs w:val="28"/>
          <w:highlight w:val="none"/>
          <w:lang w:val="en-US" w:eastAsia="zh-CN"/>
        </w:rPr>
        <w:t>十一</w:t>
      </w:r>
      <w:r>
        <w:rPr>
          <w:rFonts w:hint="eastAsia" w:ascii="仿宋" w:hAnsi="仿宋" w:eastAsia="仿宋" w:cs="仿宋"/>
          <w:b/>
          <w:color w:val="auto"/>
          <w:sz w:val="28"/>
          <w:szCs w:val="28"/>
          <w:highlight w:val="none"/>
        </w:rPr>
        <w:t>月</w:t>
      </w:r>
      <w:bookmarkEnd w:id="1"/>
    </w:p>
    <w:bookmarkEnd w:id="0"/>
    <w:p w14:paraId="1957CB95">
      <w:pPr>
        <w:rPr>
          <w:rFonts w:hint="eastAsia"/>
          <w:color w:val="000080"/>
          <w:sz w:val="20"/>
          <w:highlight w:val="white"/>
        </w:rPr>
      </w:pPr>
    </w:p>
    <w:p w14:paraId="1860D2AA">
      <w:pPr>
        <w:rPr>
          <w:rFonts w:hint="eastAsia"/>
          <w:highlight w:val="red"/>
        </w:rPr>
      </w:pPr>
      <w:r>
        <w:rPr>
          <w:highlight w:val="white"/>
        </w:rPr>
        <w:br w:type="page"/>
      </w:r>
      <w:bookmarkStart w:id="2" w:name="EBb98a46ac98954e3c92fa7ed36a06021e"/>
    </w:p>
    <w:p w14:paraId="36CAB8DD">
      <w:pPr>
        <w:widowControl/>
        <w:jc w:val="center"/>
        <w:outlineLvl w:val="9"/>
        <w:rPr>
          <w:rFonts w:hint="eastAsia" w:ascii="仿宋" w:hAnsi="仿宋" w:eastAsia="仿宋" w:cs="仿宋"/>
          <w:b w:val="0"/>
          <w:bCs w:val="0"/>
          <w:kern w:val="28"/>
          <w:sz w:val="44"/>
          <w:szCs w:val="44"/>
          <w:highlight w:val="none"/>
          <w:lang w:bidi="en-US"/>
        </w:rPr>
      </w:pPr>
      <w:bookmarkStart w:id="3" w:name="_Toc16444"/>
      <w:r>
        <w:rPr>
          <w:rFonts w:hint="eastAsia" w:ascii="仿宋" w:hAnsi="仿宋" w:eastAsia="仿宋" w:cs="仿宋"/>
          <w:b w:val="0"/>
          <w:bCs w:val="0"/>
          <w:kern w:val="28"/>
          <w:sz w:val="44"/>
          <w:szCs w:val="44"/>
          <w:highlight w:val="none"/>
          <w:lang w:bidi="en-US"/>
        </w:rPr>
        <w:t>目    录</w:t>
      </w:r>
      <w:bookmarkEnd w:id="3"/>
    </w:p>
    <w:p w14:paraId="79A85EF0">
      <w:pPr>
        <w:pStyle w:val="4"/>
        <w:tabs>
          <w:tab w:val="right" w:leader="dot" w:pos="9241"/>
        </w:tabs>
        <w:rPr>
          <w:rFonts w:hint="eastAsia" w:ascii="仿宋" w:hAnsi="仿宋" w:eastAsia="仿宋" w:cs="仿宋"/>
          <w:b w:val="0"/>
          <w:bCs w:val="0"/>
          <w:sz w:val="28"/>
          <w:szCs w:val="32"/>
        </w:rPr>
      </w:pPr>
      <w:r>
        <w:rPr>
          <w:rFonts w:hint="eastAsia" w:ascii="仿宋" w:hAnsi="仿宋" w:eastAsia="仿宋" w:cs="仿宋"/>
          <w:b w:val="0"/>
          <w:bCs w:val="0"/>
          <w:spacing w:val="14"/>
          <w:sz w:val="28"/>
          <w:szCs w:val="32"/>
        </w:rPr>
        <w:fldChar w:fldCharType="begin"/>
      </w:r>
      <w:r>
        <w:rPr>
          <w:rFonts w:hint="eastAsia" w:ascii="仿宋" w:hAnsi="仿宋" w:eastAsia="仿宋" w:cs="仿宋"/>
          <w:b w:val="0"/>
          <w:bCs w:val="0"/>
          <w:spacing w:val="14"/>
          <w:sz w:val="28"/>
          <w:szCs w:val="32"/>
        </w:rPr>
        <w:instrText xml:space="preserve"> TOC \o "1-3" \u </w:instrText>
      </w:r>
      <w:r>
        <w:rPr>
          <w:rFonts w:hint="eastAsia" w:ascii="仿宋" w:hAnsi="仿宋" w:eastAsia="仿宋" w:cs="仿宋"/>
          <w:b w:val="0"/>
          <w:bCs w:val="0"/>
          <w:spacing w:val="14"/>
          <w:sz w:val="28"/>
          <w:szCs w:val="32"/>
        </w:rPr>
        <w:fldChar w:fldCharType="separate"/>
      </w:r>
      <w:r>
        <w:rPr>
          <w:rFonts w:hint="eastAsia" w:ascii="仿宋" w:hAnsi="仿宋" w:eastAsia="仿宋" w:cs="仿宋"/>
          <w:b w:val="0"/>
          <w:bCs w:val="0"/>
          <w:sz w:val="28"/>
          <w:szCs w:val="44"/>
        </w:rPr>
        <w:t>第一章  采购公告</w:t>
      </w:r>
      <w:r>
        <w:rPr>
          <w:rFonts w:hint="eastAsia" w:ascii="仿宋" w:hAnsi="仿宋" w:eastAsia="仿宋" w:cs="仿宋"/>
          <w:b w:val="0"/>
          <w:bCs w:val="0"/>
          <w:sz w:val="28"/>
          <w:szCs w:val="32"/>
        </w:rPr>
        <w:tab/>
      </w:r>
      <w:r>
        <w:rPr>
          <w:rFonts w:hint="eastAsia" w:ascii="仿宋" w:hAnsi="仿宋" w:eastAsia="仿宋" w:cs="仿宋"/>
          <w:b w:val="0"/>
          <w:bCs w:val="0"/>
          <w:sz w:val="28"/>
          <w:szCs w:val="32"/>
        </w:rPr>
        <w:fldChar w:fldCharType="begin"/>
      </w:r>
      <w:r>
        <w:rPr>
          <w:rFonts w:hint="eastAsia" w:ascii="仿宋" w:hAnsi="仿宋" w:eastAsia="仿宋" w:cs="仿宋"/>
          <w:b w:val="0"/>
          <w:bCs w:val="0"/>
          <w:sz w:val="28"/>
          <w:szCs w:val="32"/>
        </w:rPr>
        <w:instrText xml:space="preserve"> PAGEREF _Toc4498 \h </w:instrText>
      </w:r>
      <w:r>
        <w:rPr>
          <w:rFonts w:hint="eastAsia" w:ascii="仿宋" w:hAnsi="仿宋" w:eastAsia="仿宋" w:cs="仿宋"/>
          <w:b w:val="0"/>
          <w:bCs w:val="0"/>
          <w:sz w:val="28"/>
          <w:szCs w:val="32"/>
        </w:rPr>
        <w:fldChar w:fldCharType="separate"/>
      </w:r>
      <w:r>
        <w:rPr>
          <w:rFonts w:hint="eastAsia" w:ascii="仿宋" w:hAnsi="仿宋" w:eastAsia="仿宋" w:cs="仿宋"/>
          <w:b w:val="0"/>
          <w:bCs w:val="0"/>
          <w:sz w:val="28"/>
          <w:szCs w:val="32"/>
        </w:rPr>
        <w:t>6</w:t>
      </w:r>
      <w:r>
        <w:rPr>
          <w:rFonts w:hint="eastAsia" w:ascii="仿宋" w:hAnsi="仿宋" w:eastAsia="仿宋" w:cs="仿宋"/>
          <w:b w:val="0"/>
          <w:bCs w:val="0"/>
          <w:sz w:val="28"/>
          <w:szCs w:val="32"/>
        </w:rPr>
        <w:fldChar w:fldCharType="end"/>
      </w:r>
    </w:p>
    <w:p w14:paraId="5E5CECEF">
      <w:pPr>
        <w:pStyle w:val="4"/>
        <w:tabs>
          <w:tab w:val="right" w:leader="dot" w:pos="9241"/>
        </w:tabs>
        <w:rPr>
          <w:rFonts w:hint="eastAsia" w:ascii="仿宋" w:hAnsi="仿宋" w:eastAsia="仿宋" w:cs="仿宋"/>
          <w:b w:val="0"/>
          <w:bCs w:val="0"/>
          <w:sz w:val="28"/>
          <w:szCs w:val="32"/>
        </w:rPr>
      </w:pPr>
      <w:r>
        <w:rPr>
          <w:rFonts w:hint="eastAsia" w:ascii="仿宋" w:hAnsi="仿宋" w:eastAsia="仿宋" w:cs="仿宋"/>
          <w:b w:val="0"/>
          <w:bCs w:val="0"/>
          <w:spacing w:val="14"/>
          <w:sz w:val="28"/>
          <w:szCs w:val="44"/>
        </w:rPr>
        <w:t>第二章 供应商须知</w:t>
      </w:r>
      <w:r>
        <w:rPr>
          <w:rFonts w:hint="eastAsia" w:ascii="仿宋" w:hAnsi="仿宋" w:eastAsia="仿宋" w:cs="仿宋"/>
          <w:b w:val="0"/>
          <w:bCs w:val="0"/>
          <w:sz w:val="28"/>
          <w:szCs w:val="32"/>
        </w:rPr>
        <w:tab/>
      </w:r>
      <w:r>
        <w:rPr>
          <w:rFonts w:hint="eastAsia" w:ascii="仿宋" w:hAnsi="仿宋" w:eastAsia="仿宋" w:cs="仿宋"/>
          <w:b w:val="0"/>
          <w:bCs w:val="0"/>
          <w:sz w:val="28"/>
          <w:szCs w:val="32"/>
        </w:rPr>
        <w:fldChar w:fldCharType="begin"/>
      </w:r>
      <w:r>
        <w:rPr>
          <w:rFonts w:hint="eastAsia" w:ascii="仿宋" w:hAnsi="仿宋" w:eastAsia="仿宋" w:cs="仿宋"/>
          <w:b w:val="0"/>
          <w:bCs w:val="0"/>
          <w:sz w:val="28"/>
          <w:szCs w:val="32"/>
        </w:rPr>
        <w:instrText xml:space="preserve"> PAGEREF _Toc25598 \h </w:instrText>
      </w:r>
      <w:r>
        <w:rPr>
          <w:rFonts w:hint="eastAsia" w:ascii="仿宋" w:hAnsi="仿宋" w:eastAsia="仿宋" w:cs="仿宋"/>
          <w:b w:val="0"/>
          <w:bCs w:val="0"/>
          <w:sz w:val="28"/>
          <w:szCs w:val="32"/>
        </w:rPr>
        <w:fldChar w:fldCharType="separate"/>
      </w:r>
      <w:r>
        <w:rPr>
          <w:rFonts w:hint="eastAsia" w:ascii="仿宋" w:hAnsi="仿宋" w:eastAsia="仿宋" w:cs="仿宋"/>
          <w:b w:val="0"/>
          <w:bCs w:val="0"/>
          <w:sz w:val="28"/>
          <w:szCs w:val="32"/>
        </w:rPr>
        <w:t>17</w:t>
      </w:r>
      <w:r>
        <w:rPr>
          <w:rFonts w:hint="eastAsia" w:ascii="仿宋" w:hAnsi="仿宋" w:eastAsia="仿宋" w:cs="仿宋"/>
          <w:b w:val="0"/>
          <w:bCs w:val="0"/>
          <w:sz w:val="28"/>
          <w:szCs w:val="32"/>
        </w:rPr>
        <w:fldChar w:fldCharType="end"/>
      </w:r>
    </w:p>
    <w:p w14:paraId="17DA5400">
      <w:pPr>
        <w:pStyle w:val="4"/>
        <w:tabs>
          <w:tab w:val="right" w:leader="dot" w:pos="9241"/>
        </w:tabs>
        <w:rPr>
          <w:rFonts w:hint="eastAsia" w:ascii="仿宋" w:hAnsi="仿宋" w:eastAsia="仿宋" w:cs="仿宋"/>
          <w:b w:val="0"/>
          <w:bCs w:val="0"/>
          <w:sz w:val="28"/>
          <w:szCs w:val="32"/>
        </w:rPr>
      </w:pPr>
      <w:r>
        <w:rPr>
          <w:rFonts w:hint="eastAsia" w:ascii="仿宋" w:hAnsi="仿宋" w:eastAsia="仿宋" w:cs="仿宋"/>
          <w:b w:val="0"/>
          <w:bCs w:val="0"/>
          <w:sz w:val="28"/>
          <w:szCs w:val="44"/>
        </w:rPr>
        <w:t xml:space="preserve">第三章 </w:t>
      </w:r>
      <w:r>
        <w:rPr>
          <w:rFonts w:hint="eastAsia" w:ascii="仿宋" w:hAnsi="仿宋" w:eastAsia="仿宋" w:cs="仿宋"/>
          <w:b w:val="0"/>
          <w:bCs w:val="0"/>
          <w:sz w:val="28"/>
          <w:szCs w:val="44"/>
          <w:lang w:val="en-US" w:eastAsia="zh-CN"/>
        </w:rPr>
        <w:t xml:space="preserve"> </w:t>
      </w:r>
      <w:r>
        <w:rPr>
          <w:rFonts w:hint="eastAsia" w:ascii="仿宋" w:hAnsi="仿宋" w:eastAsia="仿宋" w:cs="仿宋"/>
          <w:b w:val="0"/>
          <w:bCs w:val="0"/>
          <w:sz w:val="28"/>
          <w:szCs w:val="44"/>
        </w:rPr>
        <w:t>采购需求</w:t>
      </w:r>
      <w:r>
        <w:rPr>
          <w:rFonts w:hint="eastAsia" w:ascii="仿宋" w:hAnsi="仿宋" w:eastAsia="仿宋" w:cs="仿宋"/>
          <w:b w:val="0"/>
          <w:bCs w:val="0"/>
          <w:sz w:val="28"/>
          <w:szCs w:val="32"/>
        </w:rPr>
        <w:tab/>
      </w:r>
      <w:r>
        <w:rPr>
          <w:rFonts w:hint="eastAsia" w:ascii="仿宋" w:hAnsi="仿宋" w:eastAsia="仿宋" w:cs="仿宋"/>
          <w:b w:val="0"/>
          <w:bCs w:val="0"/>
          <w:sz w:val="28"/>
          <w:szCs w:val="32"/>
        </w:rPr>
        <w:fldChar w:fldCharType="begin"/>
      </w:r>
      <w:r>
        <w:rPr>
          <w:rFonts w:hint="eastAsia" w:ascii="仿宋" w:hAnsi="仿宋" w:eastAsia="仿宋" w:cs="仿宋"/>
          <w:b w:val="0"/>
          <w:bCs w:val="0"/>
          <w:sz w:val="28"/>
          <w:szCs w:val="32"/>
        </w:rPr>
        <w:instrText xml:space="preserve"> PAGEREF _Toc24734 \h </w:instrText>
      </w:r>
      <w:r>
        <w:rPr>
          <w:rFonts w:hint="eastAsia" w:ascii="仿宋" w:hAnsi="仿宋" w:eastAsia="仿宋" w:cs="仿宋"/>
          <w:b w:val="0"/>
          <w:bCs w:val="0"/>
          <w:sz w:val="28"/>
          <w:szCs w:val="32"/>
        </w:rPr>
        <w:fldChar w:fldCharType="separate"/>
      </w:r>
      <w:r>
        <w:rPr>
          <w:rFonts w:hint="eastAsia" w:ascii="仿宋" w:hAnsi="仿宋" w:eastAsia="仿宋" w:cs="仿宋"/>
          <w:b w:val="0"/>
          <w:bCs w:val="0"/>
          <w:sz w:val="28"/>
          <w:szCs w:val="32"/>
        </w:rPr>
        <w:t>39</w:t>
      </w:r>
      <w:r>
        <w:rPr>
          <w:rFonts w:hint="eastAsia" w:ascii="仿宋" w:hAnsi="仿宋" w:eastAsia="仿宋" w:cs="仿宋"/>
          <w:b w:val="0"/>
          <w:bCs w:val="0"/>
          <w:sz w:val="28"/>
          <w:szCs w:val="32"/>
        </w:rPr>
        <w:fldChar w:fldCharType="end"/>
      </w:r>
    </w:p>
    <w:p w14:paraId="6CB3CAD8">
      <w:pPr>
        <w:pStyle w:val="4"/>
        <w:tabs>
          <w:tab w:val="right" w:leader="dot" w:pos="9241"/>
        </w:tabs>
        <w:rPr>
          <w:rFonts w:hint="eastAsia" w:ascii="仿宋" w:hAnsi="仿宋" w:eastAsia="仿宋" w:cs="仿宋"/>
          <w:b w:val="0"/>
          <w:bCs w:val="0"/>
          <w:sz w:val="28"/>
          <w:szCs w:val="32"/>
        </w:rPr>
      </w:pPr>
      <w:r>
        <w:rPr>
          <w:rFonts w:hint="eastAsia" w:ascii="仿宋" w:hAnsi="仿宋" w:eastAsia="仿宋" w:cs="仿宋"/>
          <w:b w:val="0"/>
          <w:bCs w:val="0"/>
          <w:sz w:val="28"/>
          <w:szCs w:val="44"/>
        </w:rPr>
        <w:t>第四章  合 同(样本)</w:t>
      </w:r>
      <w:r>
        <w:rPr>
          <w:rFonts w:hint="eastAsia" w:ascii="仿宋" w:hAnsi="仿宋" w:eastAsia="仿宋" w:cs="仿宋"/>
          <w:b w:val="0"/>
          <w:bCs w:val="0"/>
          <w:sz w:val="28"/>
          <w:szCs w:val="32"/>
        </w:rPr>
        <w:tab/>
      </w:r>
      <w:r>
        <w:rPr>
          <w:rFonts w:hint="eastAsia" w:ascii="仿宋" w:hAnsi="仿宋" w:eastAsia="仿宋" w:cs="仿宋"/>
          <w:b w:val="0"/>
          <w:bCs w:val="0"/>
          <w:sz w:val="28"/>
          <w:szCs w:val="32"/>
        </w:rPr>
        <w:fldChar w:fldCharType="begin"/>
      </w:r>
      <w:r>
        <w:rPr>
          <w:rFonts w:hint="eastAsia" w:ascii="仿宋" w:hAnsi="仿宋" w:eastAsia="仿宋" w:cs="仿宋"/>
          <w:b w:val="0"/>
          <w:bCs w:val="0"/>
          <w:sz w:val="28"/>
          <w:szCs w:val="32"/>
        </w:rPr>
        <w:instrText xml:space="preserve"> PAGEREF _Toc24108 \h </w:instrText>
      </w:r>
      <w:r>
        <w:rPr>
          <w:rFonts w:hint="eastAsia" w:ascii="仿宋" w:hAnsi="仿宋" w:eastAsia="仿宋" w:cs="仿宋"/>
          <w:b w:val="0"/>
          <w:bCs w:val="0"/>
          <w:sz w:val="28"/>
          <w:szCs w:val="32"/>
        </w:rPr>
        <w:fldChar w:fldCharType="separate"/>
      </w:r>
      <w:r>
        <w:rPr>
          <w:rFonts w:hint="eastAsia" w:ascii="仿宋" w:hAnsi="仿宋" w:eastAsia="仿宋" w:cs="仿宋"/>
          <w:b w:val="0"/>
          <w:bCs w:val="0"/>
          <w:sz w:val="28"/>
          <w:szCs w:val="32"/>
        </w:rPr>
        <w:t>146</w:t>
      </w:r>
      <w:r>
        <w:rPr>
          <w:rFonts w:hint="eastAsia" w:ascii="仿宋" w:hAnsi="仿宋" w:eastAsia="仿宋" w:cs="仿宋"/>
          <w:b w:val="0"/>
          <w:bCs w:val="0"/>
          <w:sz w:val="28"/>
          <w:szCs w:val="32"/>
        </w:rPr>
        <w:fldChar w:fldCharType="end"/>
      </w:r>
    </w:p>
    <w:p w14:paraId="28404ADD">
      <w:pPr>
        <w:pStyle w:val="4"/>
        <w:tabs>
          <w:tab w:val="right" w:leader="dot" w:pos="9241"/>
        </w:tabs>
        <w:rPr>
          <w:rFonts w:hint="eastAsia" w:ascii="仿宋" w:hAnsi="仿宋" w:eastAsia="仿宋" w:cs="仿宋"/>
          <w:b w:val="0"/>
          <w:bCs w:val="0"/>
          <w:sz w:val="28"/>
          <w:szCs w:val="32"/>
        </w:rPr>
      </w:pPr>
      <w:r>
        <w:rPr>
          <w:rFonts w:hint="eastAsia" w:ascii="仿宋" w:hAnsi="仿宋" w:eastAsia="仿宋" w:cs="仿宋"/>
          <w:b w:val="0"/>
          <w:bCs w:val="0"/>
          <w:color w:val="000000"/>
          <w:sz w:val="28"/>
          <w:szCs w:val="32"/>
        </w:rPr>
        <w:t>第六章  资格审查与评审标准</w:t>
      </w:r>
      <w:r>
        <w:rPr>
          <w:rFonts w:hint="eastAsia" w:ascii="仿宋" w:hAnsi="仿宋" w:eastAsia="仿宋" w:cs="仿宋"/>
          <w:b w:val="0"/>
          <w:bCs w:val="0"/>
          <w:sz w:val="28"/>
          <w:szCs w:val="32"/>
        </w:rPr>
        <w:tab/>
      </w:r>
      <w:r>
        <w:rPr>
          <w:rFonts w:hint="eastAsia" w:ascii="仿宋" w:hAnsi="仿宋" w:eastAsia="仿宋" w:cs="仿宋"/>
          <w:b w:val="0"/>
          <w:bCs w:val="0"/>
          <w:sz w:val="28"/>
          <w:szCs w:val="32"/>
        </w:rPr>
        <w:fldChar w:fldCharType="begin"/>
      </w:r>
      <w:r>
        <w:rPr>
          <w:rFonts w:hint="eastAsia" w:ascii="仿宋" w:hAnsi="仿宋" w:eastAsia="仿宋" w:cs="仿宋"/>
          <w:b w:val="0"/>
          <w:bCs w:val="0"/>
          <w:sz w:val="28"/>
          <w:szCs w:val="32"/>
        </w:rPr>
        <w:instrText xml:space="preserve"> PAGEREF _Toc22565 \h </w:instrText>
      </w:r>
      <w:r>
        <w:rPr>
          <w:rFonts w:hint="eastAsia" w:ascii="仿宋" w:hAnsi="仿宋" w:eastAsia="仿宋" w:cs="仿宋"/>
          <w:b w:val="0"/>
          <w:bCs w:val="0"/>
          <w:sz w:val="28"/>
          <w:szCs w:val="32"/>
        </w:rPr>
        <w:fldChar w:fldCharType="separate"/>
      </w:r>
      <w:r>
        <w:rPr>
          <w:rFonts w:hint="eastAsia" w:ascii="仿宋" w:hAnsi="仿宋" w:eastAsia="仿宋" w:cs="仿宋"/>
          <w:b w:val="0"/>
          <w:bCs w:val="0"/>
          <w:sz w:val="28"/>
          <w:szCs w:val="32"/>
        </w:rPr>
        <w:t>161</w:t>
      </w:r>
      <w:r>
        <w:rPr>
          <w:rFonts w:hint="eastAsia" w:ascii="仿宋" w:hAnsi="仿宋" w:eastAsia="仿宋" w:cs="仿宋"/>
          <w:b w:val="0"/>
          <w:bCs w:val="0"/>
          <w:sz w:val="28"/>
          <w:szCs w:val="32"/>
        </w:rPr>
        <w:fldChar w:fldCharType="end"/>
      </w:r>
    </w:p>
    <w:p w14:paraId="3A0BF0C7">
      <w:pPr>
        <w:pStyle w:val="4"/>
        <w:tabs>
          <w:tab w:val="right" w:leader="dot" w:pos="9241"/>
        </w:tabs>
        <w:rPr>
          <w:rFonts w:hint="eastAsia" w:ascii="仿宋" w:hAnsi="仿宋" w:eastAsia="仿宋" w:cs="仿宋"/>
          <w:b w:val="0"/>
          <w:bCs w:val="0"/>
          <w:sz w:val="28"/>
          <w:szCs w:val="32"/>
        </w:rPr>
      </w:pPr>
      <w:r>
        <w:rPr>
          <w:rFonts w:hint="eastAsia" w:ascii="仿宋" w:hAnsi="仿宋" w:eastAsia="仿宋" w:cs="仿宋"/>
          <w:b w:val="0"/>
          <w:bCs w:val="0"/>
          <w:color w:val="000000"/>
          <w:sz w:val="28"/>
          <w:szCs w:val="48"/>
        </w:rPr>
        <w:t>第七章  投标文件格式</w:t>
      </w:r>
      <w:r>
        <w:rPr>
          <w:rFonts w:hint="eastAsia" w:ascii="仿宋" w:hAnsi="仿宋" w:eastAsia="仿宋" w:cs="仿宋"/>
          <w:b w:val="0"/>
          <w:bCs w:val="0"/>
          <w:sz w:val="28"/>
          <w:szCs w:val="32"/>
        </w:rPr>
        <w:tab/>
      </w:r>
      <w:r>
        <w:rPr>
          <w:rFonts w:hint="eastAsia" w:ascii="仿宋" w:hAnsi="仿宋" w:eastAsia="仿宋" w:cs="仿宋"/>
          <w:b w:val="0"/>
          <w:bCs w:val="0"/>
          <w:sz w:val="28"/>
          <w:szCs w:val="32"/>
        </w:rPr>
        <w:fldChar w:fldCharType="begin"/>
      </w:r>
      <w:r>
        <w:rPr>
          <w:rFonts w:hint="eastAsia" w:ascii="仿宋" w:hAnsi="仿宋" w:eastAsia="仿宋" w:cs="仿宋"/>
          <w:b w:val="0"/>
          <w:bCs w:val="0"/>
          <w:sz w:val="28"/>
          <w:szCs w:val="32"/>
        </w:rPr>
        <w:instrText xml:space="preserve"> PAGEREF _Toc23591 \h </w:instrText>
      </w:r>
      <w:r>
        <w:rPr>
          <w:rFonts w:hint="eastAsia" w:ascii="仿宋" w:hAnsi="仿宋" w:eastAsia="仿宋" w:cs="仿宋"/>
          <w:b w:val="0"/>
          <w:bCs w:val="0"/>
          <w:sz w:val="28"/>
          <w:szCs w:val="32"/>
        </w:rPr>
        <w:fldChar w:fldCharType="separate"/>
      </w:r>
      <w:r>
        <w:rPr>
          <w:rFonts w:hint="eastAsia" w:ascii="仿宋" w:hAnsi="仿宋" w:eastAsia="仿宋" w:cs="仿宋"/>
          <w:b w:val="0"/>
          <w:bCs w:val="0"/>
          <w:sz w:val="28"/>
          <w:szCs w:val="32"/>
        </w:rPr>
        <w:t>166</w:t>
      </w:r>
      <w:r>
        <w:rPr>
          <w:rFonts w:hint="eastAsia" w:ascii="仿宋" w:hAnsi="仿宋" w:eastAsia="仿宋" w:cs="仿宋"/>
          <w:b w:val="0"/>
          <w:bCs w:val="0"/>
          <w:sz w:val="28"/>
          <w:szCs w:val="32"/>
        </w:rPr>
        <w:fldChar w:fldCharType="end"/>
      </w:r>
    </w:p>
    <w:p w14:paraId="09A4D28D">
      <w:pPr>
        <w:rPr>
          <w:rFonts w:hint="eastAsia" w:ascii="仿宋" w:hAnsi="仿宋" w:eastAsia="仿宋" w:cs="仿宋"/>
          <w:b w:val="0"/>
          <w:bCs w:val="0"/>
          <w:caps/>
          <w:color w:val="auto"/>
          <w:spacing w:val="14"/>
          <w:sz w:val="28"/>
          <w:szCs w:val="32"/>
        </w:rPr>
      </w:pPr>
      <w:r>
        <w:rPr>
          <w:rFonts w:hint="eastAsia" w:ascii="仿宋" w:hAnsi="仿宋" w:eastAsia="仿宋" w:cs="仿宋"/>
          <w:b w:val="0"/>
          <w:bCs w:val="0"/>
          <w:caps/>
          <w:color w:val="auto"/>
          <w:spacing w:val="14"/>
          <w:sz w:val="28"/>
          <w:szCs w:val="32"/>
        </w:rPr>
        <w:fldChar w:fldCharType="end"/>
      </w:r>
    </w:p>
    <w:p w14:paraId="2444FFB5">
      <w:pPr>
        <w:rPr>
          <w:color w:val="auto"/>
        </w:rPr>
      </w:pPr>
    </w:p>
    <w:p w14:paraId="7A99277B">
      <w:pPr>
        <w:rPr>
          <w:color w:val="auto"/>
        </w:rPr>
      </w:pPr>
    </w:p>
    <w:p w14:paraId="096DAF3A">
      <w:pPr>
        <w:rPr>
          <w:color w:val="auto"/>
        </w:rPr>
      </w:pPr>
    </w:p>
    <w:p w14:paraId="45F988DA">
      <w:pPr>
        <w:rPr>
          <w:color w:val="auto"/>
        </w:rPr>
      </w:pPr>
    </w:p>
    <w:p w14:paraId="4B478ACA">
      <w:pPr>
        <w:rPr>
          <w:color w:val="auto"/>
        </w:rPr>
      </w:pPr>
    </w:p>
    <w:p w14:paraId="671B0024">
      <w:pPr>
        <w:rPr>
          <w:color w:val="auto"/>
        </w:rPr>
      </w:pPr>
    </w:p>
    <w:p w14:paraId="0EB63D72">
      <w:pPr>
        <w:rPr>
          <w:color w:val="auto"/>
        </w:rPr>
      </w:pPr>
    </w:p>
    <w:p w14:paraId="4C5E0241">
      <w:pPr>
        <w:rPr>
          <w:color w:val="auto"/>
        </w:rPr>
      </w:pPr>
    </w:p>
    <w:p w14:paraId="7A21000D">
      <w:pPr>
        <w:rPr>
          <w:color w:val="auto"/>
        </w:rPr>
      </w:pPr>
    </w:p>
    <w:p w14:paraId="1A2E94CD">
      <w:pPr>
        <w:rPr>
          <w:color w:val="auto"/>
        </w:rPr>
      </w:pPr>
    </w:p>
    <w:p w14:paraId="19254689">
      <w:pPr>
        <w:rPr>
          <w:color w:val="auto"/>
        </w:rPr>
      </w:pPr>
    </w:p>
    <w:p w14:paraId="17222ACE">
      <w:pPr>
        <w:rPr>
          <w:color w:val="auto"/>
        </w:rPr>
      </w:pPr>
    </w:p>
    <w:p w14:paraId="472EC6EA">
      <w:pPr>
        <w:rPr>
          <w:color w:val="auto"/>
        </w:rPr>
      </w:pPr>
    </w:p>
    <w:p w14:paraId="556C39E4">
      <w:pPr>
        <w:rPr>
          <w:color w:val="auto"/>
        </w:rPr>
      </w:pPr>
    </w:p>
    <w:p w14:paraId="371C73F6">
      <w:pPr>
        <w:rPr>
          <w:color w:val="auto"/>
        </w:rPr>
      </w:pPr>
    </w:p>
    <w:p w14:paraId="4A998F57">
      <w:pPr>
        <w:pStyle w:val="2"/>
      </w:pPr>
    </w:p>
    <w:p w14:paraId="3FFE8B51">
      <w:pPr>
        <w:rPr>
          <w:color w:val="auto"/>
        </w:rPr>
      </w:pPr>
    </w:p>
    <w:p w14:paraId="0C6D3284">
      <w:pPr>
        <w:rPr>
          <w:color w:val="auto"/>
        </w:rPr>
      </w:pPr>
    </w:p>
    <w:p w14:paraId="75D175C8">
      <w:pPr>
        <w:rPr>
          <w:color w:val="auto"/>
        </w:rPr>
      </w:pPr>
    </w:p>
    <w:p w14:paraId="3C4999DF">
      <w:pPr>
        <w:rPr>
          <w:color w:val="auto"/>
        </w:rPr>
      </w:pPr>
    </w:p>
    <w:p w14:paraId="5649F4C8">
      <w:pPr>
        <w:rPr>
          <w:rFonts w:hint="eastAsia" w:eastAsia="宋体"/>
          <w:color w:val="auto"/>
          <w:lang w:eastAsia="zh-CN"/>
        </w:rPr>
      </w:pPr>
    </w:p>
    <w:p w14:paraId="350A47C8">
      <w:pPr>
        <w:jc w:val="center"/>
        <w:rPr>
          <w:rFonts w:ascii="仿宋" w:hAnsi="仿宋" w:eastAsia="仿宋"/>
          <w:b/>
          <w:color w:val="auto"/>
          <w:spacing w:val="14"/>
          <w:sz w:val="32"/>
          <w:szCs w:val="32"/>
        </w:rPr>
      </w:pPr>
      <w:r>
        <w:rPr>
          <w:rFonts w:hint="eastAsia" w:ascii="仿宋" w:hAnsi="仿宋" w:eastAsia="仿宋"/>
          <w:b/>
          <w:color w:val="auto"/>
          <w:spacing w:val="14"/>
          <w:sz w:val="32"/>
          <w:szCs w:val="32"/>
        </w:rPr>
        <w:t>特 别 提 示</w:t>
      </w:r>
    </w:p>
    <w:p w14:paraId="730D418A">
      <w:pPr>
        <w:rPr>
          <w:rFonts w:hint="eastAsia" w:ascii="仿宋" w:hAnsi="仿宋" w:eastAsia="仿宋" w:cs="宋体"/>
          <w:sz w:val="24"/>
          <w:szCs w:val="24"/>
        </w:rPr>
      </w:pPr>
      <w:r>
        <w:rPr>
          <w:rFonts w:hint="eastAsia" w:ascii="仿宋" w:hAnsi="仿宋" w:eastAsia="仿宋" w:cs="宋体"/>
          <w:sz w:val="24"/>
          <w:szCs w:val="24"/>
        </w:rPr>
        <w:t xml:space="preserve"> </w:t>
      </w:r>
    </w:p>
    <w:p w14:paraId="1353A02D">
      <w:pPr>
        <w:pStyle w:val="13"/>
        <w:rPr>
          <w:rFonts w:hint="eastAsia" w:ascii="仿宋" w:hAnsi="仿宋" w:eastAsia="仿宋"/>
          <w:b/>
          <w:color w:val="auto"/>
          <w:spacing w:val="14"/>
          <w:sz w:val="24"/>
          <w:szCs w:val="24"/>
        </w:rPr>
      </w:pPr>
      <w:r>
        <w:rPr>
          <w:rFonts w:hint="eastAsia" w:ascii="仿宋" w:hAnsi="仿宋" w:eastAsia="仿宋"/>
          <w:b/>
          <w:color w:val="auto"/>
          <w:spacing w:val="14"/>
          <w:sz w:val="24"/>
          <w:szCs w:val="24"/>
        </w:rPr>
        <w:t>1、响应文件的制作</w:t>
      </w:r>
    </w:p>
    <w:p w14:paraId="32F57E89">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1.供应商登录“洛阳市公共资源交易中心”网站，按要求下载“新点响应文件制作软件”。</w:t>
      </w:r>
    </w:p>
    <w:p w14:paraId="059F2E85">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1.2供应商凭CA锁登录，并按网上提示自行下载磋商文件。使用“新点响应文件制作软件”按要求制作电子响应文件。供应商在制作电子响应文件时，应按要求进行电子签章。供应商编辑电子响应文件时，根据磋商文件要求用法定代表人CA锁和企业CA锁进行签章制作；最后一步生成电子响应文件（*.lytf格式和*.nlytf格式）时，只能用本单位的企业CA锁。联合体投标的，响应文件由联合体牵头人按上述规定进行签章。</w:t>
      </w:r>
    </w:p>
    <w:p w14:paraId="0955B3A2">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1.3加密的电子响应文件为“洛阳市公共资源交易中心”网站提供的“新点响应文件制作软件”制作生成的加密版响应文件。</w:t>
      </w:r>
    </w:p>
    <w:p w14:paraId="04EC0012">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1.4响应文件格式所要求包含的全部资料应全部制作在响应文件内，严格按照本项目响应文件所有格式如实填写（不涉及的内容除外），不应存在漏项或缺项，否则将存在响应被否决的风险。</w:t>
      </w:r>
    </w:p>
    <w:p w14:paraId="413527DC">
      <w:pPr>
        <w:pStyle w:val="25"/>
        <w:rPr>
          <w:rFonts w:hint="eastAsia" w:ascii="仿宋" w:hAnsi="仿宋" w:eastAsia="仿宋"/>
          <w:color w:val="auto"/>
          <w:spacing w:val="14"/>
          <w:sz w:val="24"/>
          <w:szCs w:val="24"/>
        </w:rPr>
      </w:pPr>
      <w:r>
        <w:rPr>
          <w:rFonts w:hint="eastAsia" w:ascii="仿宋" w:hAnsi="仿宋" w:eastAsia="仿宋"/>
          <w:color w:val="auto"/>
          <w:spacing w:val="14"/>
          <w:sz w:val="24"/>
          <w:szCs w:val="24"/>
        </w:rPr>
        <w:t>1.5响应文件所附证明材料均为原件的扫描件（或照片），清晰复印件的扫描件加盖公章视同原件（如没有特殊要求原件的），尺寸和清晰度应该能够在电脑上被阅读、识别和判断；若供应商未按要求提供证明材料或提供不清晰的扫描件（或照片）的，磋商小组有权认定其响应文件未对磋商文件有关要求进行响应，涉及资格性审查或符合性审查的将不予通过。</w:t>
      </w:r>
    </w:p>
    <w:p w14:paraId="4457A318">
      <w:pPr>
        <w:pStyle w:val="13"/>
        <w:rPr>
          <w:rFonts w:hint="eastAsia" w:ascii="仿宋" w:hAnsi="仿宋" w:eastAsia="仿宋"/>
          <w:b/>
          <w:color w:val="auto"/>
          <w:spacing w:val="14"/>
          <w:sz w:val="24"/>
          <w:szCs w:val="24"/>
        </w:rPr>
      </w:pPr>
      <w:r>
        <w:rPr>
          <w:rFonts w:hint="eastAsia" w:ascii="仿宋" w:hAnsi="仿宋" w:eastAsia="仿宋"/>
          <w:b/>
          <w:color w:val="auto"/>
          <w:spacing w:val="14"/>
          <w:sz w:val="24"/>
          <w:szCs w:val="24"/>
        </w:rPr>
        <w:t>2、响应文件的提交</w:t>
      </w:r>
    </w:p>
    <w:p w14:paraId="3CA9573A">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2.1除电子响应文件外，不再接受任何纸质文件、资料等。</w:t>
      </w:r>
    </w:p>
    <w:p w14:paraId="0FF88BE0">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2.2供应商应在提交响应文件截止时间前上传加密的电子响应文件（*.lytf）到洛阳市电子招投标交易平台指定位置。上传时供应商须使用制作该响应文件的同一CA锁进行上传操作。请供应商在上传时认真检查上传响应文件是否完整、正确。供应商应充分考虑上传文件时的不可预见因素，未在提交响应文件截止时间前完成上传的，视为逾期送达，洛阳市电子招投标交易平台将拒绝接收。上传成功后将得到上传成功的确认。</w:t>
      </w:r>
    </w:p>
    <w:p w14:paraId="00455143">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2.3供应商因洛阳市电子招投标交易平台问题无法上传电子响应文件时，请在工作时间与交易中心联系。</w:t>
      </w:r>
    </w:p>
    <w:p w14:paraId="1D5FC542">
      <w:pPr>
        <w:pStyle w:val="13"/>
        <w:rPr>
          <w:rFonts w:hint="eastAsia" w:ascii="仿宋" w:hAnsi="仿宋" w:eastAsia="仿宋"/>
          <w:color w:val="auto"/>
          <w:sz w:val="24"/>
          <w:szCs w:val="24"/>
        </w:rPr>
      </w:pPr>
      <w:r>
        <w:rPr>
          <w:rFonts w:hint="eastAsia" w:ascii="仿宋" w:hAnsi="仿宋" w:eastAsia="仿宋"/>
          <w:color w:val="auto"/>
          <w:spacing w:val="14"/>
          <w:sz w:val="24"/>
          <w:szCs w:val="24"/>
        </w:rPr>
        <w:t>2.4（此条款仅适用于现场磋商的项目）未加密的电子响应文件1份（*.nlytf格式）（U盘介质），密封包装，注明项目名称，并在封套上加盖供应商单位公章或由供应商的法定代表人（单位负责人）或其授权的代理人签字。</w:t>
      </w:r>
    </w:p>
    <w:p w14:paraId="0A676551">
      <w:pPr>
        <w:pStyle w:val="13"/>
        <w:rPr>
          <w:rFonts w:hint="eastAsia" w:ascii="仿宋" w:hAnsi="仿宋" w:eastAsia="仿宋"/>
          <w:b/>
          <w:color w:val="auto"/>
          <w:spacing w:val="14"/>
          <w:sz w:val="24"/>
          <w:szCs w:val="24"/>
        </w:rPr>
      </w:pPr>
      <w:r>
        <w:rPr>
          <w:rFonts w:hint="eastAsia" w:ascii="仿宋" w:hAnsi="仿宋" w:eastAsia="仿宋"/>
          <w:b/>
          <w:color w:val="auto"/>
          <w:spacing w:val="14"/>
          <w:sz w:val="24"/>
          <w:szCs w:val="24"/>
        </w:rPr>
        <w:t>3. 磋商文件的澄清、修改</w:t>
      </w:r>
    </w:p>
    <w:p w14:paraId="52F52320">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3.1磋商文件的澄清、修改将在《中国招标投标公共服务平台》、《</w:t>
      </w:r>
      <w:r>
        <w:rPr>
          <w:rFonts w:hint="eastAsia" w:ascii="仿宋" w:hAnsi="仿宋" w:eastAsia="仿宋"/>
          <w:color w:val="auto"/>
          <w:spacing w:val="14"/>
          <w:sz w:val="24"/>
          <w:szCs w:val="24"/>
          <w:lang w:eastAsia="zh-CN"/>
        </w:rPr>
        <w:t>河南省(洛阳市)政府采购网</w:t>
      </w:r>
      <w:r>
        <w:rPr>
          <w:rFonts w:hint="eastAsia" w:ascii="仿宋" w:hAnsi="仿宋" w:eastAsia="仿宋"/>
          <w:color w:val="auto"/>
          <w:spacing w:val="14"/>
          <w:sz w:val="24"/>
          <w:szCs w:val="24"/>
        </w:rPr>
        <w:t>》、《洛阳市公共资源交易中心网》上发布“变更公告”，如需修改磋商文件，则同时在洛阳市电子招投标交易平台发布“答疑文件”（答疑文件指修改后最新的磋商文件）。对于各项目中已经成功报名并下载磋商文件的供应商，将通过第三方短信群发方式提醒供应商进行查询。各须重新下载最新的“答疑文件”，并以此编制响应文件。如不以最新发布的“答疑文件”编制响应文件，造成响应无效的后果由供应商自己承担。</w:t>
      </w:r>
    </w:p>
    <w:p w14:paraId="502FC367">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3.2因洛阳市电子招投标交易平台在开标前具有保密性，在响应文件递交截止时间前须自行查看项目进展、变更通知、澄清及回复，因未及时查看而造成的后果自负。</w:t>
      </w:r>
    </w:p>
    <w:p w14:paraId="1E9199B3">
      <w:pPr>
        <w:pStyle w:val="13"/>
        <w:rPr>
          <w:rFonts w:hint="eastAsia" w:ascii="仿宋" w:hAnsi="仿宋" w:eastAsia="仿宋"/>
          <w:b/>
          <w:color w:val="auto"/>
          <w:spacing w:val="14"/>
          <w:sz w:val="24"/>
          <w:szCs w:val="24"/>
        </w:rPr>
      </w:pPr>
      <w:r>
        <w:rPr>
          <w:rFonts w:hint="eastAsia" w:ascii="仿宋" w:hAnsi="仿宋" w:eastAsia="仿宋"/>
          <w:b/>
          <w:color w:val="auto"/>
          <w:spacing w:val="14"/>
          <w:sz w:val="24"/>
          <w:szCs w:val="24"/>
        </w:rPr>
        <w:t>4、磋商开启</w:t>
      </w:r>
    </w:p>
    <w:p w14:paraId="342EF40A">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4.1 采购人在磋商文件规定的时间和地点开启磋商活动，本项目采用远程不见面交易的模式。开标当日，无需到开标现场参加开标会议，授权代表应当在投标截止时间前，登录不见面开标大厅选择洛阳市公共资源电子招投标系统进行登录（http://61.54.85.189/BidOpening），在线准时参加开标活动并进行响应文件解密等。因原因未能解密、解密失败或解密超时的将被拒绝。请参照洛阳市公共资源交易中心首页—办事指南—下载中心—操作手册—《洛阳市公共资源交易中心不见面开标大厅操作手册（供应商）》。</w:t>
      </w:r>
    </w:p>
    <w:p w14:paraId="711AA312">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4.2各供应商应在规定时间内对本单位的响应文件解密。</w:t>
      </w:r>
    </w:p>
    <w:p w14:paraId="3EE362E7">
      <w:pPr>
        <w:pStyle w:val="25"/>
        <w:rPr>
          <w:rFonts w:hint="eastAsia" w:ascii="仿宋" w:hAnsi="仿宋" w:eastAsia="仿宋"/>
          <w:color w:val="auto"/>
          <w:spacing w:val="14"/>
          <w:sz w:val="24"/>
          <w:szCs w:val="24"/>
        </w:rPr>
      </w:pPr>
      <w:r>
        <w:rPr>
          <w:rFonts w:hint="eastAsia" w:ascii="仿宋" w:hAnsi="仿宋" w:eastAsia="仿宋"/>
          <w:color w:val="auto"/>
          <w:spacing w:val="14"/>
          <w:sz w:val="24"/>
          <w:szCs w:val="24"/>
        </w:rPr>
        <w:t>4.3（此条款仅适用于现场开标的项目）开标前，采购代理机构将会同供应商代表检查自己的未加密的电子响应文件的密封情况，确认无误后开标。</w:t>
      </w:r>
    </w:p>
    <w:p w14:paraId="1A44C6C4">
      <w:pPr>
        <w:pStyle w:val="25"/>
        <w:rPr>
          <w:rFonts w:hint="eastAsia" w:ascii="仿宋" w:hAnsi="仿宋" w:eastAsia="仿宋"/>
          <w:color w:val="auto"/>
          <w:spacing w:val="14"/>
          <w:sz w:val="24"/>
          <w:szCs w:val="24"/>
        </w:rPr>
      </w:pPr>
      <w:r>
        <w:rPr>
          <w:rFonts w:hint="eastAsia" w:ascii="仿宋" w:hAnsi="仿宋" w:eastAsia="仿宋"/>
          <w:color w:val="auto"/>
          <w:spacing w:val="14"/>
          <w:sz w:val="24"/>
          <w:szCs w:val="24"/>
        </w:rPr>
        <w:t>4.4（此条款仅适用于现场开标的项目）如供应商现场解密失败，供应商应使用未加密的电子响应文件。</w:t>
      </w:r>
    </w:p>
    <w:p w14:paraId="6BB2363B">
      <w:pPr>
        <w:pStyle w:val="25"/>
        <w:rPr>
          <w:rFonts w:hint="eastAsia" w:ascii="仿宋" w:hAnsi="仿宋" w:eastAsia="仿宋"/>
          <w:color w:val="auto"/>
          <w:spacing w:val="14"/>
          <w:sz w:val="24"/>
          <w:szCs w:val="24"/>
        </w:rPr>
      </w:pPr>
      <w:r>
        <w:rPr>
          <w:rFonts w:hint="eastAsia" w:ascii="仿宋" w:hAnsi="仿宋" w:eastAsia="仿宋"/>
          <w:color w:val="auto"/>
          <w:spacing w:val="14"/>
          <w:sz w:val="24"/>
          <w:szCs w:val="24"/>
        </w:rPr>
        <w:t>4.5（此条款仅适用于现场开标的项目）开标前没有提交未加密的电子响应文件，视同放弃使用未加密的电子响应文件投标。未加密的响应文件现场无法成功上传的，投标无效。</w:t>
      </w:r>
    </w:p>
    <w:p w14:paraId="115EAB85">
      <w:pPr>
        <w:pStyle w:val="25"/>
        <w:rPr>
          <w:rFonts w:hint="eastAsia" w:ascii="仿宋" w:hAnsi="仿宋" w:eastAsia="仿宋"/>
          <w:color w:val="auto"/>
          <w:sz w:val="24"/>
          <w:szCs w:val="24"/>
        </w:rPr>
      </w:pPr>
      <w:r>
        <w:rPr>
          <w:rFonts w:hint="eastAsia" w:ascii="仿宋" w:hAnsi="仿宋" w:eastAsia="仿宋"/>
          <w:color w:val="auto"/>
          <w:spacing w:val="14"/>
          <w:sz w:val="24"/>
          <w:szCs w:val="24"/>
        </w:rPr>
        <w:t>4.6（此条款仅适用于现场开标的项目）未加密的电子响应文件仅仅作为网上提交的加密的电子响应文件在特殊情况下才启用的备份资料。没有提交网上加密电子响应文件，仅提交未加密电子响应文件的，投标无效。</w:t>
      </w:r>
    </w:p>
    <w:p w14:paraId="299B886D">
      <w:pPr>
        <w:pStyle w:val="25"/>
        <w:rPr>
          <w:rFonts w:hint="eastAsia" w:ascii="仿宋" w:hAnsi="仿宋" w:eastAsia="仿宋"/>
          <w:color w:val="auto"/>
          <w:spacing w:val="14"/>
          <w:sz w:val="24"/>
          <w:szCs w:val="24"/>
        </w:rPr>
      </w:pPr>
      <w:r>
        <w:rPr>
          <w:rFonts w:hint="eastAsia" w:ascii="仿宋" w:hAnsi="仿宋" w:eastAsia="仿宋"/>
          <w:color w:val="auto"/>
          <w:spacing w:val="14"/>
          <w:sz w:val="24"/>
          <w:szCs w:val="24"/>
        </w:rPr>
        <w:t>5、为便于供应商（供应商）制作投标（响应）文件，本投标（响应）文件格式所列招标投标的主体称呼及专业术语，也适用于政府采购非招标方式（竞争性谈判、竞争性磋商、询价）对应的主体称呼及专业术语。</w:t>
      </w:r>
    </w:p>
    <w:p w14:paraId="33BA0D92">
      <w:pPr>
        <w:pStyle w:val="25"/>
        <w:rPr>
          <w:rFonts w:hint="eastAsia" w:ascii="仿宋" w:hAnsi="仿宋" w:eastAsia="仿宋"/>
          <w:color w:val="auto"/>
          <w:spacing w:val="14"/>
          <w:sz w:val="24"/>
          <w:szCs w:val="24"/>
        </w:rPr>
      </w:pPr>
      <w:r>
        <w:rPr>
          <w:rFonts w:hint="eastAsia" w:ascii="仿宋" w:hAnsi="仿宋" w:eastAsia="仿宋"/>
          <w:color w:val="auto"/>
          <w:spacing w:val="14"/>
          <w:sz w:val="24"/>
          <w:szCs w:val="24"/>
        </w:rPr>
        <w:t>6、供应商《参与评审打分的证书（证件）一览表》及《参与评审打分的合同业绩一览表》中所填写内容须与表后所附的参与评审打分的证书（证件）扫描件、合同业绩扫描件相对应，否则将不予评审打分。采用竞争性谈判、询价方式的，该两表不进行评审打分。</w:t>
      </w:r>
    </w:p>
    <w:p w14:paraId="52624454">
      <w:pPr>
        <w:pStyle w:val="25"/>
        <w:rPr>
          <w:rFonts w:hint="eastAsia" w:ascii="仿宋" w:hAnsi="仿宋" w:eastAsia="仿宋"/>
          <w:color w:val="auto"/>
          <w:sz w:val="24"/>
          <w:szCs w:val="24"/>
        </w:rPr>
      </w:pPr>
      <w:r>
        <w:rPr>
          <w:rFonts w:hint="eastAsia" w:ascii="仿宋" w:hAnsi="仿宋" w:eastAsia="仿宋"/>
          <w:color w:val="auto"/>
          <w:spacing w:val="14"/>
          <w:sz w:val="24"/>
          <w:szCs w:val="24"/>
        </w:rPr>
        <w:t>7、采购代理机构有权将《报价明细表》、《参与评审打分的证书（证件）一览表》及《参与评审打分的合同业绩一览表》内容进行公示。</w:t>
      </w:r>
    </w:p>
    <w:p w14:paraId="48FC43AF">
      <w:pPr>
        <w:widowControl/>
        <w:spacing w:before="240" w:after="60" w:line="360" w:lineRule="auto"/>
        <w:jc w:val="both"/>
        <w:outlineLvl w:val="0"/>
        <w:rPr>
          <w:rFonts w:hint="eastAsia" w:ascii="仿宋" w:hAnsi="仿宋" w:eastAsia="仿宋" w:cs="宋体"/>
          <w:b/>
          <w:bCs/>
          <w:sz w:val="32"/>
          <w:szCs w:val="32"/>
        </w:rPr>
        <w:sectPr>
          <w:headerReference r:id="rId4" w:type="first"/>
          <w:footerReference r:id="rId7" w:type="first"/>
          <w:headerReference r:id="rId3" w:type="default"/>
          <w:footerReference r:id="rId5" w:type="default"/>
          <w:footerReference r:id="rId6" w:type="even"/>
          <w:pgSz w:w="11906" w:h="16838"/>
          <w:pgMar w:top="1418" w:right="1247" w:bottom="1418" w:left="1418" w:header="680" w:footer="680" w:gutter="0"/>
          <w:pgBorders>
            <w:top w:val="none" w:sz="0" w:space="0"/>
            <w:left w:val="none" w:sz="0" w:space="0"/>
            <w:bottom w:val="none" w:sz="0" w:space="0"/>
            <w:right w:val="none" w:sz="0" w:space="0"/>
          </w:pgBorders>
          <w:cols w:space="720" w:num="1"/>
          <w:docGrid w:type="linesAndChars" w:linePitch="466" w:charSpace="-6394"/>
        </w:sectPr>
      </w:pPr>
      <w:bookmarkStart w:id="4" w:name="_Toc256000026"/>
      <w:bookmarkEnd w:id="4"/>
      <w:bookmarkStart w:id="5" w:name="_Toc1662588"/>
      <w:bookmarkEnd w:id="5"/>
      <w:bookmarkStart w:id="6" w:name="_Toc256000011"/>
      <w:bookmarkEnd w:id="6"/>
      <w:bookmarkStart w:id="7" w:name="_Toc17581"/>
      <w:bookmarkEnd w:id="7"/>
      <w:bookmarkStart w:id="8" w:name="_Toc32461"/>
      <w:bookmarkEnd w:id="8"/>
      <w:bookmarkStart w:id="9" w:name="_Toc504741946"/>
      <w:bookmarkEnd w:id="9"/>
      <w:bookmarkStart w:id="10" w:name="_Toc130305925"/>
      <w:bookmarkStart w:id="11" w:name="_Toc26131"/>
      <w:bookmarkStart w:id="12" w:name="_Toc256000019"/>
      <w:bookmarkStart w:id="13" w:name="_Toc4498"/>
      <w:bookmarkStart w:id="14" w:name="_Toc13150"/>
    </w:p>
    <w:p w14:paraId="4464D4A2">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洛阳市公共资源交易中心暗标要求及暗标编制指引</w:t>
      </w:r>
    </w:p>
    <w:p w14:paraId="57C9203D">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b/>
          <w:bCs/>
          <w:kern w:val="2"/>
          <w:sz w:val="32"/>
          <w:szCs w:val="32"/>
          <w:lang w:val="en-US" w:eastAsia="zh-CN" w:bidi="ar-SA"/>
        </w:rPr>
      </w:pPr>
    </w:p>
    <w:p w14:paraId="691145FA">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一、洛阳市公共资源交易中心投标文件暗标制作要求</w:t>
      </w:r>
    </w:p>
    <w:p w14:paraId="3C7105DC">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（1）签章要求：不得对暗标部分进行电子签章。</w:t>
      </w:r>
    </w:p>
    <w:p w14:paraId="547ADE8D">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（2）排版要求：全文采用A4大小，不允许插入空白页，页边距均为2.5厘米，不得出现页眉、页脚、页码，全文均为白底黑字，字体为宋体四号字，不允许倾斜和下划线，行间距采用固定值28磅，段前段后间距为0。</w:t>
      </w:r>
    </w:p>
    <w:p w14:paraId="0500D010">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（3）标题编号要求：标题序号最多设置7级，每一个暗标部分的标题都要重新开始编号，编号格式为：</w:t>
      </w:r>
    </w:p>
    <w:p w14:paraId="3DCECC9D">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一级为“一、”、“二、”......，</w:t>
      </w:r>
    </w:p>
    <w:p w14:paraId="0C2CFD95">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二级为“（一）”、“（二）”......，</w:t>
      </w:r>
    </w:p>
    <w:p w14:paraId="6FF1AAE3">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三级为“1.”、“2.”......，</w:t>
      </w:r>
    </w:p>
    <w:p w14:paraId="44013EB7">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四级为“（1）”、“（2）”......，</w:t>
      </w:r>
    </w:p>
    <w:p w14:paraId="36610D89">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五级为“1）”、“2）”......，</w:t>
      </w:r>
    </w:p>
    <w:p w14:paraId="3DC8D127">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六级为“a.”、“b.”......，</w:t>
      </w:r>
    </w:p>
    <w:p w14:paraId="521A3A4E">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七级为“a）”、“b）”......。</w:t>
      </w:r>
    </w:p>
    <w:p w14:paraId="7E9BD775">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（4）图表要求：电脑绘制（不得手绘），白底黑字。宋体四号字，字体不允许倾斜和下划线；</w:t>
      </w:r>
    </w:p>
    <w:p w14:paraId="263BCED3">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（5）内容中不得出现投标人名称和其他可识别投标人身份的字符、徽标、人员名称以及其他特殊标记等。</w:t>
      </w:r>
    </w:p>
    <w:p w14:paraId="0301E996">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（6）不得插入图片（招标文件要求有图片除外）。</w:t>
      </w:r>
    </w:p>
    <w:p w14:paraId="1B414FC5">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二、暗标编制特别注意事项</w:t>
      </w:r>
    </w:p>
    <w:p w14:paraId="1ED98272">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（1）黑字必须为标准黑色字体，颜色为RGB（0,0,0）。</w:t>
      </w:r>
    </w:p>
    <w:p w14:paraId="49B020DA">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标准黑色字体设置方式：</w:t>
      </w:r>
    </w:p>
    <w:p w14:paraId="021CE86F">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选中需要设置的文字，选中”字体颜色“，点击更多颜色，</w:t>
      </w:r>
    </w:p>
    <w:p w14:paraId="6259376E">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lang w:val="en-US" w:eastAsia="zh-CN" w:bidi="ar-SA"/>
        </w:rPr>
      </w:pPr>
      <w:r>
        <w:fldChar w:fldCharType="begin"/>
      </w:r>
      <w:r>
        <w:instrText xml:space="preserve"> INCLUDEPICTURE "https://mmecoa.qpic.cn/sz_mmecoa_png/6kzU9UbRXLOXyUoG7V9fDqJL3h9ZDFUmPNxMCxglgGVqx046YSh4FibUcv4iauV74SC6k9dMNPdficF2BRBHeuN1w/640?wx_fmt=png&amp;from=appmsg&amp;tp=wxpic&amp;wxfrom=10005&amp;wx_lazy=1&amp;wx_co=1" \* MERGEFORMAT </w:instrText>
      </w:r>
      <w:r>
        <w:fldChar w:fldCharType="separate"/>
      </w:r>
      <w:r>
        <w:rPr>
          <w:rFonts w:hint="eastAsia" w:ascii="仿宋" w:hAnsi="仿宋" w:eastAsia="仿宋" w:cs="仿宋"/>
          <w:snapToGrid w:val="0"/>
          <w:kern w:val="0"/>
          <w:sz w:val="24"/>
          <w:szCs w:val="24"/>
          <w:lang w:val="en-US" w:eastAsia="zh-CN" w:bidi="ar-SA"/>
        </w:rPr>
        <w:drawing>
          <wp:inline distT="0" distB="0" distL="114300" distR="114300">
            <wp:extent cx="3939540" cy="1938020"/>
            <wp:effectExtent l="0" t="0" r="3810" b="5080"/>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10"/>
                    <a:stretch>
                      <a:fillRect/>
                    </a:stretch>
                  </pic:blipFill>
                  <pic:spPr>
                    <a:xfrm>
                      <a:off x="0" y="0"/>
                      <a:ext cx="3939540" cy="1938020"/>
                    </a:xfrm>
                    <a:prstGeom prst="rect">
                      <a:avLst/>
                    </a:prstGeom>
                    <a:noFill/>
                    <a:ln>
                      <a:noFill/>
                    </a:ln>
                  </pic:spPr>
                </pic:pic>
              </a:graphicData>
            </a:graphic>
          </wp:inline>
        </w:drawing>
      </w:r>
      <w:r>
        <w:fldChar w:fldCharType="end"/>
      </w:r>
    </w:p>
    <w:p w14:paraId="2C8CB33F">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选择自定义颜色，红色：绿色：蓝色均设置0：0：0，颜色即为标准黑色RGB（0,0,0）。</w:t>
      </w:r>
    </w:p>
    <w:p w14:paraId="39039A59">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lang w:val="en-US" w:eastAsia="zh-CN" w:bidi="ar-SA"/>
        </w:rPr>
      </w:pPr>
      <w:r>
        <w:fldChar w:fldCharType="begin"/>
      </w:r>
      <w:r>
        <w:instrText xml:space="preserve"> INCLUDEPICTURE "https://mmecoa.qpic.cn/sz_mmecoa_png/6kzU9UbRXLOXyUoG7V9fDqJL3h9ZDFUm5gwkezzoooK8xhXfW3MPghCfBCxiaNcCZTzq8AIWeJ3oNRhgw6IM5VA/640?wx_fmt=png&amp;from=appmsg&amp;tp=wxpic&amp;wxfrom=10005&amp;wx_lazy=1&amp;wx_co=1" \* MERGEFORMAT </w:instrText>
      </w:r>
      <w:r>
        <w:fldChar w:fldCharType="separate"/>
      </w:r>
      <w:r>
        <w:rPr>
          <w:rFonts w:hint="eastAsia" w:ascii="仿宋" w:hAnsi="仿宋" w:eastAsia="仿宋" w:cs="仿宋"/>
          <w:snapToGrid w:val="0"/>
          <w:kern w:val="0"/>
          <w:sz w:val="24"/>
          <w:szCs w:val="24"/>
          <w:lang w:val="en-US" w:eastAsia="zh-CN" w:bidi="ar-SA"/>
        </w:rPr>
        <w:drawing>
          <wp:inline distT="0" distB="0" distL="114300" distR="114300">
            <wp:extent cx="3951605" cy="2538095"/>
            <wp:effectExtent l="0" t="0" r="10795" b="14605"/>
            <wp:docPr id="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7"/>
                    <pic:cNvPicPr>
                      <a:picLocks noChangeAspect="1"/>
                    </pic:cNvPicPr>
                  </pic:nvPicPr>
                  <pic:blipFill>
                    <a:blip r:embed="rId11"/>
                    <a:stretch>
                      <a:fillRect/>
                    </a:stretch>
                  </pic:blipFill>
                  <pic:spPr>
                    <a:xfrm>
                      <a:off x="0" y="0"/>
                      <a:ext cx="3951605" cy="2538095"/>
                    </a:xfrm>
                    <a:prstGeom prst="rect">
                      <a:avLst/>
                    </a:prstGeom>
                    <a:noFill/>
                    <a:ln>
                      <a:noFill/>
                    </a:ln>
                  </pic:spPr>
                </pic:pic>
              </a:graphicData>
            </a:graphic>
          </wp:inline>
        </w:drawing>
      </w:r>
      <w:r>
        <w:fldChar w:fldCharType="end"/>
      </w:r>
    </w:p>
    <w:p w14:paraId="345AD623">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（2）标题编号制作方式：选择标题文字段，点击工具栏的标题，选择对应的标题级别。</w:t>
      </w:r>
    </w:p>
    <w:p w14:paraId="089CBF46">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lang w:val="en-US" w:eastAsia="zh-CN" w:bidi="ar-SA"/>
        </w:rPr>
      </w:pPr>
      <w:r>
        <w:fldChar w:fldCharType="begin"/>
      </w:r>
      <w:r>
        <w:instrText xml:space="preserve"> INCLUDEPICTURE "https://mmecoa.qpic.cn/sz_mmecoa_png/6kzU9UbRXLOXyUoG7V9fDqJL3h9ZDFUmtW2B4xcU4JBrPtoIXmjsOaaZDIdQlFiaI4u6Tx5JOznjibQRVbia8KsnA/640?wx_fmt=png&amp;from=appmsg&amp;tp=wxpic&amp;wxfrom=10005&amp;wx_lazy=1&amp;wx_co=1" \* MERGEFORMAT </w:instrText>
      </w:r>
      <w:r>
        <w:fldChar w:fldCharType="separate"/>
      </w:r>
      <w:r>
        <w:rPr>
          <w:rFonts w:hint="eastAsia" w:ascii="仿宋" w:hAnsi="仿宋" w:eastAsia="仿宋" w:cs="仿宋"/>
          <w:snapToGrid w:val="0"/>
          <w:kern w:val="0"/>
          <w:sz w:val="24"/>
          <w:szCs w:val="24"/>
          <w:lang w:val="en-US" w:eastAsia="zh-CN" w:bidi="ar-SA"/>
        </w:rPr>
        <w:drawing>
          <wp:inline distT="0" distB="0" distL="114300" distR="114300">
            <wp:extent cx="4083050" cy="2487295"/>
            <wp:effectExtent l="0" t="0" r="12700" b="8255"/>
            <wp:docPr id="10"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258"/>
                    <pic:cNvPicPr>
                      <a:picLocks noChangeAspect="1"/>
                    </pic:cNvPicPr>
                  </pic:nvPicPr>
                  <pic:blipFill>
                    <a:blip r:embed="rId12"/>
                    <a:stretch>
                      <a:fillRect/>
                    </a:stretch>
                  </pic:blipFill>
                  <pic:spPr>
                    <a:xfrm>
                      <a:off x="0" y="0"/>
                      <a:ext cx="4083050" cy="2487295"/>
                    </a:xfrm>
                    <a:prstGeom prst="rect">
                      <a:avLst/>
                    </a:prstGeom>
                    <a:noFill/>
                    <a:ln>
                      <a:noFill/>
                    </a:ln>
                  </pic:spPr>
                </pic:pic>
              </a:graphicData>
            </a:graphic>
          </wp:inline>
        </w:drawing>
      </w:r>
      <w:r>
        <w:fldChar w:fldCharType="end"/>
      </w:r>
    </w:p>
    <w:p w14:paraId="22E8C28E">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（3）暗标内容编制完成后，全选以后查看字体字号颜色设置，手动进行调整为宋体四号，确保全文的文字均为宋体四号。颜色参考第一条进行调整。</w:t>
      </w:r>
    </w:p>
    <w:p w14:paraId="7FD6588B">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lang w:val="en-US" w:eastAsia="zh-CN" w:bidi="ar-SA"/>
        </w:rPr>
      </w:pPr>
      <w:r>
        <w:fldChar w:fldCharType="begin"/>
      </w:r>
      <w:r>
        <w:instrText xml:space="preserve"> INCLUDEPICTURE "https://mmecoa.qpic.cn/sz_mmecoa_png/6kzU9UbRXLOXyUoG7V9fDqJL3h9ZDFUmIZlkHQac7zHbWF3jbBgYic6R3APQFLm4DTJEk2nTZMNL6Ad9FJPATaA/640?wx_fmt=png&amp;tp=wxpic&amp;wxfrom=10005&amp;wx_lazy=1&amp;wx_co=1" \* MERGEFORMAT </w:instrText>
      </w:r>
      <w:r>
        <w:fldChar w:fldCharType="separate"/>
      </w:r>
      <w:r>
        <w:rPr>
          <w:rFonts w:hint="eastAsia" w:ascii="仿宋" w:hAnsi="仿宋" w:eastAsia="仿宋" w:cs="仿宋"/>
          <w:snapToGrid w:val="0"/>
          <w:kern w:val="0"/>
          <w:sz w:val="24"/>
          <w:szCs w:val="24"/>
          <w:lang w:val="en-US" w:eastAsia="zh-CN" w:bidi="ar-SA"/>
        </w:rPr>
        <w:drawing>
          <wp:inline distT="0" distB="0" distL="114300" distR="114300">
            <wp:extent cx="4805680" cy="2818130"/>
            <wp:effectExtent l="0" t="0" r="13970" b="1270"/>
            <wp:docPr id="9"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9"/>
                    <pic:cNvPicPr>
                      <a:picLocks noChangeAspect="1"/>
                    </pic:cNvPicPr>
                  </pic:nvPicPr>
                  <pic:blipFill>
                    <a:blip r:embed="rId13"/>
                    <a:stretch>
                      <a:fillRect/>
                    </a:stretch>
                  </pic:blipFill>
                  <pic:spPr>
                    <a:xfrm>
                      <a:off x="0" y="0"/>
                      <a:ext cx="4805680" cy="2818130"/>
                    </a:xfrm>
                    <a:prstGeom prst="rect">
                      <a:avLst/>
                    </a:prstGeom>
                    <a:noFill/>
                    <a:ln>
                      <a:noFill/>
                    </a:ln>
                  </pic:spPr>
                </pic:pic>
              </a:graphicData>
            </a:graphic>
          </wp:inline>
        </w:drawing>
      </w:r>
      <w:r>
        <w:fldChar w:fldCharType="end"/>
      </w:r>
    </w:p>
    <w:p w14:paraId="082A3167">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（4）全选以后，右键选择段落，在弹出的页面间距部分选择：段前，段后0行，行距选择固定值，填写28磅。</w:t>
      </w:r>
    </w:p>
    <w:p w14:paraId="31D923EF">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lang w:val="en-US" w:eastAsia="zh-CN" w:bidi="ar-SA"/>
        </w:rPr>
      </w:pPr>
      <w:r>
        <w:fldChar w:fldCharType="begin"/>
      </w:r>
      <w:r>
        <w:instrText xml:space="preserve"> INCLUDEPICTURE "https://mmecoa.qpic.cn/sz_mmecoa_png/6kzU9UbRXLOXyUoG7V9fDqJL3h9ZDFUmun5zVTJUHasYxBSUCxDGJpRjS3NZ2ViaF8RHG1dKq6yh6iaOUHNtXqeA/640?wx_fmt=png&amp;from=appmsg&amp;tp=wxpic&amp;wxfrom=10005&amp;wx_lazy=1&amp;wx_co=1" \* MERGEFORMAT </w:instrText>
      </w:r>
      <w:r>
        <w:fldChar w:fldCharType="separate"/>
      </w:r>
      <w:r>
        <w:rPr>
          <w:rFonts w:hint="eastAsia" w:ascii="仿宋" w:hAnsi="仿宋" w:eastAsia="仿宋" w:cs="仿宋"/>
          <w:snapToGrid w:val="0"/>
          <w:kern w:val="0"/>
          <w:sz w:val="24"/>
          <w:szCs w:val="24"/>
          <w:lang w:val="en-US" w:eastAsia="zh-CN" w:bidi="ar-SA"/>
        </w:rPr>
        <w:drawing>
          <wp:inline distT="0" distB="0" distL="114300" distR="114300">
            <wp:extent cx="4895215" cy="4155440"/>
            <wp:effectExtent l="0" t="0" r="635" b="16510"/>
            <wp:docPr id="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60"/>
                    <pic:cNvPicPr>
                      <a:picLocks noChangeAspect="1"/>
                    </pic:cNvPicPr>
                  </pic:nvPicPr>
                  <pic:blipFill>
                    <a:blip r:embed="rId14"/>
                    <a:stretch>
                      <a:fillRect/>
                    </a:stretch>
                  </pic:blipFill>
                  <pic:spPr>
                    <a:xfrm>
                      <a:off x="0" y="0"/>
                      <a:ext cx="4895215" cy="4155440"/>
                    </a:xfrm>
                    <a:prstGeom prst="rect">
                      <a:avLst/>
                    </a:prstGeom>
                    <a:noFill/>
                    <a:ln>
                      <a:noFill/>
                    </a:ln>
                  </pic:spPr>
                </pic:pic>
              </a:graphicData>
            </a:graphic>
          </wp:inline>
        </w:drawing>
      </w:r>
      <w:r>
        <w:fldChar w:fldCharType="end"/>
      </w:r>
    </w:p>
    <w:p w14:paraId="57BE651E">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lang w:val="en-US" w:eastAsia="zh-CN" w:bidi="ar-SA"/>
        </w:rPr>
      </w:pPr>
      <w:r>
        <w:fldChar w:fldCharType="begin"/>
      </w:r>
      <w:r>
        <w:instrText xml:space="preserve"> INCLUDEPICTURE "https://mmecoa.qpic.cn/sz_mmecoa_png/6kzU9UbRXLOXyUoG7V9fDqJL3h9ZDFUmZvBerlm1U3ZJX10t31Slm636TbNkh4InAnWDRsUzLSST09iaO9VULWg/640?wx_fmt=png&amp;from=appmsg&amp;tp=wxpic&amp;wxfrom=10005&amp;wx_lazy=1&amp;wx_co=1" \* MERGEFORMAT </w:instrText>
      </w:r>
      <w:r>
        <w:fldChar w:fldCharType="separate"/>
      </w:r>
      <w:r>
        <w:rPr>
          <w:rFonts w:hint="eastAsia" w:ascii="仿宋" w:hAnsi="仿宋" w:eastAsia="仿宋" w:cs="仿宋"/>
          <w:snapToGrid w:val="0"/>
          <w:kern w:val="0"/>
          <w:sz w:val="24"/>
          <w:szCs w:val="24"/>
          <w:lang w:val="en-US" w:eastAsia="zh-CN" w:bidi="ar-SA"/>
        </w:rPr>
        <w:drawing>
          <wp:inline distT="0" distB="0" distL="114300" distR="114300">
            <wp:extent cx="3654425" cy="4187190"/>
            <wp:effectExtent l="0" t="0" r="3175" b="3810"/>
            <wp:docPr id="11"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IMG_261"/>
                    <pic:cNvPicPr>
                      <a:picLocks noChangeAspect="1"/>
                    </pic:cNvPicPr>
                  </pic:nvPicPr>
                  <pic:blipFill>
                    <a:blip r:embed="rId15"/>
                    <a:stretch>
                      <a:fillRect/>
                    </a:stretch>
                  </pic:blipFill>
                  <pic:spPr>
                    <a:xfrm>
                      <a:off x="0" y="0"/>
                      <a:ext cx="3654425" cy="4187190"/>
                    </a:xfrm>
                    <a:prstGeom prst="rect">
                      <a:avLst/>
                    </a:prstGeom>
                    <a:noFill/>
                    <a:ln>
                      <a:noFill/>
                    </a:ln>
                  </pic:spPr>
                </pic:pic>
              </a:graphicData>
            </a:graphic>
          </wp:inline>
        </w:drawing>
      </w:r>
      <w:r>
        <w:fldChar w:fldCharType="end"/>
      </w:r>
    </w:p>
    <w:p w14:paraId="10CEB25C">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（5）切换到页面标签，点击页边距按钮。选择自定义页边距，在页面设置页面，将边距均填写2.5cm，应用于整篇文档，之后确定即可。</w:t>
      </w:r>
    </w:p>
    <w:p w14:paraId="465EC464">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lang w:val="en-US" w:eastAsia="zh-CN" w:bidi="ar-SA"/>
        </w:rPr>
      </w:pPr>
      <w:r>
        <w:fldChar w:fldCharType="begin"/>
      </w:r>
      <w:r>
        <w:instrText xml:space="preserve"> INCLUDEPICTURE "https://mmecoa.qpic.cn/sz_mmecoa_png/6kzU9UbRXLOXyUoG7V9fDqJL3h9ZDFUmEMxG2tNBvMibsgj15yGvibbMWeCmmKgyX1QLUnQplzaUgKzF3EdntnyQ/640?wx_fmt=png&amp;from=appmsg&amp;tp=wxpic&amp;wxfrom=10005&amp;wx_lazy=1&amp;wx_co=1" \* MERGEFORMAT </w:instrText>
      </w:r>
      <w:r>
        <w:fldChar w:fldCharType="separate"/>
      </w:r>
      <w:r>
        <w:rPr>
          <w:rFonts w:hint="eastAsia" w:ascii="仿宋" w:hAnsi="仿宋" w:eastAsia="仿宋" w:cs="仿宋"/>
          <w:snapToGrid w:val="0"/>
          <w:kern w:val="0"/>
          <w:sz w:val="24"/>
          <w:szCs w:val="24"/>
          <w:lang w:val="en-US" w:eastAsia="zh-CN" w:bidi="ar-SA"/>
        </w:rPr>
        <w:drawing>
          <wp:inline distT="0" distB="0" distL="114300" distR="114300">
            <wp:extent cx="4172585" cy="3632200"/>
            <wp:effectExtent l="0" t="0" r="18415" b="6350"/>
            <wp:docPr id="12"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IMG_262"/>
                    <pic:cNvPicPr>
                      <a:picLocks noChangeAspect="1"/>
                    </pic:cNvPicPr>
                  </pic:nvPicPr>
                  <pic:blipFill>
                    <a:blip r:embed="rId16"/>
                    <a:stretch>
                      <a:fillRect/>
                    </a:stretch>
                  </pic:blipFill>
                  <pic:spPr>
                    <a:xfrm>
                      <a:off x="0" y="0"/>
                      <a:ext cx="4172585" cy="3632200"/>
                    </a:xfrm>
                    <a:prstGeom prst="rect">
                      <a:avLst/>
                    </a:prstGeom>
                    <a:noFill/>
                    <a:ln>
                      <a:noFill/>
                    </a:ln>
                  </pic:spPr>
                </pic:pic>
              </a:graphicData>
            </a:graphic>
          </wp:inline>
        </w:drawing>
      </w:r>
      <w:r>
        <w:fldChar w:fldCharType="end"/>
      </w:r>
    </w:p>
    <w:p w14:paraId="11304BD9">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lang w:val="en-US" w:eastAsia="zh-CN" w:bidi="ar-SA"/>
        </w:rPr>
      </w:pPr>
      <w:r>
        <w:fldChar w:fldCharType="begin"/>
      </w:r>
      <w:r>
        <w:instrText xml:space="preserve"> INCLUDEPICTURE "https://mmecoa.qpic.cn/sz_mmecoa_png/6kzU9UbRXLOXyUoG7V9fDqJL3h9ZDFUmMhwvqqdL3HMZluiaBO5Sg6cgneDJDqDakPJibTCWcAWWTkIjv8AjlJAQ/640?wx_fmt=png&amp;from=appmsg&amp;tp=wxpic&amp;wxfrom=10005&amp;wx_lazy=1&amp;wx_co=1" \* MERGEFORMAT </w:instrText>
      </w:r>
      <w:r>
        <w:fldChar w:fldCharType="separate"/>
      </w:r>
      <w:r>
        <w:rPr>
          <w:rFonts w:hint="eastAsia" w:ascii="仿宋" w:hAnsi="仿宋" w:eastAsia="仿宋" w:cs="仿宋"/>
          <w:snapToGrid w:val="0"/>
          <w:kern w:val="0"/>
          <w:sz w:val="24"/>
          <w:szCs w:val="24"/>
          <w:lang w:val="en-US" w:eastAsia="zh-CN" w:bidi="ar-SA"/>
        </w:rPr>
        <w:drawing>
          <wp:inline distT="0" distB="0" distL="114300" distR="114300">
            <wp:extent cx="3403600" cy="4153535"/>
            <wp:effectExtent l="0" t="0" r="6350" b="18415"/>
            <wp:docPr id="1"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IMG_263"/>
                    <pic:cNvPicPr>
                      <a:picLocks noChangeAspect="1"/>
                    </pic:cNvPicPr>
                  </pic:nvPicPr>
                  <pic:blipFill>
                    <a:blip r:embed="rId17"/>
                    <a:stretch>
                      <a:fillRect/>
                    </a:stretch>
                  </pic:blipFill>
                  <pic:spPr>
                    <a:xfrm>
                      <a:off x="0" y="0"/>
                      <a:ext cx="3403600" cy="4153535"/>
                    </a:xfrm>
                    <a:prstGeom prst="rect">
                      <a:avLst/>
                    </a:prstGeom>
                    <a:noFill/>
                    <a:ln>
                      <a:noFill/>
                    </a:ln>
                  </pic:spPr>
                </pic:pic>
              </a:graphicData>
            </a:graphic>
          </wp:inline>
        </w:drawing>
      </w:r>
      <w:r>
        <w:fldChar w:fldCharType="end"/>
      </w:r>
    </w:p>
    <w:p w14:paraId="273AA89D">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（6）如果暗标制作过程需要复制其他文档，粘贴时使用右键，选择“选择性粘贴”，使用“无格式文本”。这样可以保持格式和已完成的内容一致。</w:t>
      </w:r>
    </w:p>
    <w:p w14:paraId="191F67CF">
      <w:pPr>
        <w:keepNext w:val="0"/>
        <w:keepLines w:val="0"/>
        <w:pageBreakBefore w:val="0"/>
        <w:widowControl w:val="0"/>
        <w:kinsoku/>
        <w:wordWrap/>
        <w:overflowPunct/>
        <w:topLinePunct w:val="0"/>
        <w:autoSpaceDE/>
        <w:autoSpaceDN/>
        <w:bidi w:val="0"/>
        <w:adjustRightInd/>
        <w:snapToGrid/>
        <w:spacing w:after="0" w:line="240" w:lineRule="auto"/>
        <w:ind w:left="0" w:leftChars="0" w:firstLine="358" w:firstLineChars="200"/>
        <w:jc w:val="center"/>
        <w:textAlignment w:val="baseline"/>
        <w:rPr>
          <w:rFonts w:hint="eastAsia" w:ascii="仿宋" w:hAnsi="仿宋" w:eastAsia="仿宋" w:cs="仿宋"/>
          <w:snapToGrid w:val="0"/>
          <w:kern w:val="0"/>
          <w:sz w:val="24"/>
          <w:szCs w:val="24"/>
          <w:lang w:val="en-US" w:eastAsia="zh-CN" w:bidi="ar-SA"/>
        </w:rPr>
      </w:pPr>
      <w:r>
        <w:fldChar w:fldCharType="begin"/>
      </w:r>
      <w:r>
        <w:instrText xml:space="preserve"> INCLUDEPICTURE "https://mmecoa.qpic.cn/sz_mmecoa_png/6kzU9UbRXLOXyUoG7V9fDqJL3h9ZDFUm6ibBMFaFtSopdXDEmCq64aqvEpicfGfibHu8Sic23sHIpWQjXoibaHEKLHQ/640?wx_fmt=png&amp;from=appmsg&amp;tp=wxpic&amp;wxfrom=10005&amp;wx_lazy=1&amp;wx_co=1" \* MERGEFORMAT </w:instrText>
      </w:r>
      <w:r>
        <w:fldChar w:fldCharType="separate"/>
      </w:r>
      <w:r>
        <w:rPr>
          <w:rFonts w:hint="eastAsia" w:ascii="仿宋" w:hAnsi="仿宋" w:eastAsia="仿宋" w:cs="仿宋"/>
          <w:snapToGrid w:val="0"/>
          <w:kern w:val="0"/>
          <w:sz w:val="24"/>
          <w:szCs w:val="24"/>
          <w:lang w:val="en-US" w:eastAsia="zh-CN" w:bidi="ar-SA"/>
        </w:rPr>
        <w:drawing>
          <wp:inline distT="0" distB="0" distL="114300" distR="114300">
            <wp:extent cx="3500120" cy="3818890"/>
            <wp:effectExtent l="0" t="0" r="5080" b="10160"/>
            <wp:docPr id="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IMG_264"/>
                    <pic:cNvPicPr>
                      <a:picLocks noChangeAspect="1"/>
                    </pic:cNvPicPr>
                  </pic:nvPicPr>
                  <pic:blipFill>
                    <a:blip r:embed="rId18"/>
                    <a:stretch>
                      <a:fillRect/>
                    </a:stretch>
                  </pic:blipFill>
                  <pic:spPr>
                    <a:xfrm>
                      <a:off x="0" y="0"/>
                      <a:ext cx="3500120" cy="3818890"/>
                    </a:xfrm>
                    <a:prstGeom prst="rect">
                      <a:avLst/>
                    </a:prstGeom>
                    <a:noFill/>
                    <a:ln>
                      <a:noFill/>
                    </a:ln>
                  </pic:spPr>
                </pic:pic>
              </a:graphicData>
            </a:graphic>
          </wp:inline>
        </w:drawing>
      </w:r>
      <w:r>
        <w:fldChar w:fldCharType="end"/>
      </w:r>
    </w:p>
    <w:p w14:paraId="5ED485DB">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lang w:val="en-US" w:eastAsia="zh-CN" w:bidi="ar-SA"/>
        </w:rPr>
      </w:pPr>
      <w:r>
        <w:fldChar w:fldCharType="begin"/>
      </w:r>
      <w:r>
        <w:instrText xml:space="preserve"> INCLUDEPICTURE "https://mmecoa.qpic.cn/sz_mmecoa_png/6kzU9UbRXLOXyUoG7V9fDqJL3h9ZDFUmnib77DqG3hv0cSo3TyNgvTmPjDcu8NR2HLJT2hY1QjCPP1AWh50e91Q/640?wx_fmt=png&amp;from=appmsg&amp;tp=wxpic&amp;wxfrom=10005&amp;wx_lazy=1&amp;wx_co=1" \* MERGEFORMAT </w:instrText>
      </w:r>
      <w:r>
        <w:fldChar w:fldCharType="separate"/>
      </w:r>
      <w:r>
        <w:rPr>
          <w:rFonts w:hint="eastAsia" w:ascii="仿宋" w:hAnsi="仿宋" w:eastAsia="仿宋" w:cs="仿宋"/>
          <w:snapToGrid w:val="0"/>
          <w:kern w:val="0"/>
          <w:sz w:val="24"/>
          <w:szCs w:val="24"/>
          <w:lang w:val="en-US" w:eastAsia="zh-CN" w:bidi="ar-SA"/>
        </w:rPr>
        <w:drawing>
          <wp:inline distT="0" distB="0" distL="114300" distR="114300">
            <wp:extent cx="4096385" cy="3328035"/>
            <wp:effectExtent l="0" t="0" r="18415" b="5715"/>
            <wp:docPr id="3"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IMG_265"/>
                    <pic:cNvPicPr>
                      <a:picLocks noChangeAspect="1"/>
                    </pic:cNvPicPr>
                  </pic:nvPicPr>
                  <pic:blipFill>
                    <a:blip r:embed="rId19"/>
                    <a:stretch>
                      <a:fillRect/>
                    </a:stretch>
                  </pic:blipFill>
                  <pic:spPr>
                    <a:xfrm>
                      <a:off x="0" y="0"/>
                      <a:ext cx="4096385" cy="3328035"/>
                    </a:xfrm>
                    <a:prstGeom prst="rect">
                      <a:avLst/>
                    </a:prstGeom>
                    <a:noFill/>
                    <a:ln>
                      <a:noFill/>
                    </a:ln>
                  </pic:spPr>
                </pic:pic>
              </a:graphicData>
            </a:graphic>
          </wp:inline>
        </w:drawing>
      </w:r>
      <w:r>
        <w:fldChar w:fldCharType="end"/>
      </w:r>
    </w:p>
    <w:p w14:paraId="4546C84E">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（7）每个暗标评审点的文档都要重新开始标题编号。</w:t>
      </w:r>
    </w:p>
    <w:p w14:paraId="40F1AB7A">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8）不允许出现能透露投标人信息的内容。不能出现涉及投标供应商信息、投标产品信息、产品厂家信息及其他能够识别到投标供应商的任何信息（暗标部分信息处理：单位名称必须隐去，一律采用本公司、我公司来表示；暗标中如有相关证明材料、企业制度等，必须遮盖投标单位的名称、标志及相关可识别信息）。</w:t>
      </w:r>
    </w:p>
    <w:p w14:paraId="3159CE50">
      <w:pPr>
        <w:widowControl/>
        <w:spacing w:before="240" w:after="60" w:line="360" w:lineRule="auto"/>
        <w:jc w:val="center"/>
        <w:outlineLvl w:val="9"/>
        <w:rPr>
          <w:rFonts w:hint="eastAsia" w:ascii="仿宋" w:hAnsi="仿宋" w:eastAsia="仿宋" w:cs="仿宋"/>
          <w:b/>
          <w:bCs/>
          <w:snapToGrid w:val="0"/>
          <w:color w:val="000000"/>
          <w:spacing w:val="-16"/>
          <w:kern w:val="0"/>
          <w:sz w:val="32"/>
          <w:szCs w:val="32"/>
          <w:highlight w:val="yellow"/>
          <w:lang w:eastAsia="en-US"/>
        </w:rPr>
        <w:sectPr>
          <w:pgSz w:w="11906" w:h="16838"/>
          <w:pgMar w:top="1418" w:right="1247" w:bottom="1418" w:left="1418" w:header="680" w:footer="680" w:gutter="0"/>
          <w:pgBorders>
            <w:top w:val="none" w:sz="0" w:space="0"/>
            <w:left w:val="none" w:sz="0" w:space="0"/>
            <w:bottom w:val="none" w:sz="0" w:space="0"/>
            <w:right w:val="none" w:sz="0" w:space="0"/>
          </w:pgBorders>
          <w:cols w:space="720" w:num="1"/>
          <w:docGrid w:type="linesAndChars" w:linePitch="466" w:charSpace="-6394"/>
        </w:sectPr>
      </w:pPr>
      <w:r>
        <w:rPr>
          <w:rFonts w:hint="eastAsia" w:ascii="仿宋" w:hAnsi="仿宋" w:eastAsia="仿宋" w:cs="仿宋"/>
          <w:b/>
          <w:bCs/>
          <w:spacing w:val="-16"/>
          <w:sz w:val="45"/>
          <w:szCs w:val="45"/>
        </w:rPr>
        <w:br w:type="page"/>
      </w:r>
      <w:r>
        <w:rPr>
          <w:rFonts w:hint="eastAsia" w:ascii="仿宋" w:hAnsi="仿宋" w:eastAsia="仿宋" w:cs="仿宋"/>
          <w:b/>
          <w:bCs/>
          <w:snapToGrid w:val="0"/>
          <w:color w:val="000000"/>
          <w:spacing w:val="-16"/>
          <w:kern w:val="0"/>
          <w:sz w:val="32"/>
          <w:szCs w:val="32"/>
          <w:highlight w:val="none"/>
          <w:lang w:eastAsia="en-US"/>
        </w:rPr>
        <w:t>招标文件及发布方式公平竞争审查自</w:t>
      </w:r>
      <w:r>
        <w:rPr>
          <w:rFonts w:hint="eastAsia" w:ascii="仿宋" w:hAnsi="仿宋" w:eastAsia="仿宋" w:cs="仿宋"/>
          <w:b/>
          <w:bCs/>
          <w:snapToGrid w:val="0"/>
          <w:color w:val="000000"/>
          <w:spacing w:val="-16"/>
          <w:kern w:val="0"/>
          <w:sz w:val="32"/>
          <w:szCs w:val="32"/>
          <w:highlight w:val="none"/>
          <w:lang w:eastAsia="en-US"/>
        </w:rPr>
        <w:drawing>
          <wp:anchor distT="0" distB="0" distL="114300" distR="114300" simplePos="0" relativeHeight="251660288" behindDoc="1" locked="0" layoutInCell="1" allowOverlap="1">
            <wp:simplePos x="0" y="0"/>
            <wp:positionH relativeFrom="column">
              <wp:posOffset>0</wp:posOffset>
            </wp:positionH>
            <wp:positionV relativeFrom="paragraph">
              <wp:posOffset>137795</wp:posOffset>
            </wp:positionV>
            <wp:extent cx="5865495" cy="8295005"/>
            <wp:effectExtent l="0" t="0" r="1905" b="10795"/>
            <wp:wrapNone/>
            <wp:docPr id="13" name="图片 13" descr="招标文件公平自查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招标文件公平自查表_01"/>
                    <pic:cNvPicPr>
                      <a:picLocks noChangeAspect="1"/>
                    </pic:cNvPicPr>
                  </pic:nvPicPr>
                  <pic:blipFill>
                    <a:blip r:embed="rId20"/>
                    <a:stretch>
                      <a:fillRect/>
                    </a:stretch>
                  </pic:blipFill>
                  <pic:spPr>
                    <a:xfrm>
                      <a:off x="0" y="0"/>
                      <a:ext cx="5865495" cy="8295005"/>
                    </a:xfrm>
                    <a:prstGeom prst="rect">
                      <a:avLst/>
                    </a:prstGeom>
                  </pic:spPr>
                </pic:pic>
              </a:graphicData>
            </a:graphic>
          </wp:anchor>
        </w:drawing>
      </w:r>
      <w:r>
        <w:rPr>
          <w:rFonts w:hint="eastAsia" w:ascii="仿宋" w:hAnsi="仿宋" w:eastAsia="仿宋" w:cs="仿宋"/>
          <w:b/>
          <w:bCs/>
          <w:snapToGrid w:val="0"/>
          <w:color w:val="000000"/>
          <w:spacing w:val="-16"/>
          <w:kern w:val="0"/>
          <w:sz w:val="32"/>
          <w:szCs w:val="32"/>
          <w:highlight w:val="none"/>
          <w:lang w:eastAsia="en-US"/>
        </w:rPr>
        <w:t>查表</w:t>
      </w:r>
    </w:p>
    <w:p w14:paraId="354152DC">
      <w:pPr>
        <w:pStyle w:val="2"/>
        <w:rPr>
          <w:rFonts w:hint="eastAsia"/>
          <w:lang w:eastAsia="zh-CN"/>
        </w:rPr>
        <w:sectPr>
          <w:pgSz w:w="11906" w:h="16838"/>
          <w:pgMar w:top="1418" w:right="1247" w:bottom="1418" w:left="1418" w:header="680" w:footer="680" w:gutter="0"/>
          <w:pgBorders>
            <w:top w:val="none" w:sz="0" w:space="0"/>
            <w:left w:val="none" w:sz="0" w:space="0"/>
            <w:bottom w:val="none" w:sz="0" w:space="0"/>
            <w:right w:val="none" w:sz="0" w:space="0"/>
          </w:pgBorders>
          <w:cols w:space="720" w:num="1"/>
          <w:docGrid w:type="linesAndChars" w:linePitch="466" w:charSpace="-6394"/>
        </w:sectPr>
      </w:pPr>
      <w:r>
        <w:rPr>
          <w:rFonts w:hint="eastAsia"/>
          <w:lang w:eastAsia="zh-CN"/>
        </w:rPr>
        <w:drawing>
          <wp:anchor distT="0" distB="0" distL="114300" distR="114300" simplePos="0" relativeHeight="251661312" behindDoc="1" locked="0" layoutInCell="1" allowOverlap="1">
            <wp:simplePos x="0" y="0"/>
            <wp:positionH relativeFrom="column">
              <wp:posOffset>0</wp:posOffset>
            </wp:positionH>
            <wp:positionV relativeFrom="paragraph">
              <wp:posOffset>0</wp:posOffset>
            </wp:positionV>
            <wp:extent cx="5865495" cy="8295005"/>
            <wp:effectExtent l="0" t="0" r="1905" b="10795"/>
            <wp:wrapNone/>
            <wp:docPr id="14" name="图片 14" descr="招标文件公平自查表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招标文件公平自查表_02"/>
                    <pic:cNvPicPr>
                      <a:picLocks noChangeAspect="1"/>
                    </pic:cNvPicPr>
                  </pic:nvPicPr>
                  <pic:blipFill>
                    <a:blip r:embed="rId21"/>
                    <a:stretch>
                      <a:fillRect/>
                    </a:stretch>
                  </pic:blipFill>
                  <pic:spPr>
                    <a:xfrm>
                      <a:off x="0" y="0"/>
                      <a:ext cx="5865495" cy="8295005"/>
                    </a:xfrm>
                    <a:prstGeom prst="rect">
                      <a:avLst/>
                    </a:prstGeom>
                  </pic:spPr>
                </pic:pic>
              </a:graphicData>
            </a:graphic>
          </wp:anchor>
        </w:drawing>
      </w:r>
    </w:p>
    <w:p w14:paraId="66D7B746">
      <w:pPr>
        <w:widowControl/>
        <w:spacing w:before="240" w:after="60" w:line="360" w:lineRule="auto"/>
        <w:jc w:val="center"/>
        <w:outlineLvl w:val="0"/>
        <w:rPr>
          <w:rFonts w:hint="eastAsia" w:ascii="仿宋" w:hAnsi="仿宋" w:eastAsia="仿宋" w:cs="宋体"/>
          <w:b/>
          <w:bCs/>
          <w:sz w:val="32"/>
          <w:szCs w:val="32"/>
          <w:highlight w:val="none"/>
        </w:rPr>
      </w:pPr>
      <w:r>
        <w:rPr>
          <w:rFonts w:hint="eastAsia" w:ascii="仿宋" w:hAnsi="仿宋" w:eastAsia="仿宋" w:cs="宋体"/>
          <w:b/>
          <w:bCs/>
          <w:sz w:val="32"/>
          <w:szCs w:val="32"/>
          <w:highlight w:val="none"/>
        </w:rPr>
        <w:t>第一章  采购公告</w:t>
      </w:r>
      <w:bookmarkEnd w:id="10"/>
      <w:bookmarkEnd w:id="11"/>
      <w:bookmarkEnd w:id="12"/>
      <w:bookmarkEnd w:id="13"/>
      <w:bookmarkEnd w:id="14"/>
    </w:p>
    <w:p w14:paraId="237BE4CC">
      <w:pPr>
        <w:pStyle w:val="35"/>
        <w:rPr>
          <w:rFonts w:hint="eastAsia" w:ascii="仿宋" w:hAnsi="仿宋" w:eastAsia="仿宋"/>
          <w:color w:val="auto"/>
          <w:spacing w:val="14"/>
          <w:sz w:val="24"/>
          <w:szCs w:val="24"/>
          <w:highlight w:val="none"/>
          <w:lang w:eastAsia="zh-CN"/>
        </w:rPr>
      </w:pPr>
      <w:r>
        <w:rPr>
          <w:rFonts w:hint="eastAsia" w:ascii="仿宋" w:hAnsi="仿宋" w:eastAsia="仿宋"/>
          <w:color w:val="auto"/>
          <w:spacing w:val="14"/>
          <w:sz w:val="24"/>
          <w:szCs w:val="24"/>
          <w:highlight w:val="none"/>
        </w:rPr>
        <w:t>项目概况</w:t>
      </w:r>
      <w:r>
        <w:rPr>
          <w:rFonts w:hint="eastAsia" w:ascii="仿宋" w:hAnsi="仿宋" w:eastAsia="仿宋"/>
          <w:color w:val="auto"/>
          <w:spacing w:val="14"/>
          <w:sz w:val="24"/>
          <w:szCs w:val="24"/>
          <w:highlight w:val="none"/>
          <w:lang w:eastAsia="zh-CN"/>
        </w:rPr>
        <w:t>：</w:t>
      </w:r>
    </w:p>
    <w:p w14:paraId="6B123D3E">
      <w:pPr>
        <w:pStyle w:val="35"/>
        <w:rPr>
          <w:rFonts w:hint="eastAsia" w:ascii="仿宋" w:hAnsi="仿宋" w:eastAsia="仿宋"/>
          <w:color w:val="auto"/>
          <w:spacing w:val="14"/>
          <w:sz w:val="24"/>
          <w:szCs w:val="24"/>
          <w:highlight w:val="none"/>
        </w:rPr>
      </w:pPr>
      <w:r>
        <w:rPr>
          <w:rFonts w:hint="eastAsia" w:ascii="仿宋" w:hAnsi="仿宋" w:eastAsia="仿宋"/>
          <w:color w:val="auto"/>
          <w:spacing w:val="14"/>
          <w:sz w:val="24"/>
          <w:szCs w:val="24"/>
          <w:highlight w:val="none"/>
        </w:rPr>
        <w:t>河南科技大学附属高级中学理化生实验室装备项目的潜在供应商应在洛阳市公共资源交易中心网站（lyggzyjy.ly.gov.cn）获取采购文件，并于</w:t>
      </w:r>
      <w:r>
        <w:rPr>
          <w:rFonts w:hint="eastAsia" w:ascii="仿宋" w:hAnsi="仿宋" w:eastAsia="仿宋"/>
          <w:color w:val="auto"/>
          <w:spacing w:val="14"/>
          <w:sz w:val="24"/>
          <w:szCs w:val="24"/>
          <w:highlight w:val="none"/>
          <w:lang w:val="en-US" w:eastAsia="zh-CN"/>
        </w:rPr>
        <w:t>2025</w:t>
      </w:r>
      <w:r>
        <w:rPr>
          <w:rFonts w:hint="eastAsia" w:ascii="仿宋" w:hAnsi="仿宋" w:eastAsia="仿宋"/>
          <w:color w:val="auto"/>
          <w:spacing w:val="14"/>
          <w:sz w:val="24"/>
          <w:szCs w:val="24"/>
          <w:highlight w:val="none"/>
        </w:rPr>
        <w:t>年</w:t>
      </w:r>
      <w:r>
        <w:rPr>
          <w:rFonts w:hint="eastAsia" w:ascii="仿宋" w:hAnsi="仿宋" w:eastAsia="仿宋"/>
          <w:color w:val="auto"/>
          <w:spacing w:val="14"/>
          <w:sz w:val="24"/>
          <w:szCs w:val="24"/>
          <w:highlight w:val="none"/>
          <w:lang w:val="en-US" w:eastAsia="zh-CN"/>
        </w:rPr>
        <w:t>12</w:t>
      </w:r>
      <w:r>
        <w:rPr>
          <w:rFonts w:hint="eastAsia" w:ascii="仿宋" w:hAnsi="仿宋" w:eastAsia="仿宋"/>
          <w:color w:val="auto"/>
          <w:spacing w:val="14"/>
          <w:sz w:val="24"/>
          <w:szCs w:val="24"/>
          <w:highlight w:val="none"/>
        </w:rPr>
        <w:t>月</w:t>
      </w:r>
      <w:r>
        <w:rPr>
          <w:rFonts w:hint="eastAsia" w:ascii="仿宋" w:hAnsi="仿宋" w:eastAsia="仿宋"/>
          <w:color w:val="auto"/>
          <w:spacing w:val="14"/>
          <w:sz w:val="24"/>
          <w:szCs w:val="24"/>
          <w:highlight w:val="none"/>
          <w:lang w:val="en-US" w:eastAsia="zh-CN"/>
        </w:rPr>
        <w:t>05</w:t>
      </w:r>
      <w:r>
        <w:rPr>
          <w:rFonts w:hint="eastAsia" w:ascii="仿宋" w:hAnsi="仿宋" w:eastAsia="仿宋"/>
          <w:color w:val="auto"/>
          <w:spacing w:val="14"/>
          <w:sz w:val="24"/>
          <w:szCs w:val="24"/>
          <w:highlight w:val="none"/>
        </w:rPr>
        <w:t>日</w:t>
      </w:r>
      <w:r>
        <w:rPr>
          <w:rFonts w:hint="eastAsia" w:ascii="仿宋" w:hAnsi="仿宋" w:eastAsia="仿宋"/>
          <w:color w:val="auto"/>
          <w:spacing w:val="14"/>
          <w:sz w:val="24"/>
          <w:szCs w:val="24"/>
          <w:highlight w:val="none"/>
          <w:lang w:val="en-US" w:eastAsia="zh-CN"/>
        </w:rPr>
        <w:t>09</w:t>
      </w:r>
      <w:r>
        <w:rPr>
          <w:rFonts w:hint="eastAsia" w:ascii="仿宋" w:hAnsi="仿宋" w:eastAsia="仿宋"/>
          <w:color w:val="auto"/>
          <w:spacing w:val="14"/>
          <w:sz w:val="24"/>
          <w:szCs w:val="24"/>
          <w:highlight w:val="none"/>
        </w:rPr>
        <w:t>时</w:t>
      </w:r>
      <w:r>
        <w:rPr>
          <w:rFonts w:hint="eastAsia" w:ascii="仿宋" w:hAnsi="仿宋" w:eastAsia="仿宋"/>
          <w:color w:val="auto"/>
          <w:spacing w:val="14"/>
          <w:sz w:val="24"/>
          <w:szCs w:val="24"/>
          <w:highlight w:val="none"/>
          <w:lang w:val="en-US" w:eastAsia="zh-CN"/>
        </w:rPr>
        <w:t>05</w:t>
      </w:r>
      <w:r>
        <w:rPr>
          <w:rFonts w:hint="eastAsia" w:ascii="仿宋" w:hAnsi="仿宋" w:eastAsia="仿宋"/>
          <w:color w:val="auto"/>
          <w:spacing w:val="14"/>
          <w:sz w:val="24"/>
          <w:szCs w:val="24"/>
          <w:highlight w:val="none"/>
        </w:rPr>
        <w:t>分（北京时间）前提交响应文件。</w:t>
      </w:r>
    </w:p>
    <w:p w14:paraId="2CCF358B">
      <w:pPr>
        <w:pStyle w:val="35"/>
        <w:rPr>
          <w:rFonts w:hint="eastAsia" w:ascii="仿宋" w:hAnsi="仿宋" w:eastAsia="仿宋"/>
          <w:b/>
          <w:bCs/>
          <w:color w:val="auto"/>
          <w:spacing w:val="14"/>
          <w:sz w:val="24"/>
          <w:szCs w:val="24"/>
          <w:highlight w:val="none"/>
        </w:rPr>
      </w:pPr>
      <w:r>
        <w:rPr>
          <w:rFonts w:hint="eastAsia" w:ascii="仿宋" w:hAnsi="仿宋" w:eastAsia="仿宋"/>
          <w:b/>
          <w:bCs/>
          <w:color w:val="auto"/>
          <w:spacing w:val="14"/>
          <w:sz w:val="24"/>
          <w:szCs w:val="24"/>
          <w:highlight w:val="none"/>
        </w:rPr>
        <w:t>一、项目基本情况</w:t>
      </w:r>
    </w:p>
    <w:p w14:paraId="29775474">
      <w:pPr>
        <w:pStyle w:val="36"/>
        <w:spacing w:before="0" w:beforeAutospacing="0" w:after="0" w:afterAutospacing="0" w:line="460" w:lineRule="exact"/>
        <w:ind w:firstLine="358"/>
        <w:jc w:val="both"/>
        <w:rPr>
          <w:rFonts w:hint="eastAsia" w:ascii="仿宋" w:hAnsi="仿宋" w:eastAsia="仿宋"/>
          <w:color w:val="auto"/>
          <w:sz w:val="24"/>
          <w:szCs w:val="24"/>
          <w:highlight w:val="none"/>
        </w:rPr>
      </w:pPr>
      <w:r>
        <w:rPr>
          <w:rFonts w:hint="eastAsia" w:ascii="仿宋" w:hAnsi="仿宋" w:eastAsia="仿宋"/>
          <w:color w:val="auto"/>
          <w:sz w:val="24"/>
          <w:szCs w:val="24"/>
          <w:highlight w:val="none"/>
        </w:rPr>
        <w:t>1、项目编号：洛采竞磋-2025-188</w:t>
      </w:r>
    </w:p>
    <w:p w14:paraId="2F8193A2">
      <w:pPr>
        <w:pStyle w:val="36"/>
        <w:spacing w:before="0" w:beforeAutospacing="0" w:after="0" w:afterAutospacing="0" w:line="460" w:lineRule="exact"/>
        <w:ind w:firstLine="358"/>
        <w:jc w:val="both"/>
        <w:rPr>
          <w:rFonts w:hint="eastAsia" w:ascii="仿宋" w:hAnsi="仿宋" w:eastAsia="仿宋"/>
          <w:color w:val="auto"/>
          <w:sz w:val="24"/>
          <w:szCs w:val="24"/>
          <w:highlight w:val="none"/>
          <w:lang w:eastAsia="zh-CN"/>
        </w:rPr>
      </w:pPr>
      <w:r>
        <w:rPr>
          <w:rFonts w:hint="eastAsia" w:ascii="仿宋" w:hAnsi="仿宋" w:eastAsia="仿宋"/>
          <w:color w:val="auto"/>
          <w:sz w:val="24"/>
          <w:szCs w:val="24"/>
          <w:highlight w:val="none"/>
        </w:rPr>
        <w:t>2、项目名称：河南科技大学附属高级中学理化生实验室装备项目</w:t>
      </w:r>
    </w:p>
    <w:p w14:paraId="42766CBC">
      <w:pPr>
        <w:pStyle w:val="36"/>
        <w:spacing w:before="0" w:beforeAutospacing="0" w:after="0" w:afterAutospacing="0" w:line="460" w:lineRule="exact"/>
        <w:ind w:firstLine="358"/>
        <w:jc w:val="both"/>
        <w:rPr>
          <w:rFonts w:hint="eastAsia" w:ascii="仿宋" w:hAnsi="仿宋" w:eastAsia="仿宋"/>
          <w:color w:val="auto"/>
          <w:sz w:val="24"/>
          <w:szCs w:val="24"/>
          <w:highlight w:val="none"/>
        </w:rPr>
      </w:pPr>
      <w:r>
        <w:rPr>
          <w:rFonts w:hint="eastAsia" w:ascii="仿宋" w:hAnsi="仿宋" w:eastAsia="仿宋"/>
          <w:color w:val="auto"/>
          <w:sz w:val="24"/>
          <w:szCs w:val="24"/>
          <w:highlight w:val="none"/>
        </w:rPr>
        <w:t>3、采购方式：竞争性磋商</w:t>
      </w:r>
    </w:p>
    <w:p w14:paraId="46574224">
      <w:pPr>
        <w:pStyle w:val="36"/>
        <w:spacing w:before="0" w:beforeAutospacing="0" w:after="0" w:afterAutospacing="0" w:line="460" w:lineRule="exact"/>
        <w:ind w:firstLine="358"/>
        <w:jc w:val="both"/>
        <w:rPr>
          <w:rFonts w:hint="eastAsia" w:ascii="仿宋" w:hAnsi="仿宋" w:eastAsia="仿宋" w:cs="宋体"/>
          <w:color w:val="auto"/>
          <w:spacing w:val="0"/>
          <w:sz w:val="24"/>
          <w:szCs w:val="24"/>
          <w:highlight w:val="none"/>
        </w:rPr>
      </w:pPr>
      <w:r>
        <w:rPr>
          <w:rFonts w:hint="eastAsia" w:ascii="仿宋" w:hAnsi="仿宋" w:eastAsia="仿宋"/>
          <w:color w:val="auto"/>
          <w:sz w:val="24"/>
          <w:szCs w:val="24"/>
          <w:highlight w:val="none"/>
        </w:rPr>
        <w:t>4、</w:t>
      </w:r>
      <w:r>
        <w:rPr>
          <w:rFonts w:hint="eastAsia" w:ascii="仿宋" w:hAnsi="仿宋" w:eastAsia="仿宋" w:cs="宋体"/>
          <w:color w:val="auto"/>
          <w:sz w:val="24"/>
          <w:szCs w:val="24"/>
          <w:highlight w:val="none"/>
        </w:rPr>
        <w:t>预算金额</w:t>
      </w:r>
      <w:r>
        <w:rPr>
          <w:rFonts w:hint="eastAsia" w:ascii="仿宋" w:hAnsi="仿宋" w:eastAsia="仿宋" w:cs="宋体"/>
          <w:color w:val="auto"/>
          <w:sz w:val="24"/>
          <w:szCs w:val="24"/>
          <w:highlight w:val="none"/>
          <w:lang w:eastAsia="zh-CN"/>
        </w:rPr>
        <w:t>：</w:t>
      </w:r>
      <w:r>
        <w:rPr>
          <w:rFonts w:hint="eastAsia" w:ascii="仿宋" w:hAnsi="仿宋" w:eastAsia="仿宋" w:cs="宋体"/>
          <w:color w:val="auto"/>
          <w:sz w:val="24"/>
          <w:szCs w:val="24"/>
          <w:highlight w:val="none"/>
          <w:lang w:val="en-US" w:eastAsia="zh-CN"/>
        </w:rPr>
        <w:t>1815453.00</w:t>
      </w:r>
      <w:r>
        <w:rPr>
          <w:rFonts w:hint="eastAsia" w:ascii="仿宋" w:hAnsi="仿宋" w:eastAsia="仿宋" w:cs="宋体"/>
          <w:color w:val="auto"/>
          <w:spacing w:val="0"/>
          <w:sz w:val="24"/>
          <w:szCs w:val="24"/>
          <w:highlight w:val="none"/>
        </w:rPr>
        <w:t>元</w:t>
      </w:r>
    </w:p>
    <w:p w14:paraId="548FAED8">
      <w:pPr>
        <w:pStyle w:val="36"/>
        <w:spacing w:before="0" w:beforeAutospacing="0" w:after="0" w:afterAutospacing="0" w:line="460" w:lineRule="exact"/>
        <w:ind w:firstLine="774" w:firstLineChars="370"/>
        <w:jc w:val="both"/>
        <w:rPr>
          <w:rFonts w:hint="eastAsia" w:ascii="仿宋" w:hAnsi="仿宋" w:eastAsia="仿宋" w:cs="宋体"/>
          <w:color w:val="auto"/>
          <w:spacing w:val="0"/>
          <w:sz w:val="24"/>
          <w:szCs w:val="24"/>
          <w:highlight w:val="none"/>
        </w:rPr>
      </w:pPr>
      <w:r>
        <w:rPr>
          <w:rFonts w:hint="eastAsia" w:ascii="仿宋" w:hAnsi="仿宋" w:eastAsia="仿宋" w:cs="宋体"/>
          <w:color w:val="auto"/>
          <w:spacing w:val="0"/>
          <w:sz w:val="24"/>
          <w:szCs w:val="24"/>
          <w:highlight w:val="none"/>
        </w:rPr>
        <w:t>最高限价</w:t>
      </w:r>
      <w:r>
        <w:rPr>
          <w:rFonts w:hint="eastAsia" w:ascii="仿宋" w:hAnsi="仿宋" w:eastAsia="仿宋" w:cs="宋体"/>
          <w:color w:val="auto"/>
          <w:spacing w:val="0"/>
          <w:sz w:val="24"/>
          <w:szCs w:val="24"/>
          <w:highlight w:val="none"/>
          <w:lang w:eastAsia="zh-CN"/>
        </w:rPr>
        <w:t>：</w:t>
      </w:r>
      <w:r>
        <w:rPr>
          <w:rFonts w:hint="eastAsia" w:ascii="仿宋" w:hAnsi="仿宋" w:eastAsia="仿宋" w:cs="宋体"/>
          <w:color w:val="auto"/>
          <w:sz w:val="24"/>
          <w:szCs w:val="24"/>
          <w:highlight w:val="none"/>
          <w:lang w:val="en-US" w:eastAsia="zh-CN"/>
        </w:rPr>
        <w:t>1815453</w:t>
      </w:r>
      <w:r>
        <w:rPr>
          <w:rFonts w:hint="eastAsia" w:ascii="仿宋" w:hAnsi="仿宋" w:eastAsia="仿宋" w:cs="宋体"/>
          <w:color w:val="auto"/>
          <w:spacing w:val="0"/>
          <w:sz w:val="24"/>
          <w:szCs w:val="24"/>
          <w:highlight w:val="none"/>
        </w:rPr>
        <w:t>元</w:t>
      </w:r>
    </w:p>
    <w:tbl>
      <w:tblPr>
        <w:tblStyle w:val="6"/>
        <w:tblW w:w="54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1980"/>
        <w:gridCol w:w="2100"/>
        <w:gridCol w:w="1155"/>
        <w:gridCol w:w="1502"/>
        <w:gridCol w:w="1213"/>
        <w:gridCol w:w="1669"/>
      </w:tblGrid>
      <w:tr w14:paraId="6CC39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06" w:type="pct"/>
            <w:tcBorders>
              <w:top w:val="single" w:color="auto" w:sz="4" w:space="0"/>
              <w:left w:val="single" w:color="auto" w:sz="4" w:space="0"/>
              <w:bottom w:val="single" w:color="auto" w:sz="4" w:space="0"/>
              <w:right w:val="single" w:color="auto" w:sz="4" w:space="0"/>
            </w:tcBorders>
            <w:noWrap w:val="0"/>
            <w:vAlign w:val="center"/>
          </w:tcPr>
          <w:p w14:paraId="2B654688">
            <w:pPr>
              <w:pStyle w:val="36"/>
              <w:spacing w:before="0" w:beforeAutospacing="0" w:after="0" w:afterAutospacing="0" w:line="460" w:lineRule="exact"/>
              <w:ind w:firstLine="0" w:firstLineChars="0"/>
              <w:jc w:val="center"/>
              <w:rPr>
                <w:rFonts w:hint="eastAsia" w:ascii="仿宋" w:hAnsi="仿宋" w:eastAsia="仿宋"/>
                <w:color w:val="auto"/>
                <w:sz w:val="24"/>
                <w:szCs w:val="24"/>
                <w:highlight w:val="none"/>
                <w:lang w:val="en-US" w:eastAsia="zh-CN"/>
              </w:rPr>
            </w:pPr>
            <w:r>
              <w:rPr>
                <w:rFonts w:hint="eastAsia" w:ascii="仿宋" w:hAnsi="仿宋" w:eastAsia="仿宋"/>
                <w:color w:val="auto"/>
                <w:sz w:val="24"/>
                <w:szCs w:val="24"/>
                <w:highlight w:val="none"/>
                <w:lang w:val="en-US" w:eastAsia="zh-CN"/>
              </w:rPr>
              <w:t>序号</w:t>
            </w:r>
          </w:p>
        </w:tc>
        <w:tc>
          <w:tcPr>
            <w:tcW w:w="966" w:type="pct"/>
            <w:tcBorders>
              <w:top w:val="single" w:color="auto" w:sz="4" w:space="0"/>
              <w:left w:val="single" w:color="auto" w:sz="4" w:space="0"/>
              <w:bottom w:val="single" w:color="auto" w:sz="4" w:space="0"/>
              <w:right w:val="single" w:color="auto" w:sz="4" w:space="0"/>
            </w:tcBorders>
            <w:noWrap w:val="0"/>
            <w:vAlign w:val="center"/>
          </w:tcPr>
          <w:p w14:paraId="650868D7">
            <w:pPr>
              <w:pStyle w:val="36"/>
              <w:spacing w:before="0" w:beforeAutospacing="0" w:after="0" w:afterAutospacing="0" w:line="460" w:lineRule="exact"/>
              <w:ind w:firstLine="0" w:firstLineChars="0"/>
              <w:jc w:val="center"/>
              <w:rPr>
                <w:rFonts w:hint="eastAsia" w:ascii="仿宋" w:hAnsi="仿宋" w:eastAsia="仿宋"/>
                <w:color w:val="auto"/>
                <w:sz w:val="24"/>
                <w:szCs w:val="24"/>
                <w:highlight w:val="none"/>
              </w:rPr>
            </w:pPr>
            <w:r>
              <w:rPr>
                <w:rFonts w:hint="eastAsia" w:ascii="仿宋" w:hAnsi="仿宋" w:eastAsia="仿宋"/>
                <w:color w:val="auto"/>
                <w:sz w:val="24"/>
                <w:szCs w:val="24"/>
                <w:highlight w:val="none"/>
                <w:lang w:val="en-US" w:eastAsia="zh-CN"/>
              </w:rPr>
              <w:t>包</w:t>
            </w:r>
            <w:r>
              <w:rPr>
                <w:rFonts w:hint="eastAsia" w:ascii="仿宋" w:hAnsi="仿宋" w:eastAsia="仿宋"/>
                <w:color w:val="auto"/>
                <w:sz w:val="24"/>
                <w:szCs w:val="24"/>
                <w:highlight w:val="none"/>
              </w:rPr>
              <w:t>号</w:t>
            </w:r>
          </w:p>
        </w:tc>
        <w:tc>
          <w:tcPr>
            <w:tcW w:w="1024" w:type="pct"/>
            <w:tcBorders>
              <w:top w:val="single" w:color="auto" w:sz="4" w:space="0"/>
              <w:left w:val="single" w:color="auto" w:sz="4" w:space="0"/>
              <w:bottom w:val="single" w:color="auto" w:sz="4" w:space="0"/>
              <w:right w:val="single" w:color="auto" w:sz="4" w:space="0"/>
            </w:tcBorders>
            <w:noWrap w:val="0"/>
            <w:vAlign w:val="center"/>
          </w:tcPr>
          <w:p w14:paraId="7BA69838">
            <w:pPr>
              <w:pStyle w:val="36"/>
              <w:spacing w:before="0" w:beforeAutospacing="0" w:after="0" w:afterAutospacing="0" w:line="460" w:lineRule="exact"/>
              <w:ind w:firstLine="0" w:firstLineChars="0"/>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项目名称</w:t>
            </w:r>
          </w:p>
        </w:tc>
        <w:tc>
          <w:tcPr>
            <w:tcW w:w="563" w:type="pct"/>
            <w:tcBorders>
              <w:top w:val="single" w:color="auto" w:sz="4" w:space="0"/>
              <w:left w:val="single" w:color="auto" w:sz="4" w:space="0"/>
              <w:bottom w:val="single" w:color="auto" w:sz="4" w:space="0"/>
              <w:right w:val="single" w:color="auto" w:sz="4" w:space="0"/>
            </w:tcBorders>
            <w:noWrap w:val="0"/>
            <w:vAlign w:val="center"/>
          </w:tcPr>
          <w:p w14:paraId="6B19F37A">
            <w:pPr>
              <w:pStyle w:val="36"/>
              <w:spacing w:before="0" w:beforeAutospacing="0" w:after="0" w:afterAutospacing="0" w:line="460" w:lineRule="exact"/>
              <w:ind w:firstLine="0" w:firstLineChars="0"/>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包预算（元）</w:t>
            </w:r>
          </w:p>
        </w:tc>
        <w:tc>
          <w:tcPr>
            <w:tcW w:w="732" w:type="pct"/>
            <w:tcBorders>
              <w:top w:val="single" w:color="auto" w:sz="4" w:space="0"/>
              <w:left w:val="single" w:color="auto" w:sz="4" w:space="0"/>
              <w:bottom w:val="single" w:color="auto" w:sz="4" w:space="0"/>
              <w:right w:val="single" w:color="auto" w:sz="4" w:space="0"/>
            </w:tcBorders>
            <w:noWrap w:val="0"/>
            <w:vAlign w:val="center"/>
          </w:tcPr>
          <w:p w14:paraId="7857AFF7">
            <w:pPr>
              <w:pStyle w:val="36"/>
              <w:spacing w:before="0" w:beforeAutospacing="0" w:after="0" w:afterAutospacing="0" w:line="460" w:lineRule="exact"/>
              <w:ind w:firstLine="0" w:firstLineChars="0"/>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包最高限价（元）</w:t>
            </w:r>
          </w:p>
        </w:tc>
        <w:tc>
          <w:tcPr>
            <w:tcW w:w="59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53CF02F">
            <w:pPr>
              <w:keepNext w:val="0"/>
              <w:keepLines w:val="0"/>
              <w:pageBreakBefore w:val="0"/>
              <w:widowControl/>
              <w:suppressLineNumbers w:val="0"/>
              <w:kinsoku/>
              <w:overflowPunct/>
              <w:topLinePunct w:val="0"/>
              <w:autoSpaceDE/>
              <w:autoSpaceDN/>
              <w:bidi w:val="0"/>
              <w:adjustRightInd/>
              <w:snapToGrid/>
              <w:spacing w:before="120" w:beforeAutospacing="0" w:after="120" w:afterAutospacing="0" w:line="400" w:lineRule="exact"/>
              <w:ind w:left="0" w:leftChars="0" w:firstLine="0" w:firstLineChars="0"/>
              <w:jc w:val="center"/>
              <w:textAlignment w:val="auto"/>
              <w:rPr>
                <w:rFonts w:hint="eastAsia" w:ascii="仿宋" w:hAnsi="仿宋" w:eastAsia="仿宋" w:cs="仿宋"/>
                <w:kern w:val="0"/>
                <w:sz w:val="24"/>
                <w:szCs w:val="21"/>
                <w:lang w:val="en-US" w:eastAsia="zh-CN" w:bidi="ar-SA"/>
              </w:rPr>
            </w:pPr>
            <w:r>
              <w:rPr>
                <w:rFonts w:hint="eastAsia" w:ascii="仿宋" w:hAnsi="仿宋" w:eastAsia="仿宋" w:cs="仿宋"/>
                <w:kern w:val="0"/>
                <w:sz w:val="24"/>
                <w:szCs w:val="21"/>
              </w:rPr>
              <w:t>是否专门面向中小企业</w:t>
            </w:r>
          </w:p>
        </w:tc>
        <w:tc>
          <w:tcPr>
            <w:tcW w:w="81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6631074">
            <w:pPr>
              <w:keepNext w:val="0"/>
              <w:keepLines w:val="0"/>
              <w:pageBreakBefore w:val="0"/>
              <w:widowControl/>
              <w:suppressLineNumbers w:val="0"/>
              <w:kinsoku/>
              <w:overflowPunct/>
              <w:topLinePunct w:val="0"/>
              <w:autoSpaceDE/>
              <w:autoSpaceDN/>
              <w:bidi w:val="0"/>
              <w:adjustRightInd/>
              <w:snapToGrid/>
              <w:spacing w:before="120" w:beforeAutospacing="0" w:after="120" w:afterAutospacing="0" w:line="400" w:lineRule="exact"/>
              <w:ind w:left="0" w:leftChars="0" w:firstLine="0" w:firstLineChars="0"/>
              <w:jc w:val="center"/>
              <w:textAlignment w:val="auto"/>
              <w:rPr>
                <w:rFonts w:hint="eastAsia" w:ascii="仿宋" w:hAnsi="仿宋" w:eastAsia="仿宋" w:cs="仿宋"/>
                <w:kern w:val="0"/>
                <w:sz w:val="24"/>
                <w:szCs w:val="21"/>
                <w:lang w:val="en-US" w:eastAsia="zh-CN" w:bidi="ar-SA"/>
              </w:rPr>
            </w:pPr>
            <w:r>
              <w:rPr>
                <w:rFonts w:hint="eastAsia" w:ascii="仿宋" w:hAnsi="仿宋" w:eastAsia="仿宋" w:cs="仿宋"/>
                <w:kern w:val="0"/>
                <w:sz w:val="24"/>
                <w:szCs w:val="21"/>
              </w:rPr>
              <w:t>采购预留金额（元）</w:t>
            </w:r>
          </w:p>
        </w:tc>
      </w:tr>
      <w:tr w14:paraId="217A2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306" w:type="pct"/>
            <w:tcBorders>
              <w:top w:val="single" w:color="auto" w:sz="4" w:space="0"/>
              <w:left w:val="single" w:color="auto" w:sz="4" w:space="0"/>
              <w:right w:val="single" w:color="auto" w:sz="4" w:space="0"/>
            </w:tcBorders>
            <w:noWrap w:val="0"/>
            <w:vAlign w:val="center"/>
          </w:tcPr>
          <w:p w14:paraId="5A641F59">
            <w:pPr>
              <w:pStyle w:val="36"/>
              <w:spacing w:before="0" w:after="0" w:line="460" w:lineRule="exact"/>
              <w:ind w:left="0" w:leftChars="0" w:firstLine="0" w:firstLineChars="0"/>
              <w:jc w:val="center"/>
              <w:rPr>
                <w:rFonts w:hint="default" w:ascii="仿宋" w:hAnsi="仿宋" w:eastAsia="仿宋"/>
                <w:color w:val="auto"/>
                <w:sz w:val="24"/>
                <w:szCs w:val="24"/>
                <w:highlight w:val="none"/>
                <w:lang w:val="en-US" w:eastAsia="zh-CN"/>
              </w:rPr>
            </w:pPr>
            <w:r>
              <w:rPr>
                <w:rFonts w:hint="eastAsia" w:ascii="仿宋" w:hAnsi="仿宋" w:eastAsia="仿宋"/>
                <w:color w:val="auto"/>
                <w:sz w:val="24"/>
                <w:szCs w:val="24"/>
                <w:highlight w:val="none"/>
                <w:lang w:val="en-US" w:eastAsia="zh-CN"/>
              </w:rPr>
              <w:t>1</w:t>
            </w:r>
          </w:p>
        </w:tc>
        <w:tc>
          <w:tcPr>
            <w:tcW w:w="966" w:type="pct"/>
            <w:tcBorders>
              <w:top w:val="single" w:color="auto" w:sz="4" w:space="0"/>
              <w:left w:val="single" w:color="auto" w:sz="4" w:space="0"/>
              <w:right w:val="single" w:color="auto" w:sz="4" w:space="0"/>
            </w:tcBorders>
            <w:noWrap w:val="0"/>
            <w:vAlign w:val="center"/>
          </w:tcPr>
          <w:p w14:paraId="2A52C2B7">
            <w:pPr>
              <w:pStyle w:val="36"/>
              <w:spacing w:before="0" w:beforeAutospacing="0" w:after="0" w:afterAutospacing="0" w:line="460" w:lineRule="exact"/>
              <w:ind w:firstLine="0" w:firstLineChars="0"/>
              <w:jc w:val="center"/>
              <w:rPr>
                <w:rFonts w:hint="default" w:ascii="仿宋" w:hAnsi="仿宋" w:eastAsia="仿宋"/>
                <w:color w:val="auto"/>
                <w:sz w:val="24"/>
                <w:szCs w:val="24"/>
                <w:highlight w:val="none"/>
                <w:lang w:val="en-US" w:eastAsia="zh-CN"/>
              </w:rPr>
            </w:pPr>
            <w:r>
              <w:rPr>
                <w:rFonts w:hint="default" w:ascii="仿宋" w:hAnsi="仿宋" w:eastAsia="仿宋"/>
                <w:color w:val="auto"/>
                <w:sz w:val="24"/>
                <w:szCs w:val="24"/>
                <w:highlight w:val="none"/>
                <w:lang w:val="en-US" w:eastAsia="zh-CN"/>
              </w:rPr>
              <w:t>洛直政采磋商(2025)0189号-1</w:t>
            </w:r>
          </w:p>
        </w:tc>
        <w:tc>
          <w:tcPr>
            <w:tcW w:w="1024" w:type="pct"/>
            <w:tcBorders>
              <w:top w:val="single" w:color="auto" w:sz="4" w:space="0"/>
              <w:left w:val="single" w:color="auto" w:sz="4" w:space="0"/>
              <w:right w:val="single" w:color="auto" w:sz="4" w:space="0"/>
            </w:tcBorders>
            <w:noWrap w:val="0"/>
            <w:vAlign w:val="center"/>
          </w:tcPr>
          <w:p w14:paraId="40A3C721">
            <w:pPr>
              <w:pStyle w:val="36"/>
              <w:spacing w:before="0" w:beforeAutospacing="0" w:after="0" w:afterAutospacing="0" w:line="460" w:lineRule="exact"/>
              <w:ind w:firstLine="0" w:firstLineChars="0"/>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河南科技大学附属高级中学理化生实验室装备项目</w:t>
            </w:r>
          </w:p>
        </w:tc>
        <w:tc>
          <w:tcPr>
            <w:tcW w:w="563" w:type="pct"/>
            <w:tcBorders>
              <w:top w:val="single" w:color="auto" w:sz="4" w:space="0"/>
              <w:left w:val="single" w:color="auto" w:sz="4" w:space="0"/>
              <w:right w:val="single" w:color="auto" w:sz="4" w:space="0"/>
            </w:tcBorders>
            <w:noWrap w:val="0"/>
            <w:vAlign w:val="center"/>
          </w:tcPr>
          <w:p w14:paraId="421783DB">
            <w:pPr>
              <w:pStyle w:val="36"/>
              <w:spacing w:before="0" w:after="0" w:line="460" w:lineRule="exact"/>
              <w:ind w:left="0" w:leftChars="0" w:firstLine="0" w:firstLineChars="0"/>
              <w:jc w:val="center"/>
              <w:rPr>
                <w:rFonts w:ascii="仿宋" w:hAnsi="仿宋" w:eastAsia="仿宋"/>
                <w:color w:val="auto"/>
                <w:sz w:val="24"/>
                <w:szCs w:val="24"/>
                <w:highlight w:val="none"/>
                <w:lang w:val="en-US" w:eastAsia="zh-CN"/>
              </w:rPr>
            </w:pPr>
            <w:r>
              <w:rPr>
                <w:rFonts w:hint="eastAsia" w:ascii="仿宋" w:hAnsi="仿宋" w:eastAsia="仿宋" w:cs="宋体"/>
                <w:color w:val="auto"/>
                <w:sz w:val="24"/>
                <w:szCs w:val="24"/>
                <w:highlight w:val="none"/>
                <w:lang w:val="en-US" w:eastAsia="zh-CN"/>
              </w:rPr>
              <w:t>1815453</w:t>
            </w:r>
          </w:p>
        </w:tc>
        <w:tc>
          <w:tcPr>
            <w:tcW w:w="732" w:type="pct"/>
            <w:tcBorders>
              <w:top w:val="single" w:color="auto" w:sz="4" w:space="0"/>
              <w:left w:val="single" w:color="auto" w:sz="4" w:space="0"/>
              <w:right w:val="single" w:color="auto" w:sz="4" w:space="0"/>
            </w:tcBorders>
            <w:noWrap w:val="0"/>
            <w:vAlign w:val="center"/>
          </w:tcPr>
          <w:p w14:paraId="62F6B21D">
            <w:pPr>
              <w:pStyle w:val="36"/>
              <w:spacing w:before="0" w:after="0" w:line="460" w:lineRule="exact"/>
              <w:ind w:left="0" w:leftChars="0" w:firstLine="0" w:firstLineChars="0"/>
              <w:jc w:val="center"/>
              <w:rPr>
                <w:rFonts w:hint="eastAsia" w:ascii="仿宋" w:hAnsi="仿宋" w:eastAsia="仿宋"/>
                <w:color w:val="auto"/>
                <w:sz w:val="24"/>
                <w:szCs w:val="24"/>
                <w:highlight w:val="none"/>
                <w:lang w:eastAsia="zh-CN"/>
              </w:rPr>
            </w:pPr>
            <w:r>
              <w:rPr>
                <w:rFonts w:hint="eastAsia" w:ascii="仿宋" w:hAnsi="仿宋" w:eastAsia="仿宋" w:cs="宋体"/>
                <w:color w:val="auto"/>
                <w:sz w:val="24"/>
                <w:szCs w:val="24"/>
                <w:highlight w:val="none"/>
                <w:lang w:val="en-US" w:eastAsia="zh-CN"/>
              </w:rPr>
              <w:t>1815453</w:t>
            </w:r>
          </w:p>
        </w:tc>
        <w:tc>
          <w:tcPr>
            <w:tcW w:w="591" w:type="pct"/>
            <w:tcBorders>
              <w:top w:val="single" w:color="auto" w:sz="4" w:space="0"/>
              <w:left w:val="single" w:color="auto" w:sz="4" w:space="0"/>
              <w:right w:val="single" w:color="auto" w:sz="4" w:space="0"/>
            </w:tcBorders>
            <w:shd w:val="clear" w:color="auto" w:fill="auto"/>
            <w:noWrap w:val="0"/>
            <w:vAlign w:val="center"/>
          </w:tcPr>
          <w:p w14:paraId="42CAFEDE">
            <w:pPr>
              <w:keepNext w:val="0"/>
              <w:keepLines w:val="0"/>
              <w:pageBreakBefore w:val="0"/>
              <w:kinsoku/>
              <w:wordWrap w:val="0"/>
              <w:overflowPunct/>
              <w:topLinePunct w:val="0"/>
              <w:autoSpaceDE/>
              <w:autoSpaceDN/>
              <w:bidi w:val="0"/>
              <w:adjustRightInd/>
              <w:snapToGrid/>
              <w:spacing w:before="0" w:beforeAutospacing="0" w:after="0" w:afterAutospacing="0" w:line="400" w:lineRule="exact"/>
              <w:ind w:left="0" w:leftChars="0" w:firstLine="0" w:firstLineChars="0"/>
              <w:jc w:val="center"/>
              <w:textAlignment w:val="auto"/>
              <w:rPr>
                <w:rFonts w:hint="eastAsia" w:ascii="仿宋" w:hAnsi="仿宋" w:eastAsia="仿宋" w:cs="仿宋"/>
                <w:kern w:val="0"/>
                <w:sz w:val="24"/>
                <w:szCs w:val="21"/>
                <w:lang w:val="en-US" w:eastAsia="zh-CN" w:bidi="ar-SA"/>
              </w:rPr>
            </w:pPr>
            <w:r>
              <w:rPr>
                <w:rFonts w:hint="eastAsia" w:ascii="仿宋" w:hAnsi="仿宋" w:eastAsia="仿宋" w:cs="仿宋"/>
                <w:kern w:val="0"/>
                <w:sz w:val="24"/>
                <w:szCs w:val="21"/>
              </w:rPr>
              <w:t>是</w:t>
            </w:r>
          </w:p>
        </w:tc>
        <w:tc>
          <w:tcPr>
            <w:tcW w:w="814" w:type="pct"/>
            <w:tcBorders>
              <w:top w:val="single" w:color="auto" w:sz="4" w:space="0"/>
              <w:left w:val="single" w:color="auto" w:sz="4" w:space="0"/>
              <w:right w:val="single" w:color="auto" w:sz="4" w:space="0"/>
            </w:tcBorders>
            <w:shd w:val="clear" w:color="auto" w:fill="auto"/>
            <w:noWrap w:val="0"/>
            <w:vAlign w:val="center"/>
          </w:tcPr>
          <w:p w14:paraId="5BC67DAC">
            <w:pPr>
              <w:keepNext w:val="0"/>
              <w:keepLines w:val="0"/>
              <w:pageBreakBefore w:val="0"/>
              <w:kinsoku/>
              <w:wordWrap w:val="0"/>
              <w:overflowPunct/>
              <w:topLinePunct w:val="0"/>
              <w:autoSpaceDE/>
              <w:autoSpaceDN/>
              <w:bidi w:val="0"/>
              <w:adjustRightInd/>
              <w:snapToGrid/>
              <w:spacing w:before="0" w:beforeAutospacing="0" w:after="0" w:afterAutospacing="0" w:line="400" w:lineRule="exact"/>
              <w:ind w:left="0" w:leftChars="0" w:firstLine="0" w:firstLineChars="0"/>
              <w:jc w:val="center"/>
              <w:textAlignment w:val="auto"/>
              <w:rPr>
                <w:rFonts w:hint="eastAsia" w:ascii="仿宋" w:hAnsi="仿宋" w:eastAsia="仿宋" w:cs="仿宋"/>
                <w:kern w:val="0"/>
                <w:sz w:val="24"/>
                <w:szCs w:val="21"/>
                <w:lang w:val="en-US" w:eastAsia="zh-CN" w:bidi="ar-SA"/>
              </w:rPr>
            </w:pPr>
            <w:r>
              <w:rPr>
                <w:rFonts w:hint="eastAsia" w:ascii="仿宋" w:hAnsi="仿宋" w:eastAsia="仿宋" w:cs="宋体"/>
                <w:color w:val="auto"/>
                <w:sz w:val="24"/>
                <w:szCs w:val="24"/>
                <w:highlight w:val="none"/>
                <w:lang w:val="en-US" w:eastAsia="zh-CN"/>
              </w:rPr>
              <w:t>1815453</w:t>
            </w:r>
          </w:p>
        </w:tc>
      </w:tr>
    </w:tbl>
    <w:p w14:paraId="070190C3">
      <w:pPr>
        <w:pStyle w:val="36"/>
        <w:spacing w:before="0" w:beforeAutospacing="0" w:after="0" w:afterAutospacing="0" w:line="460" w:lineRule="exact"/>
        <w:ind w:firstLine="358"/>
        <w:jc w:val="both"/>
        <w:rPr>
          <w:rFonts w:hint="eastAsia" w:ascii="仿宋" w:hAnsi="仿宋" w:eastAsia="仿宋"/>
          <w:color w:val="auto"/>
          <w:sz w:val="24"/>
          <w:szCs w:val="24"/>
          <w:highlight w:val="none"/>
        </w:rPr>
      </w:pPr>
      <w:r>
        <w:rPr>
          <w:rFonts w:hint="eastAsia" w:ascii="仿宋" w:hAnsi="仿宋" w:eastAsia="仿宋"/>
          <w:color w:val="auto"/>
          <w:sz w:val="24"/>
          <w:szCs w:val="24"/>
          <w:highlight w:val="none"/>
        </w:rPr>
        <w:t>5、采购需求（包括但不限于标的的名称、数量、简要技术需求或服务要求等）：</w:t>
      </w:r>
      <w:bookmarkStart w:id="15" w:name="_Toc8438"/>
      <w:bookmarkEnd w:id="15"/>
      <w:bookmarkStart w:id="16" w:name="_Toc21121"/>
      <w:bookmarkEnd w:id="16"/>
      <w:bookmarkStart w:id="17" w:name="_Toc18129"/>
      <w:bookmarkEnd w:id="17"/>
    </w:p>
    <w:p w14:paraId="14AD0E18">
      <w:pPr>
        <w:widowControl w:val="0"/>
        <w:spacing w:line="500" w:lineRule="exact"/>
        <w:ind w:firstLine="418" w:firstLineChars="200"/>
        <w:rPr>
          <w:rFonts w:hint="eastAsia" w:ascii="仿宋" w:hAnsi="仿宋" w:eastAsia="仿宋"/>
          <w:color w:val="auto"/>
          <w:sz w:val="24"/>
          <w:szCs w:val="24"/>
          <w:highlight w:val="none"/>
          <w:lang w:eastAsia="zh-CN"/>
        </w:rPr>
      </w:pPr>
      <w:r>
        <w:rPr>
          <w:rFonts w:hint="eastAsia" w:ascii="仿宋" w:hAnsi="仿宋" w:eastAsia="仿宋"/>
          <w:color w:val="auto"/>
          <w:sz w:val="24"/>
          <w:szCs w:val="24"/>
          <w:highlight w:val="none"/>
        </w:rPr>
        <w:t>5.1、项目概况：本项目为河南科技大学附属高级中学理化生实验室装备项目</w:t>
      </w:r>
      <w:r>
        <w:rPr>
          <w:rFonts w:hint="eastAsia" w:ascii="仿宋" w:hAnsi="仿宋" w:eastAsia="仿宋"/>
          <w:color w:val="auto"/>
          <w:sz w:val="24"/>
          <w:szCs w:val="24"/>
          <w:highlight w:val="none"/>
          <w:lang w:val="en-US" w:eastAsia="zh-CN"/>
        </w:rPr>
        <w:t>,</w:t>
      </w:r>
      <w:r>
        <w:rPr>
          <w:rFonts w:hint="eastAsia" w:ascii="仿宋" w:hAnsi="仿宋" w:eastAsia="仿宋"/>
          <w:color w:val="auto"/>
          <w:sz w:val="24"/>
          <w:szCs w:val="24"/>
          <w:highlight w:val="none"/>
        </w:rPr>
        <w:t>包括物理1个、化学1个、生物2个共四个实验室和三个学科准备室的基础设备和仪器装备，项目实施后可改善学校实验教学条件</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lang w:val="en-US" w:eastAsia="zh-CN"/>
        </w:rPr>
        <w:t>具体详见采购文件</w:t>
      </w:r>
      <w:r>
        <w:rPr>
          <w:rFonts w:hint="eastAsia" w:ascii="仿宋" w:hAnsi="仿宋" w:eastAsia="仿宋" w:cs="仿宋"/>
          <w:b w:val="0"/>
          <w:bCs w:val="0"/>
          <w:sz w:val="24"/>
          <w:szCs w:val="24"/>
          <w:highlight w:val="none"/>
          <w:lang w:eastAsia="zh-CN"/>
        </w:rPr>
        <w:t>。</w:t>
      </w:r>
    </w:p>
    <w:p w14:paraId="2ABF2CE0">
      <w:pPr>
        <w:pStyle w:val="36"/>
        <w:spacing w:before="0" w:beforeAutospacing="0" w:after="0" w:afterAutospacing="0" w:line="460" w:lineRule="exact"/>
        <w:ind w:firstLine="420" w:firstLineChars="201"/>
        <w:jc w:val="both"/>
        <w:rPr>
          <w:rFonts w:hint="eastAsia" w:ascii="仿宋" w:hAnsi="仿宋" w:eastAsia="仿宋"/>
          <w:color w:val="auto"/>
          <w:sz w:val="24"/>
          <w:szCs w:val="24"/>
          <w:highlight w:val="none"/>
          <w:lang w:eastAsia="zh-CN"/>
        </w:rPr>
      </w:pPr>
      <w:r>
        <w:rPr>
          <w:rFonts w:hint="eastAsia" w:ascii="仿宋" w:hAnsi="仿宋" w:eastAsia="仿宋"/>
          <w:color w:val="auto"/>
          <w:sz w:val="24"/>
          <w:szCs w:val="24"/>
          <w:highlight w:val="none"/>
        </w:rPr>
        <w:t>5.</w:t>
      </w:r>
      <w:r>
        <w:rPr>
          <w:rFonts w:hint="eastAsia" w:ascii="仿宋" w:hAnsi="仿宋" w:eastAsia="仿宋"/>
          <w:color w:val="auto"/>
          <w:sz w:val="24"/>
          <w:szCs w:val="24"/>
          <w:highlight w:val="none"/>
          <w:lang w:val="en-US" w:eastAsia="zh-CN"/>
        </w:rPr>
        <w:t>2</w:t>
      </w:r>
      <w:r>
        <w:rPr>
          <w:rFonts w:hint="eastAsia" w:ascii="仿宋" w:hAnsi="仿宋" w:eastAsia="仿宋"/>
          <w:color w:val="auto"/>
          <w:sz w:val="24"/>
          <w:szCs w:val="24"/>
          <w:highlight w:val="none"/>
        </w:rPr>
        <w:t>资金来源：</w:t>
      </w:r>
      <w:r>
        <w:rPr>
          <w:rFonts w:hint="eastAsia" w:ascii="仿宋" w:hAnsi="仿宋" w:eastAsia="仿宋"/>
          <w:color w:val="auto"/>
          <w:sz w:val="24"/>
          <w:szCs w:val="24"/>
          <w:highlight w:val="none"/>
          <w:lang w:eastAsia="zh-CN"/>
        </w:rPr>
        <w:t>财政</w:t>
      </w:r>
      <w:r>
        <w:rPr>
          <w:rFonts w:hint="eastAsia" w:ascii="仿宋" w:hAnsi="仿宋" w:eastAsia="仿宋"/>
          <w:color w:val="auto"/>
          <w:sz w:val="24"/>
          <w:szCs w:val="24"/>
          <w:highlight w:val="none"/>
        </w:rPr>
        <w:t>资金</w:t>
      </w:r>
      <w:r>
        <w:rPr>
          <w:rFonts w:hint="eastAsia" w:ascii="仿宋" w:hAnsi="仿宋" w:eastAsia="仿宋"/>
          <w:color w:val="auto"/>
          <w:sz w:val="24"/>
          <w:szCs w:val="24"/>
          <w:highlight w:val="none"/>
          <w:lang w:eastAsia="zh-CN"/>
        </w:rPr>
        <w:t>。</w:t>
      </w:r>
    </w:p>
    <w:p w14:paraId="66D46638">
      <w:pPr>
        <w:pStyle w:val="36"/>
        <w:spacing w:before="0" w:beforeAutospacing="0" w:after="0" w:afterAutospacing="0" w:line="460" w:lineRule="exact"/>
        <w:ind w:firstLine="420" w:firstLineChars="201"/>
        <w:jc w:val="both"/>
        <w:rPr>
          <w:rFonts w:hint="eastAsia" w:ascii="仿宋" w:hAnsi="仿宋" w:eastAsia="仿宋"/>
          <w:color w:val="auto"/>
          <w:sz w:val="24"/>
          <w:szCs w:val="24"/>
          <w:highlight w:val="none"/>
          <w:lang w:val="en-US" w:eastAsia="zh-CN"/>
        </w:rPr>
      </w:pPr>
      <w:r>
        <w:rPr>
          <w:rFonts w:hint="eastAsia" w:ascii="仿宋" w:hAnsi="仿宋" w:eastAsia="仿宋"/>
          <w:color w:val="auto"/>
          <w:sz w:val="24"/>
          <w:szCs w:val="24"/>
          <w:highlight w:val="none"/>
        </w:rPr>
        <w:t>5.</w:t>
      </w:r>
      <w:r>
        <w:rPr>
          <w:rFonts w:hint="eastAsia" w:ascii="仿宋" w:hAnsi="仿宋" w:eastAsia="仿宋"/>
          <w:color w:val="auto"/>
          <w:sz w:val="24"/>
          <w:szCs w:val="24"/>
          <w:highlight w:val="none"/>
          <w:lang w:val="en-US" w:eastAsia="zh-CN"/>
        </w:rPr>
        <w:t>3采购包划分：本项目划分一个包。</w:t>
      </w:r>
    </w:p>
    <w:p w14:paraId="5AF20113">
      <w:pPr>
        <w:pStyle w:val="36"/>
        <w:spacing w:before="0" w:beforeAutospacing="0" w:after="0" w:afterAutospacing="0" w:line="460" w:lineRule="exact"/>
        <w:ind w:firstLine="420" w:firstLineChars="201"/>
        <w:jc w:val="both"/>
        <w:rPr>
          <w:rFonts w:hint="eastAsia" w:ascii="仿宋" w:hAnsi="仿宋" w:eastAsia="仿宋"/>
          <w:color w:val="auto"/>
          <w:sz w:val="24"/>
          <w:szCs w:val="24"/>
          <w:highlight w:val="none"/>
        </w:rPr>
      </w:pPr>
      <w:r>
        <w:rPr>
          <w:rFonts w:hint="eastAsia" w:ascii="仿宋" w:hAnsi="仿宋" w:eastAsia="仿宋"/>
          <w:color w:val="auto"/>
          <w:sz w:val="24"/>
          <w:szCs w:val="24"/>
          <w:highlight w:val="none"/>
        </w:rPr>
        <w:t>5.</w:t>
      </w:r>
      <w:r>
        <w:rPr>
          <w:rFonts w:hint="eastAsia" w:ascii="仿宋" w:hAnsi="仿宋" w:eastAsia="仿宋"/>
          <w:color w:val="auto"/>
          <w:sz w:val="24"/>
          <w:szCs w:val="24"/>
          <w:highlight w:val="none"/>
          <w:lang w:val="en-US" w:eastAsia="zh-CN"/>
        </w:rPr>
        <w:t>4</w:t>
      </w:r>
      <w:r>
        <w:rPr>
          <w:rFonts w:hint="eastAsia" w:ascii="仿宋" w:hAnsi="仿宋" w:eastAsia="仿宋"/>
          <w:color w:val="auto"/>
          <w:sz w:val="24"/>
          <w:szCs w:val="24"/>
          <w:highlight w:val="none"/>
        </w:rPr>
        <w:t xml:space="preserve"> 质量要求：</w:t>
      </w:r>
      <w:r>
        <w:rPr>
          <w:rFonts w:hint="eastAsia" w:ascii="仿宋" w:hAnsi="仿宋" w:eastAsia="仿宋" w:cs="宋体"/>
          <w:spacing w:val="14"/>
          <w:kern w:val="0"/>
          <w:sz w:val="24"/>
          <w:szCs w:val="24"/>
          <w:highlight w:val="none"/>
        </w:rPr>
        <w:t>符合国家或行业规定的合格标准，满足采购人要求。</w:t>
      </w:r>
    </w:p>
    <w:p w14:paraId="02C0A645">
      <w:pPr>
        <w:pStyle w:val="36"/>
        <w:spacing w:before="0" w:beforeAutospacing="0" w:after="0" w:afterAutospacing="0" w:line="460" w:lineRule="exact"/>
        <w:ind w:firstLine="420" w:firstLineChars="201"/>
        <w:jc w:val="both"/>
        <w:rPr>
          <w:rFonts w:hint="eastAsia" w:ascii="仿宋" w:hAnsi="仿宋" w:eastAsia="仿宋" w:cs="宋体"/>
          <w:color w:val="auto"/>
          <w:sz w:val="24"/>
          <w:szCs w:val="24"/>
          <w:highlight w:val="none"/>
          <w:lang w:val="en-US" w:eastAsia="zh-CN"/>
        </w:rPr>
      </w:pPr>
      <w:r>
        <w:rPr>
          <w:rFonts w:hint="eastAsia" w:ascii="仿宋" w:hAnsi="仿宋" w:eastAsia="仿宋" w:cs="宋体"/>
          <w:color w:val="auto"/>
          <w:sz w:val="24"/>
          <w:szCs w:val="24"/>
          <w:highlight w:val="none"/>
          <w:lang w:val="en-US" w:eastAsia="zh-CN"/>
        </w:rPr>
        <w:t>5.5 交货地点：采购人指定地点。</w:t>
      </w:r>
    </w:p>
    <w:p w14:paraId="12E7F2D5">
      <w:pPr>
        <w:pStyle w:val="36"/>
        <w:spacing w:before="0" w:beforeAutospacing="0" w:after="0" w:afterAutospacing="0" w:line="460" w:lineRule="exact"/>
        <w:ind w:firstLine="420" w:firstLineChars="201"/>
        <w:jc w:val="both"/>
        <w:rPr>
          <w:rFonts w:hint="eastAsia" w:ascii="仿宋" w:hAnsi="仿宋" w:eastAsia="仿宋" w:cs="宋体"/>
          <w:color w:val="auto"/>
          <w:sz w:val="24"/>
          <w:szCs w:val="24"/>
          <w:highlight w:val="none"/>
          <w:lang w:val="en-US" w:eastAsia="zh-CN"/>
        </w:rPr>
      </w:pPr>
      <w:r>
        <w:rPr>
          <w:rFonts w:hint="eastAsia" w:ascii="仿宋" w:hAnsi="仿宋" w:eastAsia="仿宋" w:cs="宋体"/>
          <w:color w:val="auto"/>
          <w:sz w:val="24"/>
          <w:szCs w:val="24"/>
          <w:highlight w:val="none"/>
          <w:lang w:val="en-US" w:eastAsia="zh-CN"/>
        </w:rPr>
        <w:t>6、合同履行期</w:t>
      </w:r>
      <w:r>
        <w:rPr>
          <w:rFonts w:hint="eastAsia" w:ascii="仿宋" w:hAnsi="仿宋" w:eastAsia="仿宋"/>
          <w:color w:val="auto"/>
          <w:sz w:val="24"/>
          <w:szCs w:val="24"/>
          <w:highlight w:val="none"/>
        </w:rPr>
        <w:t>限（交货期）：</w:t>
      </w:r>
      <w:r>
        <w:rPr>
          <w:rFonts w:hint="eastAsia" w:ascii="仿宋" w:hAnsi="仿宋" w:eastAsia="仿宋" w:cs="宋体"/>
          <w:spacing w:val="14"/>
          <w:kern w:val="0"/>
          <w:sz w:val="24"/>
          <w:szCs w:val="24"/>
          <w:highlight w:val="none"/>
        </w:rPr>
        <w:t>合同签订</w:t>
      </w:r>
      <w:r>
        <w:rPr>
          <w:rFonts w:hint="eastAsia" w:ascii="仿宋" w:hAnsi="仿宋" w:eastAsia="仿宋" w:cs="宋体"/>
          <w:spacing w:val="14"/>
          <w:kern w:val="0"/>
          <w:sz w:val="24"/>
          <w:szCs w:val="24"/>
          <w:highlight w:val="none"/>
          <w:lang w:eastAsia="zh-CN"/>
        </w:rPr>
        <w:t>后</w:t>
      </w:r>
      <w:r>
        <w:rPr>
          <w:rFonts w:hint="eastAsia" w:ascii="仿宋" w:hAnsi="仿宋" w:eastAsia="仿宋" w:cs="宋体"/>
          <w:spacing w:val="14"/>
          <w:kern w:val="0"/>
          <w:sz w:val="24"/>
          <w:szCs w:val="24"/>
          <w:highlight w:val="none"/>
          <w:lang w:val="en-US" w:eastAsia="zh-CN"/>
        </w:rPr>
        <w:t>20个工作日内</w:t>
      </w:r>
      <w:r>
        <w:rPr>
          <w:rFonts w:hint="eastAsia" w:ascii="仿宋" w:hAnsi="仿宋" w:eastAsia="仿宋" w:cs="宋体"/>
          <w:spacing w:val="14"/>
          <w:kern w:val="0"/>
          <w:sz w:val="24"/>
          <w:szCs w:val="24"/>
          <w:highlight w:val="none"/>
          <w:lang w:eastAsia="zh-CN"/>
        </w:rPr>
        <w:t>。</w:t>
      </w:r>
    </w:p>
    <w:p w14:paraId="0F6482C7">
      <w:pPr>
        <w:pStyle w:val="36"/>
        <w:spacing w:before="0" w:beforeAutospacing="0" w:after="0" w:afterAutospacing="0" w:line="460" w:lineRule="exact"/>
        <w:ind w:firstLine="420" w:firstLineChars="201"/>
        <w:jc w:val="both"/>
        <w:rPr>
          <w:rFonts w:hint="eastAsia" w:ascii="仿宋" w:hAnsi="仿宋" w:eastAsia="仿宋"/>
          <w:color w:val="auto"/>
          <w:sz w:val="24"/>
          <w:szCs w:val="24"/>
          <w:highlight w:val="none"/>
        </w:rPr>
      </w:pPr>
      <w:r>
        <w:rPr>
          <w:rFonts w:hint="eastAsia" w:ascii="仿宋" w:hAnsi="仿宋" w:eastAsia="仿宋"/>
          <w:color w:val="auto"/>
          <w:sz w:val="24"/>
          <w:szCs w:val="24"/>
          <w:highlight w:val="none"/>
        </w:rPr>
        <w:t xml:space="preserve">7、本项目是否接受联合体投标：否； </w:t>
      </w:r>
    </w:p>
    <w:p w14:paraId="268308E0">
      <w:pPr>
        <w:pStyle w:val="36"/>
        <w:spacing w:before="0" w:beforeAutospacing="0" w:after="0" w:afterAutospacing="0" w:line="460" w:lineRule="exact"/>
        <w:ind w:firstLine="420" w:firstLineChars="201"/>
        <w:jc w:val="both"/>
        <w:rPr>
          <w:rFonts w:hint="eastAsia" w:ascii="仿宋" w:hAnsi="仿宋" w:eastAsia="仿宋"/>
          <w:color w:val="auto"/>
          <w:sz w:val="24"/>
          <w:szCs w:val="24"/>
          <w:highlight w:val="none"/>
        </w:rPr>
      </w:pPr>
      <w:r>
        <w:rPr>
          <w:rFonts w:hint="eastAsia" w:ascii="仿宋" w:hAnsi="仿宋" w:eastAsia="仿宋"/>
          <w:color w:val="auto"/>
          <w:sz w:val="24"/>
          <w:szCs w:val="24"/>
          <w:highlight w:val="none"/>
        </w:rPr>
        <w:t>8、是否接受进口产品：否。</w:t>
      </w:r>
    </w:p>
    <w:p w14:paraId="0B093F15">
      <w:pPr>
        <w:pStyle w:val="36"/>
        <w:spacing w:before="0" w:beforeAutospacing="0" w:after="0" w:afterAutospacing="0" w:line="460" w:lineRule="exact"/>
        <w:ind w:firstLine="420" w:firstLineChars="201"/>
        <w:jc w:val="both"/>
        <w:rPr>
          <w:rFonts w:hint="eastAsia" w:ascii="仿宋" w:hAnsi="仿宋" w:eastAsia="仿宋"/>
          <w:color w:val="auto"/>
          <w:sz w:val="24"/>
          <w:szCs w:val="24"/>
          <w:highlight w:val="none"/>
        </w:rPr>
      </w:pPr>
      <w:r>
        <w:rPr>
          <w:rFonts w:hint="eastAsia" w:ascii="仿宋" w:hAnsi="仿宋" w:eastAsia="仿宋"/>
          <w:color w:val="auto"/>
          <w:sz w:val="24"/>
          <w:szCs w:val="24"/>
          <w:highlight w:val="none"/>
        </w:rPr>
        <w:t>9、是否专门面向中小企业：是</w:t>
      </w:r>
    </w:p>
    <w:p w14:paraId="39709887">
      <w:pPr>
        <w:pStyle w:val="36"/>
        <w:spacing w:before="0" w:beforeAutospacing="0" w:after="0" w:afterAutospacing="0" w:line="460" w:lineRule="exact"/>
        <w:ind w:firstLine="359"/>
        <w:jc w:val="both"/>
        <w:rPr>
          <w:rFonts w:hint="eastAsia" w:ascii="仿宋" w:hAnsi="仿宋" w:eastAsia="仿宋"/>
          <w:b/>
          <w:color w:val="auto"/>
          <w:sz w:val="24"/>
          <w:szCs w:val="24"/>
          <w:highlight w:val="none"/>
        </w:rPr>
      </w:pPr>
      <w:r>
        <w:rPr>
          <w:rFonts w:hint="eastAsia" w:ascii="仿宋" w:hAnsi="仿宋" w:eastAsia="仿宋"/>
          <w:b/>
          <w:color w:val="auto"/>
          <w:sz w:val="24"/>
          <w:szCs w:val="24"/>
          <w:highlight w:val="none"/>
        </w:rPr>
        <w:t>二、申请人资格要求：</w:t>
      </w:r>
    </w:p>
    <w:p w14:paraId="6571300B">
      <w:pPr>
        <w:pStyle w:val="36"/>
        <w:spacing w:before="0" w:beforeAutospacing="0" w:after="0" w:afterAutospacing="0" w:line="460" w:lineRule="exact"/>
        <w:ind w:firstLine="358"/>
        <w:jc w:val="both"/>
        <w:rPr>
          <w:rFonts w:hint="eastAsia" w:ascii="仿宋" w:hAnsi="仿宋" w:eastAsia="仿宋"/>
          <w:color w:val="auto"/>
          <w:sz w:val="24"/>
          <w:szCs w:val="24"/>
          <w:highlight w:val="none"/>
        </w:rPr>
      </w:pPr>
      <w:r>
        <w:rPr>
          <w:rFonts w:hint="eastAsia" w:ascii="仿宋" w:hAnsi="仿宋" w:eastAsia="仿宋"/>
          <w:color w:val="auto"/>
          <w:sz w:val="24"/>
          <w:szCs w:val="24"/>
          <w:highlight w:val="none"/>
        </w:rPr>
        <w:t>1、满足《中华人民共和国政府采购法》第二十二条规定；</w:t>
      </w:r>
    </w:p>
    <w:p w14:paraId="10A60003">
      <w:pPr>
        <w:pStyle w:val="36"/>
        <w:spacing w:before="0" w:beforeAutospacing="0" w:after="0" w:afterAutospacing="0" w:line="460" w:lineRule="exact"/>
        <w:ind w:firstLine="358"/>
        <w:jc w:val="both"/>
        <w:rPr>
          <w:rFonts w:hint="eastAsia" w:ascii="仿宋" w:hAnsi="仿宋" w:eastAsia="仿宋"/>
          <w:color w:val="auto"/>
          <w:sz w:val="24"/>
          <w:szCs w:val="24"/>
          <w:highlight w:val="none"/>
        </w:rPr>
      </w:pPr>
      <w:r>
        <w:rPr>
          <w:rFonts w:hint="eastAsia" w:ascii="仿宋" w:hAnsi="仿宋" w:eastAsia="仿宋"/>
          <w:color w:val="auto"/>
          <w:sz w:val="24"/>
          <w:szCs w:val="24"/>
          <w:highlight w:val="none"/>
        </w:rPr>
        <w:t>2、落实政府采购政策满足的资格要求：</w:t>
      </w:r>
    </w:p>
    <w:p w14:paraId="042F5F41">
      <w:pPr>
        <w:pStyle w:val="36"/>
        <w:spacing w:before="0" w:beforeAutospacing="0" w:after="0" w:afterAutospacing="0" w:line="460" w:lineRule="exact"/>
        <w:ind w:firstLine="358"/>
        <w:jc w:val="both"/>
        <w:rPr>
          <w:rFonts w:hint="eastAsia" w:ascii="仿宋" w:hAnsi="仿宋" w:eastAsia="仿宋"/>
          <w:color w:val="auto"/>
          <w:sz w:val="24"/>
          <w:szCs w:val="24"/>
          <w:highlight w:val="none"/>
        </w:rPr>
      </w:pPr>
      <w:r>
        <w:rPr>
          <w:rFonts w:hint="eastAsia" w:ascii="仿宋" w:hAnsi="仿宋" w:eastAsia="仿宋"/>
          <w:color w:val="auto"/>
          <w:sz w:val="24"/>
          <w:szCs w:val="24"/>
          <w:highlight w:val="none"/>
        </w:rPr>
        <w:t>（1）本项目专门面向中小微企业（监狱企业、残疾人福利性单位视同小型、微型企业）企业采购、优先采购节能环保产品，节约能源，保护环境，落实绿色建筑、绿色建材，支持不发达、少数民族地区的企业，促进自主创新产业发展，支持脱贫攻坚。</w:t>
      </w:r>
    </w:p>
    <w:p w14:paraId="55994B09">
      <w:pPr>
        <w:pStyle w:val="36"/>
        <w:spacing w:before="0" w:beforeAutospacing="0" w:after="0" w:afterAutospacing="0" w:line="460" w:lineRule="exact"/>
        <w:ind w:firstLine="358"/>
        <w:jc w:val="both"/>
        <w:rPr>
          <w:rFonts w:hint="eastAsia" w:ascii="仿宋" w:hAnsi="仿宋" w:eastAsia="仿宋"/>
          <w:color w:val="auto"/>
          <w:sz w:val="24"/>
          <w:szCs w:val="24"/>
          <w:highlight w:val="none"/>
        </w:rPr>
      </w:pPr>
      <w:r>
        <w:rPr>
          <w:rFonts w:hint="eastAsia" w:ascii="仿宋" w:hAnsi="仿宋" w:eastAsia="仿宋"/>
          <w:color w:val="auto"/>
          <w:sz w:val="24"/>
          <w:szCs w:val="24"/>
          <w:highlight w:val="none"/>
        </w:rPr>
        <w:t>（2）根据洛财购〔2021〕4号文件要求，参加政府采购项目的中小微企业供应商，持中标(成交)通知书可向金融机构申请合同融资。详情请登录洛阳市政府采购网(http://luoyang.hngp.gov.cn/)，进入网站飘窗或业务指南窗口了解金融机构提供的融资服务内容。</w:t>
      </w:r>
    </w:p>
    <w:p w14:paraId="58D723C8">
      <w:pPr>
        <w:pStyle w:val="36"/>
        <w:spacing w:before="0" w:beforeAutospacing="0" w:after="0" w:afterAutospacing="0" w:line="460" w:lineRule="exact"/>
        <w:ind w:firstLine="358"/>
        <w:jc w:val="both"/>
        <w:rPr>
          <w:rFonts w:hint="eastAsia" w:ascii="仿宋" w:hAnsi="仿宋" w:eastAsia="仿宋"/>
          <w:color w:val="auto"/>
          <w:sz w:val="24"/>
          <w:szCs w:val="24"/>
          <w:highlight w:val="none"/>
        </w:rPr>
      </w:pPr>
      <w:r>
        <w:rPr>
          <w:rFonts w:hint="eastAsia" w:ascii="仿宋" w:hAnsi="仿宋" w:eastAsia="仿宋"/>
          <w:color w:val="auto"/>
          <w:sz w:val="24"/>
          <w:szCs w:val="24"/>
          <w:highlight w:val="none"/>
        </w:rPr>
        <w:t>3、本项目的特定资格要求：</w:t>
      </w:r>
    </w:p>
    <w:p w14:paraId="749BA9B8">
      <w:pPr>
        <w:pStyle w:val="36"/>
        <w:spacing w:before="0" w:beforeAutospacing="0" w:after="0" w:afterAutospacing="0" w:line="460" w:lineRule="exact"/>
        <w:ind w:firstLine="358"/>
        <w:jc w:val="both"/>
        <w:rPr>
          <w:rFonts w:hint="eastAsia" w:ascii="仿宋" w:hAnsi="仿宋" w:eastAsia="仿宋"/>
          <w:bCs/>
          <w:color w:val="auto"/>
          <w:sz w:val="24"/>
          <w:szCs w:val="24"/>
          <w:highlight w:val="none"/>
        </w:rPr>
      </w:pPr>
      <w:r>
        <w:rPr>
          <w:rFonts w:hint="eastAsia" w:ascii="仿宋" w:hAnsi="仿宋" w:eastAsia="仿宋"/>
          <w:bCs/>
          <w:color w:val="auto"/>
          <w:sz w:val="24"/>
          <w:szCs w:val="24"/>
          <w:highlight w:val="none"/>
        </w:rPr>
        <w:t>3.1、供应商具备独立承担民事责任能力，具有合法有效的营业执照或事业单位法人证书。</w:t>
      </w:r>
    </w:p>
    <w:p w14:paraId="271F47E0">
      <w:pPr>
        <w:pStyle w:val="36"/>
        <w:spacing w:before="0" w:beforeAutospacing="0" w:after="0" w:afterAutospacing="0" w:line="460" w:lineRule="exact"/>
        <w:ind w:firstLine="358"/>
        <w:jc w:val="both"/>
        <w:rPr>
          <w:rFonts w:hint="eastAsia" w:ascii="仿宋" w:hAnsi="仿宋" w:eastAsia="仿宋"/>
          <w:bCs/>
          <w:color w:val="auto"/>
          <w:sz w:val="24"/>
          <w:szCs w:val="24"/>
          <w:highlight w:val="none"/>
        </w:rPr>
      </w:pPr>
      <w:r>
        <w:rPr>
          <w:rFonts w:hint="eastAsia" w:ascii="仿宋" w:hAnsi="仿宋" w:eastAsia="仿宋"/>
          <w:bCs/>
          <w:color w:val="auto"/>
          <w:sz w:val="24"/>
          <w:szCs w:val="24"/>
          <w:highlight w:val="none"/>
        </w:rPr>
        <w:t>3.2、根据《洛阳市财政局关于推行政府采购信用承诺制的通知》（洛财购【2021】11号）文件，供应商须提供“洛阳市政府采购供应商信用承诺函”，采购人有权在签订合同前要求中标供应商提供相关证明材料以核实中标供应商承诺事项的真实性；（响应文件中须附《洛阳市政府采购供应商信用承诺函》，格式见磋商文件）。</w:t>
      </w:r>
    </w:p>
    <w:p w14:paraId="73C236F6">
      <w:pPr>
        <w:pStyle w:val="36"/>
        <w:spacing w:before="0" w:beforeAutospacing="0" w:after="0" w:afterAutospacing="0" w:line="460" w:lineRule="exact"/>
        <w:ind w:firstLine="358"/>
        <w:jc w:val="both"/>
        <w:rPr>
          <w:rFonts w:hint="eastAsia" w:ascii="仿宋" w:hAnsi="仿宋" w:eastAsia="仿宋"/>
          <w:bCs/>
          <w:color w:val="auto"/>
          <w:sz w:val="24"/>
          <w:szCs w:val="24"/>
          <w:highlight w:val="none"/>
        </w:rPr>
      </w:pPr>
      <w:r>
        <w:rPr>
          <w:rFonts w:hint="eastAsia" w:ascii="仿宋" w:hAnsi="仿宋" w:eastAsia="仿宋"/>
          <w:bCs/>
          <w:color w:val="auto"/>
          <w:sz w:val="24"/>
          <w:szCs w:val="24"/>
          <w:highlight w:val="none"/>
        </w:rPr>
        <w:t>注：采购人有权在签订合同前要求成交人提供相关证明材料以核实成交人承诺事项的真实性</w:t>
      </w:r>
    </w:p>
    <w:p w14:paraId="3D497D80">
      <w:pPr>
        <w:pStyle w:val="36"/>
        <w:spacing w:before="0" w:beforeAutospacing="0" w:after="0" w:afterAutospacing="0" w:line="460" w:lineRule="exact"/>
        <w:ind w:firstLine="358"/>
        <w:jc w:val="both"/>
        <w:rPr>
          <w:rFonts w:hint="eastAsia" w:ascii="仿宋" w:hAnsi="仿宋" w:eastAsia="仿宋"/>
          <w:bCs/>
          <w:color w:val="auto"/>
          <w:sz w:val="24"/>
          <w:szCs w:val="24"/>
          <w:highlight w:val="none"/>
        </w:rPr>
      </w:pPr>
      <w:r>
        <w:rPr>
          <w:rFonts w:hint="eastAsia" w:ascii="仿宋" w:hAnsi="仿宋" w:eastAsia="仿宋"/>
          <w:bCs/>
          <w:color w:val="auto"/>
          <w:sz w:val="24"/>
          <w:szCs w:val="24"/>
          <w:highlight w:val="none"/>
        </w:rPr>
        <w:t>3.3、单位负责人为同一人或者存在直接控股、管理关系的不同供应商，不得参加同一合同项下的政府采购活动。</w:t>
      </w:r>
    </w:p>
    <w:p w14:paraId="1FFF6ACA">
      <w:pPr>
        <w:pStyle w:val="36"/>
        <w:spacing w:before="0" w:beforeAutospacing="0" w:after="0" w:afterAutospacing="0" w:line="460" w:lineRule="exact"/>
        <w:ind w:firstLine="358"/>
        <w:jc w:val="both"/>
        <w:rPr>
          <w:rFonts w:hint="eastAsia" w:ascii="仿宋" w:hAnsi="仿宋" w:eastAsia="仿宋"/>
          <w:bCs/>
          <w:color w:val="auto"/>
          <w:sz w:val="24"/>
          <w:szCs w:val="24"/>
          <w:highlight w:val="none"/>
        </w:rPr>
      </w:pPr>
      <w:r>
        <w:rPr>
          <w:rFonts w:hint="eastAsia" w:ascii="仿宋" w:hAnsi="仿宋" w:eastAsia="仿宋"/>
          <w:bCs/>
          <w:color w:val="auto"/>
          <w:sz w:val="24"/>
          <w:szCs w:val="24"/>
          <w:highlight w:val="none"/>
        </w:rPr>
        <w:t>3.4、本次磋商不接受联合体。</w:t>
      </w:r>
    </w:p>
    <w:p w14:paraId="2A85EFA7">
      <w:pPr>
        <w:pStyle w:val="36"/>
        <w:spacing w:before="0" w:beforeAutospacing="0" w:after="0" w:afterAutospacing="0" w:line="460" w:lineRule="exact"/>
        <w:ind w:firstLine="358"/>
        <w:jc w:val="both"/>
        <w:rPr>
          <w:rFonts w:hint="eastAsia" w:ascii="仿宋" w:hAnsi="仿宋" w:eastAsia="仿宋"/>
          <w:bCs/>
          <w:color w:val="auto"/>
          <w:sz w:val="24"/>
          <w:szCs w:val="24"/>
          <w:highlight w:val="none"/>
        </w:rPr>
      </w:pPr>
      <w:r>
        <w:rPr>
          <w:rFonts w:hint="eastAsia" w:ascii="仿宋" w:hAnsi="仿宋" w:eastAsia="仿宋"/>
          <w:bCs/>
          <w:color w:val="auto"/>
          <w:sz w:val="24"/>
          <w:szCs w:val="24"/>
          <w:highlight w:val="none"/>
        </w:rPr>
        <w:t>3.5、本次磋商实行资格后审，资格后审不合格的供应商的响应文件将不被接受。</w:t>
      </w:r>
    </w:p>
    <w:p w14:paraId="1D03E18A">
      <w:pPr>
        <w:pStyle w:val="36"/>
        <w:spacing w:before="0" w:beforeAutospacing="0" w:after="0" w:afterAutospacing="0" w:line="460" w:lineRule="exact"/>
        <w:ind w:firstLine="358"/>
        <w:jc w:val="both"/>
        <w:rPr>
          <w:rFonts w:hint="eastAsia" w:ascii="仿宋" w:hAnsi="仿宋" w:eastAsia="仿宋"/>
          <w:b/>
          <w:bCs w:val="0"/>
          <w:color w:val="auto"/>
          <w:sz w:val="24"/>
          <w:szCs w:val="24"/>
          <w:highlight w:val="none"/>
        </w:rPr>
      </w:pPr>
      <w:r>
        <w:rPr>
          <w:rFonts w:hint="eastAsia" w:ascii="仿宋" w:hAnsi="仿宋" w:eastAsia="仿宋"/>
          <w:b/>
          <w:bCs w:val="0"/>
          <w:color w:val="auto"/>
          <w:sz w:val="24"/>
          <w:szCs w:val="24"/>
          <w:highlight w:val="none"/>
        </w:rPr>
        <w:t>三、获取</w:t>
      </w:r>
      <w:r>
        <w:rPr>
          <w:rFonts w:hint="eastAsia" w:ascii="仿宋" w:hAnsi="仿宋" w:eastAsia="仿宋"/>
          <w:b/>
          <w:bCs w:val="0"/>
          <w:color w:val="auto"/>
          <w:sz w:val="24"/>
          <w:szCs w:val="24"/>
          <w:highlight w:val="none"/>
          <w:lang w:eastAsia="zh-CN"/>
        </w:rPr>
        <w:t>采购</w:t>
      </w:r>
      <w:r>
        <w:rPr>
          <w:rFonts w:hint="eastAsia" w:ascii="仿宋" w:hAnsi="仿宋" w:eastAsia="仿宋"/>
          <w:b/>
          <w:bCs w:val="0"/>
          <w:color w:val="auto"/>
          <w:sz w:val="24"/>
          <w:szCs w:val="24"/>
          <w:highlight w:val="none"/>
        </w:rPr>
        <w:t>文件</w:t>
      </w:r>
    </w:p>
    <w:p w14:paraId="4C4124DF">
      <w:pPr>
        <w:pStyle w:val="36"/>
        <w:spacing w:before="0" w:beforeAutospacing="0" w:after="0" w:afterAutospacing="0" w:line="460" w:lineRule="exact"/>
        <w:ind w:firstLine="358"/>
        <w:jc w:val="both"/>
        <w:rPr>
          <w:rFonts w:hint="eastAsia" w:ascii="仿宋" w:hAnsi="仿宋" w:eastAsia="仿宋"/>
          <w:color w:val="auto"/>
          <w:sz w:val="24"/>
          <w:szCs w:val="24"/>
          <w:highlight w:val="none"/>
        </w:rPr>
      </w:pPr>
      <w:r>
        <w:rPr>
          <w:rFonts w:hint="eastAsia" w:ascii="仿宋" w:hAnsi="仿宋" w:eastAsia="仿宋"/>
          <w:color w:val="auto"/>
          <w:sz w:val="24"/>
          <w:szCs w:val="24"/>
          <w:highlight w:val="none"/>
        </w:rPr>
        <w:t>1.时间：</w:t>
      </w:r>
      <w:r>
        <w:rPr>
          <w:rFonts w:hint="eastAsia" w:ascii="仿宋" w:hAnsi="仿宋" w:eastAsia="仿宋"/>
          <w:color w:val="auto"/>
          <w:sz w:val="24"/>
          <w:szCs w:val="24"/>
          <w:highlight w:val="none"/>
          <w:lang w:val="en-US" w:eastAsia="zh-CN"/>
        </w:rPr>
        <w:t>2025</w:t>
      </w:r>
      <w:r>
        <w:rPr>
          <w:rFonts w:hint="eastAsia" w:ascii="仿宋" w:hAnsi="仿宋" w:eastAsia="仿宋"/>
          <w:color w:val="auto"/>
          <w:sz w:val="24"/>
          <w:szCs w:val="24"/>
          <w:highlight w:val="none"/>
        </w:rPr>
        <w:t>年</w:t>
      </w:r>
      <w:r>
        <w:rPr>
          <w:rFonts w:hint="eastAsia" w:ascii="仿宋" w:hAnsi="仿宋" w:eastAsia="仿宋"/>
          <w:color w:val="auto"/>
          <w:sz w:val="24"/>
          <w:szCs w:val="24"/>
          <w:highlight w:val="none"/>
          <w:lang w:val="en-US" w:eastAsia="zh-CN"/>
        </w:rPr>
        <w:t>11</w:t>
      </w:r>
      <w:r>
        <w:rPr>
          <w:rFonts w:hint="eastAsia" w:ascii="仿宋" w:hAnsi="仿宋" w:eastAsia="仿宋"/>
          <w:color w:val="auto"/>
          <w:sz w:val="24"/>
          <w:szCs w:val="24"/>
          <w:highlight w:val="none"/>
        </w:rPr>
        <w:t>月</w:t>
      </w:r>
      <w:r>
        <w:rPr>
          <w:rFonts w:hint="eastAsia" w:ascii="仿宋" w:hAnsi="仿宋" w:eastAsia="仿宋"/>
          <w:color w:val="auto"/>
          <w:sz w:val="24"/>
          <w:szCs w:val="24"/>
          <w:highlight w:val="none"/>
          <w:lang w:val="en-US" w:eastAsia="zh-CN"/>
        </w:rPr>
        <w:t>25</w:t>
      </w:r>
      <w:r>
        <w:rPr>
          <w:rFonts w:hint="eastAsia" w:ascii="仿宋" w:hAnsi="仿宋" w:eastAsia="仿宋"/>
          <w:color w:val="auto"/>
          <w:sz w:val="24"/>
          <w:szCs w:val="24"/>
          <w:highlight w:val="none"/>
        </w:rPr>
        <w:t>日至</w:t>
      </w:r>
      <w:r>
        <w:rPr>
          <w:rFonts w:hint="eastAsia" w:ascii="仿宋" w:hAnsi="仿宋" w:eastAsia="仿宋"/>
          <w:color w:val="auto"/>
          <w:sz w:val="24"/>
          <w:szCs w:val="24"/>
          <w:highlight w:val="none"/>
          <w:lang w:val="en-US" w:eastAsia="zh-CN"/>
        </w:rPr>
        <w:t>2025</w:t>
      </w:r>
      <w:r>
        <w:rPr>
          <w:rFonts w:hint="eastAsia" w:ascii="仿宋" w:hAnsi="仿宋" w:eastAsia="仿宋"/>
          <w:color w:val="auto"/>
          <w:sz w:val="24"/>
          <w:szCs w:val="24"/>
          <w:highlight w:val="none"/>
        </w:rPr>
        <w:t>年</w:t>
      </w:r>
      <w:r>
        <w:rPr>
          <w:rFonts w:hint="eastAsia" w:ascii="仿宋" w:hAnsi="仿宋" w:eastAsia="仿宋"/>
          <w:color w:val="auto"/>
          <w:sz w:val="24"/>
          <w:szCs w:val="24"/>
          <w:highlight w:val="none"/>
          <w:lang w:val="en-US" w:eastAsia="zh-CN"/>
        </w:rPr>
        <w:t>12</w:t>
      </w:r>
      <w:r>
        <w:rPr>
          <w:rFonts w:hint="eastAsia" w:ascii="仿宋" w:hAnsi="仿宋" w:eastAsia="仿宋"/>
          <w:color w:val="auto"/>
          <w:sz w:val="24"/>
          <w:szCs w:val="24"/>
          <w:highlight w:val="none"/>
        </w:rPr>
        <w:t>月</w:t>
      </w:r>
      <w:r>
        <w:rPr>
          <w:rFonts w:hint="eastAsia" w:ascii="仿宋" w:hAnsi="仿宋" w:eastAsia="仿宋"/>
          <w:color w:val="auto"/>
          <w:sz w:val="24"/>
          <w:szCs w:val="24"/>
          <w:highlight w:val="none"/>
          <w:lang w:val="en-US" w:eastAsia="zh-CN"/>
        </w:rPr>
        <w:t>1</w:t>
      </w:r>
      <w:r>
        <w:rPr>
          <w:rFonts w:hint="eastAsia" w:ascii="仿宋" w:hAnsi="仿宋" w:eastAsia="仿宋"/>
          <w:color w:val="auto"/>
          <w:sz w:val="24"/>
          <w:szCs w:val="24"/>
          <w:highlight w:val="none"/>
        </w:rPr>
        <w:t xml:space="preserve">日，每天上午00:00至12:00，下午12:00至23:59（北京时间，法定节假日除外。） </w:t>
      </w:r>
    </w:p>
    <w:p w14:paraId="5B265B53">
      <w:pPr>
        <w:pStyle w:val="36"/>
        <w:spacing w:before="0" w:beforeAutospacing="0" w:after="0" w:afterAutospacing="0" w:line="460" w:lineRule="exact"/>
        <w:ind w:firstLine="358"/>
        <w:jc w:val="both"/>
        <w:rPr>
          <w:rFonts w:hint="eastAsia" w:ascii="仿宋" w:hAnsi="仿宋" w:eastAsia="仿宋"/>
          <w:color w:val="auto"/>
          <w:sz w:val="24"/>
          <w:szCs w:val="24"/>
          <w:highlight w:val="none"/>
        </w:rPr>
      </w:pPr>
      <w:r>
        <w:rPr>
          <w:rFonts w:hint="eastAsia" w:ascii="仿宋" w:hAnsi="仿宋" w:eastAsia="仿宋"/>
          <w:color w:val="auto"/>
          <w:sz w:val="24"/>
          <w:szCs w:val="24"/>
          <w:highlight w:val="none"/>
        </w:rPr>
        <w:t>2.地点：洛阳市公共资源交易中心网站（http://lyggzyjy.ly.gov.cn/）</w:t>
      </w:r>
    </w:p>
    <w:p w14:paraId="2CB55095">
      <w:pPr>
        <w:pStyle w:val="36"/>
        <w:spacing w:before="0" w:beforeAutospacing="0" w:after="0" w:afterAutospacing="0" w:line="460" w:lineRule="exact"/>
        <w:ind w:firstLine="358"/>
        <w:jc w:val="both"/>
        <w:rPr>
          <w:rFonts w:hint="eastAsia" w:ascii="仿宋" w:hAnsi="仿宋" w:eastAsia="仿宋"/>
          <w:color w:val="auto"/>
          <w:sz w:val="24"/>
          <w:szCs w:val="24"/>
          <w:highlight w:val="none"/>
        </w:rPr>
      </w:pPr>
      <w:r>
        <w:rPr>
          <w:rFonts w:hint="eastAsia" w:ascii="仿宋" w:hAnsi="仿宋" w:eastAsia="仿宋"/>
          <w:color w:val="auto"/>
          <w:sz w:val="24"/>
          <w:szCs w:val="24"/>
          <w:highlight w:val="none"/>
        </w:rPr>
        <w:t>3.方式：洛阳市公共资源交易中心网站（http://lyggzyjy.ly.gov.cn/）上获取。请在“洛阳市电子招投标交易平台（http://61.54.85.189/tpbidder）”进行用户注册，办理数字证书后下载招标（采购）文件。如投多个标段（包），则应就所投每个标段（包）分别下载。联合体投标的，由联合体牵头人完成招标（采购）文件下载。详见洛阳市公共资源交易中心网站—办事指南内的“主体注册CA办理”和“洛阳政府采购系统操作手册（供应商用）”。</w:t>
      </w:r>
    </w:p>
    <w:p w14:paraId="68586883">
      <w:pPr>
        <w:pStyle w:val="36"/>
        <w:spacing w:before="0" w:beforeAutospacing="0" w:after="0" w:afterAutospacing="0" w:line="460" w:lineRule="exact"/>
        <w:ind w:firstLine="358"/>
        <w:jc w:val="both"/>
        <w:rPr>
          <w:rFonts w:hint="eastAsia" w:ascii="仿宋" w:hAnsi="仿宋" w:eastAsia="仿宋"/>
          <w:color w:val="auto"/>
          <w:sz w:val="24"/>
          <w:szCs w:val="24"/>
          <w:highlight w:val="none"/>
        </w:rPr>
      </w:pPr>
      <w:r>
        <w:rPr>
          <w:rFonts w:hint="eastAsia" w:ascii="仿宋" w:hAnsi="仿宋" w:eastAsia="仿宋"/>
          <w:color w:val="auto"/>
          <w:sz w:val="24"/>
          <w:szCs w:val="24"/>
          <w:highlight w:val="none"/>
        </w:rPr>
        <w:t>4.售价：0元</w:t>
      </w:r>
    </w:p>
    <w:p w14:paraId="0C9BBAC1">
      <w:pPr>
        <w:pStyle w:val="36"/>
        <w:spacing w:before="0" w:beforeAutospacing="0" w:after="0" w:afterAutospacing="0" w:line="460" w:lineRule="exact"/>
        <w:ind w:firstLine="359"/>
        <w:jc w:val="both"/>
        <w:rPr>
          <w:rFonts w:hint="eastAsia" w:ascii="仿宋" w:hAnsi="仿宋" w:eastAsia="仿宋"/>
          <w:b/>
          <w:color w:val="auto"/>
          <w:sz w:val="24"/>
          <w:szCs w:val="24"/>
          <w:highlight w:val="none"/>
        </w:rPr>
      </w:pPr>
      <w:r>
        <w:rPr>
          <w:rFonts w:hint="eastAsia" w:ascii="仿宋" w:hAnsi="仿宋" w:eastAsia="仿宋"/>
          <w:b/>
          <w:color w:val="auto"/>
          <w:sz w:val="24"/>
          <w:szCs w:val="24"/>
          <w:highlight w:val="none"/>
        </w:rPr>
        <w:t>四、响应文件提交</w:t>
      </w:r>
    </w:p>
    <w:p w14:paraId="17ADD749">
      <w:pPr>
        <w:pStyle w:val="36"/>
        <w:spacing w:before="0" w:beforeAutospacing="0" w:after="0" w:afterAutospacing="0" w:line="460" w:lineRule="exact"/>
        <w:ind w:firstLine="358"/>
        <w:jc w:val="both"/>
        <w:rPr>
          <w:rFonts w:hint="eastAsia" w:ascii="仿宋" w:hAnsi="仿宋" w:eastAsia="仿宋"/>
          <w:color w:val="auto"/>
          <w:sz w:val="24"/>
          <w:szCs w:val="24"/>
          <w:highlight w:val="none"/>
        </w:rPr>
      </w:pPr>
      <w:r>
        <w:rPr>
          <w:rFonts w:hint="eastAsia" w:ascii="仿宋" w:hAnsi="仿宋" w:eastAsia="仿宋"/>
          <w:color w:val="auto"/>
          <w:sz w:val="24"/>
          <w:szCs w:val="24"/>
          <w:highlight w:val="none"/>
        </w:rPr>
        <w:t>1.</w:t>
      </w:r>
      <w:r>
        <w:rPr>
          <w:rFonts w:hint="eastAsia" w:ascii="仿宋" w:hAnsi="仿宋" w:eastAsia="仿宋"/>
          <w:color w:val="auto"/>
          <w:sz w:val="24"/>
          <w:szCs w:val="24"/>
          <w:highlight w:val="none"/>
          <w:lang w:eastAsia="zh-CN"/>
        </w:rPr>
        <w:t>截止</w:t>
      </w:r>
      <w:r>
        <w:rPr>
          <w:rFonts w:hint="eastAsia" w:ascii="仿宋" w:hAnsi="仿宋" w:eastAsia="仿宋"/>
          <w:color w:val="auto"/>
          <w:sz w:val="24"/>
          <w:szCs w:val="24"/>
          <w:highlight w:val="none"/>
        </w:rPr>
        <w:t>时间：202</w:t>
      </w:r>
      <w:r>
        <w:rPr>
          <w:rFonts w:hint="eastAsia" w:ascii="仿宋" w:hAnsi="仿宋" w:eastAsia="仿宋"/>
          <w:color w:val="auto"/>
          <w:sz w:val="24"/>
          <w:szCs w:val="24"/>
          <w:highlight w:val="none"/>
          <w:lang w:val="en-US" w:eastAsia="zh-CN"/>
        </w:rPr>
        <w:t>5</w:t>
      </w:r>
      <w:r>
        <w:rPr>
          <w:rFonts w:hint="eastAsia" w:ascii="仿宋" w:hAnsi="仿宋" w:eastAsia="仿宋"/>
          <w:color w:val="auto"/>
          <w:sz w:val="24"/>
          <w:szCs w:val="24"/>
          <w:highlight w:val="none"/>
        </w:rPr>
        <w:t>年</w:t>
      </w:r>
      <w:r>
        <w:rPr>
          <w:rFonts w:hint="eastAsia" w:ascii="仿宋" w:hAnsi="仿宋" w:eastAsia="仿宋"/>
          <w:color w:val="auto"/>
          <w:sz w:val="24"/>
          <w:szCs w:val="24"/>
          <w:highlight w:val="none"/>
          <w:lang w:val="en-US" w:eastAsia="zh-CN"/>
        </w:rPr>
        <w:t>12</w:t>
      </w:r>
      <w:r>
        <w:rPr>
          <w:rFonts w:hint="eastAsia" w:ascii="仿宋" w:hAnsi="仿宋" w:eastAsia="仿宋"/>
          <w:color w:val="auto"/>
          <w:sz w:val="24"/>
          <w:szCs w:val="24"/>
          <w:highlight w:val="none"/>
        </w:rPr>
        <w:t>月</w:t>
      </w:r>
      <w:r>
        <w:rPr>
          <w:rFonts w:hint="eastAsia" w:ascii="仿宋" w:hAnsi="仿宋" w:eastAsia="仿宋"/>
          <w:color w:val="auto"/>
          <w:sz w:val="24"/>
          <w:szCs w:val="24"/>
          <w:highlight w:val="none"/>
          <w:lang w:val="en-US" w:eastAsia="zh-CN"/>
        </w:rPr>
        <w:t>5</w:t>
      </w:r>
      <w:r>
        <w:rPr>
          <w:rFonts w:hint="eastAsia" w:ascii="仿宋" w:hAnsi="仿宋" w:eastAsia="仿宋"/>
          <w:color w:val="auto"/>
          <w:sz w:val="24"/>
          <w:szCs w:val="24"/>
          <w:highlight w:val="none"/>
        </w:rPr>
        <w:t>日</w:t>
      </w:r>
      <w:r>
        <w:rPr>
          <w:rFonts w:hint="eastAsia" w:ascii="仿宋" w:hAnsi="仿宋" w:eastAsia="仿宋"/>
          <w:color w:val="auto"/>
          <w:sz w:val="24"/>
          <w:szCs w:val="24"/>
          <w:highlight w:val="none"/>
          <w:lang w:val="en-US" w:eastAsia="zh-CN"/>
        </w:rPr>
        <w:t>9</w:t>
      </w:r>
      <w:r>
        <w:rPr>
          <w:rFonts w:hint="eastAsia" w:ascii="仿宋" w:hAnsi="仿宋" w:eastAsia="仿宋"/>
          <w:color w:val="auto"/>
          <w:sz w:val="24"/>
          <w:szCs w:val="24"/>
          <w:highlight w:val="none"/>
        </w:rPr>
        <w:t>时</w:t>
      </w:r>
      <w:r>
        <w:rPr>
          <w:rFonts w:hint="eastAsia" w:ascii="仿宋" w:hAnsi="仿宋" w:eastAsia="仿宋"/>
          <w:color w:val="auto"/>
          <w:sz w:val="24"/>
          <w:szCs w:val="24"/>
          <w:highlight w:val="none"/>
          <w:lang w:val="en-US" w:eastAsia="zh-CN"/>
        </w:rPr>
        <w:t>05</w:t>
      </w:r>
      <w:r>
        <w:rPr>
          <w:rFonts w:hint="eastAsia" w:ascii="仿宋" w:hAnsi="仿宋" w:eastAsia="仿宋"/>
          <w:color w:val="auto"/>
          <w:sz w:val="24"/>
          <w:szCs w:val="24"/>
          <w:highlight w:val="none"/>
        </w:rPr>
        <w:t>分（北京时间）</w:t>
      </w:r>
    </w:p>
    <w:p w14:paraId="2C69F23F">
      <w:pPr>
        <w:pStyle w:val="36"/>
        <w:spacing w:before="0" w:beforeAutospacing="0" w:after="0" w:afterAutospacing="0" w:line="460" w:lineRule="exact"/>
        <w:ind w:firstLine="358"/>
        <w:jc w:val="both"/>
        <w:rPr>
          <w:rFonts w:hint="eastAsia" w:ascii="仿宋" w:hAnsi="仿宋" w:eastAsia="仿宋"/>
          <w:color w:val="auto"/>
          <w:sz w:val="24"/>
          <w:szCs w:val="24"/>
          <w:highlight w:val="none"/>
        </w:rPr>
      </w:pPr>
      <w:r>
        <w:rPr>
          <w:rFonts w:hint="eastAsia" w:ascii="仿宋" w:hAnsi="仿宋" w:eastAsia="仿宋"/>
          <w:color w:val="auto"/>
          <w:sz w:val="24"/>
          <w:szCs w:val="24"/>
          <w:highlight w:val="none"/>
        </w:rPr>
        <w:t>2.地点：洛阳市公共资源交易中心网站（http://lyggzyjy.ly.gov.cn/）。获取招标（采购）文件后，请下载并安装最新版本投标文件制作工具，制作电子投标（响应）文件，在投标截止时间前，上传加密的投标（响应）文件。供应商未在投标截止时间前完成上传的，视为逾期送达，洛阳市电子招投标交易平台将拒绝接收。</w:t>
      </w:r>
    </w:p>
    <w:p w14:paraId="54C2B004">
      <w:pPr>
        <w:pStyle w:val="36"/>
        <w:spacing w:before="0" w:beforeAutospacing="0" w:after="0" w:afterAutospacing="0" w:line="460" w:lineRule="exact"/>
        <w:ind w:firstLine="359"/>
        <w:jc w:val="both"/>
        <w:rPr>
          <w:rFonts w:hint="eastAsia" w:ascii="仿宋" w:hAnsi="仿宋" w:eastAsia="仿宋"/>
          <w:b/>
          <w:color w:val="auto"/>
          <w:sz w:val="24"/>
          <w:szCs w:val="24"/>
          <w:highlight w:val="none"/>
          <w:lang w:eastAsia="zh-CN"/>
        </w:rPr>
      </w:pPr>
      <w:r>
        <w:rPr>
          <w:rFonts w:hint="eastAsia" w:ascii="仿宋" w:hAnsi="仿宋" w:eastAsia="仿宋"/>
          <w:b/>
          <w:color w:val="auto"/>
          <w:sz w:val="24"/>
          <w:szCs w:val="24"/>
          <w:highlight w:val="none"/>
        </w:rPr>
        <w:t>五、</w:t>
      </w:r>
      <w:r>
        <w:rPr>
          <w:rFonts w:hint="eastAsia" w:ascii="仿宋" w:hAnsi="仿宋" w:eastAsia="仿宋"/>
          <w:b/>
          <w:color w:val="auto"/>
          <w:sz w:val="24"/>
          <w:szCs w:val="24"/>
          <w:highlight w:val="none"/>
          <w:lang w:eastAsia="zh-CN"/>
        </w:rPr>
        <w:t>响应文件开启</w:t>
      </w:r>
    </w:p>
    <w:p w14:paraId="17C3D89C">
      <w:pPr>
        <w:pStyle w:val="37"/>
        <w:spacing w:before="0" w:beforeAutospacing="0" w:after="0" w:afterAutospacing="0"/>
        <w:ind w:firstLine="358"/>
        <w:jc w:val="both"/>
        <w:rPr>
          <w:rFonts w:hint="eastAsia" w:ascii="仿宋" w:hAnsi="仿宋" w:eastAsia="仿宋"/>
          <w:color w:val="auto"/>
          <w:sz w:val="24"/>
          <w:szCs w:val="24"/>
          <w:highlight w:val="none"/>
        </w:rPr>
      </w:pPr>
      <w:r>
        <w:rPr>
          <w:rFonts w:hint="eastAsia" w:ascii="仿宋" w:hAnsi="仿宋" w:eastAsia="仿宋"/>
          <w:color w:val="auto"/>
          <w:sz w:val="24"/>
          <w:szCs w:val="24"/>
          <w:highlight w:val="none"/>
        </w:rPr>
        <w:t>1.时间：</w:t>
      </w:r>
      <w:r>
        <w:rPr>
          <w:rFonts w:hint="eastAsia" w:ascii="仿宋" w:hAnsi="仿宋" w:eastAsia="仿宋"/>
          <w:color w:val="auto"/>
          <w:sz w:val="24"/>
          <w:szCs w:val="24"/>
          <w:highlight w:val="none"/>
          <w:lang w:val="en-US" w:eastAsia="zh-CN"/>
        </w:rPr>
        <w:t>2025年12月5日9时05分</w:t>
      </w:r>
      <w:r>
        <w:rPr>
          <w:rFonts w:hint="eastAsia" w:ascii="仿宋" w:hAnsi="仿宋" w:eastAsia="仿宋"/>
          <w:color w:val="auto"/>
          <w:sz w:val="24"/>
          <w:szCs w:val="24"/>
          <w:highlight w:val="none"/>
        </w:rPr>
        <w:t>（北京时间）</w:t>
      </w:r>
      <w:bookmarkStart w:id="324" w:name="_GoBack"/>
      <w:bookmarkEnd w:id="324"/>
    </w:p>
    <w:p w14:paraId="178809DD">
      <w:pPr>
        <w:pStyle w:val="36"/>
        <w:spacing w:before="0" w:beforeAutospacing="0" w:after="0" w:afterAutospacing="0" w:line="460" w:lineRule="exact"/>
        <w:ind w:firstLine="359"/>
        <w:jc w:val="both"/>
        <w:rPr>
          <w:rFonts w:hint="eastAsia" w:ascii="仿宋" w:hAnsi="仿宋" w:eastAsia="仿宋"/>
          <w:color w:val="auto"/>
          <w:sz w:val="24"/>
          <w:szCs w:val="24"/>
          <w:highlight w:val="none"/>
        </w:rPr>
      </w:pPr>
      <w:r>
        <w:rPr>
          <w:rFonts w:hint="eastAsia" w:ascii="仿宋" w:hAnsi="仿宋" w:eastAsia="仿宋"/>
          <w:color w:val="auto"/>
          <w:sz w:val="24"/>
          <w:szCs w:val="24"/>
          <w:highlight w:val="none"/>
        </w:rPr>
        <w:t>2.地点：洛阳市公共资源交易中心开标</w:t>
      </w:r>
      <w:r>
        <w:rPr>
          <w:rFonts w:hint="eastAsia" w:ascii="仿宋" w:hAnsi="仿宋" w:eastAsia="仿宋"/>
          <w:color w:val="auto"/>
          <w:sz w:val="24"/>
          <w:szCs w:val="24"/>
          <w:highlight w:val="none"/>
          <w:lang w:val="en-US" w:eastAsia="zh-CN"/>
        </w:rPr>
        <w:t>三</w:t>
      </w:r>
      <w:r>
        <w:rPr>
          <w:rFonts w:hint="eastAsia" w:ascii="仿宋" w:hAnsi="仿宋" w:eastAsia="仿宋"/>
          <w:color w:val="auto"/>
          <w:sz w:val="24"/>
          <w:szCs w:val="24"/>
          <w:highlight w:val="none"/>
        </w:rPr>
        <w:t>室（洛龙区开元大道与永泰街交叉口西南角洛阳市民之家六楼）。本项目采用远程不见面交易的模式，开标当日，供应商无需到现场参加开标会议，应在投标截止时间前，登录“不见面开标大厅”，在线准时参加开标活动并进行投标（响应）文件解密等。因供应商原因未能解密或解密失败的将被拒绝。详见洛阳市公共资源交易中心网站-办事指南内的“洛阳市公共资源交易中心不见面开标大厅操作手册（供应商）”。除电子投标（响应）文件外，投标时不再接受任何纸质文件、资料等。</w:t>
      </w:r>
    </w:p>
    <w:p w14:paraId="3FCAA907">
      <w:pPr>
        <w:pStyle w:val="36"/>
        <w:spacing w:before="0" w:beforeAutospacing="0" w:after="0" w:afterAutospacing="0" w:line="460" w:lineRule="exact"/>
        <w:ind w:firstLine="359"/>
        <w:jc w:val="both"/>
        <w:rPr>
          <w:rFonts w:hint="eastAsia" w:ascii="仿宋" w:hAnsi="仿宋" w:eastAsia="仿宋"/>
          <w:b/>
          <w:color w:val="auto"/>
          <w:sz w:val="24"/>
          <w:szCs w:val="24"/>
        </w:rPr>
      </w:pPr>
      <w:r>
        <w:rPr>
          <w:rFonts w:hint="eastAsia" w:ascii="仿宋" w:hAnsi="仿宋" w:eastAsia="仿宋"/>
          <w:b/>
          <w:color w:val="auto"/>
          <w:sz w:val="24"/>
          <w:szCs w:val="24"/>
        </w:rPr>
        <w:t>六、发布公告的媒介及招标公告期限</w:t>
      </w:r>
    </w:p>
    <w:p w14:paraId="6F8A42A8">
      <w:pPr>
        <w:pStyle w:val="36"/>
        <w:spacing w:before="0" w:beforeAutospacing="0" w:after="0" w:afterAutospacing="0" w:line="460" w:lineRule="exact"/>
        <w:ind w:left="160" w:firstLine="358"/>
        <w:jc w:val="both"/>
        <w:rPr>
          <w:rFonts w:hint="eastAsia" w:ascii="仿宋" w:hAnsi="仿宋" w:eastAsia="仿宋"/>
          <w:color w:val="auto"/>
          <w:sz w:val="24"/>
          <w:szCs w:val="24"/>
        </w:rPr>
      </w:pPr>
      <w:r>
        <w:rPr>
          <w:rFonts w:hint="eastAsia" w:ascii="仿宋" w:hAnsi="仿宋" w:eastAsia="仿宋"/>
          <w:color w:val="auto"/>
          <w:sz w:val="24"/>
          <w:szCs w:val="24"/>
        </w:rPr>
        <w:t>本次招标公告在《中国招标投标公共服务平台》、《河南省政府采购网》、《洛阳市公共资源交易中心网》上发布。采购公告期限为五个工作日。</w:t>
      </w:r>
    </w:p>
    <w:p w14:paraId="6395F451">
      <w:pPr>
        <w:pStyle w:val="36"/>
        <w:spacing w:before="0" w:beforeAutospacing="0" w:after="0" w:afterAutospacing="0" w:line="460" w:lineRule="exact"/>
        <w:ind w:firstLine="359"/>
        <w:jc w:val="both"/>
        <w:rPr>
          <w:rFonts w:hint="eastAsia" w:ascii="仿宋" w:hAnsi="仿宋" w:eastAsia="仿宋"/>
          <w:b/>
          <w:color w:val="auto"/>
          <w:sz w:val="24"/>
          <w:szCs w:val="24"/>
        </w:rPr>
      </w:pPr>
      <w:r>
        <w:rPr>
          <w:rFonts w:hint="eastAsia" w:ascii="仿宋" w:hAnsi="仿宋" w:eastAsia="仿宋"/>
          <w:b/>
          <w:color w:val="auto"/>
          <w:sz w:val="24"/>
          <w:szCs w:val="24"/>
        </w:rPr>
        <w:t>七、其他补充事宜</w:t>
      </w:r>
    </w:p>
    <w:p w14:paraId="0E60764A">
      <w:pPr>
        <w:pStyle w:val="13"/>
        <w:rPr>
          <w:rFonts w:hint="default" w:ascii="仿宋" w:hAnsi="仿宋" w:eastAsia="仿宋"/>
          <w:color w:val="auto"/>
          <w:sz w:val="24"/>
          <w:szCs w:val="24"/>
          <w:lang w:val="en-US" w:eastAsia="zh-CN"/>
        </w:rPr>
      </w:pPr>
      <w:r>
        <w:rPr>
          <w:rFonts w:hint="eastAsia" w:ascii="仿宋" w:hAnsi="仿宋" w:eastAsia="仿宋"/>
          <w:color w:val="auto"/>
          <w:sz w:val="24"/>
          <w:szCs w:val="24"/>
          <w:lang w:val="en-US" w:eastAsia="zh-CN"/>
        </w:rPr>
        <w:t>1、本项目代理服务费由成交人支付给采购代理机构，，请供应商投标时充分考虑这一因素。</w:t>
      </w:r>
    </w:p>
    <w:p w14:paraId="302A01E0">
      <w:pPr>
        <w:pStyle w:val="13"/>
        <w:rPr>
          <w:rFonts w:hint="eastAsia" w:ascii="仿宋" w:hAnsi="仿宋" w:eastAsia="仿宋"/>
          <w:color w:val="auto"/>
          <w:sz w:val="24"/>
          <w:szCs w:val="24"/>
        </w:rPr>
      </w:pPr>
      <w:r>
        <w:rPr>
          <w:rFonts w:hint="eastAsia" w:ascii="仿宋" w:hAnsi="仿宋" w:eastAsia="仿宋"/>
          <w:color w:val="auto"/>
          <w:sz w:val="24"/>
          <w:szCs w:val="24"/>
          <w:lang w:val="en-US" w:eastAsia="zh-CN"/>
        </w:rPr>
        <w:t>2</w:t>
      </w:r>
      <w:r>
        <w:rPr>
          <w:rFonts w:hint="eastAsia" w:ascii="仿宋" w:hAnsi="仿宋" w:eastAsia="仿宋"/>
          <w:color w:val="auto"/>
          <w:sz w:val="24"/>
          <w:szCs w:val="24"/>
        </w:rPr>
        <w:t>、供应商在参与本项目采购活动期间应及时关注本网站获取相关澄清或变更等信息（如果有）。</w:t>
      </w:r>
    </w:p>
    <w:p w14:paraId="372340D1">
      <w:pPr>
        <w:pStyle w:val="13"/>
        <w:rPr>
          <w:rFonts w:hint="default" w:ascii="仿宋" w:hAnsi="仿宋" w:eastAsia="仿宋" w:cs="宋体"/>
          <w:color w:val="auto"/>
          <w:sz w:val="24"/>
          <w:szCs w:val="24"/>
          <w:lang w:val="en-US" w:eastAsia="zh-CN"/>
        </w:rPr>
      </w:pPr>
      <w:r>
        <w:rPr>
          <w:rFonts w:hint="eastAsia" w:ascii="仿宋" w:hAnsi="仿宋" w:eastAsia="仿宋" w:cs="宋体"/>
          <w:color w:val="auto"/>
          <w:sz w:val="24"/>
          <w:szCs w:val="24"/>
          <w:lang w:val="en-US" w:eastAsia="zh-CN"/>
        </w:rPr>
        <w:t>3、提出异议的渠道和方式：供应商认为采购文件、采购过程和中标、成交结果使自己的权益受到损害的，可以在知道或者应知其权益受到损害之日起七个工作日内，通过交易系统内向招标人或招标代理机构提交异议函(法定代表人签字并加盖单位公章)，委托他人提出异议的，需一并提交授权委托书和授权委托人身份证明，邮寄件、传真件不予受理。逾期未提交或未按照要求提交的异议函将不予受理。</w:t>
      </w:r>
    </w:p>
    <w:p w14:paraId="61D43157">
      <w:pPr>
        <w:pStyle w:val="13"/>
        <w:rPr>
          <w:rFonts w:hint="eastAsia" w:ascii="仿宋" w:hAnsi="仿宋" w:eastAsia="仿宋" w:cs="宋体"/>
          <w:color w:val="auto"/>
          <w:sz w:val="24"/>
          <w:szCs w:val="24"/>
          <w:lang w:val="en-US" w:eastAsia="zh-CN"/>
        </w:rPr>
      </w:pPr>
      <w:r>
        <w:rPr>
          <w:rFonts w:hint="eastAsia" w:ascii="仿宋" w:hAnsi="仿宋" w:eastAsia="仿宋" w:cs="宋体"/>
          <w:color w:val="auto"/>
          <w:sz w:val="24"/>
          <w:szCs w:val="24"/>
          <w:lang w:val="en-US" w:eastAsia="zh-CN"/>
        </w:rPr>
        <w:t>4、监管部门：洛阳市财政局</w:t>
      </w:r>
    </w:p>
    <w:p w14:paraId="2F648B8F">
      <w:pPr>
        <w:pStyle w:val="13"/>
        <w:rPr>
          <w:rFonts w:hint="eastAsia" w:ascii="仿宋" w:hAnsi="仿宋" w:eastAsia="仿宋" w:cs="宋体"/>
          <w:color w:val="auto"/>
          <w:sz w:val="24"/>
          <w:szCs w:val="24"/>
          <w:lang w:val="en-US" w:eastAsia="zh-CN"/>
        </w:rPr>
      </w:pPr>
      <w:r>
        <w:rPr>
          <w:rFonts w:hint="eastAsia" w:ascii="仿宋" w:hAnsi="仿宋" w:eastAsia="仿宋" w:cs="宋体"/>
          <w:color w:val="auto"/>
          <w:sz w:val="24"/>
          <w:szCs w:val="24"/>
          <w:lang w:val="en-US" w:eastAsia="zh-CN"/>
        </w:rPr>
        <w:t>监管部门联系人：洛阳市财政局政府采购科</w:t>
      </w:r>
    </w:p>
    <w:p w14:paraId="1F466F87">
      <w:pPr>
        <w:pStyle w:val="36"/>
        <w:spacing w:before="0" w:beforeAutospacing="0" w:after="0" w:afterAutospacing="0" w:line="460" w:lineRule="exact"/>
        <w:ind w:firstLine="359"/>
        <w:jc w:val="both"/>
        <w:rPr>
          <w:rFonts w:hint="eastAsia" w:ascii="仿宋" w:hAnsi="仿宋" w:eastAsia="仿宋" w:cs="宋体"/>
          <w:color w:val="auto"/>
          <w:sz w:val="24"/>
          <w:szCs w:val="24"/>
          <w:lang w:val="en-US" w:eastAsia="zh-CN"/>
        </w:rPr>
      </w:pPr>
      <w:r>
        <w:rPr>
          <w:rFonts w:hint="eastAsia" w:ascii="仿宋" w:hAnsi="仿宋" w:eastAsia="仿宋" w:cs="宋体"/>
          <w:color w:val="auto"/>
          <w:sz w:val="24"/>
          <w:szCs w:val="24"/>
          <w:lang w:val="en-US" w:eastAsia="zh-CN"/>
        </w:rPr>
        <w:t>监管部门联系方式：0379-63259707</w:t>
      </w:r>
    </w:p>
    <w:p w14:paraId="5A0D1C6F">
      <w:pPr>
        <w:pStyle w:val="36"/>
        <w:spacing w:before="0" w:beforeAutospacing="0" w:after="0" w:afterAutospacing="0" w:line="460" w:lineRule="exact"/>
        <w:ind w:firstLine="359"/>
        <w:jc w:val="both"/>
        <w:rPr>
          <w:rFonts w:hint="eastAsia" w:ascii="仿宋" w:hAnsi="仿宋" w:eastAsia="仿宋"/>
          <w:b/>
          <w:color w:val="auto"/>
          <w:sz w:val="24"/>
          <w:szCs w:val="24"/>
        </w:rPr>
      </w:pPr>
      <w:r>
        <w:rPr>
          <w:rFonts w:hint="eastAsia" w:ascii="仿宋" w:hAnsi="仿宋" w:eastAsia="仿宋"/>
          <w:b/>
          <w:color w:val="auto"/>
          <w:sz w:val="24"/>
          <w:szCs w:val="24"/>
        </w:rPr>
        <w:t>八、凡对本次采购提出询问，请按以下方式联系</w:t>
      </w:r>
    </w:p>
    <w:p w14:paraId="29ACE0F4">
      <w:pPr>
        <w:pStyle w:val="36"/>
        <w:spacing w:before="0" w:beforeAutospacing="0" w:after="0" w:afterAutospacing="0" w:line="460" w:lineRule="exact"/>
        <w:ind w:firstLine="359"/>
        <w:jc w:val="both"/>
        <w:rPr>
          <w:rFonts w:hint="eastAsia" w:ascii="仿宋" w:hAnsi="仿宋" w:eastAsia="仿宋"/>
          <w:b/>
          <w:color w:val="auto"/>
          <w:sz w:val="24"/>
          <w:szCs w:val="24"/>
        </w:rPr>
      </w:pPr>
      <w:r>
        <w:rPr>
          <w:rFonts w:hint="eastAsia" w:ascii="仿宋" w:hAnsi="仿宋" w:eastAsia="仿宋"/>
          <w:b/>
          <w:color w:val="auto"/>
          <w:sz w:val="24"/>
          <w:szCs w:val="24"/>
        </w:rPr>
        <w:t>1.采购人信息</w:t>
      </w:r>
    </w:p>
    <w:p w14:paraId="7B86BB2E">
      <w:pPr>
        <w:pStyle w:val="36"/>
        <w:spacing w:before="0" w:beforeAutospacing="0" w:after="0" w:afterAutospacing="0" w:line="460" w:lineRule="exact"/>
        <w:ind w:firstLine="358"/>
        <w:jc w:val="both"/>
        <w:rPr>
          <w:rFonts w:hint="eastAsia" w:ascii="仿宋" w:hAnsi="仿宋" w:eastAsia="仿宋"/>
          <w:bCs/>
          <w:color w:val="auto"/>
          <w:sz w:val="24"/>
          <w:szCs w:val="24"/>
          <w:lang w:eastAsia="zh-CN"/>
        </w:rPr>
      </w:pPr>
      <w:r>
        <w:rPr>
          <w:rFonts w:hint="eastAsia" w:ascii="仿宋" w:hAnsi="仿宋" w:eastAsia="仿宋"/>
          <w:bCs/>
          <w:color w:val="auto"/>
          <w:sz w:val="24"/>
          <w:szCs w:val="24"/>
        </w:rPr>
        <w:t>采 购 人：</w:t>
      </w:r>
      <w:r>
        <w:rPr>
          <w:rFonts w:hint="eastAsia" w:ascii="仿宋" w:hAnsi="仿宋" w:eastAsia="仿宋"/>
          <w:color w:val="auto"/>
          <w:sz w:val="24"/>
          <w:szCs w:val="24"/>
        </w:rPr>
        <w:t>河南科技大学附属高级中学</w:t>
      </w:r>
    </w:p>
    <w:p w14:paraId="2D15B682">
      <w:pPr>
        <w:pStyle w:val="36"/>
        <w:spacing w:before="0" w:beforeAutospacing="0" w:after="0" w:afterAutospacing="0" w:line="460" w:lineRule="exact"/>
        <w:ind w:firstLine="358"/>
        <w:jc w:val="both"/>
        <w:rPr>
          <w:rFonts w:hint="eastAsia" w:ascii="仿宋" w:hAnsi="仿宋" w:eastAsia="仿宋"/>
          <w:bCs/>
          <w:color w:val="auto"/>
          <w:sz w:val="24"/>
          <w:szCs w:val="24"/>
        </w:rPr>
      </w:pPr>
      <w:r>
        <w:rPr>
          <w:rFonts w:hint="eastAsia" w:ascii="仿宋" w:hAnsi="仿宋" w:eastAsia="仿宋"/>
          <w:bCs/>
          <w:color w:val="auto"/>
          <w:sz w:val="24"/>
          <w:szCs w:val="24"/>
        </w:rPr>
        <w:t>地    址：洛阳市高新区华夏路</w:t>
      </w:r>
      <w:r>
        <w:rPr>
          <w:rFonts w:hint="eastAsia" w:ascii="仿宋" w:hAnsi="仿宋" w:eastAsia="仿宋"/>
          <w:bCs/>
          <w:color w:val="auto"/>
          <w:sz w:val="24"/>
          <w:szCs w:val="24"/>
          <w:lang w:val="en-US" w:eastAsia="zh-CN"/>
        </w:rPr>
        <w:t>2</w:t>
      </w:r>
      <w:r>
        <w:rPr>
          <w:rFonts w:hint="eastAsia" w:ascii="仿宋" w:hAnsi="仿宋" w:eastAsia="仿宋"/>
          <w:bCs/>
          <w:color w:val="auto"/>
          <w:sz w:val="24"/>
          <w:szCs w:val="24"/>
        </w:rPr>
        <w:t>号</w:t>
      </w:r>
    </w:p>
    <w:p w14:paraId="2B163839">
      <w:pPr>
        <w:pStyle w:val="36"/>
        <w:spacing w:before="0" w:beforeAutospacing="0" w:after="0" w:afterAutospacing="0" w:line="460" w:lineRule="exact"/>
        <w:ind w:firstLine="358"/>
        <w:jc w:val="both"/>
        <w:rPr>
          <w:rFonts w:hint="eastAsia" w:ascii="仿宋" w:hAnsi="仿宋" w:eastAsia="仿宋"/>
          <w:bCs/>
          <w:color w:val="auto"/>
          <w:sz w:val="24"/>
          <w:szCs w:val="24"/>
          <w:lang w:eastAsia="zh-CN"/>
        </w:rPr>
      </w:pPr>
      <w:r>
        <w:rPr>
          <w:rFonts w:hint="eastAsia" w:ascii="仿宋" w:hAnsi="仿宋" w:eastAsia="仿宋"/>
          <w:bCs/>
          <w:color w:val="auto"/>
          <w:sz w:val="24"/>
          <w:szCs w:val="24"/>
        </w:rPr>
        <w:t>联系人：</w:t>
      </w:r>
      <w:r>
        <w:rPr>
          <w:rFonts w:hint="eastAsia" w:ascii="仿宋" w:hAnsi="仿宋" w:eastAsia="仿宋" w:cs="宋体"/>
          <w:spacing w:val="14"/>
          <w:kern w:val="0"/>
          <w:sz w:val="24"/>
          <w:szCs w:val="24"/>
          <w:lang w:val="en-US" w:eastAsia="zh-CN"/>
        </w:rPr>
        <w:t>闻</w:t>
      </w:r>
      <w:r>
        <w:rPr>
          <w:rFonts w:hint="eastAsia" w:ascii="仿宋" w:hAnsi="仿宋" w:eastAsia="仿宋"/>
          <w:bCs/>
          <w:color w:val="auto"/>
          <w:sz w:val="24"/>
          <w:szCs w:val="24"/>
        </w:rPr>
        <w:t>老师</w:t>
      </w:r>
    </w:p>
    <w:p w14:paraId="2C837C52">
      <w:pPr>
        <w:pStyle w:val="36"/>
        <w:spacing w:before="0" w:beforeAutospacing="0" w:after="0" w:afterAutospacing="0" w:line="460" w:lineRule="exact"/>
        <w:ind w:firstLine="358"/>
        <w:jc w:val="both"/>
        <w:rPr>
          <w:rFonts w:hint="eastAsia" w:ascii="仿宋" w:hAnsi="仿宋" w:eastAsia="仿宋"/>
          <w:bCs/>
          <w:color w:val="auto"/>
          <w:sz w:val="24"/>
          <w:szCs w:val="24"/>
        </w:rPr>
      </w:pPr>
      <w:r>
        <w:rPr>
          <w:rFonts w:hint="eastAsia" w:ascii="仿宋" w:hAnsi="仿宋" w:eastAsia="仿宋"/>
          <w:bCs/>
          <w:color w:val="auto"/>
          <w:sz w:val="24"/>
          <w:szCs w:val="24"/>
        </w:rPr>
        <w:t>联系方式：</w:t>
      </w:r>
      <w:r>
        <w:rPr>
          <w:rFonts w:hint="eastAsia" w:ascii="仿宋" w:hAnsi="仿宋" w:eastAsia="仿宋" w:cs="宋体"/>
          <w:spacing w:val="14"/>
          <w:kern w:val="0"/>
          <w:sz w:val="24"/>
          <w:szCs w:val="24"/>
          <w:highlight w:val="none"/>
        </w:rPr>
        <w:t>13937990835</w:t>
      </w:r>
    </w:p>
    <w:p w14:paraId="6A3AA7DE">
      <w:pPr>
        <w:pStyle w:val="36"/>
        <w:spacing w:before="0" w:beforeAutospacing="0" w:after="0" w:afterAutospacing="0" w:line="460" w:lineRule="exact"/>
        <w:ind w:firstLine="359"/>
        <w:jc w:val="both"/>
        <w:rPr>
          <w:rFonts w:hint="eastAsia" w:ascii="仿宋" w:hAnsi="仿宋" w:eastAsia="仿宋"/>
          <w:b/>
          <w:color w:val="auto"/>
          <w:sz w:val="24"/>
          <w:szCs w:val="24"/>
        </w:rPr>
      </w:pPr>
      <w:r>
        <w:rPr>
          <w:rFonts w:hint="eastAsia" w:ascii="仿宋" w:hAnsi="仿宋" w:eastAsia="仿宋"/>
          <w:b/>
          <w:color w:val="auto"/>
          <w:sz w:val="24"/>
          <w:szCs w:val="24"/>
        </w:rPr>
        <w:t>2.采购代理机构信息</w:t>
      </w:r>
    </w:p>
    <w:p w14:paraId="504D5460">
      <w:pPr>
        <w:pStyle w:val="36"/>
        <w:spacing w:before="0" w:beforeAutospacing="0" w:after="0" w:afterAutospacing="0" w:line="460" w:lineRule="exact"/>
        <w:ind w:firstLine="358"/>
        <w:jc w:val="both"/>
        <w:rPr>
          <w:rFonts w:hint="eastAsia" w:ascii="仿宋" w:hAnsi="仿宋" w:eastAsia="仿宋"/>
          <w:color w:val="auto"/>
          <w:sz w:val="24"/>
          <w:szCs w:val="24"/>
          <w:lang w:eastAsia="zh-CN"/>
        </w:rPr>
      </w:pPr>
      <w:r>
        <w:rPr>
          <w:rFonts w:hint="eastAsia" w:ascii="仿宋" w:hAnsi="仿宋" w:eastAsia="仿宋"/>
          <w:color w:val="auto"/>
          <w:sz w:val="24"/>
          <w:szCs w:val="24"/>
        </w:rPr>
        <w:t>名称：河南城发工程管理有限公司</w:t>
      </w:r>
    </w:p>
    <w:p w14:paraId="14601D4A">
      <w:pPr>
        <w:pStyle w:val="36"/>
        <w:spacing w:before="0" w:beforeAutospacing="0" w:after="0" w:afterAutospacing="0" w:line="460" w:lineRule="exact"/>
        <w:ind w:firstLine="358"/>
        <w:jc w:val="both"/>
        <w:rPr>
          <w:rFonts w:hint="eastAsia" w:ascii="仿宋" w:hAnsi="仿宋" w:eastAsia="仿宋"/>
          <w:color w:val="auto"/>
          <w:sz w:val="24"/>
          <w:szCs w:val="24"/>
          <w:lang w:eastAsia="zh-CN"/>
        </w:rPr>
      </w:pPr>
      <w:r>
        <w:rPr>
          <w:rFonts w:hint="eastAsia" w:ascii="仿宋" w:hAnsi="仿宋" w:eastAsia="仿宋"/>
          <w:color w:val="auto"/>
          <w:sz w:val="24"/>
          <w:szCs w:val="24"/>
        </w:rPr>
        <w:t>地址：洛阳市洛龙区王城大道与开元大道交叉口西南角国宝大厦2506室</w:t>
      </w:r>
    </w:p>
    <w:p w14:paraId="7FA59D65">
      <w:pPr>
        <w:pStyle w:val="36"/>
        <w:spacing w:before="0" w:beforeAutospacing="0" w:after="0" w:afterAutospacing="0" w:line="460" w:lineRule="exact"/>
        <w:ind w:firstLine="359"/>
        <w:jc w:val="both"/>
        <w:rPr>
          <w:rFonts w:hint="eastAsia" w:ascii="仿宋" w:hAnsi="仿宋" w:eastAsia="仿宋"/>
          <w:b w:val="0"/>
          <w:bCs/>
          <w:color w:val="auto"/>
          <w:sz w:val="24"/>
          <w:szCs w:val="24"/>
        </w:rPr>
      </w:pPr>
      <w:r>
        <w:rPr>
          <w:rFonts w:hint="eastAsia" w:ascii="仿宋" w:hAnsi="仿宋" w:eastAsia="仿宋"/>
          <w:b w:val="0"/>
          <w:bCs/>
          <w:color w:val="auto"/>
          <w:sz w:val="24"/>
          <w:szCs w:val="24"/>
        </w:rPr>
        <w:t>联 系 人：李先生</w:t>
      </w:r>
    </w:p>
    <w:p w14:paraId="555D3446">
      <w:pPr>
        <w:pStyle w:val="36"/>
        <w:spacing w:before="0" w:beforeAutospacing="0" w:after="0" w:afterAutospacing="0" w:line="460" w:lineRule="exact"/>
        <w:ind w:firstLine="359"/>
        <w:jc w:val="both"/>
        <w:rPr>
          <w:rFonts w:hint="eastAsia" w:ascii="仿宋" w:hAnsi="仿宋" w:eastAsia="仿宋"/>
          <w:b w:val="0"/>
          <w:bCs/>
          <w:color w:val="auto"/>
          <w:sz w:val="24"/>
          <w:szCs w:val="24"/>
        </w:rPr>
      </w:pPr>
      <w:r>
        <w:rPr>
          <w:rFonts w:hint="eastAsia" w:ascii="仿宋" w:hAnsi="仿宋" w:eastAsia="仿宋"/>
          <w:b w:val="0"/>
          <w:bCs/>
          <w:color w:val="auto"/>
          <w:sz w:val="24"/>
          <w:szCs w:val="24"/>
        </w:rPr>
        <w:t>电    话：0379-63333677</w:t>
      </w:r>
    </w:p>
    <w:p w14:paraId="4CB93BC2">
      <w:pPr>
        <w:pStyle w:val="36"/>
        <w:spacing w:before="0" w:beforeAutospacing="0" w:after="0" w:afterAutospacing="0" w:line="460" w:lineRule="exact"/>
        <w:ind w:firstLine="359"/>
        <w:jc w:val="both"/>
        <w:rPr>
          <w:rFonts w:hint="eastAsia" w:ascii="仿宋" w:hAnsi="仿宋" w:eastAsia="仿宋"/>
          <w:b/>
          <w:color w:val="auto"/>
          <w:sz w:val="24"/>
          <w:szCs w:val="24"/>
        </w:rPr>
      </w:pPr>
      <w:r>
        <w:rPr>
          <w:rFonts w:hint="eastAsia" w:ascii="仿宋" w:hAnsi="仿宋" w:eastAsia="仿宋"/>
          <w:b/>
          <w:color w:val="auto"/>
          <w:sz w:val="24"/>
          <w:szCs w:val="24"/>
        </w:rPr>
        <w:t>3.项目联系方式</w:t>
      </w:r>
    </w:p>
    <w:p w14:paraId="39F2BF5B">
      <w:pPr>
        <w:pStyle w:val="36"/>
        <w:spacing w:before="0" w:beforeAutospacing="0" w:after="0" w:afterAutospacing="0" w:line="460" w:lineRule="exact"/>
        <w:ind w:firstLine="358"/>
        <w:jc w:val="both"/>
        <w:rPr>
          <w:rFonts w:hint="eastAsia" w:ascii="仿宋" w:hAnsi="仿宋" w:eastAsia="仿宋"/>
          <w:color w:val="auto"/>
          <w:sz w:val="24"/>
          <w:szCs w:val="24"/>
          <w:lang w:eastAsia="zh-CN"/>
        </w:rPr>
      </w:pPr>
      <w:r>
        <w:rPr>
          <w:rFonts w:hint="eastAsia" w:ascii="仿宋" w:hAnsi="仿宋" w:eastAsia="仿宋"/>
          <w:color w:val="auto"/>
          <w:sz w:val="24"/>
          <w:szCs w:val="24"/>
        </w:rPr>
        <w:t>项目联系人：</w:t>
      </w:r>
      <w:r>
        <w:rPr>
          <w:rFonts w:hint="eastAsia" w:ascii="仿宋" w:hAnsi="仿宋" w:eastAsia="仿宋"/>
          <w:b w:val="0"/>
          <w:bCs/>
          <w:color w:val="auto"/>
          <w:sz w:val="24"/>
          <w:szCs w:val="24"/>
        </w:rPr>
        <w:t>李先生</w:t>
      </w:r>
    </w:p>
    <w:p w14:paraId="3F1E0E70">
      <w:pPr>
        <w:pStyle w:val="36"/>
        <w:spacing w:before="0" w:beforeAutospacing="0" w:after="0" w:afterAutospacing="0" w:line="460" w:lineRule="exact"/>
        <w:ind w:firstLine="358"/>
        <w:jc w:val="both"/>
        <w:rPr>
          <w:rFonts w:hint="eastAsia" w:ascii="仿宋" w:hAnsi="仿宋" w:eastAsia="仿宋"/>
          <w:color w:val="auto"/>
          <w:spacing w:val="14"/>
          <w:sz w:val="24"/>
          <w:szCs w:val="24"/>
        </w:rPr>
      </w:pPr>
      <w:r>
        <w:rPr>
          <w:rFonts w:hint="eastAsia" w:ascii="仿宋" w:hAnsi="仿宋" w:eastAsia="仿宋"/>
          <w:color w:val="auto"/>
          <w:sz w:val="24"/>
          <w:szCs w:val="24"/>
        </w:rPr>
        <w:t>联系方式：</w:t>
      </w:r>
      <w:r>
        <w:rPr>
          <w:rFonts w:hint="eastAsia" w:ascii="仿宋" w:hAnsi="仿宋" w:eastAsia="仿宋"/>
          <w:b w:val="0"/>
          <w:bCs/>
          <w:color w:val="auto"/>
          <w:sz w:val="24"/>
          <w:szCs w:val="24"/>
        </w:rPr>
        <w:t>0379-63333677</w:t>
      </w:r>
    </w:p>
    <w:p w14:paraId="11E0F398">
      <w:pPr>
        <w:widowControl/>
        <w:spacing w:before="240" w:after="60" w:line="360" w:lineRule="auto"/>
        <w:jc w:val="both"/>
        <w:outlineLvl w:val="9"/>
        <w:rPr>
          <w:rFonts w:hint="eastAsia" w:ascii="仿宋" w:hAnsi="仿宋" w:eastAsia="仿宋" w:cs="宋体"/>
          <w:b/>
          <w:bCs/>
          <w:spacing w:val="14"/>
          <w:sz w:val="32"/>
          <w:szCs w:val="32"/>
        </w:rPr>
      </w:pPr>
      <w:bookmarkStart w:id="18" w:name="_Toc256000002"/>
      <w:bookmarkEnd w:id="18"/>
      <w:bookmarkStart w:id="19" w:name="_Toc1662589"/>
      <w:bookmarkEnd w:id="19"/>
      <w:bookmarkStart w:id="20" w:name="_Toc256000012"/>
      <w:bookmarkEnd w:id="20"/>
      <w:bookmarkStart w:id="21" w:name="_Toc20229"/>
      <w:bookmarkEnd w:id="21"/>
      <w:bookmarkStart w:id="22" w:name="_Toc15736"/>
      <w:bookmarkEnd w:id="22"/>
      <w:bookmarkStart w:id="23" w:name="_Toc5333"/>
      <w:bookmarkEnd w:id="23"/>
      <w:bookmarkStart w:id="24" w:name="_Toc256000027"/>
      <w:bookmarkStart w:id="25" w:name="_Toc256000029"/>
      <w:bookmarkStart w:id="26" w:name="_Toc11609"/>
      <w:bookmarkStart w:id="27" w:name="_Toc130305926"/>
    </w:p>
    <w:p w14:paraId="6163CDBE">
      <w:pPr>
        <w:widowControl/>
        <w:spacing w:before="240" w:after="60" w:line="360" w:lineRule="auto"/>
        <w:jc w:val="both"/>
        <w:outlineLvl w:val="9"/>
        <w:rPr>
          <w:rFonts w:hint="eastAsia" w:ascii="仿宋" w:hAnsi="仿宋" w:eastAsia="仿宋" w:cs="宋体"/>
          <w:b/>
          <w:bCs/>
          <w:spacing w:val="14"/>
          <w:sz w:val="32"/>
          <w:szCs w:val="32"/>
        </w:rPr>
      </w:pPr>
    </w:p>
    <w:p w14:paraId="71035456">
      <w:pPr>
        <w:widowControl/>
        <w:spacing w:before="240" w:after="60" w:line="360" w:lineRule="auto"/>
        <w:jc w:val="both"/>
        <w:outlineLvl w:val="9"/>
        <w:rPr>
          <w:rFonts w:hint="eastAsia" w:ascii="仿宋" w:hAnsi="仿宋" w:eastAsia="仿宋" w:cs="宋体"/>
          <w:b/>
          <w:bCs/>
          <w:spacing w:val="14"/>
          <w:sz w:val="32"/>
          <w:szCs w:val="32"/>
        </w:rPr>
      </w:pPr>
    </w:p>
    <w:p w14:paraId="5AE7B63C">
      <w:pPr>
        <w:widowControl/>
        <w:spacing w:before="240" w:after="60" w:line="360" w:lineRule="auto"/>
        <w:jc w:val="both"/>
        <w:outlineLvl w:val="9"/>
        <w:rPr>
          <w:rFonts w:hint="eastAsia" w:ascii="仿宋" w:hAnsi="仿宋" w:eastAsia="仿宋" w:cs="宋体"/>
          <w:b/>
          <w:bCs/>
          <w:spacing w:val="14"/>
          <w:sz w:val="32"/>
          <w:szCs w:val="32"/>
        </w:rPr>
      </w:pPr>
    </w:p>
    <w:p w14:paraId="0B4A20A9">
      <w:pPr>
        <w:widowControl/>
        <w:spacing w:before="240" w:after="60" w:line="360" w:lineRule="auto"/>
        <w:jc w:val="both"/>
        <w:outlineLvl w:val="9"/>
        <w:rPr>
          <w:rFonts w:hint="eastAsia" w:ascii="仿宋" w:hAnsi="仿宋" w:eastAsia="仿宋" w:cs="宋体"/>
          <w:b/>
          <w:bCs/>
          <w:spacing w:val="14"/>
          <w:sz w:val="32"/>
          <w:szCs w:val="32"/>
        </w:rPr>
      </w:pPr>
    </w:p>
    <w:p w14:paraId="3E7D593E">
      <w:pPr>
        <w:widowControl/>
        <w:spacing w:before="240" w:after="60" w:line="360" w:lineRule="auto"/>
        <w:jc w:val="both"/>
        <w:outlineLvl w:val="9"/>
        <w:rPr>
          <w:rFonts w:hint="eastAsia" w:ascii="仿宋" w:hAnsi="仿宋" w:eastAsia="仿宋" w:cs="宋体"/>
          <w:b/>
          <w:bCs/>
          <w:spacing w:val="14"/>
          <w:sz w:val="32"/>
          <w:szCs w:val="32"/>
        </w:rPr>
      </w:pPr>
    </w:p>
    <w:p w14:paraId="67777A07">
      <w:pPr>
        <w:widowControl/>
        <w:spacing w:before="240" w:after="60" w:line="360" w:lineRule="auto"/>
        <w:jc w:val="both"/>
        <w:outlineLvl w:val="9"/>
        <w:rPr>
          <w:rFonts w:hint="eastAsia" w:ascii="仿宋" w:hAnsi="仿宋" w:eastAsia="仿宋" w:cs="宋体"/>
          <w:b/>
          <w:bCs/>
          <w:spacing w:val="14"/>
          <w:sz w:val="32"/>
          <w:szCs w:val="32"/>
          <w:lang w:val="en-US" w:eastAsia="zh-CN"/>
        </w:rPr>
      </w:pPr>
    </w:p>
    <w:p w14:paraId="712FBE0D">
      <w:pPr>
        <w:pStyle w:val="40"/>
        <w:rPr>
          <w:rFonts w:hint="eastAsia"/>
          <w:lang w:val="en-US" w:eastAsia="zh-CN"/>
        </w:rPr>
      </w:pPr>
    </w:p>
    <w:p w14:paraId="37A027A1">
      <w:pPr>
        <w:widowControl/>
        <w:spacing w:before="240" w:after="60" w:line="360" w:lineRule="auto"/>
        <w:jc w:val="both"/>
        <w:outlineLvl w:val="9"/>
        <w:rPr>
          <w:rFonts w:hint="eastAsia" w:ascii="仿宋" w:hAnsi="仿宋" w:eastAsia="仿宋" w:cs="宋体"/>
          <w:b/>
          <w:bCs/>
          <w:spacing w:val="14"/>
          <w:sz w:val="32"/>
          <w:szCs w:val="32"/>
        </w:rPr>
      </w:pPr>
    </w:p>
    <w:p w14:paraId="5F977A18">
      <w:pPr>
        <w:widowControl/>
        <w:spacing w:before="240" w:after="60" w:line="360" w:lineRule="auto"/>
        <w:jc w:val="center"/>
        <w:outlineLvl w:val="0"/>
        <w:rPr>
          <w:rFonts w:hint="eastAsia" w:ascii="仿宋" w:hAnsi="仿宋" w:eastAsia="仿宋" w:cs="宋体"/>
          <w:b/>
          <w:bCs/>
          <w:spacing w:val="14"/>
          <w:sz w:val="32"/>
          <w:szCs w:val="32"/>
        </w:rPr>
      </w:pPr>
      <w:bookmarkStart w:id="28" w:name="_Toc25598"/>
      <w:r>
        <w:rPr>
          <w:rFonts w:hint="eastAsia" w:ascii="仿宋" w:hAnsi="仿宋" w:eastAsia="仿宋" w:cs="宋体"/>
          <w:b/>
          <w:bCs/>
          <w:spacing w:val="14"/>
          <w:sz w:val="32"/>
          <w:szCs w:val="32"/>
        </w:rPr>
        <w:t xml:space="preserve">第二章  </w:t>
      </w:r>
      <w:bookmarkEnd w:id="24"/>
      <w:r>
        <w:rPr>
          <w:rFonts w:hint="eastAsia" w:ascii="仿宋" w:hAnsi="仿宋" w:eastAsia="仿宋" w:cs="宋体"/>
          <w:b/>
          <w:bCs/>
          <w:spacing w:val="14"/>
          <w:sz w:val="32"/>
          <w:szCs w:val="32"/>
        </w:rPr>
        <w:t>供应商须知</w:t>
      </w:r>
      <w:bookmarkEnd w:id="25"/>
      <w:bookmarkEnd w:id="26"/>
      <w:bookmarkEnd w:id="27"/>
      <w:bookmarkEnd w:id="28"/>
    </w:p>
    <w:p w14:paraId="22E5FFA8">
      <w:pPr>
        <w:pStyle w:val="13"/>
        <w:jc w:val="center"/>
        <w:rPr>
          <w:rFonts w:hint="eastAsia" w:ascii="仿宋" w:hAnsi="仿宋" w:eastAsia="仿宋"/>
          <w:b/>
          <w:color w:val="auto"/>
          <w:spacing w:val="14"/>
          <w:sz w:val="28"/>
          <w:szCs w:val="28"/>
        </w:rPr>
      </w:pPr>
      <w:r>
        <w:rPr>
          <w:rFonts w:hint="eastAsia" w:ascii="仿宋" w:hAnsi="仿宋" w:eastAsia="仿宋"/>
          <w:b/>
          <w:color w:val="auto"/>
          <w:spacing w:val="14"/>
          <w:sz w:val="28"/>
          <w:szCs w:val="28"/>
        </w:rPr>
        <w:t>供应商须知前附表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2835"/>
        <w:gridCol w:w="5399"/>
      </w:tblGrid>
      <w:tr w14:paraId="35803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59BD3F80">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条款号</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6ED0D059">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名 称</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507A83E9">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内   容</w:t>
            </w:r>
          </w:p>
        </w:tc>
      </w:tr>
      <w:tr w14:paraId="7ED43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2"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7358C1B9">
            <w:pPr>
              <w:widowControl/>
              <w:ind w:firstLine="0"/>
              <w:jc w:val="center"/>
              <w:rPr>
                <w:rFonts w:hint="eastAsia" w:ascii="仿宋" w:hAnsi="仿宋" w:eastAsia="仿宋" w:cs="宋体"/>
                <w:spacing w:val="14"/>
                <w:kern w:val="0"/>
                <w:sz w:val="24"/>
                <w:szCs w:val="24"/>
                <w:lang w:eastAsia="zh-CN"/>
              </w:rPr>
            </w:pPr>
            <w:r>
              <w:rPr>
                <w:rFonts w:hint="eastAsia" w:ascii="仿宋" w:hAnsi="仿宋" w:eastAsia="仿宋" w:cs="宋体"/>
                <w:spacing w:val="14"/>
                <w:kern w:val="0"/>
                <w:sz w:val="24"/>
                <w:szCs w:val="24"/>
              </w:rPr>
              <w:t>1.1.</w:t>
            </w:r>
            <w:r>
              <w:rPr>
                <w:rFonts w:hint="eastAsia" w:ascii="仿宋" w:hAnsi="仿宋" w:eastAsia="仿宋" w:cs="宋体"/>
                <w:spacing w:val="14"/>
                <w:kern w:val="0"/>
                <w:sz w:val="24"/>
                <w:szCs w:val="24"/>
                <w:lang w:val="en-US" w:eastAsia="zh-CN"/>
              </w:rPr>
              <w:t>2</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31539499">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采购人</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56326AD0">
            <w:pPr>
              <w:widowControl/>
              <w:ind w:firstLine="0"/>
              <w:rPr>
                <w:rFonts w:hint="eastAsia" w:ascii="仿宋" w:hAnsi="仿宋" w:eastAsia="仿宋" w:cs="宋体"/>
                <w:spacing w:val="14"/>
                <w:kern w:val="0"/>
                <w:sz w:val="24"/>
                <w:szCs w:val="24"/>
              </w:rPr>
            </w:pPr>
            <w:r>
              <w:rPr>
                <w:rFonts w:hint="eastAsia" w:ascii="仿宋" w:hAnsi="仿宋" w:eastAsia="仿宋" w:cs="宋体"/>
                <w:spacing w:val="14"/>
                <w:kern w:val="0"/>
                <w:sz w:val="24"/>
                <w:szCs w:val="24"/>
              </w:rPr>
              <w:t>名称：河南科技大学附属高级中学</w:t>
            </w:r>
          </w:p>
          <w:p w14:paraId="1042E4F6">
            <w:pPr>
              <w:widowControl/>
              <w:ind w:firstLine="0"/>
              <w:rPr>
                <w:rFonts w:hint="eastAsia" w:ascii="仿宋" w:hAnsi="仿宋" w:eastAsia="仿宋" w:cs="宋体"/>
                <w:spacing w:val="14"/>
                <w:kern w:val="0"/>
                <w:sz w:val="24"/>
                <w:szCs w:val="24"/>
              </w:rPr>
            </w:pPr>
            <w:r>
              <w:rPr>
                <w:rFonts w:hint="eastAsia" w:ascii="仿宋" w:hAnsi="仿宋" w:eastAsia="仿宋" w:cs="宋体"/>
                <w:spacing w:val="14"/>
                <w:kern w:val="0"/>
                <w:sz w:val="24"/>
                <w:szCs w:val="24"/>
              </w:rPr>
              <w:t>地址：洛阳市高新区华夏路2号</w:t>
            </w:r>
          </w:p>
          <w:p w14:paraId="46C0F812">
            <w:pPr>
              <w:widowControl/>
              <w:ind w:firstLine="0"/>
              <w:jc w:val="left"/>
              <w:rPr>
                <w:rFonts w:hint="eastAsia" w:ascii="仿宋" w:hAnsi="仿宋" w:eastAsia="仿宋" w:cs="宋体"/>
                <w:spacing w:val="14"/>
                <w:kern w:val="0"/>
                <w:sz w:val="24"/>
                <w:szCs w:val="24"/>
                <w:highlight w:val="none"/>
              </w:rPr>
            </w:pPr>
            <w:r>
              <w:rPr>
                <w:rFonts w:hint="eastAsia" w:ascii="仿宋" w:hAnsi="仿宋" w:eastAsia="仿宋" w:cs="宋体"/>
                <w:spacing w:val="14"/>
                <w:kern w:val="0"/>
                <w:sz w:val="24"/>
                <w:szCs w:val="24"/>
                <w:highlight w:val="none"/>
              </w:rPr>
              <w:t>联系人：</w:t>
            </w:r>
            <w:r>
              <w:rPr>
                <w:rFonts w:hint="eastAsia" w:ascii="仿宋" w:hAnsi="仿宋" w:eastAsia="仿宋" w:cs="宋体"/>
                <w:spacing w:val="14"/>
                <w:kern w:val="0"/>
                <w:sz w:val="24"/>
                <w:szCs w:val="24"/>
                <w:highlight w:val="none"/>
                <w:lang w:eastAsia="zh-CN"/>
              </w:rPr>
              <w:t>闻</w:t>
            </w:r>
            <w:r>
              <w:rPr>
                <w:rFonts w:hint="eastAsia" w:ascii="仿宋" w:hAnsi="仿宋" w:eastAsia="仿宋" w:cs="宋体"/>
                <w:spacing w:val="14"/>
                <w:kern w:val="0"/>
                <w:sz w:val="24"/>
                <w:szCs w:val="24"/>
                <w:highlight w:val="none"/>
              </w:rPr>
              <w:t>老师</w:t>
            </w:r>
          </w:p>
          <w:p w14:paraId="1398EB71">
            <w:pPr>
              <w:widowControl/>
              <w:ind w:firstLine="0"/>
              <w:jc w:val="left"/>
              <w:rPr>
                <w:rFonts w:hint="eastAsia" w:ascii="仿宋" w:hAnsi="仿宋" w:eastAsia="仿宋" w:cs="宋体"/>
                <w:spacing w:val="14"/>
                <w:kern w:val="0"/>
                <w:sz w:val="24"/>
                <w:szCs w:val="24"/>
              </w:rPr>
            </w:pPr>
            <w:r>
              <w:rPr>
                <w:rFonts w:hint="eastAsia" w:ascii="仿宋" w:hAnsi="仿宋" w:eastAsia="仿宋" w:cs="宋体"/>
                <w:spacing w:val="14"/>
                <w:kern w:val="0"/>
                <w:sz w:val="24"/>
                <w:szCs w:val="24"/>
                <w:highlight w:val="none"/>
              </w:rPr>
              <w:t>联系方式：13937990835</w:t>
            </w:r>
          </w:p>
        </w:tc>
      </w:tr>
      <w:tr w14:paraId="4E6CD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273A2781">
            <w:pPr>
              <w:widowControl/>
              <w:ind w:firstLine="0"/>
              <w:jc w:val="center"/>
              <w:rPr>
                <w:rFonts w:hint="eastAsia" w:ascii="仿宋" w:hAnsi="仿宋" w:eastAsia="仿宋" w:cs="宋体"/>
                <w:spacing w:val="14"/>
                <w:kern w:val="0"/>
                <w:sz w:val="24"/>
                <w:szCs w:val="24"/>
                <w:lang w:eastAsia="zh-CN"/>
              </w:rPr>
            </w:pPr>
            <w:r>
              <w:rPr>
                <w:rFonts w:hint="eastAsia" w:ascii="仿宋" w:hAnsi="仿宋" w:eastAsia="仿宋" w:cs="宋体"/>
                <w:spacing w:val="14"/>
                <w:kern w:val="0"/>
                <w:sz w:val="24"/>
                <w:szCs w:val="24"/>
              </w:rPr>
              <w:t>1.1.</w:t>
            </w:r>
            <w:r>
              <w:rPr>
                <w:rFonts w:hint="eastAsia" w:ascii="仿宋" w:hAnsi="仿宋" w:eastAsia="仿宋" w:cs="宋体"/>
                <w:spacing w:val="14"/>
                <w:kern w:val="0"/>
                <w:sz w:val="24"/>
                <w:szCs w:val="24"/>
                <w:lang w:val="en-US" w:eastAsia="zh-CN"/>
              </w:rPr>
              <w:t>3</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3B6184BD">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采购代理机构</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1ECE7448">
            <w:pPr>
              <w:widowControl/>
              <w:ind w:firstLine="0"/>
              <w:jc w:val="left"/>
              <w:rPr>
                <w:rFonts w:hint="eastAsia" w:ascii="仿宋" w:hAnsi="仿宋" w:eastAsia="仿宋" w:cs="宋体"/>
                <w:spacing w:val="14"/>
                <w:kern w:val="0"/>
                <w:sz w:val="24"/>
                <w:szCs w:val="24"/>
              </w:rPr>
            </w:pPr>
            <w:r>
              <w:rPr>
                <w:rFonts w:hint="eastAsia" w:ascii="仿宋" w:hAnsi="仿宋" w:eastAsia="仿宋" w:cs="宋体"/>
                <w:spacing w:val="14"/>
                <w:kern w:val="0"/>
                <w:sz w:val="24"/>
                <w:szCs w:val="24"/>
              </w:rPr>
              <w:t>代理机构：河南城发工程管理有限公司</w:t>
            </w:r>
          </w:p>
          <w:p w14:paraId="4325C4BA">
            <w:pPr>
              <w:widowControl/>
              <w:ind w:firstLine="0"/>
              <w:jc w:val="left"/>
              <w:rPr>
                <w:rFonts w:hint="eastAsia" w:ascii="仿宋" w:hAnsi="仿宋" w:eastAsia="仿宋" w:cs="宋体"/>
                <w:bCs/>
                <w:kern w:val="0"/>
                <w:sz w:val="24"/>
                <w:szCs w:val="24"/>
              </w:rPr>
            </w:pPr>
            <w:r>
              <w:rPr>
                <w:rFonts w:hint="eastAsia" w:ascii="仿宋" w:hAnsi="仿宋" w:eastAsia="仿宋" w:cs="宋体"/>
                <w:spacing w:val="14"/>
                <w:kern w:val="0"/>
                <w:sz w:val="24"/>
                <w:szCs w:val="24"/>
              </w:rPr>
              <w:t>地址：洛阳市洛龙区王城大道与开元大道交叉口西南角国宝大厦2506室</w:t>
            </w:r>
          </w:p>
          <w:p w14:paraId="6B7D411B">
            <w:pPr>
              <w:widowControl/>
              <w:ind w:firstLine="0"/>
              <w:jc w:val="left"/>
              <w:rPr>
                <w:rFonts w:hint="eastAsia" w:ascii="仿宋" w:hAnsi="仿宋" w:eastAsia="仿宋" w:cs="宋体"/>
                <w:spacing w:val="14"/>
                <w:kern w:val="0"/>
                <w:sz w:val="24"/>
                <w:szCs w:val="24"/>
              </w:rPr>
            </w:pPr>
            <w:r>
              <w:rPr>
                <w:rFonts w:hint="eastAsia" w:ascii="仿宋" w:hAnsi="仿宋" w:eastAsia="仿宋" w:cs="宋体"/>
                <w:spacing w:val="14"/>
                <w:kern w:val="0"/>
                <w:sz w:val="24"/>
                <w:szCs w:val="24"/>
              </w:rPr>
              <w:t>联系人：李先生</w:t>
            </w:r>
          </w:p>
          <w:p w14:paraId="7FB3271D">
            <w:pPr>
              <w:widowControl/>
              <w:ind w:firstLine="0"/>
              <w:jc w:val="left"/>
              <w:rPr>
                <w:rFonts w:hint="eastAsia" w:ascii="仿宋" w:hAnsi="仿宋" w:eastAsia="仿宋" w:cs="宋体"/>
                <w:spacing w:val="14"/>
                <w:kern w:val="0"/>
                <w:sz w:val="24"/>
                <w:szCs w:val="24"/>
              </w:rPr>
            </w:pPr>
            <w:r>
              <w:rPr>
                <w:rFonts w:hint="eastAsia" w:ascii="仿宋" w:hAnsi="仿宋" w:eastAsia="仿宋" w:cs="宋体"/>
                <w:kern w:val="0"/>
                <w:sz w:val="24"/>
                <w:szCs w:val="24"/>
              </w:rPr>
              <w:t>联系方式：0379-63333677</w:t>
            </w:r>
          </w:p>
          <w:p w14:paraId="732D465F">
            <w:pPr>
              <w:widowControl/>
              <w:ind w:firstLine="0"/>
              <w:jc w:val="left"/>
              <w:rPr>
                <w:rFonts w:hint="eastAsia" w:ascii="仿宋" w:hAnsi="仿宋" w:eastAsia="仿宋" w:cs="宋体"/>
                <w:spacing w:val="14"/>
                <w:kern w:val="0"/>
                <w:sz w:val="24"/>
                <w:szCs w:val="24"/>
              </w:rPr>
            </w:pPr>
            <w:r>
              <w:rPr>
                <w:rFonts w:hint="eastAsia" w:ascii="仿宋" w:hAnsi="仿宋" w:eastAsia="仿宋" w:cs="宋体"/>
                <w:spacing w:val="14"/>
                <w:kern w:val="0"/>
                <w:sz w:val="24"/>
                <w:szCs w:val="24"/>
              </w:rPr>
              <w:t>邮箱：chengfa2505@163.com</w:t>
            </w:r>
          </w:p>
        </w:tc>
      </w:tr>
      <w:tr w14:paraId="2F2B1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0D33878B">
            <w:pPr>
              <w:widowControl/>
              <w:ind w:firstLine="0"/>
              <w:jc w:val="center"/>
              <w:rPr>
                <w:rFonts w:hint="eastAsia" w:ascii="仿宋" w:hAnsi="仿宋" w:eastAsia="仿宋" w:cs="宋体"/>
                <w:spacing w:val="14"/>
                <w:kern w:val="0"/>
                <w:sz w:val="24"/>
                <w:szCs w:val="24"/>
                <w:lang w:eastAsia="zh-CN"/>
              </w:rPr>
            </w:pPr>
            <w:r>
              <w:rPr>
                <w:rFonts w:hint="eastAsia" w:ascii="仿宋" w:hAnsi="仿宋" w:eastAsia="仿宋" w:cs="宋体"/>
                <w:spacing w:val="14"/>
                <w:kern w:val="0"/>
                <w:sz w:val="24"/>
                <w:szCs w:val="24"/>
              </w:rPr>
              <w:t>1.1.</w:t>
            </w:r>
            <w:r>
              <w:rPr>
                <w:rFonts w:hint="eastAsia" w:ascii="仿宋" w:hAnsi="仿宋" w:eastAsia="仿宋" w:cs="宋体"/>
                <w:spacing w:val="14"/>
                <w:kern w:val="0"/>
                <w:sz w:val="24"/>
                <w:szCs w:val="24"/>
                <w:lang w:val="en-US" w:eastAsia="zh-CN"/>
              </w:rPr>
              <w:t>4</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53B0B6A9">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采购项目名称</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79C4DC9C">
            <w:pPr>
              <w:widowControl/>
              <w:ind w:firstLine="0"/>
              <w:jc w:val="left"/>
              <w:rPr>
                <w:rFonts w:hint="eastAsia" w:ascii="仿宋" w:hAnsi="仿宋" w:eastAsia="仿宋" w:cs="宋体"/>
                <w:spacing w:val="14"/>
                <w:kern w:val="0"/>
                <w:sz w:val="24"/>
                <w:szCs w:val="24"/>
                <w:u w:val="single" w:color="000000"/>
              </w:rPr>
            </w:pPr>
            <w:r>
              <w:rPr>
                <w:rFonts w:hint="eastAsia" w:ascii="仿宋" w:hAnsi="仿宋" w:eastAsia="仿宋"/>
                <w:color w:val="auto"/>
                <w:sz w:val="24"/>
                <w:szCs w:val="24"/>
              </w:rPr>
              <w:t>河南科技大学附属高级中学理化生实验室装备项目</w:t>
            </w:r>
          </w:p>
        </w:tc>
      </w:tr>
      <w:tr w14:paraId="724EC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9"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498ABF46">
            <w:pPr>
              <w:widowControl/>
              <w:ind w:firstLine="0"/>
              <w:jc w:val="center"/>
              <w:rPr>
                <w:rFonts w:hint="eastAsia" w:ascii="仿宋" w:hAnsi="仿宋" w:eastAsia="仿宋" w:cs="宋体"/>
                <w:spacing w:val="14"/>
                <w:kern w:val="0"/>
                <w:sz w:val="24"/>
                <w:szCs w:val="24"/>
                <w:lang w:eastAsia="zh-CN"/>
              </w:rPr>
            </w:pPr>
            <w:r>
              <w:rPr>
                <w:rFonts w:hint="eastAsia" w:ascii="仿宋" w:hAnsi="仿宋" w:eastAsia="仿宋" w:cs="宋体"/>
                <w:spacing w:val="14"/>
                <w:kern w:val="0"/>
                <w:sz w:val="24"/>
                <w:szCs w:val="24"/>
              </w:rPr>
              <w:t>1.1.</w:t>
            </w:r>
            <w:r>
              <w:rPr>
                <w:rFonts w:hint="eastAsia" w:ascii="仿宋" w:hAnsi="仿宋" w:eastAsia="仿宋" w:cs="宋体"/>
                <w:spacing w:val="14"/>
                <w:kern w:val="0"/>
                <w:sz w:val="24"/>
                <w:szCs w:val="24"/>
                <w:lang w:val="en-US" w:eastAsia="zh-CN"/>
              </w:rPr>
              <w:t>5</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29C4597D">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落实政府采购政策要求</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769EF2AB">
            <w:pPr>
              <w:widowControl/>
              <w:spacing w:before="0" w:beforeAutospacing="0" w:after="0" w:afterAutospacing="0" w:line="460" w:lineRule="exact"/>
              <w:ind w:firstLine="0" w:firstLineChars="0"/>
              <w:jc w:val="left"/>
              <w:rPr>
                <w:rFonts w:hint="eastAsia" w:ascii="仿宋" w:hAnsi="仿宋" w:eastAsia="仿宋" w:cs="宋体"/>
                <w:spacing w:val="14"/>
                <w:kern w:val="0"/>
                <w:sz w:val="24"/>
                <w:szCs w:val="24"/>
              </w:rPr>
            </w:pPr>
            <w:r>
              <w:rPr>
                <w:rFonts w:hint="eastAsia" w:ascii="仿宋" w:hAnsi="仿宋" w:eastAsia="仿宋" w:cs="宋体"/>
                <w:spacing w:val="14"/>
                <w:kern w:val="0"/>
                <w:sz w:val="24"/>
                <w:szCs w:val="24"/>
              </w:rPr>
              <w:t>☑节能环保产品优先或强制采购。</w:t>
            </w:r>
          </w:p>
          <w:p w14:paraId="542FC354">
            <w:pPr>
              <w:widowControl/>
              <w:spacing w:before="0" w:beforeAutospacing="0" w:after="0" w:afterAutospacing="0" w:line="460" w:lineRule="exact"/>
              <w:ind w:firstLine="0" w:firstLineChars="0"/>
              <w:jc w:val="left"/>
              <w:rPr>
                <w:rFonts w:hint="eastAsia" w:ascii="仿宋" w:hAnsi="仿宋" w:eastAsia="仿宋" w:cs="宋体"/>
                <w:spacing w:val="14"/>
                <w:kern w:val="0"/>
                <w:sz w:val="24"/>
                <w:szCs w:val="24"/>
              </w:rPr>
            </w:pPr>
            <w:r>
              <w:rPr>
                <w:rFonts w:hint="eastAsia" w:ascii="仿宋" w:hAnsi="仿宋" w:eastAsia="仿宋" w:cs="宋体"/>
                <w:spacing w:val="14"/>
                <w:kern w:val="0"/>
                <w:sz w:val="24"/>
                <w:szCs w:val="24"/>
              </w:rPr>
              <w:t>☑专门面向中小微（监狱、残疾人福利性单位）企业。</w:t>
            </w:r>
          </w:p>
          <w:p w14:paraId="4985A33B">
            <w:pPr>
              <w:widowControl/>
              <w:spacing w:before="0" w:beforeAutospacing="0" w:after="0" w:afterAutospacing="0" w:line="460" w:lineRule="exact"/>
              <w:ind w:firstLine="0" w:firstLineChars="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☑不接受进口产品。</w:t>
            </w:r>
          </w:p>
        </w:tc>
      </w:tr>
      <w:tr w14:paraId="5C168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37BD6541">
            <w:pPr>
              <w:widowControl/>
              <w:jc w:val="center"/>
              <w:rPr>
                <w:rFonts w:hint="eastAsia" w:ascii="仿宋" w:hAnsi="仿宋" w:eastAsia="仿宋" w:cs="宋体"/>
                <w:spacing w:val="14"/>
                <w:kern w:val="0"/>
                <w:sz w:val="24"/>
                <w:szCs w:val="24"/>
                <w:highlight w:val="none"/>
              </w:rPr>
            </w:pPr>
            <w:r>
              <w:rPr>
                <w:rFonts w:hint="eastAsia" w:ascii="仿宋" w:hAnsi="仿宋" w:eastAsia="仿宋" w:cs="宋体"/>
                <w:spacing w:val="14"/>
                <w:kern w:val="0"/>
                <w:sz w:val="24"/>
                <w:szCs w:val="24"/>
                <w:highlight w:val="none"/>
              </w:rPr>
              <w:t>1.1.</w:t>
            </w:r>
            <w:r>
              <w:rPr>
                <w:rFonts w:hint="eastAsia" w:ascii="仿宋" w:hAnsi="仿宋" w:eastAsia="仿宋" w:cs="宋体"/>
                <w:spacing w:val="14"/>
                <w:kern w:val="0"/>
                <w:sz w:val="24"/>
                <w:szCs w:val="24"/>
                <w:highlight w:val="none"/>
                <w:lang w:eastAsia="zh-CN"/>
              </w:rPr>
              <w:t>6</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4F2DA2D6">
            <w:pPr>
              <w:widowControl/>
              <w:ind w:firstLine="0"/>
              <w:jc w:val="left"/>
              <w:rPr>
                <w:rFonts w:ascii="仿宋" w:hAnsi="仿宋" w:eastAsia="仿宋" w:cs="宋体"/>
                <w:kern w:val="0"/>
                <w:sz w:val="24"/>
                <w:szCs w:val="24"/>
                <w:highlight w:val="none"/>
              </w:rPr>
            </w:pPr>
            <w:r>
              <w:rPr>
                <w:rFonts w:hint="eastAsia" w:ascii="仿宋" w:hAnsi="仿宋" w:eastAsia="仿宋" w:cs="宋体"/>
                <w:kern w:val="0"/>
                <w:sz w:val="24"/>
                <w:szCs w:val="24"/>
                <w:highlight w:val="none"/>
                <w:lang w:eastAsia="zh-CN"/>
              </w:rPr>
              <w:t>项目</w:t>
            </w:r>
            <w:r>
              <w:rPr>
                <w:rFonts w:hint="eastAsia" w:ascii="仿宋" w:hAnsi="仿宋" w:eastAsia="仿宋" w:cs="宋体"/>
                <w:kern w:val="0"/>
                <w:sz w:val="24"/>
                <w:szCs w:val="24"/>
                <w:highlight w:val="none"/>
              </w:rPr>
              <w:t>编号</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09D4BB1B">
            <w:pPr>
              <w:widowControl/>
              <w:ind w:firstLine="0"/>
              <w:rPr>
                <w:rFonts w:ascii="仿宋" w:hAnsi="仿宋" w:eastAsia="仿宋" w:cs="宋体"/>
                <w:spacing w:val="14"/>
                <w:kern w:val="0"/>
                <w:sz w:val="24"/>
                <w:szCs w:val="24"/>
                <w:highlight w:val="none"/>
              </w:rPr>
            </w:pPr>
            <w:r>
              <w:rPr>
                <w:rFonts w:hint="eastAsia" w:ascii="仿宋" w:hAnsi="仿宋" w:eastAsia="仿宋" w:cs="宋体"/>
                <w:spacing w:val="14"/>
                <w:kern w:val="0"/>
                <w:sz w:val="24"/>
                <w:szCs w:val="24"/>
                <w:highlight w:val="none"/>
              </w:rPr>
              <w:t>洛采竞磋-2025-188</w:t>
            </w:r>
          </w:p>
        </w:tc>
      </w:tr>
      <w:tr w14:paraId="09D21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50AECE68">
            <w:pPr>
              <w:widowControl/>
              <w:ind w:firstLine="0"/>
              <w:jc w:val="center"/>
              <w:rPr>
                <w:rFonts w:hint="eastAsia" w:ascii="仿宋" w:hAnsi="仿宋" w:eastAsia="仿宋" w:cs="宋体"/>
                <w:spacing w:val="14"/>
                <w:kern w:val="0"/>
                <w:sz w:val="24"/>
                <w:szCs w:val="24"/>
                <w:lang w:val="en-US" w:eastAsia="zh-CN"/>
              </w:rPr>
            </w:pPr>
            <w:r>
              <w:rPr>
                <w:rFonts w:hint="eastAsia" w:ascii="仿宋" w:hAnsi="仿宋" w:eastAsia="仿宋" w:cs="宋体"/>
                <w:spacing w:val="14"/>
                <w:kern w:val="0"/>
                <w:sz w:val="24"/>
                <w:szCs w:val="24"/>
              </w:rPr>
              <w:t>1.1.</w:t>
            </w:r>
            <w:r>
              <w:rPr>
                <w:rFonts w:hint="eastAsia" w:ascii="仿宋" w:hAnsi="仿宋" w:eastAsia="仿宋" w:cs="宋体"/>
                <w:spacing w:val="14"/>
                <w:kern w:val="0"/>
                <w:sz w:val="24"/>
                <w:szCs w:val="24"/>
                <w:lang w:val="en-US" w:eastAsia="zh-CN"/>
              </w:rPr>
              <w:t>7</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1384C10F">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采购包划分</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716B0DA7">
            <w:pPr>
              <w:widowControl/>
              <w:ind w:firstLine="0"/>
              <w:jc w:val="left"/>
              <w:rPr>
                <w:rFonts w:hint="eastAsia" w:ascii="仿宋" w:hAnsi="仿宋" w:eastAsia="仿宋" w:cs="宋体"/>
                <w:spacing w:val="14"/>
                <w:kern w:val="0"/>
                <w:sz w:val="24"/>
                <w:szCs w:val="24"/>
              </w:rPr>
            </w:pPr>
            <w:r>
              <w:rPr>
                <w:rFonts w:hint="eastAsia" w:ascii="仿宋" w:hAnsi="仿宋" w:eastAsia="仿宋" w:cs="宋体"/>
                <w:spacing w:val="14"/>
                <w:kern w:val="0"/>
                <w:sz w:val="24"/>
                <w:szCs w:val="24"/>
              </w:rPr>
              <w:t>本次采购共1个包。</w:t>
            </w:r>
          </w:p>
          <w:p w14:paraId="63F8EA18">
            <w:pPr>
              <w:widowControl/>
              <w:ind w:firstLine="0"/>
              <w:jc w:val="left"/>
              <w:rPr>
                <w:rFonts w:hint="eastAsia" w:ascii="仿宋" w:hAnsi="仿宋" w:eastAsia="仿宋" w:cs="宋体"/>
                <w:spacing w:val="14"/>
                <w:kern w:val="0"/>
                <w:sz w:val="24"/>
                <w:szCs w:val="24"/>
              </w:rPr>
            </w:pPr>
            <w:r>
              <w:rPr>
                <w:rFonts w:hint="eastAsia" w:ascii="仿宋" w:hAnsi="仿宋" w:eastAsia="仿宋" w:cs="宋体"/>
                <w:spacing w:val="14"/>
                <w:kern w:val="0"/>
                <w:sz w:val="24"/>
                <w:szCs w:val="24"/>
              </w:rPr>
              <w:t>供应商应就该项目进行完整响应，否则将不被接受。</w:t>
            </w:r>
          </w:p>
        </w:tc>
      </w:tr>
      <w:tr w14:paraId="0F636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782A224A">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1.2.1</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60CF019B">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资金来源</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6544D79B">
            <w:pPr>
              <w:widowControl/>
              <w:ind w:firstLine="0"/>
              <w:jc w:val="left"/>
              <w:rPr>
                <w:rFonts w:ascii="仿宋" w:hAnsi="仿宋" w:eastAsia="仿宋" w:cs="宋体"/>
                <w:spacing w:val="14"/>
                <w:kern w:val="0"/>
                <w:sz w:val="24"/>
                <w:szCs w:val="24"/>
                <w:u w:val="single" w:color="000000"/>
              </w:rPr>
            </w:pPr>
            <w:r>
              <w:rPr>
                <w:rFonts w:hint="eastAsia" w:ascii="仿宋" w:hAnsi="仿宋" w:eastAsia="仿宋" w:cs="宋体"/>
                <w:spacing w:val="14"/>
                <w:kern w:val="0"/>
                <w:sz w:val="24"/>
                <w:szCs w:val="24"/>
              </w:rPr>
              <w:t xml:space="preserve">财政资金  </w:t>
            </w:r>
          </w:p>
        </w:tc>
      </w:tr>
      <w:tr w14:paraId="6F6C3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659B3462">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1.2.2</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389357FD">
            <w:pPr>
              <w:widowControl/>
              <w:ind w:firstLine="0"/>
              <w:jc w:val="left"/>
              <w:rPr>
                <w:rFonts w:ascii="仿宋" w:hAnsi="仿宋" w:eastAsia="仿宋" w:cs="宋体"/>
                <w:spacing w:val="14"/>
                <w:kern w:val="0"/>
                <w:sz w:val="24"/>
                <w:szCs w:val="24"/>
                <w:highlight w:val="none"/>
              </w:rPr>
            </w:pPr>
            <w:r>
              <w:rPr>
                <w:rFonts w:hint="eastAsia" w:ascii="仿宋" w:hAnsi="仿宋" w:eastAsia="仿宋" w:cs="宋体"/>
                <w:spacing w:val="14"/>
                <w:kern w:val="0"/>
                <w:sz w:val="24"/>
                <w:szCs w:val="24"/>
                <w:highlight w:val="none"/>
              </w:rPr>
              <w:t>付款方式</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35ECC55A">
            <w:pPr>
              <w:rPr>
                <w:rFonts w:hint="default" w:eastAsia="仿宋" w:cs="宋体"/>
                <w:sz w:val="24"/>
                <w:szCs w:val="24"/>
                <w:highlight w:val="none"/>
                <w:lang w:val="en-US" w:eastAsia="zh-CN"/>
              </w:rPr>
            </w:pPr>
            <w:r>
              <w:rPr>
                <w:rFonts w:hint="eastAsia" w:eastAsia="仿宋" w:cs="宋体"/>
                <w:sz w:val="24"/>
                <w:szCs w:val="24"/>
                <w:highlight w:val="none"/>
                <w:lang w:val="en-US" w:eastAsia="zh-CN"/>
              </w:rPr>
              <w:t>合同签订后，成交人在约定的交货期内交货并完成安装调试，经第三方检测机构检验合格且出具检测报告后，采购人向成交人一次性支付完毕；最终付款进度以财政部门到位资金为准。</w:t>
            </w:r>
          </w:p>
        </w:tc>
      </w:tr>
      <w:tr w14:paraId="6F18A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0DCFDE9F">
            <w:pPr>
              <w:widowControl/>
              <w:ind w:firstLine="0"/>
              <w:jc w:val="center"/>
              <w:rPr>
                <w:rFonts w:ascii="仿宋" w:hAnsi="仿宋" w:eastAsia="仿宋" w:cs="宋体"/>
                <w:spacing w:val="14"/>
                <w:kern w:val="0"/>
                <w:sz w:val="24"/>
                <w:szCs w:val="24"/>
                <w:highlight w:val="none"/>
              </w:rPr>
            </w:pPr>
            <w:r>
              <w:rPr>
                <w:rFonts w:hint="eastAsia" w:ascii="仿宋" w:hAnsi="仿宋" w:eastAsia="仿宋" w:cs="宋体"/>
                <w:spacing w:val="14"/>
                <w:kern w:val="0"/>
                <w:sz w:val="24"/>
                <w:szCs w:val="24"/>
                <w:highlight w:val="none"/>
              </w:rPr>
              <w:t>1.3.1</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6235D335">
            <w:pPr>
              <w:widowControl/>
              <w:ind w:firstLine="0"/>
              <w:jc w:val="left"/>
              <w:rPr>
                <w:rFonts w:ascii="仿宋" w:hAnsi="仿宋" w:eastAsia="仿宋" w:cs="宋体"/>
                <w:spacing w:val="14"/>
                <w:kern w:val="0"/>
                <w:sz w:val="24"/>
                <w:szCs w:val="24"/>
                <w:highlight w:val="none"/>
              </w:rPr>
            </w:pPr>
            <w:r>
              <w:rPr>
                <w:rFonts w:hint="eastAsia" w:ascii="仿宋" w:hAnsi="仿宋" w:eastAsia="仿宋" w:cs="宋体"/>
                <w:kern w:val="0"/>
                <w:sz w:val="24"/>
                <w:szCs w:val="24"/>
                <w:highlight w:val="none"/>
              </w:rPr>
              <w:t>合同履行期限（交货期）</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2152DC19">
            <w:pPr>
              <w:widowControl/>
              <w:ind w:firstLine="0"/>
              <w:jc w:val="left"/>
              <w:rPr>
                <w:rFonts w:hint="eastAsia" w:ascii="仿宋" w:hAnsi="仿宋" w:eastAsia="仿宋" w:cs="宋体"/>
                <w:spacing w:val="14"/>
                <w:kern w:val="0"/>
                <w:sz w:val="24"/>
                <w:szCs w:val="24"/>
                <w:highlight w:val="none"/>
                <w:lang w:eastAsia="zh-CN"/>
              </w:rPr>
            </w:pPr>
            <w:r>
              <w:rPr>
                <w:rFonts w:hint="eastAsia" w:ascii="仿宋" w:hAnsi="仿宋" w:eastAsia="仿宋" w:cs="宋体"/>
                <w:spacing w:val="14"/>
                <w:kern w:val="0"/>
                <w:sz w:val="24"/>
                <w:szCs w:val="24"/>
                <w:highlight w:val="none"/>
              </w:rPr>
              <w:t>合同签订</w:t>
            </w:r>
            <w:r>
              <w:rPr>
                <w:rFonts w:hint="eastAsia" w:ascii="仿宋" w:hAnsi="仿宋" w:eastAsia="仿宋" w:cs="宋体"/>
                <w:spacing w:val="14"/>
                <w:kern w:val="0"/>
                <w:sz w:val="24"/>
                <w:szCs w:val="24"/>
                <w:highlight w:val="none"/>
                <w:lang w:eastAsia="zh-CN"/>
              </w:rPr>
              <w:t>后</w:t>
            </w:r>
            <w:r>
              <w:rPr>
                <w:rFonts w:hint="eastAsia" w:ascii="仿宋" w:hAnsi="仿宋" w:eastAsia="仿宋" w:cs="宋体"/>
                <w:spacing w:val="14"/>
                <w:kern w:val="0"/>
                <w:sz w:val="24"/>
                <w:szCs w:val="24"/>
                <w:highlight w:val="none"/>
                <w:lang w:val="en-US" w:eastAsia="zh-CN"/>
              </w:rPr>
              <w:t>20个工作日内</w:t>
            </w:r>
            <w:r>
              <w:rPr>
                <w:rFonts w:hint="eastAsia" w:ascii="仿宋" w:hAnsi="仿宋" w:eastAsia="仿宋" w:cs="宋体"/>
                <w:spacing w:val="14"/>
                <w:kern w:val="0"/>
                <w:sz w:val="24"/>
                <w:szCs w:val="24"/>
                <w:highlight w:val="none"/>
                <w:lang w:eastAsia="zh-CN"/>
              </w:rPr>
              <w:t>。</w:t>
            </w:r>
          </w:p>
        </w:tc>
      </w:tr>
      <w:tr w14:paraId="338EA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267F4C1F">
            <w:pPr>
              <w:widowControl/>
              <w:ind w:firstLine="0"/>
              <w:jc w:val="center"/>
              <w:rPr>
                <w:rFonts w:hint="eastAsia" w:ascii="仿宋" w:hAnsi="仿宋" w:eastAsia="仿宋" w:cs="仿宋"/>
                <w:spacing w:val="14"/>
                <w:kern w:val="0"/>
                <w:sz w:val="24"/>
                <w:szCs w:val="24"/>
                <w:lang w:val="en-US" w:eastAsia="zh-CN"/>
              </w:rPr>
            </w:pPr>
            <w:r>
              <w:rPr>
                <w:rFonts w:hint="eastAsia" w:ascii="仿宋" w:hAnsi="仿宋" w:eastAsia="仿宋" w:cs="仿宋"/>
                <w:spacing w:val="14"/>
                <w:kern w:val="0"/>
                <w:sz w:val="24"/>
                <w:szCs w:val="24"/>
                <w:lang w:val="en-US" w:eastAsia="zh-CN"/>
              </w:rPr>
              <w:t>1.3.2</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72BED937">
            <w:pPr>
              <w:widowControl/>
              <w:spacing w:line="360" w:lineRule="auto"/>
              <w:ind w:firstLine="0" w:firstLineChars="0"/>
              <w:rPr>
                <w:rFonts w:hint="eastAsia" w:ascii="仿宋" w:hAnsi="仿宋" w:eastAsia="仿宋" w:cs="仿宋"/>
                <w:spacing w:val="14"/>
                <w:kern w:val="2"/>
                <w:sz w:val="24"/>
                <w:szCs w:val="24"/>
                <w:lang w:val="en-US" w:eastAsia="zh-CN" w:bidi="ar-SA"/>
              </w:rPr>
            </w:pPr>
            <w:r>
              <w:rPr>
                <w:rFonts w:hint="eastAsia" w:ascii="仿宋" w:hAnsi="仿宋" w:eastAsia="仿宋" w:cs="仿宋"/>
                <w:spacing w:val="14"/>
                <w:sz w:val="24"/>
                <w:szCs w:val="24"/>
                <w:lang w:eastAsia="zh-CN"/>
              </w:rPr>
              <w:t>交货地点</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146955A5">
            <w:pPr>
              <w:pStyle w:val="41"/>
              <w:spacing w:line="360" w:lineRule="auto"/>
              <w:ind w:firstLine="0" w:firstLineChars="0"/>
              <w:rPr>
                <w:rFonts w:hint="eastAsia" w:ascii="仿宋" w:hAnsi="仿宋" w:eastAsia="仿宋" w:cs="仿宋"/>
                <w:kern w:val="2"/>
                <w:sz w:val="24"/>
                <w:szCs w:val="24"/>
                <w:lang w:val="en-US" w:eastAsia="zh-CN" w:bidi="ar-SA"/>
              </w:rPr>
            </w:pPr>
            <w:r>
              <w:rPr>
                <w:rFonts w:hint="eastAsia" w:ascii="仿宋" w:hAnsi="仿宋" w:eastAsia="仿宋" w:cs="仿宋"/>
                <w:sz w:val="24"/>
                <w:szCs w:val="24"/>
                <w:lang w:eastAsia="zh-CN"/>
              </w:rPr>
              <w:t>采购人指定地点。</w:t>
            </w:r>
          </w:p>
        </w:tc>
      </w:tr>
      <w:tr w14:paraId="3A857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14E88CDA">
            <w:pPr>
              <w:widowControl/>
              <w:ind w:firstLine="0"/>
              <w:jc w:val="center"/>
              <w:rPr>
                <w:rFonts w:hint="eastAsia" w:ascii="仿宋" w:hAnsi="仿宋" w:eastAsia="仿宋" w:cs="宋体"/>
                <w:spacing w:val="14"/>
                <w:kern w:val="0"/>
                <w:sz w:val="24"/>
                <w:szCs w:val="24"/>
                <w:lang w:eastAsia="zh-CN"/>
              </w:rPr>
            </w:pPr>
            <w:r>
              <w:rPr>
                <w:rFonts w:hint="eastAsia" w:ascii="仿宋" w:hAnsi="仿宋" w:eastAsia="仿宋" w:cs="宋体"/>
                <w:spacing w:val="14"/>
                <w:kern w:val="0"/>
                <w:sz w:val="24"/>
                <w:szCs w:val="24"/>
              </w:rPr>
              <w:t>1.3.</w:t>
            </w:r>
            <w:r>
              <w:rPr>
                <w:rFonts w:hint="eastAsia" w:ascii="仿宋" w:hAnsi="仿宋" w:eastAsia="仿宋" w:cs="宋体"/>
                <w:spacing w:val="14"/>
                <w:kern w:val="0"/>
                <w:sz w:val="24"/>
                <w:szCs w:val="24"/>
                <w:lang w:val="en-US" w:eastAsia="zh-CN"/>
              </w:rPr>
              <w:t>3</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11B438FC">
            <w:pPr>
              <w:widowControl/>
              <w:ind w:firstLine="0"/>
              <w:jc w:val="left"/>
              <w:rPr>
                <w:rFonts w:hint="eastAsia" w:ascii="仿宋" w:hAnsi="仿宋" w:eastAsia="仿宋" w:cs="宋体"/>
                <w:spacing w:val="14"/>
                <w:kern w:val="0"/>
                <w:sz w:val="24"/>
                <w:szCs w:val="24"/>
              </w:rPr>
            </w:pPr>
            <w:r>
              <w:rPr>
                <w:rFonts w:hint="eastAsia" w:ascii="仿宋" w:hAnsi="仿宋" w:eastAsia="仿宋" w:cs="宋体"/>
                <w:spacing w:val="14"/>
                <w:kern w:val="0"/>
                <w:sz w:val="24"/>
                <w:szCs w:val="24"/>
              </w:rPr>
              <w:t>质量要求</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7BD97DD2">
            <w:pPr>
              <w:widowControl/>
              <w:ind w:firstLine="0"/>
              <w:jc w:val="left"/>
              <w:rPr>
                <w:rFonts w:hint="eastAsia" w:ascii="仿宋" w:hAnsi="仿宋" w:eastAsia="仿宋" w:cs="宋体"/>
                <w:spacing w:val="14"/>
                <w:kern w:val="0"/>
                <w:sz w:val="24"/>
                <w:szCs w:val="24"/>
              </w:rPr>
            </w:pPr>
            <w:r>
              <w:rPr>
                <w:rFonts w:hint="eastAsia" w:ascii="仿宋" w:hAnsi="仿宋" w:eastAsia="仿宋" w:cs="宋体"/>
                <w:spacing w:val="14"/>
                <w:kern w:val="0"/>
                <w:sz w:val="24"/>
                <w:szCs w:val="24"/>
              </w:rPr>
              <w:t>符合国家或行业规定的合格标准，满足采购人要求。</w:t>
            </w:r>
          </w:p>
        </w:tc>
      </w:tr>
      <w:tr w14:paraId="299F4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1C98ACED">
            <w:pPr>
              <w:widowControl/>
              <w:ind w:firstLine="0"/>
              <w:jc w:val="center"/>
              <w:rPr>
                <w:rFonts w:hint="eastAsia" w:ascii="仿宋" w:hAnsi="仿宋" w:eastAsia="仿宋" w:cs="宋体"/>
                <w:spacing w:val="14"/>
                <w:kern w:val="0"/>
                <w:sz w:val="24"/>
                <w:szCs w:val="24"/>
                <w:lang w:eastAsia="zh-CN"/>
              </w:rPr>
            </w:pPr>
            <w:r>
              <w:rPr>
                <w:rFonts w:hint="eastAsia" w:ascii="仿宋" w:hAnsi="仿宋" w:eastAsia="仿宋" w:cs="宋体"/>
                <w:spacing w:val="14"/>
                <w:kern w:val="0"/>
                <w:sz w:val="24"/>
                <w:szCs w:val="24"/>
              </w:rPr>
              <w:t>1.3.</w:t>
            </w:r>
            <w:r>
              <w:rPr>
                <w:rFonts w:hint="eastAsia" w:ascii="仿宋" w:hAnsi="仿宋" w:eastAsia="仿宋" w:cs="宋体"/>
                <w:spacing w:val="14"/>
                <w:kern w:val="0"/>
                <w:sz w:val="24"/>
                <w:szCs w:val="24"/>
                <w:lang w:val="en-US" w:eastAsia="zh-CN"/>
              </w:rPr>
              <w:t>4</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14424D9E">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履约验收</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40BF0EC1">
            <w:pPr>
              <w:widowControl/>
              <w:ind w:firstLine="0"/>
              <w:jc w:val="left"/>
              <w:rPr>
                <w:rFonts w:hint="eastAsia" w:ascii="仿宋" w:hAnsi="仿宋" w:eastAsia="仿宋" w:cs="宋体"/>
                <w:spacing w:val="14"/>
                <w:kern w:val="0"/>
                <w:sz w:val="24"/>
                <w:szCs w:val="24"/>
              </w:rPr>
            </w:pPr>
            <w:r>
              <w:rPr>
                <w:rFonts w:hint="eastAsia" w:ascii="仿宋" w:hAnsi="仿宋" w:eastAsia="仿宋" w:cs="宋体"/>
                <w:spacing w:val="14"/>
                <w:kern w:val="0"/>
                <w:sz w:val="24"/>
                <w:szCs w:val="24"/>
              </w:rPr>
              <w:t>采购人根据国家有关规定、磋商文件、</w:t>
            </w:r>
            <w:r>
              <w:rPr>
                <w:rFonts w:hint="eastAsia" w:ascii="仿宋" w:hAnsi="仿宋" w:eastAsia="仿宋" w:cs="宋体"/>
                <w:spacing w:val="14"/>
                <w:kern w:val="0"/>
                <w:sz w:val="24"/>
                <w:szCs w:val="24"/>
                <w:lang w:val="en-US" w:eastAsia="zh-CN"/>
              </w:rPr>
              <w:t>成交供应商的响应文件</w:t>
            </w:r>
            <w:r>
              <w:rPr>
                <w:rFonts w:hint="eastAsia" w:ascii="仿宋" w:hAnsi="仿宋" w:eastAsia="仿宋" w:cs="宋体"/>
                <w:spacing w:val="14"/>
                <w:kern w:val="0"/>
                <w:sz w:val="24"/>
                <w:szCs w:val="24"/>
              </w:rPr>
              <w:t xml:space="preserve">以及合同约定的内容和验收标准进行验收。验收情况作为支付价款的依据。 </w:t>
            </w:r>
          </w:p>
        </w:tc>
      </w:tr>
      <w:tr w14:paraId="4D6F3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75B1DF01">
            <w:pPr>
              <w:widowControl/>
              <w:ind w:firstLine="0"/>
              <w:jc w:val="center"/>
              <w:rPr>
                <w:rFonts w:hint="default" w:ascii="仿宋" w:hAnsi="仿宋" w:eastAsia="仿宋" w:cs="宋体"/>
                <w:spacing w:val="14"/>
                <w:kern w:val="0"/>
                <w:sz w:val="24"/>
                <w:szCs w:val="24"/>
                <w:lang w:val="en-US" w:eastAsia="zh-CN"/>
              </w:rPr>
            </w:pPr>
            <w:r>
              <w:rPr>
                <w:rFonts w:hint="eastAsia" w:ascii="仿宋" w:hAnsi="仿宋" w:eastAsia="仿宋" w:cs="宋体"/>
                <w:spacing w:val="14"/>
                <w:kern w:val="0"/>
                <w:sz w:val="24"/>
                <w:szCs w:val="24"/>
                <w:lang w:val="en-US" w:eastAsia="zh-CN"/>
              </w:rPr>
              <w:t>1.3.5</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4F48DC43">
            <w:pPr>
              <w:widowControl/>
              <w:ind w:firstLine="0"/>
              <w:jc w:val="left"/>
              <w:rPr>
                <w:rFonts w:hint="eastAsia" w:ascii="仿宋" w:hAnsi="仿宋" w:eastAsia="仿宋" w:cs="宋体"/>
                <w:spacing w:val="14"/>
                <w:kern w:val="0"/>
                <w:sz w:val="24"/>
                <w:szCs w:val="24"/>
                <w:highlight w:val="none"/>
              </w:rPr>
            </w:pPr>
            <w:r>
              <w:rPr>
                <w:rFonts w:hint="eastAsia" w:ascii="仿宋" w:hAnsi="仿宋" w:eastAsia="仿宋" w:cs="宋体"/>
                <w:spacing w:val="14"/>
                <w:kern w:val="0"/>
                <w:sz w:val="24"/>
                <w:szCs w:val="24"/>
                <w:highlight w:val="none"/>
              </w:rPr>
              <w:t>质保期</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15FBBD38">
            <w:pPr>
              <w:widowControl/>
              <w:ind w:firstLine="0"/>
              <w:jc w:val="left"/>
              <w:rPr>
                <w:rFonts w:hint="eastAsia" w:ascii="仿宋" w:hAnsi="仿宋" w:eastAsia="仿宋" w:cs="宋体"/>
                <w:spacing w:val="14"/>
                <w:kern w:val="0"/>
                <w:sz w:val="24"/>
                <w:szCs w:val="24"/>
                <w:highlight w:val="none"/>
              </w:rPr>
            </w:pPr>
            <w:r>
              <w:rPr>
                <w:rFonts w:hint="eastAsia" w:ascii="仿宋" w:hAnsi="仿宋" w:eastAsia="仿宋" w:cs="宋体"/>
                <w:spacing w:val="14"/>
                <w:kern w:val="0"/>
                <w:sz w:val="24"/>
                <w:szCs w:val="24"/>
                <w:highlight w:val="none"/>
              </w:rPr>
              <w:t>质保期：</w:t>
            </w:r>
            <w:r>
              <w:rPr>
                <w:rFonts w:hint="eastAsia" w:ascii="仿宋" w:hAnsi="仿宋" w:eastAsia="仿宋" w:cs="宋体"/>
                <w:spacing w:val="14"/>
                <w:kern w:val="0"/>
                <w:sz w:val="24"/>
                <w:szCs w:val="24"/>
                <w:highlight w:val="none"/>
                <w:lang w:val="en-US" w:eastAsia="zh-CN"/>
              </w:rPr>
              <w:t>1</w:t>
            </w:r>
            <w:r>
              <w:rPr>
                <w:rFonts w:hint="eastAsia" w:ascii="仿宋" w:hAnsi="仿宋" w:eastAsia="仿宋" w:cs="宋体"/>
                <w:spacing w:val="14"/>
                <w:kern w:val="0"/>
                <w:sz w:val="24"/>
                <w:szCs w:val="24"/>
                <w:highlight w:val="none"/>
              </w:rPr>
              <w:t>年</w:t>
            </w:r>
          </w:p>
        </w:tc>
      </w:tr>
      <w:tr w14:paraId="16557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55FA4835">
            <w:pPr>
              <w:widowControl/>
              <w:ind w:firstLine="0"/>
              <w:jc w:val="center"/>
              <w:rPr>
                <w:rFonts w:hint="default" w:ascii="仿宋" w:hAnsi="仿宋" w:eastAsia="仿宋" w:cs="宋体"/>
                <w:spacing w:val="14"/>
                <w:kern w:val="0"/>
                <w:sz w:val="24"/>
                <w:szCs w:val="24"/>
                <w:lang w:val="en-US" w:eastAsia="zh-CN"/>
              </w:rPr>
            </w:pPr>
            <w:r>
              <w:rPr>
                <w:rFonts w:hint="eastAsia" w:ascii="仿宋" w:hAnsi="仿宋" w:eastAsia="仿宋" w:cs="宋体"/>
                <w:spacing w:val="14"/>
                <w:kern w:val="0"/>
                <w:sz w:val="24"/>
                <w:szCs w:val="24"/>
                <w:lang w:val="en-US" w:eastAsia="zh-CN"/>
              </w:rPr>
              <w:t>1.3.6</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6E262A42">
            <w:pPr>
              <w:widowControl/>
              <w:ind w:firstLine="0"/>
              <w:jc w:val="left"/>
              <w:rPr>
                <w:rFonts w:hint="eastAsia" w:ascii="仿宋" w:hAnsi="仿宋" w:eastAsia="仿宋" w:cs="宋体"/>
                <w:spacing w:val="14"/>
                <w:kern w:val="0"/>
                <w:sz w:val="24"/>
                <w:szCs w:val="24"/>
                <w:highlight w:val="none"/>
              </w:rPr>
            </w:pPr>
            <w:r>
              <w:rPr>
                <w:rFonts w:hint="eastAsia" w:ascii="仿宋" w:hAnsi="仿宋" w:eastAsia="仿宋" w:cs="宋体"/>
                <w:spacing w:val="14"/>
                <w:kern w:val="0"/>
                <w:sz w:val="24"/>
                <w:szCs w:val="24"/>
                <w:highlight w:val="none"/>
              </w:rPr>
              <w:t>售后服务</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46228FC0">
            <w:pPr>
              <w:widowControl/>
              <w:spacing w:line="240" w:lineRule="auto"/>
              <w:ind w:firstLine="0"/>
              <w:rPr>
                <w:rFonts w:hint="eastAsia" w:ascii="仿宋" w:hAnsi="仿宋" w:eastAsia="仿宋" w:cs="仿宋"/>
                <w:b w:val="0"/>
                <w:bCs w:val="0"/>
                <w:snapToGrid w:val="0"/>
                <w:color w:val="000000"/>
                <w:kern w:val="0"/>
                <w:sz w:val="24"/>
                <w:szCs w:val="24"/>
                <w:highlight w:val="none"/>
              </w:rPr>
            </w:pPr>
            <w:r>
              <w:rPr>
                <w:rFonts w:hint="eastAsia" w:ascii="仿宋" w:hAnsi="仿宋" w:eastAsia="仿宋" w:cs="仿宋"/>
                <w:b w:val="0"/>
                <w:bCs w:val="0"/>
                <w:snapToGrid w:val="0"/>
                <w:color w:val="000000"/>
                <w:kern w:val="0"/>
                <w:sz w:val="24"/>
                <w:szCs w:val="24"/>
                <w:highlight w:val="none"/>
                <w:lang w:val="en-US" w:eastAsia="zh-CN"/>
              </w:rPr>
              <w:t>1、</w:t>
            </w:r>
            <w:r>
              <w:rPr>
                <w:rFonts w:hint="eastAsia" w:ascii="仿宋" w:hAnsi="仿宋" w:eastAsia="仿宋" w:cs="仿宋"/>
                <w:b w:val="0"/>
                <w:bCs w:val="0"/>
                <w:snapToGrid w:val="0"/>
                <w:color w:val="000000"/>
                <w:kern w:val="0"/>
                <w:sz w:val="24"/>
                <w:szCs w:val="24"/>
                <w:highlight w:val="none"/>
              </w:rPr>
              <w:t>质保期内（以本项目验收合格之日算起）应当为采购人提供以下技术支持和服务：</w:t>
            </w:r>
          </w:p>
          <w:p w14:paraId="7609C8DC">
            <w:pPr>
              <w:widowControl/>
              <w:spacing w:line="240" w:lineRule="auto"/>
              <w:ind w:firstLine="0"/>
              <w:rPr>
                <w:rFonts w:hint="eastAsia" w:ascii="仿宋" w:hAnsi="仿宋" w:eastAsia="仿宋" w:cs="仿宋"/>
                <w:b w:val="0"/>
                <w:bCs w:val="0"/>
                <w:snapToGrid w:val="0"/>
                <w:color w:val="000000"/>
                <w:kern w:val="0"/>
                <w:sz w:val="24"/>
                <w:szCs w:val="24"/>
                <w:highlight w:val="none"/>
              </w:rPr>
            </w:pPr>
            <w:r>
              <w:rPr>
                <w:rFonts w:hint="eastAsia" w:ascii="仿宋" w:hAnsi="仿宋" w:eastAsia="仿宋" w:cs="仿宋"/>
                <w:b w:val="0"/>
                <w:bCs w:val="0"/>
                <w:snapToGrid w:val="0"/>
                <w:color w:val="000000"/>
                <w:kern w:val="0"/>
                <w:sz w:val="24"/>
                <w:szCs w:val="24"/>
                <w:highlight w:val="none"/>
              </w:rPr>
              <w:t>（1）电话咨询。成交人应当为采购人提供技术援助电话，解答采购人在使用中遇到的问题，及时为采购人提出解决问题的建议和办法。</w:t>
            </w:r>
          </w:p>
          <w:p w14:paraId="70585C51">
            <w:pPr>
              <w:widowControl/>
              <w:spacing w:line="240" w:lineRule="auto"/>
              <w:ind w:firstLine="0"/>
              <w:rPr>
                <w:rFonts w:hint="eastAsia" w:ascii="仿宋" w:hAnsi="仿宋" w:eastAsia="仿宋" w:cs="仿宋"/>
                <w:b w:val="0"/>
                <w:bCs w:val="0"/>
                <w:snapToGrid w:val="0"/>
                <w:color w:val="000000"/>
                <w:kern w:val="0"/>
                <w:sz w:val="24"/>
                <w:szCs w:val="24"/>
                <w:highlight w:val="none"/>
              </w:rPr>
            </w:pPr>
            <w:r>
              <w:rPr>
                <w:rFonts w:hint="eastAsia" w:ascii="仿宋" w:hAnsi="仿宋" w:eastAsia="仿宋" w:cs="仿宋"/>
                <w:b w:val="0"/>
                <w:bCs w:val="0"/>
                <w:snapToGrid w:val="0"/>
                <w:color w:val="000000"/>
                <w:kern w:val="0"/>
                <w:sz w:val="24"/>
                <w:szCs w:val="24"/>
                <w:highlight w:val="none"/>
              </w:rPr>
              <w:t>（2）现场响应。采购人遇到使用及技术问题，电话咨询不能解决的，成交人售后应在24小时内到达现场进行处理，确保设备系统正常工作。</w:t>
            </w:r>
          </w:p>
          <w:p w14:paraId="3F3E1C5D">
            <w:pPr>
              <w:widowControl/>
              <w:spacing w:line="240" w:lineRule="auto"/>
              <w:ind w:firstLine="0"/>
              <w:rPr>
                <w:rFonts w:hint="eastAsia" w:ascii="仿宋" w:hAnsi="仿宋" w:eastAsia="仿宋" w:cs="仿宋"/>
                <w:b w:val="0"/>
                <w:bCs w:val="0"/>
                <w:snapToGrid w:val="0"/>
                <w:color w:val="000000"/>
                <w:kern w:val="0"/>
                <w:sz w:val="24"/>
                <w:szCs w:val="24"/>
                <w:highlight w:val="none"/>
              </w:rPr>
            </w:pPr>
            <w:r>
              <w:rPr>
                <w:rFonts w:hint="eastAsia" w:ascii="仿宋" w:hAnsi="仿宋" w:eastAsia="仿宋" w:cs="仿宋"/>
                <w:b w:val="0"/>
                <w:bCs w:val="0"/>
                <w:snapToGrid w:val="0"/>
                <w:color w:val="000000"/>
                <w:kern w:val="0"/>
                <w:sz w:val="24"/>
                <w:szCs w:val="24"/>
                <w:highlight w:val="none"/>
              </w:rPr>
              <w:t>（3）供应商应当定期对所供设备系统运行情况进行检测，消除故障隐患，以保证设备的正常运行。</w:t>
            </w:r>
          </w:p>
          <w:p w14:paraId="4BEB551D">
            <w:pPr>
              <w:widowControl/>
              <w:spacing w:line="240" w:lineRule="auto"/>
              <w:ind w:firstLine="0"/>
              <w:rPr>
                <w:rFonts w:hint="eastAsia" w:ascii="仿宋" w:hAnsi="仿宋" w:eastAsia="仿宋" w:cs="仿宋"/>
                <w:b w:val="0"/>
                <w:bCs w:val="0"/>
                <w:snapToGrid w:val="0"/>
                <w:color w:val="000000"/>
                <w:kern w:val="0"/>
                <w:sz w:val="24"/>
                <w:szCs w:val="24"/>
                <w:highlight w:val="none"/>
              </w:rPr>
            </w:pPr>
            <w:r>
              <w:rPr>
                <w:rFonts w:hint="eastAsia" w:ascii="仿宋" w:hAnsi="仿宋" w:eastAsia="仿宋" w:cs="仿宋"/>
                <w:b w:val="0"/>
                <w:bCs w:val="0"/>
                <w:snapToGrid w:val="0"/>
                <w:color w:val="000000"/>
                <w:kern w:val="0"/>
                <w:sz w:val="24"/>
                <w:szCs w:val="24"/>
                <w:highlight w:val="none"/>
              </w:rPr>
              <w:t>（4）技术升级。在质保期内，如果制造商的产品技术升级，供应商应及时通知采购人，如采购人有相应要求，供应商和制造商应对采购人购买的产品进行免费升级服务或优惠价格的有偿升级服务。</w:t>
            </w:r>
          </w:p>
          <w:p w14:paraId="77F31A3F">
            <w:pPr>
              <w:widowControl/>
              <w:spacing w:line="240" w:lineRule="auto"/>
              <w:ind w:firstLine="0"/>
              <w:rPr>
                <w:rFonts w:hint="eastAsia" w:ascii="仿宋" w:hAnsi="仿宋" w:eastAsia="仿宋" w:cs="仿宋"/>
                <w:b w:val="0"/>
                <w:bCs w:val="0"/>
                <w:snapToGrid w:val="0"/>
                <w:color w:val="000000"/>
                <w:kern w:val="0"/>
                <w:sz w:val="24"/>
                <w:szCs w:val="24"/>
                <w:highlight w:val="none"/>
              </w:rPr>
            </w:pPr>
            <w:r>
              <w:rPr>
                <w:rFonts w:hint="eastAsia" w:ascii="仿宋" w:hAnsi="仿宋" w:eastAsia="仿宋" w:cs="仿宋"/>
                <w:b w:val="0"/>
                <w:bCs w:val="0"/>
                <w:snapToGrid w:val="0"/>
                <w:color w:val="000000"/>
                <w:kern w:val="0"/>
                <w:sz w:val="24"/>
                <w:szCs w:val="24"/>
                <w:highlight w:val="none"/>
                <w:lang w:val="en-US" w:eastAsia="zh-CN"/>
              </w:rPr>
              <w:t>2</w:t>
            </w:r>
            <w:r>
              <w:rPr>
                <w:rFonts w:hint="eastAsia" w:ascii="仿宋" w:hAnsi="仿宋" w:eastAsia="仿宋" w:cs="仿宋"/>
                <w:b w:val="0"/>
                <w:bCs w:val="0"/>
                <w:snapToGrid w:val="0"/>
                <w:color w:val="000000"/>
                <w:kern w:val="0"/>
                <w:sz w:val="24"/>
                <w:szCs w:val="24"/>
                <w:highlight w:val="none"/>
              </w:rPr>
              <w:t>、质保期后应当为采购人提供以下技术支持和服务：</w:t>
            </w:r>
          </w:p>
          <w:p w14:paraId="6C7866CE">
            <w:pPr>
              <w:widowControl/>
              <w:spacing w:line="240" w:lineRule="auto"/>
              <w:ind w:firstLine="0"/>
              <w:rPr>
                <w:rFonts w:hint="eastAsia" w:ascii="仿宋" w:hAnsi="仿宋" w:eastAsia="仿宋" w:cs="仿宋"/>
                <w:b w:val="0"/>
                <w:bCs w:val="0"/>
                <w:snapToGrid w:val="0"/>
                <w:color w:val="000000"/>
                <w:kern w:val="0"/>
                <w:sz w:val="24"/>
                <w:szCs w:val="24"/>
                <w:highlight w:val="none"/>
              </w:rPr>
            </w:pPr>
            <w:r>
              <w:rPr>
                <w:rFonts w:hint="eastAsia" w:ascii="仿宋" w:hAnsi="仿宋" w:eastAsia="仿宋" w:cs="仿宋"/>
                <w:b w:val="0"/>
                <w:bCs w:val="0"/>
                <w:snapToGrid w:val="0"/>
                <w:color w:val="000000"/>
                <w:kern w:val="0"/>
                <w:sz w:val="24"/>
                <w:szCs w:val="24"/>
                <w:highlight w:val="none"/>
              </w:rPr>
              <w:t>（1）应同样提供免费电话咨询服务，并以优惠价格应提供产品上门维护服务。</w:t>
            </w:r>
          </w:p>
          <w:p w14:paraId="0C5176CC">
            <w:pPr>
              <w:widowControl/>
              <w:ind w:firstLine="0"/>
              <w:jc w:val="left"/>
              <w:rPr>
                <w:rFonts w:hint="eastAsia" w:ascii="仿宋" w:hAnsi="仿宋" w:eastAsia="仿宋" w:cs="宋体"/>
                <w:spacing w:val="14"/>
                <w:kern w:val="0"/>
                <w:sz w:val="24"/>
                <w:szCs w:val="24"/>
                <w:highlight w:val="none"/>
              </w:rPr>
            </w:pPr>
            <w:r>
              <w:rPr>
                <w:rFonts w:hint="eastAsia" w:ascii="仿宋" w:hAnsi="仿宋" w:eastAsia="仿宋" w:cs="仿宋"/>
                <w:b w:val="0"/>
                <w:bCs w:val="0"/>
                <w:snapToGrid w:val="0"/>
                <w:color w:val="000000"/>
                <w:kern w:val="0"/>
                <w:sz w:val="24"/>
                <w:szCs w:val="24"/>
                <w:highlight w:val="none"/>
              </w:rPr>
              <w:t>（2）应以优惠价格继续提供售后服务。</w:t>
            </w:r>
          </w:p>
        </w:tc>
      </w:tr>
      <w:tr w14:paraId="26B45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2B8AAF7C">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1.4.1</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24CBBB8A">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供应商资格要求</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39A3263D">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见第一章采购公告</w:t>
            </w:r>
          </w:p>
        </w:tc>
      </w:tr>
      <w:tr w14:paraId="1D8AF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5B578B1D">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1.4.2</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1371F457">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是否接受联合体</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24A0BE64">
            <w:pPr>
              <w:widowControl/>
              <w:ind w:firstLine="0"/>
              <w:jc w:val="left"/>
              <w:rPr>
                <w:rFonts w:ascii="仿宋" w:hAnsi="仿宋" w:eastAsia="仿宋" w:cs="宋体"/>
                <w:spacing w:val="14"/>
                <w:kern w:val="0"/>
                <w:sz w:val="24"/>
                <w:szCs w:val="24"/>
                <w:u w:val="single" w:color="000000"/>
              </w:rPr>
            </w:pPr>
            <w:r>
              <w:rPr>
                <w:rFonts w:hint="eastAsia" w:ascii="MS Mincho" w:hAnsi="MS Mincho" w:eastAsia="MS Mincho" w:cs="MS Mincho"/>
                <w:spacing w:val="14"/>
                <w:kern w:val="0"/>
                <w:sz w:val="24"/>
                <w:szCs w:val="24"/>
              </w:rPr>
              <w:t>☑</w:t>
            </w:r>
            <w:r>
              <w:rPr>
                <w:rFonts w:hint="eastAsia" w:ascii="仿宋" w:hAnsi="仿宋" w:eastAsia="仿宋" w:cs="宋体"/>
                <w:spacing w:val="14"/>
                <w:kern w:val="0"/>
                <w:sz w:val="24"/>
                <w:szCs w:val="24"/>
              </w:rPr>
              <w:t>不接受</w:t>
            </w:r>
          </w:p>
        </w:tc>
      </w:tr>
      <w:tr w14:paraId="6320E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2E7451B6">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1.4.3</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4AEC5614">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供应商不得存在的其他情形</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5E663096">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w:t>
            </w:r>
          </w:p>
        </w:tc>
      </w:tr>
      <w:tr w14:paraId="7F9BB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09E25846">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1.9.1</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4BC8D297">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磋商预备会</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51C79FFA">
            <w:pPr>
              <w:widowControl/>
              <w:ind w:firstLine="0"/>
              <w:jc w:val="left"/>
              <w:rPr>
                <w:rFonts w:ascii="仿宋" w:hAnsi="仿宋" w:eastAsia="仿宋" w:cs="宋体"/>
                <w:spacing w:val="14"/>
                <w:kern w:val="0"/>
                <w:sz w:val="24"/>
                <w:szCs w:val="24"/>
              </w:rPr>
            </w:pPr>
            <w:r>
              <w:rPr>
                <w:rFonts w:hint="eastAsia" w:ascii="MS Mincho" w:hAnsi="MS Mincho" w:eastAsia="MS Mincho" w:cs="MS Mincho"/>
                <w:spacing w:val="14"/>
                <w:kern w:val="0"/>
                <w:sz w:val="24"/>
                <w:szCs w:val="24"/>
              </w:rPr>
              <w:t>☑</w:t>
            </w:r>
            <w:r>
              <w:rPr>
                <w:rFonts w:hint="eastAsia" w:ascii="仿宋" w:hAnsi="仿宋" w:eastAsia="仿宋" w:cs="宋体"/>
                <w:spacing w:val="14"/>
                <w:kern w:val="0"/>
                <w:sz w:val="24"/>
                <w:szCs w:val="24"/>
              </w:rPr>
              <w:t>不召开</w:t>
            </w:r>
          </w:p>
        </w:tc>
      </w:tr>
      <w:tr w14:paraId="647FE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28F13792">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1.9.2</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293C3BFC">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在磋商预备会前提出问题</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75384755">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时间：/</w:t>
            </w:r>
          </w:p>
          <w:p w14:paraId="5EBC8079">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形式：/</w:t>
            </w:r>
          </w:p>
        </w:tc>
      </w:tr>
      <w:tr w14:paraId="73B08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12E67A89">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1.10.1</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57A088E1">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分包</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3CBEEEFC">
            <w:pPr>
              <w:widowControl/>
              <w:ind w:firstLine="0"/>
              <w:jc w:val="left"/>
              <w:rPr>
                <w:rFonts w:ascii="仿宋" w:hAnsi="仿宋" w:eastAsia="仿宋" w:cs="宋体"/>
                <w:spacing w:val="14"/>
                <w:kern w:val="0"/>
                <w:sz w:val="24"/>
                <w:szCs w:val="24"/>
              </w:rPr>
            </w:pPr>
            <w:r>
              <w:rPr>
                <w:rFonts w:hint="eastAsia" w:ascii="MS Mincho" w:hAnsi="MS Mincho" w:eastAsia="MS Mincho" w:cs="MS Mincho"/>
                <w:spacing w:val="14"/>
                <w:kern w:val="0"/>
                <w:sz w:val="24"/>
                <w:szCs w:val="24"/>
              </w:rPr>
              <w:t>☑</w:t>
            </w:r>
            <w:r>
              <w:rPr>
                <w:rFonts w:hint="eastAsia" w:ascii="仿宋" w:hAnsi="仿宋" w:eastAsia="仿宋" w:cs="宋体"/>
                <w:spacing w:val="14"/>
                <w:kern w:val="0"/>
                <w:sz w:val="24"/>
                <w:szCs w:val="24"/>
              </w:rPr>
              <w:t>不允许</w:t>
            </w:r>
          </w:p>
        </w:tc>
      </w:tr>
      <w:tr w14:paraId="2AB99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592AE235">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1.11.1</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2961BFFD">
            <w:pPr>
              <w:widowControl/>
              <w:ind w:firstLine="0"/>
              <w:jc w:val="left"/>
              <w:rPr>
                <w:rFonts w:ascii="仿宋" w:hAnsi="仿宋" w:eastAsia="仿宋" w:cs="宋体"/>
                <w:b/>
                <w:spacing w:val="14"/>
                <w:kern w:val="0"/>
                <w:sz w:val="24"/>
                <w:szCs w:val="24"/>
              </w:rPr>
            </w:pPr>
            <w:r>
              <w:rPr>
                <w:rFonts w:hint="eastAsia" w:ascii="仿宋" w:hAnsi="仿宋" w:eastAsia="仿宋" w:cs="宋体"/>
                <w:b/>
                <w:spacing w:val="14"/>
                <w:kern w:val="0"/>
                <w:sz w:val="24"/>
                <w:szCs w:val="24"/>
              </w:rPr>
              <w:t>实质性要求和条件</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3E9E55B4">
            <w:pPr>
              <w:widowControl/>
              <w:ind w:firstLine="0"/>
              <w:jc w:val="left"/>
              <w:rPr>
                <w:rFonts w:hint="eastAsia" w:ascii="仿宋" w:hAnsi="仿宋" w:eastAsia="仿宋" w:cs="宋体"/>
                <w:b/>
                <w:spacing w:val="14"/>
                <w:kern w:val="0"/>
                <w:sz w:val="24"/>
                <w:szCs w:val="24"/>
              </w:rPr>
            </w:pPr>
            <w:r>
              <w:rPr>
                <w:rFonts w:hint="eastAsia" w:ascii="仿宋" w:hAnsi="仿宋" w:eastAsia="仿宋" w:cs="宋体"/>
                <w:b/>
                <w:spacing w:val="14"/>
                <w:kern w:val="0"/>
                <w:sz w:val="24"/>
                <w:szCs w:val="24"/>
              </w:rPr>
              <w:t>合同履行期限（交货期）；</w:t>
            </w:r>
          </w:p>
          <w:p w14:paraId="661C8694">
            <w:pPr>
              <w:widowControl/>
              <w:ind w:firstLine="0"/>
              <w:jc w:val="left"/>
              <w:rPr>
                <w:rFonts w:hint="eastAsia" w:ascii="仿宋" w:hAnsi="仿宋" w:eastAsia="仿宋" w:cs="宋体"/>
                <w:b/>
                <w:spacing w:val="14"/>
                <w:kern w:val="0"/>
                <w:sz w:val="24"/>
                <w:szCs w:val="24"/>
              </w:rPr>
            </w:pPr>
            <w:r>
              <w:rPr>
                <w:rFonts w:hint="eastAsia" w:ascii="仿宋" w:hAnsi="仿宋" w:eastAsia="仿宋" w:cs="宋体"/>
                <w:b/>
                <w:spacing w:val="14"/>
                <w:kern w:val="0"/>
                <w:sz w:val="24"/>
                <w:szCs w:val="24"/>
              </w:rPr>
              <w:t xml:space="preserve">付款方式； </w:t>
            </w:r>
          </w:p>
          <w:p w14:paraId="32029711">
            <w:pPr>
              <w:widowControl/>
              <w:ind w:firstLine="0"/>
              <w:jc w:val="left"/>
              <w:rPr>
                <w:rFonts w:hint="eastAsia" w:ascii="仿宋" w:hAnsi="仿宋" w:eastAsia="仿宋" w:cs="宋体"/>
                <w:b/>
                <w:spacing w:val="14"/>
                <w:kern w:val="0"/>
                <w:sz w:val="24"/>
                <w:szCs w:val="24"/>
              </w:rPr>
            </w:pPr>
            <w:r>
              <w:rPr>
                <w:rFonts w:hint="eastAsia" w:ascii="仿宋" w:hAnsi="仿宋" w:eastAsia="仿宋" w:cs="宋体"/>
                <w:b/>
                <w:spacing w:val="14"/>
                <w:kern w:val="0"/>
                <w:sz w:val="24"/>
                <w:szCs w:val="24"/>
              </w:rPr>
              <w:t xml:space="preserve">质量要求； </w:t>
            </w:r>
          </w:p>
          <w:p w14:paraId="7A7D0E5B">
            <w:pPr>
              <w:widowControl/>
              <w:ind w:firstLine="0"/>
              <w:jc w:val="left"/>
              <w:rPr>
                <w:rFonts w:hint="eastAsia" w:ascii="仿宋" w:hAnsi="仿宋" w:eastAsia="仿宋" w:cs="宋体"/>
                <w:b/>
                <w:spacing w:val="14"/>
                <w:kern w:val="0"/>
                <w:sz w:val="24"/>
                <w:szCs w:val="24"/>
              </w:rPr>
            </w:pPr>
            <w:r>
              <w:rPr>
                <w:rFonts w:hint="eastAsia" w:ascii="仿宋" w:hAnsi="仿宋" w:eastAsia="仿宋" w:cs="宋体"/>
                <w:b/>
                <w:spacing w:val="14"/>
                <w:kern w:val="0"/>
                <w:sz w:val="24"/>
                <w:szCs w:val="24"/>
              </w:rPr>
              <w:t>质保期：</w:t>
            </w:r>
          </w:p>
          <w:p w14:paraId="3CF90C9D">
            <w:pPr>
              <w:widowControl/>
              <w:ind w:firstLine="0"/>
              <w:jc w:val="left"/>
              <w:rPr>
                <w:rFonts w:hint="eastAsia" w:ascii="仿宋" w:hAnsi="仿宋" w:eastAsia="仿宋" w:cs="宋体"/>
                <w:b/>
                <w:spacing w:val="14"/>
                <w:kern w:val="0"/>
                <w:sz w:val="24"/>
                <w:szCs w:val="24"/>
                <w:lang w:eastAsia="zh-CN"/>
              </w:rPr>
            </w:pPr>
            <w:r>
              <w:rPr>
                <w:rFonts w:hint="eastAsia" w:ascii="仿宋" w:hAnsi="仿宋" w:eastAsia="仿宋" w:cs="宋体"/>
                <w:b/>
                <w:spacing w:val="14"/>
                <w:kern w:val="0"/>
                <w:sz w:val="24"/>
                <w:szCs w:val="24"/>
              </w:rPr>
              <w:t>售后服务</w:t>
            </w:r>
            <w:r>
              <w:rPr>
                <w:rFonts w:hint="eastAsia" w:ascii="仿宋" w:hAnsi="仿宋" w:eastAsia="仿宋" w:cs="宋体"/>
                <w:b/>
                <w:spacing w:val="14"/>
                <w:kern w:val="0"/>
                <w:sz w:val="24"/>
                <w:szCs w:val="24"/>
                <w:lang w:eastAsia="zh-CN"/>
              </w:rPr>
              <w:t>：</w:t>
            </w:r>
          </w:p>
          <w:p w14:paraId="06A4131E">
            <w:pPr>
              <w:widowControl/>
              <w:ind w:firstLine="0"/>
              <w:jc w:val="left"/>
              <w:rPr>
                <w:rFonts w:hint="eastAsia" w:ascii="仿宋" w:hAnsi="仿宋" w:eastAsia="仿宋" w:cs="宋体"/>
                <w:b/>
                <w:spacing w:val="14"/>
                <w:kern w:val="0"/>
                <w:sz w:val="24"/>
                <w:szCs w:val="24"/>
              </w:rPr>
            </w:pPr>
            <w:r>
              <w:rPr>
                <w:rFonts w:hint="eastAsia" w:ascii="仿宋" w:hAnsi="仿宋" w:eastAsia="仿宋" w:cs="宋体"/>
                <w:b/>
                <w:spacing w:val="14"/>
                <w:kern w:val="0"/>
                <w:sz w:val="24"/>
                <w:szCs w:val="24"/>
              </w:rPr>
              <w:t>交货地点；</w:t>
            </w:r>
          </w:p>
          <w:p w14:paraId="7D3EA811">
            <w:pPr>
              <w:widowControl/>
              <w:ind w:firstLine="0"/>
              <w:jc w:val="left"/>
              <w:rPr>
                <w:rFonts w:ascii="仿宋" w:hAnsi="仿宋" w:eastAsia="仿宋" w:cs="宋体"/>
                <w:b/>
                <w:spacing w:val="14"/>
                <w:kern w:val="0"/>
                <w:sz w:val="24"/>
                <w:szCs w:val="24"/>
              </w:rPr>
            </w:pPr>
            <w:r>
              <w:rPr>
                <w:rFonts w:hint="eastAsia" w:ascii="仿宋" w:hAnsi="仿宋" w:eastAsia="仿宋" w:cs="宋体"/>
                <w:b/>
                <w:spacing w:val="14"/>
                <w:kern w:val="0"/>
                <w:sz w:val="24"/>
                <w:szCs w:val="24"/>
              </w:rPr>
              <w:t>其他：/</w:t>
            </w:r>
          </w:p>
        </w:tc>
      </w:tr>
      <w:tr w14:paraId="0A891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3D514F01">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1.11.3</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02BC2017">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其他可以被接受的技术支持资料</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1A83356F">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w:t>
            </w:r>
          </w:p>
        </w:tc>
      </w:tr>
      <w:tr w14:paraId="4D8A4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6C1CE390">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1.11.4</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249AC505">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偏差</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3091D62C">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允许</w:t>
            </w:r>
          </w:p>
        </w:tc>
      </w:tr>
      <w:tr w14:paraId="42E13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4D5CC3B1">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2.1</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4B8F535F">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构成磋商文件的其他资料</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64B6623E">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w:t>
            </w:r>
          </w:p>
        </w:tc>
      </w:tr>
      <w:tr w14:paraId="37FC0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34E215A5">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2.2.1</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28B18385">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供应商提出问题或要求澄清磋商文件的截止时间</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3878BAE6">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提交响应文件截止时间5日前，由供应商的被授权人提交书面材料（盖供应商公章）。</w:t>
            </w:r>
          </w:p>
          <w:p w14:paraId="55CB4CD6">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在提交响应文件截止时间前5日内，采购人、采购代理机构不再受理供应商提出的问题。</w:t>
            </w:r>
          </w:p>
        </w:tc>
      </w:tr>
      <w:tr w14:paraId="114E7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7063AB36">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2.2.2</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152A3CC3">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磋商文件澄清、修改发出的形式</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5A7BAEC8">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磋商文件的澄清、修改将在《中国招标投标公共服务平台》、</w:t>
            </w:r>
            <w:r>
              <w:rPr>
                <w:rFonts w:hint="eastAsia" w:ascii="仿宋" w:hAnsi="仿宋" w:eastAsia="仿宋" w:cs="宋体"/>
                <w:kern w:val="0"/>
                <w:sz w:val="24"/>
                <w:szCs w:val="24"/>
              </w:rPr>
              <w:t>《</w:t>
            </w:r>
            <w:r>
              <w:rPr>
                <w:rFonts w:hint="eastAsia" w:ascii="仿宋" w:hAnsi="仿宋" w:eastAsia="仿宋" w:cs="仿宋"/>
                <w:kern w:val="0"/>
                <w:sz w:val="24"/>
                <w:szCs w:val="24"/>
              </w:rPr>
              <w:t>河南省政府采购网</w:t>
            </w:r>
            <w:r>
              <w:rPr>
                <w:rFonts w:hint="eastAsia" w:ascii="仿宋" w:hAnsi="仿宋" w:eastAsia="仿宋" w:cs="宋体"/>
                <w:kern w:val="0"/>
                <w:sz w:val="24"/>
                <w:szCs w:val="24"/>
              </w:rPr>
              <w:t>》、《洛阳市公共资源交易中心网》</w:t>
            </w:r>
            <w:r>
              <w:rPr>
                <w:rFonts w:hint="eastAsia" w:ascii="仿宋" w:hAnsi="仿宋" w:eastAsia="仿宋" w:cs="宋体"/>
                <w:spacing w:val="14"/>
                <w:kern w:val="0"/>
                <w:sz w:val="24"/>
                <w:szCs w:val="24"/>
              </w:rPr>
              <w:t>网站上发布“变更公告”，如需修改磋商文件，则同时在洛阳市电子招投标交易平台发布“答疑文件”（答疑文件指修改后最新的磋商文件）。对于各项目中已经成功报名并下载磋商文件的供应商，将通过第三方短信群发方式提醒供应商进行查询。各供应商须重新下载最新的“答疑文件”，并以此编制响应文件。如不以最新发布的“答疑文件”编制响应文件，造成响应无效的后果由供应商自己承担。</w:t>
            </w:r>
          </w:p>
        </w:tc>
      </w:tr>
      <w:tr w14:paraId="07A3D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28706E98">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3.1.1</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5E321639">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构成响应文件的其他资料</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0C89F640">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w:t>
            </w:r>
          </w:p>
        </w:tc>
      </w:tr>
      <w:tr w14:paraId="7FCC5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27015A50">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3.2.2</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37A51846">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报价方式</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2E156E80">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总价</w:t>
            </w:r>
          </w:p>
        </w:tc>
      </w:tr>
      <w:tr w14:paraId="0C529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73A592F0">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3.2.4</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12B1ACB7">
            <w:pPr>
              <w:widowControl/>
              <w:ind w:firstLine="0"/>
              <w:jc w:val="left"/>
              <w:rPr>
                <w:rFonts w:ascii="仿宋" w:hAnsi="仿宋" w:eastAsia="仿宋" w:cs="宋体"/>
                <w:spacing w:val="14"/>
                <w:kern w:val="0"/>
                <w:sz w:val="24"/>
                <w:szCs w:val="24"/>
                <w:highlight w:val="none"/>
              </w:rPr>
            </w:pPr>
            <w:r>
              <w:rPr>
                <w:rFonts w:hint="eastAsia" w:ascii="仿宋" w:hAnsi="仿宋" w:eastAsia="仿宋" w:cs="宋体"/>
                <w:spacing w:val="14"/>
                <w:kern w:val="0"/>
                <w:sz w:val="24"/>
                <w:szCs w:val="24"/>
                <w:highlight w:val="none"/>
              </w:rPr>
              <w:t>预算控制金额</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1FB06351">
            <w:pPr>
              <w:widowControl/>
              <w:ind w:firstLine="0"/>
              <w:jc w:val="left"/>
              <w:rPr>
                <w:rFonts w:hint="eastAsia" w:ascii="仿宋" w:hAnsi="仿宋" w:eastAsia="仿宋" w:cs="宋体"/>
                <w:spacing w:val="14"/>
                <w:kern w:val="0"/>
                <w:sz w:val="24"/>
                <w:szCs w:val="24"/>
                <w:highlight w:val="none"/>
              </w:rPr>
            </w:pPr>
            <w:r>
              <w:rPr>
                <w:rFonts w:hint="eastAsia" w:ascii="仿宋" w:hAnsi="仿宋" w:eastAsia="仿宋" w:cs="宋体"/>
                <w:spacing w:val="14"/>
                <w:kern w:val="0"/>
                <w:sz w:val="24"/>
                <w:szCs w:val="24"/>
                <w:highlight w:val="none"/>
              </w:rPr>
              <w:t>预算控制金额</w:t>
            </w:r>
            <w:r>
              <w:rPr>
                <w:rFonts w:hint="eastAsia" w:ascii="仿宋" w:hAnsi="仿宋" w:eastAsia="仿宋" w:cs="宋体"/>
                <w:color w:val="auto"/>
                <w:sz w:val="24"/>
                <w:szCs w:val="24"/>
                <w:highlight w:val="none"/>
                <w:lang w:val="en-US" w:eastAsia="zh-CN"/>
              </w:rPr>
              <w:t>1815453.00</w:t>
            </w:r>
            <w:r>
              <w:rPr>
                <w:rFonts w:hint="eastAsia" w:ascii="仿宋" w:hAnsi="仿宋" w:eastAsia="仿宋" w:cs="宋体"/>
                <w:color w:val="auto"/>
                <w:spacing w:val="0"/>
                <w:sz w:val="24"/>
                <w:szCs w:val="24"/>
                <w:highlight w:val="none"/>
              </w:rPr>
              <w:t>元</w:t>
            </w:r>
          </w:p>
          <w:p w14:paraId="4C5A5337">
            <w:pPr>
              <w:widowControl/>
              <w:ind w:firstLine="0"/>
              <w:jc w:val="left"/>
              <w:rPr>
                <w:rFonts w:ascii="仿宋" w:hAnsi="仿宋" w:eastAsia="仿宋" w:cs="宋体"/>
                <w:spacing w:val="14"/>
                <w:kern w:val="0"/>
                <w:sz w:val="24"/>
                <w:szCs w:val="24"/>
                <w:highlight w:val="none"/>
              </w:rPr>
            </w:pPr>
            <w:r>
              <w:rPr>
                <w:rFonts w:hint="eastAsia" w:ascii="仿宋" w:hAnsi="仿宋" w:eastAsia="仿宋" w:cs="宋体"/>
                <w:spacing w:val="14"/>
                <w:kern w:val="0"/>
                <w:sz w:val="24"/>
                <w:szCs w:val="24"/>
                <w:highlight w:val="none"/>
              </w:rPr>
              <w:t>供应商的磋商报价超过控制金额的，其响应将被否决。</w:t>
            </w:r>
          </w:p>
        </w:tc>
      </w:tr>
      <w:tr w14:paraId="66954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531C1FE4">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3.2.5</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431C83BF">
            <w:pPr>
              <w:jc w:val="left"/>
              <w:rPr>
                <w:rFonts w:ascii="仿宋" w:hAnsi="仿宋" w:eastAsia="仿宋" w:cs="宋体"/>
                <w:spacing w:val="14"/>
                <w:sz w:val="24"/>
                <w:szCs w:val="24"/>
              </w:rPr>
            </w:pPr>
            <w:r>
              <w:rPr>
                <w:rFonts w:hint="eastAsia" w:ascii="仿宋" w:hAnsi="仿宋" w:eastAsia="仿宋" w:cs="宋体"/>
                <w:spacing w:val="14"/>
                <w:sz w:val="24"/>
                <w:szCs w:val="24"/>
              </w:rPr>
              <w:t>报价的其他要求</w:t>
            </w:r>
          </w:p>
        </w:tc>
        <w:tc>
          <w:tcPr>
            <w:tcW w:w="5399" w:type="dxa"/>
            <w:tcBorders>
              <w:top w:val="single" w:color="auto" w:sz="4" w:space="0"/>
              <w:left w:val="single" w:color="auto" w:sz="4" w:space="0"/>
              <w:bottom w:val="single" w:color="auto" w:sz="4" w:space="0"/>
              <w:right w:val="single" w:color="auto" w:sz="4" w:space="0"/>
            </w:tcBorders>
            <w:noWrap w:val="0"/>
            <w:vAlign w:val="top"/>
          </w:tcPr>
          <w:p w14:paraId="33711388">
            <w:pPr>
              <w:widowControl/>
              <w:numPr>
                <w:ilvl w:val="0"/>
                <w:numId w:val="1"/>
              </w:numPr>
              <w:ind w:firstLine="0"/>
              <w:rPr>
                <w:rFonts w:hint="eastAsia" w:ascii="仿宋" w:hAnsi="仿宋" w:eastAsia="仿宋" w:cs="宋体"/>
                <w:spacing w:val="14"/>
                <w:kern w:val="0"/>
                <w:sz w:val="24"/>
                <w:szCs w:val="24"/>
              </w:rPr>
            </w:pPr>
            <w:r>
              <w:rPr>
                <w:rFonts w:hint="eastAsia" w:ascii="仿宋" w:hAnsi="仿宋" w:eastAsia="仿宋" w:cs="宋体"/>
                <w:spacing w:val="14"/>
                <w:kern w:val="0"/>
                <w:sz w:val="24"/>
                <w:szCs w:val="24"/>
              </w:rPr>
              <w:t>符合要求的供应商在规定的时间提交最终报价。（即二次报价）</w:t>
            </w:r>
          </w:p>
          <w:p w14:paraId="724DDC2C">
            <w:pPr>
              <w:widowControl/>
              <w:numPr>
                <w:ilvl w:val="0"/>
                <w:numId w:val="1"/>
              </w:numPr>
              <w:ind w:firstLine="0"/>
              <w:rPr>
                <w:rFonts w:ascii="仿宋" w:hAnsi="仿宋" w:eastAsia="仿宋" w:cs="宋体"/>
                <w:spacing w:val="14"/>
                <w:sz w:val="24"/>
                <w:szCs w:val="24"/>
              </w:rPr>
            </w:pPr>
            <w:r>
              <w:rPr>
                <w:rFonts w:hint="eastAsia" w:ascii="仿宋" w:hAnsi="仿宋" w:eastAsia="仿宋" w:cs="宋体"/>
                <w:spacing w:val="14"/>
                <w:sz w:val="24"/>
                <w:szCs w:val="24"/>
              </w:rPr>
              <w:t>投标报价</w:t>
            </w:r>
            <w:r>
              <w:rPr>
                <w:rFonts w:hint="eastAsia" w:ascii="仿宋" w:hAnsi="仿宋" w:eastAsia="仿宋" w:cs="宋体"/>
                <w:spacing w:val="14"/>
                <w:kern w:val="0"/>
                <w:sz w:val="24"/>
                <w:szCs w:val="24"/>
              </w:rPr>
              <w:t>是履行合同的最终报价，无特别注明，均为人民币报价</w:t>
            </w:r>
            <w:r>
              <w:rPr>
                <w:rFonts w:hint="eastAsia" w:ascii="仿宋" w:hAnsi="仿宋" w:eastAsia="仿宋" w:cs="宋体"/>
                <w:spacing w:val="14"/>
                <w:kern w:val="0"/>
                <w:sz w:val="24"/>
                <w:szCs w:val="24"/>
                <w:lang w:eastAsia="zh-CN"/>
              </w:rPr>
              <w:t>。</w:t>
            </w:r>
            <w:r>
              <w:rPr>
                <w:rFonts w:hint="eastAsia" w:ascii="仿宋" w:hAnsi="仿宋" w:eastAsia="仿宋" w:cs="宋体"/>
                <w:spacing w:val="14"/>
                <w:sz w:val="24"/>
                <w:szCs w:val="24"/>
              </w:rPr>
              <w:t>应包括本采购项目所包含的货物、软件、标准附件、备品备件、专用工具、图纸资料、技术服务，包装、仓储、运输、装卸、保险、税金，货到就位以及安装、调试、培训、保修等一切税金和费用。</w:t>
            </w:r>
          </w:p>
        </w:tc>
      </w:tr>
      <w:tr w14:paraId="2A152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2BFB61AA">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3.3.1</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541C77D7">
            <w:pPr>
              <w:jc w:val="left"/>
              <w:rPr>
                <w:rFonts w:ascii="仿宋" w:hAnsi="仿宋" w:eastAsia="仿宋" w:cs="宋体"/>
                <w:spacing w:val="14"/>
                <w:sz w:val="24"/>
                <w:szCs w:val="24"/>
              </w:rPr>
            </w:pPr>
            <w:r>
              <w:rPr>
                <w:rFonts w:hint="eastAsia" w:ascii="仿宋" w:hAnsi="仿宋" w:eastAsia="仿宋" w:cs="宋体"/>
                <w:spacing w:val="14"/>
                <w:sz w:val="24"/>
                <w:szCs w:val="24"/>
              </w:rPr>
              <w:t>响应文件有效期</w:t>
            </w:r>
          </w:p>
        </w:tc>
        <w:tc>
          <w:tcPr>
            <w:tcW w:w="5399" w:type="dxa"/>
            <w:tcBorders>
              <w:top w:val="single" w:color="auto" w:sz="4" w:space="0"/>
              <w:left w:val="single" w:color="auto" w:sz="4" w:space="0"/>
              <w:bottom w:val="single" w:color="auto" w:sz="4" w:space="0"/>
              <w:right w:val="single" w:color="auto" w:sz="4" w:space="0"/>
            </w:tcBorders>
            <w:noWrap w:val="0"/>
            <w:vAlign w:val="top"/>
          </w:tcPr>
          <w:p w14:paraId="6C7FA824">
            <w:pPr>
              <w:jc w:val="left"/>
              <w:rPr>
                <w:rFonts w:ascii="仿宋" w:hAnsi="仿宋" w:eastAsia="仿宋" w:cs="宋体"/>
                <w:spacing w:val="14"/>
                <w:sz w:val="24"/>
                <w:szCs w:val="24"/>
              </w:rPr>
            </w:pPr>
            <w:r>
              <w:rPr>
                <w:rFonts w:hint="eastAsia" w:ascii="仿宋" w:hAnsi="仿宋" w:eastAsia="仿宋" w:cs="宋体"/>
                <w:spacing w:val="14"/>
                <w:sz w:val="24"/>
                <w:szCs w:val="24"/>
              </w:rPr>
              <w:t>提交响应文件截止时间后90天，有效期短于该期限的响应将被拒绝。</w:t>
            </w:r>
          </w:p>
        </w:tc>
      </w:tr>
      <w:tr w14:paraId="17EEC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638F8508">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3.4</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23994F2A">
            <w:pPr>
              <w:jc w:val="left"/>
              <w:rPr>
                <w:rFonts w:ascii="仿宋" w:hAnsi="仿宋" w:eastAsia="仿宋" w:cs="宋体"/>
                <w:spacing w:val="14"/>
                <w:sz w:val="24"/>
                <w:szCs w:val="24"/>
              </w:rPr>
            </w:pPr>
            <w:r>
              <w:rPr>
                <w:rFonts w:hint="eastAsia" w:ascii="仿宋" w:hAnsi="仿宋" w:eastAsia="仿宋" w:cs="宋体"/>
                <w:spacing w:val="14"/>
                <w:sz w:val="24"/>
                <w:szCs w:val="24"/>
              </w:rPr>
              <w:t>磋商保证金</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7FBFB294">
            <w:pPr>
              <w:jc w:val="left"/>
              <w:rPr>
                <w:rFonts w:ascii="仿宋" w:hAnsi="仿宋" w:eastAsia="仿宋" w:cs="宋体"/>
                <w:spacing w:val="14"/>
                <w:sz w:val="24"/>
                <w:szCs w:val="24"/>
              </w:rPr>
            </w:pPr>
            <w:r>
              <w:rPr>
                <w:rFonts w:hint="eastAsia" w:ascii="仿宋" w:hAnsi="仿宋" w:eastAsia="仿宋" w:cs="宋体"/>
                <w:spacing w:val="14"/>
                <w:sz w:val="24"/>
                <w:szCs w:val="24"/>
              </w:rPr>
              <w:t>本次采购免收磋商保证金。</w:t>
            </w:r>
          </w:p>
        </w:tc>
      </w:tr>
      <w:tr w14:paraId="64078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456FAC8C">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3.5.3</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58CB7603">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资格审查资料的特殊要求</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18B6949B">
            <w:pPr>
              <w:widowControl/>
              <w:ind w:firstLine="0"/>
              <w:jc w:val="left"/>
              <w:rPr>
                <w:rFonts w:ascii="仿宋" w:hAnsi="仿宋" w:eastAsia="仿宋" w:cs="宋体"/>
                <w:spacing w:val="14"/>
                <w:kern w:val="0"/>
                <w:sz w:val="24"/>
                <w:szCs w:val="24"/>
              </w:rPr>
            </w:pPr>
            <w:r>
              <w:rPr>
                <w:rFonts w:hint="eastAsia" w:ascii="MS Mincho" w:hAnsi="MS Mincho" w:eastAsia="MS Mincho" w:cs="MS Mincho"/>
                <w:spacing w:val="14"/>
                <w:kern w:val="0"/>
                <w:sz w:val="24"/>
                <w:szCs w:val="24"/>
              </w:rPr>
              <w:t>☑</w:t>
            </w:r>
            <w:r>
              <w:rPr>
                <w:rFonts w:hint="eastAsia" w:ascii="仿宋" w:hAnsi="仿宋" w:eastAsia="仿宋" w:cs="宋体"/>
                <w:spacing w:val="14"/>
                <w:kern w:val="0"/>
                <w:sz w:val="24"/>
                <w:szCs w:val="24"/>
              </w:rPr>
              <w:t>无</w:t>
            </w:r>
          </w:p>
          <w:p w14:paraId="6784EE7D">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□有，具体要求：/</w:t>
            </w:r>
          </w:p>
        </w:tc>
      </w:tr>
      <w:tr w14:paraId="72818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1AE4E8F8">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3.6.1</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0A891002">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是否允许提交备选方案</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519FA72F">
            <w:pPr>
              <w:widowControl/>
              <w:ind w:firstLine="0"/>
              <w:jc w:val="left"/>
              <w:rPr>
                <w:rFonts w:ascii="仿宋" w:hAnsi="仿宋" w:eastAsia="仿宋" w:cs="宋体"/>
                <w:spacing w:val="14"/>
                <w:kern w:val="0"/>
                <w:sz w:val="24"/>
                <w:szCs w:val="24"/>
              </w:rPr>
            </w:pPr>
            <w:r>
              <w:rPr>
                <w:rFonts w:hint="eastAsia" w:ascii="MS Mincho" w:hAnsi="MS Mincho" w:eastAsia="MS Mincho" w:cs="MS Mincho"/>
                <w:spacing w:val="14"/>
                <w:kern w:val="0"/>
                <w:sz w:val="24"/>
                <w:szCs w:val="24"/>
              </w:rPr>
              <w:t>☑</w:t>
            </w:r>
            <w:r>
              <w:rPr>
                <w:rFonts w:hint="eastAsia" w:ascii="仿宋" w:hAnsi="仿宋" w:eastAsia="仿宋" w:cs="宋体"/>
                <w:spacing w:val="14"/>
                <w:kern w:val="0"/>
                <w:sz w:val="24"/>
                <w:szCs w:val="24"/>
              </w:rPr>
              <w:t>不允许</w:t>
            </w:r>
          </w:p>
          <w:p w14:paraId="0F3F1AED">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□允许</w:t>
            </w:r>
          </w:p>
        </w:tc>
      </w:tr>
      <w:tr w14:paraId="0B4D4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6B2E9586">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4.2.1</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10835C01">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提交响应文件截止时间</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467D8246">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见第一章采购公告。</w:t>
            </w:r>
          </w:p>
        </w:tc>
      </w:tr>
      <w:tr w14:paraId="207E5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7CDDE551">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4.2.2</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70B6EB29">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提交响应文件地点</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4D9684CD">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见第一章采购公告。</w:t>
            </w:r>
          </w:p>
        </w:tc>
      </w:tr>
      <w:tr w14:paraId="70873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0F53117C">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4.2.3</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79419FA5">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响应文件份数及其他要求</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37B5B625">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加密的电子响应文件一份（*.lytf 格式）</w:t>
            </w:r>
          </w:p>
        </w:tc>
      </w:tr>
      <w:tr w14:paraId="63B25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4693E084">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4.2.5</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5E7DE056">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响应文件上传问题联系方式</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4F484052">
            <w:pPr>
              <w:widowControl/>
              <w:ind w:firstLine="0"/>
              <w:jc w:val="left"/>
              <w:rPr>
                <w:rFonts w:ascii="仿宋" w:hAnsi="仿宋" w:eastAsia="仿宋" w:cs="宋体"/>
                <w:kern w:val="0"/>
                <w:sz w:val="24"/>
                <w:szCs w:val="24"/>
              </w:rPr>
            </w:pPr>
            <w:r>
              <w:rPr>
                <w:rFonts w:hint="eastAsia" w:ascii="仿宋" w:hAnsi="仿宋" w:eastAsia="仿宋" w:cs="宋体"/>
                <w:spacing w:val="14"/>
                <w:kern w:val="0"/>
                <w:sz w:val="24"/>
                <w:szCs w:val="24"/>
              </w:rPr>
              <w:t>供应商因洛阳市电子招投标交易平台问题无法上传电子响应文件时，请在工作时间与交易中心联系。联系方式：400-998-0000；0379-69921055。</w:t>
            </w:r>
          </w:p>
        </w:tc>
      </w:tr>
      <w:tr w14:paraId="03237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239E1DD4">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4.2.6</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2760C3E4">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响应文件是否退还</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76A82492">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不退还。</w:t>
            </w:r>
          </w:p>
        </w:tc>
      </w:tr>
      <w:tr w14:paraId="777C8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51774FCB">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5.1</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03151D40">
            <w:pPr>
              <w:jc w:val="left"/>
              <w:rPr>
                <w:rFonts w:ascii="仿宋" w:hAnsi="仿宋" w:eastAsia="仿宋" w:cs="宋体"/>
                <w:spacing w:val="14"/>
                <w:sz w:val="24"/>
                <w:szCs w:val="24"/>
              </w:rPr>
            </w:pPr>
            <w:r>
              <w:rPr>
                <w:rFonts w:hint="eastAsia" w:ascii="仿宋" w:hAnsi="仿宋" w:eastAsia="仿宋" w:cs="宋体"/>
                <w:spacing w:val="14"/>
                <w:sz w:val="24"/>
                <w:szCs w:val="24"/>
              </w:rPr>
              <w:t>磋商开启时间和地点</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0175E997">
            <w:pPr>
              <w:jc w:val="left"/>
              <w:rPr>
                <w:rFonts w:ascii="仿宋" w:hAnsi="仿宋" w:eastAsia="仿宋" w:cs="宋体"/>
                <w:spacing w:val="14"/>
                <w:sz w:val="24"/>
                <w:szCs w:val="24"/>
              </w:rPr>
            </w:pPr>
            <w:r>
              <w:rPr>
                <w:rFonts w:hint="eastAsia" w:ascii="仿宋" w:hAnsi="仿宋" w:eastAsia="仿宋" w:cs="宋体"/>
                <w:spacing w:val="14"/>
                <w:sz w:val="24"/>
                <w:szCs w:val="24"/>
              </w:rPr>
              <w:t>开启时间：同提交响应文件截止时间</w:t>
            </w:r>
          </w:p>
          <w:p w14:paraId="3FC5A725">
            <w:pPr>
              <w:jc w:val="left"/>
              <w:rPr>
                <w:rFonts w:ascii="仿宋" w:hAnsi="仿宋" w:eastAsia="仿宋" w:cs="宋体"/>
                <w:spacing w:val="14"/>
                <w:sz w:val="24"/>
                <w:szCs w:val="24"/>
              </w:rPr>
            </w:pPr>
            <w:r>
              <w:rPr>
                <w:rFonts w:hint="eastAsia" w:ascii="仿宋" w:hAnsi="仿宋" w:eastAsia="仿宋" w:cs="宋体"/>
                <w:spacing w:val="14"/>
                <w:sz w:val="24"/>
                <w:szCs w:val="24"/>
              </w:rPr>
              <w:t>开启地点：同提交响应文件地点</w:t>
            </w:r>
          </w:p>
        </w:tc>
      </w:tr>
      <w:tr w14:paraId="61BBB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474E1A0E">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6.1.1</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2F25C019">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磋商小组的组建</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54841557">
            <w:pPr>
              <w:jc w:val="left"/>
              <w:rPr>
                <w:rFonts w:ascii="仿宋" w:hAnsi="仿宋" w:eastAsia="仿宋" w:cs="宋体"/>
                <w:spacing w:val="14"/>
                <w:sz w:val="24"/>
                <w:szCs w:val="24"/>
              </w:rPr>
            </w:pPr>
            <w:r>
              <w:rPr>
                <w:rFonts w:hint="eastAsia" w:ascii="仿宋" w:hAnsi="仿宋" w:eastAsia="仿宋" w:cs="宋体"/>
                <w:spacing w:val="14"/>
                <w:sz w:val="24"/>
                <w:szCs w:val="24"/>
              </w:rPr>
              <w:t>磋商小组构成：共3人，其中采购人代表1人，经济、技术专家2人。</w:t>
            </w:r>
          </w:p>
          <w:p w14:paraId="57043851">
            <w:pPr>
              <w:jc w:val="left"/>
              <w:rPr>
                <w:rFonts w:ascii="仿宋" w:hAnsi="仿宋" w:eastAsia="仿宋" w:cs="宋体"/>
                <w:spacing w:val="14"/>
                <w:sz w:val="24"/>
                <w:szCs w:val="24"/>
              </w:rPr>
            </w:pPr>
            <w:r>
              <w:rPr>
                <w:rFonts w:hint="eastAsia" w:ascii="仿宋" w:hAnsi="仿宋" w:eastAsia="仿宋" w:cs="宋体"/>
                <w:spacing w:val="14"/>
                <w:sz w:val="24"/>
                <w:szCs w:val="24"/>
              </w:rPr>
              <w:t>评标专家确定方式：河南省政府采购评审专家库随机抽取。</w:t>
            </w:r>
          </w:p>
        </w:tc>
      </w:tr>
      <w:tr w14:paraId="7CD13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72C576AE">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6.3.2</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3AE8487B">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磋商小组推荐成交候选人的人数</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62874FAF">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u w:val="single" w:color="000000"/>
              </w:rPr>
              <w:t xml:space="preserve"> 3 </w:t>
            </w:r>
            <w:r>
              <w:rPr>
                <w:rFonts w:hint="eastAsia" w:ascii="仿宋" w:hAnsi="仿宋" w:eastAsia="仿宋" w:cs="宋体"/>
                <w:spacing w:val="14"/>
                <w:kern w:val="0"/>
                <w:sz w:val="24"/>
                <w:szCs w:val="24"/>
              </w:rPr>
              <w:t>名</w:t>
            </w:r>
          </w:p>
        </w:tc>
      </w:tr>
      <w:tr w14:paraId="2E7E6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7604B6A4">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7.1.1</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4BA7665A">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是否授权磋商小组确定成交供应商</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3E992772">
            <w:pPr>
              <w:widowControl/>
              <w:ind w:firstLine="0"/>
              <w:jc w:val="left"/>
              <w:rPr>
                <w:rFonts w:ascii="仿宋" w:hAnsi="仿宋" w:eastAsia="仿宋" w:cs="宋体"/>
                <w:spacing w:val="14"/>
                <w:kern w:val="0"/>
                <w:sz w:val="24"/>
                <w:szCs w:val="24"/>
              </w:rPr>
            </w:pPr>
            <w:r>
              <w:rPr>
                <w:rFonts w:hint="eastAsia" w:ascii="MS Mincho" w:hAnsi="MS Mincho" w:eastAsia="MS Mincho" w:cs="MS Mincho"/>
                <w:spacing w:val="14"/>
                <w:kern w:val="0"/>
                <w:sz w:val="24"/>
                <w:szCs w:val="24"/>
              </w:rPr>
              <w:t>☑</w:t>
            </w:r>
            <w:r>
              <w:rPr>
                <w:rFonts w:hint="eastAsia" w:ascii="仿宋" w:hAnsi="仿宋" w:eastAsia="仿宋" w:cs="宋体"/>
                <w:spacing w:val="14"/>
                <w:kern w:val="0"/>
                <w:sz w:val="24"/>
                <w:szCs w:val="24"/>
              </w:rPr>
              <w:t>是</w:t>
            </w:r>
          </w:p>
          <w:p w14:paraId="19E36441">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□否</w:t>
            </w:r>
          </w:p>
        </w:tc>
      </w:tr>
      <w:tr w14:paraId="58527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3"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0596A0C8">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7.1.2</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1EDFE522">
            <w:pPr>
              <w:jc w:val="left"/>
              <w:rPr>
                <w:rFonts w:ascii="仿宋" w:hAnsi="仿宋" w:eastAsia="仿宋" w:cs="宋体"/>
                <w:spacing w:val="14"/>
                <w:sz w:val="24"/>
                <w:szCs w:val="24"/>
                <w:highlight w:val="none"/>
              </w:rPr>
            </w:pPr>
            <w:r>
              <w:rPr>
                <w:rFonts w:hint="eastAsia" w:ascii="仿宋" w:hAnsi="仿宋" w:eastAsia="仿宋" w:cs="宋体"/>
                <w:spacing w:val="14"/>
                <w:sz w:val="24"/>
                <w:szCs w:val="24"/>
                <w:highlight w:val="none"/>
              </w:rPr>
              <w:t>确定成交的原则</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7C10F5D0">
            <w:pPr>
              <w:jc w:val="left"/>
              <w:rPr>
                <w:rFonts w:hint="eastAsia" w:ascii="仿宋" w:hAnsi="仿宋" w:eastAsia="仿宋" w:cs="宋体"/>
                <w:spacing w:val="14"/>
                <w:sz w:val="24"/>
                <w:szCs w:val="24"/>
                <w:highlight w:val="none"/>
              </w:rPr>
            </w:pPr>
            <w:r>
              <w:rPr>
                <w:rFonts w:hint="eastAsia" w:ascii="仿宋" w:hAnsi="仿宋" w:eastAsia="仿宋" w:cs="宋体"/>
                <w:spacing w:val="14"/>
                <w:sz w:val="24"/>
                <w:szCs w:val="24"/>
                <w:highlight w:val="none"/>
              </w:rPr>
              <w:t>磋商小组根据评审排列顺序确定第一名、第二名、第三名为成交候选人，并确定第一名为成交人。得分相同的，按最终报价由低到高顺序排列。得分且最终报价相同的，按技术标得分由高到低的顺序排列。得分、报价、技术标均相等，则由磋商小组投票决定成交人及成交候选人排名。</w:t>
            </w:r>
          </w:p>
          <w:p w14:paraId="07F259DA">
            <w:pPr>
              <w:jc w:val="left"/>
              <w:rPr>
                <w:rFonts w:ascii="仿宋" w:hAnsi="仿宋" w:eastAsia="仿宋" w:cs="宋体"/>
                <w:spacing w:val="14"/>
                <w:sz w:val="24"/>
                <w:szCs w:val="24"/>
                <w:highlight w:val="none"/>
              </w:rPr>
            </w:pPr>
            <w:r>
              <w:rPr>
                <w:rFonts w:hint="eastAsia" w:ascii="仿宋" w:hAnsi="仿宋" w:eastAsia="仿宋" w:cs="宋体"/>
                <w:spacing w:val="14"/>
                <w:sz w:val="24"/>
                <w:szCs w:val="24"/>
                <w:highlight w:val="none"/>
              </w:rPr>
              <w:t>若第一名成交人因自身原因未能在规定的时间内与采购人签订合同，采购人有权取消其中标资格，并顺延第</w:t>
            </w:r>
            <w:r>
              <w:rPr>
                <w:rFonts w:hint="eastAsia" w:ascii="仿宋" w:hAnsi="仿宋" w:eastAsia="仿宋" w:cs="宋体"/>
                <w:spacing w:val="14"/>
                <w:sz w:val="24"/>
                <w:szCs w:val="24"/>
                <w:highlight w:val="none"/>
                <w:lang w:eastAsia="zh-CN"/>
              </w:rPr>
              <w:t>二</w:t>
            </w:r>
            <w:r>
              <w:rPr>
                <w:rFonts w:hint="eastAsia" w:ascii="仿宋" w:hAnsi="仿宋" w:eastAsia="仿宋" w:cs="宋体"/>
                <w:spacing w:val="14"/>
                <w:sz w:val="24"/>
                <w:szCs w:val="24"/>
                <w:highlight w:val="none"/>
              </w:rPr>
              <w:t>名成交候选人中标或重新进行招标采购，造成的一切损失由第</w:t>
            </w:r>
            <w:r>
              <w:rPr>
                <w:rFonts w:hint="eastAsia" w:ascii="仿宋" w:hAnsi="仿宋" w:eastAsia="仿宋" w:cs="宋体"/>
                <w:spacing w:val="14"/>
                <w:sz w:val="24"/>
                <w:szCs w:val="24"/>
                <w:highlight w:val="none"/>
                <w:lang w:eastAsia="zh-CN"/>
              </w:rPr>
              <w:t>一</w:t>
            </w:r>
            <w:r>
              <w:rPr>
                <w:rFonts w:hint="eastAsia" w:ascii="仿宋" w:hAnsi="仿宋" w:eastAsia="仿宋" w:cs="宋体"/>
                <w:spacing w:val="14"/>
                <w:sz w:val="24"/>
                <w:szCs w:val="24"/>
                <w:highlight w:val="none"/>
              </w:rPr>
              <w:t>名成交人承担，其失信行为将上报相关部门处理。</w:t>
            </w:r>
          </w:p>
        </w:tc>
      </w:tr>
      <w:tr w14:paraId="607F1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0C8B7A44">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7.2</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51346961">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成交结果公布媒介及期限</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5639DCDC">
            <w:pPr>
              <w:widowControl/>
              <w:ind w:firstLine="0"/>
              <w:jc w:val="left"/>
              <w:rPr>
                <w:rFonts w:hint="eastAsia" w:ascii="仿宋" w:hAnsi="仿宋" w:eastAsia="仿宋" w:cs="宋体"/>
                <w:spacing w:val="14"/>
                <w:kern w:val="0"/>
                <w:sz w:val="24"/>
                <w:szCs w:val="24"/>
              </w:rPr>
            </w:pPr>
            <w:r>
              <w:rPr>
                <w:rFonts w:hint="eastAsia" w:ascii="仿宋" w:hAnsi="仿宋" w:eastAsia="仿宋" w:cs="宋体"/>
                <w:spacing w:val="14"/>
                <w:kern w:val="0"/>
                <w:sz w:val="24"/>
                <w:szCs w:val="24"/>
              </w:rPr>
              <w:t>公布媒介：同竞争性磋商公告</w:t>
            </w:r>
          </w:p>
          <w:p w14:paraId="7CA6D4E3">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公告期限：1个工作日</w:t>
            </w:r>
          </w:p>
        </w:tc>
      </w:tr>
      <w:tr w14:paraId="4326C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7DEA90AA">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7.4.1</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05497795">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履约保证金</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7F866B85">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免收履约保证金</w:t>
            </w:r>
          </w:p>
        </w:tc>
      </w:tr>
      <w:tr w14:paraId="3E8CD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6D2A0A1C">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8.5.2</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3E7EA3F0">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质疑函的递交方式</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72BD28AC">
            <w:pPr>
              <w:jc w:val="left"/>
              <w:rPr>
                <w:rFonts w:ascii="仿宋" w:hAnsi="仿宋" w:eastAsia="仿宋" w:cs="宋体"/>
                <w:spacing w:val="14"/>
                <w:sz w:val="24"/>
                <w:szCs w:val="24"/>
              </w:rPr>
            </w:pPr>
            <w:r>
              <w:rPr>
                <w:rFonts w:hint="eastAsia" w:ascii="仿宋" w:hAnsi="仿宋" w:eastAsia="仿宋" w:cs="宋体"/>
                <w:spacing w:val="14"/>
                <w:sz w:val="24"/>
                <w:szCs w:val="24"/>
              </w:rPr>
              <w:t>质疑函应当面递交；因情况特殊而邮寄的，交邮前应通知采购人、采购代理机构。接受质疑函的采购人、采购代理机构的联系部门、联系电话和通讯地址详见本项目采购公告和供应商须知前附表。也可通过交易平台对参与投标的项目向招标采购代理机构发送异议，代理机构通过交易平台给予答复。</w:t>
            </w:r>
          </w:p>
        </w:tc>
      </w:tr>
      <w:tr w14:paraId="0D840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7BEC1D70">
            <w:pPr>
              <w:widowControl/>
              <w:ind w:firstLine="0"/>
              <w:jc w:val="center"/>
              <w:rPr>
                <w:rFonts w:hint="eastAsia" w:ascii="仿宋" w:hAnsi="仿宋" w:eastAsia="仿宋" w:cs="宋体"/>
                <w:spacing w:val="14"/>
                <w:kern w:val="0"/>
                <w:sz w:val="24"/>
                <w:szCs w:val="24"/>
              </w:rPr>
            </w:pPr>
            <w:r>
              <w:rPr>
                <w:rFonts w:hint="eastAsia" w:ascii="仿宋" w:hAnsi="仿宋" w:eastAsia="仿宋" w:cs="宋体"/>
                <w:spacing w:val="14"/>
                <w:kern w:val="0"/>
                <w:sz w:val="24"/>
                <w:szCs w:val="24"/>
              </w:rPr>
              <w:t>9</w:t>
            </w:r>
          </w:p>
        </w:tc>
        <w:tc>
          <w:tcPr>
            <w:tcW w:w="8234" w:type="dxa"/>
            <w:gridSpan w:val="2"/>
            <w:tcBorders>
              <w:top w:val="single" w:color="auto" w:sz="4" w:space="0"/>
              <w:left w:val="nil"/>
              <w:bottom w:val="single" w:color="auto" w:sz="4" w:space="0"/>
              <w:right w:val="single" w:color="auto" w:sz="4" w:space="0"/>
            </w:tcBorders>
            <w:noWrap w:val="0"/>
            <w:vAlign w:val="center"/>
          </w:tcPr>
          <w:p w14:paraId="04FCC3B1">
            <w:pPr>
              <w:widowControl/>
              <w:ind w:firstLine="0"/>
              <w:jc w:val="center"/>
              <w:rPr>
                <w:rFonts w:hint="eastAsia" w:ascii="仿宋" w:hAnsi="仿宋" w:eastAsia="仿宋" w:cs="宋体"/>
                <w:spacing w:val="14"/>
                <w:kern w:val="0"/>
                <w:sz w:val="24"/>
                <w:szCs w:val="24"/>
              </w:rPr>
            </w:pPr>
            <w:r>
              <w:rPr>
                <w:rFonts w:hint="eastAsia" w:ascii="仿宋" w:hAnsi="仿宋" w:eastAsia="仿宋" w:cs="宋体"/>
                <w:spacing w:val="14"/>
                <w:kern w:val="0"/>
                <w:sz w:val="24"/>
                <w:szCs w:val="24"/>
              </w:rPr>
              <w:t>需要补充的其他内容</w:t>
            </w:r>
          </w:p>
        </w:tc>
      </w:tr>
      <w:tr w14:paraId="31C2F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4473530B">
            <w:pPr>
              <w:widowControl/>
              <w:ind w:firstLine="0"/>
              <w:jc w:val="center"/>
              <w:rPr>
                <w:rFonts w:hint="default" w:ascii="仿宋" w:hAnsi="仿宋" w:eastAsia="仿宋" w:cs="宋体"/>
                <w:spacing w:val="14"/>
                <w:kern w:val="0"/>
                <w:sz w:val="24"/>
                <w:szCs w:val="24"/>
                <w:lang w:val="en-US" w:eastAsia="zh-CN"/>
              </w:rPr>
            </w:pPr>
            <w:r>
              <w:rPr>
                <w:rFonts w:hint="eastAsia" w:ascii="仿宋" w:hAnsi="仿宋" w:eastAsia="仿宋" w:cs="宋体"/>
                <w:spacing w:val="14"/>
                <w:kern w:val="0"/>
                <w:sz w:val="24"/>
                <w:szCs w:val="24"/>
                <w:lang w:eastAsia="zh-CN"/>
              </w:rPr>
              <w:t>9</w:t>
            </w:r>
            <w:r>
              <w:rPr>
                <w:rFonts w:hint="eastAsia" w:ascii="仿宋" w:hAnsi="仿宋" w:eastAsia="仿宋" w:cs="宋体"/>
                <w:spacing w:val="14"/>
                <w:kern w:val="0"/>
                <w:sz w:val="24"/>
                <w:szCs w:val="24"/>
                <w:lang w:val="en-US" w:eastAsia="zh-CN"/>
              </w:rPr>
              <w:t>.1</w:t>
            </w:r>
          </w:p>
        </w:tc>
        <w:tc>
          <w:tcPr>
            <w:tcW w:w="2835" w:type="dxa"/>
            <w:tcBorders>
              <w:top w:val="single" w:color="auto" w:sz="4" w:space="0"/>
              <w:left w:val="nil"/>
              <w:bottom w:val="single" w:color="auto" w:sz="4" w:space="0"/>
              <w:right w:val="single" w:color="auto" w:sz="4" w:space="0"/>
            </w:tcBorders>
            <w:noWrap w:val="0"/>
            <w:vAlign w:val="center"/>
          </w:tcPr>
          <w:p w14:paraId="45FD02A0">
            <w:pPr>
              <w:widowControl/>
              <w:ind w:firstLine="0"/>
              <w:jc w:val="left"/>
              <w:rPr>
                <w:rFonts w:hint="eastAsia" w:ascii="仿宋" w:hAnsi="仿宋" w:eastAsia="仿宋" w:cs="宋体"/>
                <w:spacing w:val="14"/>
                <w:kern w:val="0"/>
                <w:sz w:val="24"/>
                <w:szCs w:val="24"/>
                <w:lang w:val="en-US" w:eastAsia="zh-CN"/>
              </w:rPr>
            </w:pPr>
            <w:r>
              <w:rPr>
                <w:rFonts w:hint="eastAsia" w:ascii="仿宋" w:hAnsi="仿宋" w:eastAsia="仿宋" w:cs="宋体"/>
                <w:spacing w:val="14"/>
                <w:kern w:val="0"/>
                <w:sz w:val="24"/>
                <w:szCs w:val="24"/>
              </w:rPr>
              <w:t>样品</w:t>
            </w:r>
          </w:p>
        </w:tc>
        <w:tc>
          <w:tcPr>
            <w:tcW w:w="5399" w:type="dxa"/>
            <w:tcBorders>
              <w:top w:val="single" w:color="auto" w:sz="4" w:space="0"/>
              <w:left w:val="nil"/>
              <w:bottom w:val="single" w:color="auto" w:sz="4" w:space="0"/>
              <w:right w:val="single" w:color="auto" w:sz="4" w:space="0"/>
            </w:tcBorders>
            <w:noWrap w:val="0"/>
            <w:vAlign w:val="center"/>
          </w:tcPr>
          <w:p w14:paraId="00C06280">
            <w:pPr>
              <w:widowControl/>
              <w:ind w:firstLine="0"/>
              <w:jc w:val="left"/>
              <w:rPr>
                <w:rFonts w:hint="default" w:ascii="仿宋" w:hAnsi="仿宋" w:eastAsia="仿宋" w:cs="宋体"/>
                <w:spacing w:val="14"/>
                <w:kern w:val="0"/>
                <w:sz w:val="24"/>
                <w:szCs w:val="24"/>
                <w:lang w:val="en-US" w:eastAsia="zh-CN"/>
              </w:rPr>
            </w:pPr>
            <w:r>
              <w:rPr>
                <w:rFonts w:hint="eastAsia" w:ascii="仿宋" w:hAnsi="仿宋" w:eastAsia="仿宋" w:cs="宋体"/>
                <w:spacing w:val="14"/>
                <w:kern w:val="0"/>
                <w:sz w:val="24"/>
                <w:szCs w:val="24"/>
                <w:lang w:val="en-US" w:eastAsia="zh-CN"/>
              </w:rPr>
              <w:t>/</w:t>
            </w:r>
          </w:p>
        </w:tc>
      </w:tr>
      <w:tr w14:paraId="65BD9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39116D28">
            <w:pPr>
              <w:widowControl/>
              <w:ind w:firstLine="0"/>
              <w:jc w:val="center"/>
              <w:rPr>
                <w:rFonts w:hint="default" w:ascii="仿宋" w:hAnsi="仿宋" w:eastAsia="仿宋" w:cs="宋体"/>
                <w:spacing w:val="14"/>
                <w:kern w:val="0"/>
                <w:sz w:val="24"/>
                <w:szCs w:val="24"/>
                <w:lang w:val="en-US" w:eastAsia="zh-CN"/>
              </w:rPr>
            </w:pPr>
            <w:r>
              <w:rPr>
                <w:rFonts w:hint="eastAsia" w:ascii="仿宋" w:hAnsi="仿宋" w:eastAsia="仿宋" w:cs="宋体"/>
                <w:spacing w:val="14"/>
                <w:kern w:val="0"/>
                <w:sz w:val="24"/>
                <w:szCs w:val="24"/>
                <w:lang w:val="en-US" w:eastAsia="zh-CN"/>
              </w:rPr>
              <w:t>9.2</w:t>
            </w:r>
          </w:p>
        </w:tc>
        <w:tc>
          <w:tcPr>
            <w:tcW w:w="2835" w:type="dxa"/>
            <w:tcBorders>
              <w:top w:val="single" w:color="auto" w:sz="4" w:space="0"/>
              <w:left w:val="nil"/>
              <w:bottom w:val="single" w:color="auto" w:sz="4" w:space="0"/>
              <w:right w:val="single" w:color="auto" w:sz="4" w:space="0"/>
            </w:tcBorders>
            <w:noWrap w:val="0"/>
            <w:vAlign w:val="center"/>
          </w:tcPr>
          <w:p w14:paraId="6F2BC9B8">
            <w:pPr>
              <w:widowControl/>
              <w:ind w:firstLine="0"/>
              <w:jc w:val="left"/>
              <w:rPr>
                <w:rFonts w:hint="eastAsia" w:ascii="仿宋" w:hAnsi="仿宋" w:eastAsia="仿宋" w:cs="宋体"/>
                <w:spacing w:val="14"/>
                <w:kern w:val="0"/>
                <w:sz w:val="24"/>
                <w:szCs w:val="24"/>
                <w:lang w:val="en-US" w:eastAsia="zh-CN"/>
              </w:rPr>
            </w:pPr>
            <w:r>
              <w:rPr>
                <w:rFonts w:hint="eastAsia" w:ascii="仿宋" w:hAnsi="仿宋" w:eastAsia="仿宋" w:cs="宋体"/>
                <w:spacing w:val="14"/>
                <w:kern w:val="0"/>
                <w:sz w:val="24"/>
                <w:szCs w:val="24"/>
              </w:rPr>
              <w:t>相同品牌产品的处理</w:t>
            </w:r>
          </w:p>
        </w:tc>
        <w:tc>
          <w:tcPr>
            <w:tcW w:w="5399" w:type="dxa"/>
            <w:tcBorders>
              <w:top w:val="single" w:color="auto" w:sz="4" w:space="0"/>
              <w:left w:val="nil"/>
              <w:bottom w:val="single" w:color="auto" w:sz="4" w:space="0"/>
              <w:right w:val="single" w:color="auto" w:sz="4" w:space="0"/>
            </w:tcBorders>
            <w:noWrap w:val="0"/>
            <w:vAlign w:val="center"/>
          </w:tcPr>
          <w:p w14:paraId="6961F470">
            <w:pPr>
              <w:widowControl/>
              <w:ind w:firstLine="0"/>
              <w:jc w:val="left"/>
              <w:rPr>
                <w:rFonts w:hint="eastAsia" w:ascii="仿宋" w:hAnsi="仿宋" w:eastAsia="仿宋" w:cs="宋体"/>
                <w:spacing w:val="14"/>
                <w:kern w:val="0"/>
                <w:sz w:val="24"/>
                <w:szCs w:val="24"/>
                <w:lang w:eastAsia="zh-CN"/>
              </w:rPr>
            </w:pPr>
            <w:r>
              <w:rPr>
                <w:rFonts w:hint="eastAsia" w:ascii="仿宋" w:hAnsi="仿宋" w:eastAsia="仿宋" w:cs="宋体"/>
                <w:spacing w:val="14"/>
                <w:kern w:val="0"/>
                <w:sz w:val="24"/>
                <w:szCs w:val="24"/>
              </w:rPr>
              <w:t>提供相同品牌产品且通过资格性审查、符合性审查的不同供应商参加同一包的，按一家供应商计算，评审后得分最高的同品牌供应商获得成交供应商推荐资格；评审得分相同的，最后报价最低的供应商获得成交供应商推荐资格，最后报价也相同的，由磋商小组投票决定。非单一产品采购项目中，多家供应商提供的核心产品品牌相同的，视为提供相同品牌产品。</w:t>
            </w:r>
          </w:p>
          <w:p w14:paraId="24FCFFDB">
            <w:pPr>
              <w:widowControl/>
              <w:ind w:firstLine="0"/>
              <w:jc w:val="left"/>
              <w:rPr>
                <w:rFonts w:hint="eastAsia" w:ascii="仿宋" w:hAnsi="仿宋" w:eastAsia="仿宋" w:cs="宋体"/>
                <w:spacing w:val="14"/>
                <w:kern w:val="0"/>
                <w:sz w:val="24"/>
                <w:szCs w:val="24"/>
                <w:lang w:val="en-US" w:eastAsia="zh-CN"/>
              </w:rPr>
            </w:pPr>
            <w:r>
              <w:rPr>
                <w:rFonts w:hint="eastAsia" w:ascii="仿宋" w:hAnsi="仿宋" w:eastAsia="仿宋" w:cs="宋体"/>
                <w:spacing w:val="14"/>
                <w:kern w:val="0"/>
                <w:sz w:val="24"/>
                <w:szCs w:val="24"/>
                <w:highlight w:val="none"/>
              </w:rPr>
              <w:t>本次</w:t>
            </w:r>
            <w:r>
              <w:rPr>
                <w:rFonts w:hint="eastAsia" w:ascii="仿宋" w:hAnsi="仿宋" w:eastAsia="仿宋" w:cs="宋体"/>
                <w:spacing w:val="14"/>
                <w:kern w:val="0"/>
                <w:sz w:val="24"/>
                <w:szCs w:val="24"/>
                <w:highlight w:val="none"/>
                <w:lang w:eastAsia="zh-CN"/>
              </w:rPr>
              <w:t>采购</w:t>
            </w:r>
            <w:r>
              <w:rPr>
                <w:rFonts w:hint="eastAsia" w:ascii="仿宋" w:hAnsi="仿宋" w:eastAsia="仿宋" w:cs="宋体"/>
                <w:spacing w:val="14"/>
                <w:kern w:val="0"/>
                <w:sz w:val="24"/>
                <w:szCs w:val="24"/>
                <w:highlight w:val="none"/>
              </w:rPr>
              <w:t>项目的核心产品为</w:t>
            </w:r>
            <w:r>
              <w:rPr>
                <w:rFonts w:hint="eastAsia" w:ascii="仿宋" w:hAnsi="仿宋" w:eastAsia="仿宋" w:cs="宋体"/>
                <w:spacing w:val="14"/>
                <w:kern w:val="0"/>
                <w:sz w:val="24"/>
                <w:szCs w:val="24"/>
                <w:highlight w:val="none"/>
                <w:lang w:eastAsia="zh-CN"/>
              </w:rPr>
              <w:t>：/</w:t>
            </w:r>
          </w:p>
        </w:tc>
      </w:tr>
      <w:tr w14:paraId="0F0D2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42CDC774">
            <w:pPr>
              <w:widowControl/>
              <w:ind w:firstLine="0"/>
              <w:jc w:val="center"/>
              <w:rPr>
                <w:rFonts w:hint="default" w:ascii="仿宋" w:hAnsi="仿宋" w:eastAsia="仿宋" w:cs="宋体"/>
                <w:spacing w:val="14"/>
                <w:kern w:val="0"/>
                <w:sz w:val="24"/>
                <w:szCs w:val="24"/>
                <w:lang w:val="en-US" w:eastAsia="zh-CN"/>
              </w:rPr>
            </w:pPr>
            <w:r>
              <w:rPr>
                <w:rFonts w:hint="eastAsia" w:ascii="仿宋" w:hAnsi="仿宋" w:eastAsia="仿宋" w:cs="宋体"/>
                <w:spacing w:val="14"/>
                <w:kern w:val="0"/>
                <w:sz w:val="24"/>
                <w:szCs w:val="24"/>
                <w:lang w:val="en-US" w:eastAsia="zh-CN"/>
              </w:rPr>
              <w:t>9.3</w:t>
            </w:r>
          </w:p>
        </w:tc>
        <w:tc>
          <w:tcPr>
            <w:tcW w:w="2835" w:type="dxa"/>
            <w:tcBorders>
              <w:top w:val="single" w:color="auto" w:sz="4" w:space="0"/>
              <w:left w:val="nil"/>
              <w:bottom w:val="single" w:color="auto" w:sz="4" w:space="0"/>
              <w:right w:val="single" w:color="auto" w:sz="4" w:space="0"/>
            </w:tcBorders>
            <w:noWrap w:val="0"/>
            <w:vAlign w:val="center"/>
          </w:tcPr>
          <w:p w14:paraId="53961282">
            <w:pPr>
              <w:widowControl/>
              <w:ind w:firstLine="0"/>
              <w:rPr>
                <w:rFonts w:hint="eastAsia" w:ascii="仿宋" w:hAnsi="仿宋" w:eastAsia="仿宋"/>
                <w:spacing w:val="14"/>
                <w:kern w:val="0"/>
                <w:sz w:val="24"/>
                <w:szCs w:val="24"/>
              </w:rPr>
            </w:pPr>
            <w:r>
              <w:rPr>
                <w:rFonts w:hint="eastAsia" w:ascii="仿宋" w:hAnsi="仿宋" w:eastAsia="仿宋"/>
                <w:spacing w:val="14"/>
                <w:kern w:val="0"/>
                <w:sz w:val="24"/>
                <w:szCs w:val="24"/>
              </w:rPr>
              <w:t>代理服务费</w:t>
            </w:r>
          </w:p>
        </w:tc>
        <w:tc>
          <w:tcPr>
            <w:tcW w:w="5399" w:type="dxa"/>
            <w:tcBorders>
              <w:top w:val="single" w:color="auto" w:sz="4" w:space="0"/>
              <w:left w:val="nil"/>
              <w:bottom w:val="single" w:color="auto" w:sz="4" w:space="0"/>
              <w:right w:val="single" w:color="auto" w:sz="4" w:space="0"/>
            </w:tcBorders>
            <w:noWrap w:val="0"/>
            <w:vAlign w:val="center"/>
          </w:tcPr>
          <w:p w14:paraId="673DA80A">
            <w:pPr>
              <w:adjustRightInd w:val="0"/>
              <w:snapToGrid w:val="0"/>
              <w:spacing w:line="360" w:lineRule="auto"/>
              <w:rPr>
                <w:rFonts w:hint="eastAsia" w:ascii="仿宋" w:hAnsi="仿宋" w:eastAsia="仿宋" w:cs="Times New Roman"/>
                <w:spacing w:val="14"/>
                <w:sz w:val="24"/>
                <w:szCs w:val="24"/>
              </w:rPr>
            </w:pPr>
            <w:r>
              <w:rPr>
                <w:rFonts w:hint="eastAsia" w:ascii="仿宋" w:hAnsi="仿宋" w:eastAsia="仿宋" w:cs="Times New Roman"/>
                <w:spacing w:val="14"/>
                <w:sz w:val="24"/>
                <w:szCs w:val="24"/>
                <w:highlight w:val="none"/>
              </w:rPr>
              <w:t>本次招标代理服务费收费标准参照河南省招标投标协会豫招协[2023]002号文《河南省招标代理服务收费指导意见》规定的收费标准收取，由成交人在领取成交通知书前一次性支付给代理机构。此费用由供应商在响应报价中综合考虑。</w:t>
            </w:r>
          </w:p>
        </w:tc>
      </w:tr>
      <w:tr w14:paraId="2A0D8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19461111">
            <w:pPr>
              <w:widowControl/>
              <w:ind w:firstLine="0"/>
              <w:jc w:val="center"/>
              <w:rPr>
                <w:rFonts w:hint="default" w:ascii="仿宋" w:hAnsi="仿宋" w:eastAsia="仿宋" w:cs="宋体"/>
                <w:spacing w:val="14"/>
                <w:kern w:val="0"/>
                <w:sz w:val="24"/>
                <w:szCs w:val="24"/>
                <w:lang w:val="en-US" w:eastAsia="zh-CN"/>
              </w:rPr>
            </w:pPr>
            <w:r>
              <w:rPr>
                <w:rFonts w:hint="eastAsia" w:ascii="仿宋" w:hAnsi="仿宋" w:eastAsia="仿宋" w:cs="宋体"/>
                <w:spacing w:val="14"/>
                <w:kern w:val="0"/>
                <w:sz w:val="24"/>
                <w:szCs w:val="24"/>
                <w:lang w:val="en-US" w:eastAsia="zh-CN"/>
              </w:rPr>
              <w:t>9.4</w:t>
            </w:r>
          </w:p>
        </w:tc>
        <w:tc>
          <w:tcPr>
            <w:tcW w:w="2835" w:type="dxa"/>
            <w:tcBorders>
              <w:top w:val="single" w:color="auto" w:sz="4" w:space="0"/>
              <w:left w:val="nil"/>
              <w:bottom w:val="single" w:color="auto" w:sz="4" w:space="0"/>
              <w:right w:val="single" w:color="auto" w:sz="4" w:space="0"/>
            </w:tcBorders>
            <w:noWrap w:val="0"/>
            <w:vAlign w:val="center"/>
          </w:tcPr>
          <w:p w14:paraId="1D34F39C">
            <w:pPr>
              <w:widowControl/>
              <w:ind w:firstLine="0"/>
              <w:rPr>
                <w:rFonts w:hint="eastAsia" w:ascii="仿宋" w:hAnsi="仿宋" w:eastAsia="仿宋"/>
                <w:spacing w:val="14"/>
                <w:kern w:val="0"/>
                <w:sz w:val="24"/>
                <w:szCs w:val="24"/>
              </w:rPr>
            </w:pPr>
            <w:r>
              <w:rPr>
                <w:rFonts w:hint="eastAsia" w:ascii="仿宋" w:hAnsi="仿宋" w:eastAsia="仿宋"/>
                <w:spacing w:val="14"/>
                <w:kern w:val="0"/>
                <w:sz w:val="24"/>
                <w:szCs w:val="24"/>
              </w:rPr>
              <w:t>监督部门及电话</w:t>
            </w:r>
          </w:p>
        </w:tc>
        <w:tc>
          <w:tcPr>
            <w:tcW w:w="5399" w:type="dxa"/>
            <w:tcBorders>
              <w:top w:val="single" w:color="auto" w:sz="4" w:space="0"/>
              <w:left w:val="nil"/>
              <w:bottom w:val="single" w:color="auto" w:sz="4" w:space="0"/>
              <w:right w:val="single" w:color="auto" w:sz="4" w:space="0"/>
            </w:tcBorders>
            <w:noWrap w:val="0"/>
            <w:vAlign w:val="center"/>
          </w:tcPr>
          <w:p w14:paraId="3549C3A8">
            <w:pPr>
              <w:adjustRightInd w:val="0"/>
              <w:snapToGrid w:val="0"/>
              <w:spacing w:line="360" w:lineRule="auto"/>
              <w:rPr>
                <w:rFonts w:hint="eastAsia" w:ascii="仿宋" w:hAnsi="仿宋" w:eastAsia="仿宋" w:cs="Times New Roman"/>
                <w:spacing w:val="14"/>
                <w:sz w:val="24"/>
                <w:szCs w:val="24"/>
              </w:rPr>
            </w:pPr>
            <w:r>
              <w:rPr>
                <w:rFonts w:hint="eastAsia" w:ascii="仿宋" w:hAnsi="仿宋" w:eastAsia="仿宋" w:cs="Times New Roman"/>
                <w:spacing w:val="14"/>
                <w:sz w:val="24"/>
                <w:szCs w:val="24"/>
              </w:rPr>
              <w:t>监管部门：洛阳市财政局</w:t>
            </w:r>
          </w:p>
          <w:p w14:paraId="7D028B18">
            <w:pPr>
              <w:adjustRightInd w:val="0"/>
              <w:snapToGrid w:val="0"/>
              <w:spacing w:line="360" w:lineRule="auto"/>
              <w:rPr>
                <w:rFonts w:hint="eastAsia" w:ascii="仿宋" w:hAnsi="仿宋" w:eastAsia="仿宋" w:cs="Times New Roman"/>
                <w:spacing w:val="14"/>
                <w:sz w:val="24"/>
                <w:szCs w:val="24"/>
              </w:rPr>
            </w:pPr>
            <w:r>
              <w:rPr>
                <w:rFonts w:hint="eastAsia" w:ascii="仿宋" w:hAnsi="仿宋" w:eastAsia="仿宋" w:cs="Times New Roman"/>
                <w:spacing w:val="14"/>
                <w:sz w:val="24"/>
                <w:szCs w:val="24"/>
              </w:rPr>
              <w:t>监管部门联系人：洛阳市财政局政府采购科</w:t>
            </w:r>
          </w:p>
          <w:p w14:paraId="42389EB0">
            <w:pPr>
              <w:adjustRightInd w:val="0"/>
              <w:snapToGrid w:val="0"/>
              <w:spacing w:line="360" w:lineRule="auto"/>
              <w:rPr>
                <w:rFonts w:hint="eastAsia" w:ascii="仿宋" w:hAnsi="仿宋" w:eastAsia="仿宋" w:cs="Times New Roman"/>
                <w:spacing w:val="14"/>
                <w:sz w:val="24"/>
                <w:szCs w:val="24"/>
              </w:rPr>
            </w:pPr>
            <w:r>
              <w:rPr>
                <w:rFonts w:hint="eastAsia" w:ascii="仿宋" w:hAnsi="仿宋" w:eastAsia="仿宋" w:cs="Times New Roman"/>
                <w:spacing w:val="14"/>
                <w:sz w:val="24"/>
                <w:szCs w:val="24"/>
              </w:rPr>
              <w:t>监管部门联系方式：0379-63259707</w:t>
            </w:r>
          </w:p>
        </w:tc>
      </w:tr>
      <w:tr w14:paraId="5BB6A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3"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24967E21">
            <w:pPr>
              <w:jc w:val="center"/>
              <w:rPr>
                <w:rFonts w:hint="eastAsia" w:ascii="仿宋" w:hAnsi="仿宋" w:eastAsia="仿宋" w:cs="Times New Roman"/>
                <w:b w:val="0"/>
                <w:bCs w:val="0"/>
                <w:spacing w:val="14"/>
                <w:kern w:val="0"/>
                <w:sz w:val="24"/>
                <w:szCs w:val="24"/>
                <w:lang w:eastAsia="zh-CN"/>
              </w:rPr>
            </w:pPr>
            <w:r>
              <w:rPr>
                <w:rFonts w:hint="eastAsia" w:ascii="仿宋" w:hAnsi="仿宋" w:eastAsia="仿宋" w:cs="Times New Roman"/>
                <w:b w:val="0"/>
                <w:bCs w:val="0"/>
                <w:spacing w:val="14"/>
                <w:kern w:val="0"/>
                <w:sz w:val="24"/>
                <w:szCs w:val="24"/>
              </w:rPr>
              <w:t>9.</w:t>
            </w:r>
            <w:r>
              <w:rPr>
                <w:rFonts w:hint="eastAsia" w:ascii="仿宋" w:hAnsi="仿宋" w:eastAsia="仿宋" w:cs="Times New Roman"/>
                <w:b w:val="0"/>
                <w:bCs w:val="0"/>
                <w:spacing w:val="14"/>
                <w:kern w:val="0"/>
                <w:sz w:val="24"/>
                <w:szCs w:val="24"/>
                <w:lang w:val="en-US" w:eastAsia="zh-CN"/>
              </w:rPr>
              <w:t>5</w:t>
            </w:r>
          </w:p>
        </w:tc>
        <w:tc>
          <w:tcPr>
            <w:tcW w:w="2835" w:type="dxa"/>
            <w:tcBorders>
              <w:top w:val="single" w:color="auto" w:sz="4" w:space="0"/>
              <w:left w:val="nil"/>
              <w:bottom w:val="single" w:color="auto" w:sz="4" w:space="0"/>
              <w:right w:val="single" w:color="auto" w:sz="4" w:space="0"/>
            </w:tcBorders>
            <w:noWrap w:val="0"/>
            <w:vAlign w:val="center"/>
          </w:tcPr>
          <w:p w14:paraId="0FC1D9D9">
            <w:pPr>
              <w:rPr>
                <w:rFonts w:hint="default" w:ascii="仿宋" w:hAnsi="仿宋" w:eastAsia="仿宋" w:cs="Times New Roman"/>
                <w:b w:val="0"/>
                <w:bCs w:val="0"/>
                <w:spacing w:val="14"/>
                <w:kern w:val="0"/>
                <w:sz w:val="24"/>
                <w:szCs w:val="24"/>
                <w:lang w:val="en-US" w:eastAsia="zh-CN"/>
              </w:rPr>
            </w:pPr>
            <w:r>
              <w:rPr>
                <w:rFonts w:hint="default" w:ascii="仿宋" w:hAnsi="仿宋" w:eastAsia="仿宋" w:cs="Times New Roman"/>
                <w:b w:val="0"/>
                <w:bCs w:val="0"/>
                <w:spacing w:val="14"/>
                <w:kern w:val="0"/>
                <w:sz w:val="24"/>
                <w:szCs w:val="24"/>
                <w:lang w:val="en-US" w:eastAsia="zh-CN"/>
              </w:rPr>
              <w:t>其他</w:t>
            </w:r>
          </w:p>
        </w:tc>
        <w:tc>
          <w:tcPr>
            <w:tcW w:w="5399" w:type="dxa"/>
            <w:tcBorders>
              <w:top w:val="single" w:color="auto" w:sz="4" w:space="0"/>
              <w:left w:val="nil"/>
              <w:bottom w:val="single" w:color="auto" w:sz="4" w:space="0"/>
              <w:right w:val="single" w:color="auto" w:sz="4" w:space="0"/>
            </w:tcBorders>
            <w:noWrap w:val="0"/>
            <w:vAlign w:val="center"/>
          </w:tcPr>
          <w:p w14:paraId="013CBDC4">
            <w:pPr>
              <w:adjustRightInd/>
              <w:snapToGrid/>
              <w:spacing w:line="240" w:lineRule="auto"/>
              <w:ind w:firstLine="0" w:firstLineChars="0"/>
              <w:jc w:val="left"/>
              <w:rPr>
                <w:rFonts w:hint="eastAsia" w:ascii="仿宋" w:hAnsi="仿宋" w:eastAsia="仿宋" w:cs="Times New Roman"/>
                <w:b/>
                <w:bCs/>
                <w:spacing w:val="14"/>
                <w:kern w:val="0"/>
                <w:sz w:val="24"/>
                <w:szCs w:val="24"/>
                <w:highlight w:val="none"/>
                <w:lang w:val="en-US" w:eastAsia="zh-CN"/>
              </w:rPr>
            </w:pPr>
            <w:r>
              <w:rPr>
                <w:rFonts w:hint="eastAsia" w:ascii="仿宋" w:hAnsi="仿宋" w:eastAsia="仿宋"/>
                <w:b w:val="0"/>
                <w:bCs w:val="0"/>
                <w:spacing w:val="14"/>
                <w:sz w:val="24"/>
                <w:szCs w:val="24"/>
                <w:lang w:val="en-US" w:eastAsia="zh-CN"/>
              </w:rPr>
              <w:t>1、</w:t>
            </w:r>
            <w:r>
              <w:rPr>
                <w:rFonts w:hint="eastAsia" w:ascii="仿宋" w:hAnsi="仿宋" w:eastAsia="仿宋"/>
                <w:b w:val="0"/>
                <w:bCs w:val="0"/>
                <w:spacing w:val="14"/>
                <w:sz w:val="24"/>
                <w:szCs w:val="24"/>
              </w:rPr>
              <w:t>根据《中小企业划型标准规定》（工信部联企</w:t>
            </w:r>
            <w:r>
              <w:rPr>
                <w:rFonts w:hint="eastAsia" w:ascii="仿宋" w:hAnsi="仿宋" w:eastAsia="仿宋"/>
                <w:b w:val="0"/>
                <w:bCs w:val="0"/>
                <w:spacing w:val="14"/>
                <w:sz w:val="24"/>
                <w:szCs w:val="24"/>
                <w:highlight w:val="none"/>
              </w:rPr>
              <w:t>业〔2011〕300 号）的规定，本项目适用的行业为：</w:t>
            </w:r>
            <w:r>
              <w:rPr>
                <w:rFonts w:hint="eastAsia" w:ascii="仿宋" w:hAnsi="仿宋" w:eastAsia="仿宋"/>
                <w:b w:val="0"/>
                <w:bCs w:val="0"/>
                <w:spacing w:val="14"/>
                <w:sz w:val="24"/>
                <w:szCs w:val="24"/>
                <w:highlight w:val="none"/>
                <w:lang w:eastAsia="zh-CN"/>
              </w:rPr>
              <w:t>工</w:t>
            </w:r>
            <w:r>
              <w:rPr>
                <w:rFonts w:hint="eastAsia" w:ascii="仿宋" w:hAnsi="仿宋" w:eastAsia="仿宋"/>
                <w:b w:val="0"/>
                <w:bCs w:val="0"/>
                <w:spacing w:val="14"/>
                <w:sz w:val="24"/>
                <w:szCs w:val="24"/>
                <w:highlight w:val="none"/>
              </w:rPr>
              <w:t>业。</w:t>
            </w:r>
          </w:p>
          <w:p w14:paraId="01616204">
            <w:pPr>
              <w:ind w:firstLine="0" w:firstLineChars="0"/>
              <w:jc w:val="left"/>
              <w:rPr>
                <w:rFonts w:hint="eastAsia" w:ascii="仿宋" w:hAnsi="仿宋" w:eastAsia="仿宋" w:cs="Times New Roman"/>
                <w:b/>
                <w:bCs/>
                <w:spacing w:val="14"/>
                <w:kern w:val="0"/>
                <w:sz w:val="24"/>
                <w:szCs w:val="24"/>
                <w:highlight w:val="none"/>
              </w:rPr>
            </w:pPr>
            <w:r>
              <w:rPr>
                <w:rFonts w:hint="eastAsia" w:ascii="仿宋" w:hAnsi="仿宋" w:eastAsia="仿宋" w:cs="Times New Roman"/>
                <w:b/>
                <w:bCs/>
                <w:spacing w:val="14"/>
                <w:kern w:val="0"/>
                <w:sz w:val="24"/>
                <w:szCs w:val="24"/>
                <w:highlight w:val="none"/>
              </w:rPr>
              <w:t xml:space="preserve">2、暗标评审 </w:t>
            </w:r>
          </w:p>
          <w:p w14:paraId="621D8946">
            <w:pPr>
              <w:ind w:firstLine="0" w:firstLineChars="0"/>
              <w:jc w:val="left"/>
              <w:rPr>
                <w:rFonts w:hint="eastAsia" w:ascii="仿宋" w:hAnsi="仿宋" w:eastAsia="仿宋" w:cs="Times New Roman"/>
                <w:b/>
                <w:bCs/>
                <w:spacing w:val="14"/>
                <w:kern w:val="0"/>
                <w:sz w:val="24"/>
                <w:szCs w:val="24"/>
                <w:highlight w:val="none"/>
              </w:rPr>
            </w:pPr>
            <w:r>
              <w:rPr>
                <w:rFonts w:hint="eastAsia" w:ascii="仿宋" w:hAnsi="仿宋" w:eastAsia="仿宋" w:cs="Times New Roman"/>
                <w:b/>
                <w:bCs/>
                <w:spacing w:val="14"/>
                <w:kern w:val="0"/>
                <w:sz w:val="24"/>
                <w:szCs w:val="24"/>
                <w:highlight w:val="none"/>
              </w:rPr>
              <w:t>2.1本次</w:t>
            </w:r>
            <w:r>
              <w:rPr>
                <w:rFonts w:hint="eastAsia" w:ascii="仿宋" w:hAnsi="仿宋" w:eastAsia="仿宋" w:cs="Times New Roman"/>
                <w:b/>
                <w:bCs/>
                <w:spacing w:val="14"/>
                <w:kern w:val="0"/>
                <w:sz w:val="24"/>
                <w:szCs w:val="24"/>
                <w:highlight w:val="none"/>
                <w:lang w:eastAsia="zh-CN"/>
              </w:rPr>
              <w:t>综合标</w:t>
            </w:r>
            <w:r>
              <w:rPr>
                <w:rFonts w:hint="eastAsia" w:ascii="仿宋" w:hAnsi="仿宋" w:eastAsia="仿宋" w:cs="Times New Roman"/>
                <w:b/>
                <w:bCs/>
                <w:spacing w:val="14"/>
                <w:kern w:val="0"/>
                <w:sz w:val="24"/>
                <w:szCs w:val="24"/>
                <w:highlight w:val="none"/>
              </w:rPr>
              <w:t xml:space="preserve">采用暗标评审。 </w:t>
            </w:r>
          </w:p>
          <w:p w14:paraId="12A2DA84">
            <w:pPr>
              <w:ind w:firstLine="0" w:firstLineChars="0"/>
              <w:jc w:val="left"/>
              <w:rPr>
                <w:rFonts w:hint="eastAsia" w:ascii="仿宋" w:hAnsi="仿宋" w:eastAsia="仿宋" w:cs="Times New Roman"/>
                <w:b/>
                <w:bCs/>
                <w:spacing w:val="14"/>
                <w:kern w:val="0"/>
                <w:sz w:val="24"/>
                <w:szCs w:val="24"/>
                <w:highlight w:val="none"/>
              </w:rPr>
            </w:pPr>
            <w:r>
              <w:rPr>
                <w:rFonts w:hint="eastAsia" w:ascii="仿宋" w:hAnsi="仿宋" w:eastAsia="仿宋" w:cs="Times New Roman"/>
                <w:b/>
                <w:bCs/>
                <w:spacing w:val="14"/>
                <w:kern w:val="0"/>
                <w:sz w:val="24"/>
                <w:szCs w:val="24"/>
                <w:highlight w:val="none"/>
              </w:rPr>
              <w:t xml:space="preserve">2.2本项目综合标为暗标内容，投标文件中暗标部分不符合要求的，其暗标部分整体得零分： </w:t>
            </w:r>
          </w:p>
          <w:p w14:paraId="082A599A">
            <w:pPr>
              <w:ind w:firstLine="0" w:firstLineChars="0"/>
              <w:jc w:val="left"/>
              <w:rPr>
                <w:rFonts w:hint="eastAsia" w:ascii="仿宋" w:hAnsi="仿宋" w:eastAsia="仿宋" w:cs="Times New Roman"/>
                <w:b/>
                <w:bCs/>
                <w:spacing w:val="14"/>
                <w:kern w:val="0"/>
                <w:sz w:val="24"/>
                <w:szCs w:val="24"/>
                <w:lang w:eastAsia="zh-CN"/>
              </w:rPr>
            </w:pPr>
            <w:r>
              <w:rPr>
                <w:rFonts w:hint="eastAsia" w:ascii="仿宋" w:hAnsi="仿宋" w:eastAsia="仿宋" w:cs="Times New Roman"/>
                <w:b/>
                <w:bCs/>
                <w:spacing w:val="14"/>
                <w:kern w:val="0"/>
                <w:sz w:val="24"/>
                <w:szCs w:val="24"/>
                <w:highlight w:val="none"/>
                <w:lang w:val="en-US" w:eastAsia="zh-CN"/>
              </w:rPr>
              <w:t>2.2.1签章要求：不得对暗标部分进行电子签</w:t>
            </w:r>
            <w:r>
              <w:rPr>
                <w:rFonts w:hint="eastAsia" w:ascii="仿宋" w:hAnsi="仿宋" w:eastAsia="仿宋" w:cs="Times New Roman"/>
                <w:b/>
                <w:bCs/>
                <w:spacing w:val="14"/>
                <w:kern w:val="0"/>
                <w:sz w:val="24"/>
                <w:szCs w:val="24"/>
                <w:lang w:val="en-US" w:eastAsia="zh-CN"/>
              </w:rPr>
              <w:t>章</w:t>
            </w:r>
            <w:r>
              <w:rPr>
                <w:rFonts w:hint="eastAsia" w:ascii="仿宋" w:hAnsi="仿宋" w:eastAsia="仿宋" w:cs="Times New Roman"/>
                <w:b/>
                <w:bCs/>
                <w:spacing w:val="14"/>
                <w:kern w:val="0"/>
                <w:sz w:val="24"/>
                <w:szCs w:val="24"/>
                <w:lang w:eastAsia="zh-CN"/>
              </w:rPr>
              <w:t>。</w:t>
            </w:r>
          </w:p>
          <w:p w14:paraId="4F77612E">
            <w:pPr>
              <w:ind w:firstLine="0" w:firstLineChars="0"/>
              <w:jc w:val="left"/>
              <w:rPr>
                <w:rFonts w:hint="eastAsia" w:ascii="仿宋" w:hAnsi="仿宋" w:eastAsia="仿宋" w:cs="Times New Roman"/>
                <w:b/>
                <w:bCs/>
                <w:spacing w:val="14"/>
                <w:kern w:val="0"/>
                <w:sz w:val="24"/>
                <w:szCs w:val="24"/>
                <w:lang w:eastAsia="zh-CN"/>
              </w:rPr>
            </w:pPr>
            <w:r>
              <w:rPr>
                <w:rFonts w:hint="eastAsia" w:ascii="仿宋" w:hAnsi="仿宋" w:eastAsia="仿宋" w:cs="Times New Roman"/>
                <w:b/>
                <w:bCs/>
                <w:spacing w:val="14"/>
                <w:kern w:val="0"/>
                <w:sz w:val="24"/>
                <w:szCs w:val="24"/>
                <w:lang w:val="en-US" w:eastAsia="zh-CN"/>
              </w:rPr>
              <w:t>2.2.2排版要求：全文采用A4大小，不允许插入空白页，页边距均为2.5厘米，不得出现页眉、页脚、页码，全文均为白底黑字，字体为宋体四号字，不允许倾斜和下划线，行间距采用固定值28磅，段前段后间距为0</w:t>
            </w:r>
            <w:r>
              <w:rPr>
                <w:rFonts w:hint="eastAsia" w:ascii="仿宋" w:hAnsi="仿宋" w:eastAsia="仿宋" w:cs="Times New Roman"/>
                <w:b/>
                <w:bCs/>
                <w:spacing w:val="14"/>
                <w:kern w:val="0"/>
                <w:sz w:val="24"/>
                <w:szCs w:val="24"/>
                <w:lang w:eastAsia="zh-CN"/>
              </w:rPr>
              <w:t>。</w:t>
            </w:r>
          </w:p>
          <w:p w14:paraId="6B84B06B">
            <w:pPr>
              <w:ind w:firstLine="0" w:firstLineChars="0"/>
              <w:jc w:val="left"/>
              <w:rPr>
                <w:rFonts w:hint="eastAsia" w:ascii="仿宋" w:hAnsi="仿宋" w:eastAsia="仿宋" w:cs="Times New Roman"/>
                <w:b/>
                <w:bCs/>
                <w:spacing w:val="14"/>
                <w:kern w:val="0"/>
                <w:sz w:val="24"/>
                <w:szCs w:val="24"/>
                <w:lang w:val="en-US" w:eastAsia="zh-CN"/>
              </w:rPr>
            </w:pPr>
            <w:r>
              <w:rPr>
                <w:rFonts w:hint="eastAsia" w:ascii="仿宋" w:hAnsi="仿宋" w:eastAsia="仿宋" w:cs="Times New Roman"/>
                <w:b/>
                <w:bCs/>
                <w:spacing w:val="14"/>
                <w:kern w:val="0"/>
                <w:sz w:val="24"/>
                <w:szCs w:val="24"/>
                <w:lang w:val="en-US" w:eastAsia="zh-CN"/>
              </w:rPr>
              <w:t>2.2.3标题编号要求：标题序号最多设置7级，每一个暗标部分的标题都要重新开始编号，编号格式为：</w:t>
            </w:r>
          </w:p>
          <w:p w14:paraId="61C64E35">
            <w:pPr>
              <w:ind w:firstLine="0" w:firstLineChars="0"/>
              <w:jc w:val="left"/>
              <w:rPr>
                <w:rFonts w:hint="eastAsia" w:ascii="仿宋" w:hAnsi="仿宋" w:eastAsia="仿宋" w:cs="Times New Roman"/>
                <w:b/>
                <w:bCs/>
                <w:spacing w:val="14"/>
                <w:kern w:val="0"/>
                <w:sz w:val="24"/>
                <w:szCs w:val="24"/>
                <w:lang w:val="en-US" w:eastAsia="zh-CN"/>
              </w:rPr>
            </w:pPr>
            <w:r>
              <w:rPr>
                <w:rFonts w:hint="eastAsia" w:ascii="仿宋" w:hAnsi="仿宋" w:eastAsia="仿宋" w:cs="Times New Roman"/>
                <w:b/>
                <w:bCs/>
                <w:spacing w:val="14"/>
                <w:kern w:val="0"/>
                <w:sz w:val="24"/>
                <w:szCs w:val="24"/>
                <w:lang w:val="en-US" w:eastAsia="zh-CN"/>
              </w:rPr>
              <w:t xml:space="preserve">一级为“一、”、“二、”......，  </w:t>
            </w:r>
          </w:p>
          <w:p w14:paraId="1A97B1FE">
            <w:pPr>
              <w:ind w:firstLine="0" w:firstLineChars="0"/>
              <w:jc w:val="left"/>
              <w:rPr>
                <w:rFonts w:hint="eastAsia" w:ascii="仿宋" w:hAnsi="仿宋" w:eastAsia="仿宋" w:cs="Times New Roman"/>
                <w:b/>
                <w:bCs/>
                <w:spacing w:val="14"/>
                <w:kern w:val="0"/>
                <w:sz w:val="24"/>
                <w:szCs w:val="24"/>
                <w:lang w:val="en-US" w:eastAsia="zh-CN"/>
              </w:rPr>
            </w:pPr>
            <w:r>
              <w:rPr>
                <w:rFonts w:hint="eastAsia" w:ascii="仿宋" w:hAnsi="仿宋" w:eastAsia="仿宋" w:cs="Times New Roman"/>
                <w:b/>
                <w:bCs/>
                <w:spacing w:val="14"/>
                <w:kern w:val="0"/>
                <w:sz w:val="24"/>
                <w:szCs w:val="24"/>
                <w:lang w:val="en-US" w:eastAsia="zh-CN"/>
              </w:rPr>
              <w:t xml:space="preserve">二级为“（一）”、“（二）”......，  </w:t>
            </w:r>
          </w:p>
          <w:p w14:paraId="6F460BC1">
            <w:pPr>
              <w:ind w:firstLine="0" w:firstLineChars="0"/>
              <w:jc w:val="left"/>
              <w:rPr>
                <w:rFonts w:hint="eastAsia" w:ascii="仿宋" w:hAnsi="仿宋" w:eastAsia="仿宋" w:cs="Times New Roman"/>
                <w:b/>
                <w:bCs/>
                <w:spacing w:val="14"/>
                <w:kern w:val="0"/>
                <w:sz w:val="24"/>
                <w:szCs w:val="24"/>
                <w:lang w:val="en-US" w:eastAsia="zh-CN"/>
              </w:rPr>
            </w:pPr>
            <w:r>
              <w:rPr>
                <w:rFonts w:hint="eastAsia" w:ascii="仿宋" w:hAnsi="仿宋" w:eastAsia="仿宋" w:cs="Times New Roman"/>
                <w:b/>
                <w:bCs/>
                <w:spacing w:val="14"/>
                <w:kern w:val="0"/>
                <w:sz w:val="24"/>
                <w:szCs w:val="24"/>
                <w:lang w:val="en-US" w:eastAsia="zh-CN"/>
              </w:rPr>
              <w:t xml:space="preserve">三级为“1.”、“2.”......，  </w:t>
            </w:r>
          </w:p>
          <w:p w14:paraId="49958FD9">
            <w:pPr>
              <w:ind w:firstLine="0" w:firstLineChars="0"/>
              <w:jc w:val="left"/>
              <w:rPr>
                <w:rFonts w:hint="eastAsia" w:ascii="仿宋" w:hAnsi="仿宋" w:eastAsia="仿宋" w:cs="Times New Roman"/>
                <w:b/>
                <w:bCs/>
                <w:spacing w:val="14"/>
                <w:kern w:val="0"/>
                <w:sz w:val="24"/>
                <w:szCs w:val="24"/>
                <w:lang w:val="en-US" w:eastAsia="zh-CN"/>
              </w:rPr>
            </w:pPr>
            <w:r>
              <w:rPr>
                <w:rFonts w:hint="eastAsia" w:ascii="仿宋" w:hAnsi="仿宋" w:eastAsia="仿宋" w:cs="Times New Roman"/>
                <w:b/>
                <w:bCs/>
                <w:spacing w:val="14"/>
                <w:kern w:val="0"/>
                <w:sz w:val="24"/>
                <w:szCs w:val="24"/>
                <w:lang w:val="en-US" w:eastAsia="zh-CN"/>
              </w:rPr>
              <w:t xml:space="preserve">四级为“（1）”、“（2）”......，  </w:t>
            </w:r>
          </w:p>
          <w:p w14:paraId="598448C6">
            <w:pPr>
              <w:ind w:firstLine="0" w:firstLineChars="0"/>
              <w:jc w:val="left"/>
              <w:rPr>
                <w:rFonts w:hint="eastAsia" w:ascii="仿宋" w:hAnsi="仿宋" w:eastAsia="仿宋" w:cs="Times New Roman"/>
                <w:b/>
                <w:bCs/>
                <w:spacing w:val="14"/>
                <w:kern w:val="0"/>
                <w:sz w:val="24"/>
                <w:szCs w:val="24"/>
                <w:lang w:val="en-US" w:eastAsia="zh-CN"/>
              </w:rPr>
            </w:pPr>
            <w:r>
              <w:rPr>
                <w:rFonts w:hint="eastAsia" w:ascii="仿宋" w:hAnsi="仿宋" w:eastAsia="仿宋" w:cs="Times New Roman"/>
                <w:b/>
                <w:bCs/>
                <w:spacing w:val="14"/>
                <w:kern w:val="0"/>
                <w:sz w:val="24"/>
                <w:szCs w:val="24"/>
                <w:lang w:val="en-US" w:eastAsia="zh-CN"/>
              </w:rPr>
              <w:t xml:space="preserve">五级为“1）”、“2）”......，  </w:t>
            </w:r>
          </w:p>
          <w:p w14:paraId="4437894F">
            <w:pPr>
              <w:ind w:firstLine="0" w:firstLineChars="0"/>
              <w:jc w:val="left"/>
              <w:rPr>
                <w:rFonts w:hint="eastAsia" w:ascii="仿宋" w:hAnsi="仿宋" w:eastAsia="仿宋" w:cs="Times New Roman"/>
                <w:b/>
                <w:bCs/>
                <w:spacing w:val="14"/>
                <w:kern w:val="0"/>
                <w:sz w:val="24"/>
                <w:szCs w:val="24"/>
                <w:lang w:val="en-US" w:eastAsia="zh-CN"/>
              </w:rPr>
            </w:pPr>
            <w:r>
              <w:rPr>
                <w:rFonts w:hint="eastAsia" w:ascii="仿宋" w:hAnsi="仿宋" w:eastAsia="仿宋" w:cs="Times New Roman"/>
                <w:b/>
                <w:bCs/>
                <w:spacing w:val="14"/>
                <w:kern w:val="0"/>
                <w:sz w:val="24"/>
                <w:szCs w:val="24"/>
                <w:lang w:val="en-US" w:eastAsia="zh-CN"/>
              </w:rPr>
              <w:t xml:space="preserve">六级为“a.”、“b.”......，  </w:t>
            </w:r>
          </w:p>
          <w:p w14:paraId="054E1459">
            <w:pPr>
              <w:ind w:firstLine="0" w:firstLineChars="0"/>
              <w:jc w:val="left"/>
              <w:rPr>
                <w:rFonts w:hint="eastAsia" w:ascii="仿宋" w:hAnsi="仿宋" w:eastAsia="仿宋" w:cs="Times New Roman"/>
                <w:b/>
                <w:bCs/>
                <w:spacing w:val="14"/>
                <w:kern w:val="0"/>
                <w:sz w:val="24"/>
                <w:szCs w:val="24"/>
                <w:lang w:val="en-US" w:eastAsia="zh-CN"/>
              </w:rPr>
            </w:pPr>
            <w:r>
              <w:rPr>
                <w:rFonts w:hint="eastAsia" w:ascii="仿宋" w:hAnsi="仿宋" w:eastAsia="仿宋" w:cs="Times New Roman"/>
                <w:b/>
                <w:bCs/>
                <w:spacing w:val="14"/>
                <w:kern w:val="0"/>
                <w:sz w:val="24"/>
                <w:szCs w:val="24"/>
                <w:lang w:val="en-US" w:eastAsia="zh-CN"/>
              </w:rPr>
              <w:t>七级为“a）”、“b）”......。</w:t>
            </w:r>
          </w:p>
          <w:p w14:paraId="54B47E4D">
            <w:pPr>
              <w:ind w:firstLine="0" w:firstLineChars="0"/>
              <w:jc w:val="left"/>
              <w:rPr>
                <w:rFonts w:hint="eastAsia" w:ascii="仿宋" w:hAnsi="仿宋" w:eastAsia="仿宋" w:cs="Times New Roman"/>
                <w:b/>
                <w:bCs/>
                <w:spacing w:val="14"/>
                <w:kern w:val="0"/>
                <w:sz w:val="24"/>
                <w:szCs w:val="24"/>
                <w:lang w:val="en-US" w:eastAsia="zh-CN"/>
              </w:rPr>
            </w:pPr>
            <w:r>
              <w:rPr>
                <w:rFonts w:hint="eastAsia" w:ascii="仿宋" w:hAnsi="仿宋" w:eastAsia="仿宋" w:cs="Times New Roman"/>
                <w:b/>
                <w:bCs/>
                <w:spacing w:val="14"/>
                <w:kern w:val="0"/>
                <w:sz w:val="24"/>
                <w:szCs w:val="24"/>
                <w:lang w:val="en-US" w:eastAsia="zh-CN"/>
              </w:rPr>
              <w:t>2.2.4图表要求：电脑绘制（不得手绘），白底黑字。宋体四号字，字体不允许倾斜和下划线。</w:t>
            </w:r>
          </w:p>
          <w:p w14:paraId="6EF0CC78">
            <w:pPr>
              <w:ind w:firstLine="0" w:firstLineChars="0"/>
              <w:jc w:val="left"/>
              <w:rPr>
                <w:rFonts w:hint="eastAsia" w:ascii="仿宋" w:hAnsi="仿宋" w:eastAsia="仿宋" w:cs="Times New Roman"/>
                <w:b/>
                <w:bCs/>
                <w:spacing w:val="14"/>
                <w:kern w:val="0"/>
                <w:sz w:val="24"/>
                <w:szCs w:val="24"/>
                <w:lang w:val="en-US" w:eastAsia="zh-CN"/>
              </w:rPr>
            </w:pPr>
            <w:r>
              <w:rPr>
                <w:rFonts w:hint="eastAsia" w:ascii="仿宋" w:hAnsi="仿宋" w:eastAsia="仿宋" w:cs="Times New Roman"/>
                <w:b/>
                <w:bCs/>
                <w:spacing w:val="14"/>
                <w:kern w:val="0"/>
                <w:sz w:val="24"/>
                <w:szCs w:val="24"/>
                <w:lang w:val="en-US" w:eastAsia="zh-CN"/>
              </w:rPr>
              <w:t>2.2.5内容中不得出现投标人名称和其他可识别投标人身份的字符、徽标、人员名称以及其他特殊标记等。</w:t>
            </w:r>
          </w:p>
          <w:p w14:paraId="510E5F1D">
            <w:pPr>
              <w:ind w:firstLine="0" w:firstLineChars="0"/>
              <w:jc w:val="left"/>
              <w:rPr>
                <w:rFonts w:hint="eastAsia" w:ascii="仿宋" w:hAnsi="仿宋" w:eastAsia="仿宋" w:cs="Times New Roman"/>
                <w:b/>
                <w:bCs/>
                <w:spacing w:val="14"/>
                <w:kern w:val="0"/>
                <w:sz w:val="24"/>
                <w:szCs w:val="24"/>
                <w:lang w:val="en-US" w:eastAsia="zh-CN"/>
              </w:rPr>
            </w:pPr>
            <w:r>
              <w:rPr>
                <w:rFonts w:hint="eastAsia" w:ascii="仿宋" w:hAnsi="仿宋" w:eastAsia="仿宋" w:cs="Times New Roman"/>
                <w:b/>
                <w:bCs/>
                <w:spacing w:val="14"/>
                <w:kern w:val="0"/>
                <w:sz w:val="24"/>
                <w:szCs w:val="24"/>
                <w:lang w:val="en-US" w:eastAsia="zh-CN"/>
              </w:rPr>
              <w:t>2.2.6不得插入图片（招标文件要求有图片除外）。</w:t>
            </w:r>
          </w:p>
          <w:p w14:paraId="2EAB5E5F">
            <w:pPr>
              <w:jc w:val="left"/>
              <w:rPr>
                <w:rFonts w:hint="eastAsia" w:ascii="仿宋" w:hAnsi="仿宋" w:eastAsia="仿宋" w:cs="仿宋"/>
                <w:b/>
                <w:bCs/>
                <w:color w:val="auto"/>
                <w:sz w:val="24"/>
                <w:szCs w:val="24"/>
                <w:highlight w:val="none"/>
                <w:lang w:eastAsia="zh-CN"/>
              </w:rPr>
            </w:pPr>
            <w:r>
              <w:rPr>
                <w:rFonts w:hint="eastAsia" w:ascii="仿宋" w:hAnsi="仿宋" w:eastAsia="仿宋" w:cs="Times New Roman"/>
                <w:b/>
                <w:bCs/>
                <w:spacing w:val="14"/>
                <w:kern w:val="0"/>
                <w:sz w:val="24"/>
                <w:szCs w:val="24"/>
                <w:lang w:val="en-US" w:eastAsia="zh-CN"/>
              </w:rPr>
              <w:t>2.2.7</w:t>
            </w:r>
            <w:r>
              <w:rPr>
                <w:rFonts w:hint="eastAsia" w:ascii="仿宋" w:hAnsi="仿宋" w:eastAsia="仿宋" w:cs="仿宋"/>
                <w:b/>
                <w:bCs/>
                <w:color w:val="auto"/>
                <w:sz w:val="24"/>
                <w:szCs w:val="24"/>
                <w:highlight w:val="none"/>
                <w:lang w:eastAsia="zh-CN"/>
              </w:rPr>
              <w:t>黑字必须为标准黑色字体，颜色为RGB（0,0,0）。</w:t>
            </w:r>
          </w:p>
          <w:p w14:paraId="75471B0B">
            <w:pPr>
              <w:jc w:val="left"/>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val="en-US" w:eastAsia="zh-CN"/>
              </w:rPr>
              <w:t>2.2.8</w:t>
            </w:r>
            <w:r>
              <w:rPr>
                <w:rFonts w:hint="eastAsia" w:ascii="仿宋" w:hAnsi="仿宋" w:eastAsia="仿宋" w:cs="仿宋"/>
                <w:b/>
                <w:bCs/>
                <w:color w:val="auto"/>
                <w:sz w:val="24"/>
                <w:szCs w:val="24"/>
                <w:highlight w:val="none"/>
                <w:lang w:eastAsia="zh-CN"/>
              </w:rPr>
              <w:t>每个暗标评审点的文档都要重新开始标题编号。</w:t>
            </w:r>
          </w:p>
          <w:p w14:paraId="6CB040F5">
            <w:pPr>
              <w:ind w:firstLine="0" w:firstLineChars="0"/>
              <w:jc w:val="left"/>
              <w:rPr>
                <w:rFonts w:hint="eastAsia" w:ascii="仿宋" w:hAnsi="仿宋" w:eastAsia="仿宋" w:cs="Times New Roman"/>
                <w:b/>
                <w:bCs/>
                <w:spacing w:val="14"/>
                <w:kern w:val="0"/>
                <w:sz w:val="24"/>
                <w:szCs w:val="24"/>
                <w:lang w:val="en-US" w:eastAsia="zh-CN"/>
              </w:rPr>
            </w:pPr>
            <w:r>
              <w:rPr>
                <w:rFonts w:hint="eastAsia" w:ascii="仿宋" w:hAnsi="仿宋" w:eastAsia="仿宋" w:cs="仿宋"/>
                <w:b/>
                <w:bCs/>
                <w:color w:val="auto"/>
                <w:sz w:val="24"/>
                <w:szCs w:val="24"/>
                <w:highlight w:val="none"/>
                <w:lang w:val="en-US" w:eastAsia="zh-CN"/>
              </w:rPr>
              <w:t>2.2.9</w:t>
            </w:r>
            <w:r>
              <w:rPr>
                <w:rFonts w:hint="eastAsia" w:ascii="仿宋" w:hAnsi="仿宋" w:eastAsia="仿宋" w:cs="仿宋"/>
                <w:b/>
                <w:bCs/>
                <w:color w:val="auto"/>
                <w:sz w:val="24"/>
                <w:szCs w:val="24"/>
                <w:highlight w:val="none"/>
                <w:lang w:eastAsia="zh-CN"/>
              </w:rPr>
              <w:t>不允许出现能透露</w:t>
            </w:r>
            <w:r>
              <w:rPr>
                <w:rFonts w:hint="eastAsia" w:ascii="仿宋" w:hAnsi="仿宋" w:eastAsia="仿宋" w:cs="仿宋"/>
                <w:b/>
                <w:bCs/>
                <w:color w:val="auto"/>
                <w:sz w:val="24"/>
                <w:szCs w:val="24"/>
                <w:highlight w:val="none"/>
                <w:lang w:val="en-US" w:eastAsia="zh-CN"/>
              </w:rPr>
              <w:t>供应商</w:t>
            </w:r>
            <w:r>
              <w:rPr>
                <w:rFonts w:hint="eastAsia" w:ascii="仿宋" w:hAnsi="仿宋" w:eastAsia="仿宋" w:cs="仿宋"/>
                <w:b/>
                <w:bCs/>
                <w:color w:val="auto"/>
                <w:sz w:val="24"/>
                <w:szCs w:val="24"/>
                <w:highlight w:val="none"/>
                <w:lang w:eastAsia="zh-CN"/>
              </w:rPr>
              <w:t>信息的内容。不能出现涉及投标供应商信息、投标产品信息、产品厂家信息及其他能够识别到投标供应商的任何信息（暗标部分信息处理：单位名称必须隐去，一律采用本公司、我公司来表示；暗标中如有相关证明材料、企业制度等，必须遮盖投标</w:t>
            </w:r>
            <w:r>
              <w:rPr>
                <w:rFonts w:hint="eastAsia" w:ascii="仿宋" w:hAnsi="仿宋" w:eastAsia="仿宋" w:cs="仿宋"/>
                <w:b/>
                <w:bCs/>
                <w:color w:val="auto"/>
                <w:sz w:val="24"/>
                <w:szCs w:val="24"/>
                <w:highlight w:val="none"/>
                <w:lang w:val="en-US" w:eastAsia="zh-CN"/>
              </w:rPr>
              <w:t>供应商</w:t>
            </w:r>
            <w:r>
              <w:rPr>
                <w:rFonts w:hint="eastAsia" w:ascii="仿宋" w:hAnsi="仿宋" w:eastAsia="仿宋" w:cs="仿宋"/>
                <w:b/>
                <w:bCs/>
                <w:color w:val="auto"/>
                <w:sz w:val="24"/>
                <w:szCs w:val="24"/>
                <w:highlight w:val="none"/>
                <w:lang w:eastAsia="zh-CN"/>
              </w:rPr>
              <w:t>的名称、标志及相关可识别信息）。</w:t>
            </w:r>
          </w:p>
        </w:tc>
      </w:tr>
      <w:tr w14:paraId="47018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214" w:type="dxa"/>
            <w:gridSpan w:val="3"/>
            <w:tcBorders>
              <w:top w:val="single" w:color="auto" w:sz="4" w:space="0"/>
              <w:left w:val="single" w:color="auto" w:sz="4" w:space="0"/>
              <w:bottom w:val="single" w:color="auto" w:sz="4" w:space="0"/>
              <w:right w:val="single" w:color="auto" w:sz="4" w:space="0"/>
            </w:tcBorders>
            <w:noWrap w:val="0"/>
            <w:vAlign w:val="center"/>
          </w:tcPr>
          <w:p w14:paraId="4292DAAC">
            <w:pPr>
              <w:rPr>
                <w:rFonts w:hint="eastAsia" w:ascii="仿宋" w:hAnsi="仿宋" w:eastAsia="仿宋" w:cs="Times New Roman"/>
                <w:b w:val="0"/>
                <w:bCs w:val="0"/>
                <w:spacing w:val="14"/>
                <w:kern w:val="0"/>
                <w:sz w:val="24"/>
                <w:szCs w:val="24"/>
                <w:lang w:val="en-US" w:eastAsia="zh-CN"/>
              </w:rPr>
            </w:pPr>
            <w:r>
              <w:rPr>
                <w:rFonts w:hint="eastAsia" w:ascii="仿宋" w:hAnsi="仿宋" w:eastAsia="仿宋" w:cs="Times New Roman"/>
                <w:b w:val="0"/>
                <w:bCs w:val="0"/>
                <w:spacing w:val="14"/>
                <w:kern w:val="0"/>
                <w:sz w:val="24"/>
                <w:szCs w:val="24"/>
              </w:rPr>
              <w:t>解释权：构成本磋商文件的各个组成文件应互为解释，互为说明；如有不明确或不一致，构成合同文件组成内容的，以合同文件约定内容为准，且以专用合同条款约定的合同文件优先顺序解释；除磋商文件中有特别规定外，仅适用于招标投标阶段的规定，按磋商公告、供应商须知、评标办法、响应文件格式的先后顺序解释；同一组成文件中就同一事项的规定或约定不一致的，以编排顺序在后者为准；同一组成文件不同版本之间有不一致的， 以形成时间在后者为准。按本款前述规定仍不能形成结论的，由招标人负责解释。</w:t>
            </w:r>
          </w:p>
        </w:tc>
      </w:tr>
      <w:tr w14:paraId="10439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0" w:type="auto"/>
            <w:gridSpan w:val="3"/>
            <w:noWrap w:val="0"/>
            <w:vAlign w:val="center"/>
          </w:tcPr>
          <w:p w14:paraId="369EC4DE">
            <w:pPr>
              <w:rPr>
                <w:rFonts w:hint="eastAsia" w:ascii="仿宋" w:hAnsi="仿宋" w:eastAsia="仿宋" w:cs="Times New Roman"/>
                <w:b w:val="0"/>
                <w:bCs w:val="0"/>
                <w:spacing w:val="14"/>
                <w:kern w:val="0"/>
                <w:sz w:val="24"/>
                <w:szCs w:val="24"/>
                <w:lang w:val="en-US" w:eastAsia="zh-CN"/>
              </w:rPr>
            </w:pPr>
            <w:r>
              <w:rPr>
                <w:rFonts w:hint="eastAsia" w:ascii="仿宋" w:hAnsi="仿宋" w:eastAsia="仿宋" w:cs="Times New Roman"/>
                <w:b w:val="0"/>
                <w:bCs w:val="0"/>
                <w:spacing w:val="14"/>
                <w:kern w:val="0"/>
                <w:sz w:val="24"/>
                <w:szCs w:val="24"/>
              </w:rPr>
              <w:t>签字盖章：响应文件中要盖单位公章的地方，供应商均应使用CA数字证书加盖供应商的单位电子签章。签字可以是手签后上传的，也可以是电子手写签名或法定代表人的个人电子签章。</w:t>
            </w:r>
          </w:p>
        </w:tc>
      </w:tr>
      <w:tr w14:paraId="7CE25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0" w:type="auto"/>
            <w:gridSpan w:val="3"/>
            <w:noWrap w:val="0"/>
            <w:vAlign w:val="center"/>
          </w:tcPr>
          <w:p w14:paraId="5C7DD394">
            <w:pPr>
              <w:rPr>
                <w:rFonts w:hint="eastAsia" w:ascii="仿宋" w:hAnsi="仿宋" w:eastAsia="仿宋" w:cs="Times New Roman"/>
                <w:b w:val="0"/>
                <w:bCs w:val="0"/>
                <w:spacing w:val="14"/>
                <w:kern w:val="0"/>
                <w:sz w:val="24"/>
                <w:szCs w:val="24"/>
                <w:lang w:val="en-US" w:eastAsia="zh-CN"/>
              </w:rPr>
            </w:pPr>
            <w:r>
              <w:rPr>
                <w:rFonts w:hint="eastAsia" w:ascii="仿宋" w:hAnsi="仿宋" w:eastAsia="仿宋" w:cs="Times New Roman"/>
                <w:b w:val="0"/>
                <w:bCs w:val="0"/>
                <w:spacing w:val="14"/>
                <w:kern w:val="0"/>
                <w:sz w:val="24"/>
                <w:szCs w:val="24"/>
              </w:rPr>
              <w:t>如成交人放弃中标、因不可抗力提出不能履行合同、不按照采购文件的要求提交履约保证金，或者被查实存在影响成交结果的违法行为等情形，不符合成交条件的，采购人可以按照磋商小组提出的成交候选人名单排序依次确定其他成交候选人为成交人。依次确定其他成交候选人与采购人预期差距较大，或者对采购人明显不利的，采购人可以重新采购。</w:t>
            </w:r>
          </w:p>
        </w:tc>
      </w:tr>
    </w:tbl>
    <w:p w14:paraId="7F5E81E0">
      <w:pPr>
        <w:pStyle w:val="13"/>
        <w:ind w:firstLine="0"/>
        <w:rPr>
          <w:rFonts w:hint="eastAsia" w:ascii="仿宋" w:hAnsi="仿宋" w:eastAsia="仿宋"/>
          <w:bCs/>
          <w:color w:val="auto"/>
          <w:spacing w:val="14"/>
        </w:rPr>
      </w:pPr>
      <w:r>
        <w:rPr>
          <w:rFonts w:hint="eastAsia" w:ascii="仿宋" w:hAnsi="仿宋" w:eastAsia="仿宋"/>
          <w:bCs/>
          <w:color w:val="auto"/>
          <w:spacing w:val="14"/>
        </w:rPr>
        <w:t xml:space="preserve"> </w:t>
      </w:r>
      <w:bookmarkStart w:id="29" w:name="_Toc21056"/>
      <w:bookmarkEnd w:id="29"/>
      <w:bookmarkStart w:id="30" w:name="_Toc256000017"/>
      <w:bookmarkEnd w:id="30"/>
      <w:bookmarkStart w:id="31" w:name="_Toc1662590"/>
      <w:bookmarkEnd w:id="31"/>
      <w:bookmarkStart w:id="32" w:name="_Toc256000028"/>
      <w:bookmarkEnd w:id="32"/>
      <w:bookmarkStart w:id="33" w:name="_Toc256000003"/>
      <w:bookmarkEnd w:id="33"/>
      <w:bookmarkStart w:id="34" w:name="_Toc2309"/>
      <w:bookmarkStart w:id="35" w:name="_Toc256000030"/>
      <w:bookmarkStart w:id="36" w:name="_Toc26197"/>
      <w:bookmarkStart w:id="37" w:name="_Toc19291"/>
      <w:bookmarkStart w:id="38" w:name="_Toc130305927"/>
    </w:p>
    <w:p w14:paraId="4E7284F7">
      <w:pPr>
        <w:pStyle w:val="13"/>
        <w:ind w:firstLine="0"/>
        <w:rPr>
          <w:rFonts w:hint="eastAsia" w:ascii="仿宋" w:hAnsi="仿宋" w:eastAsia="仿宋"/>
          <w:b/>
          <w:bCs/>
          <w:sz w:val="28"/>
          <w:szCs w:val="28"/>
        </w:rPr>
      </w:pPr>
      <w:r>
        <w:rPr>
          <w:rFonts w:hint="eastAsia" w:ascii="仿宋" w:hAnsi="仿宋" w:eastAsia="仿宋"/>
          <w:b/>
          <w:bCs/>
          <w:sz w:val="28"/>
          <w:szCs w:val="28"/>
        </w:rPr>
        <w:t>1、总则</w:t>
      </w:r>
      <w:bookmarkEnd w:id="34"/>
      <w:bookmarkEnd w:id="35"/>
      <w:bookmarkEnd w:id="36"/>
      <w:bookmarkEnd w:id="37"/>
      <w:bookmarkEnd w:id="38"/>
    </w:p>
    <w:p w14:paraId="419E665E">
      <w:pPr>
        <w:keepNext/>
        <w:keepLines/>
        <w:spacing w:line="372" w:lineRule="auto"/>
        <w:outlineLvl w:val="9"/>
        <w:rPr>
          <w:rFonts w:hint="eastAsia" w:ascii="仿宋" w:hAnsi="仿宋" w:eastAsia="仿宋" w:cs="Arial"/>
          <w:b/>
          <w:bCs/>
          <w:spacing w:val="14"/>
          <w:sz w:val="28"/>
          <w:szCs w:val="28"/>
        </w:rPr>
      </w:pPr>
      <w:bookmarkStart w:id="39" w:name="_Toc1662591"/>
      <w:bookmarkEnd w:id="39"/>
      <w:r>
        <w:rPr>
          <w:rFonts w:hint="eastAsia" w:ascii="仿宋" w:hAnsi="仿宋" w:eastAsia="仿宋" w:cs="Arial"/>
          <w:b/>
          <w:bCs/>
          <w:spacing w:val="14"/>
          <w:sz w:val="28"/>
          <w:szCs w:val="28"/>
        </w:rPr>
        <w:t>1.1采购项目概况</w:t>
      </w:r>
    </w:p>
    <w:p w14:paraId="3FEDB737">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1.1.1根据《中华人民共和国政府采购法》、《中华人民共和国政府采购法实施条例》、《政府采购竞争性磋商采购方式管理暂行办法》等有关法律、法规和规章的规定，本采购项目已具备采购条件，现进行采购。</w:t>
      </w:r>
    </w:p>
    <w:p w14:paraId="0B751384">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1.1.2采购人：见供应商须知前附表。</w:t>
      </w:r>
    </w:p>
    <w:p w14:paraId="4838CDCD">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1.1.3采购代理机构：见供应商须知前附表。</w:t>
      </w:r>
    </w:p>
    <w:p w14:paraId="750086B4">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1.1.4采购项目名称：见供应商须知前附表。</w:t>
      </w:r>
    </w:p>
    <w:p w14:paraId="0F3732F5">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1.1.5落实政府采购政策要求: 见须知前附表。</w:t>
      </w:r>
    </w:p>
    <w:p w14:paraId="3C451074">
      <w:pPr>
        <w:pStyle w:val="35"/>
        <w:rPr>
          <w:rFonts w:hint="eastAsia" w:ascii="仿宋" w:hAnsi="仿宋" w:eastAsia="仿宋"/>
          <w:color w:val="auto"/>
          <w:spacing w:val="14"/>
          <w:sz w:val="24"/>
          <w:szCs w:val="24"/>
        </w:rPr>
      </w:pPr>
      <w:r>
        <w:rPr>
          <w:rFonts w:hint="eastAsia" w:ascii="仿宋" w:hAnsi="仿宋" w:eastAsia="仿宋"/>
          <w:color w:val="auto"/>
          <w:spacing w:val="14"/>
          <w:sz w:val="24"/>
          <w:szCs w:val="24"/>
        </w:rPr>
        <w:t>（1）根据财政部工业和信息化部《政府采购促进中小企业发展暂行办法》（财库〔2020〕46号）和（洛财购﹝2022﹞6号）的规定，支持中小企业采购的，对中小企业作为供应商所提供的小微企业生产的产品的价格给予</w:t>
      </w:r>
      <w:r>
        <w:rPr>
          <w:rFonts w:hint="eastAsia" w:ascii="仿宋" w:hAnsi="仿宋" w:eastAsia="仿宋"/>
          <w:color w:val="auto"/>
          <w:spacing w:val="14"/>
          <w:sz w:val="24"/>
          <w:szCs w:val="24"/>
          <w:lang w:val="en-US" w:eastAsia="zh-CN"/>
        </w:rPr>
        <w:t>1</w:t>
      </w:r>
      <w:r>
        <w:rPr>
          <w:rFonts w:hint="eastAsia" w:ascii="仿宋" w:hAnsi="仿宋" w:eastAsia="仿宋"/>
          <w:color w:val="auto"/>
          <w:spacing w:val="14"/>
          <w:sz w:val="24"/>
          <w:szCs w:val="24"/>
        </w:rPr>
        <w:t>0%的扣除。</w:t>
      </w:r>
    </w:p>
    <w:p w14:paraId="122B3FE3">
      <w:pPr>
        <w:pStyle w:val="35"/>
        <w:rPr>
          <w:rFonts w:hint="eastAsia" w:ascii="仿宋" w:hAnsi="仿宋" w:eastAsia="仿宋"/>
          <w:color w:val="auto"/>
          <w:spacing w:val="14"/>
          <w:sz w:val="24"/>
          <w:szCs w:val="24"/>
        </w:rPr>
      </w:pPr>
      <w:r>
        <w:rPr>
          <w:rFonts w:hint="eastAsia" w:ascii="仿宋" w:hAnsi="仿宋" w:eastAsia="仿宋"/>
          <w:color w:val="auto"/>
          <w:spacing w:val="14"/>
          <w:sz w:val="24"/>
          <w:szCs w:val="24"/>
        </w:rPr>
        <w:t>（2）根据财政部司法部《关于政府采购支持监狱企业发展有关问题的通知》（财库〔2014〕68号）规定，监狱企业视同小型、微型企业，享受评审中价格扣除等政府采购促进中小企业发展的政府采购政策。</w:t>
      </w:r>
    </w:p>
    <w:p w14:paraId="5C2950BF">
      <w:pPr>
        <w:pStyle w:val="35"/>
        <w:rPr>
          <w:rFonts w:hint="eastAsia" w:ascii="仿宋" w:hAnsi="仿宋" w:eastAsia="仿宋"/>
          <w:color w:val="auto"/>
          <w:spacing w:val="14"/>
          <w:sz w:val="24"/>
          <w:szCs w:val="24"/>
        </w:rPr>
      </w:pPr>
      <w:r>
        <w:rPr>
          <w:rFonts w:hint="eastAsia" w:ascii="仿宋" w:hAnsi="仿宋" w:eastAsia="仿宋"/>
          <w:color w:val="auto"/>
          <w:spacing w:val="14"/>
          <w:sz w:val="24"/>
          <w:szCs w:val="24"/>
        </w:rPr>
        <w:t>（3）根据财政部民政部中国残疾人联合会《关于促进残疾人就业政府采购政策的通知》（财库〔2017〕141号）规定，残疾人福利性单位视同小型、微型企业，享受评审中价格扣除等政府采购促进中小企业发展的政府采购政策。</w:t>
      </w:r>
    </w:p>
    <w:p w14:paraId="51B4C470">
      <w:pPr>
        <w:pStyle w:val="35"/>
        <w:rPr>
          <w:rFonts w:hint="eastAsia" w:ascii="仿宋" w:hAnsi="仿宋" w:eastAsia="仿宋"/>
          <w:color w:val="auto"/>
          <w:spacing w:val="14"/>
          <w:sz w:val="24"/>
          <w:szCs w:val="24"/>
        </w:rPr>
      </w:pPr>
      <w:r>
        <w:rPr>
          <w:rFonts w:hint="eastAsia" w:ascii="仿宋" w:hAnsi="仿宋" w:eastAsia="仿宋"/>
          <w:color w:val="auto"/>
          <w:spacing w:val="14"/>
          <w:sz w:val="24"/>
          <w:szCs w:val="24"/>
        </w:rPr>
        <w:t>（4）同一供应商（包括联合体），中小微企业产品、监狱企业产品、残疾人福利性单位产品价格扣除优惠只享受一次，不得重复享受。</w:t>
      </w:r>
    </w:p>
    <w:p w14:paraId="4257E9D4">
      <w:pPr>
        <w:pStyle w:val="35"/>
        <w:rPr>
          <w:rFonts w:hint="eastAsia" w:ascii="仿宋" w:hAnsi="仿宋" w:eastAsia="仿宋"/>
          <w:color w:val="auto"/>
          <w:spacing w:val="14"/>
          <w:sz w:val="24"/>
          <w:szCs w:val="24"/>
        </w:rPr>
      </w:pPr>
      <w:r>
        <w:rPr>
          <w:rFonts w:hint="eastAsia" w:ascii="仿宋" w:hAnsi="仿宋" w:eastAsia="仿宋"/>
          <w:color w:val="auto"/>
          <w:spacing w:val="14"/>
          <w:sz w:val="24"/>
          <w:szCs w:val="24"/>
        </w:rPr>
        <w:t>（5）根据财政部工业和信息化部《政府采购促进中小企业发展暂行办法》（财库〔2020〕46号）的规定，</w:t>
      </w:r>
      <w:r>
        <w:rPr>
          <w:rFonts w:hint="eastAsia" w:ascii="仿宋" w:hAnsi="仿宋" w:eastAsia="仿宋"/>
          <w:b/>
          <w:bCs/>
          <w:color w:val="auto"/>
          <w:spacing w:val="14"/>
          <w:sz w:val="24"/>
          <w:szCs w:val="24"/>
          <w:lang w:val="en-US" w:eastAsia="zh-CN"/>
        </w:rPr>
        <w:t>如</w:t>
      </w:r>
      <w:r>
        <w:rPr>
          <w:rFonts w:hint="eastAsia" w:ascii="仿宋" w:hAnsi="仿宋" w:eastAsia="仿宋"/>
          <w:b/>
          <w:bCs/>
          <w:color w:val="auto"/>
          <w:spacing w:val="14"/>
          <w:sz w:val="24"/>
          <w:szCs w:val="24"/>
        </w:rPr>
        <w:t>本项目专门面向中小企业或小微企业采购的，评审中价格将均不予扣除</w:t>
      </w:r>
      <w:r>
        <w:rPr>
          <w:rFonts w:hint="eastAsia" w:ascii="仿宋" w:hAnsi="仿宋" w:eastAsia="仿宋"/>
          <w:color w:val="auto"/>
          <w:spacing w:val="14"/>
          <w:sz w:val="24"/>
          <w:szCs w:val="24"/>
        </w:rPr>
        <w:t>。</w:t>
      </w:r>
    </w:p>
    <w:p w14:paraId="1257DF9E">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1.1.6项目编号: 见供应商须知前附表。</w:t>
      </w:r>
    </w:p>
    <w:p w14:paraId="59E672F4">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1.1.</w:t>
      </w:r>
      <w:r>
        <w:rPr>
          <w:rFonts w:hint="eastAsia" w:ascii="仿宋" w:hAnsi="仿宋" w:eastAsia="仿宋"/>
          <w:color w:val="auto"/>
          <w:spacing w:val="14"/>
          <w:sz w:val="24"/>
          <w:szCs w:val="24"/>
          <w:lang w:val="en-US" w:eastAsia="zh-CN"/>
        </w:rPr>
        <w:t>7</w:t>
      </w:r>
      <w:r>
        <w:rPr>
          <w:rFonts w:hint="eastAsia" w:ascii="仿宋" w:hAnsi="仿宋" w:eastAsia="仿宋"/>
          <w:color w:val="auto"/>
          <w:spacing w:val="14"/>
          <w:sz w:val="24"/>
          <w:szCs w:val="24"/>
        </w:rPr>
        <w:t>采购</w:t>
      </w:r>
      <w:r>
        <w:rPr>
          <w:rFonts w:hint="eastAsia" w:ascii="仿宋" w:hAnsi="仿宋" w:eastAsia="仿宋"/>
          <w:color w:val="auto"/>
          <w:spacing w:val="14"/>
          <w:sz w:val="24"/>
          <w:szCs w:val="24"/>
          <w:lang w:val="en-US" w:eastAsia="zh-CN"/>
        </w:rPr>
        <w:t>包</w:t>
      </w:r>
      <w:r>
        <w:rPr>
          <w:rFonts w:hint="eastAsia" w:ascii="仿宋" w:hAnsi="仿宋" w:eastAsia="仿宋"/>
          <w:color w:val="auto"/>
          <w:spacing w:val="14"/>
          <w:sz w:val="24"/>
          <w:szCs w:val="24"/>
        </w:rPr>
        <w:t>划分: 见供应商须知前附表。</w:t>
      </w:r>
    </w:p>
    <w:p w14:paraId="143CF070">
      <w:pPr>
        <w:keepNext/>
        <w:keepLines/>
        <w:spacing w:line="372" w:lineRule="auto"/>
        <w:outlineLvl w:val="3"/>
        <w:rPr>
          <w:rFonts w:hint="eastAsia" w:ascii="仿宋" w:hAnsi="仿宋" w:eastAsia="仿宋" w:cs="Arial"/>
          <w:b/>
          <w:bCs/>
          <w:spacing w:val="14"/>
          <w:sz w:val="28"/>
          <w:szCs w:val="28"/>
        </w:rPr>
      </w:pPr>
      <w:bookmarkStart w:id="40" w:name="_Toc1662592"/>
      <w:bookmarkEnd w:id="40"/>
      <w:r>
        <w:rPr>
          <w:rFonts w:hint="eastAsia" w:ascii="仿宋" w:hAnsi="仿宋" w:eastAsia="仿宋" w:cs="Arial"/>
          <w:b/>
          <w:bCs/>
          <w:spacing w:val="14"/>
          <w:sz w:val="28"/>
          <w:szCs w:val="28"/>
        </w:rPr>
        <w:t>1.2</w:t>
      </w:r>
      <w:r>
        <w:rPr>
          <w:rFonts w:hint="eastAsia" w:ascii="仿宋" w:hAnsi="仿宋" w:eastAsia="仿宋" w:cs="Arial"/>
          <w:b/>
          <w:bCs/>
          <w:sz w:val="28"/>
          <w:szCs w:val="28"/>
        </w:rPr>
        <w:t>采购项目的资金来源及付款方式</w:t>
      </w:r>
    </w:p>
    <w:p w14:paraId="69E038F3">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1.2.1资金来源: 见供应商须知前附表。</w:t>
      </w:r>
    </w:p>
    <w:p w14:paraId="34D3692D">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1.2.2付款方式: 见供应商须知前附表，不接受该条件的响应将被否决。</w:t>
      </w:r>
    </w:p>
    <w:p w14:paraId="3E02E7EB">
      <w:pPr>
        <w:keepNext/>
        <w:keepLines/>
        <w:spacing w:line="372" w:lineRule="auto"/>
        <w:outlineLvl w:val="9"/>
        <w:rPr>
          <w:rFonts w:hint="eastAsia" w:ascii="仿宋" w:hAnsi="仿宋" w:eastAsia="仿宋" w:cs="Arial"/>
          <w:b/>
          <w:bCs/>
          <w:spacing w:val="14"/>
          <w:sz w:val="28"/>
          <w:szCs w:val="28"/>
        </w:rPr>
      </w:pPr>
      <w:bookmarkStart w:id="41" w:name="_Toc1662593"/>
      <w:bookmarkEnd w:id="41"/>
      <w:r>
        <w:rPr>
          <w:rFonts w:hint="eastAsia" w:ascii="仿宋" w:hAnsi="仿宋" w:eastAsia="仿宋" w:cs="Arial"/>
          <w:b/>
          <w:bCs/>
          <w:spacing w:val="14"/>
          <w:sz w:val="28"/>
          <w:szCs w:val="28"/>
        </w:rPr>
        <w:t>1.3合同履行期限（交货期）、质量要求等</w:t>
      </w:r>
    </w:p>
    <w:p w14:paraId="032950B5">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1.3.1合同履行期限（交货期）：见供应商须知前附表。</w:t>
      </w:r>
    </w:p>
    <w:p w14:paraId="097F4DB4">
      <w:pPr>
        <w:pStyle w:val="13"/>
        <w:rPr>
          <w:rFonts w:hint="eastAsia" w:ascii="仿宋" w:hAnsi="仿宋" w:eastAsia="仿宋"/>
          <w:color w:val="auto"/>
          <w:spacing w:val="14"/>
          <w:sz w:val="24"/>
          <w:szCs w:val="24"/>
          <w:lang w:val="en-US" w:eastAsia="zh-CN"/>
        </w:rPr>
      </w:pPr>
      <w:r>
        <w:rPr>
          <w:rFonts w:hint="eastAsia" w:ascii="仿宋" w:hAnsi="仿宋" w:eastAsia="仿宋"/>
          <w:color w:val="auto"/>
          <w:spacing w:val="14"/>
          <w:sz w:val="24"/>
          <w:szCs w:val="24"/>
        </w:rPr>
        <w:t>1.3.2</w:t>
      </w:r>
      <w:r>
        <w:rPr>
          <w:rFonts w:hint="eastAsia" w:ascii="仿宋" w:hAnsi="仿宋" w:eastAsia="仿宋"/>
          <w:color w:val="auto"/>
          <w:spacing w:val="14"/>
          <w:sz w:val="24"/>
          <w:szCs w:val="24"/>
          <w:lang w:val="en-US" w:eastAsia="zh-CN"/>
        </w:rPr>
        <w:t>交货地点：见供应商须知前附表。</w:t>
      </w:r>
    </w:p>
    <w:p w14:paraId="739A8482">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1.3.</w:t>
      </w:r>
      <w:r>
        <w:rPr>
          <w:rFonts w:hint="eastAsia" w:ascii="仿宋" w:hAnsi="仿宋" w:eastAsia="仿宋"/>
          <w:color w:val="auto"/>
          <w:spacing w:val="14"/>
          <w:sz w:val="24"/>
          <w:szCs w:val="24"/>
          <w:lang w:val="en-US" w:eastAsia="zh-CN"/>
        </w:rPr>
        <w:t>3质量要求：见供应商须知前附表。</w:t>
      </w:r>
    </w:p>
    <w:p w14:paraId="03DDD6C8">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1.3.</w:t>
      </w:r>
      <w:r>
        <w:rPr>
          <w:rFonts w:hint="eastAsia" w:ascii="仿宋" w:hAnsi="仿宋" w:eastAsia="仿宋"/>
          <w:color w:val="auto"/>
          <w:spacing w:val="14"/>
          <w:sz w:val="24"/>
          <w:szCs w:val="24"/>
          <w:lang w:val="en-US" w:eastAsia="zh-CN"/>
        </w:rPr>
        <w:t>4</w:t>
      </w:r>
      <w:r>
        <w:rPr>
          <w:rFonts w:hint="eastAsia" w:ascii="仿宋" w:hAnsi="仿宋" w:eastAsia="仿宋"/>
          <w:color w:val="auto"/>
          <w:spacing w:val="14"/>
          <w:sz w:val="24"/>
          <w:szCs w:val="24"/>
        </w:rPr>
        <w:t>履约验收：见供应商须知前附表。</w:t>
      </w:r>
    </w:p>
    <w:p w14:paraId="40B9B4DF">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1.3.</w:t>
      </w:r>
      <w:r>
        <w:rPr>
          <w:rFonts w:hint="eastAsia" w:ascii="仿宋" w:hAnsi="仿宋" w:eastAsia="仿宋"/>
          <w:color w:val="auto"/>
          <w:spacing w:val="14"/>
          <w:sz w:val="24"/>
          <w:szCs w:val="24"/>
          <w:lang w:val="en-US" w:eastAsia="zh-CN"/>
        </w:rPr>
        <w:t>5质保期</w:t>
      </w:r>
      <w:r>
        <w:rPr>
          <w:rFonts w:hint="eastAsia" w:ascii="仿宋" w:hAnsi="仿宋" w:eastAsia="仿宋"/>
          <w:color w:val="auto"/>
          <w:spacing w:val="14"/>
          <w:sz w:val="24"/>
          <w:szCs w:val="24"/>
        </w:rPr>
        <w:t>：见供应商须知前附表。</w:t>
      </w:r>
    </w:p>
    <w:p w14:paraId="0B541673">
      <w:pPr>
        <w:pStyle w:val="13"/>
        <w:rPr>
          <w:rFonts w:hint="eastAsia"/>
        </w:rPr>
      </w:pPr>
      <w:r>
        <w:rPr>
          <w:rFonts w:hint="eastAsia" w:ascii="仿宋" w:hAnsi="仿宋" w:eastAsia="仿宋"/>
          <w:color w:val="auto"/>
          <w:spacing w:val="14"/>
          <w:sz w:val="24"/>
          <w:szCs w:val="24"/>
        </w:rPr>
        <w:t>1.3.</w:t>
      </w:r>
      <w:r>
        <w:rPr>
          <w:rFonts w:hint="eastAsia" w:ascii="仿宋" w:hAnsi="仿宋" w:eastAsia="仿宋"/>
          <w:color w:val="auto"/>
          <w:spacing w:val="14"/>
          <w:sz w:val="24"/>
          <w:szCs w:val="24"/>
          <w:lang w:val="en-US" w:eastAsia="zh-CN"/>
        </w:rPr>
        <w:t>6售后服务</w:t>
      </w:r>
      <w:r>
        <w:rPr>
          <w:rFonts w:hint="eastAsia" w:ascii="仿宋" w:hAnsi="仿宋" w:eastAsia="仿宋"/>
          <w:color w:val="auto"/>
          <w:spacing w:val="14"/>
          <w:sz w:val="24"/>
          <w:szCs w:val="24"/>
        </w:rPr>
        <w:t>：见供应商须知前附表。</w:t>
      </w:r>
    </w:p>
    <w:p w14:paraId="69F367AF">
      <w:pPr>
        <w:keepNext/>
        <w:keepLines/>
        <w:spacing w:line="372" w:lineRule="auto"/>
        <w:outlineLvl w:val="3"/>
        <w:rPr>
          <w:rFonts w:hint="eastAsia" w:ascii="仿宋" w:hAnsi="仿宋" w:eastAsia="仿宋" w:cs="Arial"/>
          <w:b/>
          <w:bCs/>
          <w:spacing w:val="14"/>
          <w:sz w:val="28"/>
          <w:szCs w:val="28"/>
        </w:rPr>
      </w:pPr>
      <w:bookmarkStart w:id="42" w:name="_Toc1662594"/>
      <w:bookmarkEnd w:id="42"/>
      <w:r>
        <w:rPr>
          <w:rFonts w:hint="eastAsia" w:ascii="仿宋" w:hAnsi="仿宋" w:eastAsia="仿宋" w:cs="Arial"/>
          <w:b/>
          <w:bCs/>
          <w:spacing w:val="14"/>
          <w:sz w:val="28"/>
          <w:szCs w:val="28"/>
        </w:rPr>
        <w:t>1.4 供应商资格要求</w:t>
      </w:r>
    </w:p>
    <w:p w14:paraId="16CF0DDD">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1.4.1供应商资格要求：供应商应当符合《政府采购法》第二十二条第一款规定的条件，具体供应商见须知前附表。</w:t>
      </w:r>
    </w:p>
    <w:p w14:paraId="3A6C335E">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1.4.2供应商须知前附表规定接受联合体的，联合体除应符合本章第 1.4.1 项和供应商须知前附表的要求外，还应遵守以下规定：</w:t>
      </w:r>
    </w:p>
    <w:p w14:paraId="67425C0F">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（1）联合体各方应按磋商文件提供的格式签订联合体协议书，明确联合体牵头人和各方权利义务，并承诺就成交项目向采购人承担连带责任；</w:t>
      </w:r>
    </w:p>
    <w:p w14:paraId="0B486469">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（2）两个以上的自然人、法人或者其他组织可以组成一个联合体，以一个供应商的身份共同参加政府采购。</w:t>
      </w:r>
    </w:p>
    <w:p w14:paraId="398A1B81">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3）联合体各方均应当符合《政府采购法》第二十二条第一款规定的条件，根据采购项目的特殊要求规定供应商特定条件的，联合体各方中至少应当有一方符合采购公告规定的供应商资格条件。联合体中有同类资质的供应商按照联合体分工承担相同工作的，应当按照资质等级较低的供应商确定资质等级。</w:t>
      </w:r>
    </w:p>
    <w:p w14:paraId="0F3A1405">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（4）联合体各方不得再以自己名义单独或参加其他联合体在本采购项目中参与，否则各相关响应文件均无效。</w:t>
      </w:r>
    </w:p>
    <w:p w14:paraId="7DF9B337">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1.4.3供应商不得存在下列情形之一：</w:t>
      </w:r>
    </w:p>
    <w:p w14:paraId="11F1C877">
      <w:pPr>
        <w:pStyle w:val="13"/>
        <w:rPr>
          <w:rFonts w:hint="eastAsia" w:ascii="仿宋" w:hAnsi="仿宋" w:eastAsia="仿宋"/>
          <w:color w:val="auto"/>
          <w:spacing w:val="14"/>
          <w:sz w:val="24"/>
          <w:szCs w:val="24"/>
        </w:rPr>
      </w:pPr>
      <w:bookmarkStart w:id="43" w:name="_Toc1662595"/>
      <w:bookmarkEnd w:id="43"/>
      <w:r>
        <w:rPr>
          <w:rFonts w:hint="eastAsia" w:ascii="仿宋" w:hAnsi="仿宋" w:eastAsia="仿宋"/>
          <w:color w:val="auto"/>
          <w:spacing w:val="14"/>
          <w:sz w:val="24"/>
          <w:szCs w:val="24"/>
        </w:rPr>
        <w:t>（1）与采购人存在利害关系且可能影响采购公正性；</w:t>
      </w:r>
    </w:p>
    <w:p w14:paraId="73BC9B2F">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（2）与本采购项目的其他供应商为同一个单位负责人；</w:t>
      </w:r>
    </w:p>
    <w:p w14:paraId="471CD779">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（3）与本采购项目的其他供应商存在直接控股、管理关系；</w:t>
      </w:r>
    </w:p>
    <w:p w14:paraId="40C60EE5">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（4）为本采购项目提供整体设计、规范编制或者项目管理、监理等服务；</w:t>
      </w:r>
    </w:p>
    <w:p w14:paraId="32B5B1CA">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（5）为本采购项目的采购代理机构或与采购代理机构同为一个法定代表人；</w:t>
      </w:r>
    </w:p>
    <w:p w14:paraId="69D6748E">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（6）因违法经营受到刑事处罚或者责令停产停业、吊销许可证或者执照、较大数额罚款等行政处罚；</w:t>
      </w:r>
    </w:p>
    <w:p w14:paraId="13708F4F">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（7）进入清算程序，或被宣告破产，或其他丧失履约能力的情形；</w:t>
      </w:r>
    </w:p>
    <w:p w14:paraId="56BF664D">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（8）在近三年内供应商有行贿犯罪行为的；</w:t>
      </w:r>
    </w:p>
    <w:p w14:paraId="26779E79">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（9）法律法规或供应商须知前附表规定的其他情形。</w:t>
      </w:r>
    </w:p>
    <w:p w14:paraId="5A4E5E1B">
      <w:pPr>
        <w:keepNext/>
        <w:keepLines/>
        <w:spacing w:line="440" w:lineRule="exact"/>
        <w:outlineLvl w:val="9"/>
        <w:rPr>
          <w:rFonts w:hint="eastAsia" w:ascii="仿宋" w:hAnsi="仿宋" w:eastAsia="仿宋" w:cs="Arial"/>
          <w:b/>
          <w:bCs/>
          <w:spacing w:val="14"/>
          <w:sz w:val="28"/>
          <w:szCs w:val="28"/>
        </w:rPr>
      </w:pPr>
      <w:r>
        <w:rPr>
          <w:rFonts w:hint="eastAsia" w:ascii="仿宋" w:hAnsi="仿宋" w:eastAsia="仿宋" w:cs="Arial"/>
          <w:b/>
          <w:bCs/>
          <w:spacing w:val="14"/>
          <w:sz w:val="28"/>
          <w:szCs w:val="28"/>
        </w:rPr>
        <w:t>1.5 费用承担</w:t>
      </w:r>
    </w:p>
    <w:p w14:paraId="055B5D19">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供应商准备和参加采购活动发生的费用自理。</w:t>
      </w:r>
    </w:p>
    <w:p w14:paraId="0BE2BF27">
      <w:pPr>
        <w:keepNext/>
        <w:keepLines/>
        <w:spacing w:line="440" w:lineRule="exact"/>
        <w:outlineLvl w:val="3"/>
        <w:rPr>
          <w:rFonts w:hint="eastAsia" w:ascii="仿宋" w:hAnsi="仿宋" w:eastAsia="仿宋" w:cs="Arial"/>
          <w:b/>
          <w:bCs/>
          <w:spacing w:val="14"/>
          <w:sz w:val="28"/>
          <w:szCs w:val="28"/>
        </w:rPr>
      </w:pPr>
      <w:bookmarkStart w:id="44" w:name="_Toc1662596"/>
      <w:bookmarkEnd w:id="44"/>
      <w:r>
        <w:rPr>
          <w:rFonts w:hint="eastAsia" w:ascii="仿宋" w:hAnsi="仿宋" w:eastAsia="仿宋" w:cs="Arial"/>
          <w:b/>
          <w:bCs/>
          <w:spacing w:val="14"/>
          <w:sz w:val="28"/>
          <w:szCs w:val="28"/>
        </w:rPr>
        <w:t>1.6 保密</w:t>
      </w:r>
    </w:p>
    <w:p w14:paraId="58891E1E">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参与采购活动的各方应对磋商文件和响应文件中的商业和技术等秘密保密，否则应承担相应的法律责任。</w:t>
      </w:r>
    </w:p>
    <w:p w14:paraId="1552F32C">
      <w:pPr>
        <w:keepNext/>
        <w:keepLines/>
        <w:spacing w:line="440" w:lineRule="exact"/>
        <w:outlineLvl w:val="3"/>
        <w:rPr>
          <w:rFonts w:hint="eastAsia" w:ascii="仿宋" w:hAnsi="仿宋" w:eastAsia="仿宋" w:cs="Arial"/>
          <w:b/>
          <w:bCs/>
          <w:spacing w:val="14"/>
          <w:sz w:val="28"/>
          <w:szCs w:val="28"/>
        </w:rPr>
      </w:pPr>
      <w:bookmarkStart w:id="45" w:name="_Toc1662597"/>
      <w:bookmarkEnd w:id="45"/>
      <w:r>
        <w:rPr>
          <w:rFonts w:hint="eastAsia" w:ascii="仿宋" w:hAnsi="仿宋" w:eastAsia="仿宋" w:cs="Arial"/>
          <w:b/>
          <w:bCs/>
          <w:spacing w:val="14"/>
          <w:sz w:val="28"/>
          <w:szCs w:val="28"/>
        </w:rPr>
        <w:t>1.7 语言文字</w:t>
      </w:r>
    </w:p>
    <w:p w14:paraId="07C68F28">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磋商文件、响应文件使用的语言文字为中文。专用术语使用外文的，应附有中文注释。</w:t>
      </w:r>
    </w:p>
    <w:p w14:paraId="0E4BEC23">
      <w:pPr>
        <w:keepNext/>
        <w:keepLines/>
        <w:spacing w:line="440" w:lineRule="exact"/>
        <w:outlineLvl w:val="3"/>
        <w:rPr>
          <w:rFonts w:hint="eastAsia" w:ascii="仿宋" w:hAnsi="仿宋" w:eastAsia="仿宋" w:cs="Arial"/>
          <w:b/>
          <w:bCs/>
          <w:spacing w:val="14"/>
          <w:sz w:val="28"/>
          <w:szCs w:val="28"/>
        </w:rPr>
      </w:pPr>
      <w:bookmarkStart w:id="46" w:name="_Toc1662598"/>
      <w:bookmarkEnd w:id="46"/>
      <w:r>
        <w:rPr>
          <w:rFonts w:hint="eastAsia" w:ascii="仿宋" w:hAnsi="仿宋" w:eastAsia="仿宋" w:cs="Arial"/>
          <w:b/>
          <w:bCs/>
          <w:spacing w:val="14"/>
          <w:sz w:val="28"/>
          <w:szCs w:val="28"/>
        </w:rPr>
        <w:t>1.8 计量单位</w:t>
      </w:r>
    </w:p>
    <w:p w14:paraId="1C60D980">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所有计量均采用中华人民共和国法定计量单位。</w:t>
      </w:r>
    </w:p>
    <w:p w14:paraId="4070977E">
      <w:pPr>
        <w:keepNext/>
        <w:keepLines/>
        <w:spacing w:line="440" w:lineRule="exact"/>
        <w:outlineLvl w:val="3"/>
        <w:rPr>
          <w:rFonts w:hint="eastAsia" w:ascii="仿宋" w:hAnsi="仿宋" w:eastAsia="仿宋" w:cs="Arial"/>
          <w:b/>
          <w:bCs/>
          <w:spacing w:val="14"/>
          <w:sz w:val="28"/>
          <w:szCs w:val="28"/>
        </w:rPr>
      </w:pPr>
      <w:bookmarkStart w:id="47" w:name="_Toc1662599"/>
      <w:bookmarkEnd w:id="47"/>
      <w:r>
        <w:rPr>
          <w:rFonts w:hint="eastAsia" w:ascii="仿宋" w:hAnsi="仿宋" w:eastAsia="仿宋" w:cs="Arial"/>
          <w:b/>
          <w:bCs/>
          <w:spacing w:val="14"/>
          <w:sz w:val="28"/>
          <w:szCs w:val="28"/>
        </w:rPr>
        <w:t>1.9 磋商预备会</w:t>
      </w:r>
    </w:p>
    <w:p w14:paraId="672CBBF4">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1.9.1供应商须知前附表规定召开磋商预备会的，采购人按供应商须知前附表规定的时间和地点召开磋商预备会，澄清提出的问题。</w:t>
      </w:r>
    </w:p>
    <w:p w14:paraId="5F9D642B">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1.9.2供应商应按供应商须知前附表规定的时间和形式将提出的问题送达采购人，以便采购人在会议期间澄清。</w:t>
      </w:r>
    </w:p>
    <w:p w14:paraId="1E45FFCF">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1.9.3磋商预备会后，采购人对供应商所提问题的澄清为磋商文件的组成部分。</w:t>
      </w:r>
    </w:p>
    <w:p w14:paraId="5FE4AC1D">
      <w:pPr>
        <w:keepNext/>
        <w:keepLines/>
        <w:spacing w:line="440" w:lineRule="exact"/>
        <w:outlineLvl w:val="3"/>
        <w:rPr>
          <w:rFonts w:hint="eastAsia" w:ascii="仿宋" w:hAnsi="仿宋" w:eastAsia="仿宋" w:cs="Arial"/>
          <w:b/>
          <w:bCs/>
          <w:spacing w:val="14"/>
          <w:sz w:val="28"/>
          <w:szCs w:val="28"/>
        </w:rPr>
      </w:pPr>
      <w:bookmarkStart w:id="48" w:name="_Toc1662600"/>
      <w:bookmarkEnd w:id="48"/>
      <w:r>
        <w:rPr>
          <w:rFonts w:hint="eastAsia" w:ascii="仿宋" w:hAnsi="仿宋" w:eastAsia="仿宋" w:cs="Arial"/>
          <w:b/>
          <w:bCs/>
          <w:spacing w:val="14"/>
          <w:sz w:val="28"/>
          <w:szCs w:val="28"/>
        </w:rPr>
        <w:t>1.10 分包</w:t>
      </w:r>
    </w:p>
    <w:p w14:paraId="7C1D2634">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1.10.1供应商拟在成交后将成交项目的非主体货物进行分包的，应符合供应商须知前附表规定的分包内容、分包金额和资质要求等限制性条件，除供应商须知前附表规定的非主体货物外，其他工作不得分包。</w:t>
      </w:r>
    </w:p>
    <w:p w14:paraId="6F8D2E53">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1.10.2成交供应商不得向他人转让成交项目，接受分包的人不得再次分包。成交供应商应当就分包项目向采购人负责，接受分包的人就分包项目承担连带责任。</w:t>
      </w:r>
    </w:p>
    <w:p w14:paraId="1A440919">
      <w:pPr>
        <w:keepNext/>
        <w:keepLines/>
        <w:spacing w:line="440" w:lineRule="exact"/>
        <w:outlineLvl w:val="3"/>
        <w:rPr>
          <w:rFonts w:hint="eastAsia" w:ascii="仿宋" w:hAnsi="仿宋" w:eastAsia="仿宋" w:cs="Arial"/>
          <w:b/>
          <w:bCs/>
          <w:spacing w:val="14"/>
          <w:sz w:val="28"/>
          <w:szCs w:val="28"/>
        </w:rPr>
      </w:pPr>
      <w:bookmarkStart w:id="49" w:name="_Toc1662601"/>
      <w:bookmarkEnd w:id="49"/>
      <w:r>
        <w:rPr>
          <w:rFonts w:hint="eastAsia" w:ascii="仿宋" w:hAnsi="仿宋" w:eastAsia="仿宋" w:cs="Arial"/>
          <w:b/>
          <w:bCs/>
          <w:spacing w:val="14"/>
          <w:sz w:val="28"/>
          <w:szCs w:val="28"/>
        </w:rPr>
        <w:t>1.11 响应和偏差</w:t>
      </w:r>
    </w:p>
    <w:p w14:paraId="7439E250">
      <w:pPr>
        <w:pStyle w:val="42"/>
        <w:ind w:firstLine="539"/>
        <w:rPr>
          <w:rFonts w:hint="eastAsia" w:ascii="仿宋" w:hAnsi="仿宋" w:eastAsia="仿宋"/>
          <w:color w:val="auto"/>
          <w:spacing w:val="14"/>
          <w:kern w:val="0"/>
          <w:sz w:val="24"/>
          <w:szCs w:val="24"/>
        </w:rPr>
      </w:pPr>
      <w:bookmarkStart w:id="50" w:name="_Toc1662602"/>
      <w:bookmarkEnd w:id="50"/>
      <w:bookmarkStart w:id="51" w:name="_Toc26764"/>
      <w:bookmarkEnd w:id="51"/>
      <w:bookmarkStart w:id="52" w:name="_Toc256000004"/>
      <w:bookmarkEnd w:id="52"/>
      <w:bookmarkStart w:id="53" w:name="_Toc256000034"/>
      <w:r>
        <w:rPr>
          <w:rFonts w:hint="eastAsia" w:ascii="仿宋" w:hAnsi="仿宋" w:eastAsia="仿宋"/>
          <w:color w:val="auto"/>
          <w:spacing w:val="14"/>
          <w:kern w:val="0"/>
          <w:sz w:val="24"/>
          <w:szCs w:val="24"/>
        </w:rPr>
        <w:t>1.11.1 响应文件应当对磋商文件的实质性要求和条件作出满足性或更有利于采购人的响应，否则，供应商的投标将被否决。实质性要求和条件见供应商须知前附表。</w:t>
      </w:r>
      <w:bookmarkEnd w:id="53"/>
    </w:p>
    <w:p w14:paraId="6E640145">
      <w:pPr>
        <w:pStyle w:val="42"/>
        <w:ind w:firstLine="539"/>
        <w:rPr>
          <w:rFonts w:hint="eastAsia" w:ascii="仿宋" w:hAnsi="仿宋" w:eastAsia="仿宋"/>
          <w:color w:val="auto"/>
          <w:spacing w:val="14"/>
          <w:sz w:val="24"/>
          <w:szCs w:val="24"/>
        </w:rPr>
      </w:pPr>
      <w:r>
        <w:rPr>
          <w:rFonts w:hint="eastAsia" w:ascii="仿宋" w:hAnsi="仿宋" w:eastAsia="仿宋"/>
          <w:color w:val="auto"/>
          <w:spacing w:val="14"/>
          <w:kern w:val="0"/>
          <w:sz w:val="24"/>
          <w:szCs w:val="24"/>
        </w:rPr>
        <w:t>1.11.2 供应商应根据磋商文件的要求</w:t>
      </w:r>
      <w:r>
        <w:rPr>
          <w:rFonts w:hint="eastAsia" w:ascii="仿宋" w:hAnsi="仿宋" w:eastAsia="仿宋"/>
          <w:color w:val="auto"/>
          <w:spacing w:val="14"/>
          <w:sz w:val="24"/>
          <w:szCs w:val="24"/>
        </w:rPr>
        <w:t>提供服务要求响应与偏差表、商务要求响应与偏差表等内容以对招标文件作出响应。</w:t>
      </w:r>
    </w:p>
    <w:p w14:paraId="010CBDDE">
      <w:pPr>
        <w:pStyle w:val="42"/>
        <w:ind w:firstLine="539"/>
        <w:rPr>
          <w:rFonts w:hint="eastAsia" w:ascii="仿宋" w:hAnsi="仿宋" w:eastAsia="仿宋"/>
          <w:color w:val="auto"/>
          <w:spacing w:val="14"/>
          <w:kern w:val="0"/>
          <w:sz w:val="24"/>
          <w:szCs w:val="24"/>
        </w:rPr>
      </w:pPr>
      <w:r>
        <w:rPr>
          <w:rFonts w:hint="eastAsia" w:ascii="仿宋" w:hAnsi="仿宋" w:eastAsia="仿宋"/>
          <w:color w:val="auto"/>
          <w:spacing w:val="14"/>
          <w:kern w:val="0"/>
          <w:sz w:val="24"/>
          <w:szCs w:val="24"/>
        </w:rPr>
        <w:t>1.11.3 供应商须知前附表规定了可以偏差的范围和最高偏差项数的，偏差应当符合供应商须知前附表规定的偏差范围和最高项数，超出偏差范围和最高偏差项数的投标将被否决。</w:t>
      </w:r>
    </w:p>
    <w:p w14:paraId="4271C47B">
      <w:pPr>
        <w:pStyle w:val="42"/>
        <w:ind w:firstLine="539"/>
        <w:rPr>
          <w:rFonts w:hint="eastAsia" w:ascii="仿宋" w:hAnsi="仿宋" w:eastAsia="仿宋"/>
          <w:color w:val="auto"/>
          <w:spacing w:val="14"/>
          <w:kern w:val="0"/>
          <w:sz w:val="24"/>
          <w:szCs w:val="24"/>
        </w:rPr>
      </w:pPr>
      <w:r>
        <w:rPr>
          <w:rFonts w:hint="eastAsia" w:ascii="仿宋" w:hAnsi="仿宋" w:eastAsia="仿宋"/>
          <w:color w:val="auto"/>
          <w:spacing w:val="14"/>
          <w:kern w:val="0"/>
          <w:sz w:val="24"/>
          <w:szCs w:val="24"/>
        </w:rPr>
        <w:t>1.11.4 响应文件对招标文件的全部偏差，均应在响应文件的商务要求响应与偏差表中列明，除列明的内容外，视为供应商响应招标文件的全部要求。</w:t>
      </w:r>
    </w:p>
    <w:p w14:paraId="61424B74">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1.11.5如响应文件服务要求响应与偏差表、商务要求响应与偏差表中列明的内容与响应文件的其他地方存在不一致，以服务要求响应与偏差表、商务要求响应与偏差表中列明的内容为准。</w:t>
      </w:r>
    </w:p>
    <w:p w14:paraId="37BE575D">
      <w:pPr>
        <w:keepNext/>
        <w:keepLines/>
        <w:spacing w:before="260" w:after="260" w:line="440" w:lineRule="exact"/>
        <w:outlineLvl w:val="2"/>
        <w:rPr>
          <w:rFonts w:hint="eastAsia" w:ascii="仿宋" w:hAnsi="仿宋" w:eastAsia="仿宋"/>
          <w:b/>
          <w:bCs/>
          <w:sz w:val="28"/>
          <w:szCs w:val="28"/>
        </w:rPr>
      </w:pPr>
      <w:bookmarkStart w:id="54" w:name="_Toc256000018"/>
      <w:bookmarkEnd w:id="54"/>
      <w:bookmarkStart w:id="55" w:name="_Toc23046"/>
      <w:bookmarkStart w:id="56" w:name="_Toc20059"/>
      <w:bookmarkStart w:id="57" w:name="_Toc130305928"/>
      <w:bookmarkStart w:id="58" w:name="_Toc256000031"/>
      <w:bookmarkStart w:id="59" w:name="_Toc16803"/>
      <w:bookmarkStart w:id="60" w:name="_Toc11806"/>
      <w:r>
        <w:rPr>
          <w:rFonts w:hint="eastAsia" w:ascii="仿宋" w:hAnsi="仿宋" w:eastAsia="仿宋"/>
          <w:b/>
          <w:bCs/>
          <w:sz w:val="28"/>
          <w:szCs w:val="28"/>
        </w:rPr>
        <w:t>2、磋商文件</w:t>
      </w:r>
      <w:bookmarkEnd w:id="55"/>
      <w:bookmarkEnd w:id="56"/>
      <w:bookmarkEnd w:id="57"/>
      <w:bookmarkEnd w:id="58"/>
      <w:bookmarkEnd w:id="59"/>
      <w:bookmarkEnd w:id="60"/>
    </w:p>
    <w:p w14:paraId="036A17E6">
      <w:pPr>
        <w:keepNext/>
        <w:keepLines/>
        <w:spacing w:line="440" w:lineRule="exact"/>
        <w:outlineLvl w:val="3"/>
        <w:rPr>
          <w:rFonts w:hint="eastAsia" w:ascii="仿宋" w:hAnsi="仿宋" w:eastAsia="仿宋" w:cs="Arial"/>
          <w:b/>
          <w:bCs/>
          <w:spacing w:val="14"/>
          <w:sz w:val="28"/>
          <w:szCs w:val="28"/>
        </w:rPr>
      </w:pPr>
      <w:bookmarkStart w:id="61" w:name="_Toc1662603"/>
      <w:bookmarkEnd w:id="61"/>
      <w:r>
        <w:rPr>
          <w:rFonts w:hint="eastAsia" w:ascii="仿宋" w:hAnsi="仿宋" w:eastAsia="仿宋" w:cs="Arial"/>
          <w:b/>
          <w:bCs/>
          <w:spacing w:val="14"/>
          <w:sz w:val="28"/>
          <w:szCs w:val="28"/>
        </w:rPr>
        <w:t>2.1 磋商文件的组成</w:t>
      </w:r>
    </w:p>
    <w:p w14:paraId="132BD476">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本磋商文件包括：</w:t>
      </w:r>
    </w:p>
    <w:p w14:paraId="556F66CE">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（1）采购公告；</w:t>
      </w:r>
    </w:p>
    <w:p w14:paraId="4A47143E">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（2）供应商须知； </w:t>
      </w:r>
    </w:p>
    <w:p w14:paraId="292964CC">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（3）采购需求；</w:t>
      </w:r>
    </w:p>
    <w:p w14:paraId="29764514">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（4）合同（样本）；</w:t>
      </w:r>
    </w:p>
    <w:p w14:paraId="6D8F4CD3">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（5）资格审查与评审办法；</w:t>
      </w:r>
    </w:p>
    <w:p w14:paraId="56AAAC5F">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（6）资格审查与评审标准；</w:t>
      </w:r>
    </w:p>
    <w:p w14:paraId="371D2091">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（7）响应文件格式。</w:t>
      </w:r>
    </w:p>
    <w:p w14:paraId="0818CF77">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根据本章第 1.9 款、第 2.2 款对磋商文件所作的澄清、修改，构成磋商文件的组成部分。</w:t>
      </w:r>
    </w:p>
    <w:p w14:paraId="76817B2D">
      <w:pPr>
        <w:keepNext/>
        <w:keepLines/>
        <w:spacing w:line="440" w:lineRule="exact"/>
        <w:outlineLvl w:val="3"/>
        <w:rPr>
          <w:rFonts w:hint="eastAsia" w:ascii="仿宋" w:hAnsi="仿宋" w:eastAsia="仿宋" w:cs="Arial"/>
          <w:b/>
          <w:bCs/>
          <w:spacing w:val="14"/>
          <w:sz w:val="28"/>
          <w:szCs w:val="28"/>
        </w:rPr>
      </w:pPr>
      <w:bookmarkStart w:id="62" w:name="_Toc1662604"/>
      <w:bookmarkEnd w:id="62"/>
      <w:r>
        <w:rPr>
          <w:rFonts w:hint="eastAsia" w:ascii="仿宋" w:hAnsi="仿宋" w:eastAsia="仿宋" w:cs="Arial"/>
          <w:b/>
          <w:bCs/>
          <w:spacing w:val="14"/>
          <w:sz w:val="28"/>
          <w:szCs w:val="28"/>
        </w:rPr>
        <w:t>2.2 磋商文件的澄清</w:t>
      </w:r>
    </w:p>
    <w:p w14:paraId="30BFA584">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2.2.1供应商应仔细阅读和检查磋商文件的全部内容。如发现缺页或附件不全，应及时向采购代理机构提出，以便补齐。如有疑问，应按供应商须知前附表规定的时间和形式将提出的问题送达采购代理机构，要求对磋商文件予以澄清。</w:t>
      </w:r>
    </w:p>
    <w:p w14:paraId="3463AD68">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2.2.2 磋商文件的澄清、修改按供应商须知前附表规定的形式发出。澄清、修改发出的时间距提交响应文件截止时间不足5日的，并且修改内容可能影响响应文件编制的，将相应延长提交响应文件截止时间。</w:t>
      </w:r>
    </w:p>
    <w:p w14:paraId="43921E72">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2.2.3 除非采购人认为确有必要答复，否则，采购人有权拒绝回复供应商在本章第 2.2.1 项规定的时间后的任何澄清要求。</w:t>
      </w:r>
    </w:p>
    <w:p w14:paraId="136535DA">
      <w:pPr>
        <w:keepNext/>
        <w:keepLines/>
        <w:spacing w:line="440" w:lineRule="exact"/>
        <w:outlineLvl w:val="3"/>
        <w:rPr>
          <w:rFonts w:hint="eastAsia" w:ascii="仿宋" w:hAnsi="仿宋" w:eastAsia="仿宋" w:cs="Arial"/>
          <w:b/>
          <w:bCs/>
          <w:spacing w:val="14"/>
          <w:sz w:val="28"/>
          <w:szCs w:val="28"/>
        </w:rPr>
      </w:pPr>
      <w:bookmarkStart w:id="63" w:name="_Toc1662605"/>
      <w:bookmarkEnd w:id="63"/>
      <w:r>
        <w:rPr>
          <w:rFonts w:hint="eastAsia" w:ascii="仿宋" w:hAnsi="仿宋" w:eastAsia="仿宋" w:cs="Arial"/>
          <w:b/>
          <w:bCs/>
          <w:spacing w:val="14"/>
          <w:sz w:val="28"/>
          <w:szCs w:val="28"/>
        </w:rPr>
        <w:t>2.3 磋商文件的异议</w:t>
      </w:r>
    </w:p>
    <w:p w14:paraId="095AF777">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供应商或者其他利害关系人对磋商文件有质疑的，应当在提交响应文件截止时间5日前以书面形式提出。</w:t>
      </w:r>
    </w:p>
    <w:p w14:paraId="67C7D93F">
      <w:pPr>
        <w:keepNext/>
        <w:keepLines/>
        <w:spacing w:before="260" w:after="260" w:line="440" w:lineRule="exact"/>
        <w:outlineLvl w:val="9"/>
        <w:rPr>
          <w:rFonts w:hint="eastAsia" w:ascii="仿宋" w:hAnsi="仿宋" w:eastAsia="仿宋"/>
          <w:b/>
          <w:bCs/>
          <w:sz w:val="28"/>
          <w:szCs w:val="28"/>
          <w:highlight w:val="none"/>
        </w:rPr>
      </w:pPr>
      <w:bookmarkStart w:id="64" w:name="_Toc256000035"/>
      <w:bookmarkEnd w:id="64"/>
      <w:bookmarkStart w:id="65" w:name="_Toc1662606"/>
      <w:bookmarkEnd w:id="65"/>
      <w:bookmarkStart w:id="66" w:name="_Toc30496"/>
      <w:bookmarkEnd w:id="66"/>
      <w:bookmarkStart w:id="67" w:name="_Toc256000005"/>
      <w:bookmarkEnd w:id="67"/>
      <w:bookmarkStart w:id="68" w:name="_Toc256000025"/>
      <w:bookmarkEnd w:id="68"/>
      <w:bookmarkStart w:id="69" w:name="_Toc130305929"/>
      <w:bookmarkStart w:id="70" w:name="_Toc30115"/>
      <w:bookmarkStart w:id="71" w:name="_Toc25157"/>
      <w:bookmarkStart w:id="72" w:name="_Toc10418"/>
      <w:bookmarkStart w:id="73" w:name="_Toc256000032"/>
      <w:r>
        <w:rPr>
          <w:rFonts w:hint="eastAsia" w:ascii="仿宋" w:hAnsi="仿宋" w:eastAsia="仿宋"/>
          <w:b/>
          <w:bCs/>
          <w:sz w:val="28"/>
          <w:szCs w:val="28"/>
          <w:highlight w:val="none"/>
        </w:rPr>
        <w:t>3、响应文件</w:t>
      </w:r>
      <w:bookmarkEnd w:id="69"/>
      <w:bookmarkEnd w:id="70"/>
      <w:bookmarkEnd w:id="71"/>
      <w:bookmarkEnd w:id="72"/>
      <w:bookmarkEnd w:id="73"/>
    </w:p>
    <w:p w14:paraId="5916433B">
      <w:pPr>
        <w:keepNext/>
        <w:keepLines/>
        <w:spacing w:line="440" w:lineRule="exact"/>
        <w:outlineLvl w:val="3"/>
        <w:rPr>
          <w:rFonts w:hint="eastAsia" w:ascii="仿宋" w:hAnsi="仿宋" w:eastAsia="仿宋" w:cs="Arial"/>
          <w:b/>
          <w:bCs/>
          <w:spacing w:val="14"/>
          <w:sz w:val="28"/>
          <w:szCs w:val="28"/>
          <w:highlight w:val="none"/>
        </w:rPr>
      </w:pPr>
      <w:bookmarkStart w:id="74" w:name="_Toc1662607"/>
      <w:bookmarkEnd w:id="74"/>
      <w:r>
        <w:rPr>
          <w:rFonts w:hint="eastAsia" w:ascii="仿宋" w:hAnsi="仿宋" w:eastAsia="仿宋" w:cs="Arial"/>
          <w:b/>
          <w:bCs/>
          <w:spacing w:val="14"/>
          <w:sz w:val="28"/>
          <w:szCs w:val="28"/>
          <w:highlight w:val="none"/>
        </w:rPr>
        <w:t>3.1 响应文件的组成</w:t>
      </w:r>
    </w:p>
    <w:p w14:paraId="4D466605">
      <w:pPr>
        <w:pStyle w:val="13"/>
        <w:rPr>
          <w:rFonts w:hint="eastAsia" w:ascii="仿宋" w:hAnsi="仿宋" w:eastAsia="仿宋"/>
          <w:color w:val="auto"/>
          <w:spacing w:val="14"/>
          <w:sz w:val="24"/>
          <w:szCs w:val="24"/>
          <w:highlight w:val="none"/>
        </w:rPr>
      </w:pPr>
      <w:r>
        <w:rPr>
          <w:rFonts w:hint="eastAsia" w:ascii="仿宋" w:hAnsi="仿宋" w:eastAsia="仿宋"/>
          <w:color w:val="auto"/>
          <w:spacing w:val="14"/>
          <w:sz w:val="24"/>
          <w:szCs w:val="24"/>
          <w:highlight w:val="none"/>
        </w:rPr>
        <w:t>3.1.1 响应文件应包括下列内容（具体详见磋商文件第七章“响应文件格式”）：</w:t>
      </w:r>
    </w:p>
    <w:p w14:paraId="78CFB38D">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一、封面</w:t>
      </w:r>
    </w:p>
    <w:p w14:paraId="08A4449B">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二、投标函</w:t>
      </w:r>
    </w:p>
    <w:p w14:paraId="2DD6B9DA">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三、法定代表人授权书</w:t>
      </w:r>
    </w:p>
    <w:p w14:paraId="67699166">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四、法人被授权人身份证扫描件</w:t>
      </w:r>
    </w:p>
    <w:p w14:paraId="0D92FF79">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五、资格证明材料</w:t>
      </w:r>
    </w:p>
    <w:p w14:paraId="0EB60E83">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六、开标一览表</w:t>
      </w:r>
    </w:p>
    <w:p w14:paraId="5013C79E">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七、报价明细表</w:t>
      </w:r>
    </w:p>
    <w:p w14:paraId="51B75983">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八、中小微企业声明函</w:t>
      </w:r>
    </w:p>
    <w:p w14:paraId="488F2A24">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九、残疾人福利性单位声明函</w:t>
      </w:r>
    </w:p>
    <w:p w14:paraId="566335A4">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十、监狱企业证明文件</w:t>
      </w:r>
    </w:p>
    <w:p w14:paraId="4CBBEDF9">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十一、技术要求响应与偏差表</w:t>
      </w:r>
    </w:p>
    <w:p w14:paraId="159B4469">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十二、商务要求响应与偏差表</w:t>
      </w:r>
    </w:p>
    <w:p w14:paraId="3FBDFBC6">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十三、节能产品、环境标志产品明细表</w:t>
      </w:r>
    </w:p>
    <w:p w14:paraId="380296D1">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十四、实质性技术要求的支持资料</w:t>
      </w:r>
    </w:p>
    <w:p w14:paraId="234798FA">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lang w:eastAsia="zh-CN"/>
        </w:rPr>
        <w:t>十五、</w:t>
      </w:r>
      <w:r>
        <w:rPr>
          <w:rFonts w:hint="eastAsia" w:ascii="仿宋" w:hAnsi="仿宋" w:eastAsia="仿宋"/>
          <w:color w:val="auto"/>
          <w:spacing w:val="14"/>
          <w:sz w:val="24"/>
          <w:szCs w:val="24"/>
        </w:rPr>
        <w:t>项目实施方案</w:t>
      </w:r>
    </w:p>
    <w:p w14:paraId="378E8CE1">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十六、其他需要提供的资料</w:t>
      </w:r>
    </w:p>
    <w:p w14:paraId="7FD26B54">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十</w:t>
      </w:r>
      <w:r>
        <w:rPr>
          <w:rFonts w:hint="eastAsia" w:ascii="仿宋" w:hAnsi="仿宋" w:eastAsia="仿宋"/>
          <w:color w:val="auto"/>
          <w:spacing w:val="14"/>
          <w:sz w:val="24"/>
          <w:szCs w:val="24"/>
          <w:lang w:eastAsia="zh-CN"/>
        </w:rPr>
        <w:t>七</w:t>
      </w:r>
      <w:r>
        <w:rPr>
          <w:rFonts w:hint="eastAsia" w:ascii="仿宋" w:hAnsi="仿宋" w:eastAsia="仿宋"/>
          <w:color w:val="auto"/>
          <w:spacing w:val="14"/>
          <w:sz w:val="24"/>
          <w:szCs w:val="24"/>
        </w:rPr>
        <w:t>、参与评审打分的合同业绩一览表</w:t>
      </w:r>
    </w:p>
    <w:p w14:paraId="6334E1A8">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lang w:eastAsia="zh-CN"/>
        </w:rPr>
        <w:t>十八</w:t>
      </w:r>
      <w:r>
        <w:rPr>
          <w:rFonts w:hint="eastAsia" w:ascii="仿宋" w:hAnsi="仿宋" w:eastAsia="仿宋"/>
          <w:color w:val="auto"/>
          <w:spacing w:val="14"/>
          <w:sz w:val="24"/>
          <w:szCs w:val="24"/>
        </w:rPr>
        <w:t>、参与评审打分的合同业绩扫描件</w:t>
      </w:r>
    </w:p>
    <w:p w14:paraId="58D94822">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供应商在评审过程中作出的符合法律法规和磋商文件规定的澄清确认，构成响应文件的组成部分。</w:t>
      </w:r>
    </w:p>
    <w:p w14:paraId="4B8C2917">
      <w:pPr>
        <w:keepNext/>
        <w:keepLines/>
        <w:spacing w:line="440" w:lineRule="exact"/>
        <w:outlineLvl w:val="3"/>
        <w:rPr>
          <w:rFonts w:hint="eastAsia" w:ascii="仿宋" w:hAnsi="仿宋" w:eastAsia="仿宋" w:cs="Arial"/>
          <w:b/>
          <w:bCs/>
          <w:spacing w:val="14"/>
          <w:sz w:val="28"/>
          <w:szCs w:val="28"/>
        </w:rPr>
      </w:pPr>
      <w:bookmarkStart w:id="75" w:name="_Toc1662608"/>
      <w:bookmarkEnd w:id="75"/>
      <w:r>
        <w:rPr>
          <w:rFonts w:hint="eastAsia" w:ascii="仿宋" w:hAnsi="仿宋" w:eastAsia="仿宋" w:cs="Arial"/>
          <w:b/>
          <w:bCs/>
          <w:spacing w:val="14"/>
          <w:sz w:val="28"/>
          <w:szCs w:val="28"/>
        </w:rPr>
        <w:t>3.2报价</w:t>
      </w:r>
    </w:p>
    <w:p w14:paraId="7BFED99A">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3.2.1报价涉及货币的应为人民币，包括国家规定的增值税税金。供应商应按第七章“响应文件格式”的要求进行报价并填写报价明细表。</w:t>
      </w:r>
    </w:p>
    <w:p w14:paraId="037B7324">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3.2.2供应商应充分了解该项目的总体情况以及影响报价的其他要素。总报价为各分项报价金额之和，总报价与分项报价的合价不一致的，应以各分项合价累计数为准，修正总报价；如分项报价中存在缺漏项，则视为缺漏项价格已包含在其他分项报价之中。</w:t>
      </w:r>
    </w:p>
    <w:p w14:paraId="6D31A51E">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3.2.4 采购人设有预算控制金额的，供应商的报价不得超过预算控制金额，预算控制金额在须知前附表中载明。</w:t>
      </w:r>
    </w:p>
    <w:p w14:paraId="26E214A7">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3.2.5报价的其他要求见供应商须知前附表。</w:t>
      </w:r>
    </w:p>
    <w:p w14:paraId="16A68CCF">
      <w:pPr>
        <w:spacing w:line="440" w:lineRule="exact"/>
        <w:ind w:firstLine="472" w:firstLineChars="199"/>
        <w:rPr>
          <w:rFonts w:hint="eastAsia" w:ascii="仿宋" w:hAnsi="仿宋" w:eastAsia="仿宋" w:cs="宋体"/>
          <w:b/>
          <w:spacing w:val="14"/>
          <w:sz w:val="24"/>
          <w:szCs w:val="24"/>
        </w:rPr>
      </w:pPr>
      <w:r>
        <w:rPr>
          <w:rFonts w:hint="eastAsia" w:ascii="仿宋" w:hAnsi="仿宋" w:eastAsia="仿宋" w:cs="宋体"/>
          <w:b/>
          <w:spacing w:val="14"/>
          <w:sz w:val="24"/>
          <w:szCs w:val="24"/>
        </w:rPr>
        <w:t>3.2.6本次采购为竞争性磋商采购，允许符合要求的供应商在规定的时间提交最终报价，本次磋商采用不见面开标方式，最终报价将以远程系统方式进行报价，请各位供应商在开评标期间网络在线，保持畅通。</w:t>
      </w:r>
    </w:p>
    <w:p w14:paraId="0A5A7B20">
      <w:pPr>
        <w:keepNext/>
        <w:keepLines/>
        <w:spacing w:line="440" w:lineRule="exact"/>
        <w:outlineLvl w:val="3"/>
        <w:rPr>
          <w:rFonts w:hint="eastAsia" w:ascii="仿宋" w:hAnsi="仿宋" w:eastAsia="仿宋" w:cs="Arial"/>
          <w:b/>
          <w:bCs/>
          <w:spacing w:val="14"/>
          <w:sz w:val="24"/>
          <w:szCs w:val="24"/>
        </w:rPr>
      </w:pPr>
      <w:bookmarkStart w:id="76" w:name="_Toc1662609"/>
      <w:bookmarkEnd w:id="76"/>
      <w:r>
        <w:rPr>
          <w:rFonts w:hint="eastAsia" w:ascii="仿宋" w:hAnsi="仿宋" w:eastAsia="仿宋" w:cs="Arial"/>
          <w:b/>
          <w:bCs/>
          <w:spacing w:val="14"/>
          <w:sz w:val="24"/>
          <w:szCs w:val="24"/>
        </w:rPr>
        <w:t>3.3 响应文件有效期</w:t>
      </w:r>
    </w:p>
    <w:p w14:paraId="1A21B805">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3.3.1 除供应商须知前附表另有规定外，提交响应文件截止时间后90天。</w:t>
      </w:r>
    </w:p>
    <w:p w14:paraId="645D5F4B">
      <w:pPr>
        <w:pStyle w:val="38"/>
        <w:widowControl/>
        <w:ind w:firstLine="474" w:firstLineChars="200"/>
        <w:jc w:val="left"/>
        <w:rPr>
          <w:rFonts w:hint="eastAsia" w:ascii="仿宋" w:hAnsi="仿宋" w:eastAsia="仿宋"/>
          <w:color w:val="auto"/>
          <w:spacing w:val="14"/>
          <w:kern w:val="0"/>
          <w:sz w:val="24"/>
          <w:szCs w:val="24"/>
        </w:rPr>
      </w:pPr>
      <w:r>
        <w:rPr>
          <w:rFonts w:hint="eastAsia" w:ascii="仿宋" w:hAnsi="仿宋" w:eastAsia="仿宋"/>
          <w:color w:val="auto"/>
          <w:spacing w:val="14"/>
          <w:kern w:val="0"/>
          <w:sz w:val="24"/>
          <w:szCs w:val="24"/>
        </w:rPr>
        <w:t xml:space="preserve">3.3.2 在响应文件有效期内，供应商撤销响应文件的，应承担磋商文件和法律规定的责任。 </w:t>
      </w:r>
    </w:p>
    <w:p w14:paraId="57E0A663">
      <w:pPr>
        <w:pStyle w:val="38"/>
        <w:widowControl/>
        <w:ind w:firstLine="474" w:firstLineChars="200"/>
        <w:jc w:val="left"/>
        <w:rPr>
          <w:rFonts w:hint="eastAsia" w:ascii="仿宋" w:hAnsi="仿宋" w:eastAsia="仿宋"/>
          <w:color w:val="auto"/>
          <w:spacing w:val="14"/>
          <w:kern w:val="0"/>
          <w:sz w:val="24"/>
          <w:szCs w:val="24"/>
        </w:rPr>
      </w:pPr>
      <w:r>
        <w:rPr>
          <w:rFonts w:hint="eastAsia" w:ascii="仿宋" w:hAnsi="仿宋" w:eastAsia="仿宋"/>
          <w:color w:val="auto"/>
          <w:spacing w:val="14"/>
          <w:kern w:val="0"/>
          <w:sz w:val="24"/>
          <w:szCs w:val="24"/>
        </w:rPr>
        <w:t>3.3.3 出现特殊情况需要延长响应文件有效期的，采购人以书面形式通知所有供应商延长响应文件有效期。供应商应予以书面答复，同意延长的，应相应延长其磋商保证金。</w:t>
      </w:r>
    </w:p>
    <w:p w14:paraId="78D89ADF">
      <w:pPr>
        <w:keepNext/>
        <w:keepLines/>
        <w:spacing w:line="440" w:lineRule="exact"/>
        <w:outlineLvl w:val="3"/>
        <w:rPr>
          <w:rFonts w:hint="eastAsia" w:ascii="仿宋" w:hAnsi="仿宋" w:eastAsia="仿宋" w:cs="Arial"/>
          <w:b/>
          <w:bCs/>
          <w:spacing w:val="14"/>
          <w:sz w:val="28"/>
          <w:szCs w:val="28"/>
        </w:rPr>
      </w:pPr>
      <w:bookmarkStart w:id="77" w:name="_Toc1662610"/>
      <w:bookmarkEnd w:id="77"/>
      <w:r>
        <w:rPr>
          <w:rFonts w:hint="eastAsia" w:ascii="仿宋" w:hAnsi="仿宋" w:eastAsia="仿宋" w:cs="Arial"/>
          <w:b/>
          <w:bCs/>
          <w:spacing w:val="14"/>
          <w:sz w:val="28"/>
          <w:szCs w:val="28"/>
        </w:rPr>
        <w:t>3.4 磋商保证金</w:t>
      </w:r>
      <w:bookmarkStart w:id="78" w:name="_Toc1662611"/>
      <w:bookmarkEnd w:id="78"/>
    </w:p>
    <w:p w14:paraId="3F731AD5">
      <w:pPr>
        <w:keepNext/>
        <w:keepLines/>
        <w:spacing w:line="440" w:lineRule="exact"/>
        <w:ind w:firstLine="474" w:firstLineChars="200"/>
        <w:outlineLvl w:val="9"/>
        <w:rPr>
          <w:rFonts w:hint="eastAsia" w:ascii="仿宋" w:hAnsi="仿宋" w:eastAsia="仿宋" w:cs="Arial"/>
          <w:spacing w:val="14"/>
          <w:kern w:val="0"/>
          <w:sz w:val="24"/>
          <w:szCs w:val="24"/>
        </w:rPr>
      </w:pPr>
      <w:r>
        <w:rPr>
          <w:rFonts w:hint="eastAsia" w:ascii="仿宋" w:hAnsi="仿宋" w:eastAsia="仿宋" w:cs="Arial"/>
          <w:spacing w:val="14"/>
          <w:kern w:val="0"/>
          <w:sz w:val="24"/>
          <w:szCs w:val="24"/>
        </w:rPr>
        <w:t>本次采购免收磋商保证金。</w:t>
      </w:r>
    </w:p>
    <w:p w14:paraId="71BCA412">
      <w:pPr>
        <w:keepNext/>
        <w:keepLines/>
        <w:spacing w:line="440" w:lineRule="exact"/>
        <w:outlineLvl w:val="3"/>
        <w:rPr>
          <w:rFonts w:hint="eastAsia" w:ascii="仿宋" w:hAnsi="仿宋" w:eastAsia="仿宋" w:cs="Arial"/>
          <w:b/>
          <w:bCs/>
          <w:spacing w:val="14"/>
          <w:sz w:val="28"/>
          <w:szCs w:val="28"/>
        </w:rPr>
      </w:pPr>
      <w:r>
        <w:rPr>
          <w:rFonts w:hint="eastAsia" w:ascii="仿宋" w:hAnsi="仿宋" w:eastAsia="仿宋" w:cs="Arial"/>
          <w:b/>
          <w:bCs/>
          <w:spacing w:val="14"/>
          <w:sz w:val="28"/>
          <w:szCs w:val="28"/>
        </w:rPr>
        <w:t>3.5 资格审查资料</w:t>
      </w:r>
    </w:p>
    <w:p w14:paraId="7EE940E9">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3.5.1根据第六章内容提供证明材料。</w:t>
      </w:r>
    </w:p>
    <w:p w14:paraId="7D6BEA5C">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3.5.2供应商须知前附表规定接受联合体的，联合体各方均应提供资格审查资料。</w:t>
      </w:r>
    </w:p>
    <w:p w14:paraId="18CFFC91">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3.5.3资格审查资料的特殊要求见供应商须知前附表。</w:t>
      </w:r>
    </w:p>
    <w:p w14:paraId="0D4CB49F">
      <w:pPr>
        <w:keepNext/>
        <w:keepLines/>
        <w:spacing w:before="260" w:after="260" w:line="440" w:lineRule="exact"/>
        <w:outlineLvl w:val="2"/>
        <w:rPr>
          <w:rFonts w:hint="eastAsia" w:ascii="仿宋" w:hAnsi="仿宋" w:eastAsia="仿宋"/>
          <w:b/>
          <w:bCs/>
          <w:sz w:val="28"/>
          <w:szCs w:val="28"/>
        </w:rPr>
      </w:pPr>
      <w:bookmarkStart w:id="79" w:name="_Toc1662612"/>
      <w:bookmarkEnd w:id="79"/>
      <w:r>
        <w:rPr>
          <w:rFonts w:hint="eastAsia" w:ascii="仿宋" w:hAnsi="仿宋" w:eastAsia="仿宋"/>
          <w:b/>
          <w:bCs/>
          <w:sz w:val="28"/>
          <w:szCs w:val="28"/>
        </w:rPr>
        <w:t>4、响应文件提交</w:t>
      </w:r>
    </w:p>
    <w:p w14:paraId="2DC5494C">
      <w:pPr>
        <w:keepNext/>
        <w:keepLines/>
        <w:spacing w:line="440" w:lineRule="exact"/>
        <w:outlineLvl w:val="3"/>
        <w:rPr>
          <w:rFonts w:hint="eastAsia" w:ascii="仿宋" w:hAnsi="仿宋" w:eastAsia="仿宋" w:cs="Arial"/>
          <w:b/>
          <w:bCs/>
          <w:spacing w:val="14"/>
          <w:sz w:val="28"/>
          <w:szCs w:val="28"/>
        </w:rPr>
      </w:pPr>
      <w:r>
        <w:rPr>
          <w:rFonts w:hint="eastAsia" w:ascii="仿宋" w:hAnsi="仿宋" w:eastAsia="仿宋" w:cs="Arial"/>
          <w:b/>
          <w:bCs/>
          <w:spacing w:val="14"/>
          <w:sz w:val="28"/>
          <w:szCs w:val="28"/>
        </w:rPr>
        <w:t>4.1 响应文件的密封和标记</w:t>
      </w:r>
    </w:p>
    <w:p w14:paraId="4B04C777">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4.1.1响应文件的密封和标记的要求：按照采购文件和电子招标投标交易平台的要求加密响应文件。</w:t>
      </w:r>
    </w:p>
    <w:p w14:paraId="29F279BD">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4.1.2未按要求密封和标记的响应文件，采购人将予以拒收。</w:t>
      </w:r>
    </w:p>
    <w:p w14:paraId="1CA65C8A">
      <w:pPr>
        <w:keepNext/>
        <w:keepLines/>
        <w:spacing w:line="440" w:lineRule="exact"/>
        <w:outlineLvl w:val="3"/>
        <w:rPr>
          <w:rFonts w:hint="eastAsia" w:ascii="仿宋" w:hAnsi="仿宋" w:eastAsia="仿宋" w:cs="Arial"/>
          <w:b/>
          <w:bCs/>
          <w:spacing w:val="14"/>
          <w:sz w:val="28"/>
          <w:szCs w:val="28"/>
        </w:rPr>
      </w:pPr>
      <w:r>
        <w:rPr>
          <w:rFonts w:hint="eastAsia" w:ascii="仿宋" w:hAnsi="仿宋" w:eastAsia="仿宋" w:cs="Arial"/>
          <w:b/>
          <w:bCs/>
          <w:spacing w:val="14"/>
          <w:sz w:val="28"/>
          <w:szCs w:val="28"/>
        </w:rPr>
        <w:t>4.2 响应文件的提交</w:t>
      </w:r>
    </w:p>
    <w:p w14:paraId="1EC4907D">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4.2.1供应商应在供应商须知前附表规定的提交响应文件截止时间前提交响应文件。不接受邮寄、电报、电话、传真等方式。除电子响应文件外，不再接受任何纸质文件、资料等。</w:t>
      </w:r>
    </w:p>
    <w:p w14:paraId="35E587BA">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4.2.2供应商提交响应文件的地点：见供应商须知前附表。</w:t>
      </w:r>
    </w:p>
    <w:p w14:paraId="1838630C">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4.2.3供应商响应文件份数及其他要求：见供应商须知前附表。</w:t>
      </w:r>
    </w:p>
    <w:p w14:paraId="1D23CD15">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4.2.4供应商应在提交响应文件截止时间前上传加密的电子响应文件 （*.lytf）到洛阳市电子招投标交易平台指定位置。上传时供应商须使用制作该响应文件的同一CA锁进行上传操作。请在上传时认真检查上传响应文件是否完整、正确。供应商应充分考虑上传文件时的不可预见因素，未在截止时间前完成上传的，视为逾期送达，洛阳市电子招投标交易平台将拒绝接收。上传成功后将得到上传成功的确认。</w:t>
      </w:r>
    </w:p>
    <w:p w14:paraId="7F942A03">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4.2.5供应商因洛阳市电子招投标交易平台问题无法上传电子响应文件时，请在工作时间与交易中心联系。联系方式见供应商须知前附表。</w:t>
      </w:r>
    </w:p>
    <w:p w14:paraId="66680FEC">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4.2.6除供应商须知前附表另有规定外，所提交的响应文件不予退还。</w:t>
      </w:r>
    </w:p>
    <w:p w14:paraId="0D900751">
      <w:pPr>
        <w:keepNext/>
        <w:keepLines/>
        <w:spacing w:line="440" w:lineRule="exact"/>
        <w:outlineLvl w:val="3"/>
        <w:rPr>
          <w:rFonts w:hint="eastAsia" w:ascii="仿宋" w:hAnsi="仿宋" w:eastAsia="仿宋" w:cs="Arial"/>
          <w:b/>
          <w:bCs/>
          <w:spacing w:val="14"/>
          <w:sz w:val="28"/>
          <w:szCs w:val="28"/>
        </w:rPr>
      </w:pPr>
      <w:r>
        <w:rPr>
          <w:rFonts w:hint="eastAsia" w:ascii="仿宋" w:hAnsi="仿宋" w:eastAsia="仿宋" w:cs="Arial"/>
          <w:b/>
          <w:bCs/>
          <w:spacing w:val="14"/>
          <w:sz w:val="28"/>
          <w:szCs w:val="28"/>
        </w:rPr>
        <w:t>4.3 响应文件的修改与撤回</w:t>
      </w:r>
    </w:p>
    <w:p w14:paraId="0EA26714">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4.3.1供应商在提交响应文件后可对其响应文件进行修改并重新上传响应文件或在洛阳市电子招投标交易平台上进行撤回响应文件的操作。</w:t>
      </w:r>
    </w:p>
    <w:p w14:paraId="34617520">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4.3.2 提交响应文件截止时间以后不得修改响应文件。</w:t>
      </w:r>
    </w:p>
    <w:p w14:paraId="686FC66F">
      <w:pPr>
        <w:keepNext/>
        <w:keepLines/>
        <w:spacing w:line="440" w:lineRule="exact"/>
        <w:outlineLvl w:val="3"/>
        <w:rPr>
          <w:rFonts w:hint="eastAsia" w:ascii="仿宋" w:hAnsi="仿宋" w:eastAsia="仿宋" w:cs="Arial"/>
          <w:b/>
          <w:bCs/>
          <w:spacing w:val="14"/>
          <w:sz w:val="28"/>
          <w:szCs w:val="28"/>
        </w:rPr>
      </w:pPr>
      <w:r>
        <w:rPr>
          <w:rFonts w:hint="eastAsia" w:ascii="仿宋" w:hAnsi="仿宋" w:eastAsia="仿宋" w:cs="Arial"/>
          <w:b/>
          <w:bCs/>
          <w:spacing w:val="14"/>
          <w:sz w:val="28"/>
          <w:szCs w:val="28"/>
        </w:rPr>
        <w:t>3.6 备选方案</w:t>
      </w:r>
    </w:p>
    <w:p w14:paraId="6C0EAF43">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3.6.1 除供应商须知前附表规定允许外，供应商不得提交备选方案，否则其响应将被否决。</w:t>
      </w:r>
    </w:p>
    <w:p w14:paraId="0813D0C9">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3.6.2 允许供应商提交备选方案的，只有成交供应商所提交的备选方案方可予以考虑。磋商小组认为成交供应商的备选方案优于其按照磋商文件要求编制的响应方案的，采购人可以接受该备选方案。</w:t>
      </w:r>
    </w:p>
    <w:p w14:paraId="341C91AB">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3.6.3 供应商提供两个或两个以上报价，或者在响应文件中提供一个报价，但同时提供两个或两个以上供货方案的，视为提供备选方案。</w:t>
      </w:r>
    </w:p>
    <w:p w14:paraId="2209672B">
      <w:pPr>
        <w:keepNext/>
        <w:keepLines/>
        <w:spacing w:line="440" w:lineRule="exact"/>
        <w:outlineLvl w:val="3"/>
        <w:rPr>
          <w:rFonts w:hint="eastAsia" w:ascii="仿宋" w:hAnsi="仿宋" w:eastAsia="仿宋" w:cs="Arial"/>
          <w:b/>
          <w:bCs/>
          <w:spacing w:val="14"/>
          <w:sz w:val="28"/>
          <w:szCs w:val="28"/>
        </w:rPr>
      </w:pPr>
      <w:bookmarkStart w:id="80" w:name="_Toc1662613"/>
      <w:bookmarkEnd w:id="80"/>
      <w:r>
        <w:rPr>
          <w:rFonts w:hint="eastAsia" w:ascii="仿宋" w:hAnsi="仿宋" w:eastAsia="仿宋" w:cs="Arial"/>
          <w:b/>
          <w:bCs/>
          <w:spacing w:val="14"/>
          <w:sz w:val="28"/>
          <w:szCs w:val="28"/>
        </w:rPr>
        <w:t>3.7 响应文件的制作</w:t>
      </w:r>
    </w:p>
    <w:p w14:paraId="39042FDE">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3.7.1供应商登录“洛阳市公共资源交易中心”网站，按要求下载“新点响应文件制作软件”。</w:t>
      </w:r>
    </w:p>
    <w:p w14:paraId="3C68B301">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3.7.2供应商凭CA锁登录，并按网上提示自行下载磋商文件。使用“新点响应文件制作软件”按要求制作电子响应文件。供应商在制作电子响应文件时，应按要求进行电子签章。供应商编辑电子响应文件时，根据磋商文件要求用法定代表人CA锁和企业CA锁进行签章制作；最后一步生成电子响应文件（*.lytf格式）时，只能用本单位的企业CA锁。联合体投标的，响应文件由联合体牵头人按上述规定进行签章。</w:t>
      </w:r>
    </w:p>
    <w:p w14:paraId="6157A0C2">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3.7.3加密的电子响应文件为“洛阳市公共资源交易中心”网站提供的“新点响应文件制作软件”制作生成的加密版响应文件。</w:t>
      </w:r>
    </w:p>
    <w:p w14:paraId="0B3E023C">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3.7.4磋商文件格式所要求包含的全部资料应全部制作在响应文件内，严格按照本项目磋商文件所有格式如实填写（不涉及的内容除外），不应存在漏项或缺项，否则将存在响应文件被否决的风险。</w:t>
      </w:r>
    </w:p>
    <w:p w14:paraId="09EF77FC">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3.7.5响应文件所附证明材料均为原件的扫描件（或照片），清晰复印件的扫描件加盖公章视同原件（如没有特殊要求原件的），尺寸和清晰度应该能够在电脑上被阅读、识别和判断；若供应商未按要求提供证明材料或提供不清晰的扫描件（或照片）的，磋商小组有权认定其响应文件未对磋商文件有关要求进行响应，涉及资格审查性或符合性审查的将不予通过。</w:t>
      </w:r>
    </w:p>
    <w:p w14:paraId="3704F24D">
      <w:pPr>
        <w:keepNext/>
        <w:keepLines/>
        <w:spacing w:before="260" w:after="260" w:line="440" w:lineRule="exact"/>
        <w:outlineLvl w:val="2"/>
        <w:rPr>
          <w:rFonts w:hint="eastAsia" w:ascii="仿宋" w:hAnsi="仿宋" w:eastAsia="仿宋"/>
          <w:b/>
          <w:bCs/>
          <w:sz w:val="28"/>
          <w:szCs w:val="28"/>
        </w:rPr>
      </w:pPr>
      <w:bookmarkStart w:id="81" w:name="_Toc256000006"/>
      <w:bookmarkEnd w:id="81"/>
      <w:bookmarkStart w:id="82" w:name="_Toc256000007"/>
      <w:bookmarkEnd w:id="82"/>
      <w:bookmarkStart w:id="83" w:name="_Toc686"/>
      <w:bookmarkEnd w:id="83"/>
      <w:bookmarkStart w:id="84" w:name="_Toc1662618"/>
      <w:bookmarkEnd w:id="84"/>
      <w:bookmarkStart w:id="85" w:name="_Toc30483"/>
      <w:bookmarkEnd w:id="85"/>
      <w:bookmarkStart w:id="86" w:name="_Toc256000047"/>
      <w:bookmarkEnd w:id="86"/>
      <w:bookmarkStart w:id="87" w:name="_Toc256000037"/>
      <w:bookmarkEnd w:id="87"/>
      <w:bookmarkStart w:id="88" w:name="_Toc8749"/>
      <w:bookmarkEnd w:id="88"/>
      <w:bookmarkStart w:id="89" w:name="_Toc1662614"/>
      <w:bookmarkEnd w:id="89"/>
      <w:bookmarkStart w:id="90" w:name="_Toc256000046"/>
      <w:bookmarkEnd w:id="90"/>
      <w:bookmarkStart w:id="91" w:name="_Toc29129"/>
      <w:bookmarkStart w:id="92" w:name="_Toc2850"/>
      <w:bookmarkStart w:id="93" w:name="_Toc256000041"/>
      <w:bookmarkStart w:id="94" w:name="_Toc15210"/>
      <w:bookmarkStart w:id="95" w:name="_Toc130305931"/>
      <w:bookmarkStart w:id="96" w:name="_Toc14410"/>
      <w:r>
        <w:rPr>
          <w:rFonts w:hint="eastAsia" w:ascii="仿宋" w:hAnsi="仿宋" w:eastAsia="仿宋"/>
          <w:b/>
          <w:bCs/>
          <w:sz w:val="28"/>
          <w:szCs w:val="28"/>
        </w:rPr>
        <w:t>5、磋商开启</w:t>
      </w:r>
      <w:bookmarkEnd w:id="91"/>
      <w:bookmarkEnd w:id="92"/>
      <w:bookmarkEnd w:id="93"/>
      <w:bookmarkEnd w:id="94"/>
      <w:bookmarkEnd w:id="95"/>
      <w:bookmarkEnd w:id="96"/>
    </w:p>
    <w:p w14:paraId="7623F2B8">
      <w:pPr>
        <w:keepNext/>
        <w:keepLines/>
        <w:spacing w:line="440" w:lineRule="exact"/>
        <w:outlineLvl w:val="3"/>
        <w:rPr>
          <w:rFonts w:hint="eastAsia" w:ascii="仿宋" w:hAnsi="仿宋" w:eastAsia="仿宋" w:cs="Arial"/>
          <w:b/>
          <w:bCs/>
          <w:spacing w:val="14"/>
          <w:sz w:val="28"/>
          <w:szCs w:val="28"/>
        </w:rPr>
      </w:pPr>
      <w:bookmarkStart w:id="97" w:name="_Toc1662619"/>
      <w:bookmarkEnd w:id="97"/>
      <w:r>
        <w:rPr>
          <w:rFonts w:hint="eastAsia" w:ascii="仿宋" w:hAnsi="仿宋" w:eastAsia="仿宋" w:cs="Arial"/>
          <w:b/>
          <w:bCs/>
          <w:spacing w:val="14"/>
          <w:sz w:val="28"/>
          <w:szCs w:val="28"/>
        </w:rPr>
        <w:t>5.1 磋商开启时间和地点</w:t>
      </w:r>
    </w:p>
    <w:p w14:paraId="4AD04221">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采购人在本章第 4.2.1 项规定的提交响应文件截止时间和供应商须知前附表规定的地点开启磋商活动。</w:t>
      </w:r>
    </w:p>
    <w:p w14:paraId="1C1C49EA">
      <w:pPr>
        <w:keepNext/>
        <w:keepLines/>
        <w:spacing w:line="440" w:lineRule="exact"/>
        <w:outlineLvl w:val="3"/>
        <w:rPr>
          <w:rFonts w:hint="eastAsia" w:ascii="仿宋" w:hAnsi="仿宋" w:eastAsia="仿宋" w:cs="Arial"/>
          <w:b/>
          <w:bCs/>
          <w:spacing w:val="14"/>
          <w:sz w:val="28"/>
          <w:szCs w:val="28"/>
        </w:rPr>
      </w:pPr>
      <w:bookmarkStart w:id="98" w:name="_Toc1662620"/>
      <w:bookmarkEnd w:id="98"/>
      <w:r>
        <w:rPr>
          <w:rFonts w:hint="eastAsia" w:ascii="仿宋" w:hAnsi="仿宋" w:eastAsia="仿宋" w:cs="Arial"/>
          <w:b/>
          <w:bCs/>
          <w:spacing w:val="14"/>
          <w:sz w:val="28"/>
          <w:szCs w:val="28"/>
        </w:rPr>
        <w:t>5.2 磋商开启规定</w:t>
      </w:r>
    </w:p>
    <w:p w14:paraId="791A96E3">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5.2.1 采购人在磋商文件规定的时间和地点开启磋商活动，本项目采用远程不见面交易的模式。开标当日，无需到开标现场参加开标会议，应当在投标截止时间前，登录不见面开标大厅选择洛阳市公共资源电子招投标系统进行登录，在线准时参加开标活动并进行响应文件解密等。因原因未能解密、解密失败或解密超时的将被拒绝。请参照洛阳市公共资源交易中心首页—办事指南—下载中心—操作手册—《洛阳市公共资源交易中心不见面开标大厅操作手册（供应商）》。</w:t>
      </w:r>
    </w:p>
    <w:p w14:paraId="0EF0E42D">
      <w:pPr>
        <w:pStyle w:val="13"/>
        <w:spacing w:line="440" w:lineRule="exact"/>
        <w:rPr>
          <w:rFonts w:hint="eastAsia" w:ascii="仿宋" w:hAnsi="仿宋" w:eastAsia="仿宋"/>
          <w:color w:val="auto"/>
          <w:sz w:val="24"/>
          <w:szCs w:val="24"/>
        </w:rPr>
      </w:pPr>
      <w:r>
        <w:rPr>
          <w:rFonts w:hint="eastAsia" w:ascii="仿宋" w:hAnsi="仿宋" w:eastAsia="仿宋"/>
          <w:color w:val="auto"/>
          <w:spacing w:val="14"/>
          <w:sz w:val="24"/>
          <w:szCs w:val="24"/>
        </w:rPr>
        <w:t>5.2.2各供应商应在规定时间内对本单位的响应文件解密。</w:t>
      </w:r>
    </w:p>
    <w:p w14:paraId="2A45AA1A">
      <w:pPr>
        <w:keepNext/>
        <w:keepLines/>
        <w:spacing w:before="260" w:after="260" w:line="440" w:lineRule="exact"/>
        <w:outlineLvl w:val="2"/>
        <w:rPr>
          <w:rFonts w:hint="eastAsia" w:ascii="仿宋" w:hAnsi="仿宋" w:eastAsia="仿宋"/>
          <w:b/>
          <w:bCs/>
          <w:sz w:val="28"/>
          <w:szCs w:val="28"/>
        </w:rPr>
      </w:pPr>
      <w:bookmarkStart w:id="99" w:name="_Toc24035"/>
      <w:bookmarkEnd w:id="99"/>
      <w:bookmarkStart w:id="100" w:name="_Toc256000038"/>
      <w:bookmarkEnd w:id="100"/>
      <w:bookmarkStart w:id="101" w:name="_Toc256000008"/>
      <w:bookmarkEnd w:id="101"/>
      <w:bookmarkStart w:id="102" w:name="_Toc29602"/>
      <w:bookmarkEnd w:id="102"/>
      <w:bookmarkStart w:id="103" w:name="_Toc256000055"/>
      <w:bookmarkEnd w:id="103"/>
      <w:bookmarkStart w:id="104" w:name="_Toc1662621"/>
      <w:bookmarkStart w:id="105" w:name="_Toc8316"/>
      <w:bookmarkStart w:id="106" w:name="_Toc130305932"/>
      <w:bookmarkStart w:id="107" w:name="_Toc256000042"/>
      <w:bookmarkStart w:id="108" w:name="_Toc19423"/>
      <w:bookmarkStart w:id="109" w:name="_Toc17562"/>
      <w:r>
        <w:rPr>
          <w:rFonts w:hint="eastAsia" w:ascii="仿宋" w:hAnsi="仿宋" w:eastAsia="仿宋"/>
          <w:b/>
          <w:bCs/>
          <w:sz w:val="28"/>
          <w:szCs w:val="28"/>
        </w:rPr>
        <w:t>6、磋商</w:t>
      </w:r>
      <w:bookmarkEnd w:id="104"/>
      <w:bookmarkEnd w:id="105"/>
      <w:bookmarkEnd w:id="106"/>
      <w:bookmarkEnd w:id="107"/>
      <w:bookmarkEnd w:id="108"/>
      <w:bookmarkEnd w:id="109"/>
    </w:p>
    <w:p w14:paraId="560BAFAD">
      <w:pPr>
        <w:keepNext/>
        <w:keepLines/>
        <w:spacing w:line="440" w:lineRule="exact"/>
        <w:outlineLvl w:val="3"/>
        <w:rPr>
          <w:rFonts w:hint="eastAsia" w:ascii="仿宋" w:hAnsi="仿宋" w:eastAsia="仿宋" w:cs="Arial"/>
          <w:b/>
          <w:bCs/>
          <w:spacing w:val="14"/>
          <w:sz w:val="28"/>
          <w:szCs w:val="28"/>
        </w:rPr>
      </w:pPr>
      <w:bookmarkStart w:id="110" w:name="_Toc1662622"/>
      <w:bookmarkEnd w:id="110"/>
      <w:r>
        <w:rPr>
          <w:rFonts w:hint="eastAsia" w:ascii="仿宋" w:hAnsi="仿宋" w:eastAsia="仿宋" w:cs="Arial"/>
          <w:b/>
          <w:bCs/>
          <w:spacing w:val="14"/>
          <w:sz w:val="28"/>
          <w:szCs w:val="28"/>
        </w:rPr>
        <w:t>6.1 磋商小组</w:t>
      </w:r>
    </w:p>
    <w:p w14:paraId="1F155B51">
      <w:pPr>
        <w:pStyle w:val="13"/>
        <w:rPr>
          <w:rFonts w:hint="eastAsia" w:ascii="仿宋" w:hAnsi="仿宋" w:eastAsia="仿宋"/>
          <w:color w:val="auto"/>
          <w:spacing w:val="14"/>
          <w:sz w:val="24"/>
          <w:szCs w:val="24"/>
        </w:rPr>
      </w:pPr>
      <w:bookmarkStart w:id="111" w:name="_Toc531934441"/>
      <w:bookmarkEnd w:id="111"/>
      <w:bookmarkStart w:id="112" w:name="_Hlt531934718"/>
      <w:r>
        <w:rPr>
          <w:rFonts w:hint="eastAsia" w:ascii="仿宋" w:hAnsi="仿宋" w:eastAsia="仿宋"/>
          <w:color w:val="auto"/>
          <w:spacing w:val="14"/>
          <w:sz w:val="24"/>
          <w:szCs w:val="24"/>
        </w:rPr>
        <w:t>6.1.1评审由采购人依法组建的磋商小组负责。磋商小组由采购人代表以及评审专家组成。磋商小组成员人数以及评审专家的确定方式见</w:t>
      </w:r>
      <w:bookmarkEnd w:id="112"/>
      <w:r>
        <w:rPr>
          <w:rFonts w:hint="eastAsia" w:ascii="仿宋" w:hAnsi="仿宋" w:eastAsia="仿宋"/>
          <w:color w:val="auto"/>
          <w:spacing w:val="14"/>
          <w:sz w:val="24"/>
          <w:szCs w:val="24"/>
        </w:rPr>
        <w:t>供应商须知前附表。</w:t>
      </w:r>
    </w:p>
    <w:p w14:paraId="7036D4B9">
      <w:pPr>
        <w:pStyle w:val="13"/>
        <w:rPr>
          <w:rFonts w:hint="eastAsia" w:ascii="仿宋" w:hAnsi="仿宋" w:eastAsia="仿宋"/>
          <w:color w:val="auto"/>
          <w:spacing w:val="14"/>
          <w:sz w:val="24"/>
          <w:szCs w:val="24"/>
        </w:rPr>
      </w:pPr>
      <w:bookmarkStart w:id="113" w:name="_Toc531934442"/>
      <w:bookmarkEnd w:id="113"/>
      <w:r>
        <w:rPr>
          <w:rFonts w:hint="eastAsia" w:ascii="仿宋" w:hAnsi="仿宋" w:eastAsia="仿宋"/>
          <w:color w:val="auto"/>
          <w:spacing w:val="14"/>
          <w:sz w:val="24"/>
          <w:szCs w:val="24"/>
        </w:rPr>
        <w:t>6.1.2 磋商小组成员有下列情形之一的，应当回避：</w:t>
      </w:r>
    </w:p>
    <w:p w14:paraId="360B1C35">
      <w:pPr>
        <w:pStyle w:val="13"/>
        <w:rPr>
          <w:rFonts w:hint="eastAsia" w:ascii="仿宋" w:hAnsi="仿宋" w:eastAsia="仿宋"/>
          <w:color w:val="auto"/>
          <w:spacing w:val="14"/>
          <w:sz w:val="24"/>
          <w:szCs w:val="24"/>
        </w:rPr>
      </w:pPr>
      <w:bookmarkStart w:id="114" w:name="_Toc531934443"/>
      <w:bookmarkEnd w:id="114"/>
      <w:r>
        <w:rPr>
          <w:rFonts w:hint="eastAsia" w:ascii="仿宋" w:hAnsi="仿宋" w:eastAsia="仿宋"/>
          <w:color w:val="auto"/>
          <w:spacing w:val="14"/>
          <w:sz w:val="24"/>
          <w:szCs w:val="24"/>
        </w:rPr>
        <w:t>（1）参加采购活动前3年内与供应商存在劳动关系；</w:t>
      </w:r>
    </w:p>
    <w:p w14:paraId="1A1B196E">
      <w:pPr>
        <w:pStyle w:val="13"/>
        <w:rPr>
          <w:rFonts w:hint="eastAsia" w:ascii="仿宋" w:hAnsi="仿宋" w:eastAsia="仿宋"/>
          <w:color w:val="auto"/>
          <w:spacing w:val="14"/>
          <w:sz w:val="24"/>
          <w:szCs w:val="24"/>
        </w:rPr>
      </w:pPr>
      <w:bookmarkStart w:id="115" w:name="_Toc531934444"/>
      <w:bookmarkEnd w:id="115"/>
      <w:r>
        <w:rPr>
          <w:rFonts w:hint="eastAsia" w:ascii="仿宋" w:hAnsi="仿宋" w:eastAsia="仿宋"/>
          <w:color w:val="auto"/>
          <w:spacing w:val="14"/>
          <w:sz w:val="24"/>
          <w:szCs w:val="24"/>
        </w:rPr>
        <w:t>（2）参加采购活动前3年内担任供应商的董事、监事；</w:t>
      </w:r>
    </w:p>
    <w:p w14:paraId="3F42F4DE">
      <w:pPr>
        <w:pStyle w:val="13"/>
        <w:rPr>
          <w:rFonts w:hint="eastAsia" w:ascii="仿宋" w:hAnsi="仿宋" w:eastAsia="仿宋"/>
          <w:color w:val="auto"/>
          <w:spacing w:val="14"/>
          <w:sz w:val="24"/>
          <w:szCs w:val="24"/>
        </w:rPr>
      </w:pPr>
      <w:bookmarkStart w:id="116" w:name="_Toc531934445"/>
      <w:bookmarkEnd w:id="116"/>
      <w:r>
        <w:rPr>
          <w:rFonts w:hint="eastAsia" w:ascii="仿宋" w:hAnsi="仿宋" w:eastAsia="仿宋"/>
          <w:color w:val="auto"/>
          <w:spacing w:val="14"/>
          <w:sz w:val="24"/>
          <w:szCs w:val="24"/>
        </w:rPr>
        <w:t>（3）参加采购活动前3年内是供应商的控股股东或者实际控制人；</w:t>
      </w:r>
    </w:p>
    <w:p w14:paraId="37CC793F">
      <w:pPr>
        <w:pStyle w:val="13"/>
        <w:rPr>
          <w:rFonts w:hint="eastAsia" w:ascii="仿宋" w:hAnsi="仿宋" w:eastAsia="仿宋"/>
          <w:color w:val="auto"/>
          <w:spacing w:val="14"/>
          <w:sz w:val="24"/>
          <w:szCs w:val="24"/>
        </w:rPr>
      </w:pPr>
      <w:bookmarkStart w:id="117" w:name="_Toc531934446"/>
      <w:bookmarkEnd w:id="117"/>
      <w:r>
        <w:rPr>
          <w:rFonts w:hint="eastAsia" w:ascii="仿宋" w:hAnsi="仿宋" w:eastAsia="仿宋"/>
          <w:color w:val="auto"/>
          <w:spacing w:val="14"/>
          <w:sz w:val="24"/>
          <w:szCs w:val="24"/>
        </w:rPr>
        <w:t>（4）与供应商的法定代表人或者负责人有夫妻、直系血亲、三代以内旁系血亲或者近姻亲关系；</w:t>
      </w:r>
    </w:p>
    <w:p w14:paraId="05B17BEB">
      <w:pPr>
        <w:pStyle w:val="13"/>
        <w:rPr>
          <w:rFonts w:hint="eastAsia" w:ascii="仿宋" w:hAnsi="仿宋" w:eastAsia="仿宋"/>
          <w:color w:val="auto"/>
          <w:spacing w:val="14"/>
          <w:sz w:val="24"/>
          <w:szCs w:val="24"/>
        </w:rPr>
      </w:pPr>
      <w:bookmarkStart w:id="118" w:name="_Toc531934447"/>
      <w:bookmarkEnd w:id="118"/>
      <w:r>
        <w:rPr>
          <w:rFonts w:hint="eastAsia" w:ascii="仿宋" w:hAnsi="仿宋" w:eastAsia="仿宋"/>
          <w:color w:val="auto"/>
          <w:spacing w:val="14"/>
          <w:sz w:val="24"/>
          <w:szCs w:val="24"/>
        </w:rPr>
        <w:t>（5）与供应商有其他可能影响政府采购活动公平、公正进行的关系。</w:t>
      </w:r>
    </w:p>
    <w:p w14:paraId="33ED8508">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6.1.3 评审过程中，磋商小组成员有回避事由、擅离职守或者因健康等原因不能继续评审的，采购人有权更换。被更换的磋商小组成员作出的评审结论无效，由更换后的磋商小组成员重新进行评审。</w:t>
      </w:r>
    </w:p>
    <w:p w14:paraId="275287DA">
      <w:pPr>
        <w:keepNext/>
        <w:keepLines/>
        <w:spacing w:line="440" w:lineRule="exact"/>
        <w:outlineLvl w:val="3"/>
        <w:rPr>
          <w:rFonts w:hint="eastAsia" w:ascii="仿宋" w:hAnsi="仿宋" w:eastAsia="仿宋" w:cs="Arial"/>
          <w:b/>
          <w:bCs/>
          <w:spacing w:val="14"/>
          <w:sz w:val="28"/>
          <w:szCs w:val="28"/>
        </w:rPr>
      </w:pPr>
      <w:bookmarkStart w:id="119" w:name="_Toc1662623"/>
      <w:bookmarkEnd w:id="119"/>
      <w:r>
        <w:rPr>
          <w:rFonts w:hint="eastAsia" w:ascii="仿宋" w:hAnsi="仿宋" w:eastAsia="仿宋" w:cs="Arial"/>
          <w:b/>
          <w:bCs/>
          <w:spacing w:val="14"/>
          <w:sz w:val="28"/>
          <w:szCs w:val="28"/>
        </w:rPr>
        <w:t>6.2 磋商程序</w:t>
      </w:r>
    </w:p>
    <w:p w14:paraId="0297BE1B">
      <w:pPr>
        <w:pStyle w:val="13"/>
        <w:rPr>
          <w:rFonts w:hint="eastAsia" w:ascii="仿宋" w:hAnsi="仿宋" w:eastAsia="仿宋"/>
          <w:color w:val="auto"/>
          <w:spacing w:val="14"/>
          <w:sz w:val="24"/>
          <w:szCs w:val="24"/>
        </w:rPr>
      </w:pPr>
      <w:bookmarkStart w:id="120" w:name="_Toc1662624"/>
      <w:bookmarkEnd w:id="120"/>
      <w:r>
        <w:rPr>
          <w:rFonts w:hint="eastAsia" w:ascii="仿宋" w:hAnsi="仿宋" w:eastAsia="仿宋"/>
          <w:color w:val="auto"/>
          <w:spacing w:val="14"/>
          <w:sz w:val="24"/>
          <w:szCs w:val="24"/>
        </w:rPr>
        <w:t xml:space="preserve">6.2.1 磋商小组对响应文件的有效性、完整性和响应程度进行资格性审查及符合性审查。 </w:t>
      </w:r>
    </w:p>
    <w:p w14:paraId="030C406B">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6.2.2 磋商小组所有成员集中与单一供应商分别进行磋商，并给予所有参加磋商的供应商平等的磋商机会。 </w:t>
      </w:r>
    </w:p>
    <w:p w14:paraId="0D7E7B1B">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6.2.3 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当及时以书面形式同时通知所有参加磋商的供应商。 </w:t>
      </w:r>
    </w:p>
    <w:p w14:paraId="7B9A797C">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6.2.4 供应商应当按照磋商文件的变动情况和磋商小组的要求重新提交响应文件（如果有），并由其法定代表人或其授权代表签字或者加盖公章。 </w:t>
      </w:r>
    </w:p>
    <w:p w14:paraId="3FD40BD0">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6.2.5 磋商文件能够详细列明采购项目的技术、服务要求后，磋商小组要求所有实质性响应的供应商在规定时间内提交最后报价。通过资格性审查及符合性审查的供应商有均等的最后报价机会，供应商应在磋商小组规定的时间内完成报价。每一轮报价全部为书面形式，并须由供应商法定代表人或其委托代理人签字或者加盖公章，作为响应文件的一部分，对供应商具有约束力。 在未对磋商文件作出实质性变动的情况下，供应商提交的最后报价不得高于其前一次报价。在磋商文件作出实质性变动但供应商的响应文件未作出相应实质性变动的情况下，该供应商提交的最后报价也不得高于其前一次报价。 </w:t>
      </w:r>
    </w:p>
    <w:p w14:paraId="5BEC2743">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6.2.6 最后报价是供应商响应文件的有效组成部分，未按要求进行最后报价的，其响应文件将被否决。 </w:t>
      </w:r>
    </w:p>
    <w:p w14:paraId="0BC3CFA6">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6.2.7 经磋商确定最终采购需求和提交最后报价的供应商后，由磋商小组采用综合评分法对提交最后报价的供应商的响应文件和最后报价进行综合评分。</w:t>
      </w:r>
    </w:p>
    <w:p w14:paraId="4E94A689">
      <w:pPr>
        <w:keepNext/>
        <w:keepLines/>
        <w:spacing w:line="440" w:lineRule="exact"/>
        <w:outlineLvl w:val="3"/>
        <w:rPr>
          <w:rFonts w:hint="eastAsia" w:ascii="仿宋" w:hAnsi="仿宋" w:eastAsia="仿宋" w:cs="Arial"/>
          <w:b/>
          <w:bCs/>
          <w:spacing w:val="14"/>
          <w:sz w:val="28"/>
          <w:szCs w:val="28"/>
        </w:rPr>
      </w:pPr>
      <w:r>
        <w:rPr>
          <w:rFonts w:hint="eastAsia" w:ascii="仿宋" w:hAnsi="仿宋" w:eastAsia="仿宋" w:cs="Arial"/>
          <w:b/>
          <w:bCs/>
          <w:spacing w:val="14"/>
          <w:sz w:val="28"/>
          <w:szCs w:val="28"/>
        </w:rPr>
        <w:t>6.3评审原则</w:t>
      </w:r>
    </w:p>
    <w:p w14:paraId="5AA31969">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6.3.1 磋商小组按照第五章“评审办法”规定的方法、因素、标准和程序对供应商的响应文件进行评审。没有规定的方法、因素和标准，不得作为评审依据。未实质性响应磋商文件的响应文件按无效响应处理，磋商小组应当告知提交响应文件的供应商。</w:t>
      </w:r>
    </w:p>
    <w:p w14:paraId="62F95489">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6.3.2评审完成后，磋商小组应当提交书面评审报告和成交候选人名单。磋商小组推荐成交候选人的人数见供应商须知前附表。</w:t>
      </w:r>
    </w:p>
    <w:p w14:paraId="4E1EC159">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6.3.3本次磋商采用电子化评审，如“洛阳市电子招投标交易平台”系统出现故障，导致无法继续评审工作的，可暂停评审，对原有资料及信息作出妥善保密处理，待电子评标系统恢复正常之后组织评审。</w:t>
      </w:r>
    </w:p>
    <w:p w14:paraId="2BD55A1F">
      <w:pPr>
        <w:keepNext/>
        <w:keepLines/>
        <w:spacing w:before="260" w:after="260" w:line="440" w:lineRule="exact"/>
        <w:outlineLvl w:val="2"/>
        <w:rPr>
          <w:rFonts w:hint="eastAsia" w:ascii="仿宋" w:hAnsi="仿宋" w:eastAsia="仿宋"/>
          <w:b/>
          <w:bCs/>
          <w:sz w:val="28"/>
          <w:szCs w:val="28"/>
        </w:rPr>
      </w:pPr>
      <w:bookmarkStart w:id="121" w:name="_Toc2816"/>
      <w:bookmarkEnd w:id="121"/>
      <w:bookmarkStart w:id="122" w:name="_Toc256000009"/>
      <w:bookmarkEnd w:id="122"/>
      <w:bookmarkStart w:id="123" w:name="_Toc488"/>
      <w:bookmarkEnd w:id="123"/>
      <w:bookmarkStart w:id="124" w:name="_Toc1662625"/>
      <w:bookmarkEnd w:id="124"/>
      <w:bookmarkStart w:id="125" w:name="_Toc256000056"/>
      <w:bookmarkEnd w:id="125"/>
      <w:bookmarkStart w:id="126" w:name="_Toc130305933"/>
      <w:bookmarkStart w:id="127" w:name="_Toc256000048"/>
      <w:bookmarkStart w:id="128" w:name="_Toc200"/>
      <w:bookmarkStart w:id="129" w:name="_Toc256000039"/>
      <w:bookmarkStart w:id="130" w:name="_Toc1866"/>
      <w:bookmarkStart w:id="131" w:name="_Toc22899"/>
      <w:r>
        <w:rPr>
          <w:rFonts w:hint="eastAsia" w:ascii="仿宋" w:hAnsi="仿宋" w:eastAsia="仿宋"/>
          <w:b/>
          <w:bCs/>
          <w:sz w:val="28"/>
          <w:szCs w:val="28"/>
        </w:rPr>
        <w:t>7、确定成交及合同授予</w:t>
      </w:r>
      <w:bookmarkEnd w:id="126"/>
      <w:bookmarkEnd w:id="127"/>
      <w:bookmarkEnd w:id="128"/>
      <w:bookmarkEnd w:id="129"/>
      <w:bookmarkEnd w:id="130"/>
      <w:bookmarkEnd w:id="131"/>
    </w:p>
    <w:p w14:paraId="77E4C36A">
      <w:pPr>
        <w:keepNext/>
        <w:keepLines/>
        <w:spacing w:line="440" w:lineRule="exact"/>
        <w:outlineLvl w:val="3"/>
        <w:rPr>
          <w:rFonts w:hint="eastAsia" w:ascii="仿宋" w:hAnsi="仿宋" w:eastAsia="仿宋" w:cs="Arial"/>
          <w:b/>
          <w:bCs/>
          <w:spacing w:val="14"/>
          <w:sz w:val="28"/>
          <w:szCs w:val="28"/>
        </w:rPr>
      </w:pPr>
      <w:bookmarkStart w:id="132" w:name="_Toc1662626"/>
      <w:bookmarkEnd w:id="132"/>
      <w:r>
        <w:rPr>
          <w:rFonts w:hint="eastAsia" w:ascii="仿宋" w:hAnsi="仿宋" w:eastAsia="仿宋" w:cs="Arial"/>
          <w:b/>
          <w:bCs/>
          <w:spacing w:val="14"/>
          <w:sz w:val="28"/>
          <w:szCs w:val="28"/>
        </w:rPr>
        <w:t>7.1 确定成交的原则</w:t>
      </w:r>
    </w:p>
    <w:p w14:paraId="31B0ED9A">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7.1.1按照供应商须知前附表的规定，采购人或采购人授权的磋商小组依法确定成交供应商。</w:t>
      </w:r>
    </w:p>
    <w:p w14:paraId="27F80A29">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7.1.2按供应商须知前附表的规定的原则确定成交供应商。</w:t>
      </w:r>
    </w:p>
    <w:p w14:paraId="67863667">
      <w:pPr>
        <w:keepNext/>
        <w:keepLines/>
        <w:spacing w:line="440" w:lineRule="exact"/>
        <w:outlineLvl w:val="3"/>
        <w:rPr>
          <w:rFonts w:hint="eastAsia" w:ascii="仿宋" w:hAnsi="仿宋" w:eastAsia="仿宋" w:cs="Arial"/>
          <w:b/>
          <w:bCs/>
          <w:spacing w:val="14"/>
          <w:sz w:val="28"/>
          <w:szCs w:val="28"/>
        </w:rPr>
      </w:pPr>
      <w:bookmarkStart w:id="133" w:name="_Toc1662627"/>
      <w:bookmarkEnd w:id="133"/>
      <w:r>
        <w:rPr>
          <w:rFonts w:hint="eastAsia" w:ascii="仿宋" w:hAnsi="仿宋" w:eastAsia="仿宋" w:cs="Arial"/>
          <w:b/>
          <w:bCs/>
          <w:spacing w:val="14"/>
          <w:sz w:val="28"/>
          <w:szCs w:val="28"/>
        </w:rPr>
        <w:t>7.2 成交结果</w:t>
      </w:r>
    </w:p>
    <w:p w14:paraId="11DCAA76">
      <w:pPr>
        <w:pStyle w:val="13"/>
        <w:spacing w:line="440" w:lineRule="exact"/>
        <w:rPr>
          <w:rFonts w:hint="eastAsia" w:ascii="仿宋" w:hAnsi="仿宋" w:eastAsia="仿宋"/>
          <w:b/>
          <w:bCs/>
          <w:color w:val="auto"/>
          <w:spacing w:val="14"/>
          <w:kern w:val="2"/>
          <w:sz w:val="24"/>
          <w:szCs w:val="24"/>
        </w:rPr>
      </w:pPr>
      <w:bookmarkStart w:id="134" w:name="_Toc1662628"/>
      <w:bookmarkEnd w:id="134"/>
      <w:r>
        <w:rPr>
          <w:rFonts w:hint="eastAsia" w:ascii="仿宋" w:hAnsi="仿宋" w:eastAsia="仿宋"/>
          <w:color w:val="auto"/>
          <w:spacing w:val="14"/>
          <w:sz w:val="24"/>
          <w:szCs w:val="24"/>
        </w:rPr>
        <w:t>原则上采购人应在评标结束之日起1个工作日内确定采购结果，并在须知前附表规定的媒体上公告成交结果，磋商文件随成交结果同时公告。</w:t>
      </w:r>
      <w:r>
        <w:rPr>
          <w:rFonts w:hint="eastAsia" w:ascii="仿宋" w:hAnsi="仿宋" w:eastAsia="仿宋"/>
          <w:b/>
          <w:bCs/>
          <w:color w:val="auto"/>
          <w:spacing w:val="14"/>
          <w:kern w:val="2"/>
          <w:sz w:val="24"/>
          <w:szCs w:val="24"/>
        </w:rPr>
        <w:t xml:space="preserve"> </w:t>
      </w:r>
    </w:p>
    <w:p w14:paraId="3427420C">
      <w:pPr>
        <w:pStyle w:val="13"/>
        <w:spacing w:line="440" w:lineRule="exact"/>
        <w:ind w:firstLine="0"/>
        <w:rPr>
          <w:rFonts w:hint="eastAsia" w:ascii="仿宋" w:hAnsi="仿宋" w:eastAsia="仿宋"/>
          <w:b/>
          <w:bCs/>
          <w:color w:val="auto"/>
          <w:spacing w:val="14"/>
          <w:kern w:val="2"/>
          <w:sz w:val="28"/>
          <w:szCs w:val="28"/>
        </w:rPr>
      </w:pPr>
      <w:r>
        <w:rPr>
          <w:rFonts w:hint="eastAsia" w:ascii="仿宋" w:hAnsi="仿宋" w:eastAsia="仿宋"/>
          <w:b/>
          <w:bCs/>
          <w:color w:val="auto"/>
          <w:spacing w:val="14"/>
          <w:kern w:val="2"/>
          <w:sz w:val="28"/>
          <w:szCs w:val="28"/>
        </w:rPr>
        <w:t>7.3 成交通知</w:t>
      </w:r>
    </w:p>
    <w:p w14:paraId="3042417C">
      <w:pPr>
        <w:pStyle w:val="35"/>
        <w:ind w:firstLine="474" w:firstLineChars="200"/>
        <w:rPr>
          <w:rFonts w:hint="eastAsia" w:ascii="仿宋" w:hAnsi="仿宋" w:eastAsia="仿宋"/>
          <w:color w:val="auto"/>
          <w:spacing w:val="14"/>
          <w:sz w:val="24"/>
          <w:szCs w:val="24"/>
        </w:rPr>
      </w:pPr>
      <w:bookmarkStart w:id="135" w:name="_Toc1662629"/>
      <w:bookmarkEnd w:id="135"/>
      <w:r>
        <w:rPr>
          <w:rFonts w:hint="eastAsia" w:ascii="仿宋" w:hAnsi="仿宋" w:eastAsia="仿宋"/>
          <w:color w:val="auto"/>
          <w:spacing w:val="14"/>
          <w:sz w:val="24"/>
          <w:szCs w:val="24"/>
        </w:rPr>
        <w:t>《成交通知书》电子版由采购代理机构通过洛阳市电子招投标交易平台向成交供应商发出，纸质版《成交通知书》如有需要可至代理机构现场领取。《成交通知书》由成交供应商和采购人自行下载、打印，并对成交供应商和采购人均具有法律效力。</w:t>
      </w:r>
    </w:p>
    <w:p w14:paraId="0E3B8BBF">
      <w:pPr>
        <w:keepNext/>
        <w:keepLines/>
        <w:spacing w:line="440" w:lineRule="exact"/>
        <w:outlineLvl w:val="3"/>
        <w:rPr>
          <w:rFonts w:hint="eastAsia" w:ascii="仿宋" w:hAnsi="仿宋" w:eastAsia="仿宋" w:cs="Arial"/>
          <w:b/>
          <w:bCs/>
          <w:spacing w:val="14"/>
          <w:sz w:val="28"/>
          <w:szCs w:val="28"/>
        </w:rPr>
      </w:pPr>
      <w:r>
        <w:rPr>
          <w:rFonts w:hint="eastAsia" w:ascii="仿宋" w:hAnsi="仿宋" w:eastAsia="仿宋" w:cs="Arial"/>
          <w:b/>
          <w:bCs/>
          <w:spacing w:val="14"/>
          <w:sz w:val="28"/>
          <w:szCs w:val="28"/>
        </w:rPr>
        <w:t>7.4 履约保证金</w:t>
      </w:r>
    </w:p>
    <w:p w14:paraId="1E1C7357">
      <w:pPr>
        <w:keepNext/>
        <w:keepLines/>
        <w:spacing w:line="440" w:lineRule="exact"/>
        <w:ind w:firstLine="474" w:firstLineChars="200"/>
        <w:outlineLvl w:val="3"/>
        <w:rPr>
          <w:rFonts w:hint="eastAsia" w:ascii="仿宋" w:hAnsi="仿宋" w:eastAsia="仿宋" w:cs="Arial"/>
          <w:spacing w:val="14"/>
          <w:kern w:val="0"/>
          <w:sz w:val="24"/>
          <w:szCs w:val="24"/>
        </w:rPr>
      </w:pPr>
      <w:bookmarkStart w:id="136" w:name="_Toc1662630"/>
      <w:bookmarkEnd w:id="136"/>
      <w:r>
        <w:rPr>
          <w:rFonts w:hint="eastAsia" w:ascii="仿宋" w:hAnsi="仿宋" w:eastAsia="仿宋" w:cs="Arial"/>
          <w:spacing w:val="14"/>
          <w:kern w:val="0"/>
          <w:sz w:val="24"/>
          <w:szCs w:val="24"/>
        </w:rPr>
        <w:t>本项目免收履约保证金</w:t>
      </w:r>
    </w:p>
    <w:p w14:paraId="45503D44">
      <w:pPr>
        <w:keepNext/>
        <w:keepLines/>
        <w:spacing w:line="440" w:lineRule="exact"/>
        <w:outlineLvl w:val="3"/>
        <w:rPr>
          <w:rFonts w:hint="eastAsia" w:ascii="仿宋" w:hAnsi="仿宋" w:eastAsia="仿宋" w:cs="Arial"/>
          <w:b/>
          <w:bCs/>
          <w:spacing w:val="14"/>
          <w:sz w:val="28"/>
          <w:szCs w:val="28"/>
        </w:rPr>
      </w:pPr>
      <w:r>
        <w:rPr>
          <w:rFonts w:hint="eastAsia" w:ascii="仿宋" w:hAnsi="仿宋" w:eastAsia="仿宋" w:cs="Arial"/>
          <w:b/>
          <w:bCs/>
          <w:spacing w:val="14"/>
          <w:sz w:val="28"/>
          <w:szCs w:val="28"/>
        </w:rPr>
        <w:t>7.5 签订合同</w:t>
      </w:r>
    </w:p>
    <w:p w14:paraId="09766FA1">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7.5.1 采购人和成交供应商应当在成交通知书发出之日起1个工作日内与中标（成交）供应商签订政府采购合同（可在线签订），根据采购文件和成交供应商的投标文件订立书面合同。成交供应商无正当理由拒签合同，在签订合同时向采购人提出附加条件，采购人有权取消其成交资格，给采购人造成的，成交供应商应当予以赔偿。</w:t>
      </w:r>
    </w:p>
    <w:p w14:paraId="2C36F4FD">
      <w:pPr>
        <w:pStyle w:val="13"/>
        <w:rPr>
          <w:rFonts w:hint="eastAsia" w:ascii="仿宋" w:hAnsi="仿宋" w:eastAsia="仿宋"/>
          <w:color w:val="auto"/>
          <w:spacing w:val="14"/>
          <w:sz w:val="24"/>
          <w:szCs w:val="24"/>
        </w:rPr>
      </w:pPr>
      <w:bookmarkStart w:id="137" w:name="_Toc24362"/>
      <w:bookmarkEnd w:id="137"/>
      <w:bookmarkStart w:id="138" w:name="_Toc256000010"/>
      <w:bookmarkEnd w:id="138"/>
      <w:bookmarkStart w:id="139" w:name="_Toc256000057"/>
      <w:bookmarkEnd w:id="139"/>
      <w:bookmarkStart w:id="140" w:name="_Toc256000040"/>
      <w:bookmarkEnd w:id="140"/>
      <w:bookmarkStart w:id="141" w:name="_Toc1662631"/>
      <w:r>
        <w:rPr>
          <w:rFonts w:hint="eastAsia" w:ascii="仿宋" w:hAnsi="仿宋" w:eastAsia="仿宋"/>
          <w:color w:val="auto"/>
          <w:spacing w:val="14"/>
          <w:sz w:val="24"/>
          <w:szCs w:val="24"/>
        </w:rPr>
        <w:t>7.</w:t>
      </w:r>
      <w:bookmarkEnd w:id="141"/>
      <w:r>
        <w:rPr>
          <w:rFonts w:hint="eastAsia" w:ascii="仿宋" w:hAnsi="仿宋" w:eastAsia="仿宋"/>
          <w:color w:val="auto"/>
          <w:spacing w:val="14"/>
          <w:sz w:val="24"/>
          <w:szCs w:val="24"/>
        </w:rPr>
        <w:t>5.2 发出成交通知书后，采购人无正当理由拒签合同，或者在签订合同时向成交供应商提出附加条件的；给成交供应商造成损失的，应当赔偿损失。</w:t>
      </w:r>
    </w:p>
    <w:p w14:paraId="6CC452BA">
      <w:pPr>
        <w:ind w:firstLine="474" w:firstLineChars="200"/>
        <w:rPr>
          <w:rFonts w:hint="eastAsia" w:ascii="仿宋" w:hAnsi="仿宋" w:eastAsia="仿宋" w:cs="宋体"/>
          <w:spacing w:val="14"/>
          <w:sz w:val="24"/>
          <w:szCs w:val="24"/>
        </w:rPr>
      </w:pPr>
      <w:r>
        <w:rPr>
          <w:rFonts w:hint="eastAsia" w:ascii="仿宋" w:hAnsi="仿宋" w:eastAsia="仿宋" w:cs="宋体"/>
          <w:spacing w:val="14"/>
          <w:sz w:val="24"/>
          <w:szCs w:val="24"/>
        </w:rPr>
        <w:t>7.5.3签订合同的其他要求见供应商须知前附表。</w:t>
      </w:r>
    </w:p>
    <w:p w14:paraId="31C88054">
      <w:pPr>
        <w:keepNext/>
        <w:keepLines/>
        <w:spacing w:before="260" w:after="260" w:line="440" w:lineRule="exact"/>
        <w:outlineLvl w:val="2"/>
        <w:rPr>
          <w:rFonts w:hint="eastAsia" w:ascii="仿宋" w:hAnsi="仿宋" w:eastAsia="仿宋"/>
          <w:b/>
          <w:bCs/>
          <w:sz w:val="28"/>
          <w:szCs w:val="28"/>
        </w:rPr>
      </w:pPr>
      <w:bookmarkStart w:id="142" w:name="_Toc24933"/>
      <w:bookmarkEnd w:id="142"/>
      <w:bookmarkStart w:id="143" w:name="_Toc20470"/>
      <w:bookmarkStart w:id="144" w:name="_Toc130305934"/>
      <w:bookmarkStart w:id="145" w:name="_Toc10303"/>
      <w:bookmarkStart w:id="146" w:name="_Toc29218"/>
      <w:bookmarkStart w:id="147" w:name="_Toc256000060"/>
      <w:r>
        <w:rPr>
          <w:rFonts w:hint="eastAsia" w:ascii="仿宋" w:hAnsi="仿宋" w:eastAsia="仿宋"/>
          <w:b/>
          <w:bCs/>
          <w:sz w:val="28"/>
          <w:szCs w:val="28"/>
        </w:rPr>
        <w:t>8、纪律和监督</w:t>
      </w:r>
      <w:bookmarkEnd w:id="143"/>
      <w:bookmarkEnd w:id="144"/>
      <w:bookmarkEnd w:id="145"/>
      <w:bookmarkEnd w:id="146"/>
      <w:bookmarkEnd w:id="147"/>
    </w:p>
    <w:p w14:paraId="51E7C852">
      <w:pPr>
        <w:keepNext/>
        <w:keepLines/>
        <w:spacing w:line="440" w:lineRule="exact"/>
        <w:outlineLvl w:val="3"/>
        <w:rPr>
          <w:rFonts w:hint="eastAsia" w:ascii="仿宋" w:hAnsi="仿宋" w:eastAsia="仿宋" w:cs="Arial"/>
          <w:b/>
          <w:bCs/>
          <w:spacing w:val="14"/>
          <w:sz w:val="28"/>
          <w:szCs w:val="28"/>
        </w:rPr>
      </w:pPr>
      <w:bookmarkStart w:id="148" w:name="_Toc1662632"/>
      <w:bookmarkEnd w:id="148"/>
      <w:r>
        <w:rPr>
          <w:rFonts w:hint="eastAsia" w:ascii="仿宋" w:hAnsi="仿宋" w:eastAsia="仿宋" w:cs="Arial"/>
          <w:b/>
          <w:bCs/>
          <w:spacing w:val="14"/>
          <w:sz w:val="28"/>
          <w:szCs w:val="28"/>
        </w:rPr>
        <w:t>8.1 对采购人的纪律要求</w:t>
      </w:r>
    </w:p>
    <w:p w14:paraId="4B52187F">
      <w:pPr>
        <w:pStyle w:val="13"/>
        <w:rPr>
          <w:rFonts w:hint="eastAsia" w:ascii="仿宋" w:hAnsi="仿宋" w:eastAsia="仿宋"/>
          <w:color w:val="auto"/>
          <w:spacing w:val="14"/>
          <w:sz w:val="24"/>
          <w:szCs w:val="24"/>
        </w:rPr>
      </w:pPr>
      <w:bookmarkStart w:id="149" w:name="_Toc1662633"/>
      <w:bookmarkEnd w:id="149"/>
      <w:r>
        <w:rPr>
          <w:rFonts w:hint="eastAsia" w:ascii="仿宋" w:hAnsi="仿宋" w:eastAsia="仿宋"/>
          <w:color w:val="auto"/>
          <w:spacing w:val="14"/>
          <w:sz w:val="24"/>
          <w:szCs w:val="24"/>
        </w:rPr>
        <w:t xml:space="preserve">8.1.1 不得以不合理的条件对供应商实行差别待遇或者歧视待遇，排斥其他供应商公平参与竞争； </w:t>
      </w:r>
    </w:p>
    <w:p w14:paraId="299451FE">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8.1.2 不得与供应商或采购代理机构串通损害国家利益、社会公共利益或者他人合法权益； </w:t>
      </w:r>
    </w:p>
    <w:p w14:paraId="3D91F3FC">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8.1.3 不得诱导、干预或影响磋商小组依法依规评审，不得诱导、干预或影响评审专家依法依规独立评审； </w:t>
      </w:r>
    </w:p>
    <w:p w14:paraId="66805114">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8.1.4 不得泄漏采购活动中应当保密的情况和资料； </w:t>
      </w:r>
    </w:p>
    <w:p w14:paraId="2CA842CD">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8.1.5 不得接受供应商或采购代理机构的贿赂，或获取其他不正当利益； </w:t>
      </w:r>
    </w:p>
    <w:p w14:paraId="64698322">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8.1.6 不得无正当理</w:t>
      </w:r>
      <w:r>
        <w:rPr>
          <w:rFonts w:hint="eastAsia" w:ascii="仿宋" w:hAnsi="仿宋" w:eastAsia="仿宋"/>
          <w:color w:val="auto"/>
          <w:spacing w:val="14"/>
          <w:sz w:val="24"/>
          <w:szCs w:val="24"/>
          <w:lang w:eastAsia="zh-CN"/>
        </w:rPr>
        <w:t>由</w:t>
      </w:r>
      <w:r>
        <w:rPr>
          <w:rFonts w:hint="eastAsia" w:ascii="仿宋" w:hAnsi="仿宋" w:eastAsia="仿宋"/>
          <w:color w:val="auto"/>
          <w:spacing w:val="14"/>
          <w:sz w:val="24"/>
          <w:szCs w:val="24"/>
        </w:rPr>
        <w:t xml:space="preserve">拒绝与成交供应商签订合同； </w:t>
      </w:r>
    </w:p>
    <w:p w14:paraId="062C90BA">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8.1.7 参与采购活动的相关人员与供应商有利害关系的应当回避； </w:t>
      </w:r>
    </w:p>
    <w:p w14:paraId="4E4EC4CA">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8.1.8 采购过程中，不得有其他违法违规行为。</w:t>
      </w:r>
    </w:p>
    <w:p w14:paraId="0A59A7C4">
      <w:pPr>
        <w:keepNext/>
        <w:keepLines/>
        <w:spacing w:line="440" w:lineRule="exact"/>
        <w:outlineLvl w:val="3"/>
        <w:rPr>
          <w:rFonts w:hint="eastAsia" w:ascii="仿宋" w:hAnsi="仿宋" w:eastAsia="仿宋" w:cs="Arial"/>
          <w:b/>
          <w:bCs/>
          <w:spacing w:val="14"/>
          <w:sz w:val="28"/>
          <w:szCs w:val="28"/>
        </w:rPr>
      </w:pPr>
      <w:r>
        <w:rPr>
          <w:rFonts w:hint="eastAsia" w:ascii="仿宋" w:hAnsi="仿宋" w:eastAsia="仿宋" w:cs="Arial"/>
          <w:b/>
          <w:bCs/>
          <w:spacing w:val="14"/>
          <w:sz w:val="28"/>
          <w:szCs w:val="28"/>
        </w:rPr>
        <w:t>8.2 对供应商的纪律要求</w:t>
      </w:r>
    </w:p>
    <w:p w14:paraId="0CBEFF2E">
      <w:pPr>
        <w:pStyle w:val="13"/>
        <w:rPr>
          <w:rFonts w:hint="eastAsia" w:ascii="仿宋" w:hAnsi="仿宋" w:eastAsia="仿宋"/>
          <w:color w:val="auto"/>
          <w:spacing w:val="14"/>
          <w:sz w:val="24"/>
          <w:szCs w:val="24"/>
        </w:rPr>
      </w:pPr>
      <w:bookmarkStart w:id="150" w:name="_Toc1662634"/>
      <w:bookmarkEnd w:id="150"/>
      <w:r>
        <w:rPr>
          <w:rFonts w:hint="eastAsia" w:ascii="仿宋" w:hAnsi="仿宋" w:eastAsia="仿宋"/>
          <w:color w:val="auto"/>
          <w:spacing w:val="14"/>
          <w:sz w:val="24"/>
          <w:szCs w:val="24"/>
        </w:rPr>
        <w:t xml:space="preserve">8.2.1 不得以他人名义参加政府采购活动； </w:t>
      </w:r>
    </w:p>
    <w:p w14:paraId="7C63C52C">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8.2.2 供应商不得相互串通，不得与采购人、与采购代理机构串通； </w:t>
      </w:r>
    </w:p>
    <w:p w14:paraId="01724D7B">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8.2.3 不得向采购人或者磋商小组成员行贿，或提供其他不正当利益谋取成交； </w:t>
      </w:r>
    </w:p>
    <w:p w14:paraId="4FA29454">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8.2.4 不得弄虚作假骗取成交，不得虚假响应，不得恶意低价响应； </w:t>
      </w:r>
    </w:p>
    <w:p w14:paraId="7B50DB12">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8.2.5 供应商不得以任何方式干扰、影响评审工作； </w:t>
      </w:r>
    </w:p>
    <w:p w14:paraId="70D57FC8">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8.2.6 不得无正当理由放弃成交或成交后拒绝与采购人签订合同； </w:t>
      </w:r>
    </w:p>
    <w:p w14:paraId="3D4D6536">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8.2.7 不得恶意诋毁其他供应商、采购人或采购代理机构； </w:t>
      </w:r>
    </w:p>
    <w:p w14:paraId="5BF1163C">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8.2.8 在参与政府采购活动中，不得有其他违法违规行为。 </w:t>
      </w:r>
    </w:p>
    <w:p w14:paraId="2E37ED83">
      <w:pPr>
        <w:keepNext/>
        <w:keepLines/>
        <w:spacing w:line="440" w:lineRule="exact"/>
        <w:outlineLvl w:val="3"/>
        <w:rPr>
          <w:rFonts w:hint="eastAsia" w:ascii="仿宋" w:hAnsi="仿宋" w:eastAsia="仿宋" w:cs="Arial"/>
          <w:b/>
          <w:bCs/>
          <w:spacing w:val="14"/>
          <w:sz w:val="28"/>
          <w:szCs w:val="28"/>
        </w:rPr>
      </w:pPr>
      <w:r>
        <w:rPr>
          <w:rFonts w:hint="eastAsia" w:ascii="仿宋" w:hAnsi="仿宋" w:eastAsia="仿宋" w:cs="Arial"/>
          <w:b/>
          <w:bCs/>
          <w:spacing w:val="14"/>
          <w:sz w:val="28"/>
          <w:szCs w:val="28"/>
        </w:rPr>
        <w:t>8.3 对磋商小组成员的纪律要求</w:t>
      </w:r>
    </w:p>
    <w:p w14:paraId="7A754183">
      <w:pPr>
        <w:pStyle w:val="13"/>
        <w:rPr>
          <w:rFonts w:hint="eastAsia" w:ascii="仿宋" w:hAnsi="仿宋" w:eastAsia="仿宋"/>
          <w:color w:val="auto"/>
          <w:spacing w:val="14"/>
          <w:sz w:val="24"/>
          <w:szCs w:val="24"/>
        </w:rPr>
      </w:pPr>
      <w:bookmarkStart w:id="151" w:name="_Toc1662635"/>
      <w:bookmarkEnd w:id="151"/>
      <w:r>
        <w:rPr>
          <w:rFonts w:hint="eastAsia" w:ascii="仿宋" w:hAnsi="仿宋" w:eastAsia="仿宋"/>
          <w:color w:val="auto"/>
          <w:spacing w:val="14"/>
          <w:sz w:val="24"/>
          <w:szCs w:val="24"/>
        </w:rPr>
        <w:t xml:space="preserve">8.3.1 确定参与评审至评审结束前，不得私自接触供应商； </w:t>
      </w:r>
    </w:p>
    <w:p w14:paraId="4FE429BB">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8.3.2 不得与供应商或采购代理机构串通损害国家利益、社会公共利益或者他人合法权益； </w:t>
      </w:r>
    </w:p>
    <w:p w14:paraId="35409ECA">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8.3.3 不得接受供应商提出的与响应文件不一致的澄清和说明；</w:t>
      </w:r>
    </w:p>
    <w:p w14:paraId="43ABF796">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8.3.4 不得征询采购人的倾向性意见； </w:t>
      </w:r>
    </w:p>
    <w:p w14:paraId="024C61E9">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8.3.5 不得对主观评审因素协商评分； </w:t>
      </w:r>
    </w:p>
    <w:p w14:paraId="2F4784D4">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8.3.6 不得对客观评审因素评分不一致； </w:t>
      </w:r>
    </w:p>
    <w:p w14:paraId="42C93B06">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8.3.7 磋商小组成员不得接受供应商、采购人和采购代理机构等他人的贿赂或者其他不正当利益； </w:t>
      </w:r>
    </w:p>
    <w:p w14:paraId="517954CD">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8.3.8 不得以不合理的条件对供应商实行差别待遇或者歧视待遇，排斥其他供应商公平参与竞争； </w:t>
      </w:r>
    </w:p>
    <w:p w14:paraId="72CB7124">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8.3.9 不得使用磋商文件没有规定的评审方法和评审标准进行评审； </w:t>
      </w:r>
    </w:p>
    <w:p w14:paraId="4BA369B4">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8.3.10 不得诱导、干预或影响其他评审专家依法依规独立评审； </w:t>
      </w:r>
    </w:p>
    <w:p w14:paraId="7B0C640C">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8.3.11 在评审活动中，磋商小组成员不得擅离职守，影响评审工作正常进行； </w:t>
      </w:r>
    </w:p>
    <w:p w14:paraId="1379CE73">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8.3.12 不得记录、复制或带走任何评审资料； </w:t>
      </w:r>
    </w:p>
    <w:p w14:paraId="50A7A200">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8.3.13 不得泄露评审过程中获悉的对响应文件的评审和比较、成交候选人的推荐情况以及与评审有关的应当保密的情况和资料； </w:t>
      </w:r>
    </w:p>
    <w:p w14:paraId="2D51ECF6">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8.3.14 磋商小组成员与供应商存在利害关系应当回避； </w:t>
      </w:r>
    </w:p>
    <w:p w14:paraId="60C69723">
      <w:pPr>
        <w:pStyle w:val="13"/>
        <w:rPr>
          <w:rFonts w:hint="eastAsia" w:ascii="仿宋" w:hAnsi="仿宋" w:eastAsia="仿宋"/>
          <w:color w:val="auto"/>
          <w:sz w:val="24"/>
          <w:szCs w:val="24"/>
        </w:rPr>
      </w:pPr>
      <w:r>
        <w:rPr>
          <w:rFonts w:hint="eastAsia" w:ascii="仿宋" w:hAnsi="仿宋" w:eastAsia="仿宋"/>
          <w:color w:val="auto"/>
          <w:spacing w:val="14"/>
          <w:sz w:val="24"/>
          <w:szCs w:val="24"/>
        </w:rPr>
        <w:t>8.3.15 在参与政府采购评审活动中，不得有其他违法违规行为。</w:t>
      </w:r>
    </w:p>
    <w:p w14:paraId="703279C7">
      <w:pPr>
        <w:keepNext/>
        <w:keepLines/>
        <w:spacing w:line="440" w:lineRule="exact"/>
        <w:outlineLvl w:val="3"/>
        <w:rPr>
          <w:rFonts w:hint="eastAsia" w:ascii="仿宋" w:hAnsi="仿宋" w:eastAsia="仿宋" w:cs="Arial"/>
          <w:b/>
          <w:bCs/>
          <w:spacing w:val="14"/>
          <w:sz w:val="28"/>
          <w:szCs w:val="28"/>
        </w:rPr>
      </w:pPr>
      <w:r>
        <w:rPr>
          <w:rFonts w:hint="eastAsia" w:ascii="仿宋" w:hAnsi="仿宋" w:eastAsia="仿宋" w:cs="Arial"/>
          <w:b/>
          <w:bCs/>
          <w:spacing w:val="14"/>
          <w:sz w:val="28"/>
          <w:szCs w:val="28"/>
        </w:rPr>
        <w:t>8.4 对与评审活动有关的工作人员的纪律要求</w:t>
      </w:r>
    </w:p>
    <w:p w14:paraId="03C367A0">
      <w:pPr>
        <w:pStyle w:val="13"/>
        <w:rPr>
          <w:rFonts w:hint="eastAsia" w:ascii="仿宋" w:hAnsi="仿宋" w:eastAsia="仿宋"/>
          <w:color w:val="auto"/>
          <w:spacing w:val="14"/>
          <w:sz w:val="24"/>
          <w:szCs w:val="24"/>
        </w:rPr>
      </w:pPr>
      <w:bookmarkStart w:id="152" w:name="_Toc1662636"/>
      <w:bookmarkEnd w:id="152"/>
      <w:r>
        <w:rPr>
          <w:rFonts w:hint="eastAsia" w:ascii="仿宋" w:hAnsi="仿宋" w:eastAsia="仿宋"/>
          <w:color w:val="auto"/>
          <w:spacing w:val="14"/>
          <w:sz w:val="24"/>
          <w:szCs w:val="24"/>
        </w:rPr>
        <w:t xml:space="preserve">8.4.1 不得接受供应商、采购人和采购代理机构等他人的贿赂或者其他不正当利益； </w:t>
      </w:r>
    </w:p>
    <w:p w14:paraId="1184F610">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8.4.2 不得与供应商、采购代理机构或评审专家串通损害国家利益、社会公共利益或者他人合法权益； </w:t>
      </w:r>
    </w:p>
    <w:p w14:paraId="7163E74F">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8.4.3 不得以不合理的条件对供应商实行差别待遇或者歧视待遇，排斥其他供应商公平参与竞争； </w:t>
      </w:r>
    </w:p>
    <w:p w14:paraId="2D8A88F8">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8.4.4 不得诱导、干预或影响磋商小组及其成员依法依规独立评审； </w:t>
      </w:r>
    </w:p>
    <w:p w14:paraId="4C53A5C1">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8.4.5 不得擅离职守，影响评审工作正常进行； </w:t>
      </w:r>
    </w:p>
    <w:p w14:paraId="2FE58999">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8.4.6 不得泄漏采购活动中应当保密的情况和资料； </w:t>
      </w:r>
    </w:p>
    <w:p w14:paraId="0B5B4B2D">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8.4.7 与供应商有利害关系的应当回避； </w:t>
      </w:r>
    </w:p>
    <w:p w14:paraId="150CEE1F">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8.4.8 在参与或服务政府采购活动中，不得有其他违法违规行为。</w:t>
      </w:r>
    </w:p>
    <w:p w14:paraId="39D8AFC0">
      <w:pPr>
        <w:keepNext/>
        <w:keepLines/>
        <w:spacing w:line="440" w:lineRule="exact"/>
        <w:outlineLvl w:val="3"/>
        <w:rPr>
          <w:rFonts w:hint="eastAsia" w:ascii="仿宋" w:hAnsi="仿宋" w:eastAsia="仿宋" w:cs="Arial"/>
          <w:b/>
          <w:bCs/>
          <w:spacing w:val="14"/>
          <w:sz w:val="28"/>
          <w:szCs w:val="28"/>
        </w:rPr>
      </w:pPr>
      <w:r>
        <w:rPr>
          <w:rFonts w:hint="eastAsia" w:ascii="仿宋" w:hAnsi="仿宋" w:eastAsia="仿宋" w:cs="Arial"/>
          <w:b/>
          <w:bCs/>
          <w:spacing w:val="14"/>
          <w:sz w:val="28"/>
          <w:szCs w:val="28"/>
        </w:rPr>
        <w:t>8.5质疑和投诉</w:t>
      </w:r>
    </w:p>
    <w:p w14:paraId="13624202">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8.5.1 供应商认为本次采购活动的磋商文件、采购过程和成交结果使自己的权益受到损害的，在知道或应知其权益受到损害之日起7个工作日内有权在法定质疑期内，按规定的程序针对同一采购程序环节一次性实名向采购人、采购代理机构提出书面质疑。质疑函应采用中华人民共和国财政部制定的范本（见附件：质疑函范本）。质疑函及授权委托书应按规定签字并加盖公章。 </w:t>
      </w:r>
    </w:p>
    <w:p w14:paraId="25F10DAE">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8.5.2 质疑函的递交方式：见供应商须知前附表。 </w:t>
      </w:r>
    </w:p>
    <w:p w14:paraId="65E10296">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8.5.3 对采购人、采购代理机构的答复不满意或者采购人、采购代理机构未在规定的时间内作出答复的，供应商可以在质疑答复期满后15个工作日内实名向（项目所属）同级政府采购监督管理部门投诉。 </w:t>
      </w:r>
    </w:p>
    <w:p w14:paraId="5F7FDCF6">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8.5.4 质疑和投诉应有具体的质疑（投诉）事项和必要的证明材料或事实根据，供应商对其质疑和投诉内容的真实性及其来源的合法性承担法律责任。 </w:t>
      </w:r>
    </w:p>
    <w:p w14:paraId="3BC7FD61">
      <w:pPr>
        <w:keepNext/>
        <w:keepLines/>
        <w:spacing w:before="260" w:after="260" w:line="440" w:lineRule="exact"/>
        <w:outlineLvl w:val="2"/>
        <w:rPr>
          <w:rFonts w:hint="eastAsia" w:ascii="仿宋" w:hAnsi="仿宋" w:eastAsia="仿宋"/>
          <w:b/>
          <w:bCs/>
          <w:sz w:val="28"/>
          <w:szCs w:val="28"/>
        </w:rPr>
      </w:pPr>
      <w:bookmarkStart w:id="153" w:name="_Toc256000013"/>
      <w:bookmarkEnd w:id="153"/>
      <w:bookmarkStart w:id="154" w:name="_Toc1662639"/>
      <w:bookmarkEnd w:id="154"/>
      <w:bookmarkStart w:id="155" w:name="_Toc32508"/>
      <w:bookmarkEnd w:id="155"/>
      <w:bookmarkStart w:id="156" w:name="_Toc24239"/>
      <w:bookmarkEnd w:id="156"/>
      <w:bookmarkStart w:id="157" w:name="_Toc256000043"/>
      <w:bookmarkEnd w:id="157"/>
      <w:bookmarkStart w:id="158" w:name="_Toc256000058"/>
      <w:bookmarkStart w:id="159" w:name="_Toc130305935"/>
      <w:bookmarkStart w:id="160" w:name="_Toc31490"/>
      <w:bookmarkStart w:id="161" w:name="_Toc256000061"/>
      <w:bookmarkStart w:id="162" w:name="_Toc19847"/>
      <w:bookmarkStart w:id="163" w:name="_Toc14953"/>
      <w:r>
        <w:rPr>
          <w:rFonts w:hint="eastAsia" w:ascii="仿宋" w:hAnsi="仿宋" w:eastAsia="仿宋"/>
          <w:b/>
          <w:bCs/>
          <w:sz w:val="28"/>
          <w:szCs w:val="28"/>
        </w:rPr>
        <w:t>9</w:t>
      </w:r>
      <w:bookmarkEnd w:id="158"/>
      <w:r>
        <w:rPr>
          <w:rFonts w:hint="eastAsia" w:ascii="仿宋" w:hAnsi="仿宋" w:eastAsia="仿宋"/>
          <w:b/>
          <w:bCs/>
          <w:sz w:val="28"/>
          <w:szCs w:val="28"/>
        </w:rPr>
        <w:t>、需要补充的其他内容</w:t>
      </w:r>
      <w:bookmarkEnd w:id="159"/>
      <w:bookmarkEnd w:id="160"/>
      <w:bookmarkEnd w:id="161"/>
      <w:bookmarkEnd w:id="162"/>
      <w:bookmarkEnd w:id="163"/>
    </w:p>
    <w:p w14:paraId="45781CEB">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需要补充的其他内容：见须知前附表。</w:t>
      </w:r>
    </w:p>
    <w:p w14:paraId="4AE5536A">
      <w:pPr>
        <w:keepNext/>
        <w:keepLines/>
        <w:spacing w:line="360" w:lineRule="auto"/>
        <w:ind w:firstLine="602"/>
        <w:jc w:val="both"/>
        <w:outlineLvl w:val="2"/>
        <w:rPr>
          <w:rFonts w:hint="eastAsia" w:ascii="仿宋" w:hAnsi="仿宋" w:eastAsia="仿宋" w:cs="仿宋"/>
          <w:sz w:val="24"/>
          <w:szCs w:val="24"/>
        </w:rPr>
      </w:pPr>
      <w:r>
        <w:rPr>
          <w:rFonts w:hint="eastAsia" w:ascii="仿宋" w:hAnsi="仿宋" w:eastAsia="仿宋" w:cs="宋体"/>
          <w:szCs w:val="21"/>
        </w:rPr>
        <w:br w:type="page"/>
      </w:r>
      <w:bookmarkStart w:id="164" w:name="_Toc1662640"/>
      <w:bookmarkEnd w:id="164"/>
      <w:bookmarkStart w:id="165" w:name="_Toc23652"/>
      <w:bookmarkStart w:id="166" w:name="_Toc31862"/>
      <w:bookmarkStart w:id="167" w:name="_Toc20417"/>
      <w:bookmarkStart w:id="168" w:name="_Toc1721686"/>
      <w:r>
        <w:rPr>
          <w:rFonts w:hint="eastAsia" w:ascii="仿宋" w:hAnsi="仿宋" w:eastAsia="仿宋" w:cs="仿宋"/>
          <w:b/>
          <w:bCs/>
          <w:sz w:val="28"/>
          <w:szCs w:val="28"/>
        </w:rPr>
        <w:t>附件：质疑函范本</w:t>
      </w:r>
      <w:bookmarkEnd w:id="165"/>
      <w:bookmarkEnd w:id="166"/>
      <w:bookmarkEnd w:id="167"/>
      <w:bookmarkEnd w:id="168"/>
    </w:p>
    <w:p w14:paraId="470D8CAC">
      <w:pPr>
        <w:spacing w:line="360" w:lineRule="auto"/>
        <w:ind w:firstLine="0" w:firstLineChars="0"/>
        <w:jc w:val="center"/>
        <w:rPr>
          <w:rFonts w:hint="eastAsia" w:ascii="仿宋" w:hAnsi="仿宋" w:eastAsia="仿宋" w:cs="仿宋"/>
          <w:b/>
          <w:sz w:val="28"/>
          <w:szCs w:val="28"/>
        </w:rPr>
      </w:pPr>
      <w:r>
        <w:rPr>
          <w:rFonts w:hint="eastAsia" w:ascii="仿宋" w:hAnsi="仿宋" w:eastAsia="仿宋" w:cs="仿宋"/>
          <w:b/>
          <w:spacing w:val="14"/>
          <w:sz w:val="28"/>
          <w:szCs w:val="28"/>
        </w:rPr>
        <w:t>质疑函</w:t>
      </w:r>
    </w:p>
    <w:p w14:paraId="561A7427">
      <w:pPr>
        <w:widowControl/>
        <w:spacing w:line="240" w:lineRule="auto"/>
        <w:ind w:firstLine="480"/>
        <w:jc w:val="left"/>
        <w:rPr>
          <w:rFonts w:hint="eastAsia" w:ascii="仿宋" w:hAnsi="仿宋" w:eastAsia="仿宋" w:cs="仿宋"/>
          <w:sz w:val="24"/>
          <w:szCs w:val="24"/>
        </w:rPr>
      </w:pPr>
      <w:r>
        <w:rPr>
          <w:rFonts w:hint="eastAsia" w:ascii="仿宋" w:hAnsi="仿宋" w:eastAsia="仿宋" w:cs="仿宋"/>
          <w:sz w:val="24"/>
          <w:szCs w:val="24"/>
        </w:rPr>
        <w:t>一、质疑供应商基本信息</w:t>
      </w:r>
    </w:p>
    <w:p w14:paraId="2D837627">
      <w:pPr>
        <w:widowControl/>
        <w:spacing w:line="240" w:lineRule="auto"/>
        <w:ind w:firstLine="480"/>
        <w:jc w:val="left"/>
        <w:rPr>
          <w:rFonts w:hint="eastAsia" w:ascii="仿宋" w:hAnsi="仿宋" w:eastAsia="仿宋" w:cs="仿宋"/>
          <w:sz w:val="24"/>
          <w:szCs w:val="24"/>
          <w:u w:val="dotted"/>
        </w:rPr>
      </w:pPr>
      <w:r>
        <w:rPr>
          <w:rFonts w:hint="eastAsia" w:ascii="仿宋" w:hAnsi="仿宋" w:eastAsia="仿宋" w:cs="仿宋"/>
          <w:sz w:val="24"/>
          <w:szCs w:val="24"/>
        </w:rPr>
        <w:t>质疑供应商：</w:t>
      </w:r>
      <w:r>
        <w:rPr>
          <w:rFonts w:hint="eastAsia" w:ascii="仿宋" w:hAnsi="仿宋" w:eastAsia="仿宋" w:cs="仿宋"/>
          <w:sz w:val="24"/>
          <w:szCs w:val="24"/>
          <w:u w:val="dotted"/>
        </w:rPr>
        <w:t xml:space="preserve">                                        </w:t>
      </w:r>
    </w:p>
    <w:p w14:paraId="04218616">
      <w:pPr>
        <w:widowControl/>
        <w:spacing w:line="240" w:lineRule="auto"/>
        <w:ind w:firstLine="480"/>
        <w:jc w:val="left"/>
        <w:rPr>
          <w:rFonts w:hint="eastAsia" w:ascii="仿宋" w:hAnsi="仿宋" w:eastAsia="仿宋" w:cs="仿宋"/>
          <w:sz w:val="24"/>
          <w:szCs w:val="24"/>
        </w:rPr>
      </w:pPr>
      <w:r>
        <w:rPr>
          <w:rFonts w:hint="eastAsia" w:ascii="仿宋" w:hAnsi="仿宋" w:eastAsia="仿宋" w:cs="仿宋"/>
          <w:sz w:val="24"/>
          <w:szCs w:val="24"/>
        </w:rPr>
        <w:t>地址：</w:t>
      </w:r>
      <w:r>
        <w:rPr>
          <w:rFonts w:hint="eastAsia" w:ascii="仿宋" w:hAnsi="仿宋" w:eastAsia="仿宋" w:cs="仿宋"/>
          <w:sz w:val="24"/>
          <w:szCs w:val="24"/>
          <w:u w:val="dotted"/>
        </w:rPr>
        <w:t xml:space="preserve">                          </w:t>
      </w:r>
      <w:r>
        <w:rPr>
          <w:rFonts w:hint="eastAsia" w:ascii="仿宋" w:hAnsi="仿宋" w:eastAsia="仿宋" w:cs="仿宋"/>
          <w:sz w:val="24"/>
          <w:szCs w:val="24"/>
        </w:rPr>
        <w:t>邮编：</w:t>
      </w:r>
      <w:r>
        <w:rPr>
          <w:rFonts w:hint="eastAsia" w:ascii="仿宋" w:hAnsi="仿宋" w:eastAsia="仿宋" w:cs="仿宋"/>
          <w:sz w:val="24"/>
          <w:szCs w:val="24"/>
          <w:u w:val="dotted"/>
        </w:rPr>
        <w:t xml:space="preserve">                      </w:t>
      </w:r>
    </w:p>
    <w:p w14:paraId="60EAE921">
      <w:pPr>
        <w:widowControl/>
        <w:spacing w:line="240" w:lineRule="auto"/>
        <w:ind w:firstLine="480"/>
        <w:jc w:val="left"/>
        <w:rPr>
          <w:rFonts w:hint="eastAsia" w:ascii="仿宋" w:hAnsi="仿宋" w:eastAsia="仿宋" w:cs="仿宋"/>
          <w:sz w:val="24"/>
          <w:szCs w:val="24"/>
        </w:rPr>
      </w:pPr>
      <w:r>
        <w:rPr>
          <w:rFonts w:hint="eastAsia" w:ascii="仿宋" w:hAnsi="仿宋" w:eastAsia="仿宋" w:cs="仿宋"/>
          <w:sz w:val="24"/>
          <w:szCs w:val="24"/>
        </w:rPr>
        <w:t>联系人：</w:t>
      </w:r>
      <w:r>
        <w:rPr>
          <w:rFonts w:hint="eastAsia" w:ascii="仿宋" w:hAnsi="仿宋" w:eastAsia="仿宋" w:cs="仿宋"/>
          <w:sz w:val="24"/>
          <w:szCs w:val="24"/>
          <w:u w:val="dotted"/>
        </w:rPr>
        <w:t xml:space="preserve">                      </w:t>
      </w:r>
      <w:r>
        <w:rPr>
          <w:rFonts w:hint="eastAsia" w:ascii="仿宋" w:hAnsi="仿宋" w:eastAsia="仿宋" w:cs="仿宋"/>
          <w:sz w:val="24"/>
          <w:szCs w:val="24"/>
        </w:rPr>
        <w:t>联系电话：</w:t>
      </w:r>
      <w:r>
        <w:rPr>
          <w:rFonts w:hint="eastAsia" w:ascii="仿宋" w:hAnsi="仿宋" w:eastAsia="仿宋" w:cs="仿宋"/>
          <w:sz w:val="24"/>
          <w:szCs w:val="24"/>
          <w:u w:val="dotted"/>
        </w:rPr>
        <w:t xml:space="preserve">                              </w:t>
      </w:r>
    </w:p>
    <w:p w14:paraId="21D36530">
      <w:pPr>
        <w:widowControl/>
        <w:spacing w:line="240" w:lineRule="auto"/>
        <w:ind w:firstLine="480"/>
        <w:jc w:val="left"/>
        <w:rPr>
          <w:rFonts w:hint="eastAsia" w:ascii="仿宋" w:hAnsi="仿宋" w:eastAsia="仿宋" w:cs="仿宋"/>
          <w:sz w:val="24"/>
          <w:szCs w:val="24"/>
          <w:u w:val="dotted"/>
        </w:rPr>
      </w:pPr>
      <w:r>
        <w:rPr>
          <w:rFonts w:hint="eastAsia" w:ascii="仿宋" w:hAnsi="仿宋" w:eastAsia="仿宋" w:cs="仿宋"/>
          <w:sz w:val="24"/>
          <w:szCs w:val="24"/>
        </w:rPr>
        <w:t>授权代表：</w:t>
      </w:r>
      <w:r>
        <w:rPr>
          <w:rFonts w:hint="eastAsia" w:ascii="仿宋" w:hAnsi="仿宋" w:eastAsia="仿宋" w:cs="仿宋"/>
          <w:sz w:val="24"/>
          <w:szCs w:val="24"/>
          <w:u w:val="dotted"/>
        </w:rPr>
        <w:t xml:space="preserve">                                          </w:t>
      </w:r>
    </w:p>
    <w:p w14:paraId="15EA9ED5">
      <w:pPr>
        <w:widowControl/>
        <w:spacing w:line="240" w:lineRule="auto"/>
        <w:ind w:firstLine="480"/>
        <w:jc w:val="left"/>
        <w:rPr>
          <w:rFonts w:hint="eastAsia" w:ascii="仿宋" w:hAnsi="仿宋" w:eastAsia="仿宋" w:cs="仿宋"/>
          <w:sz w:val="24"/>
          <w:szCs w:val="24"/>
        </w:rPr>
      </w:pPr>
      <w:r>
        <w:rPr>
          <w:rFonts w:hint="eastAsia" w:ascii="仿宋" w:hAnsi="仿宋" w:eastAsia="仿宋" w:cs="仿宋"/>
          <w:sz w:val="24"/>
          <w:szCs w:val="24"/>
        </w:rPr>
        <w:t>联系电话：</w:t>
      </w:r>
      <w:r>
        <w:rPr>
          <w:rFonts w:hint="eastAsia" w:ascii="仿宋" w:hAnsi="仿宋" w:eastAsia="仿宋" w:cs="仿宋"/>
          <w:sz w:val="24"/>
          <w:szCs w:val="24"/>
          <w:u w:val="dotted"/>
        </w:rPr>
        <w:t xml:space="preserve">                                           </w:t>
      </w:r>
      <w:r>
        <w:rPr>
          <w:rFonts w:hint="eastAsia" w:ascii="仿宋" w:hAnsi="仿宋" w:eastAsia="仿宋" w:cs="仿宋"/>
          <w:sz w:val="24"/>
          <w:szCs w:val="24"/>
        </w:rPr>
        <w:t xml:space="preserve"> </w:t>
      </w:r>
    </w:p>
    <w:p w14:paraId="77FB7113">
      <w:pPr>
        <w:widowControl/>
        <w:spacing w:line="240" w:lineRule="auto"/>
        <w:ind w:firstLine="480"/>
        <w:jc w:val="left"/>
        <w:rPr>
          <w:rFonts w:hint="eastAsia" w:ascii="仿宋" w:hAnsi="仿宋" w:eastAsia="仿宋" w:cs="仿宋"/>
          <w:sz w:val="24"/>
          <w:szCs w:val="24"/>
        </w:rPr>
      </w:pPr>
      <w:r>
        <w:rPr>
          <w:rFonts w:hint="eastAsia" w:ascii="仿宋" w:hAnsi="仿宋" w:eastAsia="仿宋" w:cs="仿宋"/>
          <w:sz w:val="24"/>
          <w:szCs w:val="24"/>
        </w:rPr>
        <w:t xml:space="preserve">地址： </w:t>
      </w:r>
      <w:r>
        <w:rPr>
          <w:rFonts w:hint="eastAsia" w:ascii="仿宋" w:hAnsi="仿宋" w:eastAsia="仿宋" w:cs="仿宋"/>
          <w:sz w:val="24"/>
          <w:szCs w:val="24"/>
          <w:u w:val="dotted"/>
        </w:rPr>
        <w:t xml:space="preserve">                        </w:t>
      </w:r>
      <w:r>
        <w:rPr>
          <w:rFonts w:hint="eastAsia" w:ascii="仿宋" w:hAnsi="仿宋" w:eastAsia="仿宋" w:cs="仿宋"/>
          <w:sz w:val="24"/>
          <w:szCs w:val="24"/>
        </w:rPr>
        <w:t>邮编：</w:t>
      </w:r>
      <w:r>
        <w:rPr>
          <w:rFonts w:hint="eastAsia" w:ascii="仿宋" w:hAnsi="仿宋" w:eastAsia="仿宋" w:cs="仿宋"/>
          <w:sz w:val="24"/>
          <w:szCs w:val="24"/>
          <w:u w:val="dotted"/>
        </w:rPr>
        <w:t xml:space="preserve">                                                </w:t>
      </w:r>
    </w:p>
    <w:p w14:paraId="756343C0">
      <w:pPr>
        <w:widowControl/>
        <w:spacing w:line="240" w:lineRule="auto"/>
        <w:ind w:firstLine="480"/>
        <w:jc w:val="left"/>
        <w:rPr>
          <w:rFonts w:hint="eastAsia" w:ascii="仿宋" w:hAnsi="仿宋" w:eastAsia="仿宋" w:cs="仿宋"/>
          <w:sz w:val="24"/>
          <w:szCs w:val="24"/>
        </w:rPr>
      </w:pPr>
      <w:r>
        <w:rPr>
          <w:rFonts w:hint="eastAsia" w:ascii="仿宋" w:hAnsi="仿宋" w:eastAsia="仿宋" w:cs="仿宋"/>
          <w:sz w:val="24"/>
          <w:szCs w:val="24"/>
        </w:rPr>
        <w:t>二、质疑项目基本情况</w:t>
      </w:r>
    </w:p>
    <w:p w14:paraId="2181B7E6">
      <w:pPr>
        <w:widowControl/>
        <w:spacing w:line="240" w:lineRule="auto"/>
        <w:ind w:firstLine="480"/>
        <w:jc w:val="left"/>
        <w:rPr>
          <w:rFonts w:hint="eastAsia" w:ascii="仿宋" w:hAnsi="仿宋" w:eastAsia="仿宋" w:cs="仿宋"/>
          <w:sz w:val="24"/>
          <w:szCs w:val="24"/>
        </w:rPr>
      </w:pPr>
      <w:r>
        <w:rPr>
          <w:rFonts w:hint="eastAsia" w:ascii="仿宋" w:hAnsi="仿宋" w:eastAsia="仿宋" w:cs="仿宋"/>
          <w:sz w:val="24"/>
          <w:szCs w:val="24"/>
        </w:rPr>
        <w:t>质疑项目的名称：</w:t>
      </w:r>
      <w:r>
        <w:rPr>
          <w:rFonts w:hint="eastAsia" w:ascii="仿宋" w:hAnsi="仿宋" w:eastAsia="仿宋" w:cs="仿宋"/>
          <w:sz w:val="24"/>
          <w:szCs w:val="24"/>
          <w:u w:val="dotted"/>
        </w:rPr>
        <w:t xml:space="preserve">                                          </w:t>
      </w:r>
    </w:p>
    <w:p w14:paraId="31B8813D">
      <w:pPr>
        <w:widowControl/>
        <w:spacing w:line="240" w:lineRule="auto"/>
        <w:ind w:firstLine="480"/>
        <w:jc w:val="left"/>
        <w:rPr>
          <w:rFonts w:hint="eastAsia" w:ascii="仿宋" w:hAnsi="仿宋" w:eastAsia="仿宋" w:cs="仿宋"/>
          <w:sz w:val="24"/>
          <w:szCs w:val="24"/>
        </w:rPr>
      </w:pPr>
      <w:r>
        <w:rPr>
          <w:rFonts w:hint="eastAsia" w:ascii="仿宋" w:hAnsi="仿宋" w:eastAsia="仿宋" w:cs="仿宋"/>
          <w:sz w:val="24"/>
          <w:szCs w:val="24"/>
        </w:rPr>
        <w:t>质疑项目的编号：</w:t>
      </w:r>
      <w:r>
        <w:rPr>
          <w:rFonts w:hint="eastAsia" w:ascii="仿宋" w:hAnsi="仿宋" w:eastAsia="仿宋" w:cs="仿宋"/>
          <w:sz w:val="24"/>
          <w:szCs w:val="24"/>
          <w:u w:val="dotted"/>
        </w:rPr>
        <w:t xml:space="preserve">               </w:t>
      </w:r>
      <w:r>
        <w:rPr>
          <w:rFonts w:hint="eastAsia" w:ascii="仿宋" w:hAnsi="仿宋" w:eastAsia="仿宋" w:cs="仿宋"/>
          <w:sz w:val="24"/>
          <w:szCs w:val="24"/>
        </w:rPr>
        <w:t>包号：</w:t>
      </w:r>
      <w:r>
        <w:rPr>
          <w:rFonts w:hint="eastAsia" w:ascii="仿宋" w:hAnsi="仿宋" w:eastAsia="仿宋" w:cs="仿宋"/>
          <w:sz w:val="24"/>
          <w:szCs w:val="24"/>
          <w:u w:val="dotted"/>
        </w:rPr>
        <w:t xml:space="preserve">                       </w:t>
      </w:r>
    </w:p>
    <w:p w14:paraId="2AB06A76">
      <w:pPr>
        <w:widowControl/>
        <w:spacing w:line="240" w:lineRule="auto"/>
        <w:ind w:firstLine="480"/>
        <w:jc w:val="left"/>
        <w:rPr>
          <w:rFonts w:hint="eastAsia" w:ascii="仿宋" w:hAnsi="仿宋" w:eastAsia="仿宋" w:cs="仿宋"/>
          <w:sz w:val="24"/>
          <w:szCs w:val="24"/>
          <w:u w:val="dotted"/>
        </w:rPr>
      </w:pPr>
      <w:r>
        <w:rPr>
          <w:rFonts w:hint="eastAsia" w:ascii="仿宋" w:hAnsi="仿宋" w:eastAsia="仿宋" w:cs="仿宋"/>
          <w:sz w:val="24"/>
          <w:szCs w:val="24"/>
        </w:rPr>
        <w:t>采购人名称：</w:t>
      </w:r>
      <w:r>
        <w:rPr>
          <w:rFonts w:hint="eastAsia" w:ascii="仿宋" w:hAnsi="仿宋" w:eastAsia="仿宋" w:cs="仿宋"/>
          <w:sz w:val="24"/>
          <w:szCs w:val="24"/>
          <w:u w:val="dotted"/>
        </w:rPr>
        <w:t xml:space="preserve">                                               </w:t>
      </w:r>
    </w:p>
    <w:p w14:paraId="2E16C209">
      <w:pPr>
        <w:widowControl/>
        <w:spacing w:line="240" w:lineRule="auto"/>
        <w:ind w:firstLine="480"/>
        <w:jc w:val="left"/>
        <w:rPr>
          <w:rFonts w:hint="eastAsia" w:ascii="仿宋" w:hAnsi="仿宋" w:eastAsia="仿宋" w:cs="仿宋"/>
          <w:sz w:val="24"/>
          <w:szCs w:val="24"/>
        </w:rPr>
      </w:pPr>
      <w:r>
        <w:rPr>
          <w:rFonts w:hint="eastAsia" w:ascii="仿宋" w:hAnsi="仿宋" w:eastAsia="仿宋" w:cs="仿宋"/>
          <w:sz w:val="24"/>
          <w:szCs w:val="24"/>
        </w:rPr>
        <w:t>采购文件获取日期：</w:t>
      </w:r>
      <w:r>
        <w:rPr>
          <w:rFonts w:hint="eastAsia" w:ascii="仿宋" w:hAnsi="仿宋" w:eastAsia="仿宋" w:cs="仿宋"/>
          <w:sz w:val="24"/>
          <w:szCs w:val="24"/>
          <w:u w:val="dotted"/>
        </w:rPr>
        <w:t xml:space="preserve">                                             </w:t>
      </w:r>
    </w:p>
    <w:p w14:paraId="05291657">
      <w:pPr>
        <w:widowControl/>
        <w:spacing w:line="240" w:lineRule="auto"/>
        <w:ind w:firstLine="480"/>
        <w:jc w:val="left"/>
        <w:rPr>
          <w:rFonts w:hint="eastAsia" w:ascii="仿宋" w:hAnsi="仿宋" w:eastAsia="仿宋" w:cs="仿宋"/>
          <w:sz w:val="24"/>
          <w:szCs w:val="24"/>
        </w:rPr>
      </w:pPr>
      <w:r>
        <w:rPr>
          <w:rFonts w:hint="eastAsia" w:ascii="仿宋" w:hAnsi="仿宋" w:eastAsia="仿宋" w:cs="仿宋"/>
          <w:sz w:val="24"/>
          <w:szCs w:val="24"/>
        </w:rPr>
        <w:t>三、质疑事项具体内容</w:t>
      </w:r>
    </w:p>
    <w:p w14:paraId="207B0372">
      <w:pPr>
        <w:widowControl/>
        <w:spacing w:line="240" w:lineRule="auto"/>
        <w:ind w:firstLine="480"/>
        <w:jc w:val="left"/>
        <w:rPr>
          <w:rFonts w:hint="eastAsia" w:ascii="仿宋" w:hAnsi="仿宋" w:eastAsia="仿宋" w:cs="仿宋"/>
          <w:sz w:val="24"/>
          <w:szCs w:val="24"/>
          <w:u w:val="dotted"/>
        </w:rPr>
      </w:pPr>
      <w:r>
        <w:rPr>
          <w:rFonts w:hint="eastAsia" w:ascii="仿宋" w:hAnsi="仿宋" w:eastAsia="仿宋" w:cs="仿宋"/>
          <w:sz w:val="24"/>
          <w:szCs w:val="24"/>
        </w:rPr>
        <w:t>质疑事项1：</w:t>
      </w:r>
      <w:r>
        <w:rPr>
          <w:rFonts w:hint="eastAsia" w:ascii="仿宋" w:hAnsi="仿宋" w:eastAsia="仿宋" w:cs="仿宋"/>
          <w:sz w:val="24"/>
          <w:szCs w:val="24"/>
          <w:u w:val="dotted"/>
        </w:rPr>
        <w:t xml:space="preserve">                                               </w:t>
      </w:r>
    </w:p>
    <w:p w14:paraId="0E7038AB">
      <w:pPr>
        <w:widowControl/>
        <w:spacing w:line="240" w:lineRule="auto"/>
        <w:ind w:firstLine="480"/>
        <w:jc w:val="left"/>
        <w:rPr>
          <w:rFonts w:hint="eastAsia" w:ascii="仿宋" w:hAnsi="仿宋" w:eastAsia="仿宋" w:cs="仿宋"/>
          <w:sz w:val="24"/>
          <w:szCs w:val="24"/>
          <w:u w:val="dotted"/>
        </w:rPr>
      </w:pPr>
      <w:r>
        <w:rPr>
          <w:rFonts w:hint="eastAsia" w:ascii="仿宋" w:hAnsi="仿宋" w:eastAsia="仿宋" w:cs="仿宋"/>
          <w:sz w:val="24"/>
          <w:szCs w:val="24"/>
        </w:rPr>
        <w:t>事实依据：</w:t>
      </w:r>
      <w:r>
        <w:rPr>
          <w:rFonts w:hint="eastAsia" w:ascii="仿宋" w:hAnsi="仿宋" w:eastAsia="仿宋" w:cs="仿宋"/>
          <w:sz w:val="24"/>
          <w:szCs w:val="24"/>
          <w:u w:val="dotted"/>
        </w:rPr>
        <w:t xml:space="preserve">                                                </w:t>
      </w:r>
    </w:p>
    <w:p w14:paraId="3DF30BE7">
      <w:pPr>
        <w:widowControl/>
        <w:spacing w:line="240" w:lineRule="auto"/>
        <w:ind w:firstLine="480"/>
        <w:jc w:val="left"/>
        <w:rPr>
          <w:rFonts w:hint="eastAsia" w:ascii="仿宋" w:hAnsi="仿宋" w:eastAsia="仿宋" w:cs="仿宋"/>
          <w:sz w:val="24"/>
          <w:szCs w:val="24"/>
        </w:rPr>
      </w:pPr>
      <w:r>
        <w:rPr>
          <w:rFonts w:hint="eastAsia" w:ascii="仿宋" w:hAnsi="仿宋" w:eastAsia="仿宋" w:cs="仿宋"/>
          <w:sz w:val="24"/>
          <w:szCs w:val="24"/>
          <w:u w:val="dotted"/>
        </w:rPr>
        <w:t xml:space="preserve">                                                           </w:t>
      </w:r>
    </w:p>
    <w:p w14:paraId="16AEE650">
      <w:pPr>
        <w:widowControl/>
        <w:spacing w:line="240" w:lineRule="auto"/>
        <w:ind w:firstLine="480"/>
        <w:jc w:val="left"/>
        <w:rPr>
          <w:rFonts w:hint="eastAsia" w:ascii="仿宋" w:hAnsi="仿宋" w:eastAsia="仿宋" w:cs="仿宋"/>
          <w:sz w:val="24"/>
          <w:szCs w:val="24"/>
          <w:u w:val="dotted"/>
        </w:rPr>
      </w:pPr>
      <w:r>
        <w:rPr>
          <w:rFonts w:hint="eastAsia" w:ascii="仿宋" w:hAnsi="仿宋" w:eastAsia="仿宋" w:cs="仿宋"/>
          <w:sz w:val="24"/>
          <w:szCs w:val="24"/>
        </w:rPr>
        <w:t>法律依据：</w:t>
      </w:r>
      <w:r>
        <w:rPr>
          <w:rFonts w:hint="eastAsia" w:ascii="仿宋" w:hAnsi="仿宋" w:eastAsia="仿宋" w:cs="仿宋"/>
          <w:sz w:val="24"/>
          <w:szCs w:val="24"/>
          <w:u w:val="dotted"/>
        </w:rPr>
        <w:t xml:space="preserve">                                                </w:t>
      </w:r>
    </w:p>
    <w:p w14:paraId="7FF7920B">
      <w:pPr>
        <w:widowControl/>
        <w:spacing w:line="240" w:lineRule="auto"/>
        <w:ind w:firstLine="480"/>
        <w:jc w:val="left"/>
        <w:rPr>
          <w:rFonts w:hint="eastAsia" w:ascii="仿宋" w:hAnsi="仿宋" w:eastAsia="仿宋" w:cs="仿宋"/>
          <w:sz w:val="24"/>
          <w:szCs w:val="24"/>
          <w:u w:val="dotted"/>
        </w:rPr>
      </w:pPr>
      <w:r>
        <w:rPr>
          <w:rFonts w:hint="eastAsia" w:ascii="仿宋" w:hAnsi="仿宋" w:eastAsia="仿宋" w:cs="仿宋"/>
          <w:sz w:val="24"/>
          <w:szCs w:val="24"/>
          <w:u w:val="dotted"/>
        </w:rPr>
        <w:t xml:space="preserve">                                                           </w:t>
      </w:r>
    </w:p>
    <w:p w14:paraId="233A8AA9">
      <w:pPr>
        <w:widowControl/>
        <w:spacing w:line="240" w:lineRule="auto"/>
        <w:ind w:firstLine="480"/>
        <w:jc w:val="left"/>
        <w:rPr>
          <w:rFonts w:hint="eastAsia" w:ascii="仿宋" w:hAnsi="仿宋" w:eastAsia="仿宋" w:cs="仿宋"/>
          <w:sz w:val="24"/>
          <w:szCs w:val="24"/>
          <w:u w:val="dotted"/>
        </w:rPr>
      </w:pPr>
      <w:r>
        <w:rPr>
          <w:rFonts w:hint="eastAsia" w:ascii="仿宋" w:hAnsi="仿宋" w:eastAsia="仿宋" w:cs="仿宋"/>
          <w:sz w:val="24"/>
          <w:szCs w:val="24"/>
        </w:rPr>
        <w:t>质疑事项2</w:t>
      </w:r>
    </w:p>
    <w:p w14:paraId="65F843DF">
      <w:pPr>
        <w:widowControl/>
        <w:spacing w:line="240" w:lineRule="auto"/>
        <w:ind w:firstLine="480"/>
        <w:jc w:val="left"/>
        <w:rPr>
          <w:rFonts w:hint="eastAsia" w:ascii="仿宋" w:hAnsi="仿宋" w:eastAsia="仿宋" w:cs="仿宋"/>
          <w:sz w:val="24"/>
          <w:szCs w:val="24"/>
        </w:rPr>
      </w:pPr>
      <w:r>
        <w:rPr>
          <w:rFonts w:hint="eastAsia" w:ascii="仿宋" w:hAnsi="仿宋" w:eastAsia="仿宋" w:cs="仿宋"/>
          <w:sz w:val="24"/>
          <w:szCs w:val="24"/>
        </w:rPr>
        <w:t>……</w:t>
      </w:r>
    </w:p>
    <w:p w14:paraId="538C669E">
      <w:pPr>
        <w:widowControl/>
        <w:spacing w:line="240" w:lineRule="auto"/>
        <w:ind w:firstLine="480"/>
        <w:jc w:val="left"/>
        <w:rPr>
          <w:rFonts w:hint="eastAsia" w:ascii="仿宋" w:hAnsi="仿宋" w:eastAsia="仿宋" w:cs="仿宋"/>
          <w:sz w:val="24"/>
          <w:szCs w:val="24"/>
        </w:rPr>
      </w:pPr>
      <w:r>
        <w:rPr>
          <w:rFonts w:hint="eastAsia" w:ascii="仿宋" w:hAnsi="仿宋" w:eastAsia="仿宋" w:cs="仿宋"/>
          <w:sz w:val="24"/>
          <w:szCs w:val="24"/>
        </w:rPr>
        <w:t>四、与质疑事项相关的质疑请求</w:t>
      </w:r>
    </w:p>
    <w:p w14:paraId="76CEAD15">
      <w:pPr>
        <w:widowControl/>
        <w:spacing w:line="240" w:lineRule="auto"/>
        <w:ind w:firstLine="480"/>
        <w:jc w:val="left"/>
        <w:rPr>
          <w:rFonts w:hint="eastAsia" w:ascii="仿宋" w:hAnsi="仿宋" w:eastAsia="仿宋" w:cs="仿宋"/>
          <w:sz w:val="24"/>
          <w:szCs w:val="24"/>
          <w:u w:val="dotted"/>
        </w:rPr>
      </w:pPr>
      <w:r>
        <w:rPr>
          <w:rFonts w:hint="eastAsia" w:ascii="仿宋" w:hAnsi="仿宋" w:eastAsia="仿宋" w:cs="仿宋"/>
          <w:sz w:val="24"/>
          <w:szCs w:val="24"/>
        </w:rPr>
        <w:t>请求：</w:t>
      </w:r>
      <w:r>
        <w:rPr>
          <w:rFonts w:hint="eastAsia" w:ascii="仿宋" w:hAnsi="仿宋" w:eastAsia="仿宋" w:cs="仿宋"/>
          <w:sz w:val="24"/>
          <w:szCs w:val="24"/>
          <w:u w:val="dotted"/>
        </w:rPr>
        <w:t xml:space="preserve">                                               </w:t>
      </w:r>
    </w:p>
    <w:p w14:paraId="10D71F85">
      <w:pPr>
        <w:widowControl/>
        <w:spacing w:line="240" w:lineRule="auto"/>
        <w:ind w:firstLine="480"/>
        <w:jc w:val="left"/>
        <w:rPr>
          <w:rFonts w:hint="eastAsia" w:ascii="仿宋" w:hAnsi="仿宋" w:eastAsia="仿宋" w:cs="仿宋"/>
          <w:sz w:val="24"/>
          <w:szCs w:val="24"/>
        </w:rPr>
      </w:pPr>
    </w:p>
    <w:p w14:paraId="024D91DC">
      <w:pPr>
        <w:widowControl/>
        <w:spacing w:line="240" w:lineRule="auto"/>
        <w:ind w:firstLine="480"/>
        <w:jc w:val="left"/>
        <w:rPr>
          <w:rFonts w:hint="eastAsia" w:ascii="仿宋" w:hAnsi="仿宋" w:eastAsia="仿宋" w:cs="仿宋"/>
          <w:sz w:val="24"/>
          <w:szCs w:val="24"/>
        </w:rPr>
      </w:pPr>
      <w:r>
        <w:rPr>
          <w:rFonts w:hint="eastAsia" w:ascii="仿宋" w:hAnsi="仿宋" w:eastAsia="仿宋" w:cs="仿宋"/>
          <w:sz w:val="24"/>
          <w:szCs w:val="24"/>
        </w:rPr>
        <w:t xml:space="preserve">签字(签章)：                   公章： </w:t>
      </w:r>
    </w:p>
    <w:p w14:paraId="5075B649">
      <w:pPr>
        <w:widowControl/>
        <w:spacing w:line="240" w:lineRule="auto"/>
        <w:ind w:firstLine="480"/>
        <w:jc w:val="left"/>
        <w:rPr>
          <w:rFonts w:hint="eastAsia" w:ascii="仿宋" w:hAnsi="仿宋" w:eastAsia="仿宋" w:cs="仿宋"/>
          <w:sz w:val="24"/>
          <w:szCs w:val="24"/>
        </w:rPr>
      </w:pPr>
      <w:r>
        <w:rPr>
          <w:rFonts w:hint="eastAsia" w:ascii="仿宋" w:hAnsi="仿宋" w:eastAsia="仿宋" w:cs="仿宋"/>
          <w:sz w:val="24"/>
          <w:szCs w:val="24"/>
        </w:rPr>
        <w:t xml:space="preserve">日期：    </w:t>
      </w:r>
    </w:p>
    <w:p w14:paraId="69F8F280">
      <w:pPr>
        <w:widowControl/>
        <w:spacing w:line="360" w:lineRule="auto"/>
        <w:ind w:firstLine="480"/>
        <w:jc w:val="both"/>
        <w:rPr>
          <w:rFonts w:hint="eastAsia" w:ascii="仿宋" w:hAnsi="仿宋" w:eastAsia="仿宋" w:cs="仿宋"/>
          <w:sz w:val="24"/>
          <w:szCs w:val="24"/>
        </w:rPr>
      </w:pPr>
    </w:p>
    <w:p w14:paraId="2326F26A">
      <w:pPr>
        <w:widowControl/>
        <w:spacing w:line="360" w:lineRule="auto"/>
        <w:ind w:firstLine="418" w:firstLineChars="200"/>
        <w:jc w:val="both"/>
        <w:rPr>
          <w:rFonts w:hint="eastAsia" w:ascii="仿宋" w:hAnsi="仿宋" w:eastAsia="仿宋" w:cs="仿宋"/>
          <w:sz w:val="24"/>
          <w:szCs w:val="24"/>
        </w:rPr>
      </w:pPr>
      <w:r>
        <w:rPr>
          <w:rFonts w:hint="eastAsia" w:ascii="仿宋" w:hAnsi="仿宋" w:eastAsia="仿宋" w:cs="仿宋"/>
          <w:sz w:val="24"/>
          <w:szCs w:val="24"/>
        </w:rPr>
        <w:t>质疑函制作说明：</w:t>
      </w:r>
    </w:p>
    <w:p w14:paraId="3A873AB0">
      <w:pPr>
        <w:widowControl/>
        <w:spacing w:line="360" w:lineRule="auto"/>
        <w:ind w:firstLine="480"/>
        <w:jc w:val="both"/>
        <w:rPr>
          <w:rFonts w:hint="eastAsia" w:ascii="仿宋" w:hAnsi="仿宋" w:eastAsia="仿宋" w:cs="仿宋"/>
          <w:sz w:val="24"/>
          <w:szCs w:val="24"/>
        </w:rPr>
      </w:pPr>
      <w:r>
        <w:rPr>
          <w:rFonts w:hint="eastAsia" w:ascii="仿宋" w:hAnsi="仿宋" w:eastAsia="仿宋" w:cs="仿宋"/>
          <w:sz w:val="24"/>
          <w:szCs w:val="24"/>
        </w:rPr>
        <w:t>1.供应商提出质疑时，应提交质疑函和必要的证明材料。</w:t>
      </w:r>
    </w:p>
    <w:p w14:paraId="36353908">
      <w:pPr>
        <w:widowControl/>
        <w:spacing w:line="360" w:lineRule="auto"/>
        <w:ind w:firstLine="480"/>
        <w:jc w:val="both"/>
        <w:rPr>
          <w:rFonts w:hint="eastAsia" w:ascii="仿宋" w:hAnsi="仿宋" w:eastAsia="仿宋" w:cs="仿宋"/>
          <w:sz w:val="24"/>
          <w:szCs w:val="24"/>
        </w:rPr>
      </w:pPr>
      <w:r>
        <w:rPr>
          <w:rFonts w:hint="eastAsia" w:ascii="仿宋" w:hAnsi="仿宋" w:eastAsia="仿宋" w:cs="仿宋"/>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67FAF9FC">
      <w:pPr>
        <w:widowControl/>
        <w:spacing w:line="360" w:lineRule="auto"/>
        <w:ind w:firstLine="480"/>
        <w:jc w:val="both"/>
        <w:rPr>
          <w:rFonts w:hint="eastAsia" w:ascii="仿宋" w:hAnsi="仿宋" w:eastAsia="仿宋" w:cs="仿宋"/>
          <w:sz w:val="24"/>
          <w:szCs w:val="24"/>
        </w:rPr>
      </w:pPr>
      <w:r>
        <w:rPr>
          <w:rFonts w:hint="eastAsia" w:ascii="仿宋" w:hAnsi="仿宋" w:eastAsia="仿宋" w:cs="仿宋"/>
          <w:sz w:val="24"/>
          <w:szCs w:val="24"/>
        </w:rPr>
        <w:t>3.质疑供应商若对项目的某一分包进行质疑，质疑函中应列明具体分包号。</w:t>
      </w:r>
    </w:p>
    <w:p w14:paraId="57AA1965">
      <w:pPr>
        <w:widowControl/>
        <w:spacing w:line="360" w:lineRule="auto"/>
        <w:ind w:firstLine="480"/>
        <w:jc w:val="both"/>
        <w:rPr>
          <w:rFonts w:hint="eastAsia" w:ascii="仿宋" w:hAnsi="仿宋" w:eastAsia="仿宋" w:cs="仿宋"/>
          <w:sz w:val="24"/>
          <w:szCs w:val="24"/>
        </w:rPr>
      </w:pPr>
      <w:r>
        <w:rPr>
          <w:rFonts w:hint="eastAsia" w:ascii="仿宋" w:hAnsi="仿宋" w:eastAsia="仿宋" w:cs="仿宋"/>
          <w:sz w:val="24"/>
          <w:szCs w:val="24"/>
        </w:rPr>
        <w:t>4.质疑函的质疑事项应具体、明确，并有必要的事实依据和法律依据。</w:t>
      </w:r>
    </w:p>
    <w:p w14:paraId="40E6C6A1">
      <w:pPr>
        <w:widowControl/>
        <w:spacing w:line="360" w:lineRule="auto"/>
        <w:ind w:firstLine="480"/>
        <w:jc w:val="both"/>
        <w:rPr>
          <w:rFonts w:hint="eastAsia" w:ascii="仿宋" w:hAnsi="仿宋" w:eastAsia="仿宋" w:cs="仿宋"/>
          <w:sz w:val="24"/>
          <w:szCs w:val="24"/>
        </w:rPr>
      </w:pPr>
      <w:r>
        <w:rPr>
          <w:rFonts w:hint="eastAsia" w:ascii="仿宋" w:hAnsi="仿宋" w:eastAsia="仿宋" w:cs="仿宋"/>
          <w:sz w:val="24"/>
          <w:szCs w:val="24"/>
        </w:rPr>
        <w:t>5.质疑函的质疑请求应与质疑事项相关。</w:t>
      </w:r>
    </w:p>
    <w:p w14:paraId="02963F5F">
      <w:pPr>
        <w:widowControl/>
        <w:spacing w:line="360" w:lineRule="auto"/>
        <w:ind w:firstLine="480"/>
        <w:jc w:val="both"/>
        <w:rPr>
          <w:rFonts w:hint="eastAsia" w:ascii="仿宋" w:hAnsi="仿宋" w:eastAsia="仿宋" w:cs="仿宋"/>
          <w:sz w:val="24"/>
          <w:szCs w:val="24"/>
        </w:rPr>
      </w:pPr>
      <w:r>
        <w:rPr>
          <w:rFonts w:hint="eastAsia" w:ascii="仿宋" w:hAnsi="仿宋" w:eastAsia="仿宋" w:cs="仿宋"/>
          <w:sz w:val="24"/>
          <w:szCs w:val="24"/>
        </w:rPr>
        <w:t>6.质疑供应商为自然人的，质疑函应由本人签字；质疑供应商为法人或者其他组织的，质疑函应由法定代表人、主要负责人，或者其授权代表签字或者盖章，并加盖公章。</w:t>
      </w:r>
    </w:p>
    <w:p w14:paraId="1C27E81D">
      <w:pPr>
        <w:pStyle w:val="13"/>
        <w:rPr>
          <w:rFonts w:hint="eastAsia" w:ascii="仿宋" w:hAnsi="仿宋" w:eastAsia="仿宋"/>
          <w:color w:val="auto"/>
        </w:rPr>
      </w:pPr>
    </w:p>
    <w:p w14:paraId="18B7B096">
      <w:pPr>
        <w:rPr>
          <w:rFonts w:hint="eastAsia" w:ascii="仿宋" w:hAnsi="仿宋" w:eastAsia="仿宋" w:cs="宋体"/>
          <w:szCs w:val="21"/>
        </w:rPr>
      </w:pPr>
    </w:p>
    <w:p w14:paraId="5257BC9A">
      <w:pPr>
        <w:rPr>
          <w:rFonts w:hint="eastAsia" w:ascii="仿宋" w:hAnsi="仿宋" w:eastAsia="仿宋" w:cs="宋体"/>
          <w:szCs w:val="21"/>
        </w:rPr>
      </w:pPr>
    </w:p>
    <w:p w14:paraId="5500C198">
      <w:pPr>
        <w:rPr>
          <w:rFonts w:hint="eastAsia" w:ascii="仿宋" w:hAnsi="仿宋" w:eastAsia="仿宋" w:cs="宋体"/>
          <w:szCs w:val="21"/>
        </w:rPr>
      </w:pPr>
    </w:p>
    <w:p w14:paraId="3A17D25B">
      <w:pPr>
        <w:rPr>
          <w:rFonts w:hint="eastAsia" w:ascii="仿宋" w:hAnsi="仿宋" w:eastAsia="仿宋" w:cs="宋体"/>
          <w:szCs w:val="21"/>
        </w:rPr>
      </w:pPr>
    </w:p>
    <w:p w14:paraId="080F9815">
      <w:pPr>
        <w:rPr>
          <w:rFonts w:hint="eastAsia" w:ascii="仿宋" w:hAnsi="仿宋" w:eastAsia="仿宋" w:cs="宋体"/>
          <w:szCs w:val="21"/>
        </w:rPr>
      </w:pPr>
    </w:p>
    <w:p w14:paraId="5A706817">
      <w:pPr>
        <w:rPr>
          <w:rFonts w:hint="eastAsia" w:ascii="仿宋" w:hAnsi="仿宋" w:eastAsia="仿宋" w:cs="宋体"/>
          <w:szCs w:val="21"/>
        </w:rPr>
      </w:pPr>
    </w:p>
    <w:p w14:paraId="57D7F1AF">
      <w:pPr>
        <w:rPr>
          <w:rFonts w:hint="eastAsia" w:ascii="仿宋" w:hAnsi="仿宋" w:eastAsia="仿宋" w:cs="宋体"/>
          <w:szCs w:val="21"/>
        </w:rPr>
      </w:pPr>
    </w:p>
    <w:p w14:paraId="143F4643">
      <w:pPr>
        <w:rPr>
          <w:rFonts w:hint="eastAsia" w:ascii="仿宋" w:hAnsi="仿宋" w:eastAsia="仿宋" w:cs="宋体"/>
          <w:szCs w:val="21"/>
        </w:rPr>
      </w:pPr>
    </w:p>
    <w:p w14:paraId="5F0039E4">
      <w:pPr>
        <w:pStyle w:val="2"/>
        <w:rPr>
          <w:rFonts w:hint="eastAsia"/>
        </w:rPr>
      </w:pPr>
    </w:p>
    <w:p w14:paraId="597D602B">
      <w:pPr>
        <w:rPr>
          <w:rFonts w:hint="eastAsia" w:ascii="仿宋" w:hAnsi="仿宋" w:eastAsia="仿宋" w:cs="宋体"/>
          <w:szCs w:val="21"/>
        </w:rPr>
      </w:pPr>
    </w:p>
    <w:p w14:paraId="2C6CF617">
      <w:pPr>
        <w:rPr>
          <w:rFonts w:hint="eastAsia" w:ascii="仿宋" w:hAnsi="仿宋" w:eastAsia="仿宋" w:cs="宋体"/>
          <w:szCs w:val="21"/>
        </w:rPr>
      </w:pPr>
    </w:p>
    <w:p w14:paraId="09F5684C">
      <w:pPr>
        <w:rPr>
          <w:rFonts w:hint="eastAsia" w:ascii="仿宋" w:hAnsi="仿宋" w:eastAsia="仿宋" w:cs="宋体"/>
          <w:szCs w:val="21"/>
        </w:rPr>
      </w:pPr>
    </w:p>
    <w:p w14:paraId="04D86998">
      <w:pPr>
        <w:rPr>
          <w:rFonts w:hint="eastAsia" w:ascii="仿宋" w:hAnsi="仿宋" w:eastAsia="仿宋" w:cs="宋体"/>
          <w:szCs w:val="21"/>
        </w:rPr>
      </w:pPr>
    </w:p>
    <w:p w14:paraId="22B5E715">
      <w:pPr>
        <w:widowControl/>
        <w:numPr>
          <w:ilvl w:val="0"/>
          <w:numId w:val="2"/>
        </w:numPr>
        <w:spacing w:before="240" w:after="60" w:line="360" w:lineRule="auto"/>
        <w:ind w:firstLine="578" w:firstLineChars="200"/>
        <w:jc w:val="center"/>
        <w:outlineLvl w:val="0"/>
        <w:rPr>
          <w:rFonts w:hint="eastAsia" w:ascii="仿宋" w:hAnsi="仿宋" w:eastAsia="仿宋" w:cs="仿宋"/>
          <w:b/>
          <w:bCs/>
          <w:sz w:val="32"/>
          <w:szCs w:val="32"/>
        </w:rPr>
      </w:pPr>
      <w:bookmarkStart w:id="169" w:name="_Toc27737"/>
      <w:bookmarkEnd w:id="169"/>
      <w:bookmarkStart w:id="170" w:name="_Toc27348"/>
      <w:bookmarkEnd w:id="170"/>
      <w:bookmarkStart w:id="171" w:name="_Toc256000044"/>
      <w:bookmarkEnd w:id="171"/>
      <w:bookmarkStart w:id="172" w:name="_Toc256000065"/>
      <w:bookmarkEnd w:id="172"/>
      <w:bookmarkStart w:id="173" w:name="_Toc256000015"/>
      <w:bookmarkEnd w:id="173"/>
      <w:bookmarkStart w:id="174" w:name="_Toc1662641"/>
      <w:bookmarkEnd w:id="174"/>
      <w:bookmarkStart w:id="175" w:name="_Toc256000062"/>
      <w:bookmarkStart w:id="176" w:name="_Toc130305936"/>
      <w:bookmarkStart w:id="177" w:name="_Toc9108"/>
      <w:bookmarkStart w:id="178" w:name="_Toc14988"/>
      <w:r>
        <w:rPr>
          <w:rFonts w:hint="eastAsia" w:ascii="仿宋" w:hAnsi="仿宋" w:eastAsia="仿宋" w:cs="仿宋"/>
          <w:b/>
          <w:bCs/>
          <w:sz w:val="32"/>
          <w:szCs w:val="32"/>
        </w:rPr>
        <w:t xml:space="preserve"> </w:t>
      </w:r>
      <w:bookmarkStart w:id="179" w:name="_Toc24734"/>
      <w:r>
        <w:rPr>
          <w:rFonts w:hint="eastAsia" w:ascii="仿宋" w:hAnsi="仿宋" w:eastAsia="仿宋" w:cs="仿宋"/>
          <w:b/>
          <w:bCs/>
          <w:sz w:val="32"/>
          <w:szCs w:val="32"/>
        </w:rPr>
        <w:t>采购需求</w:t>
      </w:r>
      <w:bookmarkEnd w:id="175"/>
      <w:bookmarkEnd w:id="176"/>
      <w:bookmarkEnd w:id="177"/>
      <w:bookmarkEnd w:id="178"/>
      <w:bookmarkEnd w:id="179"/>
    </w:p>
    <w:p w14:paraId="2D88DFAE">
      <w:pPr>
        <w:keepNext w:val="0"/>
        <w:keepLines w:val="0"/>
        <w:pageBreakBefore w:val="0"/>
        <w:widowControl w:val="0"/>
        <w:kinsoku/>
        <w:wordWrap/>
        <w:overflowPunct/>
        <w:topLinePunct w:val="0"/>
        <w:autoSpaceDE/>
        <w:autoSpaceDN/>
        <w:bidi w:val="0"/>
        <w:adjustRightInd/>
        <w:snapToGrid/>
        <w:spacing w:beforeLines="50" w:line="500" w:lineRule="exact"/>
        <w:textAlignment w:val="auto"/>
        <w:rPr>
          <w:rFonts w:hint="eastAsia" w:ascii="仿宋" w:hAnsi="仿宋" w:eastAsia="仿宋" w:cs="仿宋"/>
          <w:b/>
          <w:sz w:val="28"/>
          <w:szCs w:val="28"/>
        </w:rPr>
      </w:pPr>
      <w:r>
        <w:rPr>
          <w:rFonts w:hint="eastAsia" w:ascii="仿宋" w:hAnsi="仿宋" w:eastAsia="仿宋" w:cs="仿宋"/>
          <w:b/>
          <w:sz w:val="28"/>
          <w:szCs w:val="28"/>
        </w:rPr>
        <w:t>一、</w:t>
      </w:r>
      <w:r>
        <w:rPr>
          <w:rFonts w:hint="eastAsia" w:ascii="仿宋" w:hAnsi="仿宋" w:eastAsia="仿宋" w:cs="仿宋"/>
          <w:b/>
          <w:sz w:val="28"/>
          <w:szCs w:val="28"/>
          <w:lang w:eastAsia="zh-CN"/>
        </w:rPr>
        <w:t>项目</w:t>
      </w:r>
      <w:r>
        <w:rPr>
          <w:rFonts w:hint="eastAsia" w:ascii="仿宋" w:hAnsi="仿宋" w:eastAsia="仿宋" w:cs="仿宋"/>
          <w:b/>
          <w:sz w:val="28"/>
          <w:szCs w:val="28"/>
        </w:rPr>
        <w:t>概况：</w:t>
      </w:r>
    </w:p>
    <w:p w14:paraId="517A6A68">
      <w:pPr>
        <w:widowControl w:val="0"/>
        <w:spacing w:line="500" w:lineRule="exact"/>
        <w:ind w:firstLine="418" w:firstLineChars="200"/>
        <w:rPr>
          <w:rFonts w:hint="eastAsia" w:ascii="仿宋" w:hAnsi="仿宋" w:eastAsia="仿宋"/>
          <w:color w:val="auto"/>
          <w:sz w:val="24"/>
          <w:szCs w:val="24"/>
          <w:highlight w:val="none"/>
          <w:lang w:eastAsia="zh-CN"/>
        </w:rPr>
      </w:pPr>
      <w:r>
        <w:rPr>
          <w:rFonts w:hint="eastAsia" w:ascii="仿宋" w:hAnsi="仿宋" w:eastAsia="仿宋"/>
          <w:color w:val="auto"/>
          <w:sz w:val="24"/>
          <w:szCs w:val="24"/>
          <w:highlight w:val="none"/>
        </w:rPr>
        <w:t>本项目为河南科技大学附属高级中学理化生实验室装备项目</w:t>
      </w:r>
      <w:r>
        <w:rPr>
          <w:rFonts w:hint="eastAsia" w:ascii="仿宋" w:hAnsi="仿宋" w:eastAsia="仿宋"/>
          <w:color w:val="auto"/>
          <w:sz w:val="24"/>
          <w:szCs w:val="24"/>
          <w:highlight w:val="none"/>
          <w:lang w:val="en-US" w:eastAsia="zh-CN"/>
        </w:rPr>
        <w:t>,</w:t>
      </w:r>
      <w:r>
        <w:rPr>
          <w:rFonts w:hint="eastAsia" w:ascii="仿宋" w:hAnsi="仿宋" w:eastAsia="仿宋"/>
          <w:color w:val="auto"/>
          <w:sz w:val="24"/>
          <w:szCs w:val="24"/>
        </w:rPr>
        <w:t>包括物理1个、化学1个、生物2个共四个实验室和三个学科准备室</w:t>
      </w:r>
      <w:r>
        <w:rPr>
          <w:rFonts w:hint="eastAsia" w:ascii="仿宋" w:hAnsi="仿宋" w:eastAsia="仿宋"/>
          <w:color w:val="auto"/>
          <w:sz w:val="24"/>
          <w:szCs w:val="24"/>
          <w:highlight w:val="none"/>
        </w:rPr>
        <w:t>的基础设备和仪器装备</w:t>
      </w:r>
      <w:r>
        <w:rPr>
          <w:rFonts w:hint="eastAsia" w:ascii="仿宋" w:hAnsi="仿宋" w:eastAsia="仿宋"/>
          <w:color w:val="auto"/>
          <w:sz w:val="24"/>
          <w:szCs w:val="24"/>
        </w:rPr>
        <w:t>，项目实施后可改善学校实验教学条件</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lang w:val="en-US" w:eastAsia="zh-CN"/>
        </w:rPr>
        <w:t>具体详见采购文件</w:t>
      </w:r>
      <w:r>
        <w:rPr>
          <w:rFonts w:hint="eastAsia" w:ascii="仿宋" w:hAnsi="仿宋" w:eastAsia="仿宋" w:cs="仿宋"/>
          <w:b w:val="0"/>
          <w:bCs w:val="0"/>
          <w:sz w:val="24"/>
          <w:szCs w:val="24"/>
          <w:highlight w:val="none"/>
          <w:lang w:eastAsia="zh-CN"/>
        </w:rPr>
        <w:t>。</w:t>
      </w:r>
    </w:p>
    <w:p w14:paraId="00CBFBBB">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bCs/>
          <w:sz w:val="28"/>
          <w:szCs w:val="28"/>
          <w:highlight w:val="none"/>
          <w:lang w:eastAsia="zh-CN"/>
        </w:rPr>
      </w:pPr>
      <w:r>
        <w:rPr>
          <w:rFonts w:hint="eastAsia" w:ascii="仿宋" w:hAnsi="仿宋" w:eastAsia="仿宋" w:cs="仿宋"/>
          <w:b/>
          <w:bCs/>
          <w:kern w:val="2"/>
          <w:sz w:val="28"/>
          <w:szCs w:val="28"/>
          <w:lang w:val="en-US" w:eastAsia="zh-CN" w:bidi="ar-SA"/>
        </w:rPr>
        <w:t>二、</w:t>
      </w:r>
      <w:r>
        <w:rPr>
          <w:rFonts w:hint="eastAsia" w:ascii="仿宋" w:hAnsi="仿宋" w:eastAsia="仿宋" w:cs="仿宋"/>
          <w:b/>
          <w:bCs/>
          <w:sz w:val="28"/>
          <w:szCs w:val="28"/>
          <w:highlight w:val="none"/>
          <w:lang w:eastAsia="zh-CN"/>
        </w:rPr>
        <w:t>采购清单及参数：</w:t>
      </w:r>
    </w:p>
    <w:p w14:paraId="7DAF171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18" w:firstLineChars="200"/>
        <w:jc w:val="left"/>
        <w:textAlignment w:val="auto"/>
        <w:rPr>
          <w:rFonts w:hint="default"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1、物理吊装实验室（56座）</w:t>
      </w:r>
    </w:p>
    <w:tbl>
      <w:tblPr>
        <w:tblStyle w:val="6"/>
        <w:tblW w:w="499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81"/>
        <w:gridCol w:w="954"/>
        <w:gridCol w:w="6675"/>
        <w:gridCol w:w="648"/>
        <w:gridCol w:w="590"/>
      </w:tblGrid>
      <w:tr w14:paraId="54D21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7" w:type="pct"/>
            <w:tcBorders>
              <w:top w:val="single" w:color="000000" w:sz="4" w:space="0"/>
              <w:left w:val="single" w:color="000000" w:sz="4" w:space="0"/>
              <w:bottom w:val="single" w:color="000000" w:sz="4" w:space="0"/>
              <w:right w:val="single" w:color="000000" w:sz="4" w:space="0"/>
            </w:tcBorders>
            <w:noWrap/>
            <w:vAlign w:val="center"/>
          </w:tcPr>
          <w:p w14:paraId="47DEEDBA">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序号</w:t>
            </w:r>
          </w:p>
        </w:tc>
        <w:tc>
          <w:tcPr>
            <w:tcW w:w="504" w:type="pct"/>
            <w:tcBorders>
              <w:top w:val="single" w:color="000000" w:sz="4" w:space="0"/>
              <w:left w:val="single" w:color="000000" w:sz="4" w:space="0"/>
              <w:bottom w:val="single" w:color="000000" w:sz="4" w:space="0"/>
              <w:right w:val="single" w:color="000000" w:sz="4" w:space="0"/>
            </w:tcBorders>
            <w:noWrap/>
            <w:vAlign w:val="center"/>
          </w:tcPr>
          <w:p w14:paraId="0053FF92">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产品名称</w:t>
            </w:r>
          </w:p>
        </w:tc>
        <w:tc>
          <w:tcPr>
            <w:tcW w:w="3532" w:type="pct"/>
            <w:tcBorders>
              <w:top w:val="single" w:color="000000" w:sz="4" w:space="0"/>
              <w:left w:val="single" w:color="000000" w:sz="4" w:space="0"/>
              <w:bottom w:val="single" w:color="000000" w:sz="4" w:space="0"/>
              <w:right w:val="single" w:color="000000" w:sz="4" w:space="0"/>
            </w:tcBorders>
            <w:noWrap w:val="0"/>
            <w:vAlign w:val="center"/>
          </w:tcPr>
          <w:p w14:paraId="0D42B19A">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参数</w:t>
            </w:r>
          </w:p>
        </w:tc>
        <w:tc>
          <w:tcPr>
            <w:tcW w:w="342" w:type="pct"/>
            <w:tcBorders>
              <w:top w:val="single" w:color="000000" w:sz="4" w:space="0"/>
              <w:left w:val="single" w:color="000000" w:sz="4" w:space="0"/>
              <w:bottom w:val="single" w:color="000000" w:sz="4" w:space="0"/>
              <w:right w:val="single" w:color="000000" w:sz="4" w:space="0"/>
            </w:tcBorders>
            <w:noWrap/>
            <w:vAlign w:val="center"/>
          </w:tcPr>
          <w:p w14:paraId="5EBC4525">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数量</w:t>
            </w:r>
          </w:p>
        </w:tc>
        <w:tc>
          <w:tcPr>
            <w:tcW w:w="312" w:type="pct"/>
            <w:tcBorders>
              <w:top w:val="single" w:color="000000" w:sz="4" w:space="0"/>
              <w:left w:val="single" w:color="000000" w:sz="4" w:space="0"/>
              <w:bottom w:val="single" w:color="000000" w:sz="4" w:space="0"/>
              <w:right w:val="single" w:color="000000" w:sz="4" w:space="0"/>
            </w:tcBorders>
            <w:noWrap/>
            <w:vAlign w:val="center"/>
          </w:tcPr>
          <w:p w14:paraId="36AE1FB2">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单位</w:t>
            </w:r>
          </w:p>
        </w:tc>
      </w:tr>
      <w:tr w14:paraId="52DCB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14:paraId="74A6D9FA">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基础实验设备</w:t>
            </w:r>
          </w:p>
        </w:tc>
      </w:tr>
      <w:tr w14:paraId="15C55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07" w:type="pct"/>
            <w:tcBorders>
              <w:top w:val="single" w:color="000000" w:sz="4" w:space="0"/>
              <w:left w:val="single" w:color="000000" w:sz="4" w:space="0"/>
              <w:bottom w:val="single" w:color="000000" w:sz="4" w:space="0"/>
              <w:right w:val="single" w:color="000000" w:sz="4" w:space="0"/>
            </w:tcBorders>
            <w:noWrap/>
            <w:vAlign w:val="center"/>
          </w:tcPr>
          <w:p w14:paraId="1EEE278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6F4B715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教师演示台</w:t>
            </w:r>
          </w:p>
        </w:tc>
        <w:tc>
          <w:tcPr>
            <w:tcW w:w="3532" w:type="pct"/>
            <w:tcBorders>
              <w:top w:val="single" w:color="000000" w:sz="4" w:space="0"/>
              <w:left w:val="single" w:color="000000" w:sz="4" w:space="0"/>
              <w:bottom w:val="single" w:color="000000" w:sz="4" w:space="0"/>
              <w:right w:val="single" w:color="000000" w:sz="4" w:space="0"/>
            </w:tcBorders>
            <w:noWrap w:val="0"/>
            <w:vAlign w:val="center"/>
          </w:tcPr>
          <w:p w14:paraId="2C4D7205">
            <w:pPr>
              <w:keepNext w:val="0"/>
              <w:keepLines w:val="0"/>
              <w:widowControl/>
              <w:suppressLineNumbers w:val="0"/>
              <w:jc w:val="left"/>
              <w:textAlignment w:val="center"/>
              <w:rPr>
                <w:rStyle w:val="81"/>
                <w:rFonts w:hint="eastAsia" w:ascii="仿宋" w:hAnsi="仿宋" w:eastAsia="仿宋" w:cs="仿宋"/>
                <w:sz w:val="21"/>
                <w:szCs w:val="21"/>
                <w:lang w:val="en-US" w:eastAsia="zh-CN" w:bidi="ar"/>
              </w:rPr>
            </w:pPr>
            <w:r>
              <w:rPr>
                <w:rStyle w:val="81"/>
                <w:rFonts w:hint="eastAsia" w:ascii="仿宋" w:hAnsi="仿宋" w:eastAsia="仿宋" w:cs="仿宋"/>
                <w:sz w:val="21"/>
                <w:szCs w:val="21"/>
                <w:lang w:val="en-US" w:eastAsia="zh-CN" w:bidi="ar"/>
              </w:rPr>
              <w:t>规格：≥长2800mm×宽700mm×高850mm</w:t>
            </w:r>
          </w:p>
          <w:p w14:paraId="2E83DE46">
            <w:pPr>
              <w:keepNext w:val="0"/>
              <w:keepLines w:val="0"/>
              <w:widowControl/>
              <w:suppressLineNumbers w:val="0"/>
              <w:jc w:val="left"/>
              <w:textAlignment w:val="center"/>
              <w:rPr>
                <w:rStyle w:val="81"/>
                <w:rFonts w:hint="eastAsia" w:ascii="仿宋" w:hAnsi="仿宋" w:eastAsia="仿宋" w:cs="仿宋"/>
                <w:sz w:val="21"/>
                <w:szCs w:val="21"/>
                <w:lang w:val="en-US" w:eastAsia="zh-CN" w:bidi="ar"/>
              </w:rPr>
            </w:pPr>
            <w:r>
              <w:rPr>
                <w:rStyle w:val="81"/>
                <w:rFonts w:hint="eastAsia" w:ascii="仿宋" w:hAnsi="仿宋" w:eastAsia="仿宋" w:cs="仿宋"/>
                <w:sz w:val="21"/>
                <w:szCs w:val="21"/>
                <w:lang w:val="en-US" w:eastAsia="zh-CN" w:bidi="ar"/>
              </w:rPr>
              <w:t>1. 台面采用≥12.7mm厚实芯理化板，外露边沿修圆弧，整体耐高温、耐酸碱、耐腐蚀、不吸水、防火、阻燃、防静电、抗老化、无毒、无褪色、材质坚硬，牢固可靠。</w:t>
            </w:r>
          </w:p>
          <w:p w14:paraId="313660EF">
            <w:pPr>
              <w:keepNext w:val="0"/>
              <w:keepLines w:val="0"/>
              <w:widowControl/>
              <w:suppressLineNumbers w:val="0"/>
              <w:jc w:val="left"/>
              <w:textAlignment w:val="center"/>
              <w:rPr>
                <w:rStyle w:val="81"/>
                <w:rFonts w:hint="eastAsia" w:ascii="仿宋" w:hAnsi="仿宋" w:eastAsia="仿宋" w:cs="仿宋"/>
                <w:sz w:val="21"/>
                <w:szCs w:val="21"/>
                <w:lang w:val="en-US" w:eastAsia="zh-CN" w:bidi="ar"/>
              </w:rPr>
            </w:pPr>
            <w:r>
              <w:rPr>
                <w:rStyle w:val="81"/>
                <w:rFonts w:hint="eastAsia" w:ascii="仿宋" w:hAnsi="仿宋" w:eastAsia="仿宋" w:cs="仿宋"/>
                <w:sz w:val="21"/>
                <w:szCs w:val="21"/>
                <w:lang w:val="en-US" w:eastAsia="zh-CN" w:bidi="ar"/>
              </w:rPr>
              <w:t>2.桌柜采用≥16mm厚聚木屑三聚氰胺双面板。</w:t>
            </w:r>
          </w:p>
          <w:p w14:paraId="41D97D78">
            <w:pPr>
              <w:keepNext w:val="0"/>
              <w:keepLines w:val="0"/>
              <w:widowControl/>
              <w:suppressLineNumbers w:val="0"/>
              <w:jc w:val="left"/>
              <w:textAlignment w:val="center"/>
              <w:rPr>
                <w:rStyle w:val="81"/>
                <w:rFonts w:hint="eastAsia" w:ascii="仿宋" w:hAnsi="仿宋" w:eastAsia="仿宋" w:cs="仿宋"/>
                <w:sz w:val="21"/>
                <w:szCs w:val="21"/>
                <w:lang w:val="en-US" w:eastAsia="zh-CN" w:bidi="ar"/>
              </w:rPr>
            </w:pPr>
            <w:r>
              <w:rPr>
                <w:rStyle w:val="81"/>
                <w:rFonts w:hint="eastAsia" w:ascii="仿宋" w:hAnsi="仿宋" w:eastAsia="仿宋" w:cs="仿宋"/>
                <w:sz w:val="21"/>
                <w:szCs w:val="21"/>
                <w:lang w:val="en-US" w:eastAsia="zh-CN" w:bidi="ar"/>
              </w:rPr>
              <w:t>3.桌架采用≥40mm×60mm×1.2mm方钢管。</w:t>
            </w:r>
          </w:p>
          <w:p w14:paraId="6CADAF39">
            <w:pPr>
              <w:keepNext w:val="0"/>
              <w:keepLines w:val="0"/>
              <w:widowControl/>
              <w:suppressLineNumbers w:val="0"/>
              <w:jc w:val="left"/>
              <w:textAlignment w:val="center"/>
              <w:rPr>
                <w:rStyle w:val="81"/>
                <w:rFonts w:hint="eastAsia" w:ascii="仿宋" w:hAnsi="仿宋" w:eastAsia="仿宋" w:cs="仿宋"/>
                <w:sz w:val="21"/>
                <w:szCs w:val="21"/>
                <w:lang w:val="en-US" w:eastAsia="zh-CN" w:bidi="ar"/>
              </w:rPr>
            </w:pPr>
            <w:r>
              <w:rPr>
                <w:rStyle w:val="81"/>
                <w:rFonts w:hint="eastAsia" w:ascii="仿宋" w:hAnsi="仿宋" w:eastAsia="仿宋" w:cs="仿宋"/>
                <w:sz w:val="21"/>
                <w:szCs w:val="21"/>
                <w:lang w:val="en-US" w:eastAsia="zh-CN" w:bidi="ar"/>
              </w:rPr>
              <w:t>4.五金配件</w:t>
            </w:r>
          </w:p>
          <w:p w14:paraId="7504E56A">
            <w:pPr>
              <w:keepNext w:val="0"/>
              <w:keepLines w:val="0"/>
              <w:widowControl/>
              <w:suppressLineNumbers w:val="0"/>
              <w:jc w:val="left"/>
              <w:textAlignment w:val="center"/>
              <w:rPr>
                <w:rStyle w:val="81"/>
                <w:rFonts w:hint="eastAsia" w:ascii="仿宋" w:hAnsi="仿宋" w:eastAsia="仿宋" w:cs="仿宋"/>
                <w:sz w:val="21"/>
                <w:szCs w:val="21"/>
                <w:lang w:val="en-US" w:eastAsia="zh-CN" w:bidi="ar"/>
              </w:rPr>
            </w:pPr>
            <w:r>
              <w:rPr>
                <w:rStyle w:val="81"/>
                <w:rFonts w:hint="eastAsia" w:ascii="仿宋" w:hAnsi="仿宋" w:eastAsia="仿宋" w:cs="仿宋"/>
                <w:sz w:val="21"/>
                <w:szCs w:val="21"/>
                <w:lang w:val="en-US" w:eastAsia="zh-CN" w:bidi="ar"/>
              </w:rPr>
              <w:t>1）拉手：采用一字型铝合金拉手。</w:t>
            </w:r>
          </w:p>
          <w:p w14:paraId="1D7D58AA">
            <w:pPr>
              <w:keepNext w:val="0"/>
              <w:keepLines w:val="0"/>
              <w:widowControl/>
              <w:suppressLineNumbers w:val="0"/>
              <w:jc w:val="left"/>
              <w:textAlignment w:val="center"/>
              <w:rPr>
                <w:rStyle w:val="81"/>
                <w:rFonts w:hint="eastAsia" w:ascii="仿宋" w:hAnsi="仿宋" w:eastAsia="仿宋" w:cs="仿宋"/>
                <w:sz w:val="21"/>
                <w:szCs w:val="21"/>
                <w:lang w:val="en-US" w:eastAsia="zh-CN" w:bidi="ar"/>
              </w:rPr>
            </w:pPr>
            <w:r>
              <w:rPr>
                <w:rStyle w:val="81"/>
                <w:rFonts w:hint="eastAsia" w:ascii="仿宋" w:hAnsi="仿宋" w:eastAsia="仿宋" w:cs="仿宋"/>
                <w:sz w:val="21"/>
                <w:szCs w:val="21"/>
                <w:lang w:val="en-US" w:eastAsia="zh-CN" w:bidi="ar"/>
              </w:rPr>
              <w:t>2）铰链：采用铰链，最大开启角度 110°，开启 15º以内具有自闭功能。耐腐蚀、承重、经久耐用。</w:t>
            </w:r>
          </w:p>
          <w:p w14:paraId="0E5FFC92">
            <w:pPr>
              <w:keepNext w:val="0"/>
              <w:keepLines w:val="0"/>
              <w:widowControl/>
              <w:suppressLineNumbers w:val="0"/>
              <w:jc w:val="left"/>
              <w:textAlignment w:val="center"/>
              <w:rPr>
                <w:rStyle w:val="81"/>
                <w:rFonts w:hint="eastAsia" w:ascii="仿宋" w:hAnsi="仿宋" w:eastAsia="仿宋" w:cs="仿宋"/>
                <w:sz w:val="21"/>
                <w:szCs w:val="21"/>
                <w:lang w:val="en-US" w:eastAsia="zh-CN" w:bidi="ar"/>
              </w:rPr>
            </w:pPr>
            <w:r>
              <w:rPr>
                <w:rStyle w:val="81"/>
                <w:rFonts w:hint="eastAsia" w:ascii="仿宋" w:hAnsi="仿宋" w:eastAsia="仿宋" w:cs="仿宋"/>
                <w:sz w:val="21"/>
                <w:szCs w:val="21"/>
                <w:lang w:val="en-US" w:eastAsia="zh-CN" w:bidi="ar"/>
              </w:rPr>
              <w:t>3）导轨：采用超静音三节滚珠滑轨。</w:t>
            </w:r>
          </w:p>
          <w:p w14:paraId="54B951E5">
            <w:pPr>
              <w:keepNext w:val="0"/>
              <w:keepLines w:val="0"/>
              <w:widowControl/>
              <w:suppressLineNumbers w:val="0"/>
              <w:jc w:val="left"/>
              <w:textAlignment w:val="center"/>
              <w:rPr>
                <w:rStyle w:val="81"/>
                <w:rFonts w:hint="eastAsia" w:ascii="仿宋" w:hAnsi="仿宋" w:eastAsia="仿宋" w:cs="仿宋"/>
                <w:sz w:val="21"/>
                <w:szCs w:val="21"/>
                <w:lang w:val="en-US" w:eastAsia="zh-CN" w:bidi="ar"/>
              </w:rPr>
            </w:pPr>
            <w:r>
              <w:rPr>
                <w:rStyle w:val="81"/>
                <w:rFonts w:hint="eastAsia" w:ascii="仿宋" w:hAnsi="仿宋" w:eastAsia="仿宋" w:cs="仿宋"/>
                <w:sz w:val="21"/>
                <w:szCs w:val="21"/>
                <w:lang w:val="en-US" w:eastAsia="zh-CN" w:bidi="ar"/>
              </w:rPr>
              <w:t>4）地脚：ABS工程塑料可调脚，螺杆≥Φ10mm，具有减缓冲击力功能。</w:t>
            </w:r>
          </w:p>
          <w:p w14:paraId="186068CA">
            <w:pPr>
              <w:keepNext w:val="0"/>
              <w:keepLines w:val="0"/>
              <w:widowControl/>
              <w:suppressLineNumbers w:val="0"/>
              <w:jc w:val="left"/>
              <w:textAlignment w:val="center"/>
              <w:rPr>
                <w:rStyle w:val="81"/>
                <w:rFonts w:hint="eastAsia" w:ascii="仿宋" w:hAnsi="仿宋" w:eastAsia="仿宋" w:cs="仿宋"/>
                <w:sz w:val="21"/>
                <w:szCs w:val="21"/>
                <w:lang w:val="en-US" w:eastAsia="zh-CN" w:bidi="ar"/>
              </w:rPr>
            </w:pPr>
            <w:r>
              <w:rPr>
                <w:rStyle w:val="81"/>
                <w:rFonts w:hint="eastAsia" w:ascii="仿宋" w:hAnsi="仿宋" w:eastAsia="仿宋" w:cs="仿宋"/>
                <w:sz w:val="21"/>
                <w:szCs w:val="21"/>
                <w:lang w:val="en-US" w:eastAsia="zh-CN" w:bidi="ar"/>
              </w:rPr>
              <w:t>结构：</w:t>
            </w:r>
          </w:p>
          <w:p w14:paraId="1916C818">
            <w:pPr>
              <w:keepNext w:val="0"/>
              <w:keepLines w:val="0"/>
              <w:widowControl/>
              <w:suppressLineNumbers w:val="0"/>
              <w:jc w:val="left"/>
              <w:textAlignment w:val="center"/>
              <w:rPr>
                <w:rStyle w:val="81"/>
                <w:rFonts w:hint="eastAsia" w:ascii="仿宋" w:hAnsi="仿宋" w:eastAsia="仿宋" w:cs="仿宋"/>
                <w:sz w:val="21"/>
                <w:szCs w:val="21"/>
                <w:lang w:val="en-US" w:eastAsia="zh-CN" w:bidi="ar"/>
              </w:rPr>
            </w:pPr>
            <w:r>
              <w:rPr>
                <w:rStyle w:val="81"/>
                <w:rFonts w:hint="eastAsia" w:ascii="仿宋" w:hAnsi="仿宋" w:eastAsia="仿宋" w:cs="仿宋"/>
                <w:sz w:val="21"/>
                <w:szCs w:val="21"/>
                <w:lang w:val="en-US" w:eastAsia="zh-CN" w:bidi="ar"/>
              </w:rPr>
              <w:t>1.钢木左右结构；</w:t>
            </w:r>
          </w:p>
          <w:p w14:paraId="5FEADA8A">
            <w:pPr>
              <w:keepNext w:val="0"/>
              <w:keepLines w:val="0"/>
              <w:widowControl/>
              <w:suppressLineNumbers w:val="0"/>
              <w:jc w:val="left"/>
              <w:textAlignment w:val="center"/>
              <w:rPr>
                <w:rStyle w:val="81"/>
                <w:rFonts w:hint="eastAsia" w:ascii="仿宋" w:hAnsi="仿宋" w:eastAsia="仿宋" w:cs="仿宋"/>
                <w:sz w:val="21"/>
                <w:szCs w:val="21"/>
                <w:lang w:val="en-US" w:eastAsia="zh-CN" w:bidi="ar"/>
              </w:rPr>
            </w:pPr>
            <w:r>
              <w:rPr>
                <w:rStyle w:val="81"/>
                <w:rFonts w:hint="eastAsia" w:ascii="仿宋" w:hAnsi="仿宋" w:eastAsia="仿宋" w:cs="仿宋"/>
                <w:sz w:val="21"/>
                <w:szCs w:val="21"/>
                <w:lang w:val="en-US" w:eastAsia="zh-CN" w:bidi="ar"/>
              </w:rPr>
              <w:t>2.钢架采用“工”字形结构，前面放置木柜，木柜下设钢管托撑，并有M8mm螺丝顶固，带可调地脚；</w:t>
            </w:r>
          </w:p>
          <w:p w14:paraId="02256B76">
            <w:pPr>
              <w:keepNext w:val="0"/>
              <w:keepLines w:val="0"/>
              <w:widowControl/>
              <w:suppressLineNumbers w:val="0"/>
              <w:jc w:val="left"/>
              <w:textAlignment w:val="center"/>
              <w:rPr>
                <w:rStyle w:val="81"/>
                <w:rFonts w:hint="eastAsia" w:ascii="仿宋" w:hAnsi="仿宋" w:eastAsia="仿宋" w:cs="仿宋"/>
                <w:sz w:val="21"/>
                <w:szCs w:val="21"/>
                <w:lang w:val="en-US" w:eastAsia="zh-CN" w:bidi="ar"/>
              </w:rPr>
            </w:pPr>
            <w:r>
              <w:rPr>
                <w:rStyle w:val="81"/>
                <w:rFonts w:hint="eastAsia" w:ascii="仿宋" w:hAnsi="仿宋" w:eastAsia="仿宋" w:cs="仿宋"/>
                <w:sz w:val="21"/>
                <w:szCs w:val="21"/>
                <w:lang w:val="en-US" w:eastAsia="zh-CN" w:bidi="ar"/>
              </w:rPr>
              <w:t>3.桌柜上设抽屉，下设储物柜；</w:t>
            </w:r>
          </w:p>
          <w:p w14:paraId="16E8B01D">
            <w:pPr>
              <w:keepNext w:val="0"/>
              <w:keepLines w:val="0"/>
              <w:widowControl/>
              <w:suppressLineNumbers w:val="0"/>
              <w:jc w:val="left"/>
              <w:textAlignment w:val="center"/>
              <w:rPr>
                <w:rStyle w:val="81"/>
                <w:rFonts w:hint="eastAsia" w:ascii="仿宋" w:hAnsi="仿宋" w:eastAsia="仿宋" w:cs="仿宋"/>
                <w:sz w:val="21"/>
                <w:szCs w:val="21"/>
                <w:lang w:val="en-US" w:eastAsia="zh-CN" w:bidi="ar"/>
              </w:rPr>
            </w:pPr>
            <w:r>
              <w:rPr>
                <w:rStyle w:val="81"/>
                <w:rFonts w:hint="eastAsia" w:ascii="仿宋" w:hAnsi="仿宋" w:eastAsia="仿宋" w:cs="仿宋"/>
                <w:sz w:val="21"/>
                <w:szCs w:val="21"/>
                <w:lang w:val="en-US" w:eastAsia="zh-CN" w:bidi="ar"/>
              </w:rPr>
              <w:t>工艺：</w:t>
            </w:r>
          </w:p>
          <w:p w14:paraId="19F64A79">
            <w:pPr>
              <w:keepNext w:val="0"/>
              <w:keepLines w:val="0"/>
              <w:widowControl/>
              <w:suppressLineNumbers w:val="0"/>
              <w:jc w:val="left"/>
              <w:textAlignment w:val="center"/>
              <w:rPr>
                <w:rStyle w:val="81"/>
                <w:rFonts w:hint="eastAsia" w:ascii="仿宋" w:hAnsi="仿宋" w:eastAsia="仿宋" w:cs="仿宋"/>
                <w:sz w:val="21"/>
                <w:szCs w:val="21"/>
                <w:lang w:val="en-US" w:eastAsia="zh-CN" w:bidi="ar"/>
              </w:rPr>
            </w:pPr>
            <w:r>
              <w:rPr>
                <w:rStyle w:val="81"/>
                <w:rFonts w:hint="eastAsia" w:ascii="仿宋" w:hAnsi="仿宋" w:eastAsia="仿宋" w:cs="仿宋"/>
                <w:sz w:val="21"/>
                <w:szCs w:val="21"/>
                <w:lang w:val="en-US" w:eastAsia="zh-CN" w:bidi="ar"/>
              </w:rPr>
              <w:t>1. 板材截面采用pvc封边条机械高温封边；</w:t>
            </w:r>
          </w:p>
          <w:p w14:paraId="4AB1A87D">
            <w:pPr>
              <w:keepNext w:val="0"/>
              <w:keepLines w:val="0"/>
              <w:widowControl/>
              <w:suppressLineNumbers w:val="0"/>
              <w:jc w:val="left"/>
              <w:textAlignment w:val="center"/>
              <w:rPr>
                <w:rStyle w:val="81"/>
                <w:rFonts w:hint="eastAsia" w:ascii="仿宋" w:hAnsi="仿宋" w:eastAsia="仿宋" w:cs="仿宋"/>
                <w:sz w:val="21"/>
                <w:szCs w:val="21"/>
                <w:lang w:val="en-US" w:eastAsia="zh-CN" w:bidi="ar"/>
              </w:rPr>
            </w:pPr>
            <w:r>
              <w:rPr>
                <w:rStyle w:val="81"/>
                <w:rFonts w:hint="eastAsia" w:ascii="仿宋" w:hAnsi="仿宋" w:eastAsia="仿宋" w:cs="仿宋"/>
                <w:sz w:val="21"/>
                <w:szCs w:val="21"/>
                <w:lang w:val="en-US" w:eastAsia="zh-CN" w:bidi="ar"/>
              </w:rPr>
              <w:t>2.钢材采用CO₂保护焊焊接，钢材表面经喷砂抛丸去油除锈，静电喷涂；</w:t>
            </w:r>
          </w:p>
          <w:p w14:paraId="41BDAB48">
            <w:pPr>
              <w:keepNext w:val="0"/>
              <w:keepLines w:val="0"/>
              <w:widowControl/>
              <w:suppressLineNumbers w:val="0"/>
              <w:jc w:val="left"/>
              <w:textAlignment w:val="center"/>
              <w:rPr>
                <w:rStyle w:val="81"/>
                <w:rFonts w:hint="eastAsia" w:ascii="仿宋" w:hAnsi="仿宋" w:eastAsia="仿宋" w:cs="仿宋"/>
                <w:sz w:val="21"/>
                <w:szCs w:val="21"/>
                <w:lang w:val="en-US" w:eastAsia="zh-CN" w:bidi="ar"/>
              </w:rPr>
            </w:pPr>
            <w:r>
              <w:rPr>
                <w:rStyle w:val="81"/>
                <w:rFonts w:hint="eastAsia" w:ascii="仿宋" w:hAnsi="仿宋" w:eastAsia="仿宋" w:cs="仿宋"/>
                <w:sz w:val="21"/>
                <w:szCs w:val="21"/>
                <w:lang w:val="en-US" w:eastAsia="zh-CN" w:bidi="ar"/>
              </w:rPr>
              <w:t>性能：1. 台面双面膜耐腐蚀实芯理化板，耐酸、耐碱、耐高温，坚固耐用，防潮、无细孔、不膨胀、不龟裂、不变形、不导电、便于维护及具有良好的承重性；</w:t>
            </w:r>
          </w:p>
          <w:p w14:paraId="6DA2EF63">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Style w:val="81"/>
                <w:rFonts w:hint="eastAsia" w:ascii="仿宋" w:hAnsi="仿宋" w:eastAsia="仿宋" w:cs="仿宋"/>
                <w:sz w:val="21"/>
                <w:szCs w:val="21"/>
                <w:lang w:val="en-US" w:eastAsia="zh-CN" w:bidi="ar"/>
              </w:rPr>
              <w:t>2.桌柜离地150mm左右；</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3320DB8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14:paraId="6F650D4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w:t>
            </w:r>
          </w:p>
        </w:tc>
      </w:tr>
      <w:tr w14:paraId="7AB32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0" w:hRule="atLeast"/>
        </w:trPr>
        <w:tc>
          <w:tcPr>
            <w:tcW w:w="307" w:type="pct"/>
            <w:tcBorders>
              <w:top w:val="single" w:color="000000" w:sz="4" w:space="0"/>
              <w:left w:val="single" w:color="000000" w:sz="4" w:space="0"/>
              <w:bottom w:val="single" w:color="000000" w:sz="4" w:space="0"/>
              <w:right w:val="single" w:color="000000" w:sz="4" w:space="0"/>
            </w:tcBorders>
            <w:noWrap/>
            <w:vAlign w:val="center"/>
          </w:tcPr>
          <w:p w14:paraId="030C9B8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033CE13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高中物理实验室总控电源</w:t>
            </w:r>
          </w:p>
        </w:tc>
        <w:tc>
          <w:tcPr>
            <w:tcW w:w="3532" w:type="pct"/>
            <w:tcBorders>
              <w:top w:val="single" w:color="000000" w:sz="4" w:space="0"/>
              <w:left w:val="single" w:color="000000" w:sz="4" w:space="0"/>
              <w:bottom w:val="single" w:color="000000" w:sz="4" w:space="0"/>
              <w:right w:val="single" w:color="000000" w:sz="4" w:space="0"/>
            </w:tcBorders>
            <w:noWrap w:val="0"/>
            <w:vAlign w:val="center"/>
          </w:tcPr>
          <w:p w14:paraId="76AD6925">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产品外壳采用镀锌板折弯焊接成型，表面喷塑。 </w:t>
            </w:r>
          </w:p>
          <w:p w14:paraId="453BBA83">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1.电源面板表面贴面膜，有漏电总开关、交流220V五孔带防护插座、教师用低压调整单元、低压交直流电压、电流、40A倒计时时间均采用二位半数显表头显示。</w:t>
            </w:r>
          </w:p>
          <w:p w14:paraId="2D8263C2">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2.直流稳压输出</w:t>
            </w:r>
          </w:p>
          <w:p w14:paraId="1B4350A4">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a.标称电压:1.5V～30V，每0.1V步进调整。</w:t>
            </w:r>
          </w:p>
          <w:p w14:paraId="0CEE64A7">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b.额定电流:1.5V～6V，≥6A；7V～12V，≥3A，12～30V，≥2A。</w:t>
            </w:r>
          </w:p>
          <w:p w14:paraId="533E9C74">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c.负载特性:交流输入电压在198V～242V间变化，在额定电流输出时电压变化≤0.2V，纹波电压≤3mV。</w:t>
            </w:r>
          </w:p>
          <w:p w14:paraId="737E55D6">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3.交流输出</w:t>
            </w:r>
          </w:p>
          <w:p w14:paraId="0C006E0B">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a.0V～30V，每0.5V步进调整，自动稳压。</w:t>
            </w:r>
          </w:p>
          <w:p w14:paraId="295C091E">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b.额定电流:0V～6V，≥9A；7V～12V，≥4A，13V～30V，≥3A。</w:t>
            </w:r>
          </w:p>
          <w:p w14:paraId="4659257D">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c.负载特性:交流输入电压在220V不变时，负载电流在0至额定电流范围内变化，输出电压各档变化量≤±0.5V。</w:t>
            </w:r>
          </w:p>
          <w:p w14:paraId="7B8C8942">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4.直流40A大电流，当负载电流≥10A时，10秒内负载自动关断，并有倒计时时间显示。</w:t>
            </w:r>
          </w:p>
          <w:p w14:paraId="4A0DDD7B">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5.过载保护</w:t>
            </w:r>
          </w:p>
          <w:p w14:paraId="308DAD23">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a.当教师电源的低压交直流输出等于或小于其额定输出电流值时，电流应正常工作，当输出电流在额定电流的1.5～1.1倍时电源应能过载保护。</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5AD81EB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14:paraId="380465C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r>
      <w:tr w14:paraId="53E26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4" w:hRule="atLeast"/>
        </w:trPr>
        <w:tc>
          <w:tcPr>
            <w:tcW w:w="307" w:type="pct"/>
            <w:tcBorders>
              <w:top w:val="single" w:color="000000" w:sz="4" w:space="0"/>
              <w:left w:val="single" w:color="000000" w:sz="4" w:space="0"/>
              <w:bottom w:val="single" w:color="000000" w:sz="4" w:space="0"/>
              <w:right w:val="single" w:color="000000" w:sz="4" w:space="0"/>
            </w:tcBorders>
            <w:noWrap/>
            <w:vAlign w:val="center"/>
          </w:tcPr>
          <w:p w14:paraId="7AAA500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0B7A415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学生实验桌</w:t>
            </w:r>
          </w:p>
        </w:tc>
        <w:tc>
          <w:tcPr>
            <w:tcW w:w="3532" w:type="pct"/>
            <w:tcBorders>
              <w:top w:val="single" w:color="000000" w:sz="4" w:space="0"/>
              <w:left w:val="single" w:color="000000" w:sz="4" w:space="0"/>
              <w:bottom w:val="single" w:color="000000" w:sz="4" w:space="0"/>
              <w:right w:val="single" w:color="000000" w:sz="4" w:space="0"/>
            </w:tcBorders>
            <w:noWrap w:val="0"/>
            <w:vAlign w:val="center"/>
          </w:tcPr>
          <w:p w14:paraId="0940BB44">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规格：≥长1200mm×宽600mm×高780mm </w:t>
            </w:r>
          </w:p>
          <w:p w14:paraId="5AB8816C">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1.台面：台面采用≥12mm 双面膜理化板台面，学生位置设圆弧造型 两侧设阻水边。台面后方卡入学生桌铝型槽内。耐酸、耐碱、耐高温，坚固耐用，防潮、无细孔、不膨胀、不龟裂、不变形、不导电、便于维护及具有良好的承重性能。</w:t>
            </w:r>
          </w:p>
          <w:p w14:paraId="288BC51A">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2.结构：新型钢塑结构，符合人体工程学设计。专用书包斗采用 ABS 工程塑料一次性注塑成型结合，内净尺寸≥365mm×280mm×120mm。镂空设计，底部设有排水孔，便于清理，不屯垃圾，中间设挂凳卡。</w:t>
            </w:r>
          </w:p>
          <w:p w14:paraId="4C20ECD9">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3.桌架：桌腿采用≥90mm×60mm×2mm 椭圆管模具一体成型为”Y”字型（不得二次焊接），下开口采用磨具成型改性工程塑料材料装饰，上端连接件采用铸铝一体成型，上框采用 20mm×30mm矩形管焊接成型，并用高强度内六角螺丝连接，便于组装及拆卸，外观流线形设计，简洁美观，易碰撞处全部采用倒圆角，产品款式要求整体设计美观、合理、安全、牢固、耐用。金属表面经静电粉沫喷涂处理。要做到承重性能强和耐酸碱、耐腐蚀。</w:t>
            </w:r>
          </w:p>
          <w:p w14:paraId="5EF4B1DA">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4.挡水板：后挡水板采用≥115mm×14mm×2mm 厚一体成型铝合金，左右堵头连接件采用ABS模具一体成型，固定于台架不易脱落，便于组装及拆卸，外观流线形设计，简洁美观,易碰撞处全部采用倒圆角，产品款式要求整体设计美观、合理、安全牢固、耐用。金属表面经静电粉沫喷涂处理。要做到承重性能强和耐酸碱、耐腐蚀。</w:t>
            </w:r>
          </w:p>
          <w:p w14:paraId="649F5F1D">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5.桌脚：采用一体注塑模具成型，结构美观牢固，并设有防滑调整脚，同时可以与地面固定，防止桌体移动。采用专用注塑模具件装饰。</w:t>
            </w:r>
          </w:p>
          <w:p w14:paraId="385A4D1B">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为保证产品质量以及从环保角度保障实验室人员健康，符合以下技术参数及要求：</w:t>
            </w:r>
          </w:p>
          <w:p w14:paraId="30348653">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▲（1）、台面宽度，净操作面深度，台面高度，操作台高度，操作台下净空高，操作台下净空宽；满足第三方检测机构主要尺寸检测，检测结果均为符合。</w:t>
            </w:r>
          </w:p>
          <w:p w14:paraId="655FAA22">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▲（2）、外形尺寸偏差，台面翘曲度，台面平整度，底脚平稳性；满足第三方检测机构外形尺寸偏差及形状位置公差测检测，检测结果均为符合。</w:t>
            </w:r>
          </w:p>
          <w:p w14:paraId="2A550E44">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操作台面的裂缝和渗透，板件或部件的毛刺和光滑，封边或包边不应出现脱胶，贴面应严密和平整，零部件结合的严密和牢固，配件安装的无松动，金属件应闭口和焊接无虚焊，焊疤表面波纹应均匀、高低之差应不大于1mm，金属件涂层应无漏喷、锈蚀和脱色、掉色现象，涂层应光滑均匀、色泽一致、应无流挂、疙瘩、皱皮、飞漆等缺陷；满足第三方检测机构检测，检测结果均为符合。</w:t>
            </w:r>
          </w:p>
          <w:p w14:paraId="4A913464">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▲（4）、台面磨耗值28mg/100r，表面情况应无露底现象，无整圈连续划痕、无开裂，耐龟裂性0级，无裂纹、鼓泡、起皱和无明显变色，无凸起、龟裂和 明显变色，耐干热1级，冲击凹坑直径7.5mm，化学实验台面抗化学试剂符合要求，耐高温，耐污染1级；满足第三方检测机构检测，检测结果均为符合。</w:t>
            </w:r>
          </w:p>
          <w:p w14:paraId="553BBDDF">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▲（5）、金属喷(漆)塑涂层硬度3H，冲击强度符合要求，耐腐蚀10级；满足第三方检测机构检测，检测结果均为符合。</w:t>
            </w:r>
          </w:p>
          <w:p w14:paraId="46302F45">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产品整体的力学性能经过水平静载荷试验，垂直静载荷试验，持续垂直静载荷，独立操作台水平冲击稳定性试验，独立操作台垂直加载稳定性试验，水平耐久性试验，垂直冲击试验；满足第三方检测机构检测，检测结果均为符合。</w:t>
            </w:r>
          </w:p>
          <w:p w14:paraId="73C2CFE8">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▲（7）、甲醛释放量：≤0.2mg/L；满足第三方检测机构检测，检测结果均为符合。</w:t>
            </w:r>
          </w:p>
          <w:p w14:paraId="1C8AB372">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▲（8）、重金属含量中的可溶性铅、可溶性镉、可溶性铬、可溶性汞；满足第三方检测机构检测，检测结果均为符合。</w:t>
            </w:r>
          </w:p>
          <w:p w14:paraId="1086F2D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响应文件中需提供国家认可的检测机构出具的检测报告（复印件盖供应商公章），且报告中须反应台面以上（1）～（8）项技术指标。</w:t>
            </w:r>
          </w:p>
        </w:tc>
        <w:tc>
          <w:tcPr>
            <w:tcW w:w="342" w:type="pct"/>
            <w:tcBorders>
              <w:top w:val="single" w:color="000000" w:sz="4" w:space="0"/>
              <w:left w:val="single" w:color="000000" w:sz="4" w:space="0"/>
              <w:bottom w:val="single" w:color="000000" w:sz="4" w:space="0"/>
              <w:right w:val="single" w:color="000000" w:sz="4" w:space="0"/>
            </w:tcBorders>
            <w:noWrap/>
            <w:vAlign w:val="center"/>
          </w:tcPr>
          <w:p w14:paraId="5680E11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c>
          <w:tcPr>
            <w:tcW w:w="312" w:type="pct"/>
            <w:tcBorders>
              <w:top w:val="single" w:color="000000" w:sz="4" w:space="0"/>
              <w:left w:val="single" w:color="000000" w:sz="4" w:space="0"/>
              <w:bottom w:val="single" w:color="000000" w:sz="4" w:space="0"/>
              <w:right w:val="single" w:color="000000" w:sz="4" w:space="0"/>
            </w:tcBorders>
            <w:noWrap/>
            <w:vAlign w:val="center"/>
          </w:tcPr>
          <w:p w14:paraId="5A3F989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张</w:t>
            </w:r>
          </w:p>
        </w:tc>
      </w:tr>
      <w:tr w14:paraId="13606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0" w:hRule="atLeast"/>
        </w:trPr>
        <w:tc>
          <w:tcPr>
            <w:tcW w:w="307" w:type="pct"/>
            <w:tcBorders>
              <w:top w:val="single" w:color="000000" w:sz="4" w:space="0"/>
              <w:left w:val="single" w:color="000000" w:sz="4" w:space="0"/>
              <w:bottom w:val="single" w:color="000000" w:sz="4" w:space="0"/>
              <w:right w:val="single" w:color="000000" w:sz="4" w:space="0"/>
            </w:tcBorders>
            <w:noWrap/>
            <w:vAlign w:val="center"/>
          </w:tcPr>
          <w:p w14:paraId="7C4EE53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63E7C95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实验凳</w:t>
            </w:r>
          </w:p>
        </w:tc>
        <w:tc>
          <w:tcPr>
            <w:tcW w:w="35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F21051">
            <w:pPr>
              <w:keepNext w:val="0"/>
              <w:keepLines w:val="0"/>
              <w:widowControl/>
              <w:suppressLineNumbers w:val="0"/>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规格：≥Φ315mm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1.螺旋式升降。</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2.凳脚材质：4个凳脚采用≥17mm×34mm×1.2mm无缝钢管模具一次弯管成型。二氧化碳保护焊焊接，结构牢固，金属表面经静电粉沫喷涂处理。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3.凳面材质：采用聚丙烯共聚级注塑,厚5mm。表面细纹咬花，防滑不发光。凳面底部镶嵌4枚铜质螺纹，采用螺丝与圆型托盘固定。</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4.脚垫材质：采用PP加耐磨纤维质塑料，实心倒勾式一体射出成型凳面与凳脚留有一定的空间便于凳子挂在挂凳扣上。方便教室的打扫。</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▲（1）、实验凳座高430mm，满足第三方检测机构主要尺寸及偏差检测，检测结果均为符合。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▲（2）、实验凳着地平稳性；满足第三方检测机构形状和位置公差检测，检测结果均为符合。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▲（3）、实验凳外观性能-金属件的喷涂层应涂层应无漏喷、锈蚀和脱色、掉色现象，涂层应光滑均匀、色泽一致，应无流挂、疙瘩、皱皮、飞漆；满足第三方检测机构检测，检测结果均为符合。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▲（4）、实验凳外观性能-塑料件应无裂纹，无明 显变形，应无明显缩孔、气泡、杂质、伤痕，外表用塑料件表面应光洁、无划痕，无污渍，无明显色差；满足第三方检测机构检测，检测结果均为符合。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▲（5）、实验凳应满足安全性能-结构安全的要求；满足第三方检测机构检测，检测结果均为符合。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▲（6）、实验凳金属喷漆 ( 塑 )涂层的硬度4H，冲击高度400mm,应无剥落、裂纹、皱纹，附着力1级，耐腐蚀应无鼓泡产生、无锈迹、剥落、起皱、变色 和失光等现象；满足第三方检测机构检测，检测结果均为符合。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▲（7）、实验凳的塑料件冲击强度29J/m²；满足第三方检测机构检测，检测结果均为符合。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▲（8）、实验凳整体的力学性能通过座面和椅 背静载荷试验-座面静载荷试验，座面和椅背静载荷试验-椅背静载荷试验，座面耐久性试验，椅背耐久性试验，椅腿前向静载荷试验，椅腿侧向静载荷试验，座面冲击试验，椅背冲击试验，跌落试验，凳子任意方向的倾翻试验；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▲（9）、实验凳重金属含量中的可溶性铅、可溶性镉、可溶性铬、可溶性汞；满足第三方检测机构检测，检测结果均为符合。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响应文件中需提供国家认可的检测机构出具的检测报告（复印件盖供应商公章），且报告中须反应台面以上（1）～（9）项技术指标。</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3D9283B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57</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14:paraId="57EDA94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r>
      <w:tr w14:paraId="40ECE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14:paraId="69961FD4">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总控系统</w:t>
            </w:r>
          </w:p>
        </w:tc>
      </w:tr>
      <w:tr w14:paraId="03F31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307" w:type="pct"/>
            <w:tcBorders>
              <w:top w:val="single" w:color="000000" w:sz="4" w:space="0"/>
              <w:left w:val="single" w:color="000000" w:sz="4" w:space="0"/>
              <w:bottom w:val="single" w:color="000000" w:sz="4" w:space="0"/>
              <w:right w:val="single" w:color="000000" w:sz="4" w:space="0"/>
            </w:tcBorders>
            <w:noWrap/>
            <w:vAlign w:val="center"/>
          </w:tcPr>
          <w:p w14:paraId="70ED489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501344D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控制机柜</w:t>
            </w:r>
          </w:p>
        </w:tc>
        <w:tc>
          <w:tcPr>
            <w:tcW w:w="3532" w:type="pct"/>
            <w:tcBorders>
              <w:top w:val="single" w:color="000000" w:sz="4" w:space="0"/>
              <w:left w:val="single" w:color="000000" w:sz="4" w:space="0"/>
              <w:bottom w:val="single" w:color="000000" w:sz="4" w:space="0"/>
              <w:right w:val="single" w:color="000000" w:sz="4" w:space="0"/>
            </w:tcBorders>
            <w:noWrap w:val="0"/>
            <w:vAlign w:val="center"/>
          </w:tcPr>
          <w:p w14:paraId="4CB3C682">
            <w:pPr>
              <w:keepNext w:val="0"/>
              <w:keepLines w:val="0"/>
              <w:widowControl/>
              <w:numPr>
                <w:ilvl w:val="0"/>
                <w:numId w:val="0"/>
              </w:numPr>
              <w:suppressLineNumbers w:val="0"/>
              <w:jc w:val="left"/>
              <w:textAlignment w:val="center"/>
              <w:rPr>
                <w:rFonts w:hint="eastAsia" w:ascii="仿宋" w:hAnsi="仿宋" w:eastAsia="仿宋" w:cs="仿宋"/>
                <w:i w:val="0"/>
                <w:iCs w:val="0"/>
                <w:color w:val="000000"/>
                <w:kern w:val="0"/>
                <w:sz w:val="21"/>
                <w:szCs w:val="21"/>
                <w:highlight w:val="none"/>
                <w:lang w:val="en-US" w:eastAsia="zh-CN" w:bidi="ar"/>
              </w:rPr>
            </w:pPr>
            <w:r>
              <w:rPr>
                <w:rFonts w:hint="eastAsia" w:ascii="仿宋" w:hAnsi="仿宋" w:eastAsia="仿宋" w:cs="仿宋"/>
                <w:i w:val="0"/>
                <w:iCs w:val="0"/>
                <w:color w:val="000000"/>
                <w:kern w:val="0"/>
                <w:sz w:val="21"/>
                <w:szCs w:val="21"/>
                <w:highlight w:val="none"/>
                <w:lang w:val="en-US" w:eastAsia="zh-CN" w:bidi="ar"/>
              </w:rPr>
              <w:t>1、规格：≥400*600*200㎜；外观设计整洁美观，采用1.0mm厚钢板经数控折弯加工，表面硅烷处理、喷塑。</w:t>
            </w:r>
          </w:p>
          <w:p w14:paraId="6303EE6A">
            <w:pPr>
              <w:keepNext w:val="0"/>
              <w:keepLines w:val="0"/>
              <w:widowControl/>
              <w:numPr>
                <w:ilvl w:val="0"/>
                <w:numId w:val="0"/>
              </w:numPr>
              <w:suppressLineNumbers w:val="0"/>
              <w:jc w:val="left"/>
              <w:textAlignment w:val="center"/>
              <w:rPr>
                <w:rFonts w:hint="eastAsia" w:ascii="仿宋" w:hAnsi="仿宋" w:eastAsia="仿宋" w:cs="仿宋"/>
                <w:i w:val="0"/>
                <w:iCs w:val="0"/>
                <w:color w:val="000000"/>
                <w:kern w:val="0"/>
                <w:sz w:val="21"/>
                <w:szCs w:val="21"/>
                <w:highlight w:val="none"/>
                <w:lang w:val="en-US" w:eastAsia="zh-CN" w:bidi="ar"/>
              </w:rPr>
            </w:pPr>
            <w:r>
              <w:rPr>
                <w:rFonts w:hint="eastAsia" w:ascii="仿宋" w:hAnsi="仿宋" w:eastAsia="仿宋" w:cs="仿宋"/>
                <w:i w:val="0"/>
                <w:iCs w:val="0"/>
                <w:color w:val="000000"/>
                <w:kern w:val="0"/>
                <w:sz w:val="21"/>
                <w:szCs w:val="21"/>
                <w:highlight w:val="none"/>
                <w:lang w:val="en-US" w:eastAsia="zh-CN" w:bidi="ar"/>
              </w:rPr>
              <w:t>2、箱门上安裝控制屏、启动开关，急停开关。</w:t>
            </w:r>
          </w:p>
          <w:p w14:paraId="68B1B9A6">
            <w:pPr>
              <w:keepNext w:val="0"/>
              <w:keepLines w:val="0"/>
              <w:widowControl/>
              <w:numPr>
                <w:ilvl w:val="0"/>
                <w:numId w:val="0"/>
              </w:numPr>
              <w:suppressLineNumbers w:val="0"/>
              <w:jc w:val="left"/>
              <w:textAlignment w:val="center"/>
              <w:rPr>
                <w:rFonts w:hint="eastAsia"/>
                <w:highlight w:val="none"/>
              </w:rPr>
            </w:pPr>
            <w:r>
              <w:rPr>
                <w:rFonts w:hint="eastAsia" w:ascii="仿宋" w:hAnsi="仿宋" w:eastAsia="仿宋" w:cs="仿宋"/>
                <w:i w:val="0"/>
                <w:iCs w:val="0"/>
                <w:color w:val="000000"/>
                <w:kern w:val="0"/>
                <w:sz w:val="21"/>
                <w:szCs w:val="21"/>
                <w:highlight w:val="none"/>
                <w:lang w:val="en-US" w:eastAsia="zh-CN" w:bidi="ar"/>
              </w:rPr>
              <w:t>3、控制箱内置3P总电源开关，智能控制总开关，漏电、过载、短路保护开关，485通讯输出，微电脑控制器及功能扩展模块，微电脑保护模块，急停控制系统，电源分组控制系统，照明分组控制系统，吊臂控制系统。</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1B768C5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14:paraId="50631E7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r>
      <w:tr w14:paraId="7ED51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7" w:hRule="atLeast"/>
        </w:trPr>
        <w:tc>
          <w:tcPr>
            <w:tcW w:w="307" w:type="pct"/>
            <w:tcBorders>
              <w:top w:val="single" w:color="000000" w:sz="4" w:space="0"/>
              <w:left w:val="single" w:color="000000" w:sz="4" w:space="0"/>
              <w:bottom w:val="single" w:color="000000" w:sz="4" w:space="0"/>
              <w:right w:val="single" w:color="000000" w:sz="4" w:space="0"/>
            </w:tcBorders>
            <w:noWrap/>
            <w:vAlign w:val="center"/>
          </w:tcPr>
          <w:p w14:paraId="26757F9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455F73C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总控软件系统</w:t>
            </w:r>
          </w:p>
        </w:tc>
        <w:tc>
          <w:tcPr>
            <w:tcW w:w="3532" w:type="pct"/>
            <w:tcBorders>
              <w:top w:val="single" w:color="000000" w:sz="4" w:space="0"/>
              <w:left w:val="single" w:color="000000" w:sz="4" w:space="0"/>
              <w:bottom w:val="single" w:color="000000" w:sz="4" w:space="0"/>
              <w:right w:val="single" w:color="000000" w:sz="4" w:space="0"/>
            </w:tcBorders>
            <w:noWrap w:val="0"/>
            <w:vAlign w:val="center"/>
          </w:tcPr>
          <w:p w14:paraId="45B2F9E2">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1、开机即用，无系统启动时间。</w:t>
            </w:r>
          </w:p>
          <w:p w14:paraId="7E0A1F13">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2、经密码验证之后，方可进入控制系统界面，以增加控制安全性。</w:t>
            </w:r>
          </w:p>
          <w:p w14:paraId="5C568B7D">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3、接通总开关和支路开关，可集中或分组控制吊臂的升降、照明灯亮与灭、交流220V插座、按百比调节风量大小、给排水控制（排水自动检测并及时排水）、低压交直流电压输出并可控。</w:t>
            </w:r>
          </w:p>
          <w:p w14:paraId="4C096C03">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4、系统时间可设置、可延时关机、可定时关机。</w:t>
            </w:r>
          </w:p>
          <w:p w14:paraId="1BD6CBF2">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5、可支持拓展远程控制系统使用。</w:t>
            </w:r>
          </w:p>
          <w:p w14:paraId="5B34DB3B">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6、控制柜与各个吊臂之间采用高可靠性的Modbus-RTU通讯协议下进行控制：</w:t>
            </w:r>
          </w:p>
          <w:p w14:paraId="6E083CE8">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a、吊臂控制系统：教师通过智能控制屏对实验室进行单独、分组、全部控制，升、降、暂停，升、降到位后会自动停止。 </w:t>
            </w:r>
          </w:p>
          <w:p w14:paraId="6E1E952B">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b、电源控制系统：教师通过智能控制屏对实验室进行单独、分组、全部控制交流220V输出和学生用低压输出。</w:t>
            </w:r>
          </w:p>
          <w:p w14:paraId="61820BE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c、照明控制系统：教师通过智能控制屏对实验室吊仓上的照明进行单独、分组、全部控制。</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59E669A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14:paraId="268C44B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3A229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07" w:type="pct"/>
            <w:tcBorders>
              <w:top w:val="single" w:color="000000" w:sz="4" w:space="0"/>
              <w:left w:val="single" w:color="000000" w:sz="4" w:space="0"/>
              <w:bottom w:val="single" w:color="000000" w:sz="4" w:space="0"/>
              <w:right w:val="single" w:color="000000" w:sz="4" w:space="0"/>
            </w:tcBorders>
            <w:noWrap/>
            <w:vAlign w:val="center"/>
          </w:tcPr>
          <w:p w14:paraId="1B17744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00C38A6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控制屏</w:t>
            </w:r>
          </w:p>
        </w:tc>
        <w:tc>
          <w:tcPr>
            <w:tcW w:w="3532" w:type="pct"/>
            <w:tcBorders>
              <w:top w:val="single" w:color="000000" w:sz="4" w:space="0"/>
              <w:left w:val="single" w:color="000000" w:sz="4" w:space="0"/>
              <w:bottom w:val="single" w:color="000000" w:sz="4" w:space="0"/>
              <w:right w:val="single" w:color="000000" w:sz="4" w:space="0"/>
            </w:tcBorders>
            <w:noWrap w:val="0"/>
            <w:vAlign w:val="center"/>
          </w:tcPr>
          <w:p w14:paraId="7480015D">
            <w:pPr>
              <w:keepNext w:val="0"/>
              <w:keepLines w:val="0"/>
              <w:widowControl/>
              <w:numPr>
                <w:ilvl w:val="0"/>
                <w:numId w:val="0"/>
              </w:numPr>
              <w:suppressLineNumbers w:val="0"/>
              <w:jc w:val="left"/>
              <w:textAlignment w:val="center"/>
              <w:rPr>
                <w:rFonts w:hint="eastAsia" w:ascii="仿宋" w:hAnsi="仿宋" w:eastAsia="仿宋" w:cs="仿宋"/>
                <w:i w:val="0"/>
                <w:iCs w:val="0"/>
                <w:color w:val="000000"/>
                <w:kern w:val="0"/>
                <w:sz w:val="21"/>
                <w:szCs w:val="21"/>
                <w:highlight w:val="none"/>
                <w:lang w:val="en-US" w:eastAsia="zh-CN" w:bidi="ar"/>
              </w:rPr>
            </w:pPr>
            <w:r>
              <w:rPr>
                <w:rFonts w:hint="eastAsia" w:ascii="仿宋" w:hAnsi="仿宋" w:eastAsia="仿宋" w:cs="仿宋"/>
                <w:i w:val="0"/>
                <w:iCs w:val="0"/>
                <w:color w:val="000000"/>
                <w:kern w:val="0"/>
                <w:sz w:val="21"/>
                <w:szCs w:val="21"/>
                <w:highlight w:val="none"/>
                <w:lang w:val="en-US" w:eastAsia="zh-CN" w:bidi="ar"/>
              </w:rPr>
              <w:t>1、控制屏幕采用≥12.1寸，外部用铝合金包边，分辨率为≥1024*768。</w:t>
            </w:r>
          </w:p>
          <w:p w14:paraId="07D5B4FB">
            <w:pPr>
              <w:keepNext w:val="0"/>
              <w:keepLines w:val="0"/>
              <w:widowControl/>
              <w:numPr>
                <w:ilvl w:val="0"/>
                <w:numId w:val="0"/>
              </w:numPr>
              <w:suppressLineNumbers w:val="0"/>
              <w:jc w:val="left"/>
              <w:textAlignment w:val="center"/>
              <w:rPr>
                <w:rFonts w:hint="eastAsia" w:ascii="仿宋" w:hAnsi="仿宋" w:eastAsia="仿宋" w:cs="仿宋"/>
                <w:i w:val="0"/>
                <w:iCs w:val="0"/>
                <w:color w:val="000000"/>
                <w:kern w:val="0"/>
                <w:sz w:val="21"/>
                <w:szCs w:val="21"/>
                <w:highlight w:val="none"/>
                <w:lang w:val="en-US" w:eastAsia="zh-CN" w:bidi="ar"/>
              </w:rPr>
            </w:pPr>
            <w:r>
              <w:rPr>
                <w:rFonts w:hint="eastAsia" w:ascii="仿宋" w:hAnsi="仿宋" w:eastAsia="仿宋" w:cs="仿宋"/>
                <w:i w:val="0"/>
                <w:iCs w:val="0"/>
                <w:color w:val="000000"/>
                <w:kern w:val="0"/>
                <w:sz w:val="21"/>
                <w:szCs w:val="21"/>
                <w:highlight w:val="none"/>
                <w:lang w:val="en-US" w:eastAsia="zh-CN" w:bidi="ar"/>
              </w:rPr>
              <w:t>2、屏幕为电容触摸，支持单点、滑动触摸。</w:t>
            </w:r>
          </w:p>
          <w:p w14:paraId="2C1CCEE7">
            <w:pPr>
              <w:keepNext w:val="0"/>
              <w:keepLines w:val="0"/>
              <w:widowControl/>
              <w:numPr>
                <w:ilvl w:val="0"/>
                <w:numId w:val="0"/>
              </w:numPr>
              <w:suppressLineNumbers w:val="0"/>
              <w:jc w:val="left"/>
              <w:textAlignment w:val="center"/>
              <w:rPr>
                <w:rFonts w:hint="eastAsia"/>
                <w:highlight w:val="none"/>
              </w:rPr>
            </w:pPr>
            <w:r>
              <w:rPr>
                <w:rFonts w:hint="eastAsia" w:ascii="仿宋" w:hAnsi="仿宋" w:eastAsia="仿宋" w:cs="仿宋"/>
                <w:i w:val="0"/>
                <w:iCs w:val="0"/>
                <w:color w:val="000000"/>
                <w:kern w:val="0"/>
                <w:sz w:val="21"/>
                <w:szCs w:val="21"/>
                <w:highlight w:val="none"/>
                <w:lang w:val="en-US" w:eastAsia="zh-CN" w:bidi="ar"/>
              </w:rPr>
              <w:t>3、控制屏装在控制机柜上面</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60994A4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14:paraId="0FF712F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2F5E8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trPr>
        <w:tc>
          <w:tcPr>
            <w:tcW w:w="307" w:type="pct"/>
            <w:tcBorders>
              <w:top w:val="single" w:color="000000" w:sz="4" w:space="0"/>
              <w:left w:val="single" w:color="000000" w:sz="4" w:space="0"/>
              <w:bottom w:val="single" w:color="000000" w:sz="4" w:space="0"/>
              <w:right w:val="single" w:color="000000" w:sz="4" w:space="0"/>
            </w:tcBorders>
            <w:noWrap/>
            <w:vAlign w:val="center"/>
          </w:tcPr>
          <w:p w14:paraId="09F3D51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37DF63B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远程控制系统</w:t>
            </w:r>
          </w:p>
        </w:tc>
        <w:tc>
          <w:tcPr>
            <w:tcW w:w="3532" w:type="pct"/>
            <w:tcBorders>
              <w:top w:val="single" w:color="000000" w:sz="4" w:space="0"/>
              <w:left w:val="single" w:color="000000" w:sz="4" w:space="0"/>
              <w:bottom w:val="single" w:color="000000" w:sz="4" w:space="0"/>
              <w:right w:val="single" w:color="000000" w:sz="4" w:space="0"/>
            </w:tcBorders>
            <w:noWrap w:val="0"/>
            <w:vAlign w:val="center"/>
          </w:tcPr>
          <w:p w14:paraId="6AA8CB18">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1、远程控制系统自适应PC、平板、手机端，兼顾不同系统不同终端的使用需求。</w:t>
            </w:r>
          </w:p>
          <w:p w14:paraId="51C590A8">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2、远程控制系统采用终端账号统一管理，实现账号与实验室一一对应，避免误操作和账号管理分散，登录验证唯一性，保证安全。</w:t>
            </w:r>
          </w:p>
          <w:p w14:paraId="0F8350C3">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3、远程控制系统与总控软件系统实时通信，保证状态实时同步，实现远程实时对总控软件系统的远程操作。</w:t>
            </w:r>
          </w:p>
          <w:p w14:paraId="25D796B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4、具有良好的拓展性，可以接入其他标准系统接口，实现对实验室产品控制功能的拓展。</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7B293F1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14:paraId="19F6BF6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4D3BA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07" w:type="pct"/>
            <w:tcBorders>
              <w:top w:val="single" w:color="000000" w:sz="4" w:space="0"/>
              <w:left w:val="single" w:color="000000" w:sz="4" w:space="0"/>
              <w:bottom w:val="single" w:color="000000" w:sz="4" w:space="0"/>
              <w:right w:val="single" w:color="000000" w:sz="4" w:space="0"/>
            </w:tcBorders>
            <w:noWrap/>
            <w:vAlign w:val="center"/>
          </w:tcPr>
          <w:p w14:paraId="71E1287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54092E2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环境检测套件</w:t>
            </w:r>
          </w:p>
        </w:tc>
        <w:tc>
          <w:tcPr>
            <w:tcW w:w="3532" w:type="pct"/>
            <w:tcBorders>
              <w:top w:val="single" w:color="000000" w:sz="4" w:space="0"/>
              <w:left w:val="single" w:color="000000" w:sz="4" w:space="0"/>
              <w:bottom w:val="single" w:color="000000" w:sz="4" w:space="0"/>
              <w:right w:val="single" w:color="000000" w:sz="4" w:space="0"/>
            </w:tcBorders>
            <w:noWrap w:val="0"/>
            <w:vAlign w:val="center"/>
          </w:tcPr>
          <w:p w14:paraId="274BDBC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可在实验室加装温度、湿度等传感装置，实时监控房间内的温度和湿度，保障室内舒适的环境舒适性，在控制系统中进行显示</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21FC7CE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14:paraId="45DBB8C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28571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14:paraId="3DF0A48B">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吊臂系统</w:t>
            </w:r>
          </w:p>
        </w:tc>
      </w:tr>
      <w:tr w14:paraId="2CCA9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648BEE2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2999BC9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吊舱模组</w:t>
            </w:r>
          </w:p>
        </w:tc>
        <w:tc>
          <w:tcPr>
            <w:tcW w:w="3532" w:type="pct"/>
            <w:tcBorders>
              <w:top w:val="single" w:color="000000" w:sz="4" w:space="0"/>
              <w:left w:val="single" w:color="000000" w:sz="4" w:space="0"/>
              <w:bottom w:val="single" w:color="000000" w:sz="4" w:space="0"/>
              <w:right w:val="single" w:color="000000" w:sz="4" w:space="0"/>
            </w:tcBorders>
            <w:noWrap w:val="0"/>
            <w:vAlign w:val="center"/>
          </w:tcPr>
          <w:p w14:paraId="72F4EA15">
            <w:pPr>
              <w:keepNext w:val="0"/>
              <w:keepLines w:val="0"/>
              <w:widowControl/>
              <w:suppressLineNumbers w:val="0"/>
              <w:jc w:val="left"/>
              <w:textAlignment w:val="center"/>
              <w:rPr>
                <w:rStyle w:val="81"/>
                <w:rFonts w:hint="eastAsia" w:ascii="仿宋" w:hAnsi="仿宋" w:eastAsia="仿宋" w:cs="仿宋"/>
                <w:sz w:val="21"/>
                <w:szCs w:val="21"/>
                <w:highlight w:val="none"/>
                <w:lang w:val="en-US" w:eastAsia="zh-CN" w:bidi="ar"/>
              </w:rPr>
            </w:pPr>
            <w:r>
              <w:rPr>
                <w:rStyle w:val="81"/>
                <w:rFonts w:hint="eastAsia" w:ascii="仿宋" w:hAnsi="仿宋" w:eastAsia="仿宋" w:cs="仿宋"/>
                <w:sz w:val="21"/>
                <w:szCs w:val="21"/>
                <w:highlight w:val="none"/>
                <w:lang w:val="en-US" w:eastAsia="zh-CN" w:bidi="ar"/>
              </w:rPr>
              <w:t>规格：≥1200mm×550mm×240mm</w:t>
            </w:r>
          </w:p>
          <w:p w14:paraId="37959DEA">
            <w:pPr>
              <w:keepNext w:val="0"/>
              <w:keepLines w:val="0"/>
              <w:widowControl/>
              <w:suppressLineNumbers w:val="0"/>
              <w:jc w:val="left"/>
              <w:textAlignment w:val="center"/>
              <w:rPr>
                <w:rStyle w:val="81"/>
                <w:rFonts w:hint="eastAsia" w:ascii="仿宋" w:hAnsi="仿宋" w:eastAsia="仿宋" w:cs="仿宋"/>
                <w:sz w:val="21"/>
                <w:szCs w:val="21"/>
                <w:highlight w:val="none"/>
                <w:lang w:val="en-US" w:eastAsia="zh-CN" w:bidi="ar"/>
              </w:rPr>
            </w:pPr>
            <w:r>
              <w:rPr>
                <w:rStyle w:val="81"/>
                <w:rFonts w:hint="eastAsia" w:ascii="仿宋" w:hAnsi="仿宋" w:eastAsia="仿宋" w:cs="仿宋"/>
                <w:sz w:val="21"/>
                <w:szCs w:val="21"/>
                <w:highlight w:val="none"/>
                <w:lang w:val="en-US" w:eastAsia="zh-CN" w:bidi="ar"/>
              </w:rPr>
              <w:t>1、材质：吊舱整体采用≥1mm冷轧钢板经数控折弯成型，连接处采用≥3mm冷轧钢板加固，金属框架部分为一体式结构，比分体式或拼插式结构具有更高的结构强度，内部设有≥20*40*1.2mm矩管做为加强龙骨，两侧设有LED灯，照度不小于150lx，下方设有可拆卸挡板，方便检修；工艺：钢材采用焊接机器人CO₂保护焊焊接，表层采用去油、除锈、打磨、喷塑工艺处理。</w:t>
            </w:r>
          </w:p>
          <w:p w14:paraId="6BB41D33">
            <w:pPr>
              <w:keepNext w:val="0"/>
              <w:keepLines w:val="0"/>
              <w:widowControl/>
              <w:suppressLineNumbers w:val="0"/>
              <w:jc w:val="left"/>
              <w:textAlignment w:val="center"/>
              <w:rPr>
                <w:rStyle w:val="81"/>
                <w:rFonts w:hint="eastAsia" w:ascii="仿宋" w:hAnsi="仿宋" w:eastAsia="仿宋" w:cs="仿宋"/>
                <w:sz w:val="21"/>
                <w:szCs w:val="21"/>
                <w:highlight w:val="none"/>
                <w:lang w:val="en-US" w:eastAsia="zh-CN" w:bidi="ar"/>
              </w:rPr>
            </w:pPr>
            <w:r>
              <w:rPr>
                <w:rStyle w:val="81"/>
                <w:rFonts w:hint="eastAsia" w:ascii="仿宋" w:hAnsi="仿宋" w:eastAsia="仿宋" w:cs="仿宋"/>
                <w:sz w:val="21"/>
                <w:szCs w:val="21"/>
                <w:highlight w:val="none"/>
                <w:lang w:val="en-US" w:eastAsia="zh-CN" w:bidi="ar"/>
              </w:rPr>
              <w:t>为保证产品质量以及从环保角度保障实验室人员健康，产品必须符合以下技术参数及要求：</w:t>
            </w:r>
          </w:p>
          <w:p w14:paraId="53AB7653">
            <w:pPr>
              <w:keepNext w:val="0"/>
              <w:keepLines w:val="0"/>
              <w:widowControl/>
              <w:suppressLineNumbers w:val="0"/>
              <w:jc w:val="left"/>
              <w:textAlignment w:val="center"/>
              <w:rPr>
                <w:rStyle w:val="81"/>
                <w:rFonts w:hint="eastAsia" w:ascii="仿宋" w:hAnsi="仿宋" w:eastAsia="仿宋" w:cs="仿宋"/>
                <w:sz w:val="21"/>
                <w:szCs w:val="21"/>
                <w:highlight w:val="none"/>
                <w:lang w:val="en-US" w:eastAsia="zh-CN" w:bidi="ar"/>
              </w:rPr>
            </w:pPr>
            <w:r>
              <w:rPr>
                <w:rStyle w:val="81"/>
                <w:rFonts w:hint="eastAsia" w:ascii="仿宋" w:hAnsi="仿宋" w:eastAsia="仿宋" w:cs="仿宋"/>
                <w:sz w:val="21"/>
                <w:szCs w:val="21"/>
                <w:highlight w:val="none"/>
                <w:lang w:val="en-US" w:eastAsia="zh-CN" w:bidi="ar"/>
              </w:rPr>
              <w:t>▲（1）、吊装舱喷涂层涂层应无漏喷、锈蚀和脱色、掉色现象，涂层应光滑均匀、色泽一致，无流挂、疙瘩、皱皮、飞漆等缺陷，电镀层表面应无剥落、返锈、毛刺，表面应无烧焦、起泡、针孔、裂纹、花斑(不包括镀彩锌)和划痕；检测结果均为符合。</w:t>
            </w:r>
          </w:p>
          <w:p w14:paraId="5165ED53">
            <w:pPr>
              <w:keepNext w:val="0"/>
              <w:keepLines w:val="0"/>
              <w:widowControl/>
              <w:suppressLineNumbers w:val="0"/>
              <w:jc w:val="left"/>
              <w:textAlignment w:val="center"/>
              <w:rPr>
                <w:rStyle w:val="81"/>
                <w:rFonts w:hint="eastAsia" w:ascii="仿宋" w:hAnsi="仿宋" w:eastAsia="仿宋" w:cs="仿宋"/>
                <w:sz w:val="21"/>
                <w:szCs w:val="21"/>
                <w:highlight w:val="none"/>
                <w:lang w:val="en-US" w:eastAsia="zh-CN" w:bidi="ar"/>
              </w:rPr>
            </w:pPr>
            <w:r>
              <w:rPr>
                <w:rStyle w:val="81"/>
                <w:rFonts w:hint="eastAsia" w:ascii="仿宋" w:hAnsi="仿宋" w:eastAsia="仿宋" w:cs="仿宋"/>
                <w:sz w:val="21"/>
                <w:szCs w:val="21"/>
                <w:highlight w:val="none"/>
                <w:lang w:val="en-US" w:eastAsia="zh-CN" w:bidi="ar"/>
              </w:rPr>
              <w:t>▲（2）、吊装舱涂层-硬度为4H，耐腐蚀，抗盐雾；满足第三方检测机构检测，检测结果均为符合。</w:t>
            </w:r>
          </w:p>
          <w:p w14:paraId="37811AD8">
            <w:pPr>
              <w:keepNext w:val="0"/>
              <w:keepLines w:val="0"/>
              <w:widowControl/>
              <w:suppressLineNumbers w:val="0"/>
              <w:jc w:val="left"/>
              <w:textAlignment w:val="center"/>
              <w:rPr>
                <w:rStyle w:val="81"/>
                <w:rFonts w:hint="eastAsia" w:ascii="仿宋" w:hAnsi="仿宋" w:eastAsia="仿宋" w:cs="仿宋"/>
                <w:sz w:val="21"/>
                <w:szCs w:val="21"/>
                <w:highlight w:val="none"/>
                <w:lang w:val="en-US" w:eastAsia="zh-CN" w:bidi="ar"/>
              </w:rPr>
            </w:pPr>
            <w:r>
              <w:rPr>
                <w:rStyle w:val="81"/>
                <w:rFonts w:hint="eastAsia" w:ascii="仿宋" w:hAnsi="仿宋" w:eastAsia="仿宋" w:cs="仿宋"/>
                <w:sz w:val="21"/>
                <w:szCs w:val="21"/>
                <w:highlight w:val="none"/>
                <w:lang w:val="en-US" w:eastAsia="zh-CN" w:bidi="ar"/>
              </w:rPr>
              <w:t>▲（3）、吊装舱重金属含量中的可溶性铅、可溶性镉、可溶性铬、可溶性汞；满足第三方检测机构检测，检测结果均为符合。</w:t>
            </w:r>
          </w:p>
          <w:p w14:paraId="100B14CB">
            <w:pPr>
              <w:keepNext w:val="0"/>
              <w:keepLines w:val="0"/>
              <w:widowControl/>
              <w:suppressLineNumbers w:val="0"/>
              <w:jc w:val="left"/>
              <w:textAlignment w:val="center"/>
              <w:rPr>
                <w:rStyle w:val="81"/>
                <w:rFonts w:hint="eastAsia" w:ascii="仿宋" w:hAnsi="仿宋" w:eastAsia="仿宋" w:cs="仿宋"/>
                <w:sz w:val="21"/>
                <w:szCs w:val="21"/>
                <w:highlight w:val="none"/>
                <w:lang w:val="en-US" w:eastAsia="zh-CN" w:bidi="ar"/>
              </w:rPr>
            </w:pPr>
            <w:r>
              <w:rPr>
                <w:rStyle w:val="81"/>
                <w:rFonts w:hint="eastAsia" w:ascii="仿宋" w:hAnsi="仿宋" w:eastAsia="仿宋" w:cs="仿宋"/>
                <w:sz w:val="21"/>
                <w:szCs w:val="21"/>
                <w:highlight w:val="none"/>
                <w:lang w:val="en-US" w:eastAsia="zh-CN" w:bidi="ar"/>
              </w:rPr>
              <w:t>▲（4）、吊装舱依据GB/T9286-2021标准《色漆和清漆划格试验》测试，附着力为0级；</w:t>
            </w:r>
          </w:p>
          <w:p w14:paraId="5776329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Style w:val="81"/>
                <w:rFonts w:hint="eastAsia" w:ascii="仿宋" w:hAnsi="仿宋" w:eastAsia="仿宋" w:cs="仿宋"/>
                <w:sz w:val="21"/>
                <w:szCs w:val="21"/>
                <w:highlight w:val="none"/>
                <w:lang w:val="en-US" w:eastAsia="zh-CN" w:bidi="ar"/>
              </w:rPr>
              <w:t>响应文件中需提供国家认可的检测机构出具的检测报告（复印件盖供应商公章），且报告中须反应台面以上（1）～（4）项技术指标。</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60D7AB7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14:paraId="44C56F6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05E90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2C19FFA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5C7128A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吊臂模组</w:t>
            </w:r>
          </w:p>
        </w:tc>
        <w:tc>
          <w:tcPr>
            <w:tcW w:w="3532" w:type="pct"/>
            <w:tcBorders>
              <w:top w:val="single" w:color="000000" w:sz="4" w:space="0"/>
              <w:left w:val="single" w:color="000000" w:sz="4" w:space="0"/>
              <w:bottom w:val="single" w:color="000000" w:sz="4" w:space="0"/>
              <w:right w:val="single" w:color="000000" w:sz="4" w:space="0"/>
            </w:tcBorders>
            <w:noWrap w:val="0"/>
            <w:vAlign w:val="center"/>
          </w:tcPr>
          <w:p w14:paraId="6D8A3C89">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1、吊臂由铝合金加工成型，表面和经环氧树脂粉末静电喷涂、高温固化处理，耐腐蚀，吊臂截面尺寸为≥80*40的D型管材，壁厚≥2mm；长度≥645mm。</w:t>
            </w:r>
          </w:p>
          <w:p w14:paraId="03E44157">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2、吊臂模组可由总控系统控制升降，不使用时可收于吊舱之内，起到防止阻挡视线的功能。</w:t>
            </w:r>
          </w:p>
          <w:p w14:paraId="595862B9">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3、吊臂模组可以实现单独控制、分组控制和整体控制。</w:t>
            </w:r>
          </w:p>
          <w:p w14:paraId="3F1C604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4、在吊臂升降中，如遇障碍物可以实现回弹、或停止，避免出现机械故障或人员夹伤。</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51C0FC0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14:paraId="4312547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72044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2B45F10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6496AB8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吊臂控制系统</w:t>
            </w:r>
          </w:p>
        </w:tc>
        <w:tc>
          <w:tcPr>
            <w:tcW w:w="3532" w:type="pct"/>
            <w:tcBorders>
              <w:top w:val="single" w:color="000000" w:sz="4" w:space="0"/>
              <w:left w:val="single" w:color="000000" w:sz="4" w:space="0"/>
              <w:bottom w:val="single" w:color="000000" w:sz="4" w:space="0"/>
              <w:right w:val="single" w:color="000000" w:sz="4" w:space="0"/>
            </w:tcBorders>
            <w:noWrap w:val="0"/>
            <w:vAlign w:val="center"/>
          </w:tcPr>
          <w:p w14:paraId="234E3455">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摇臂接收智能控制系统信号实现远程遥控，动力采用直流24V减速低压电机。</w:t>
            </w:r>
          </w:p>
          <w:p w14:paraId="03522988">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1、可通过总控系统对实验室的吊臂进行控制，可以实现单独控制、分组控制。</w:t>
            </w:r>
          </w:p>
          <w:p w14:paraId="77A49D9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2、系统自带障碍物保护功能，具有防夹，防卡功能，当摇臂在运动的过程中遇到障碍物时会自动停止，具有过流保护功能。</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2B65BEB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14:paraId="48618DE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r>
      <w:tr w14:paraId="7C78D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16F0D73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08FE3FE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吊舱端头模组</w:t>
            </w:r>
          </w:p>
        </w:tc>
        <w:tc>
          <w:tcPr>
            <w:tcW w:w="35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D49EB6">
            <w:pPr>
              <w:keepNext w:val="0"/>
              <w:keepLines w:val="0"/>
              <w:widowControl/>
              <w:suppressLineNumbers w:val="0"/>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规格：≥300mm×550mm×240mm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整体采用1mm冷轧钢板经数控折弯成型。连接处采用3mm冷轧钢板加固，整体框架为一体式结构.</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34C1C3E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14:paraId="12B6258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269A8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14:paraId="7C9E0BB7">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电源系统</w:t>
            </w:r>
          </w:p>
        </w:tc>
      </w:tr>
      <w:tr w14:paraId="43F1D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7C91417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5846303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电源分组控制系统</w:t>
            </w:r>
          </w:p>
        </w:tc>
        <w:tc>
          <w:tcPr>
            <w:tcW w:w="3532" w:type="pct"/>
            <w:tcBorders>
              <w:top w:val="single" w:color="000000" w:sz="4" w:space="0"/>
              <w:left w:val="single" w:color="000000" w:sz="4" w:space="0"/>
              <w:bottom w:val="single" w:color="000000" w:sz="4" w:space="0"/>
              <w:right w:val="single" w:color="000000" w:sz="4" w:space="0"/>
            </w:tcBorders>
            <w:noWrap w:val="0"/>
            <w:vAlign w:val="center"/>
          </w:tcPr>
          <w:p w14:paraId="62C6127E">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1、可通过电源控制系统控制学生电源的220V供电的开启和关闭，可以实现单独控制、分组控制。</w:t>
            </w:r>
          </w:p>
          <w:p w14:paraId="6AE479F8">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2、可通过电源控制系统控制选择学生电源的电源交、直流输出的开关。</w:t>
            </w:r>
          </w:p>
          <w:p w14:paraId="6276DD4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3、可通过电源控制系统锁定学生电源的低压交直流输出，锁定后受控学生电源不能修改。可锁定学生低压交直流输出上限，锁定后只可向下调整电压，解锁后学生方可自由调节。</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4A43AB1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14:paraId="20D7ED6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04A13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0F57E8C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5188125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学生电源</w:t>
            </w:r>
          </w:p>
        </w:tc>
        <w:tc>
          <w:tcPr>
            <w:tcW w:w="3532" w:type="pct"/>
            <w:tcBorders>
              <w:top w:val="single" w:color="000000" w:sz="4" w:space="0"/>
              <w:left w:val="single" w:color="000000" w:sz="4" w:space="0"/>
              <w:bottom w:val="single" w:color="000000" w:sz="4" w:space="0"/>
              <w:right w:val="single" w:color="000000" w:sz="4" w:space="0"/>
            </w:tcBorders>
            <w:noWrap w:val="0"/>
            <w:vAlign w:val="center"/>
          </w:tcPr>
          <w:p w14:paraId="5F4505A9">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1、学生电源安装于吊臂模组末端ABS塑料壳体之上。壳体正面由钢板加工成型并贴面板膜，文字符号清晰，按键分布合理。</w:t>
            </w:r>
          </w:p>
          <w:p w14:paraId="60D3C618">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每个吊臂上安装两组学生电源，分别有低压交、直流输出香焦插座，五孔插座4个、过载短路复位开关1个，网线插孔2个，急停按钮1个。学生用电源设（∧、V、AC/DC按键、过载按任意键复位），2组1.3寸OLED显示屏，显示电压和电流输出。</w:t>
            </w:r>
          </w:p>
          <w:p w14:paraId="330194E5">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学生用电源参数符合JY/T0374一2004标准中低压输出标准要求。符合以下性能要求：a.交流输出：电压0∨-30Ⅴ、显示±0.5V，每0.5V一档，可随负载变化自动稳压，0V-18V额定电流3A，18V-30V额定电流2A。b.直流稳压输出：电压0V-36Ⅴ、显示±0.2V，连续无极可调，每0.1V递增，0V-16V额定电流2A，16.1V-36V额定电流1A。电压稳定性：≤2%U标+0.1Ⅴ， 负载稳定性：≤2%U标+0.1Ⅴ， 波纹电压：电源电压保持220V，达到额定电流时&lt;3mV。c.电压电流：可实时输出电压和电流，电压分辩率0.1V，电流分辩率0.01A。</w:t>
            </w:r>
          </w:p>
          <w:p w14:paraId="39DC20CE">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具备过载保护功能：交流输出0V-18V输出3.2A、16.1V-30∨输出2.2A，直流稳压输出0∨-16V输出2.1A、16.1V-36V输出1.1A，当输出过载或短路时电源进入恒流状态延时1分钟后自动关闭输出，并能启动不大于额定电流的白炽灯。</w:t>
            </w:r>
          </w:p>
          <w:p w14:paraId="1A3D2822">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5、电源输入：AC220Ⅴ±22V，50H±0.5Hz。</w:t>
            </w:r>
          </w:p>
          <w:p w14:paraId="36E02925">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6、工作环境条件，温度0~40℃；湿度≤90%（40℃），</w:t>
            </w:r>
          </w:p>
          <w:p w14:paraId="5B199323">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7、连续工作时间：输出电流在额定电流范围内，允许8小时连续使用。</w:t>
            </w:r>
          </w:p>
          <w:p w14:paraId="22FDD147">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8、急停按钮：单个吊臂使用端用电异常时，可快速切断此吊臂高低压电源。</w:t>
            </w:r>
          </w:p>
          <w:p w14:paraId="764935F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9、国标五孔插座：带安全防护门，额定电流5A。交流220V输出有过载短路复位开关，避免因保险丝熔断更换造成的麻烦。</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23D6215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14:paraId="5E1CE70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组</w:t>
            </w:r>
          </w:p>
        </w:tc>
      </w:tr>
      <w:tr w14:paraId="0D38C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14:paraId="673957B5">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实施设备</w:t>
            </w:r>
          </w:p>
        </w:tc>
      </w:tr>
      <w:tr w14:paraId="38E8D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76E1B7F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61B392B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系统安装辅件</w:t>
            </w:r>
          </w:p>
        </w:tc>
        <w:tc>
          <w:tcPr>
            <w:tcW w:w="3532" w:type="pct"/>
            <w:tcBorders>
              <w:top w:val="single" w:color="000000" w:sz="4" w:space="0"/>
              <w:left w:val="single" w:color="000000" w:sz="4" w:space="0"/>
              <w:bottom w:val="single" w:color="000000" w:sz="4" w:space="0"/>
              <w:right w:val="single" w:color="000000" w:sz="4" w:space="0"/>
            </w:tcBorders>
            <w:noWrap w:val="0"/>
            <w:vAlign w:val="center"/>
          </w:tcPr>
          <w:p w14:paraId="04D8A0FB">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采用门型框架安装方式，减少楼板承重，防止左右晃动。主要辅件有：吊装专用支架、三角连接件、吊装实验室专用安装支架和墙顶连接件、吊装挂件等。</w:t>
            </w:r>
          </w:p>
          <w:p w14:paraId="113BD1D7">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吊装附件包含：</w:t>
            </w:r>
          </w:p>
          <w:p w14:paraId="27821EC4">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1、门型框架：规格采用40mm*40mm光伏支架，规格：980mm*712mm*51mm ，数量16个；</w:t>
            </w:r>
          </w:p>
          <w:p w14:paraId="39FEE6CA">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2、挂钩：采用40mm*40mm光伏支架及镀锌钢板，规格：248mm*110mm*53mm,数量112个；</w:t>
            </w:r>
          </w:p>
          <w:p w14:paraId="4206AB06">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3、吊装连接片：采用镀锌钢板，规格：150mm*40mm*3mm，数量4个；</w:t>
            </w:r>
          </w:p>
          <w:p w14:paraId="67ECDB34">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 吊装支架：采用40mm*40mm光伏支架，规格：4250mm*40mm*40mm,数量8个；</w:t>
            </w:r>
          </w:p>
          <w:p w14:paraId="621B8441">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5、吊丝：φ10*10*3米，数量12根；</w:t>
            </w:r>
          </w:p>
          <w:p w14:paraId="02B0F1A1">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6、1.5平方铜线100米；</w:t>
            </w:r>
          </w:p>
          <w:p w14:paraId="756031C3">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7、2.5平方铜线300米；</w:t>
            </w:r>
          </w:p>
          <w:p w14:paraId="3DAE2590">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8、4平方铜线100米；</w:t>
            </w:r>
          </w:p>
          <w:p w14:paraId="10C80DC8">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9、30线槽，3米/根，10根。</w:t>
            </w:r>
          </w:p>
          <w:p w14:paraId="15D51D13">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10、膨胀管480个，膨胀螺丝480条，螺丝540条。</w:t>
            </w:r>
          </w:p>
          <w:p w14:paraId="6BE47F9E">
            <w:pPr>
              <w:keepNext w:val="0"/>
              <w:keepLines w:val="0"/>
              <w:widowControl/>
              <w:suppressLineNumbers w:val="0"/>
              <w:jc w:val="left"/>
              <w:textAlignment w:val="center"/>
              <w:rPr>
                <w:rFonts w:hint="eastAsia"/>
                <w:highlight w:val="none"/>
              </w:rPr>
            </w:pPr>
            <w:r>
              <w:rPr>
                <w:rFonts w:hint="eastAsia" w:ascii="仿宋" w:hAnsi="仿宋" w:eastAsia="仿宋" w:cs="仿宋"/>
                <w:i w:val="0"/>
                <w:iCs w:val="0"/>
                <w:color w:val="000000"/>
                <w:kern w:val="0"/>
                <w:sz w:val="21"/>
                <w:szCs w:val="21"/>
                <w:highlight w:val="none"/>
                <w:u w:val="none"/>
                <w:lang w:val="en-US" w:eastAsia="zh-CN" w:bidi="ar"/>
              </w:rPr>
              <w:t>11、安装及实施。</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007BA2E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14:paraId="751A188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室</w:t>
            </w:r>
          </w:p>
        </w:tc>
      </w:tr>
    </w:tbl>
    <w:p w14:paraId="6287A73D">
      <w:pPr>
        <w:pStyle w:val="2"/>
        <w:numPr>
          <w:ilvl w:val="0"/>
          <w:numId w:val="0"/>
        </w:numPr>
        <w:rPr>
          <w:rFonts w:hint="eastAsia" w:ascii="仿宋" w:hAnsi="仿宋" w:eastAsia="仿宋" w:cs="仿宋"/>
          <w:b/>
          <w:bCs/>
          <w:sz w:val="24"/>
          <w:szCs w:val="24"/>
          <w:highlight w:val="none"/>
          <w:lang w:val="en-US" w:eastAsia="zh-CN"/>
        </w:rPr>
      </w:pPr>
    </w:p>
    <w:p w14:paraId="161D95C9">
      <w:pPr>
        <w:pStyle w:val="2"/>
        <w:numPr>
          <w:ilvl w:val="0"/>
          <w:numId w:val="0"/>
        </w:numPr>
        <w:rPr>
          <w:rFonts w:hint="default" w:ascii="Times New Roman" w:hAnsi="Times New Roman" w:eastAsia="宋体" w:cs="Times New Roman"/>
          <w:b w:val="0"/>
          <w:bCs w:val="0"/>
          <w:sz w:val="24"/>
          <w:szCs w:val="24"/>
          <w:highlight w:val="none"/>
          <w:lang w:eastAsia="zh-CN"/>
        </w:rPr>
      </w:pPr>
      <w:r>
        <w:rPr>
          <w:rFonts w:hint="eastAsia" w:ascii="仿宋" w:hAnsi="仿宋" w:eastAsia="仿宋" w:cs="仿宋"/>
          <w:b/>
          <w:bCs/>
          <w:sz w:val="24"/>
          <w:szCs w:val="24"/>
          <w:highlight w:val="none"/>
          <w:lang w:val="en-US" w:eastAsia="zh-CN"/>
        </w:rPr>
        <w:t>2、物理准备仪器室</w:t>
      </w:r>
    </w:p>
    <w:tbl>
      <w:tblPr>
        <w:tblStyle w:val="6"/>
        <w:tblW w:w="499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4"/>
        <w:gridCol w:w="991"/>
        <w:gridCol w:w="6659"/>
        <w:gridCol w:w="630"/>
        <w:gridCol w:w="594"/>
      </w:tblGrid>
      <w:tr w14:paraId="75C3D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03" w:type="pct"/>
            <w:tcBorders>
              <w:top w:val="single" w:color="000000" w:sz="4" w:space="0"/>
              <w:left w:val="single" w:color="000000" w:sz="4" w:space="0"/>
              <w:bottom w:val="single" w:color="000000" w:sz="4" w:space="0"/>
              <w:right w:val="single" w:color="000000" w:sz="4" w:space="0"/>
            </w:tcBorders>
            <w:noWrap/>
            <w:vAlign w:val="center"/>
          </w:tcPr>
          <w:p w14:paraId="058E5989">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bookmarkStart w:id="180" w:name="_Toc23253"/>
            <w:bookmarkEnd w:id="180"/>
            <w:bookmarkStart w:id="181" w:name="_Toc256000045"/>
            <w:bookmarkEnd w:id="181"/>
            <w:bookmarkStart w:id="182" w:name="_Toc1662642"/>
            <w:bookmarkEnd w:id="182"/>
            <w:bookmarkStart w:id="183" w:name="_Toc3229"/>
            <w:bookmarkEnd w:id="183"/>
            <w:bookmarkStart w:id="184" w:name="_Toc256000016"/>
            <w:bookmarkEnd w:id="184"/>
            <w:bookmarkStart w:id="185" w:name="_Toc256000066"/>
            <w:bookmarkEnd w:id="185"/>
            <w:bookmarkStart w:id="186" w:name="_Toc4401"/>
            <w:bookmarkStart w:id="187" w:name="_Toc256000068"/>
            <w:bookmarkStart w:id="188" w:name="_Toc130305940"/>
            <w:r>
              <w:rPr>
                <w:rFonts w:hint="eastAsia" w:ascii="仿宋" w:hAnsi="仿宋" w:eastAsia="仿宋" w:cs="仿宋"/>
                <w:b/>
                <w:bCs/>
                <w:i w:val="0"/>
                <w:iCs w:val="0"/>
                <w:color w:val="000000"/>
                <w:kern w:val="0"/>
                <w:sz w:val="21"/>
                <w:szCs w:val="21"/>
                <w:highlight w:val="none"/>
                <w:u w:val="none"/>
                <w:lang w:val="en-US" w:eastAsia="zh-CN" w:bidi="ar"/>
              </w:rPr>
              <w:t>序号</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46C9EE45">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产品名称</w:t>
            </w:r>
          </w:p>
        </w:tc>
        <w:tc>
          <w:tcPr>
            <w:tcW w:w="3524" w:type="pct"/>
            <w:tcBorders>
              <w:top w:val="single" w:color="000000" w:sz="4" w:space="0"/>
              <w:left w:val="single" w:color="000000" w:sz="4" w:space="0"/>
              <w:bottom w:val="single" w:color="000000" w:sz="4" w:space="0"/>
              <w:right w:val="single" w:color="000000" w:sz="4" w:space="0"/>
            </w:tcBorders>
            <w:noWrap w:val="0"/>
            <w:vAlign w:val="center"/>
          </w:tcPr>
          <w:p w14:paraId="3DAABBB4">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参数</w:t>
            </w:r>
          </w:p>
        </w:tc>
        <w:tc>
          <w:tcPr>
            <w:tcW w:w="333" w:type="pct"/>
            <w:tcBorders>
              <w:top w:val="single" w:color="000000" w:sz="4" w:space="0"/>
              <w:left w:val="single" w:color="000000" w:sz="4" w:space="0"/>
              <w:bottom w:val="single" w:color="000000" w:sz="4" w:space="0"/>
              <w:right w:val="single" w:color="000000" w:sz="4" w:space="0"/>
            </w:tcBorders>
            <w:noWrap/>
            <w:vAlign w:val="center"/>
          </w:tcPr>
          <w:p w14:paraId="6078F28E">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数量</w:t>
            </w:r>
          </w:p>
        </w:tc>
        <w:tc>
          <w:tcPr>
            <w:tcW w:w="314" w:type="pct"/>
            <w:tcBorders>
              <w:top w:val="single" w:color="000000" w:sz="4" w:space="0"/>
              <w:left w:val="single" w:color="000000" w:sz="4" w:space="0"/>
              <w:bottom w:val="single" w:color="000000" w:sz="4" w:space="0"/>
              <w:right w:val="single" w:color="000000" w:sz="4" w:space="0"/>
            </w:tcBorders>
            <w:noWrap/>
            <w:vAlign w:val="center"/>
          </w:tcPr>
          <w:p w14:paraId="786DE81D">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单位</w:t>
            </w:r>
          </w:p>
        </w:tc>
      </w:tr>
      <w:tr w14:paraId="61B0C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8" w:hRule="atLeast"/>
        </w:trPr>
        <w:tc>
          <w:tcPr>
            <w:tcW w:w="303" w:type="pct"/>
            <w:tcBorders>
              <w:top w:val="single" w:color="000000" w:sz="4" w:space="0"/>
              <w:left w:val="single" w:color="000000" w:sz="4" w:space="0"/>
              <w:bottom w:val="single" w:color="000000" w:sz="4" w:space="0"/>
              <w:right w:val="single" w:color="000000" w:sz="4" w:space="0"/>
            </w:tcBorders>
            <w:noWrap/>
            <w:vAlign w:val="center"/>
          </w:tcPr>
          <w:p w14:paraId="7B58CED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524" w:type="pct"/>
            <w:tcBorders>
              <w:top w:val="single" w:color="000000" w:sz="4" w:space="0"/>
              <w:left w:val="single" w:color="000000" w:sz="4" w:space="0"/>
              <w:bottom w:val="single" w:color="000000" w:sz="4" w:space="0"/>
              <w:right w:val="single" w:color="000000" w:sz="4" w:space="0"/>
            </w:tcBorders>
            <w:noWrap w:val="0"/>
            <w:vAlign w:val="center"/>
          </w:tcPr>
          <w:p w14:paraId="4772ECE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准备台</w:t>
            </w:r>
          </w:p>
        </w:tc>
        <w:tc>
          <w:tcPr>
            <w:tcW w:w="3524" w:type="pct"/>
            <w:tcBorders>
              <w:top w:val="single" w:color="000000" w:sz="4" w:space="0"/>
              <w:left w:val="single" w:color="000000" w:sz="4" w:space="0"/>
              <w:bottom w:val="single" w:color="000000" w:sz="4" w:space="0"/>
              <w:right w:val="single" w:color="000000" w:sz="4" w:space="0"/>
            </w:tcBorders>
            <w:noWrap w:val="0"/>
            <w:vAlign w:val="center"/>
          </w:tcPr>
          <w:p w14:paraId="12C4096F">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规格：≥长3000mm×宽1100mm×高850mm</w:t>
            </w:r>
          </w:p>
          <w:p w14:paraId="33047343">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1.一体化台面，设置抽屉、对开门。</w:t>
            </w:r>
          </w:p>
          <w:p w14:paraId="3D8152F6">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2.台面材料：采用理化板，台面厚度≥12.7mm，边缘加厚至≥25.4mm。</w:t>
            </w:r>
          </w:p>
          <w:p w14:paraId="54FC0D7F">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3.台体框架：采用铝合金型材制作，框架的立柱为≥45mm×32mm方管，框架的横梁为≥32mm×32mm方管，壁厚≥1.0mm。通过 ABS专用连接件组装而成，接缝严密，连接牢固，无松动现象。型材带凹槽，槽的宽度、深度应与所采用的柜体板材相匹配，接缝严密，无晃动现象。型材表面需经静电粉沫喷涂处理，整体耐腐蚀、防火、防潮、稳固耐用。</w:t>
            </w:r>
          </w:p>
          <w:p w14:paraId="5E60AC55">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台体衬板：用厚度为≥16mm、彩色和灰白色双面三聚氰胺板（即双饰面板）作为台体衬板，其内芯的基材为聚木屑纤维板，外漏截面采用≥1.0mm厚塑制封边条机械封边；甲醛释放限量指标应符合GB18580－2017的要求。</w:t>
            </w:r>
          </w:p>
          <w:p w14:paraId="4423155C">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5.支脚：采用Φ≥10mm的螺杆与ABS工程塑料一次注塑成型的脚垫，高度可调节。</w:t>
            </w:r>
          </w:p>
          <w:p w14:paraId="2D2DBDD2">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6.柜门铰链：采用优质不锈钢定位铰链，安全、牢固、防腐、耐用。</w:t>
            </w:r>
          </w:p>
          <w:p w14:paraId="11B897C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7.抽屉滑道：采用优质消声三节滑轨，优质合金钢板一次性成型加工。</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5761091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13D4639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张</w:t>
            </w:r>
          </w:p>
        </w:tc>
      </w:tr>
      <w:tr w14:paraId="4AC1E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7" w:hRule="atLeast"/>
        </w:trPr>
        <w:tc>
          <w:tcPr>
            <w:tcW w:w="303" w:type="pct"/>
            <w:tcBorders>
              <w:top w:val="single" w:color="000000" w:sz="4" w:space="0"/>
              <w:left w:val="single" w:color="000000" w:sz="4" w:space="0"/>
              <w:bottom w:val="single" w:color="000000" w:sz="4" w:space="0"/>
              <w:right w:val="single" w:color="000000" w:sz="4" w:space="0"/>
            </w:tcBorders>
            <w:noWrap/>
            <w:vAlign w:val="center"/>
          </w:tcPr>
          <w:p w14:paraId="521C1D5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524" w:type="pct"/>
            <w:tcBorders>
              <w:top w:val="single" w:color="000000" w:sz="4" w:space="0"/>
              <w:left w:val="single" w:color="000000" w:sz="4" w:space="0"/>
              <w:bottom w:val="single" w:color="000000" w:sz="4" w:space="0"/>
              <w:right w:val="single" w:color="000000" w:sz="4" w:space="0"/>
            </w:tcBorders>
            <w:noWrap w:val="0"/>
            <w:vAlign w:val="center"/>
          </w:tcPr>
          <w:p w14:paraId="5BEB527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仪器柜</w:t>
            </w:r>
          </w:p>
        </w:tc>
        <w:tc>
          <w:tcPr>
            <w:tcW w:w="3524" w:type="pct"/>
            <w:tcBorders>
              <w:top w:val="single" w:color="000000" w:sz="4" w:space="0"/>
              <w:left w:val="single" w:color="000000" w:sz="4" w:space="0"/>
              <w:bottom w:val="single" w:color="000000" w:sz="4" w:space="0"/>
              <w:right w:val="single" w:color="000000" w:sz="4" w:space="0"/>
            </w:tcBorders>
            <w:noWrap w:val="0"/>
            <w:vAlign w:val="center"/>
          </w:tcPr>
          <w:p w14:paraId="768842CE">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规格：≥1000mm×500mm×2000mm</w:t>
            </w:r>
          </w:p>
          <w:p w14:paraId="51EA9B61">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铝木结构，基本要求如下：</w:t>
            </w:r>
          </w:p>
          <w:p w14:paraId="4F18E740">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柜体框架：采用模具成型的专用铝合金方管制作，通过ABS专用连接件组装而成，保证连接牢固。前立柱、前横梁外径为≥27mm×35mm（误差±1mm），后立柱、后横梁外径为≥35mm×35mm（误差±1mm），铝合金管材的壁厚≥1.0mm（误差±0.15mm）。铝合金型材带凹槽，凹槽的宽度应与柜体衬板相匹配，凹槽的深度应足够，保证柜体衬板与铝型材之间接缝严密，无晃动现象，不发生脱落。铝合金型材表面需经静电粉沫喷涂处理，整体耐腐蚀、防火、防潮、稳固耐用。</w:t>
            </w:r>
          </w:p>
          <w:p w14:paraId="456EC870">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柜体衬板：用厚度为≥16mm、彩色和灰白色双面三聚氰胺板（即双饰面板）作为台体衬板，其内芯的基材为聚木屑纤维板，外漏截面采用≥1.0mm厚塑制封边条机械封边；甲醛释放限量指标应符合GB18580－2017的要求。</w:t>
            </w:r>
          </w:p>
          <w:p w14:paraId="675B585C">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3.柜门：上部为专用木框对开玻璃门，下部为对开木门，不锈钢拉手。柜门采用不锈钢定位铰链，安全、牢固、防腐、耐用。</w:t>
            </w:r>
          </w:p>
          <w:p w14:paraId="1272A828">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隔板：上柜设置2块活动隔板，下柜设置1块固定隔板。隔板所用的板材与柜体板材相同，厚度为≥16mm，隔板的一条长边采用“［”型槽板包边（槽板材料为冷轧钢板，其尺寸为≥30mm×19mm，壁厚≥1.0mm，槽宽与隔板厚度匹配，表面需进行喷塑处理），槽板与隔板用万能胶固定。</w:t>
            </w:r>
          </w:p>
          <w:p w14:paraId="7A5D47AC">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5.高度升降条：上部柜体内侧均应安装高度升降条（1.0mm冷轧钢板制作），每侧2根，带活动支撑座（位置可调）。高度升降条和支撑座表面应采用纯环氧树脂静电喷涂高温固化，具有较高耐蚀性能。</w:t>
            </w:r>
          </w:p>
          <w:p w14:paraId="7C833836">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6.支脚：采用Φ≥8mm的螺杆与ABS工程塑料一次注塑成型的脚垫，高度可调节。</w:t>
            </w:r>
          </w:p>
          <w:p w14:paraId="4ADD0B4D">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▲（1）、仪器柜外形尺寸偏差，翘曲度0.3mm，平整度0.03mm，临边垂直度，位度差0.2mm，分缝0.2mm，地脚平稳性；满足第三方检测机构外形尺寸偏差及形状位置公差检测，检测结果均为符合。</w:t>
            </w:r>
          </w:p>
          <w:p w14:paraId="1D3CCD6B">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仪器柜冲压件应无脱层、裂缝，喷涂层应无漏喷、锈蚀和脱色、掉色现象，涂层应光滑均匀，色泽一致，应无流挂、疙瘩、皱皮、飞漆等缺陷；满足第三方检测机构木工及外观要求检测，检测结果均为符合。</w:t>
            </w:r>
          </w:p>
          <w:p w14:paraId="7340FEC5">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▲（3）、仪器柜与人体接触的零部件不应有毛刺、刃口、尖锐的棱角和端头；满足第三方检测机构安全性要求检测，检测结果均为符合。</w:t>
            </w:r>
          </w:p>
          <w:p w14:paraId="6E3802D1">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▲（4）、仪器柜金属喷塑涂层硬度4H，耐腐蚀9级，应无剥落、裂纹、皱纹；满足第三方检测机构金属喷塑涂层理化性能检测，检测结果均为符合。</w:t>
            </w:r>
          </w:p>
          <w:p w14:paraId="663D59DA">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仪器柜整体的力学性能通过搁板稳定性，搁板弯曲试验，搁板支承件试验，拉门强度试验，拉门水平静载荷试验，拉门猛开试验，拉门耐久性试验，过载试验，主体结构和底架的强度试验，空载稳定性试验，活动部件垂直加载稳定性试验；满足第三方检测机构安全性要求检测，检测结果均为符合。</w:t>
            </w:r>
          </w:p>
          <w:p w14:paraId="35EC75C1">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▲（6）、仪器柜重金属含量中的可溶性铅、可溶性镉、可溶性铬、可溶性汞；满足第三方检测机构检测，检测结果均为符合。</w:t>
            </w:r>
          </w:p>
          <w:p w14:paraId="739B860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响应文件中需提供国家认可的检测机构出具的检测报告（复印件盖供应商公章），且报告中须反应台面以上（1）～（6）项技术指标。</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6FDDCAF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5E0B66A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r>
      <w:tr w14:paraId="7C449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0" w:hRule="atLeast"/>
        </w:trPr>
        <w:tc>
          <w:tcPr>
            <w:tcW w:w="303" w:type="pct"/>
            <w:tcBorders>
              <w:top w:val="single" w:color="000000" w:sz="4" w:space="0"/>
              <w:left w:val="single" w:color="000000" w:sz="4" w:space="0"/>
              <w:bottom w:val="single" w:color="000000" w:sz="4" w:space="0"/>
              <w:right w:val="single" w:color="000000" w:sz="4" w:space="0"/>
            </w:tcBorders>
            <w:noWrap/>
            <w:vAlign w:val="center"/>
          </w:tcPr>
          <w:p w14:paraId="3081F01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c>
          <w:tcPr>
            <w:tcW w:w="524" w:type="pct"/>
            <w:tcBorders>
              <w:top w:val="single" w:color="000000" w:sz="4" w:space="0"/>
              <w:left w:val="single" w:color="000000" w:sz="4" w:space="0"/>
              <w:bottom w:val="single" w:color="000000" w:sz="4" w:space="0"/>
              <w:right w:val="single" w:color="000000" w:sz="4" w:space="0"/>
            </w:tcBorders>
            <w:noWrap w:val="0"/>
            <w:vAlign w:val="center"/>
          </w:tcPr>
          <w:p w14:paraId="0950006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大仪器柜</w:t>
            </w:r>
          </w:p>
        </w:tc>
        <w:tc>
          <w:tcPr>
            <w:tcW w:w="3524" w:type="pct"/>
            <w:tcBorders>
              <w:top w:val="single" w:color="000000" w:sz="4" w:space="0"/>
              <w:left w:val="single" w:color="000000" w:sz="4" w:space="0"/>
              <w:bottom w:val="single" w:color="000000" w:sz="4" w:space="0"/>
              <w:right w:val="nil"/>
            </w:tcBorders>
            <w:noWrap w:val="0"/>
            <w:vAlign w:val="center"/>
          </w:tcPr>
          <w:p w14:paraId="1C8E72A3">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规格：≥长1350mm×宽500mm×高2000mm</w:t>
            </w:r>
          </w:p>
          <w:p w14:paraId="2827E117">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柜体框架：采用模具成型的专用铝合金方管制作，通过ABS专用连接件组装而成，保证连接牢固。前立柱、前横梁外径为≥27mm×35mm（误差±1mm），后立柱、后横梁外径为≥35mm×35mm（误差±1mm），铝合金管材的壁厚≥1.0mm（误差±0.15mm）。铝合金型材带凹槽，凹槽的宽度应与柜体衬板相匹配，凹槽的深度应足够，保证柜体衬板与铝型材之间接缝严密，无晃动现象，不发生脱落。铝合金型材表面需经静电粉沫喷涂处理，整体耐腐蚀、防火、防潮、稳固耐用。</w:t>
            </w:r>
          </w:p>
          <w:p w14:paraId="15894EFD">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柜体衬板：用厚度为≥16mm、彩色和灰白色双面三聚氰胺板（即双饰面板）作为台体衬板，其内芯的基材为聚木屑纤维板，外漏截面采用≥1.0mm厚塑制优质封边条机械封边；甲醛释放限量指标应符合GB18580－2017的要求。</w:t>
            </w:r>
          </w:p>
          <w:p w14:paraId="12DD58ED">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3.柜门：上部为专用木框对开玻璃门，下部为对开木门。柜门采用优质不锈钢定位铰链，安全、牢固、防腐、耐用。</w:t>
            </w:r>
          </w:p>
          <w:p w14:paraId="5A935B0F">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隔板：上柜设置2块活动隔板，下柜设置1块固定隔板。隔板所用的板材与柜体板材相同，厚度为≥16mm，隔板的一条长边采用“［”型槽板包边（槽板材料为冷轧钢板，其尺寸为≥30mm×19mm，壁厚≥1.0mm，槽宽与隔板厚度匹配，表面需进行喷塑处理），槽板与隔板用万能胶固定。</w:t>
            </w:r>
          </w:p>
          <w:p w14:paraId="0588FDC8">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5.高度升降条：上部柜体内侧均应安装高度升降条（1.0mm冷轧钢板制作），每侧2根，带活动支撑座（位置可调）。高度升降条和支撑座表面应采用纯环氧树脂静电喷涂高温固化，具有较高耐蚀性能。</w:t>
            </w:r>
          </w:p>
          <w:p w14:paraId="481399F1">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6.支脚：采用Φ≥8mm的螺杆与ABS工程塑料一次注塑成型的脚垫，高度可调节。</w:t>
            </w:r>
          </w:p>
          <w:p w14:paraId="544B8321">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▲（1）、仪器柜外形尺寸偏差，翘曲度0.3mm，平整度0.03mm，临边垂直度，位度差0.2mm，分缝0.2mm，地脚平稳性；满足第三方检测机构外形尺寸偏差及形状位置公差检测，检测结果均为符合。</w:t>
            </w:r>
          </w:p>
          <w:p w14:paraId="14D42FBD">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仪器柜冲压件应无脱层、裂缝，喷涂层应无漏喷、锈蚀和脱色、掉色现象，涂层应光滑均匀，色泽一致，应无流挂、疙瘩、皱皮、飞漆等缺陷；满足第三方检测机构木工及外观要求检测，检测结果均为符合。</w:t>
            </w:r>
          </w:p>
          <w:p w14:paraId="10C8079F">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▲（3）、仪器柜与人体接触的零部件不应有毛刺、刃口、尖锐的棱角和端头；满足第三方检测机构安全性要求检测，检测结果均为符合。</w:t>
            </w:r>
          </w:p>
          <w:p w14:paraId="2A63A4F3">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▲（4）、仪器柜金属喷塑涂层硬度4H，耐腐蚀9级，应无剥落、裂纹、皱纹；满足第三方检测机构金属喷塑涂层理化性能检测，检测结果均为符合。</w:t>
            </w:r>
          </w:p>
          <w:p w14:paraId="5C675A32">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仪器柜整体的力学性能通过搁板稳定性，搁板弯曲试验，搁板支承件试验，拉门强度试验，拉门水平静载荷试验，拉门猛开试验，拉门耐久性试验，过载试验，主体结构和底架的强度试验，空载稳定性试验，活动部件垂直加载稳定性试验；满足第三方检测机构安全性要求检测，检测结果均为符合。</w:t>
            </w:r>
          </w:p>
          <w:p w14:paraId="6CE4B1E3">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▲（6）、仪器柜重金属含量中的可溶性铅、可溶性镉、可溶性铬、可溶性汞；满足第三方检测机构检测，检测结果均为符合。</w:t>
            </w:r>
          </w:p>
          <w:p w14:paraId="6706BD0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响应文件中需提供国家认可的检测机构出具的检测报告（复印件盖供应商公章），且报告中须反应台面以上（1）～（6）项技术指标。</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23E29CA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51B5D80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r>
      <w:tr w14:paraId="70DEC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03" w:type="pct"/>
            <w:tcBorders>
              <w:top w:val="single" w:color="000000" w:sz="4" w:space="0"/>
              <w:left w:val="single" w:color="000000" w:sz="4" w:space="0"/>
              <w:bottom w:val="single" w:color="000000" w:sz="4" w:space="0"/>
              <w:right w:val="single" w:color="000000" w:sz="4" w:space="0"/>
            </w:tcBorders>
            <w:noWrap/>
            <w:vAlign w:val="center"/>
          </w:tcPr>
          <w:p w14:paraId="4CD1C25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c>
          <w:tcPr>
            <w:tcW w:w="524" w:type="pct"/>
            <w:tcBorders>
              <w:top w:val="single" w:color="000000" w:sz="4" w:space="0"/>
              <w:left w:val="single" w:color="000000" w:sz="4" w:space="0"/>
              <w:bottom w:val="single" w:color="000000" w:sz="4" w:space="0"/>
              <w:right w:val="single" w:color="000000" w:sz="4" w:space="0"/>
            </w:tcBorders>
            <w:noWrap w:val="0"/>
            <w:vAlign w:val="center"/>
          </w:tcPr>
          <w:p w14:paraId="13A1A87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灭火器</w:t>
            </w:r>
          </w:p>
        </w:tc>
        <w:tc>
          <w:tcPr>
            <w:tcW w:w="6659" w:type="dxa"/>
            <w:tcBorders>
              <w:top w:val="single" w:color="000000" w:sz="4" w:space="0"/>
              <w:left w:val="single" w:color="000000" w:sz="4" w:space="0"/>
              <w:bottom w:val="single" w:color="000000" w:sz="4" w:space="0"/>
              <w:right w:val="single" w:color="000000" w:sz="4" w:space="0"/>
            </w:tcBorders>
            <w:noWrap w:val="0"/>
            <w:vAlign w:val="center"/>
          </w:tcPr>
          <w:p w14:paraId="7CAD539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商品剂量:4KG 喷射距离:≥3.5M灭火级别: 1A/21B使用温度: -20°C~+50°C 瓶身材质:钢材</w:t>
            </w:r>
          </w:p>
        </w:tc>
        <w:tc>
          <w:tcPr>
            <w:tcW w:w="333" w:type="pct"/>
            <w:tcBorders>
              <w:top w:val="single" w:color="000000" w:sz="4" w:space="0"/>
              <w:left w:val="single" w:color="000000" w:sz="4" w:space="0"/>
              <w:bottom w:val="single" w:color="000000" w:sz="4" w:space="0"/>
              <w:right w:val="single" w:color="000000" w:sz="4" w:space="0"/>
            </w:tcBorders>
            <w:noWrap/>
            <w:vAlign w:val="center"/>
          </w:tcPr>
          <w:p w14:paraId="65B7E2A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14" w:type="pct"/>
            <w:tcBorders>
              <w:top w:val="single" w:color="000000" w:sz="4" w:space="0"/>
              <w:left w:val="single" w:color="000000" w:sz="4" w:space="0"/>
              <w:bottom w:val="single" w:color="000000" w:sz="4" w:space="0"/>
              <w:right w:val="single" w:color="000000" w:sz="4" w:space="0"/>
            </w:tcBorders>
            <w:noWrap/>
            <w:vAlign w:val="center"/>
          </w:tcPr>
          <w:p w14:paraId="362B832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23F8C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303" w:type="pct"/>
            <w:tcBorders>
              <w:top w:val="single" w:color="000000" w:sz="4" w:space="0"/>
              <w:left w:val="single" w:color="000000" w:sz="4" w:space="0"/>
              <w:bottom w:val="single" w:color="000000" w:sz="4" w:space="0"/>
              <w:right w:val="single" w:color="000000" w:sz="4" w:space="0"/>
            </w:tcBorders>
            <w:noWrap/>
            <w:vAlign w:val="center"/>
          </w:tcPr>
          <w:p w14:paraId="4B21220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524" w:type="pct"/>
            <w:tcBorders>
              <w:top w:val="single" w:color="000000" w:sz="4" w:space="0"/>
              <w:left w:val="single" w:color="000000" w:sz="4" w:space="0"/>
              <w:bottom w:val="single" w:color="000000" w:sz="4" w:space="0"/>
              <w:right w:val="single" w:color="000000" w:sz="4" w:space="0"/>
            </w:tcBorders>
            <w:noWrap w:val="0"/>
            <w:vAlign w:val="center"/>
          </w:tcPr>
          <w:p w14:paraId="24FB30A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水基灭火器</w:t>
            </w:r>
          </w:p>
        </w:tc>
        <w:tc>
          <w:tcPr>
            <w:tcW w:w="6659" w:type="dxa"/>
            <w:tcBorders>
              <w:top w:val="single" w:color="000000" w:sz="4" w:space="0"/>
              <w:left w:val="single" w:color="000000" w:sz="4" w:space="0"/>
              <w:bottom w:val="single" w:color="000000" w:sz="4" w:space="0"/>
              <w:right w:val="single" w:color="000000" w:sz="4" w:space="0"/>
            </w:tcBorders>
            <w:noWrap w:val="0"/>
            <w:vAlign w:val="center"/>
          </w:tcPr>
          <w:p w14:paraId="00E0056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商品剂量:3L 喷射距离:≥3.5M灭火级别: 1A/55B E 使用温度: 士5°C~+55°C 瓶身材质:钢材</w:t>
            </w:r>
          </w:p>
        </w:tc>
        <w:tc>
          <w:tcPr>
            <w:tcW w:w="333" w:type="pct"/>
            <w:tcBorders>
              <w:top w:val="single" w:color="000000" w:sz="4" w:space="0"/>
              <w:left w:val="single" w:color="000000" w:sz="4" w:space="0"/>
              <w:bottom w:val="single" w:color="000000" w:sz="4" w:space="0"/>
              <w:right w:val="single" w:color="000000" w:sz="4" w:space="0"/>
            </w:tcBorders>
            <w:noWrap/>
            <w:vAlign w:val="center"/>
          </w:tcPr>
          <w:p w14:paraId="569A926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14" w:type="pct"/>
            <w:tcBorders>
              <w:top w:val="single" w:color="000000" w:sz="4" w:space="0"/>
              <w:left w:val="single" w:color="000000" w:sz="4" w:space="0"/>
              <w:bottom w:val="single" w:color="000000" w:sz="4" w:space="0"/>
              <w:right w:val="single" w:color="000000" w:sz="4" w:space="0"/>
            </w:tcBorders>
            <w:noWrap/>
            <w:vAlign w:val="center"/>
          </w:tcPr>
          <w:p w14:paraId="6F2BF89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5AD18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03" w:type="pct"/>
            <w:tcBorders>
              <w:top w:val="single" w:color="000000" w:sz="4" w:space="0"/>
              <w:left w:val="single" w:color="000000" w:sz="4" w:space="0"/>
              <w:bottom w:val="single" w:color="000000" w:sz="4" w:space="0"/>
              <w:right w:val="single" w:color="000000" w:sz="4" w:space="0"/>
            </w:tcBorders>
            <w:noWrap/>
            <w:vAlign w:val="center"/>
          </w:tcPr>
          <w:p w14:paraId="14A5095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w:t>
            </w:r>
          </w:p>
        </w:tc>
        <w:tc>
          <w:tcPr>
            <w:tcW w:w="524" w:type="pct"/>
            <w:tcBorders>
              <w:top w:val="single" w:color="000000" w:sz="4" w:space="0"/>
              <w:left w:val="single" w:color="000000" w:sz="4" w:space="0"/>
              <w:bottom w:val="single" w:color="000000" w:sz="4" w:space="0"/>
              <w:right w:val="single" w:color="000000" w:sz="4" w:space="0"/>
            </w:tcBorders>
            <w:noWrap w:val="0"/>
            <w:vAlign w:val="center"/>
          </w:tcPr>
          <w:p w14:paraId="4273E0A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消防箱</w:t>
            </w:r>
          </w:p>
        </w:tc>
        <w:tc>
          <w:tcPr>
            <w:tcW w:w="6659" w:type="dxa"/>
            <w:tcBorders>
              <w:top w:val="single" w:color="000000" w:sz="4" w:space="0"/>
              <w:left w:val="single" w:color="000000" w:sz="4" w:space="0"/>
              <w:bottom w:val="single" w:color="000000" w:sz="4" w:space="0"/>
              <w:right w:val="single" w:color="000000" w:sz="4" w:space="0"/>
            </w:tcBorders>
            <w:noWrap w:val="0"/>
            <w:vAlign w:val="center"/>
          </w:tcPr>
          <w:p w14:paraId="27B8438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规格:≥长520m×宽340m×高190mm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箱体采用铁制材质，厚度士0.4MM，表面采用防锈高光漆，双翻盖设计</w:t>
            </w:r>
          </w:p>
        </w:tc>
        <w:tc>
          <w:tcPr>
            <w:tcW w:w="333" w:type="pct"/>
            <w:tcBorders>
              <w:top w:val="single" w:color="000000" w:sz="4" w:space="0"/>
              <w:left w:val="single" w:color="000000" w:sz="4" w:space="0"/>
              <w:bottom w:val="single" w:color="000000" w:sz="4" w:space="0"/>
              <w:right w:val="single" w:color="000000" w:sz="4" w:space="0"/>
            </w:tcBorders>
            <w:noWrap/>
            <w:vAlign w:val="center"/>
          </w:tcPr>
          <w:p w14:paraId="3C95A49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14" w:type="pct"/>
            <w:tcBorders>
              <w:top w:val="single" w:color="000000" w:sz="4" w:space="0"/>
              <w:left w:val="single" w:color="000000" w:sz="4" w:space="0"/>
              <w:bottom w:val="single" w:color="000000" w:sz="4" w:space="0"/>
              <w:right w:val="single" w:color="000000" w:sz="4" w:space="0"/>
            </w:tcBorders>
            <w:noWrap/>
            <w:vAlign w:val="center"/>
          </w:tcPr>
          <w:p w14:paraId="4498E3C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55691F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03" w:type="pct"/>
            <w:tcBorders>
              <w:top w:val="single" w:color="000000" w:sz="4" w:space="0"/>
              <w:left w:val="single" w:color="000000" w:sz="4" w:space="0"/>
              <w:bottom w:val="single" w:color="000000" w:sz="4" w:space="0"/>
              <w:right w:val="single" w:color="000000" w:sz="4" w:space="0"/>
            </w:tcBorders>
            <w:noWrap/>
            <w:vAlign w:val="center"/>
          </w:tcPr>
          <w:p w14:paraId="3281A40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w:t>
            </w:r>
          </w:p>
        </w:tc>
        <w:tc>
          <w:tcPr>
            <w:tcW w:w="524" w:type="pct"/>
            <w:tcBorders>
              <w:top w:val="single" w:color="000000" w:sz="4" w:space="0"/>
              <w:left w:val="single" w:color="000000" w:sz="4" w:space="0"/>
              <w:bottom w:val="single" w:color="000000" w:sz="4" w:space="0"/>
              <w:right w:val="single" w:color="000000" w:sz="4" w:space="0"/>
            </w:tcBorders>
            <w:noWrap w:val="0"/>
            <w:vAlign w:val="center"/>
          </w:tcPr>
          <w:p w14:paraId="40A88E8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沙箱</w:t>
            </w:r>
          </w:p>
        </w:tc>
        <w:tc>
          <w:tcPr>
            <w:tcW w:w="6659" w:type="dxa"/>
            <w:tcBorders>
              <w:top w:val="single" w:color="000000" w:sz="4" w:space="0"/>
              <w:left w:val="single" w:color="000000" w:sz="4" w:space="0"/>
              <w:bottom w:val="single" w:color="000000" w:sz="4" w:space="0"/>
              <w:right w:val="single" w:color="000000" w:sz="4" w:space="0"/>
            </w:tcBorders>
            <w:noWrap w:val="0"/>
            <w:vAlign w:val="center"/>
          </w:tcPr>
          <w:p w14:paraId="6C8AF29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规格:≥长600mm×宽400mm×高400mm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箱体采用冷轧钢板制作，表面采用静电喷塑，平整光滑及附着力强。配备消防沙</w:t>
            </w:r>
          </w:p>
        </w:tc>
        <w:tc>
          <w:tcPr>
            <w:tcW w:w="333" w:type="pct"/>
            <w:tcBorders>
              <w:top w:val="single" w:color="000000" w:sz="4" w:space="0"/>
              <w:left w:val="single" w:color="000000" w:sz="4" w:space="0"/>
              <w:bottom w:val="single" w:color="000000" w:sz="4" w:space="0"/>
              <w:right w:val="single" w:color="000000" w:sz="4" w:space="0"/>
            </w:tcBorders>
            <w:noWrap/>
            <w:vAlign w:val="center"/>
          </w:tcPr>
          <w:p w14:paraId="1D1842A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14" w:type="pct"/>
            <w:tcBorders>
              <w:top w:val="single" w:color="000000" w:sz="4" w:space="0"/>
              <w:left w:val="single" w:color="000000" w:sz="4" w:space="0"/>
              <w:bottom w:val="single" w:color="000000" w:sz="4" w:space="0"/>
              <w:right w:val="nil"/>
            </w:tcBorders>
            <w:noWrap w:val="0"/>
            <w:vAlign w:val="center"/>
          </w:tcPr>
          <w:p w14:paraId="46AEA0D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bl>
    <w:p w14:paraId="52E68398">
      <w:pPr>
        <w:pStyle w:val="2"/>
        <w:rPr>
          <w:rFonts w:hint="eastAsia" w:ascii="仿宋" w:hAnsi="仿宋" w:eastAsia="仿宋" w:cs="仿宋"/>
          <w:b/>
          <w:bCs/>
          <w:sz w:val="24"/>
          <w:szCs w:val="24"/>
          <w:highlight w:val="none"/>
          <w:lang w:val="en-US" w:eastAsia="zh-CN"/>
        </w:rPr>
      </w:pPr>
    </w:p>
    <w:p w14:paraId="5260EF60">
      <w:pPr>
        <w:pStyle w:val="2"/>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3、生物吊装实验室（56座）</w:t>
      </w:r>
    </w:p>
    <w:tbl>
      <w:tblPr>
        <w:tblStyle w:val="6"/>
        <w:tblW w:w="499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6"/>
        <w:gridCol w:w="982"/>
        <w:gridCol w:w="6706"/>
        <w:gridCol w:w="593"/>
        <w:gridCol w:w="591"/>
      </w:tblGrid>
      <w:tr w14:paraId="03CAF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31DBE28E">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序号</w:t>
            </w:r>
          </w:p>
        </w:tc>
        <w:tc>
          <w:tcPr>
            <w:tcW w:w="520" w:type="pct"/>
            <w:tcBorders>
              <w:top w:val="single" w:color="000000" w:sz="4" w:space="0"/>
              <w:left w:val="single" w:color="000000" w:sz="4" w:space="0"/>
              <w:bottom w:val="single" w:color="000000" w:sz="4" w:space="0"/>
              <w:right w:val="single" w:color="000000" w:sz="4" w:space="0"/>
            </w:tcBorders>
            <w:noWrap/>
            <w:vAlign w:val="center"/>
          </w:tcPr>
          <w:p w14:paraId="6D6C73F5">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产品名称</w:t>
            </w:r>
          </w:p>
        </w:tc>
        <w:tc>
          <w:tcPr>
            <w:tcW w:w="3549" w:type="pct"/>
            <w:tcBorders>
              <w:top w:val="single" w:color="000000" w:sz="4" w:space="0"/>
              <w:left w:val="single" w:color="000000" w:sz="4" w:space="0"/>
              <w:bottom w:val="single" w:color="000000" w:sz="4" w:space="0"/>
              <w:right w:val="single" w:color="000000" w:sz="4" w:space="0"/>
            </w:tcBorders>
            <w:noWrap w:val="0"/>
            <w:vAlign w:val="center"/>
          </w:tcPr>
          <w:p w14:paraId="52DAA402">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参数</w:t>
            </w:r>
          </w:p>
        </w:tc>
        <w:tc>
          <w:tcPr>
            <w:tcW w:w="314" w:type="pct"/>
            <w:tcBorders>
              <w:top w:val="single" w:color="000000" w:sz="4" w:space="0"/>
              <w:left w:val="single" w:color="000000" w:sz="4" w:space="0"/>
              <w:bottom w:val="single" w:color="000000" w:sz="4" w:space="0"/>
              <w:right w:val="single" w:color="000000" w:sz="4" w:space="0"/>
            </w:tcBorders>
            <w:noWrap/>
            <w:vAlign w:val="center"/>
          </w:tcPr>
          <w:p w14:paraId="2635FF7A">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数量</w:t>
            </w:r>
          </w:p>
        </w:tc>
        <w:tc>
          <w:tcPr>
            <w:tcW w:w="310" w:type="pct"/>
            <w:tcBorders>
              <w:top w:val="single" w:color="000000" w:sz="4" w:space="0"/>
              <w:left w:val="single" w:color="000000" w:sz="4" w:space="0"/>
              <w:bottom w:val="single" w:color="000000" w:sz="4" w:space="0"/>
              <w:right w:val="single" w:color="000000" w:sz="4" w:space="0"/>
            </w:tcBorders>
            <w:noWrap/>
            <w:vAlign w:val="center"/>
          </w:tcPr>
          <w:p w14:paraId="23FB3D5A">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单位</w:t>
            </w:r>
          </w:p>
        </w:tc>
      </w:tr>
      <w:tr w14:paraId="7E289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14:paraId="5184AADC">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基础实验设备</w:t>
            </w:r>
          </w:p>
        </w:tc>
      </w:tr>
      <w:tr w14:paraId="24FAA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4FE5634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199D1E5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教师演示台</w:t>
            </w:r>
          </w:p>
        </w:tc>
        <w:tc>
          <w:tcPr>
            <w:tcW w:w="3549" w:type="pct"/>
            <w:tcBorders>
              <w:top w:val="single" w:color="000000" w:sz="4" w:space="0"/>
              <w:left w:val="single" w:color="000000" w:sz="4" w:space="0"/>
              <w:bottom w:val="single" w:color="000000" w:sz="4" w:space="0"/>
              <w:right w:val="single" w:color="000000" w:sz="4" w:space="0"/>
            </w:tcBorders>
            <w:noWrap w:val="0"/>
            <w:vAlign w:val="center"/>
          </w:tcPr>
          <w:p w14:paraId="492FA5B4">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规格：≥长2800mm×宽700mm×高850mm</w:t>
            </w:r>
          </w:p>
          <w:p w14:paraId="142E1467">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 台面采用≥12.7mm厚实芯理化板，外露边沿修圆弧，整体耐高温、耐酸碱、耐腐蚀、不吸水、防火、阻燃、防静电、抗老化、无毒、无褪色、材质坚硬，牢固可靠。</w:t>
            </w:r>
          </w:p>
          <w:p w14:paraId="04424CBE">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2.桌柜采用≥16mm厚聚木屑三聚氰胺双面板。</w:t>
            </w:r>
          </w:p>
          <w:p w14:paraId="34F1B290">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3.桌架采用≥40mm×60mm×1.2mm方钢管。</w:t>
            </w:r>
          </w:p>
          <w:p w14:paraId="68AF142C">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4.五金配件</w:t>
            </w:r>
          </w:p>
          <w:p w14:paraId="44A4F920">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1）拉手：采用一字型铝合金拉手。</w:t>
            </w:r>
          </w:p>
          <w:p w14:paraId="42D8F778">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2）铰链：采用铰链，最大开启角度 110°，开启 15º以内具有自闭功能。耐腐蚀、承重、经久耐用。</w:t>
            </w:r>
          </w:p>
          <w:p w14:paraId="5B96BAE5">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3）导轨：采用超静音三节滚珠滑轨。</w:t>
            </w:r>
          </w:p>
          <w:p w14:paraId="66D49B07">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4）地脚：ABS工程塑料可调脚，螺杆≥Φ10mm，具有减缓冲击力功能。</w:t>
            </w:r>
          </w:p>
          <w:p w14:paraId="0517ECC3">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结构：</w:t>
            </w:r>
          </w:p>
          <w:p w14:paraId="6DF85969">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1.钢木左右结构；</w:t>
            </w:r>
          </w:p>
          <w:p w14:paraId="5688F7E0">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2.钢架采用“工”字形结构，前面放置木柜，木柜下设钢管托撑，并有M8mm螺丝顶固，带可调地脚；</w:t>
            </w:r>
          </w:p>
          <w:p w14:paraId="18EBF71B">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3.桌柜上设抽屉，下设储物柜；水槽柜设检修门；</w:t>
            </w:r>
          </w:p>
          <w:p w14:paraId="42B852F2">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工艺：</w:t>
            </w:r>
          </w:p>
          <w:p w14:paraId="1F168FA3">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 板材截面采用pvc封边条机械高温封边；</w:t>
            </w:r>
          </w:p>
          <w:p w14:paraId="105352A1">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2.钢材采用CO₂保护焊焊接，钢材表面经喷砂抛丸去油除锈，静电喷涂；</w:t>
            </w:r>
          </w:p>
          <w:p w14:paraId="24F85EFE">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性能：1. 台面双面膜耐腐蚀实芯理化板，耐酸、耐碱、耐高温，坚固耐用，防潮、无细孔、不膨胀、不龟裂、不变形、不导电、便于维护及具有良好的承重性；</w:t>
            </w:r>
          </w:p>
          <w:p w14:paraId="14F09BB5">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3.桌柜离地150mm左右；</w:t>
            </w:r>
          </w:p>
          <w:p w14:paraId="6187C235">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4.水池柜：演示台一侧应设置水池柜，安放高密度黑色PPR一体化水槽，其内腔尺寸（长宽高）≥480mm×380mm×280mm。并设置活动检修门，便于进行维护。</w:t>
            </w:r>
          </w:p>
          <w:p w14:paraId="4F86781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5.水嘴：喷塑三联式高位水嘴、陶瓷芯片水阀水槽。</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3B7CB5C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14:paraId="2C49DB1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张</w:t>
            </w:r>
          </w:p>
        </w:tc>
      </w:tr>
      <w:tr w14:paraId="4015A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0A4F189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33A8092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生物实验室总控电源</w:t>
            </w:r>
          </w:p>
        </w:tc>
        <w:tc>
          <w:tcPr>
            <w:tcW w:w="3549" w:type="pct"/>
            <w:tcBorders>
              <w:top w:val="single" w:color="000000" w:sz="4" w:space="0"/>
              <w:left w:val="single" w:color="000000" w:sz="4" w:space="0"/>
              <w:bottom w:val="single" w:color="000000" w:sz="4" w:space="0"/>
              <w:right w:val="single" w:color="000000" w:sz="4" w:space="0"/>
            </w:tcBorders>
            <w:noWrap w:val="0"/>
            <w:vAlign w:val="center"/>
          </w:tcPr>
          <w:p w14:paraId="3B986BF0">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产品外壳采用镀锌板折弯焊接成型，表面喷塑。</w:t>
            </w:r>
          </w:p>
          <w:p w14:paraId="783F151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1.电源面板表面贴面膜，设有漏电总开关、交流220V五孔带防护插座。</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68A1C10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noWrap/>
            <w:vAlign w:val="center"/>
          </w:tcPr>
          <w:p w14:paraId="42852A7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3A874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3338DB2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457CF65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辅助光源</w:t>
            </w:r>
          </w:p>
        </w:tc>
        <w:tc>
          <w:tcPr>
            <w:tcW w:w="3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97AD59">
            <w:pPr>
              <w:keepNext w:val="0"/>
              <w:keepLines w:val="0"/>
              <w:widowControl/>
              <w:suppressLineNumbers w:val="0"/>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规格：8W</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1.材质：优秀不锈钢材质，灯珠：采用LED灯珠</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2.发光颜色：正白色、光学平板分光片，令光源更加均匀柔和，提高光能使用率亮度照明。</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3.投射角度：180度</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77672E8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29</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14:paraId="7536B8A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r>
      <w:tr w14:paraId="6E700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240891A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791027D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学生实验桌</w:t>
            </w:r>
          </w:p>
        </w:tc>
        <w:tc>
          <w:tcPr>
            <w:tcW w:w="3549" w:type="pct"/>
            <w:tcBorders>
              <w:top w:val="single" w:color="000000" w:sz="4" w:space="0"/>
              <w:left w:val="single" w:color="000000" w:sz="4" w:space="0"/>
              <w:bottom w:val="single" w:color="000000" w:sz="4" w:space="0"/>
              <w:right w:val="single" w:color="000000" w:sz="4" w:space="0"/>
            </w:tcBorders>
            <w:noWrap w:val="0"/>
            <w:vAlign w:val="center"/>
          </w:tcPr>
          <w:p w14:paraId="0D4CCC77">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规格：≥长1200mm×宽600mm×高780mm </w:t>
            </w:r>
          </w:p>
          <w:p w14:paraId="2BC2D877">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1.台面：台面采用≥12mm 双面膜理化板台面，学生位置设圆弧造型 两侧设阻水边。台面后方卡入学生桌铝型槽内。耐酸、耐碱、耐高温，坚固耐用，防潮、无细孔、不膨胀、不龟裂、不变形、不导电、便于维护及具有良好的承重性能。</w:t>
            </w:r>
          </w:p>
          <w:p w14:paraId="1177CD27">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2.结构：新型钢塑结构，符合人体工程学设计。专用书包斗采用 ABS 工程塑料一次性注塑成型结合，内净尺寸≥365mm×280mm×120mm。镂空设计，底部设有排水孔，便于清理，不屯垃圾，中间设挂凳卡。</w:t>
            </w:r>
          </w:p>
          <w:p w14:paraId="41DB9ED5">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3.桌架：桌腿采用≥90mm×60mm×2mm 椭圆管模具一体成型为”Y”字型（不得二次焊接），下开口采用磨具成型改性工程塑料材料装饰，上端连接件采用铸铝一体成型，上框采用 20mm×30mm矩形管焊接成型，并用高强度内六角螺丝连接，便于组装及拆卸，外观流线形设计，简洁美观，易碰撞处全部采用倒圆角，产品款式要求整体设计美观、合理、安全、牢固、耐用。金属表面经静电粉沫喷涂处理。要做到承重性能强和耐酸碱、耐腐蚀。</w:t>
            </w:r>
          </w:p>
          <w:p w14:paraId="29A5B30F">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4.挡水板：后挡水板采用≥115mm×14mm×2mm 厚一体成型铝合金，左右堵头连接件采用ABS模具一体成型，固定于台架不易脱落，便于组装及拆卸，外观流线形设计，简洁美观,易碰撞处全部采用倒圆角，产品款式要求整体设计美观、合理、安全牢固、耐用。金属表面经静电粉沫喷涂处理。要做到承重性能强和耐酸碱、耐腐蚀。</w:t>
            </w:r>
          </w:p>
          <w:p w14:paraId="76B53460">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5.桌脚：采用一体注塑模具成型，结构美观牢固，并设有防滑调整脚，同时可以与地面固定，防止桌体移动。采用专用注塑模具件装饰。</w:t>
            </w:r>
          </w:p>
          <w:p w14:paraId="08D425A8">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为保证产品质量以及从环保角度保障实验室人员健康，符合以下技术参数及要求：</w:t>
            </w:r>
          </w:p>
          <w:p w14:paraId="68432E01">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（1）、台面宽度，净操作面深度，台面高度，操作台高度，操作台下净空高，操作台下净空宽；满足第三方检测机构主要尺寸检测，检测结果均为符合。</w:t>
            </w:r>
          </w:p>
          <w:p w14:paraId="48C835C8">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（2）、外形尺寸偏差，台面翘曲度，台面平整度，底脚平稳性；满足第三方检测机构外形尺寸偏差及形状位置公差测检测，检测结果均为符合。</w:t>
            </w:r>
          </w:p>
          <w:p w14:paraId="4D18C4F7">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操作台面的裂缝和渗透，板件或部件的毛刺和光滑，封边或包边不应出现脱胶，贴面应严密和平整，零部件结合的严密和牢固，配件安装的无松动，金属件应闭口和焊接无虚焊，焊疤表面波纹应均匀、高低之差应不大于1mm，金属件涂层应无漏喷、锈蚀和脱色、掉色现象，涂层应光滑均匀、色泽一致、应无流挂、疙瘩、皱皮、飞漆等缺陷；满足第三方检测机构检测，检测结果均为符合。</w:t>
            </w:r>
          </w:p>
          <w:p w14:paraId="37C5D798">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（4）、台面磨耗值28mg/100r，表面情况应无露底现象，无整圈连续划痕、无开裂，耐龟裂性0级，无裂纹、鼓泡、起皱和无明显变色，无凸起、龟裂和 明显变色，耐干热1级，冲击凹坑直径7.5mm，化学实验台面抗化学试剂符合要求，耐高温，耐污染1级；满足第三方检测机构检测，检测结果均为符合。</w:t>
            </w:r>
          </w:p>
          <w:p w14:paraId="698BA634">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（5）、金属喷(漆)塑涂层硬度3H，冲击强度符合要求，耐腐蚀10级；满足第三方检测机构检测，检测结果均为符合。</w:t>
            </w:r>
          </w:p>
          <w:p w14:paraId="5A31274A">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产品整体的力学性能经过水平静载荷试验，垂直静载荷试验，持续垂直静载荷，独立操作台水平冲击稳定性试验，独立操作台垂直加载稳定性试验，水平耐久性试验，垂直冲击试验；满足第三方检测机构检测，检测结果均为符合。</w:t>
            </w:r>
          </w:p>
          <w:p w14:paraId="4EF3BE4F">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（7）、甲醛释放量：≤0.2mg/L；满足第三方检测机构检测，检测结果均为符合。</w:t>
            </w:r>
          </w:p>
          <w:p w14:paraId="699C7DA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（8）、重金属含量中的可溶性铅、可溶性镉、可溶性铬、可溶性汞；满足第三方检测机构检测，检测结果均为符合。</w:t>
            </w:r>
          </w:p>
        </w:tc>
        <w:tc>
          <w:tcPr>
            <w:tcW w:w="314" w:type="pct"/>
            <w:tcBorders>
              <w:top w:val="single" w:color="000000" w:sz="4" w:space="0"/>
              <w:left w:val="single" w:color="000000" w:sz="4" w:space="0"/>
              <w:bottom w:val="single" w:color="000000" w:sz="4" w:space="0"/>
              <w:right w:val="single" w:color="000000" w:sz="4" w:space="0"/>
            </w:tcBorders>
            <w:noWrap/>
            <w:vAlign w:val="center"/>
          </w:tcPr>
          <w:p w14:paraId="71F491F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c>
          <w:tcPr>
            <w:tcW w:w="310" w:type="pct"/>
            <w:tcBorders>
              <w:top w:val="single" w:color="000000" w:sz="4" w:space="0"/>
              <w:left w:val="single" w:color="000000" w:sz="4" w:space="0"/>
              <w:bottom w:val="single" w:color="000000" w:sz="4" w:space="0"/>
              <w:right w:val="single" w:color="000000" w:sz="4" w:space="0"/>
            </w:tcBorders>
            <w:noWrap/>
            <w:vAlign w:val="center"/>
          </w:tcPr>
          <w:p w14:paraId="7BD2E54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张</w:t>
            </w:r>
          </w:p>
        </w:tc>
      </w:tr>
      <w:tr w14:paraId="04F42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38CD770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429FB51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实验凳</w:t>
            </w:r>
          </w:p>
        </w:tc>
        <w:tc>
          <w:tcPr>
            <w:tcW w:w="3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E1BE10">
            <w:pPr>
              <w:keepNext w:val="0"/>
              <w:keepLines w:val="0"/>
              <w:widowControl/>
              <w:suppressLineNumbers w:val="0"/>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规格：≥Φ315mm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1.螺旋式升降。</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2.凳脚材质：4个凳脚采用≥17mm×34mm×1.2mm无缝钢管模具一次弯管成型。二氧化碳保护焊焊接，结构牢固，金属表面经静电粉沫喷涂处理。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3.凳面材质：采用聚丙烯共聚级注塑,厚5mm。表面细纹咬花，防滑不发光。凳面底部镶嵌4枚铜质螺纹，采用螺丝与圆型托盘固定。</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4.脚垫材质：采用PP加耐磨纤维质塑料，实心倒勾式一体射出成型凳面与凳脚留有一定的空间便于凳子挂在挂凳扣上。方便教室的打扫。</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（1）、实验凳座高430mm，满足第三方检测机构主要尺寸及偏差检测，检测结果均为符合。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（2）、实验凳着地平稳性；满足第三方检测机构形状和位置公差检测，检测结果均为符合。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（3）、实验凳外观性能-金属件的喷涂层应涂层应无漏喷、锈蚀和脱色、掉色现象，涂层应光滑均匀、色泽一致，应无流挂、疙瘩、皱皮、飞漆；满足第三方检测机构检测，检测结果均为符合。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（4）、实验凳外观性能-塑料件应无裂纹，无明 显变形，应无明显缩孔、气泡、杂质、伤痕，外表用塑料件表面应光洁、无划痕，无污渍，无明显色差；满足第三方检测机构检测，检测结果均为符合。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（5）、实验凳应满足安全性能-结构安全的要求；满足第三方检测机构检测，检测结果均为符合。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（6）、实验凳金属喷漆 ( 塑 )涂层的硬度4H，冲击高度400mm,应无剥落、裂纹、皱纹，附着力1级，耐腐蚀应无鼓泡产生、无锈迹、剥落、起皱、变色 和失光等现象；满足第三方检测机构检测，检测结果均为符合。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（7）、实验凳的塑料件冲击强度29J/m²；满足第三方检测机构检测，检测结果均为符合。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（8）、实验凳整体的力学性能通过座面和椅 背静载荷试验-座面静载荷试验，座面和椅背静载荷试验-椅背静载荷试验，座面耐久性试验，椅背耐久性试验，椅腿前向静载荷试验，椅腿侧向静载荷试验，座面冲击试验，椅背冲击试验，跌落试验，凳子任意方向的倾翻试验；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（9）、实验凳重金属含量中的可溶性铅、可溶性镉、可溶性铬、可溶性汞；满足第三方检测机构检测，检测结果均为符合。</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4B338F3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57</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14:paraId="0603B14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r>
      <w:tr w14:paraId="6571B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437B897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07AB5C2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移动水槽台</w:t>
            </w:r>
          </w:p>
        </w:tc>
        <w:tc>
          <w:tcPr>
            <w:tcW w:w="3549" w:type="pct"/>
            <w:tcBorders>
              <w:top w:val="single" w:color="000000" w:sz="4" w:space="0"/>
              <w:left w:val="single" w:color="000000" w:sz="4" w:space="0"/>
              <w:bottom w:val="single" w:color="000000" w:sz="4" w:space="0"/>
              <w:right w:val="single" w:color="000000" w:sz="4" w:space="0"/>
            </w:tcBorders>
            <w:noWrap w:val="0"/>
            <w:vAlign w:val="center"/>
          </w:tcPr>
          <w:p w14:paraId="5C6314AD">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规格：≥长600mm×宽460mm×高820mm</w:t>
            </w:r>
          </w:p>
          <w:p w14:paraId="4D7FBE53">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1.由柜体和水槽底座部分组成。</w:t>
            </w:r>
          </w:p>
          <w:p w14:paraId="26DA173A">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水槽内规格≥400mm×300mm×240mm,柜体底座采用ABS注塑成型，水槽采用PP塑料一次模具成型，确保柜体结构稳固；柜体前后带有磁吸检修门，方便日后维修，前沿带有围边挡水，带有防溢水孔，水槽预留安装水嘴孔，洗眼器孔，按压洗手液孔，柜体内设有隐藏式抽屉方便放置洗涤用品，水封式水塞可防止废水回流和堵塞。</w:t>
            </w:r>
          </w:p>
          <w:p w14:paraId="62405C20">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3.水嘴：喷塑三联式高位水嘴。</w:t>
            </w:r>
          </w:p>
          <w:p w14:paraId="67E28A9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4.水槽专配型排水管，不锈钢卡扣连接，安装方便不渗漏，储水罐PP材质。</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2145B0B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14:paraId="09E61D0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r>
      <w:tr w14:paraId="5A115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14:paraId="41B64C09">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总控系统</w:t>
            </w:r>
          </w:p>
        </w:tc>
      </w:tr>
      <w:tr w14:paraId="72913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4FA78F9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415C67F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控制机柜</w:t>
            </w:r>
          </w:p>
        </w:tc>
        <w:tc>
          <w:tcPr>
            <w:tcW w:w="3549" w:type="pct"/>
            <w:tcBorders>
              <w:top w:val="single" w:color="000000" w:sz="4" w:space="0"/>
              <w:left w:val="single" w:color="000000" w:sz="4" w:space="0"/>
              <w:bottom w:val="single" w:color="000000" w:sz="4" w:space="0"/>
              <w:right w:val="single" w:color="000000" w:sz="4" w:space="0"/>
            </w:tcBorders>
            <w:noWrap w:val="0"/>
            <w:vAlign w:val="center"/>
          </w:tcPr>
          <w:p w14:paraId="0B80D1BF">
            <w:pPr>
              <w:keepNext w:val="0"/>
              <w:keepLines w:val="0"/>
              <w:widowControl/>
              <w:numPr>
                <w:ilvl w:val="0"/>
                <w:numId w:val="0"/>
              </w:numPr>
              <w:suppressLineNumbers w:val="0"/>
              <w:jc w:val="left"/>
              <w:textAlignment w:val="center"/>
              <w:rPr>
                <w:rFonts w:hint="eastAsia" w:ascii="仿宋" w:hAnsi="仿宋" w:eastAsia="仿宋" w:cs="仿宋"/>
                <w:i w:val="0"/>
                <w:iCs w:val="0"/>
                <w:color w:val="000000"/>
                <w:kern w:val="0"/>
                <w:sz w:val="21"/>
                <w:szCs w:val="21"/>
                <w:highlight w:val="none"/>
                <w:lang w:val="en-US" w:eastAsia="zh-CN" w:bidi="ar"/>
              </w:rPr>
            </w:pPr>
            <w:r>
              <w:rPr>
                <w:rFonts w:hint="eastAsia" w:ascii="仿宋" w:hAnsi="仿宋" w:eastAsia="仿宋" w:cs="仿宋"/>
                <w:i w:val="0"/>
                <w:iCs w:val="0"/>
                <w:color w:val="000000"/>
                <w:kern w:val="0"/>
                <w:sz w:val="21"/>
                <w:szCs w:val="21"/>
                <w:highlight w:val="none"/>
                <w:lang w:val="en-US" w:eastAsia="zh-CN" w:bidi="ar"/>
              </w:rPr>
              <w:t>1、规格：≥400*600*200㎜；外观设计整洁美观，采用1.0mm厚钢板经数控折弯加工，表面硅烷处理、喷塑。</w:t>
            </w:r>
          </w:p>
          <w:p w14:paraId="45B72378">
            <w:pPr>
              <w:keepNext w:val="0"/>
              <w:keepLines w:val="0"/>
              <w:widowControl/>
              <w:numPr>
                <w:ilvl w:val="0"/>
                <w:numId w:val="0"/>
              </w:numPr>
              <w:suppressLineNumbers w:val="0"/>
              <w:jc w:val="left"/>
              <w:textAlignment w:val="center"/>
              <w:rPr>
                <w:rFonts w:hint="eastAsia" w:ascii="仿宋" w:hAnsi="仿宋" w:eastAsia="仿宋" w:cs="仿宋"/>
                <w:i w:val="0"/>
                <w:iCs w:val="0"/>
                <w:color w:val="000000"/>
                <w:kern w:val="0"/>
                <w:sz w:val="21"/>
                <w:szCs w:val="21"/>
                <w:highlight w:val="none"/>
                <w:lang w:val="en-US" w:eastAsia="zh-CN" w:bidi="ar"/>
              </w:rPr>
            </w:pPr>
            <w:r>
              <w:rPr>
                <w:rFonts w:hint="eastAsia" w:ascii="仿宋" w:hAnsi="仿宋" w:eastAsia="仿宋" w:cs="仿宋"/>
                <w:i w:val="0"/>
                <w:iCs w:val="0"/>
                <w:color w:val="000000"/>
                <w:kern w:val="0"/>
                <w:sz w:val="21"/>
                <w:szCs w:val="21"/>
                <w:highlight w:val="none"/>
                <w:lang w:val="en-US" w:eastAsia="zh-CN" w:bidi="ar"/>
              </w:rPr>
              <w:t>2、箱门上安裝控制屏、启动开关，急停开关。</w:t>
            </w:r>
          </w:p>
          <w:p w14:paraId="03D6CD8B">
            <w:pPr>
              <w:keepNext w:val="0"/>
              <w:keepLines w:val="0"/>
              <w:widowControl/>
              <w:numPr>
                <w:ilvl w:val="0"/>
                <w:numId w:val="0"/>
              </w:numPr>
              <w:suppressLineNumbers w:val="0"/>
              <w:jc w:val="left"/>
              <w:textAlignment w:val="center"/>
              <w:rPr>
                <w:rFonts w:hint="eastAsia"/>
                <w:highlight w:val="none"/>
              </w:rPr>
            </w:pPr>
            <w:r>
              <w:rPr>
                <w:rFonts w:hint="eastAsia" w:ascii="仿宋" w:hAnsi="仿宋" w:eastAsia="仿宋" w:cs="仿宋"/>
                <w:i w:val="0"/>
                <w:iCs w:val="0"/>
                <w:color w:val="000000"/>
                <w:kern w:val="0"/>
                <w:sz w:val="21"/>
                <w:szCs w:val="21"/>
                <w:highlight w:val="none"/>
                <w:lang w:val="en-US" w:eastAsia="zh-CN" w:bidi="ar"/>
              </w:rPr>
              <w:t>3、控制箱内置3P总电源开关，智能控制总开关，漏电、过载、短路保护开关，485通讯输出，微电脑控制器及功能扩展模块，微电脑保护模块，急停控制系统，电源分组控制系统，照明分组控制系统，给排水控制系统，吊臂控制系统。</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696202A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14:paraId="6920596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r>
      <w:tr w14:paraId="47D9F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756421C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1CB762B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总控软件系统</w:t>
            </w:r>
          </w:p>
        </w:tc>
        <w:tc>
          <w:tcPr>
            <w:tcW w:w="3549" w:type="pct"/>
            <w:tcBorders>
              <w:top w:val="single" w:color="000000" w:sz="4" w:space="0"/>
              <w:left w:val="single" w:color="000000" w:sz="4" w:space="0"/>
              <w:bottom w:val="single" w:color="000000" w:sz="4" w:space="0"/>
              <w:right w:val="single" w:color="000000" w:sz="4" w:space="0"/>
            </w:tcBorders>
            <w:noWrap w:val="0"/>
            <w:vAlign w:val="center"/>
          </w:tcPr>
          <w:p w14:paraId="7E452A1B">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1、开机即用，无系统启动时间。</w:t>
            </w:r>
          </w:p>
          <w:p w14:paraId="2E9D851D">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2、经密码验证之后，方可进入控制系统界面，以增加控制安全性。</w:t>
            </w:r>
          </w:p>
          <w:p w14:paraId="436E29C8">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3、接通总开关和支路开关，可集中或分组控制吊臂的升降、照明灯亮与灭、交流220V插座、给排水控制（排水自动检测并及时排水）、低压交直流电压输出并可控。</w:t>
            </w:r>
          </w:p>
          <w:p w14:paraId="5ACAC3E3">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4、系统时间可设置、可延时关机、可定时关机。</w:t>
            </w:r>
          </w:p>
          <w:p w14:paraId="0FBE52DC">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5、可支持拓展远程控制系统使用。</w:t>
            </w:r>
          </w:p>
          <w:p w14:paraId="589454E8">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6、控制柜与各个吊臂之间采用高可靠性的Modbus-RTU通讯协议下进行控制：</w:t>
            </w:r>
          </w:p>
          <w:p w14:paraId="22B4DA38">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a、吊臂控制系统：教师通过智能控制屏对实验室进行单独、分组、全部控制，升、降、暂停，升、降到位后会自动停止。 </w:t>
            </w:r>
          </w:p>
          <w:p w14:paraId="414C1B02">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b、电源控制系统：教师通过智能控制屏对实验室进行单独、分组、全部控制交流220V输出和学生用低压输出。</w:t>
            </w:r>
          </w:p>
          <w:p w14:paraId="62D537AD">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c、照明控制系统：教师通过智能控制屏对实验室吊仓上的照明进行单独、分组、全部控制。</w:t>
            </w:r>
          </w:p>
          <w:p w14:paraId="449F5DD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d、给排水控制系统：每个学生终端配置一组水流自动检测传感器，当给水时自动进行排水控制；吊臂下方配有插拔式自动锁紧排水接口，接口与学生水槽柜下方水箱连接通过具有耐酸碱、耐腐蚀功能的改性PVC橡胶塑料软管连接，即插即用，用完拔下收起，给排水管具有到位检测功能，在没有拔下水管，吊臂不能收起。</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1F1BB5C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14:paraId="74CCF82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56CBD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033C6D1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4FAB133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控制屏</w:t>
            </w:r>
          </w:p>
        </w:tc>
        <w:tc>
          <w:tcPr>
            <w:tcW w:w="3549" w:type="pct"/>
            <w:tcBorders>
              <w:top w:val="single" w:color="000000" w:sz="4" w:space="0"/>
              <w:left w:val="single" w:color="000000" w:sz="4" w:space="0"/>
              <w:bottom w:val="single" w:color="000000" w:sz="4" w:space="0"/>
              <w:right w:val="single" w:color="000000" w:sz="4" w:space="0"/>
            </w:tcBorders>
            <w:noWrap w:val="0"/>
            <w:vAlign w:val="center"/>
          </w:tcPr>
          <w:p w14:paraId="56F4DA93">
            <w:pPr>
              <w:keepNext w:val="0"/>
              <w:keepLines w:val="0"/>
              <w:widowControl/>
              <w:numPr>
                <w:ilvl w:val="0"/>
                <w:numId w:val="0"/>
              </w:numPr>
              <w:suppressLineNumbers w:val="0"/>
              <w:jc w:val="left"/>
              <w:textAlignment w:val="center"/>
              <w:rPr>
                <w:rFonts w:hint="eastAsia" w:ascii="仿宋" w:hAnsi="仿宋" w:eastAsia="仿宋" w:cs="仿宋"/>
                <w:i w:val="0"/>
                <w:iCs w:val="0"/>
                <w:color w:val="000000"/>
                <w:kern w:val="0"/>
                <w:sz w:val="21"/>
                <w:szCs w:val="21"/>
                <w:highlight w:val="none"/>
                <w:lang w:val="en-US" w:eastAsia="zh-CN" w:bidi="ar"/>
              </w:rPr>
            </w:pPr>
            <w:r>
              <w:rPr>
                <w:rFonts w:hint="eastAsia" w:ascii="仿宋" w:hAnsi="仿宋" w:eastAsia="仿宋" w:cs="仿宋"/>
                <w:i w:val="0"/>
                <w:iCs w:val="0"/>
                <w:color w:val="000000"/>
                <w:kern w:val="0"/>
                <w:sz w:val="21"/>
                <w:szCs w:val="21"/>
                <w:highlight w:val="none"/>
                <w:lang w:val="en-US" w:eastAsia="zh-CN" w:bidi="ar"/>
              </w:rPr>
              <w:t>1、控制屏幕采用≥12.1寸，外部用铝合金包边，分辨率为≥1024*768。</w:t>
            </w:r>
          </w:p>
          <w:p w14:paraId="25484C0D">
            <w:pPr>
              <w:keepNext w:val="0"/>
              <w:keepLines w:val="0"/>
              <w:widowControl/>
              <w:numPr>
                <w:ilvl w:val="0"/>
                <w:numId w:val="0"/>
              </w:numPr>
              <w:suppressLineNumbers w:val="0"/>
              <w:jc w:val="left"/>
              <w:textAlignment w:val="center"/>
              <w:rPr>
                <w:rFonts w:hint="eastAsia" w:ascii="仿宋" w:hAnsi="仿宋" w:eastAsia="仿宋" w:cs="仿宋"/>
                <w:i w:val="0"/>
                <w:iCs w:val="0"/>
                <w:color w:val="000000"/>
                <w:kern w:val="0"/>
                <w:sz w:val="21"/>
                <w:szCs w:val="21"/>
                <w:highlight w:val="none"/>
                <w:lang w:val="en-US" w:eastAsia="zh-CN" w:bidi="ar"/>
              </w:rPr>
            </w:pPr>
            <w:r>
              <w:rPr>
                <w:rFonts w:hint="eastAsia" w:ascii="仿宋" w:hAnsi="仿宋" w:eastAsia="仿宋" w:cs="仿宋"/>
                <w:i w:val="0"/>
                <w:iCs w:val="0"/>
                <w:color w:val="000000"/>
                <w:kern w:val="0"/>
                <w:sz w:val="21"/>
                <w:szCs w:val="21"/>
                <w:highlight w:val="none"/>
                <w:lang w:val="en-US" w:eastAsia="zh-CN" w:bidi="ar"/>
              </w:rPr>
              <w:t>2、屏幕为电容触摸，支持单点、滑动触摸。</w:t>
            </w:r>
          </w:p>
          <w:p w14:paraId="4C9E2A25">
            <w:pPr>
              <w:keepNext w:val="0"/>
              <w:keepLines w:val="0"/>
              <w:widowControl/>
              <w:numPr>
                <w:ilvl w:val="0"/>
                <w:numId w:val="0"/>
              </w:numPr>
              <w:suppressLineNumbers w:val="0"/>
              <w:jc w:val="left"/>
              <w:textAlignment w:val="center"/>
              <w:rPr>
                <w:rFonts w:hint="eastAsia"/>
                <w:highlight w:val="none"/>
              </w:rPr>
            </w:pPr>
            <w:r>
              <w:rPr>
                <w:rFonts w:hint="eastAsia" w:ascii="仿宋" w:hAnsi="仿宋" w:eastAsia="仿宋" w:cs="仿宋"/>
                <w:i w:val="0"/>
                <w:iCs w:val="0"/>
                <w:color w:val="000000"/>
                <w:kern w:val="0"/>
                <w:sz w:val="21"/>
                <w:szCs w:val="21"/>
                <w:highlight w:val="none"/>
                <w:lang w:val="en-US" w:eastAsia="zh-CN" w:bidi="ar"/>
              </w:rPr>
              <w:t>3、控制屏装在控制机柜上面</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242333E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14:paraId="40E8D8A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11DD2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103F850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745A298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远程控制系统</w:t>
            </w:r>
          </w:p>
        </w:tc>
        <w:tc>
          <w:tcPr>
            <w:tcW w:w="3549" w:type="pct"/>
            <w:tcBorders>
              <w:top w:val="single" w:color="000000" w:sz="4" w:space="0"/>
              <w:left w:val="single" w:color="000000" w:sz="4" w:space="0"/>
              <w:bottom w:val="single" w:color="000000" w:sz="4" w:space="0"/>
              <w:right w:val="single" w:color="000000" w:sz="4" w:space="0"/>
            </w:tcBorders>
            <w:noWrap w:val="0"/>
            <w:vAlign w:val="center"/>
          </w:tcPr>
          <w:p w14:paraId="5111BC30">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1、远程控制系统自适应PC、平板、手机端，兼顾不同系统不同终端的使用需求。</w:t>
            </w:r>
          </w:p>
          <w:p w14:paraId="518DAC3A">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2、远程控制系统采用终端账号统一管理，实现账号与实验室一一对应，避免误操作和账号管理分散，登录验证唯一性，保证安全。</w:t>
            </w:r>
          </w:p>
          <w:p w14:paraId="2D03C45B">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3、远程控制系统与总控软件系统实时通信，保证状态实时同步，实现远程实时对总控软件系统的远程操作。</w:t>
            </w:r>
          </w:p>
          <w:p w14:paraId="4E2AD8A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4、具有良好的拓展性，可以接入其他标准系统接口，实现对实验室产品控制功能的拓展。</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0E1285F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14:paraId="66B76D7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75D78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044350C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429162D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环境检测套件</w:t>
            </w:r>
          </w:p>
        </w:tc>
        <w:tc>
          <w:tcPr>
            <w:tcW w:w="3549" w:type="pct"/>
            <w:tcBorders>
              <w:top w:val="single" w:color="000000" w:sz="4" w:space="0"/>
              <w:left w:val="single" w:color="000000" w:sz="4" w:space="0"/>
              <w:bottom w:val="single" w:color="000000" w:sz="4" w:space="0"/>
              <w:right w:val="single" w:color="000000" w:sz="4" w:space="0"/>
            </w:tcBorders>
            <w:noWrap w:val="0"/>
            <w:vAlign w:val="center"/>
          </w:tcPr>
          <w:p w14:paraId="0567F67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可在实验室加装温度、湿度等传感装置，实时监控房间内的温度和湿度，保障室内舒适的环境舒适性，在控制系统中进行显示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2CCDF3E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14:paraId="1842341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3877E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14:paraId="2A9E74C5">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吊臂系统</w:t>
            </w:r>
          </w:p>
        </w:tc>
      </w:tr>
      <w:tr w14:paraId="59A62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CBFA6A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5D6994A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吊舱模组</w:t>
            </w:r>
          </w:p>
        </w:tc>
        <w:tc>
          <w:tcPr>
            <w:tcW w:w="3549" w:type="pct"/>
            <w:tcBorders>
              <w:top w:val="single" w:color="000000" w:sz="4" w:space="0"/>
              <w:left w:val="single" w:color="000000" w:sz="4" w:space="0"/>
              <w:bottom w:val="single" w:color="000000" w:sz="4" w:space="0"/>
              <w:right w:val="single" w:color="000000" w:sz="4" w:space="0"/>
            </w:tcBorders>
            <w:noWrap w:val="0"/>
            <w:vAlign w:val="center"/>
          </w:tcPr>
          <w:p w14:paraId="44536446">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规格：≥1200mm×550mm×240mm</w:t>
            </w:r>
          </w:p>
          <w:p w14:paraId="788D24EA">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材质：吊舱整体采用1mm冷轧钢板经数控折弯成型，连接处采用3mm冷轧钢板加固，金属框架部分为一体式结构，比分体式或拼插式结构具有更高的结构强度，内部设有≥20*40*1.2mm矩管做为加强龙骨，两侧设有LED灯，照度不小于150lx，下方设有可拆卸挡板，方便检修；工艺：钢材采用焊接机器人CO₂保护焊焊接，表层采用去油、除锈、打磨、喷塑工艺处理。</w:t>
            </w:r>
          </w:p>
          <w:p w14:paraId="63892380">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为保证产品质量以及从环保角度保障实验室人员健康，产品必须符合以下技术参数及要求：</w:t>
            </w:r>
          </w:p>
          <w:p w14:paraId="62B1AC43">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吊装舱喷涂层涂层应无漏喷、锈蚀和脱色、掉色现象，涂层应光滑均匀、色泽一致，无流挂、疙瘩、皱皮、飞漆等缺陷，电镀层表面应无剥落、返锈、毛刺，表面应无烧焦、起泡、针孔、裂纹、花斑(不包括镀彩锌)和划痕；检测结果均为符合。</w:t>
            </w:r>
          </w:p>
          <w:p w14:paraId="06793BB5">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（2）、吊装舱涂层-硬度为4H，耐腐蚀，抗盐雾；满足第三方检测机构检测，检测结果均为符合。</w:t>
            </w:r>
          </w:p>
          <w:p w14:paraId="72A823F4">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（3）、吊装舱重金属含量中的可溶性铅、可溶性镉、可溶性铬、可溶性汞；满足第三方检测机构检测，检测结果均为符合。</w:t>
            </w:r>
          </w:p>
          <w:p w14:paraId="68A0046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（4）、吊装舱依据GB/T9286-2021标准《色漆和清漆划格试验》测试，附着力为0级。</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61DD4B6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14:paraId="6FE489A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145D3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2F0D4B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0CE3C07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吊臂模组</w:t>
            </w:r>
          </w:p>
        </w:tc>
        <w:tc>
          <w:tcPr>
            <w:tcW w:w="3549" w:type="pct"/>
            <w:tcBorders>
              <w:top w:val="single" w:color="000000" w:sz="4" w:space="0"/>
              <w:left w:val="single" w:color="000000" w:sz="4" w:space="0"/>
              <w:bottom w:val="single" w:color="000000" w:sz="4" w:space="0"/>
              <w:right w:val="single" w:color="000000" w:sz="4" w:space="0"/>
            </w:tcBorders>
            <w:noWrap w:val="0"/>
            <w:vAlign w:val="center"/>
          </w:tcPr>
          <w:p w14:paraId="6D84D5A5">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1、吊臂由铝合金加工成型，表面和经环氧树脂粉末静电喷涂、高温固化处理，耐腐蚀，吊臂截面尺寸为≥80*40的D型管材，壁厚≥2mm；长度≥645mm。</w:t>
            </w:r>
          </w:p>
          <w:p w14:paraId="668B018B">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2、吊臂模组可由总控系统控制升降，不使用时可收于吊舱之内，起到防止阻挡视线的功能。</w:t>
            </w:r>
          </w:p>
          <w:p w14:paraId="075845D8">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3、吊臂模组可以实现单独控制、分组控制和整体控制。</w:t>
            </w:r>
          </w:p>
          <w:p w14:paraId="2CA63D1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4、在吊臂升降中，如遇障碍物可以实现回弹、或停止，避免出现机械故障或人员夹伤。</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672A2FB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14:paraId="4DE67FF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0DB48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8A9EED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153824F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吊臂控制系统</w:t>
            </w:r>
          </w:p>
        </w:tc>
        <w:tc>
          <w:tcPr>
            <w:tcW w:w="3549" w:type="pct"/>
            <w:tcBorders>
              <w:top w:val="single" w:color="000000" w:sz="4" w:space="0"/>
              <w:left w:val="single" w:color="000000" w:sz="4" w:space="0"/>
              <w:bottom w:val="single" w:color="000000" w:sz="4" w:space="0"/>
              <w:right w:val="single" w:color="000000" w:sz="4" w:space="0"/>
            </w:tcBorders>
            <w:noWrap w:val="0"/>
            <w:vAlign w:val="center"/>
          </w:tcPr>
          <w:p w14:paraId="371705AC">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摇臂接收智能控制系统信号实现远程遥控，动力采用直流24V减速低压电机。</w:t>
            </w:r>
          </w:p>
          <w:p w14:paraId="68E554E1">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1、可通过总控系统对实验室的吊臂进行控制，可以实现单独控制、分组控制。</w:t>
            </w:r>
          </w:p>
          <w:p w14:paraId="3428330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2、系统自带障碍物保护功能，具有防夹，防卡功能，当摇臂在运动的过程中遇到障碍物时会自动停止，具有过流保护功能。</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097862C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14:paraId="46E2280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r>
      <w:tr w14:paraId="2626C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B1CD47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44882DA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吊舱端头模组</w:t>
            </w:r>
          </w:p>
        </w:tc>
        <w:tc>
          <w:tcPr>
            <w:tcW w:w="3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93111F">
            <w:pPr>
              <w:keepNext w:val="0"/>
              <w:keepLines w:val="0"/>
              <w:widowControl/>
              <w:suppressLineNumbers w:val="0"/>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规格：≥300mm×550mm×240mm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整体采用1mm冷轧钢板经数控折弯成型。连接处采用3mm冷轧钢板加固，整体框架为一体式结构.</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200B816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14:paraId="18D617F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55DD8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14:paraId="6E1CDD96">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电源系统</w:t>
            </w:r>
          </w:p>
        </w:tc>
      </w:tr>
      <w:tr w14:paraId="018EF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A3D31C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3432D21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电源分组控制系统</w:t>
            </w:r>
          </w:p>
        </w:tc>
        <w:tc>
          <w:tcPr>
            <w:tcW w:w="3549" w:type="pct"/>
            <w:tcBorders>
              <w:top w:val="single" w:color="000000" w:sz="4" w:space="0"/>
              <w:left w:val="single" w:color="000000" w:sz="4" w:space="0"/>
              <w:bottom w:val="single" w:color="000000" w:sz="4" w:space="0"/>
              <w:right w:val="single" w:color="000000" w:sz="4" w:space="0"/>
            </w:tcBorders>
            <w:noWrap w:val="0"/>
            <w:vAlign w:val="center"/>
          </w:tcPr>
          <w:p w14:paraId="1A7417C3">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1、可通过电源控制系统控制学生电源的220V供电的开启和关闭，可以实现单独控制、分组控制。</w:t>
            </w:r>
          </w:p>
          <w:p w14:paraId="4E396774">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2、可通过电源控制系统控制选择学生电源的电源交、直流输出的开关。</w:t>
            </w:r>
          </w:p>
          <w:p w14:paraId="3EBF818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3、可通过电源控制系统锁定学生电源的低压交直流输出，锁定后受控学生电源不能修改。可锁定学生低压交直流输出上限，锁定后只可向下调整电压，解锁后学生方可自由调节。</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70FC11A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14:paraId="41B491F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180F2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614B2B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2E7C07E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学生电源</w:t>
            </w:r>
          </w:p>
        </w:tc>
        <w:tc>
          <w:tcPr>
            <w:tcW w:w="3549" w:type="pct"/>
            <w:tcBorders>
              <w:top w:val="single" w:color="000000" w:sz="4" w:space="0"/>
              <w:left w:val="single" w:color="000000" w:sz="4" w:space="0"/>
              <w:bottom w:val="single" w:color="000000" w:sz="4" w:space="0"/>
              <w:right w:val="single" w:color="000000" w:sz="4" w:space="0"/>
            </w:tcBorders>
            <w:noWrap w:val="0"/>
            <w:vAlign w:val="center"/>
          </w:tcPr>
          <w:p w14:paraId="7EF1EF30">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1、学生电源安装于吊臂模组末端ABS塑料壳体之上。壳体正面由钢板加工成型并贴面板膜，文字符号清晰，按键分布合理。</w:t>
            </w:r>
          </w:p>
          <w:p w14:paraId="33C1077C">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每个吊臂上安装两组学生电源，分别有低压交、直流输出香焦插座，五孔插座4个、过载短路复位开关1个，网线插孔2个，急停按钮1个。学生用电源设（∧、V、AC/DC按键、过载按任意键复位），2组1.3寸OLED显示屏，显示电压和电流输出。</w:t>
            </w:r>
          </w:p>
          <w:p w14:paraId="76F00085">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学生用电源参数符合JY/T0374一2004标准中低压输出标准要求。符合以下性能要求：a.交流输出：电压0∨-30Ⅴ、显示±0.5V，每0.5V一档，可随负载变化自动稳压，0V-18V额定电流3A，18V-30V额定电流2A。b.直流稳压输出：电压0V-36Ⅴ、显示±0.2V，连续无极可调，每0.1V递增，0V-16V额定电流2A，16.1V-36V额定电流1A。电压稳定性：≤2%U标+0.1Ⅴ， 负载稳定性：≤2%U标+0.1Ⅴ， 波纹电压：电源电压保持220V，达到额定电流时&lt;3mV。c.电压电流：可实时输出电压和电流，电压分辩率0.1V，电流分辩率0.01A。</w:t>
            </w:r>
          </w:p>
          <w:p w14:paraId="3416ABFA">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具备过载保护功能：交流输出0V-18V输出3.2A、16.1V-30∨输出2.2A，直流稳压输出0∨-16V输出2.1A、16.1V-36V输出1.1A，当输出过载或短路时电源进入恒流状态延时1分钟后自动关闭输出，并能启动不大于额定电流的白炽灯。</w:t>
            </w:r>
          </w:p>
          <w:p w14:paraId="1A83234D">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5、电源输入：AC220Ⅴ±22V，50H±0.5Hz。</w:t>
            </w:r>
          </w:p>
          <w:p w14:paraId="26FF757A">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6、工作环境条件，温度0~40℃；湿度≤90%（40℃），</w:t>
            </w:r>
          </w:p>
          <w:p w14:paraId="2C317997">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7、连续工作时间：输出电流在额定电流范围内，允许8小时连续使用。</w:t>
            </w:r>
          </w:p>
          <w:p w14:paraId="4A2D539F">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8、急停按钮：单个吊臂使用端用电异常时，可快速切断此吊臂高低压电源。</w:t>
            </w:r>
          </w:p>
          <w:p w14:paraId="3550B26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9、国标五孔插座：带安全防护门，额定电流5A。交流220V输出有过载短路复位开关，避免因保险丝熔断更换造成的麻烦。</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560D532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14:paraId="57145B8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组</w:t>
            </w:r>
          </w:p>
        </w:tc>
      </w:tr>
      <w:tr w14:paraId="71D5E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14:paraId="2983A9F1">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给排水系统</w:t>
            </w:r>
          </w:p>
        </w:tc>
      </w:tr>
      <w:tr w14:paraId="5EFF8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0AE04D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12DD2D8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给排水控制系统</w:t>
            </w:r>
          </w:p>
        </w:tc>
        <w:tc>
          <w:tcPr>
            <w:tcW w:w="3549" w:type="pct"/>
            <w:tcBorders>
              <w:top w:val="single" w:color="000000" w:sz="4" w:space="0"/>
              <w:left w:val="single" w:color="000000" w:sz="4" w:space="0"/>
              <w:bottom w:val="single" w:color="000000" w:sz="4" w:space="0"/>
              <w:right w:val="single" w:color="000000" w:sz="4" w:space="0"/>
            </w:tcBorders>
            <w:noWrap w:val="0"/>
            <w:vAlign w:val="center"/>
          </w:tcPr>
          <w:p w14:paraId="2869C26F">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自动排水模块1组、水模拟量控制器1组、电源控制器1套、自动保护系统1组。</w:t>
            </w:r>
          </w:p>
          <w:p w14:paraId="4FCA040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所有排水由智能化控制系统集中控制，接口均采用自动锁紧插拔式连接方式（拔掉时没有污水流出），用时接上，不用时可收起。连接软管采用防爆PVC橡胶塑料，具有防酸、防碱、耐腐蚀功能，当学生水槽柜下方水箱水量达到一定值时系统自动排水、污水经过连接管排至顶部排水管总管后流出，当水槽柜下方水箱污水排净后排水系统自动关闭。控制系统设置一键排空功能，可一键将管道内所有的污水排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4E080C5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14:paraId="0183200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21267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D3E8A4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7737FA7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给排水模组</w:t>
            </w:r>
          </w:p>
        </w:tc>
        <w:tc>
          <w:tcPr>
            <w:tcW w:w="3549" w:type="pct"/>
            <w:tcBorders>
              <w:top w:val="single" w:color="000000" w:sz="4" w:space="0"/>
              <w:left w:val="single" w:color="000000" w:sz="4" w:space="0"/>
              <w:bottom w:val="single" w:color="000000" w:sz="4" w:space="0"/>
              <w:right w:val="single" w:color="000000" w:sz="4" w:space="0"/>
            </w:tcBorders>
            <w:noWrap w:val="0"/>
            <w:vAlign w:val="center"/>
          </w:tcPr>
          <w:p w14:paraId="52FCC0C7">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1、给排水接口采用PVC材质，具有耐酸碱，拔插轻松，不生锈；即插即用，具有高密封性能，即使在供水排水工作时，随时拔掉接口不会有任何滴漏现象。</w:t>
            </w:r>
          </w:p>
          <w:p w14:paraId="1FF1230B">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2、给水主管选用φ20-32mmPP-R给水管，模块化设计，每组模块间采用活接式连接，方便安装、检修。</w:t>
            </w:r>
          </w:p>
          <w:p w14:paraId="32431B9A">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3、排水管选用加厚φ50-75mmPVC-U国标管（具有防酸、防碱、耐腐蚀功能），模块化设计，每组模块间采用活接式连接，方便安装、检修。</w:t>
            </w:r>
          </w:p>
          <w:p w14:paraId="08705810">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4、给水主管前端为减少水中颗粒物设置前置过滤器。</w:t>
            </w:r>
          </w:p>
          <w:p w14:paraId="2685565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5、单个模组设置4分电磁阀。</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21B2A84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14:paraId="4179D1A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0B1DB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14:paraId="783ECAB8">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实施设备</w:t>
            </w:r>
          </w:p>
        </w:tc>
      </w:tr>
      <w:tr w14:paraId="05657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58570B0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682C85B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系统安装辅件</w:t>
            </w:r>
          </w:p>
        </w:tc>
        <w:tc>
          <w:tcPr>
            <w:tcW w:w="3549" w:type="pct"/>
            <w:tcBorders>
              <w:top w:val="single" w:color="000000" w:sz="4" w:space="0"/>
              <w:left w:val="single" w:color="000000" w:sz="4" w:space="0"/>
              <w:bottom w:val="single" w:color="000000" w:sz="4" w:space="0"/>
              <w:right w:val="single" w:color="000000" w:sz="4" w:space="0"/>
            </w:tcBorders>
            <w:noWrap w:val="0"/>
            <w:vAlign w:val="center"/>
          </w:tcPr>
          <w:p w14:paraId="79FA4E68">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采用门型框架安装方式，减少楼板承重，防止左右晃动。主要辅件有：吊装专用支架、三角连接件、吊装实验室专用安装支架和墙顶连接件、吊装挂件等。</w:t>
            </w:r>
          </w:p>
          <w:p w14:paraId="4C5CA3B2">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吊装附件包含：</w:t>
            </w:r>
          </w:p>
          <w:p w14:paraId="48821EEE">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1、门型框架：规格采用40mm*40mm光伏支架，规格：980mm*712mm*51mm ，数量16个；</w:t>
            </w:r>
          </w:p>
          <w:p w14:paraId="5D98011F">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2、挂钩：采用40mm*40mm光伏支架及镀锌钢板，规格：248mm*110mm*53mm,数量112个；</w:t>
            </w:r>
          </w:p>
          <w:p w14:paraId="4FACC9CB">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3、吊装连接片：采用镀锌钢板，规格：150mm*40mm*3mm，数量4个；</w:t>
            </w:r>
          </w:p>
          <w:p w14:paraId="63A959D2">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 吊装支架：采用40mm*40mm光伏支架，规格：4250mm*40mm*40mm,数量8个；</w:t>
            </w:r>
          </w:p>
          <w:p w14:paraId="3FE9D3A1">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5、吊丝：φ10*10*3米，数量12根；</w:t>
            </w:r>
          </w:p>
          <w:p w14:paraId="54989729">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6、1.5平方铜线100米；</w:t>
            </w:r>
          </w:p>
          <w:p w14:paraId="5806B890">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7、2.5平方铜线300米；</w:t>
            </w:r>
          </w:p>
          <w:p w14:paraId="74B2A7E8">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8、4平方铜线100米；</w:t>
            </w:r>
          </w:p>
          <w:p w14:paraId="4130DFAB">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9、30线槽，3米/根，10根。</w:t>
            </w:r>
          </w:p>
          <w:p w14:paraId="507D33ED">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10、φ32PPR管材，3米/根，数量10根；</w:t>
            </w:r>
          </w:p>
          <w:p w14:paraId="35CE52AA">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11、φ20PPR管，3米/根，数量6根，</w:t>
            </w:r>
          </w:p>
          <w:p w14:paraId="32226A13">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12、φ32*φ20弯头60个、φ32三通20个、φ20三通40个、φ32（90°）10个、φ20（90°）15个，φ32堵头10个、φ20堵头20个；</w:t>
            </w:r>
          </w:p>
          <w:p w14:paraId="4974623A">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13、膨胀管960个，膨胀螺丝960条，螺丝560条。</w:t>
            </w:r>
          </w:p>
          <w:p w14:paraId="23653970">
            <w:pPr>
              <w:keepNext w:val="0"/>
              <w:keepLines w:val="0"/>
              <w:widowControl/>
              <w:suppressLineNumbers w:val="0"/>
              <w:jc w:val="left"/>
              <w:textAlignment w:val="center"/>
              <w:rPr>
                <w:rFonts w:hint="eastAsia"/>
                <w:highlight w:val="none"/>
              </w:rPr>
            </w:pPr>
            <w:r>
              <w:rPr>
                <w:rFonts w:hint="eastAsia" w:ascii="仿宋" w:hAnsi="仿宋" w:eastAsia="仿宋" w:cs="仿宋"/>
                <w:i w:val="0"/>
                <w:iCs w:val="0"/>
                <w:color w:val="000000"/>
                <w:kern w:val="0"/>
                <w:sz w:val="21"/>
                <w:szCs w:val="21"/>
                <w:highlight w:val="none"/>
                <w:u w:val="none"/>
                <w:lang w:val="en-US" w:eastAsia="zh-CN" w:bidi="ar"/>
              </w:rPr>
              <w:t>14、安装及实施。</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75626F9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14:paraId="14A1AA5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室</w:t>
            </w:r>
          </w:p>
        </w:tc>
      </w:tr>
    </w:tbl>
    <w:p w14:paraId="4C4FDAA7">
      <w:pPr>
        <w:pStyle w:val="2"/>
        <w:rPr>
          <w:rFonts w:hint="default"/>
          <w:highlight w:val="none"/>
          <w:lang w:val="en-US" w:eastAsia="zh-CN"/>
        </w:rPr>
        <w:sectPr>
          <w:pgSz w:w="11906" w:h="16838"/>
          <w:pgMar w:top="1418" w:right="1247" w:bottom="1418" w:left="1418" w:header="680" w:footer="680" w:gutter="0"/>
          <w:pgBorders>
            <w:top w:val="none" w:sz="0" w:space="0"/>
            <w:left w:val="none" w:sz="0" w:space="0"/>
            <w:bottom w:val="none" w:sz="0" w:space="0"/>
            <w:right w:val="none" w:sz="0" w:space="0"/>
          </w:pgBorders>
          <w:cols w:space="720" w:num="1"/>
          <w:docGrid w:type="linesAndChars" w:linePitch="466" w:charSpace="-6394"/>
        </w:sectPr>
      </w:pPr>
    </w:p>
    <w:p w14:paraId="29A874C4">
      <w:pPr>
        <w:pStyle w:val="2"/>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4、生物准备仪器室</w:t>
      </w:r>
    </w:p>
    <w:tbl>
      <w:tblPr>
        <w:tblStyle w:val="6"/>
        <w:tblW w:w="499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5"/>
        <w:gridCol w:w="945"/>
        <w:gridCol w:w="6675"/>
        <w:gridCol w:w="600"/>
        <w:gridCol w:w="653"/>
      </w:tblGrid>
      <w:tr w14:paraId="2EDB4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67BF49E8">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序号</w:t>
            </w:r>
          </w:p>
        </w:tc>
        <w:tc>
          <w:tcPr>
            <w:tcW w:w="500" w:type="pct"/>
            <w:tcBorders>
              <w:top w:val="single" w:color="000000" w:sz="4" w:space="0"/>
              <w:left w:val="single" w:color="000000" w:sz="4" w:space="0"/>
              <w:bottom w:val="single" w:color="000000" w:sz="4" w:space="0"/>
              <w:right w:val="single" w:color="000000" w:sz="4" w:space="0"/>
            </w:tcBorders>
            <w:noWrap/>
            <w:vAlign w:val="center"/>
          </w:tcPr>
          <w:p w14:paraId="5A040B52">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产品名称</w:t>
            </w:r>
          </w:p>
        </w:tc>
        <w:tc>
          <w:tcPr>
            <w:tcW w:w="3532" w:type="pct"/>
            <w:tcBorders>
              <w:top w:val="single" w:color="000000" w:sz="4" w:space="0"/>
              <w:left w:val="single" w:color="000000" w:sz="4" w:space="0"/>
              <w:bottom w:val="single" w:color="000000" w:sz="4" w:space="0"/>
              <w:right w:val="single" w:color="000000" w:sz="4" w:space="0"/>
            </w:tcBorders>
            <w:noWrap w:val="0"/>
            <w:vAlign w:val="center"/>
          </w:tcPr>
          <w:p w14:paraId="4100A4B2">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参数</w:t>
            </w:r>
          </w:p>
        </w:tc>
        <w:tc>
          <w:tcPr>
            <w:tcW w:w="317" w:type="pct"/>
            <w:tcBorders>
              <w:top w:val="single" w:color="000000" w:sz="4" w:space="0"/>
              <w:left w:val="single" w:color="000000" w:sz="4" w:space="0"/>
              <w:bottom w:val="single" w:color="000000" w:sz="4" w:space="0"/>
              <w:right w:val="single" w:color="000000" w:sz="4" w:space="0"/>
            </w:tcBorders>
            <w:noWrap/>
            <w:vAlign w:val="center"/>
          </w:tcPr>
          <w:p w14:paraId="166E3CB5">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数量</w:t>
            </w:r>
          </w:p>
        </w:tc>
        <w:tc>
          <w:tcPr>
            <w:tcW w:w="345" w:type="pct"/>
            <w:tcBorders>
              <w:top w:val="single" w:color="000000" w:sz="4" w:space="0"/>
              <w:left w:val="single" w:color="000000" w:sz="4" w:space="0"/>
              <w:bottom w:val="single" w:color="000000" w:sz="4" w:space="0"/>
              <w:right w:val="single" w:color="000000" w:sz="4" w:space="0"/>
            </w:tcBorders>
            <w:noWrap/>
            <w:vAlign w:val="center"/>
          </w:tcPr>
          <w:p w14:paraId="1B14325D">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单位</w:t>
            </w:r>
          </w:p>
        </w:tc>
      </w:tr>
      <w:tr w14:paraId="23A04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2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784E3C7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3BC6D28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准备台</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2DD3DE9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规格：≥长3000mm×宽1100mm×高850mm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1.一体化台面，设置抽屉、对开门。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2.台面材料：采用理化板，台面厚度≥12.7mm，边缘加厚至≥25.4mm。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3.台体框架：采用铝合金型材制作，框架的立柱为45mm×32mm方管，框架的横梁为32mm×32mm方管，壁厚≥1.0mm。通过 ABS专用连接件组装而成，接缝严密，连接牢固，无松动现象。型材带凹槽，槽的宽度、深度应与所采用的柜体板材相匹配，接缝严密，无晃动现象。型材表面需经静电粉沫喷涂处理，整体耐腐蚀、防火、防潮、稳固耐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台体衬板：用厚度为≥16mm、彩色和灰白色双面三聚氰胺板（即双饰面板）作为台体衬板，其内芯的基材为聚木屑纤维板，外漏截面采用≥1.0mm厚塑制封边条机械封边；甲醛释放限量指标应符合GB18580－2017的要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5.支脚：采用Φ≥10mm的螺杆与ABS工程塑料一次注塑成型的脚垫，高度可调节。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6.柜门铰链：采用优质不锈钢定位铰链，安全、牢固、防腐、耐用。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7.抽屉滑道：采用优质消声三节滑轨，优质合金钢板一次性成型加工。</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14:paraId="7251B41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45" w:type="pct"/>
            <w:tcBorders>
              <w:top w:val="single" w:color="000000" w:sz="4" w:space="0"/>
              <w:left w:val="single" w:color="000000" w:sz="4" w:space="0"/>
              <w:bottom w:val="single" w:color="000000" w:sz="4" w:space="0"/>
              <w:right w:val="single" w:color="000000" w:sz="4" w:space="0"/>
            </w:tcBorders>
            <w:noWrap w:val="0"/>
            <w:vAlign w:val="center"/>
          </w:tcPr>
          <w:p w14:paraId="2F8C03F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张</w:t>
            </w:r>
          </w:p>
        </w:tc>
      </w:tr>
      <w:tr w14:paraId="6A8E6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0395115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5E76A71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仪器柜</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2D3C9A2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规格：≥1000mm×500mm×2000mm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铝木结构，基本要求如下：</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柜体框架：采用模具成型的专用铝合金方管制作，通过ABS专用连接件组装而成，保证连接牢固。前立柱、前横梁外径为27mm×35mm（误差±1mm），后立柱、后横梁外径为35mm×35mm（误差±1mm），铝合金管材的壁厚≥1.0mm（误差±0.15mm）。铝合金型材带凹槽，凹槽的宽度应与柜体衬板相匹配，凹槽的深度应足够，保证柜体衬板与铝型材之间接缝严密，无晃动现象，不发生脱落。铝合金型材表面需经静电粉沫喷涂处理，整体耐腐蚀、防火、防潮、稳固耐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柜体衬板：用厚度为≥16mm、彩色和灰白色双面三聚氰胺板（即双饰面板）作为台体衬板，其内芯的基材为聚木屑纤维板，外漏截面采用≥1.0mm厚塑制封边条机械封边；甲醛释放限量指标应符合GB18580－2017的要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3.柜门：上部为专用木框对开玻璃门，下部为对开木门，不锈钢拉手。柜门采用不锈钢定位铰链，安全、牢固、防腐、耐用。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隔板：上柜设置2块活动隔板，下柜设置1块固定隔板。隔板所用的板材与柜体板材相同，厚度为≥16mm，隔板的一条长边采用“［”型槽板包边（槽板材料为冷轧钢板，其尺寸为≥30mm×19mm，壁厚1.0mm，槽宽与隔板厚度匹配，表面需进行喷塑处理），槽板与隔板用万能胶固定。</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5.高度升降条：上部柜体内侧均应安装高度升降条（1.0mm冷轧钢板制作），每侧2根，带活动支撑座（位置可调）。高度升降条和支撑座表面应采用纯环氧树脂静电喷涂高温固化，具有较高耐蚀性能。</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6.支脚：采用Φ≥8mm的螺杆与ABS工程塑料一次注塑成型的脚垫，高度可调节。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（1）、仪器柜外形尺寸偏差，翘曲度0.3mm，平整度0.03mm，临边垂直度，位度差0.2mm，分缝0.2mm，地脚平稳性；满足第三方检测机构外形尺寸偏差及形状位置公差检测，检测结果均为符合。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仪器柜冲压件应无脱层、裂缝，喷涂层应无漏喷、锈蚀和脱色、掉色现象，涂层应光滑均匀，色泽一致，应无流挂、疙瘩、皱皮、飞漆等缺陷；满足第三方检测机构木工及外观要求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（3）、仪器柜与人体接触的零部件不应有毛刺、刃口、尖锐的棱角和端头；满足第三方检测机构安全性要求检测，检测结果均为符合。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（4）、仪器柜金属喷塑涂层硬度4H，耐腐蚀9级，应无剥落、裂纹、皱纹；满足第三方检测机构金属喷塑涂层理化性能检测，检测结果均为符合。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仪器柜整体的力学性能通过搁板稳定性，搁板弯曲试验，搁板支承件试验，拉门强度试验，拉门水平静载荷试验，拉门猛开试验，拉门耐久性试验，过载试验，主体结构和底架的强度试验，空载稳定性试验，活动部件垂直加载稳定性试验；满足第三方检测机构安全性要求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（6）、仪器柜重金属含量中的可溶性铅、可溶性镉、可溶性铬、可溶性汞；满足第三方检测机构检测，检测结果均为符合。</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14:paraId="3E1ED74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w:t>
            </w:r>
          </w:p>
        </w:tc>
        <w:tc>
          <w:tcPr>
            <w:tcW w:w="345" w:type="pct"/>
            <w:tcBorders>
              <w:top w:val="single" w:color="000000" w:sz="4" w:space="0"/>
              <w:left w:val="single" w:color="000000" w:sz="4" w:space="0"/>
              <w:bottom w:val="single" w:color="000000" w:sz="4" w:space="0"/>
              <w:right w:val="single" w:color="000000" w:sz="4" w:space="0"/>
            </w:tcBorders>
            <w:noWrap w:val="0"/>
            <w:vAlign w:val="center"/>
          </w:tcPr>
          <w:p w14:paraId="4B88A90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r>
      <w:tr w14:paraId="57804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2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3B3AB3B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4C7686C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药品柜</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33A66B2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 ≥长1000mm×宽500mm×高2000mm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柜体框架：采用模具成型的专用铝合金方管制作，通过ABS专用连接件组装而成，保证连接牢固。前立柱、前横梁外径为≥27mm×35mm（误差±1mm），后立柱、后横梁外径为≥35mm×35mm（误差±1mm），铝合金管材的壁厚≥1.0mm（误差±0.15mm）。铝合金型材带凹槽，凹槽的宽度应与柜体衬板相匹配，凹槽的深度应足够，保证柜体衬板与铝型材之间接缝严密，无晃动现象，不发生脱落。铝合金型材表面需经静电粉沫喷涂处理，整体耐腐蚀、防火、防潮、稳固耐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柜体衬板：用厚度为≥16mm、彩色和灰白色双面三聚氰胺板（即双饰面板）作为台体衬板，其内芯的基材为聚木屑纤维板，外漏截面采用≥1.0mm厚塑制优质封边条机械封边；甲醛释放限量指标应符合GB18580－2017的要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3.柜门：上部为专用木框对开玻璃门，下部为对开木门。柜门采用优质不锈钢定位铰链，安全、牢固、防腐、耐用。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4.隔板：上柜设置2块隔板，带二阶梯药瓶台，隔板和药瓶台材质选用耐腐蚀实芯理化板；下柜设置1块固定隔板材质为三聚氰胺板。</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5.支脚：采用Φ≥8mm的螺杆与ABS工程塑料一次注塑成型的脚垫，高度可调节。</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14:paraId="540C49B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c>
          <w:tcPr>
            <w:tcW w:w="345" w:type="pct"/>
            <w:tcBorders>
              <w:top w:val="single" w:color="000000" w:sz="4" w:space="0"/>
              <w:left w:val="single" w:color="000000" w:sz="4" w:space="0"/>
              <w:bottom w:val="single" w:color="000000" w:sz="4" w:space="0"/>
              <w:right w:val="single" w:color="000000" w:sz="4" w:space="0"/>
            </w:tcBorders>
            <w:noWrap w:val="0"/>
            <w:vAlign w:val="center"/>
          </w:tcPr>
          <w:p w14:paraId="4FCD112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r>
      <w:tr w14:paraId="7E317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7B4AC1B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4324AFB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标本柜</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4070CE0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规格：≥长1000mm×宽500mm×高2000mm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柜体框架：采用模具成型的专用铝合金方管制作，通过ABS专用连接件组装而成，保证连接牢固。前立柱、前横梁外径为≥25mm×30mm（误差±1mm），后立柱、后横梁外径为≥30mm×30mm（误差±1mm），铝合金管材的壁厚≥1.0mm（误差±0.15mm）。铝合金型材带凹槽，凹槽的宽度应与柜体衬板相匹配，凹槽的深度应足够，保证柜体衬板与铝型材之间接缝严密，无晃动现象，不发生脱落。铝合金型材表面需经静电粉沫喷涂处理，整体耐腐蚀、防火、防潮、稳固耐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柜体衬板：上柜衬板为4mm玻璃，下柜衬板采用厚度为≥16mm、彩色和灰白色双面三聚氰胺板（即双饰面板）作为台体衬板，其内芯的基材为聚木屑纤维板，外漏截面采用≥1.0mm厚塑制优质封边条机械封边；甲醛释放限量指标应符合GB18580－2017的要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3.柜门：上部为移动玻璃门，下部为对开木门，拉手美观耐用，使用方便。</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4.搁物板：上部为2层钢化玻璃搁物板，下部1层聚木屑纤维板搁物板。</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5.高度升降条：上部柜体内侧均应安装高度升降条（1.0mm冷轧钢板制作），每侧2根，带活动支撑座（位置可调）。高度升降条和支撑座表面应采用纯环氧树脂静电喷涂高温固化，具有较高耐蚀性能。</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6.桌脚：采用Φ≥8mm的螺杆与ABS工程塑料一次注塑成型的脚垫，高度可调节。</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14:paraId="3C68646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c>
          <w:tcPr>
            <w:tcW w:w="345" w:type="pct"/>
            <w:tcBorders>
              <w:top w:val="single" w:color="000000" w:sz="4" w:space="0"/>
              <w:left w:val="single" w:color="000000" w:sz="4" w:space="0"/>
              <w:bottom w:val="single" w:color="000000" w:sz="4" w:space="0"/>
              <w:right w:val="single" w:color="000000" w:sz="4" w:space="0"/>
            </w:tcBorders>
            <w:noWrap w:val="0"/>
            <w:vAlign w:val="center"/>
          </w:tcPr>
          <w:p w14:paraId="78A6C0C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r>
      <w:tr w14:paraId="6A197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07C52FD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32756B1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灭火器</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17224C2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商品剂量:4KG 喷射距离:≥3.5M灭火级别: 1A/21B使用温度: -20°C~+50°C 瓶身材质:钢材</w:t>
            </w:r>
          </w:p>
        </w:tc>
        <w:tc>
          <w:tcPr>
            <w:tcW w:w="317" w:type="pct"/>
            <w:tcBorders>
              <w:top w:val="single" w:color="000000" w:sz="4" w:space="0"/>
              <w:left w:val="single" w:color="000000" w:sz="4" w:space="0"/>
              <w:bottom w:val="single" w:color="000000" w:sz="4" w:space="0"/>
              <w:right w:val="single" w:color="000000" w:sz="4" w:space="0"/>
            </w:tcBorders>
            <w:noWrap/>
            <w:vAlign w:val="center"/>
          </w:tcPr>
          <w:p w14:paraId="500D2FA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45" w:type="pct"/>
            <w:tcBorders>
              <w:top w:val="single" w:color="000000" w:sz="4" w:space="0"/>
              <w:left w:val="single" w:color="000000" w:sz="4" w:space="0"/>
              <w:bottom w:val="single" w:color="000000" w:sz="4" w:space="0"/>
              <w:right w:val="single" w:color="000000" w:sz="4" w:space="0"/>
            </w:tcBorders>
            <w:noWrap/>
            <w:vAlign w:val="center"/>
          </w:tcPr>
          <w:p w14:paraId="5B352D9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7F99E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010816D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5CDF9D5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水基灭火器</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7A41C26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商品剂量:3L 喷射距离:≥3.5M灭火级别: 1A/55B E 使用温度: 士5°C~+55°C 瓶身材质:钢材</w:t>
            </w:r>
          </w:p>
        </w:tc>
        <w:tc>
          <w:tcPr>
            <w:tcW w:w="317" w:type="pct"/>
            <w:tcBorders>
              <w:top w:val="single" w:color="000000" w:sz="4" w:space="0"/>
              <w:left w:val="single" w:color="000000" w:sz="4" w:space="0"/>
              <w:bottom w:val="single" w:color="000000" w:sz="4" w:space="0"/>
              <w:right w:val="single" w:color="000000" w:sz="4" w:space="0"/>
            </w:tcBorders>
            <w:noWrap/>
            <w:vAlign w:val="center"/>
          </w:tcPr>
          <w:p w14:paraId="69C5261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45" w:type="pct"/>
            <w:tcBorders>
              <w:top w:val="single" w:color="000000" w:sz="4" w:space="0"/>
              <w:left w:val="single" w:color="000000" w:sz="4" w:space="0"/>
              <w:bottom w:val="single" w:color="000000" w:sz="4" w:space="0"/>
              <w:right w:val="single" w:color="000000" w:sz="4" w:space="0"/>
            </w:tcBorders>
            <w:noWrap/>
            <w:vAlign w:val="center"/>
          </w:tcPr>
          <w:p w14:paraId="471885F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6BB18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17B3EBA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4398519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消防箱</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08C4902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 ≥长520m×宽340m×高190mm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箱体采用铁制材质，厚度士0.4MM，表面采用防锈高光漆，双翻盖设计</w:t>
            </w:r>
          </w:p>
        </w:tc>
        <w:tc>
          <w:tcPr>
            <w:tcW w:w="317" w:type="pct"/>
            <w:tcBorders>
              <w:top w:val="single" w:color="000000" w:sz="4" w:space="0"/>
              <w:left w:val="single" w:color="000000" w:sz="4" w:space="0"/>
              <w:bottom w:val="single" w:color="000000" w:sz="4" w:space="0"/>
              <w:right w:val="single" w:color="000000" w:sz="4" w:space="0"/>
            </w:tcBorders>
            <w:noWrap/>
            <w:vAlign w:val="center"/>
          </w:tcPr>
          <w:p w14:paraId="7786183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45" w:type="pct"/>
            <w:tcBorders>
              <w:top w:val="single" w:color="000000" w:sz="4" w:space="0"/>
              <w:left w:val="single" w:color="000000" w:sz="4" w:space="0"/>
              <w:bottom w:val="single" w:color="000000" w:sz="4" w:space="0"/>
              <w:right w:val="single" w:color="000000" w:sz="4" w:space="0"/>
            </w:tcBorders>
            <w:noWrap/>
            <w:vAlign w:val="center"/>
          </w:tcPr>
          <w:p w14:paraId="2D38A06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44C4F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6307A8B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1FFF5F7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沙箱</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3F85186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 ≥长600mm×宽400mm×高400mm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箱体采用冷轧钢板制作，表面采用静电喷塑，平整光滑及附着力强。配备消防沙</w:t>
            </w:r>
          </w:p>
        </w:tc>
        <w:tc>
          <w:tcPr>
            <w:tcW w:w="317" w:type="pct"/>
            <w:tcBorders>
              <w:top w:val="single" w:color="000000" w:sz="4" w:space="0"/>
              <w:left w:val="single" w:color="000000" w:sz="4" w:space="0"/>
              <w:bottom w:val="single" w:color="000000" w:sz="4" w:space="0"/>
              <w:right w:val="single" w:color="000000" w:sz="4" w:space="0"/>
            </w:tcBorders>
            <w:noWrap/>
            <w:vAlign w:val="center"/>
          </w:tcPr>
          <w:p w14:paraId="5548888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45" w:type="pct"/>
            <w:tcBorders>
              <w:top w:val="single" w:color="000000" w:sz="4" w:space="0"/>
              <w:left w:val="single" w:color="000000" w:sz="4" w:space="0"/>
              <w:bottom w:val="single" w:color="000000" w:sz="4" w:space="0"/>
              <w:right w:val="single" w:color="000000" w:sz="4" w:space="0"/>
            </w:tcBorders>
            <w:noWrap w:val="0"/>
            <w:vAlign w:val="center"/>
          </w:tcPr>
          <w:p w14:paraId="19775A3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bl>
    <w:p w14:paraId="0D697BD6">
      <w:pPr>
        <w:pStyle w:val="2"/>
        <w:rPr>
          <w:rFonts w:hint="eastAsia" w:ascii="仿宋" w:hAnsi="仿宋" w:eastAsia="仿宋" w:cs="仿宋"/>
          <w:b/>
          <w:bCs/>
          <w:sz w:val="24"/>
          <w:szCs w:val="24"/>
          <w:highlight w:val="none"/>
          <w:lang w:val="en-US" w:eastAsia="zh-CN"/>
        </w:rPr>
      </w:pPr>
    </w:p>
    <w:p w14:paraId="11736C38">
      <w:pPr>
        <w:pStyle w:val="2"/>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5、化学吊装实验室（56座）</w:t>
      </w:r>
    </w:p>
    <w:tbl>
      <w:tblPr>
        <w:tblStyle w:val="6"/>
        <w:tblW w:w="499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6"/>
        <w:gridCol w:w="938"/>
        <w:gridCol w:w="6664"/>
        <w:gridCol w:w="605"/>
        <w:gridCol w:w="665"/>
      </w:tblGrid>
      <w:tr w14:paraId="4BD1B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55EDAF2B">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序号</w:t>
            </w:r>
          </w:p>
        </w:tc>
        <w:tc>
          <w:tcPr>
            <w:tcW w:w="497" w:type="pct"/>
            <w:tcBorders>
              <w:top w:val="single" w:color="000000" w:sz="4" w:space="0"/>
              <w:left w:val="single" w:color="000000" w:sz="4" w:space="0"/>
              <w:bottom w:val="single" w:color="000000" w:sz="4" w:space="0"/>
              <w:right w:val="single" w:color="000000" w:sz="4" w:space="0"/>
            </w:tcBorders>
            <w:noWrap/>
            <w:vAlign w:val="center"/>
          </w:tcPr>
          <w:p w14:paraId="171D90B8">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产品名称</w:t>
            </w:r>
          </w:p>
        </w:tc>
        <w:tc>
          <w:tcPr>
            <w:tcW w:w="3527" w:type="pct"/>
            <w:tcBorders>
              <w:top w:val="single" w:color="000000" w:sz="4" w:space="0"/>
              <w:left w:val="single" w:color="000000" w:sz="4" w:space="0"/>
              <w:bottom w:val="single" w:color="000000" w:sz="4" w:space="0"/>
              <w:right w:val="single" w:color="000000" w:sz="4" w:space="0"/>
            </w:tcBorders>
            <w:noWrap w:val="0"/>
            <w:vAlign w:val="center"/>
          </w:tcPr>
          <w:p w14:paraId="60FDBBA4">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参数</w:t>
            </w:r>
          </w:p>
        </w:tc>
        <w:tc>
          <w:tcPr>
            <w:tcW w:w="320" w:type="pct"/>
            <w:tcBorders>
              <w:top w:val="single" w:color="000000" w:sz="4" w:space="0"/>
              <w:left w:val="single" w:color="000000" w:sz="4" w:space="0"/>
              <w:bottom w:val="single" w:color="000000" w:sz="4" w:space="0"/>
              <w:right w:val="single" w:color="000000" w:sz="4" w:space="0"/>
            </w:tcBorders>
            <w:noWrap/>
            <w:vAlign w:val="center"/>
          </w:tcPr>
          <w:p w14:paraId="4382E00F">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数量</w:t>
            </w:r>
          </w:p>
        </w:tc>
        <w:tc>
          <w:tcPr>
            <w:tcW w:w="349" w:type="pct"/>
            <w:tcBorders>
              <w:top w:val="single" w:color="000000" w:sz="4" w:space="0"/>
              <w:left w:val="single" w:color="000000" w:sz="4" w:space="0"/>
              <w:bottom w:val="single" w:color="000000" w:sz="4" w:space="0"/>
              <w:right w:val="single" w:color="000000" w:sz="4" w:space="0"/>
            </w:tcBorders>
            <w:noWrap/>
            <w:vAlign w:val="center"/>
          </w:tcPr>
          <w:p w14:paraId="1520C766">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单位</w:t>
            </w:r>
          </w:p>
        </w:tc>
      </w:tr>
      <w:tr w14:paraId="40E30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14:paraId="2202E23F">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基础实验设备</w:t>
            </w:r>
          </w:p>
        </w:tc>
      </w:tr>
      <w:tr w14:paraId="359C8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98"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64A13E4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14:paraId="4B6BF22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教师演示台</w:t>
            </w:r>
          </w:p>
        </w:tc>
        <w:tc>
          <w:tcPr>
            <w:tcW w:w="3527" w:type="pct"/>
            <w:tcBorders>
              <w:top w:val="single" w:color="000000" w:sz="4" w:space="0"/>
              <w:left w:val="single" w:color="000000" w:sz="4" w:space="0"/>
              <w:bottom w:val="single" w:color="000000" w:sz="4" w:space="0"/>
              <w:right w:val="single" w:color="000000" w:sz="4" w:space="0"/>
            </w:tcBorders>
            <w:noWrap w:val="0"/>
            <w:vAlign w:val="center"/>
          </w:tcPr>
          <w:p w14:paraId="1F89D46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Style w:val="112"/>
                <w:rFonts w:hint="eastAsia" w:ascii="仿宋" w:hAnsi="仿宋" w:eastAsia="仿宋" w:cs="仿宋"/>
                <w:sz w:val="21"/>
                <w:szCs w:val="21"/>
                <w:highlight w:val="none"/>
                <w:lang w:val="en-US" w:eastAsia="zh-CN" w:bidi="ar"/>
              </w:rPr>
              <w:t>规格：≥长2800mm×宽700mm×高850mm</w:t>
            </w:r>
            <w:r>
              <w:rPr>
                <w:rStyle w:val="112"/>
                <w:rFonts w:hint="eastAsia" w:ascii="仿宋" w:hAnsi="仿宋" w:eastAsia="仿宋" w:cs="仿宋"/>
                <w:sz w:val="21"/>
                <w:szCs w:val="21"/>
                <w:highlight w:val="none"/>
                <w:lang w:val="en-US" w:eastAsia="zh-CN" w:bidi="ar"/>
              </w:rPr>
              <w:br w:type="textWrapping"/>
            </w:r>
            <w:r>
              <w:rPr>
                <w:rStyle w:val="112"/>
                <w:rFonts w:hint="eastAsia" w:ascii="仿宋" w:hAnsi="仿宋" w:eastAsia="仿宋" w:cs="仿宋"/>
                <w:sz w:val="21"/>
                <w:szCs w:val="21"/>
                <w:highlight w:val="none"/>
                <w:lang w:val="en-US" w:eastAsia="zh-CN" w:bidi="ar"/>
              </w:rPr>
              <w:t>1. 台面采用≥12.7mm厚实芯理化板，外露边沿修圆弧，整体耐高温、耐酸碱、耐腐蚀、不吸水、防火、阻燃、防静电、抗老化、无毒、无褪色、材质坚硬，牢固可靠。</w:t>
            </w:r>
            <w:r>
              <w:rPr>
                <w:rStyle w:val="112"/>
                <w:rFonts w:hint="eastAsia" w:ascii="仿宋" w:hAnsi="仿宋" w:eastAsia="仿宋" w:cs="仿宋"/>
                <w:sz w:val="21"/>
                <w:szCs w:val="21"/>
                <w:highlight w:val="none"/>
                <w:lang w:val="en-US" w:eastAsia="zh-CN" w:bidi="ar"/>
              </w:rPr>
              <w:br w:type="textWrapping"/>
            </w:r>
            <w:r>
              <w:rPr>
                <w:rStyle w:val="112"/>
                <w:rFonts w:hint="eastAsia" w:ascii="仿宋" w:hAnsi="仿宋" w:eastAsia="仿宋" w:cs="仿宋"/>
                <w:sz w:val="21"/>
                <w:szCs w:val="21"/>
                <w:highlight w:val="none"/>
                <w:lang w:val="en-US" w:eastAsia="zh-CN" w:bidi="ar"/>
              </w:rPr>
              <w:t>2.桌柜采用≥16mm厚聚木屑三聚氰胺双面板。</w:t>
            </w:r>
            <w:r>
              <w:rPr>
                <w:rStyle w:val="112"/>
                <w:rFonts w:hint="eastAsia" w:ascii="仿宋" w:hAnsi="仿宋" w:eastAsia="仿宋" w:cs="仿宋"/>
                <w:sz w:val="21"/>
                <w:szCs w:val="21"/>
                <w:highlight w:val="none"/>
                <w:lang w:val="en-US" w:eastAsia="zh-CN" w:bidi="ar"/>
              </w:rPr>
              <w:br w:type="textWrapping"/>
            </w:r>
            <w:r>
              <w:rPr>
                <w:rStyle w:val="112"/>
                <w:rFonts w:hint="eastAsia" w:ascii="仿宋" w:hAnsi="仿宋" w:eastAsia="仿宋" w:cs="仿宋"/>
                <w:sz w:val="21"/>
                <w:szCs w:val="21"/>
                <w:highlight w:val="none"/>
                <w:lang w:val="en-US" w:eastAsia="zh-CN" w:bidi="ar"/>
              </w:rPr>
              <w:t>3.桌架采用≥40mm×60mm×1.2mm方钢管。</w:t>
            </w:r>
            <w:r>
              <w:rPr>
                <w:rStyle w:val="112"/>
                <w:rFonts w:hint="eastAsia" w:ascii="仿宋" w:hAnsi="仿宋" w:eastAsia="仿宋" w:cs="仿宋"/>
                <w:sz w:val="21"/>
                <w:szCs w:val="21"/>
                <w:highlight w:val="none"/>
                <w:lang w:val="en-US" w:eastAsia="zh-CN" w:bidi="ar"/>
              </w:rPr>
              <w:br w:type="textWrapping"/>
            </w:r>
            <w:r>
              <w:rPr>
                <w:rStyle w:val="112"/>
                <w:rFonts w:hint="eastAsia" w:ascii="仿宋" w:hAnsi="仿宋" w:eastAsia="仿宋" w:cs="仿宋"/>
                <w:sz w:val="21"/>
                <w:szCs w:val="21"/>
                <w:highlight w:val="none"/>
                <w:lang w:val="en-US" w:eastAsia="zh-CN" w:bidi="ar"/>
              </w:rPr>
              <w:t>4.五金配件</w:t>
            </w:r>
            <w:r>
              <w:rPr>
                <w:rStyle w:val="112"/>
                <w:rFonts w:hint="eastAsia" w:ascii="仿宋" w:hAnsi="仿宋" w:eastAsia="仿宋" w:cs="仿宋"/>
                <w:sz w:val="21"/>
                <w:szCs w:val="21"/>
                <w:highlight w:val="none"/>
                <w:lang w:val="en-US" w:eastAsia="zh-CN" w:bidi="ar"/>
              </w:rPr>
              <w:br w:type="textWrapping"/>
            </w:r>
            <w:r>
              <w:rPr>
                <w:rStyle w:val="112"/>
                <w:rFonts w:hint="eastAsia" w:ascii="仿宋" w:hAnsi="仿宋" w:eastAsia="仿宋" w:cs="仿宋"/>
                <w:sz w:val="21"/>
                <w:szCs w:val="21"/>
                <w:highlight w:val="none"/>
                <w:lang w:val="en-US" w:eastAsia="zh-CN" w:bidi="ar"/>
              </w:rPr>
              <w:t>1）拉手：采用一字型铝合金拉手。</w:t>
            </w:r>
            <w:r>
              <w:rPr>
                <w:rStyle w:val="112"/>
                <w:rFonts w:hint="eastAsia" w:ascii="仿宋" w:hAnsi="仿宋" w:eastAsia="仿宋" w:cs="仿宋"/>
                <w:sz w:val="21"/>
                <w:szCs w:val="21"/>
                <w:highlight w:val="none"/>
                <w:lang w:val="en-US" w:eastAsia="zh-CN" w:bidi="ar"/>
              </w:rPr>
              <w:br w:type="textWrapping"/>
            </w:r>
            <w:r>
              <w:rPr>
                <w:rStyle w:val="112"/>
                <w:rFonts w:hint="eastAsia" w:ascii="仿宋" w:hAnsi="仿宋" w:eastAsia="仿宋" w:cs="仿宋"/>
                <w:sz w:val="21"/>
                <w:szCs w:val="21"/>
                <w:highlight w:val="none"/>
                <w:lang w:val="en-US" w:eastAsia="zh-CN" w:bidi="ar"/>
              </w:rPr>
              <w:t>2）铰链：采用铰链，最大开启角度 110°，开启 15º以内具有自闭功能。耐腐蚀、承重、经久耐用。</w:t>
            </w:r>
            <w:r>
              <w:rPr>
                <w:rStyle w:val="112"/>
                <w:rFonts w:hint="eastAsia" w:ascii="仿宋" w:hAnsi="仿宋" w:eastAsia="仿宋" w:cs="仿宋"/>
                <w:sz w:val="21"/>
                <w:szCs w:val="21"/>
                <w:highlight w:val="none"/>
                <w:lang w:val="en-US" w:eastAsia="zh-CN" w:bidi="ar"/>
              </w:rPr>
              <w:br w:type="textWrapping"/>
            </w:r>
            <w:r>
              <w:rPr>
                <w:rStyle w:val="112"/>
                <w:rFonts w:hint="eastAsia" w:ascii="仿宋" w:hAnsi="仿宋" w:eastAsia="仿宋" w:cs="仿宋"/>
                <w:sz w:val="21"/>
                <w:szCs w:val="21"/>
                <w:highlight w:val="none"/>
                <w:lang w:val="en-US" w:eastAsia="zh-CN" w:bidi="ar"/>
              </w:rPr>
              <w:t>3）导轨：采用超静音三节滚珠滑轨。</w:t>
            </w:r>
            <w:r>
              <w:rPr>
                <w:rStyle w:val="112"/>
                <w:rFonts w:hint="eastAsia" w:ascii="仿宋" w:hAnsi="仿宋" w:eastAsia="仿宋" w:cs="仿宋"/>
                <w:sz w:val="21"/>
                <w:szCs w:val="21"/>
                <w:highlight w:val="none"/>
                <w:lang w:val="en-US" w:eastAsia="zh-CN" w:bidi="ar"/>
              </w:rPr>
              <w:br w:type="textWrapping"/>
            </w:r>
            <w:r>
              <w:rPr>
                <w:rStyle w:val="112"/>
                <w:rFonts w:hint="eastAsia" w:ascii="仿宋" w:hAnsi="仿宋" w:eastAsia="仿宋" w:cs="仿宋"/>
                <w:sz w:val="21"/>
                <w:szCs w:val="21"/>
                <w:highlight w:val="none"/>
                <w:lang w:val="en-US" w:eastAsia="zh-CN" w:bidi="ar"/>
              </w:rPr>
              <w:t>4）地脚：ABS工程塑料可调脚，螺杆≥Φ10mm，具有减缓冲击力功能。</w:t>
            </w:r>
            <w:r>
              <w:rPr>
                <w:rStyle w:val="112"/>
                <w:rFonts w:hint="eastAsia" w:ascii="仿宋" w:hAnsi="仿宋" w:eastAsia="仿宋" w:cs="仿宋"/>
                <w:sz w:val="21"/>
                <w:szCs w:val="21"/>
                <w:highlight w:val="none"/>
                <w:lang w:val="en-US" w:eastAsia="zh-CN" w:bidi="ar"/>
              </w:rPr>
              <w:br w:type="textWrapping"/>
            </w:r>
            <w:r>
              <w:rPr>
                <w:rStyle w:val="112"/>
                <w:rFonts w:hint="eastAsia" w:ascii="仿宋" w:hAnsi="仿宋" w:eastAsia="仿宋" w:cs="仿宋"/>
                <w:sz w:val="21"/>
                <w:szCs w:val="21"/>
                <w:highlight w:val="none"/>
                <w:lang w:val="en-US" w:eastAsia="zh-CN" w:bidi="ar"/>
              </w:rPr>
              <w:t>结构：</w:t>
            </w:r>
            <w:r>
              <w:rPr>
                <w:rStyle w:val="112"/>
                <w:rFonts w:hint="eastAsia" w:ascii="仿宋" w:hAnsi="仿宋" w:eastAsia="仿宋" w:cs="仿宋"/>
                <w:sz w:val="21"/>
                <w:szCs w:val="21"/>
                <w:highlight w:val="none"/>
                <w:lang w:val="en-US" w:eastAsia="zh-CN" w:bidi="ar"/>
              </w:rPr>
              <w:br w:type="textWrapping"/>
            </w:r>
            <w:r>
              <w:rPr>
                <w:rStyle w:val="112"/>
                <w:rFonts w:hint="eastAsia" w:ascii="仿宋" w:hAnsi="仿宋" w:eastAsia="仿宋" w:cs="仿宋"/>
                <w:sz w:val="21"/>
                <w:szCs w:val="21"/>
                <w:highlight w:val="none"/>
                <w:lang w:val="en-US" w:eastAsia="zh-CN" w:bidi="ar"/>
              </w:rPr>
              <w:t>1.钢木左右结构；</w:t>
            </w:r>
            <w:r>
              <w:rPr>
                <w:rStyle w:val="112"/>
                <w:rFonts w:hint="eastAsia" w:ascii="仿宋" w:hAnsi="仿宋" w:eastAsia="仿宋" w:cs="仿宋"/>
                <w:sz w:val="21"/>
                <w:szCs w:val="21"/>
                <w:highlight w:val="none"/>
                <w:lang w:val="en-US" w:eastAsia="zh-CN" w:bidi="ar"/>
              </w:rPr>
              <w:br w:type="textWrapping"/>
            </w:r>
            <w:r>
              <w:rPr>
                <w:rStyle w:val="112"/>
                <w:rFonts w:hint="eastAsia" w:ascii="仿宋" w:hAnsi="仿宋" w:eastAsia="仿宋" w:cs="仿宋"/>
                <w:sz w:val="21"/>
                <w:szCs w:val="21"/>
                <w:highlight w:val="none"/>
                <w:lang w:val="en-US" w:eastAsia="zh-CN" w:bidi="ar"/>
              </w:rPr>
              <w:t>2.钢架采用“工”字形结构，前面放置木柜，木柜下设钢管托撑，并有M8mm螺丝顶固，带可调地脚；</w:t>
            </w:r>
            <w:r>
              <w:rPr>
                <w:rStyle w:val="112"/>
                <w:rFonts w:hint="eastAsia" w:ascii="仿宋" w:hAnsi="仿宋" w:eastAsia="仿宋" w:cs="仿宋"/>
                <w:sz w:val="21"/>
                <w:szCs w:val="21"/>
                <w:highlight w:val="none"/>
                <w:lang w:val="en-US" w:eastAsia="zh-CN" w:bidi="ar"/>
              </w:rPr>
              <w:br w:type="textWrapping"/>
            </w:r>
            <w:r>
              <w:rPr>
                <w:rStyle w:val="112"/>
                <w:rFonts w:hint="eastAsia" w:ascii="仿宋" w:hAnsi="仿宋" w:eastAsia="仿宋" w:cs="仿宋"/>
                <w:sz w:val="21"/>
                <w:szCs w:val="21"/>
                <w:highlight w:val="none"/>
                <w:lang w:val="en-US" w:eastAsia="zh-CN" w:bidi="ar"/>
              </w:rPr>
              <w:t>3.桌柜上设抽屉，下设储物柜；水槽柜设检修门；</w:t>
            </w:r>
            <w:r>
              <w:rPr>
                <w:rStyle w:val="112"/>
                <w:rFonts w:hint="eastAsia" w:ascii="仿宋" w:hAnsi="仿宋" w:eastAsia="仿宋" w:cs="仿宋"/>
                <w:sz w:val="21"/>
                <w:szCs w:val="21"/>
                <w:highlight w:val="none"/>
                <w:lang w:val="en-US" w:eastAsia="zh-CN" w:bidi="ar"/>
              </w:rPr>
              <w:br w:type="textWrapping"/>
            </w:r>
            <w:r>
              <w:rPr>
                <w:rStyle w:val="112"/>
                <w:rFonts w:hint="eastAsia" w:ascii="仿宋" w:hAnsi="仿宋" w:eastAsia="仿宋" w:cs="仿宋"/>
                <w:sz w:val="21"/>
                <w:szCs w:val="21"/>
                <w:highlight w:val="none"/>
                <w:lang w:val="en-US" w:eastAsia="zh-CN" w:bidi="ar"/>
              </w:rPr>
              <w:t>工艺：</w:t>
            </w:r>
            <w:r>
              <w:rPr>
                <w:rStyle w:val="112"/>
                <w:rFonts w:hint="eastAsia" w:ascii="仿宋" w:hAnsi="仿宋" w:eastAsia="仿宋" w:cs="仿宋"/>
                <w:sz w:val="21"/>
                <w:szCs w:val="21"/>
                <w:highlight w:val="none"/>
                <w:lang w:val="en-US" w:eastAsia="zh-CN" w:bidi="ar"/>
              </w:rPr>
              <w:br w:type="textWrapping"/>
            </w:r>
            <w:r>
              <w:rPr>
                <w:rStyle w:val="112"/>
                <w:rFonts w:hint="eastAsia" w:ascii="仿宋" w:hAnsi="仿宋" w:eastAsia="仿宋" w:cs="仿宋"/>
                <w:sz w:val="21"/>
                <w:szCs w:val="21"/>
                <w:highlight w:val="none"/>
                <w:lang w:val="en-US" w:eastAsia="zh-CN" w:bidi="ar"/>
              </w:rPr>
              <w:t>1. 板材截面采用pvc封边条机械高温封边；</w:t>
            </w:r>
            <w:r>
              <w:rPr>
                <w:rStyle w:val="112"/>
                <w:rFonts w:hint="eastAsia" w:ascii="仿宋" w:hAnsi="仿宋" w:eastAsia="仿宋" w:cs="仿宋"/>
                <w:sz w:val="21"/>
                <w:szCs w:val="21"/>
                <w:highlight w:val="none"/>
                <w:lang w:val="en-US" w:eastAsia="zh-CN" w:bidi="ar"/>
              </w:rPr>
              <w:br w:type="textWrapping"/>
            </w:r>
            <w:r>
              <w:rPr>
                <w:rStyle w:val="112"/>
                <w:rFonts w:hint="eastAsia" w:ascii="仿宋" w:hAnsi="仿宋" w:eastAsia="仿宋" w:cs="仿宋"/>
                <w:sz w:val="21"/>
                <w:szCs w:val="21"/>
                <w:highlight w:val="none"/>
                <w:lang w:val="en-US" w:eastAsia="zh-CN" w:bidi="ar"/>
              </w:rPr>
              <w:t>2.钢材采用CO</w:t>
            </w:r>
            <w:r>
              <w:rPr>
                <w:rFonts w:hint="eastAsia" w:ascii="仿宋" w:hAnsi="仿宋" w:eastAsia="仿宋" w:cs="仿宋"/>
                <w:i w:val="0"/>
                <w:iCs w:val="0"/>
                <w:color w:val="000000"/>
                <w:kern w:val="0"/>
                <w:sz w:val="21"/>
                <w:szCs w:val="21"/>
                <w:highlight w:val="none"/>
                <w:u w:val="none"/>
                <w:lang w:val="en-US" w:eastAsia="zh-CN" w:bidi="ar"/>
              </w:rPr>
              <w:t>₂</w:t>
            </w:r>
            <w:r>
              <w:rPr>
                <w:rStyle w:val="112"/>
                <w:rFonts w:hint="eastAsia" w:ascii="仿宋" w:hAnsi="仿宋" w:eastAsia="仿宋" w:cs="仿宋"/>
                <w:sz w:val="21"/>
                <w:szCs w:val="21"/>
                <w:highlight w:val="none"/>
                <w:lang w:val="en-US" w:eastAsia="zh-CN" w:bidi="ar"/>
              </w:rPr>
              <w:t>保护焊焊接，钢材表面经喷砂抛丸去油除锈，静电喷涂；</w:t>
            </w:r>
            <w:r>
              <w:rPr>
                <w:rStyle w:val="112"/>
                <w:rFonts w:hint="eastAsia" w:ascii="仿宋" w:hAnsi="仿宋" w:eastAsia="仿宋" w:cs="仿宋"/>
                <w:sz w:val="21"/>
                <w:szCs w:val="21"/>
                <w:highlight w:val="none"/>
                <w:lang w:val="en-US" w:eastAsia="zh-CN" w:bidi="ar"/>
              </w:rPr>
              <w:br w:type="textWrapping"/>
            </w:r>
            <w:r>
              <w:rPr>
                <w:rStyle w:val="112"/>
                <w:rFonts w:hint="eastAsia" w:ascii="仿宋" w:hAnsi="仿宋" w:eastAsia="仿宋" w:cs="仿宋"/>
                <w:sz w:val="21"/>
                <w:szCs w:val="21"/>
                <w:highlight w:val="none"/>
                <w:lang w:val="en-US" w:eastAsia="zh-CN" w:bidi="ar"/>
              </w:rPr>
              <w:t>性能：1. 台面双面膜耐腐蚀实芯理化板，耐酸、耐碱、耐高温，坚固耐用，防潮、无细孔、不膨胀、不龟裂、不变形、不导电、便于维护及具有良好的承重性；</w:t>
            </w:r>
            <w:r>
              <w:rPr>
                <w:rStyle w:val="112"/>
                <w:rFonts w:hint="eastAsia" w:ascii="仿宋" w:hAnsi="仿宋" w:eastAsia="仿宋" w:cs="仿宋"/>
                <w:sz w:val="21"/>
                <w:szCs w:val="21"/>
                <w:highlight w:val="none"/>
                <w:lang w:val="en-US" w:eastAsia="zh-CN" w:bidi="ar"/>
              </w:rPr>
              <w:br w:type="textWrapping"/>
            </w:r>
            <w:r>
              <w:rPr>
                <w:rStyle w:val="112"/>
                <w:rFonts w:hint="eastAsia" w:ascii="仿宋" w:hAnsi="仿宋" w:eastAsia="仿宋" w:cs="仿宋"/>
                <w:sz w:val="21"/>
                <w:szCs w:val="21"/>
                <w:highlight w:val="none"/>
                <w:lang w:val="en-US" w:eastAsia="zh-CN" w:bidi="ar"/>
              </w:rPr>
              <w:t>3.桌柜离地150mm左右；</w:t>
            </w:r>
            <w:r>
              <w:rPr>
                <w:rStyle w:val="112"/>
                <w:rFonts w:hint="eastAsia" w:ascii="仿宋" w:hAnsi="仿宋" w:eastAsia="仿宋" w:cs="仿宋"/>
                <w:sz w:val="21"/>
                <w:szCs w:val="21"/>
                <w:highlight w:val="none"/>
                <w:lang w:val="en-US" w:eastAsia="zh-CN" w:bidi="ar"/>
              </w:rPr>
              <w:br w:type="textWrapping"/>
            </w:r>
            <w:r>
              <w:rPr>
                <w:rStyle w:val="112"/>
                <w:rFonts w:hint="eastAsia" w:ascii="仿宋" w:hAnsi="仿宋" w:eastAsia="仿宋" w:cs="仿宋"/>
                <w:sz w:val="21"/>
                <w:szCs w:val="21"/>
                <w:highlight w:val="none"/>
                <w:lang w:val="en-US" w:eastAsia="zh-CN" w:bidi="ar"/>
              </w:rPr>
              <w:t>4.水池柜：演示台一侧应设置水池柜，安放高密度黑色PPR一体化水槽，其内腔尺寸（长宽高）≥480mm×380mm×280mm。并设置活动检修门，便于进行维护。</w:t>
            </w:r>
            <w:r>
              <w:rPr>
                <w:rStyle w:val="112"/>
                <w:rFonts w:hint="eastAsia" w:ascii="仿宋" w:hAnsi="仿宋" w:eastAsia="仿宋" w:cs="仿宋"/>
                <w:sz w:val="21"/>
                <w:szCs w:val="21"/>
                <w:highlight w:val="none"/>
                <w:lang w:val="en-US" w:eastAsia="zh-CN" w:bidi="ar"/>
              </w:rPr>
              <w:br w:type="textWrapping"/>
            </w:r>
            <w:r>
              <w:rPr>
                <w:rStyle w:val="112"/>
                <w:rFonts w:hint="eastAsia" w:ascii="仿宋" w:hAnsi="仿宋" w:eastAsia="仿宋" w:cs="仿宋"/>
                <w:sz w:val="21"/>
                <w:szCs w:val="21"/>
                <w:highlight w:val="none"/>
                <w:lang w:val="en-US" w:eastAsia="zh-CN" w:bidi="ar"/>
              </w:rPr>
              <w:t>5.水嘴：喷塑三联式高位水嘴、陶瓷芯片水阀水槽。</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0E9B702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49" w:type="pct"/>
            <w:tcBorders>
              <w:top w:val="single" w:color="000000" w:sz="4" w:space="0"/>
              <w:left w:val="single" w:color="000000" w:sz="4" w:space="0"/>
              <w:bottom w:val="single" w:color="000000" w:sz="4" w:space="0"/>
              <w:right w:val="single" w:color="000000" w:sz="4" w:space="0"/>
            </w:tcBorders>
            <w:noWrap w:val="0"/>
            <w:vAlign w:val="center"/>
          </w:tcPr>
          <w:p w14:paraId="0B9D235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张</w:t>
            </w:r>
          </w:p>
        </w:tc>
      </w:tr>
      <w:tr w14:paraId="6315C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2C5066C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14:paraId="726A1A6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高中化学实验室总控电源</w:t>
            </w:r>
          </w:p>
        </w:tc>
        <w:tc>
          <w:tcPr>
            <w:tcW w:w="3527" w:type="pct"/>
            <w:tcBorders>
              <w:top w:val="single" w:color="000000" w:sz="4" w:space="0"/>
              <w:left w:val="single" w:color="000000" w:sz="4" w:space="0"/>
              <w:bottom w:val="single" w:color="000000" w:sz="4" w:space="0"/>
              <w:right w:val="single" w:color="000000" w:sz="4" w:space="0"/>
            </w:tcBorders>
            <w:noWrap w:val="0"/>
            <w:vAlign w:val="center"/>
          </w:tcPr>
          <w:p w14:paraId="739DB44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产品外壳采用镀锌板折弯焊接成型，表面喷塑。</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1.电源面板表面贴面膜，有漏电总开关、交流220V五孔带防护插座、教师用低压调整单元、低压交直流电压、电流、40A倒计时时间均采用二位半数显表头显示。</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2.直流稳压输出</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a.标称电压:1.5V～30V，每0.1V步进调整。</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b.额定电流:1.5V～6V，≥6A；7V～12V，≥3A，12～30V，≥2A。</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c.负载特性:交流输入电压在198V～242V间变化，在额定电流输出时电压变化≤0.2V，纹波电压≤3mV。</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3.交流输出</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a.0V～30V，每0.5V步进调整，自动稳压。</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b.额定电流:0V～6V，≥9A；7V～12V，≥4A，13V～30V，≥3A。</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c.负载特性:交流输入电压在220V不变时，负载电流在0至额定电流范围内变化，输出电压各档变化量≤±0.5V。</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4.直流40A大电流，当负载电流≥10A时，10秒内负载自动关断，并有倒计时时间显示。</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5.过载保护</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a.当教师电源的低压交直流输出等于或小于其额定输出电流值时，电流应正常工作，当输出电流在额定电流的1.5～1.1倍时电源应能过载保护。</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0A38BB7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49" w:type="pct"/>
            <w:tcBorders>
              <w:top w:val="single" w:color="000000" w:sz="4" w:space="0"/>
              <w:left w:val="single" w:color="000000" w:sz="4" w:space="0"/>
              <w:bottom w:val="single" w:color="000000" w:sz="4" w:space="0"/>
              <w:right w:val="single" w:color="000000" w:sz="4" w:space="0"/>
            </w:tcBorders>
            <w:noWrap/>
            <w:vAlign w:val="center"/>
          </w:tcPr>
          <w:p w14:paraId="7638408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7ABA5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2D1077B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14:paraId="2BCE966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变频器</w:t>
            </w:r>
          </w:p>
        </w:tc>
        <w:tc>
          <w:tcPr>
            <w:tcW w:w="3527" w:type="pct"/>
            <w:tcBorders>
              <w:top w:val="single" w:color="000000" w:sz="4" w:space="0"/>
              <w:left w:val="single" w:color="000000" w:sz="4" w:space="0"/>
              <w:bottom w:val="single" w:color="000000" w:sz="4" w:space="0"/>
              <w:right w:val="single" w:color="000000" w:sz="4" w:space="0"/>
            </w:tcBorders>
            <w:noWrap w:val="0"/>
            <w:vAlign w:val="center"/>
          </w:tcPr>
          <w:p w14:paraId="14A5ACE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采用高性能矢量控制变频器，用全新的SVC（无速度传感器矢量控制）带来更好的低速稳定性、更强的低频带载能力，而且支持SVC的转矩控制，通过智能控制屏按百分比控制风量的大小。额定输入电压3相AC380V±15%，频率范围47～63Hz。由变频器对风机进行短路、过载、缺相等保护</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334AE84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49" w:type="pct"/>
            <w:tcBorders>
              <w:top w:val="single" w:color="000000" w:sz="4" w:space="0"/>
              <w:left w:val="single" w:color="000000" w:sz="4" w:space="0"/>
              <w:bottom w:val="single" w:color="000000" w:sz="4" w:space="0"/>
              <w:right w:val="single" w:color="000000" w:sz="4" w:space="0"/>
            </w:tcBorders>
            <w:noWrap w:val="0"/>
            <w:vAlign w:val="center"/>
          </w:tcPr>
          <w:p w14:paraId="05CDDD6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1BADE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60EC97B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14:paraId="427C07C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实验室专用洗眼器</w:t>
            </w:r>
          </w:p>
        </w:tc>
        <w:tc>
          <w:tcPr>
            <w:tcW w:w="352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CD3664">
            <w:pPr>
              <w:keepNext w:val="0"/>
              <w:keepLines w:val="0"/>
              <w:widowControl/>
              <w:suppressLineNumbers w:val="0"/>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规格：≥250mm×140mm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1、主体：加厚铜质。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2、涂层：高亮度超厚电镀层，耐腐蚀、耐热、防紫外线辐射。</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3、防尘盖：PP材质，单喷头设置防尘盖,使用时自动被水冲开。</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4、开关手柄：采用杠杆结构，铜质按压阀通过塑料手柄操作，启闭快捷方便。</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5、供水软管：配置软性PVC管，内嵌不锈钢网防止杂质进入，外覆不锈钢网，外层包裹PE管，有效防止生锈、磨损、划手.</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6、洗眼喷头：模注一体成型，软性橡胶并带有缓冲滤网，出水经缓压处理呈泡沫柱状。</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7、控水阀：止逆阀，其闭门可自动关闭.</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437910E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49" w:type="pct"/>
            <w:tcBorders>
              <w:top w:val="single" w:color="000000" w:sz="4" w:space="0"/>
              <w:left w:val="single" w:color="000000" w:sz="4" w:space="0"/>
              <w:bottom w:val="single" w:color="000000" w:sz="4" w:space="0"/>
              <w:right w:val="single" w:color="000000" w:sz="4" w:space="0"/>
            </w:tcBorders>
            <w:noWrap w:val="0"/>
            <w:vAlign w:val="center"/>
          </w:tcPr>
          <w:p w14:paraId="38A65A3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1462C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6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4E85F6A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14:paraId="35FB847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学生实验桌</w:t>
            </w:r>
          </w:p>
        </w:tc>
        <w:tc>
          <w:tcPr>
            <w:tcW w:w="3527" w:type="pct"/>
            <w:tcBorders>
              <w:top w:val="single" w:color="000000" w:sz="4" w:space="0"/>
              <w:left w:val="single" w:color="000000" w:sz="4" w:space="0"/>
              <w:bottom w:val="single" w:color="000000" w:sz="4" w:space="0"/>
              <w:right w:val="single" w:color="000000" w:sz="4" w:space="0"/>
            </w:tcBorders>
            <w:noWrap w:val="0"/>
            <w:vAlign w:val="center"/>
          </w:tcPr>
          <w:p w14:paraId="7A66174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规格：≥长1200mm×宽600mm×高780mm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1.台面：台面采用≥12mm 双面膜理化板台面，学生位置设圆弧造型 两侧设阻水边。台面后方卡入学生桌铝型槽内。耐酸、耐碱、耐高温，坚固耐用，防潮、无细孔、不膨胀、不龟裂、不变形、不导电、便于维护及具有良好的承重性能。</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2.结构：新型钢塑结构，符合人体工程学设计。专用书包斗采用 ABS 工程塑料一次性注塑成型结合，内净尺寸≥365mm×280mm×120mm。镂空设计，底部设有排水孔，便于清理，不屯垃圾，中间设挂凳卡。</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3.桌架：桌腿采用≥90mm×60mm×2mm 椭圆管模具一体成型为”Y”字型（不得二次焊接），下开口采用磨具成型改性工程塑料材料装饰，上端连接件采用铸铝一体成型，上框采用 20mm×30mm矩形管焊接成型，并用高强度内六角螺丝连接，便于组装及拆卸，外观流线形设计，简洁美观，易碰撞处全部采用倒圆角，产品款式要求整体设计美观、合理、安全、牢固、耐用。金属表面经静电粉沫喷涂处理。要做到承重性能强和耐酸碱、耐腐蚀。</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4.挡水板：后挡水板采用≥115mm×14mm×2mm 厚一体成型铝合金，左右堵头连接件采用ABS模具一体成型，固定于台架不易脱落，便于组装及拆卸，外观流线形设计，简洁美观,易碰撞处全部采用倒圆角，产品款式要求整体设计美观、合理、安全牢固、耐用。金属表面经静电粉沫喷涂处理。要做到承重性能强和耐酸碱、耐腐蚀。</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5.桌脚：采用一体注塑模具成型，结构美观牢固，并设有防滑调整脚，同时可以与地面固定，防止桌体移动。采用专用注塑模具件装饰。</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为保证产品质量以及从环保角度保障实验室人员健康，符合以下技术参数及要求：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（1）、台面宽度，净操作面深度，台面高度，操作台高度，操作台下净空高，操作台下净空宽；满足第三方检测机构主要尺寸检测，检测结果均为符合。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（2）、外形尺寸偏差，台面翘曲度，台面平整度，底脚平稳性；满足第三方检测机构外形尺寸偏差及形状位置公差测检测，检测结果均为符合。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操作台面的裂缝和渗透，板件或部件的毛刺和光滑，封边或包边不应出现脱胶，贴面应严密和平整，零部件结合的严密和牢固，配件安装的无松动，金属件应闭口和焊接无虚焊，焊疤表面波纹应均匀、高低之差应不大于1mm，金属件涂层应无漏喷、锈蚀和脱色、掉色现象，涂层应光滑均匀、色泽一致、应无流挂、疙瘩、皱皮、飞漆等缺陷；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（4）、台面磨耗值28mg/100r，表面情况应无露底现象，无整圈连续划痕、无开裂，耐龟裂性0级，无裂纹、鼓泡、起皱和无明显变色，无凸起、龟裂和 明显变色，耐干热1级，冲击凹坑直径7.5mm，化学实验台面抗化学试剂符合要求，耐高温，耐污染1级；满足第三方检测机构检测，检测结果均为符合。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（5）、金属喷(漆)塑涂层硬度3H，冲击强度符合要求，耐腐蚀10级；满足第三方检测机构检测，检测结果均为符合。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产品整体的力学性能经过水平静载荷试验，垂直静载荷试验，持续垂直静载荷，独立操作台水平冲击稳定性试验，独立操作台垂直加载稳定性试验，水平耐久性试验，垂直冲击试验；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（7）、甲醛释放量：≤0.2mg/L；满足第三方检测机构检测，检测结果均为符合。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（8）、重金属含量中的可溶性铅、可溶性镉、可溶性铬、可溶性汞；满足第三方检测机构检测，检测结果均为符合。</w:t>
            </w:r>
          </w:p>
        </w:tc>
        <w:tc>
          <w:tcPr>
            <w:tcW w:w="320" w:type="pct"/>
            <w:tcBorders>
              <w:top w:val="single" w:color="000000" w:sz="4" w:space="0"/>
              <w:left w:val="single" w:color="000000" w:sz="4" w:space="0"/>
              <w:bottom w:val="single" w:color="000000" w:sz="4" w:space="0"/>
              <w:right w:val="single" w:color="000000" w:sz="4" w:space="0"/>
            </w:tcBorders>
            <w:noWrap/>
            <w:vAlign w:val="center"/>
          </w:tcPr>
          <w:p w14:paraId="5EB040D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c>
          <w:tcPr>
            <w:tcW w:w="349" w:type="pct"/>
            <w:tcBorders>
              <w:top w:val="single" w:color="000000" w:sz="4" w:space="0"/>
              <w:left w:val="single" w:color="000000" w:sz="4" w:space="0"/>
              <w:bottom w:val="single" w:color="000000" w:sz="4" w:space="0"/>
              <w:right w:val="single" w:color="000000" w:sz="4" w:space="0"/>
            </w:tcBorders>
            <w:noWrap/>
            <w:vAlign w:val="center"/>
          </w:tcPr>
          <w:p w14:paraId="2426737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张</w:t>
            </w:r>
          </w:p>
        </w:tc>
      </w:tr>
      <w:tr w14:paraId="43C9A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45138C3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14:paraId="6122D2F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实验凳</w:t>
            </w:r>
          </w:p>
        </w:tc>
        <w:tc>
          <w:tcPr>
            <w:tcW w:w="352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6EAE60">
            <w:pPr>
              <w:keepNext w:val="0"/>
              <w:keepLines w:val="0"/>
              <w:widowControl/>
              <w:suppressLineNumbers w:val="0"/>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规格：≥Φ315mm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1.螺旋式升降。</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2.凳脚材质：4个凳脚采用≥17mm×34mm×1.2mm无缝钢管模具一次弯管成型。二氧化碳保护焊焊接，结构牢固，金属表面经静电粉沫喷涂处理。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3.凳面材质：采用聚丙烯共聚级注塑,厚5mm。表面细纹咬花，防滑不发光。凳面底部镶嵌4枚铜质螺纹，采用螺丝与圆型托盘固定。</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4.脚垫材质：采用PP加耐磨纤维质塑料，实心倒勾式一体射出成型凳面与凳脚留有一定的空间便于凳子挂在挂凳扣上。方便教室的打扫。</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（1）、实验凳座高430mm，满足第三方检测机构主要尺寸及偏差检测，检测结果均为符合。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（2）、实验凳着地平稳性；满足第三方检测机构形状和位置公差检测，检测结果均为符合。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（3）、实验凳外观性能-金属件的喷涂层应涂层应无漏喷、锈蚀和脱色、掉色现象，涂层应光滑均匀、色泽一致，应无流挂、疙瘩、皱皮、飞漆；满足第三方检测机构检测，检测结果均为符合。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（4）、实验凳外观性能-塑料件应无裂纹，无明 显变形，应无明显缩孔、气泡、杂质、伤痕，外表用塑料件表面应光洁、无划痕，无污渍，无明显色差；满足第三方检测机构检测，检测结果均为符合。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（5）、实验凳应满足安全性能-结构安全的要求；满足第三方检测机构检测，检测结果均为符合。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（6）、实验凳金属喷漆 ( 塑 )涂层的硬度4H，冲击高度400mm,应无剥落、裂纹、皱纹，附着力1级，耐腐蚀应无鼓泡产生、无锈迹、剥落、起皱、变色 和失光等现象；满足第三方检测机构检测，检测结果均为符合。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（7）、实验凳的塑料件冲击强度29J/m²；满足第三方检测机构检测，检测结果均为符合。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（8）、实验凳整体的力学性能通过座面和椅 背静载荷试验-座面静载荷试验，座面和椅背静载荷试验-椅背静载荷试验，座面耐久性试验，椅背耐久性试验，椅腿前向静载荷试验，椅腿侧向静载荷试验，座面冲击试验，椅背冲击试验，跌落试验，凳子任意方向的倾翻试验；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（9）、实验凳重金属含量中的可溶性铅、可溶性镉、可溶性铬、可溶性汞；满足第三方检测机构检测，检测结果均为符合。</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74A079D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57</w:t>
            </w:r>
          </w:p>
        </w:tc>
        <w:tc>
          <w:tcPr>
            <w:tcW w:w="349" w:type="pct"/>
            <w:tcBorders>
              <w:top w:val="single" w:color="000000" w:sz="4" w:space="0"/>
              <w:left w:val="single" w:color="000000" w:sz="4" w:space="0"/>
              <w:bottom w:val="single" w:color="000000" w:sz="4" w:space="0"/>
              <w:right w:val="single" w:color="000000" w:sz="4" w:space="0"/>
            </w:tcBorders>
            <w:noWrap w:val="0"/>
            <w:vAlign w:val="center"/>
          </w:tcPr>
          <w:p w14:paraId="55ACF1D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r>
      <w:tr w14:paraId="23DF2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1"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15C84E5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14:paraId="2076868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移动水槽台</w:t>
            </w:r>
          </w:p>
        </w:tc>
        <w:tc>
          <w:tcPr>
            <w:tcW w:w="3527" w:type="pct"/>
            <w:tcBorders>
              <w:top w:val="single" w:color="000000" w:sz="4" w:space="0"/>
              <w:left w:val="single" w:color="000000" w:sz="4" w:space="0"/>
              <w:bottom w:val="single" w:color="000000" w:sz="4" w:space="0"/>
              <w:right w:val="single" w:color="000000" w:sz="4" w:space="0"/>
            </w:tcBorders>
            <w:noWrap w:val="0"/>
            <w:vAlign w:val="center"/>
          </w:tcPr>
          <w:p w14:paraId="20E3C07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规格：≥长600mm×宽460mm×高820mm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1.由柜体和水槽底座部分组成。</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水槽内规格≥400mm×300mm×240mm,柜体底座采用ABS注塑成型，水槽采用PP塑料一次模具成型，确保柜体结构稳固；柜体前后带有磁吸检修门，方便日后维修，前沿带有围边挡水，带有防溢水孔，水槽预留安装水嘴孔，洗眼器孔，按压洗手液孔，柜体内设有隐藏式抽屉方便放置洗涤用品，水封式水塞可防止废水回流和堵塞。</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3.水嘴：喷塑三联式高位水嘴。</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4.水槽专配型排水管，不锈钢卡扣连接，安装方便不渗漏，储水罐PP材质。</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5B98E26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w:t>
            </w:r>
          </w:p>
        </w:tc>
        <w:tc>
          <w:tcPr>
            <w:tcW w:w="349" w:type="pct"/>
            <w:tcBorders>
              <w:top w:val="single" w:color="000000" w:sz="4" w:space="0"/>
              <w:left w:val="single" w:color="000000" w:sz="4" w:space="0"/>
              <w:bottom w:val="single" w:color="000000" w:sz="4" w:space="0"/>
              <w:right w:val="single" w:color="000000" w:sz="4" w:space="0"/>
            </w:tcBorders>
            <w:noWrap w:val="0"/>
            <w:vAlign w:val="center"/>
          </w:tcPr>
          <w:p w14:paraId="2BE65B9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r>
      <w:tr w14:paraId="7E3C8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14:paraId="3D772E04">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总控系统</w:t>
            </w:r>
          </w:p>
        </w:tc>
      </w:tr>
      <w:tr w14:paraId="4846D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5E89087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14:paraId="02E9AEF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控制机柜</w:t>
            </w:r>
          </w:p>
        </w:tc>
        <w:tc>
          <w:tcPr>
            <w:tcW w:w="3527" w:type="pct"/>
            <w:tcBorders>
              <w:top w:val="single" w:color="000000" w:sz="4" w:space="0"/>
              <w:left w:val="single" w:color="000000" w:sz="4" w:space="0"/>
              <w:bottom w:val="single" w:color="000000" w:sz="4" w:space="0"/>
              <w:right w:val="single" w:color="000000" w:sz="4" w:space="0"/>
            </w:tcBorders>
            <w:noWrap w:val="0"/>
            <w:vAlign w:val="center"/>
          </w:tcPr>
          <w:p w14:paraId="5BEF5AC5">
            <w:pPr>
              <w:keepNext w:val="0"/>
              <w:keepLines w:val="0"/>
              <w:widowControl/>
              <w:suppressLineNumbers w:val="0"/>
              <w:jc w:val="left"/>
              <w:textAlignment w:val="center"/>
              <w:rPr>
                <w:rFonts w:hint="eastAsia" w:ascii="仿宋" w:hAnsi="仿宋" w:eastAsia="仿宋" w:cs="仿宋"/>
                <w:sz w:val="21"/>
                <w:szCs w:val="21"/>
                <w:highlight w:val="none"/>
              </w:rPr>
            </w:pPr>
            <w:r>
              <w:rPr>
                <w:rFonts w:hint="eastAsia" w:ascii="仿宋" w:hAnsi="仿宋" w:eastAsia="仿宋" w:cs="仿宋"/>
                <w:i w:val="0"/>
                <w:iCs w:val="0"/>
                <w:color w:val="000000"/>
                <w:kern w:val="0"/>
                <w:sz w:val="21"/>
                <w:szCs w:val="21"/>
                <w:highlight w:val="none"/>
                <w:u w:val="none"/>
                <w:lang w:val="en-US" w:eastAsia="zh-CN" w:bidi="ar"/>
              </w:rPr>
              <w:t>1、规格：≥500*800*225 ㎜；外观设计整洁美观，采用1.0mm厚钢板经数控折弯加工，表面硅烷处理、喷塑。</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2、箱门上安裝控制屏、启动开关，急停开关。</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控制箱内置3P总电源开关，智能控制总开关，漏电、过载、短路保护开关，风量控制及风量控制系统保护系统，485通讯输出，微电脑控制器及功能扩展模块，微电脑保护模块，急停控制系统，电源分组控制系统，照明分组控制系统，给排水控制系统，吊臂控制系统。</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076883A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49" w:type="pct"/>
            <w:tcBorders>
              <w:top w:val="single" w:color="000000" w:sz="4" w:space="0"/>
              <w:left w:val="single" w:color="000000" w:sz="4" w:space="0"/>
              <w:bottom w:val="single" w:color="000000" w:sz="4" w:space="0"/>
              <w:right w:val="single" w:color="000000" w:sz="4" w:space="0"/>
            </w:tcBorders>
            <w:noWrap w:val="0"/>
            <w:vAlign w:val="center"/>
          </w:tcPr>
          <w:p w14:paraId="20AC3DA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r>
      <w:tr w14:paraId="2A9EF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97"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25C4776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14:paraId="264A834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总控软件系统</w:t>
            </w:r>
          </w:p>
        </w:tc>
        <w:tc>
          <w:tcPr>
            <w:tcW w:w="3527" w:type="pct"/>
            <w:tcBorders>
              <w:top w:val="single" w:color="000000" w:sz="4" w:space="0"/>
              <w:left w:val="single" w:color="000000" w:sz="4" w:space="0"/>
              <w:bottom w:val="single" w:color="000000" w:sz="4" w:space="0"/>
              <w:right w:val="single" w:color="000000" w:sz="4" w:space="0"/>
            </w:tcBorders>
            <w:noWrap w:val="0"/>
            <w:vAlign w:val="center"/>
          </w:tcPr>
          <w:p w14:paraId="4067E70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1、开机即用，无系统启动时间。</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2、经密码验证之后，方可进入控制系统界面，以增加控制安全性。</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3、接通总开关和支路开关，可集中或分组控制吊臂的升降、照明灯亮与灭、交流220V插座、按百比调节风量大小、给排水控制（排水自动检测并及时排水）、低压交直流电压输出并可控。</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4、系统时间可设置、可延时关机、可定时关机。</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5、可支持拓展远程控制系统使用。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6、控制柜与各个吊臂之间采用高可靠性的Modbus-RTU通讯协议下进行控制：</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a、吊臂控制系统：教师通过智能控制屏对实验室进行单独、分组、全部控制，升、降、暂停，升、降到位后会自动停止。</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b、电源控制系统：教师通过智能控制屏对实验室进行单独、分组、全部控制交流220V输出和学生用低压输出。</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c、照明控制系统：教师通过智能控制屏对实验室吊仓上的照明进行单独、分组、全部控制。</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d、通风控制系统：用高性能矢量控制变频器，用全新的SVC（无速度传感器矢量控制）带来更好的低速稳定性、更强的低频带载能力，而且支持SVC的转矩控制，通过智能控制屏按百分比控制风量的大小。额定输入电压3相380V±15%，频率范围47～63Hz。由变频器对风机进行短路、过载、缺相等保护。</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e、给排水控制系统：每个学生终端配置一组水流自动检测传感器，当给水时自动进行排水控制；吊臂下方配有插拔式自动锁紧排水接口，接口与学生水槽柜下方水箱连接通过具有耐酸碱、耐腐蚀功能的改性PVC橡胶塑料软管连接，即插即用，用完拔下收起，给排水管具有到位检测功能，在没有拔下水管，吊臂不能收起。</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1A019A5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49" w:type="pct"/>
            <w:tcBorders>
              <w:top w:val="single" w:color="000000" w:sz="4" w:space="0"/>
              <w:left w:val="single" w:color="000000" w:sz="4" w:space="0"/>
              <w:bottom w:val="single" w:color="000000" w:sz="4" w:space="0"/>
              <w:right w:val="single" w:color="000000" w:sz="4" w:space="0"/>
            </w:tcBorders>
            <w:noWrap w:val="0"/>
            <w:vAlign w:val="center"/>
          </w:tcPr>
          <w:p w14:paraId="1272F0B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6EC5F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704AA3A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14:paraId="71A5865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控制屏</w:t>
            </w:r>
          </w:p>
        </w:tc>
        <w:tc>
          <w:tcPr>
            <w:tcW w:w="3527" w:type="pct"/>
            <w:tcBorders>
              <w:top w:val="single" w:color="000000" w:sz="4" w:space="0"/>
              <w:left w:val="single" w:color="000000" w:sz="4" w:space="0"/>
              <w:bottom w:val="single" w:color="000000" w:sz="4" w:space="0"/>
              <w:right w:val="single" w:color="000000" w:sz="4" w:space="0"/>
            </w:tcBorders>
            <w:noWrap w:val="0"/>
            <w:vAlign w:val="center"/>
          </w:tcPr>
          <w:p w14:paraId="60867D3C">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1、控制屏幕采用≥12.1寸，外部用铝合金包边，分辨率为≥1024*768。</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2、屏幕为电容触摸，支持单点、滑动触摸。</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3、控制屏装在控制机柜上面</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470FF28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49" w:type="pct"/>
            <w:tcBorders>
              <w:top w:val="single" w:color="000000" w:sz="4" w:space="0"/>
              <w:left w:val="single" w:color="000000" w:sz="4" w:space="0"/>
              <w:bottom w:val="single" w:color="000000" w:sz="4" w:space="0"/>
              <w:right w:val="single" w:color="000000" w:sz="4" w:space="0"/>
            </w:tcBorders>
            <w:noWrap w:val="0"/>
            <w:vAlign w:val="center"/>
          </w:tcPr>
          <w:p w14:paraId="376BF24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23EEA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58BE861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14:paraId="71A6C20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远程控制系统</w:t>
            </w:r>
          </w:p>
        </w:tc>
        <w:tc>
          <w:tcPr>
            <w:tcW w:w="3527" w:type="pct"/>
            <w:tcBorders>
              <w:top w:val="single" w:color="000000" w:sz="4" w:space="0"/>
              <w:left w:val="single" w:color="000000" w:sz="4" w:space="0"/>
              <w:bottom w:val="single" w:color="000000" w:sz="4" w:space="0"/>
              <w:right w:val="single" w:color="000000" w:sz="4" w:space="0"/>
            </w:tcBorders>
            <w:noWrap w:val="0"/>
            <w:vAlign w:val="center"/>
          </w:tcPr>
          <w:p w14:paraId="0CF60286">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1、远程控制系统自适应PC、平板、手机端，兼顾不同系统不同终端的使用需求。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2、远程控制系统采用终端账号统一管理，实现账号与实验室一一对应，避免误操作和账号管理分散，登录验证唯一性，保证安全。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3、远程控制系统与总控软件系统实时通信，保证状态实时同步，实现远程实时对总控软件系统的远程操作。</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4、具有良好的拓展性，可以接入其他标准系统接口，实现对实验室产品控制功能的拓展。</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7673DFE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49" w:type="pct"/>
            <w:tcBorders>
              <w:top w:val="single" w:color="000000" w:sz="4" w:space="0"/>
              <w:left w:val="single" w:color="000000" w:sz="4" w:space="0"/>
              <w:bottom w:val="single" w:color="000000" w:sz="4" w:space="0"/>
              <w:right w:val="single" w:color="000000" w:sz="4" w:space="0"/>
            </w:tcBorders>
            <w:noWrap w:val="0"/>
            <w:vAlign w:val="center"/>
          </w:tcPr>
          <w:p w14:paraId="3DF9AF5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134DD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7A0616D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14:paraId="582CC04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环境检测套件</w:t>
            </w:r>
          </w:p>
        </w:tc>
        <w:tc>
          <w:tcPr>
            <w:tcW w:w="3527" w:type="pct"/>
            <w:tcBorders>
              <w:top w:val="single" w:color="000000" w:sz="4" w:space="0"/>
              <w:left w:val="single" w:color="000000" w:sz="4" w:space="0"/>
              <w:bottom w:val="single" w:color="000000" w:sz="4" w:space="0"/>
              <w:right w:val="single" w:color="000000" w:sz="4" w:space="0"/>
            </w:tcBorders>
            <w:noWrap w:val="0"/>
            <w:vAlign w:val="center"/>
          </w:tcPr>
          <w:p w14:paraId="4C9FEC0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可在实验室加装温度、湿度等传感装置，实时监控房间内的温度和湿度，保障室内舒适的环境舒适性，在控制系统中进行显示</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78A95DF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49" w:type="pct"/>
            <w:tcBorders>
              <w:top w:val="single" w:color="000000" w:sz="4" w:space="0"/>
              <w:left w:val="single" w:color="000000" w:sz="4" w:space="0"/>
              <w:bottom w:val="single" w:color="000000" w:sz="4" w:space="0"/>
              <w:right w:val="single" w:color="000000" w:sz="4" w:space="0"/>
            </w:tcBorders>
            <w:noWrap w:val="0"/>
            <w:vAlign w:val="center"/>
          </w:tcPr>
          <w:p w14:paraId="3EB2DD3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00EF1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14:paraId="59BED962">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吊臂系统</w:t>
            </w:r>
          </w:p>
        </w:tc>
      </w:tr>
      <w:tr w14:paraId="5F377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8AE1C2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14:paraId="03C5846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吊舱模组</w:t>
            </w:r>
          </w:p>
        </w:tc>
        <w:tc>
          <w:tcPr>
            <w:tcW w:w="3527" w:type="pct"/>
            <w:tcBorders>
              <w:top w:val="single" w:color="000000" w:sz="4" w:space="0"/>
              <w:left w:val="single" w:color="000000" w:sz="4" w:space="0"/>
              <w:bottom w:val="single" w:color="000000" w:sz="4" w:space="0"/>
              <w:right w:val="single" w:color="000000" w:sz="4" w:space="0"/>
            </w:tcBorders>
            <w:noWrap w:val="0"/>
            <w:vAlign w:val="center"/>
          </w:tcPr>
          <w:p w14:paraId="7EFC923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规格：≥1200mm×550mm×240mm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材质：吊舱整体采用1mm冷轧钢板经数控折弯成型，连接处采用3mm冷轧钢板加固，金属框架部分为一体式结构，比分体式或拼插式结构具有更高的结构强度，内部设有20*40*1.2mm矩管做为加强龙骨，两侧设有LED灯，照度不小于150lx，下方设有可拆卸挡板，方便检修；工艺：钢材采用焊接机器人CO₂保护焊焊接，表层采用去油、除锈、打磨、喷塑工艺处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为保证产品质量以及从环保角度保障实验室人员健康，产品必须符合以下技术参数及要求：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吊装舱喷涂层涂层应无漏喷、锈蚀和脱色、掉色现象，涂层应光滑均匀、色泽一致，无流挂、疙瘩、皱皮、飞漆等缺陷，电镀层表面应无剥落、返锈、毛刺，表面应无烧焦、起泡、针孔、裂纹、花斑(不包括镀彩锌)和划痕；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（2）、吊装舱涂层-硬度为4H，耐腐蚀，抗盐雾；满足第三方检测机构检测，检测结果均为符合。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（3）、吊装舱重金属含量中的可溶性铅、可溶性镉、可溶性铬、可溶性汞；满足第三方检测机构检测，检测结果均为符合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（4）、吊装舱依据GB/T9286-2021标准《色漆和清漆划格试验》测试，附着力为0级。</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15190A8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w:t>
            </w:r>
          </w:p>
        </w:tc>
        <w:tc>
          <w:tcPr>
            <w:tcW w:w="349" w:type="pct"/>
            <w:tcBorders>
              <w:top w:val="single" w:color="000000" w:sz="4" w:space="0"/>
              <w:left w:val="single" w:color="000000" w:sz="4" w:space="0"/>
              <w:bottom w:val="single" w:color="000000" w:sz="4" w:space="0"/>
              <w:right w:val="single" w:color="000000" w:sz="4" w:space="0"/>
            </w:tcBorders>
            <w:noWrap w:val="0"/>
            <w:vAlign w:val="center"/>
          </w:tcPr>
          <w:p w14:paraId="31043E7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2D4EF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AE996F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14:paraId="35F3475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吊臂模组</w:t>
            </w:r>
          </w:p>
        </w:tc>
        <w:tc>
          <w:tcPr>
            <w:tcW w:w="3527" w:type="pct"/>
            <w:tcBorders>
              <w:top w:val="single" w:color="000000" w:sz="4" w:space="0"/>
              <w:left w:val="single" w:color="000000" w:sz="4" w:space="0"/>
              <w:bottom w:val="single" w:color="000000" w:sz="4" w:space="0"/>
              <w:right w:val="single" w:color="000000" w:sz="4" w:space="0"/>
            </w:tcBorders>
            <w:noWrap w:val="0"/>
            <w:vAlign w:val="center"/>
          </w:tcPr>
          <w:p w14:paraId="3C1D420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1、吊臂由铝合金加工成型，表面和经环氧树脂粉末静电喷涂、高温固化处理，耐腐蚀，吊臂截面尺寸为80*40的D型管材，壁厚2mm；长度645mm。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2、吊臂模组可由总控系统控制升降，不使用时可收于吊舱之内，起到防止阻挡视线的功能。</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3、吊臂模组可以实现单独控制、分组控制和整体控制。</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4、在吊臂升降中，如遇障碍物可以实现回弹、或停止，避免出现机械故障或人员夹伤。</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16F50F4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w:t>
            </w:r>
          </w:p>
        </w:tc>
        <w:tc>
          <w:tcPr>
            <w:tcW w:w="349" w:type="pct"/>
            <w:tcBorders>
              <w:top w:val="single" w:color="000000" w:sz="4" w:space="0"/>
              <w:left w:val="single" w:color="000000" w:sz="4" w:space="0"/>
              <w:bottom w:val="single" w:color="000000" w:sz="4" w:space="0"/>
              <w:right w:val="single" w:color="000000" w:sz="4" w:space="0"/>
            </w:tcBorders>
            <w:noWrap w:val="0"/>
            <w:vAlign w:val="center"/>
          </w:tcPr>
          <w:p w14:paraId="0138AFE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7F8FB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E2673D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14:paraId="662CE70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吊臂控制系统</w:t>
            </w:r>
          </w:p>
        </w:tc>
        <w:tc>
          <w:tcPr>
            <w:tcW w:w="3527" w:type="pct"/>
            <w:tcBorders>
              <w:top w:val="single" w:color="000000" w:sz="4" w:space="0"/>
              <w:left w:val="single" w:color="000000" w:sz="4" w:space="0"/>
              <w:bottom w:val="single" w:color="000000" w:sz="4" w:space="0"/>
              <w:right w:val="single" w:color="000000" w:sz="4" w:space="0"/>
            </w:tcBorders>
            <w:noWrap w:val="0"/>
            <w:vAlign w:val="center"/>
          </w:tcPr>
          <w:p w14:paraId="7C36EDA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摇臂接收智能控制系统信号实现远程遥控，动力采用直流24V减速低压电机。</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1、可通过总控系统对实验室的吊臂进行控制，可以实现单独控制、分组控制。</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2、系统自带障碍物保护功能，具有防夹，防卡功能，当摇臂在运动的过程中遇到障碍物时会自动停止，具有过流保护功能。</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32DF63F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w:t>
            </w:r>
          </w:p>
        </w:tc>
        <w:tc>
          <w:tcPr>
            <w:tcW w:w="349" w:type="pct"/>
            <w:tcBorders>
              <w:top w:val="single" w:color="000000" w:sz="4" w:space="0"/>
              <w:left w:val="single" w:color="000000" w:sz="4" w:space="0"/>
              <w:bottom w:val="single" w:color="000000" w:sz="4" w:space="0"/>
              <w:right w:val="single" w:color="000000" w:sz="4" w:space="0"/>
            </w:tcBorders>
            <w:noWrap w:val="0"/>
            <w:vAlign w:val="center"/>
          </w:tcPr>
          <w:p w14:paraId="7F5FFAA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r>
      <w:tr w14:paraId="70E8D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592AE6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14:paraId="261A544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吊舱端头模组</w:t>
            </w:r>
          </w:p>
        </w:tc>
        <w:tc>
          <w:tcPr>
            <w:tcW w:w="352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554FE8">
            <w:pPr>
              <w:keepNext w:val="0"/>
              <w:keepLines w:val="0"/>
              <w:widowControl/>
              <w:suppressLineNumbers w:val="0"/>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规格：≥300mm×550mm×240mm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整体采用1mm冷轧钢板经数控折弯成型。连接处采用3mm冷轧钢板加固，整体框架为一体式结构.</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1F1F20A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c>
          <w:tcPr>
            <w:tcW w:w="349" w:type="pct"/>
            <w:tcBorders>
              <w:top w:val="single" w:color="000000" w:sz="4" w:space="0"/>
              <w:left w:val="single" w:color="000000" w:sz="4" w:space="0"/>
              <w:bottom w:val="single" w:color="000000" w:sz="4" w:space="0"/>
              <w:right w:val="single" w:color="000000" w:sz="4" w:space="0"/>
            </w:tcBorders>
            <w:noWrap w:val="0"/>
            <w:vAlign w:val="center"/>
          </w:tcPr>
          <w:p w14:paraId="447258D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7CF24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14:paraId="6D14DFCF">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电源系统</w:t>
            </w:r>
          </w:p>
        </w:tc>
      </w:tr>
      <w:tr w14:paraId="1FB1E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628032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14:paraId="5B97301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电源分组控制系统</w:t>
            </w:r>
          </w:p>
        </w:tc>
        <w:tc>
          <w:tcPr>
            <w:tcW w:w="3527" w:type="pct"/>
            <w:tcBorders>
              <w:top w:val="single" w:color="000000" w:sz="4" w:space="0"/>
              <w:left w:val="single" w:color="000000" w:sz="4" w:space="0"/>
              <w:bottom w:val="single" w:color="000000" w:sz="4" w:space="0"/>
              <w:right w:val="single" w:color="000000" w:sz="4" w:space="0"/>
            </w:tcBorders>
            <w:noWrap w:val="0"/>
            <w:vAlign w:val="center"/>
          </w:tcPr>
          <w:p w14:paraId="3797EFD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1、可通过电源控制系统控制学生电源的220V供电的开启和关闭，可以实现单独控制、分组控制。</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2、可通过电源控制系统控制选择学生电源的电源交、直流输出的开关。</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3、可通过电源控制系统锁定学生电源的低压交直流输出，锁定后受控学生电源不能修改。可锁定学生低压交直流输出上限，锁定后只可向下调整电压，解锁后学生方可自由调节。</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62335FE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c>
          <w:tcPr>
            <w:tcW w:w="349" w:type="pct"/>
            <w:tcBorders>
              <w:top w:val="single" w:color="000000" w:sz="4" w:space="0"/>
              <w:left w:val="single" w:color="000000" w:sz="4" w:space="0"/>
              <w:bottom w:val="single" w:color="000000" w:sz="4" w:space="0"/>
              <w:right w:val="single" w:color="000000" w:sz="4" w:space="0"/>
            </w:tcBorders>
            <w:noWrap w:val="0"/>
            <w:vAlign w:val="center"/>
          </w:tcPr>
          <w:p w14:paraId="36DE823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71A86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4E57E8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14:paraId="70DD347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学生电源</w:t>
            </w:r>
          </w:p>
        </w:tc>
        <w:tc>
          <w:tcPr>
            <w:tcW w:w="3527" w:type="pct"/>
            <w:tcBorders>
              <w:top w:val="single" w:color="000000" w:sz="4" w:space="0"/>
              <w:left w:val="single" w:color="000000" w:sz="4" w:space="0"/>
              <w:bottom w:val="single" w:color="000000" w:sz="4" w:space="0"/>
              <w:right w:val="single" w:color="000000" w:sz="4" w:space="0"/>
            </w:tcBorders>
            <w:noWrap w:val="0"/>
            <w:vAlign w:val="center"/>
          </w:tcPr>
          <w:p w14:paraId="74F6BA2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1、学生电源安装于吊臂模组末端ABS塑料壳体之上。壳体正面由钢板加工成型并贴面板膜，文字符号清晰，按键分布合理。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每个吊臂上安装两组学生电源，分别有低压交、直流输出香焦插座，五孔插座4个、过载短路复位开关1个，网线插孔2个，急停按钮1个。学生用电源设（∧、V、AC/DC按键、过载按任意键复位），2组1.3寸OLED显示屏，显示电压和电流输出。</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学生用电源参数符合JY/T0374一2004标准中低压输出标准要求。符合以下性能要求：a.交流输出：电压0∨-30Ⅴ、显示±0.5V，每0.5V一档，可随负载变化自动稳压，0V-18V额定电流3A，18V-30V额定电流2A。b.直流稳压输出：电压0V-36Ⅴ、显示±0.2V，连续无极可调，每0.1V递增，0V-16V额定电流2A，16.1V-36V额定电流1A。电压稳定性：≤2%U标+0.1Ⅴ， 负载稳定性：≤2%U标+0.1Ⅴ， 波纹电压：电源电压保持220V，达到额定电流时&lt;3mV。c.电压电流：可实时输出电压和电流，电压分辩率0.1V，电流分辩率0.01A。</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具备过载保护功能：交流输出0V-18V输出3.2A、16.1V-30∨输出2.2A，直流稳压输出0∨-16V输出2.1A、16.1V-36V输出1.1A，当输出过载或短路时电源进入恒流状态延时1分钟后自动关闭输出，并能启动不大于额定电流的白炽灯。</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5、电源输入：AC220Ⅴ±22V，50H±0.5Hz。</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6、工作环境条件，温度0~40℃；湿度≤90%（40℃），</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7、连续工作时间：输出电流在额定电流范围内，允许8小时连续使用。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8、急停按钮：单个吊臂使用端用电异常时，可快速切断此吊臂高低压电源。</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9、国标五孔插座：带安全防护门，额定电流5A。交流220V输出有过载短路复位开关，避免因保险丝熔断更换造成的麻烦。</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23BD491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c>
          <w:tcPr>
            <w:tcW w:w="349" w:type="pct"/>
            <w:tcBorders>
              <w:top w:val="single" w:color="000000" w:sz="4" w:space="0"/>
              <w:left w:val="single" w:color="000000" w:sz="4" w:space="0"/>
              <w:bottom w:val="single" w:color="000000" w:sz="4" w:space="0"/>
              <w:right w:val="single" w:color="000000" w:sz="4" w:space="0"/>
            </w:tcBorders>
            <w:noWrap w:val="0"/>
            <w:vAlign w:val="center"/>
          </w:tcPr>
          <w:p w14:paraId="4DAFA62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组</w:t>
            </w:r>
          </w:p>
        </w:tc>
      </w:tr>
      <w:tr w14:paraId="6D638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14:paraId="2B4FCE67">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给排水系统</w:t>
            </w:r>
          </w:p>
        </w:tc>
      </w:tr>
      <w:tr w14:paraId="37A33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C9C0AB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14:paraId="388903A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给排水控制系统</w:t>
            </w:r>
          </w:p>
        </w:tc>
        <w:tc>
          <w:tcPr>
            <w:tcW w:w="3527" w:type="pct"/>
            <w:tcBorders>
              <w:top w:val="single" w:color="000000" w:sz="4" w:space="0"/>
              <w:left w:val="single" w:color="000000" w:sz="4" w:space="0"/>
              <w:bottom w:val="single" w:color="000000" w:sz="4" w:space="0"/>
              <w:right w:val="single" w:color="000000" w:sz="4" w:space="0"/>
            </w:tcBorders>
            <w:noWrap w:val="0"/>
            <w:vAlign w:val="center"/>
          </w:tcPr>
          <w:p w14:paraId="3F44608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自动排水模块1组、水模拟量控制器1组、电源控制器1套、自动保护系统1组。</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所有排水由智能化控制系统集中控制，接口均采用自动锁紧插拔式连接方式（拔掉时没有污水流出），用时接上，不用时可收起。连接软管采用防爆PVC橡胶塑料，具有防酸、防碱、耐腐蚀功能，当学生水槽柜下方水箱水量达到一定值时系统自动排水、污水经过连接管排至顶部排水管总管后流出，当水槽柜下方水箱污水排净后排水系统自动关闭。控制系统设置一键排空功能，可一键将管道内所有的污水排空。</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232A770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w:t>
            </w:r>
          </w:p>
        </w:tc>
        <w:tc>
          <w:tcPr>
            <w:tcW w:w="349" w:type="pct"/>
            <w:tcBorders>
              <w:top w:val="single" w:color="000000" w:sz="4" w:space="0"/>
              <w:left w:val="single" w:color="000000" w:sz="4" w:space="0"/>
              <w:bottom w:val="single" w:color="000000" w:sz="4" w:space="0"/>
              <w:right w:val="single" w:color="000000" w:sz="4" w:space="0"/>
            </w:tcBorders>
            <w:noWrap w:val="0"/>
            <w:vAlign w:val="center"/>
          </w:tcPr>
          <w:p w14:paraId="5237A37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442AF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5486B8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14:paraId="65E0984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给排水模组</w:t>
            </w:r>
          </w:p>
        </w:tc>
        <w:tc>
          <w:tcPr>
            <w:tcW w:w="3527" w:type="pct"/>
            <w:tcBorders>
              <w:top w:val="single" w:color="000000" w:sz="4" w:space="0"/>
              <w:left w:val="single" w:color="000000" w:sz="4" w:space="0"/>
              <w:bottom w:val="single" w:color="000000" w:sz="4" w:space="0"/>
              <w:right w:val="single" w:color="000000" w:sz="4" w:space="0"/>
            </w:tcBorders>
            <w:noWrap w:val="0"/>
            <w:vAlign w:val="center"/>
          </w:tcPr>
          <w:p w14:paraId="7AD32EB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1、给排水接口采用PVC材质，具有耐酸碱，拔插轻松，不生锈；即插即用，具有高密封性能，即使在供水排水工作时，随时拔掉接口不会有任何滴漏现象。</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2、给水主管选用φ20-32mmPP-R给水管，模块化设计，每组模块间采用活接式连接，方便安装、检修。</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3、排水管选用加厚φ50-75mmPVC-U国标管（具有防酸、防碱、耐腐蚀功能），模块化设计，每组模块间采用活接式连接，方便安装、检修。</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4、给水主管前端为减少水中颗粒物设置前置过滤器。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5、单个模组设置4分电磁阀。</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3EE77BF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w:t>
            </w:r>
          </w:p>
        </w:tc>
        <w:tc>
          <w:tcPr>
            <w:tcW w:w="349" w:type="pct"/>
            <w:tcBorders>
              <w:top w:val="single" w:color="000000" w:sz="4" w:space="0"/>
              <w:left w:val="single" w:color="000000" w:sz="4" w:space="0"/>
              <w:bottom w:val="single" w:color="000000" w:sz="4" w:space="0"/>
              <w:right w:val="single" w:color="000000" w:sz="4" w:space="0"/>
            </w:tcBorders>
            <w:noWrap w:val="0"/>
            <w:vAlign w:val="center"/>
          </w:tcPr>
          <w:p w14:paraId="32FA38F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11EAD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14:paraId="78AA626C">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通风系统</w:t>
            </w:r>
          </w:p>
        </w:tc>
      </w:tr>
      <w:tr w14:paraId="649C8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29170B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14:paraId="6F6EC68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通风控制系统</w:t>
            </w:r>
          </w:p>
        </w:tc>
        <w:tc>
          <w:tcPr>
            <w:tcW w:w="3527" w:type="pct"/>
            <w:tcBorders>
              <w:top w:val="single" w:color="000000" w:sz="4" w:space="0"/>
              <w:left w:val="single" w:color="000000" w:sz="4" w:space="0"/>
              <w:bottom w:val="single" w:color="000000" w:sz="4" w:space="0"/>
              <w:right w:val="single" w:color="000000" w:sz="4" w:space="0"/>
            </w:tcBorders>
            <w:noWrap w:val="0"/>
            <w:vAlign w:val="center"/>
          </w:tcPr>
          <w:p w14:paraId="7CBCE40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支持SVC的转矩控制，额定输入电压3AC380V±15%，频率范围47～63Hz。由变频器与热过载继电器对风机进行双重的短路、过载、缺相等保护。</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1、可通过电源控制系统控制风机的开启及关闭。</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2、可进行百分比控制风量的大小</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7B5F9C2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49" w:type="pct"/>
            <w:tcBorders>
              <w:top w:val="single" w:color="000000" w:sz="4" w:space="0"/>
              <w:left w:val="single" w:color="000000" w:sz="4" w:space="0"/>
              <w:bottom w:val="single" w:color="000000" w:sz="4" w:space="0"/>
              <w:right w:val="single" w:color="000000" w:sz="4" w:space="0"/>
            </w:tcBorders>
            <w:noWrap w:val="0"/>
            <w:vAlign w:val="center"/>
          </w:tcPr>
          <w:p w14:paraId="373D5BE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r>
      <w:tr w14:paraId="48B8B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89A655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14:paraId="6A3CC05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万向吸风罩</w:t>
            </w:r>
          </w:p>
        </w:tc>
        <w:tc>
          <w:tcPr>
            <w:tcW w:w="3527" w:type="pct"/>
            <w:tcBorders>
              <w:top w:val="single" w:color="000000" w:sz="4" w:space="0"/>
              <w:left w:val="single" w:color="000000" w:sz="4" w:space="0"/>
              <w:bottom w:val="single" w:color="000000" w:sz="4" w:space="0"/>
              <w:right w:val="single" w:color="000000" w:sz="4" w:space="0"/>
            </w:tcBorders>
            <w:noWrap w:val="0"/>
            <w:vAlign w:val="center"/>
          </w:tcPr>
          <w:p w14:paraId="39D6C7E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1.关节：高密度PP材质表面磨砂，优化了视觉美感和手握触感可360°旋转调节方向。</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2.关节密封圈：不易老化之高密度橡胶。在关节之间随着旋钮压力加大而产生阻尼效果。</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3.关节连接杆：304不锈钢双头锁杆。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4.关节盖：高密度PP材质表面磨砂。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5.关节松紧选钮：高密度PP材质，内置微形平面推力不锈钢轴承，与关节连接杆锁合。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6.拱形集气罩：直径260mm，高密度PC制成。</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7.伸缩导管：4节直径63mm的6系专业抗氧化抗腐蚀的镁硅铝合金，表面做特氟龙表面处理，耐酸、耐碱、耐划痕。</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8.扭簧：使用90度的4mm专用弹簧钢抗氧化处理，防止吸风罩整体滑下。</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9.安装后可根据使用需要达到三维360度任意转停，集气罩吸气角度360度任意转停。吻合高水准专业实验室。</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7044EA1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29</w:t>
            </w:r>
          </w:p>
        </w:tc>
        <w:tc>
          <w:tcPr>
            <w:tcW w:w="349" w:type="pct"/>
            <w:tcBorders>
              <w:top w:val="single" w:color="000000" w:sz="4" w:space="0"/>
              <w:left w:val="single" w:color="000000" w:sz="4" w:space="0"/>
              <w:bottom w:val="single" w:color="000000" w:sz="4" w:space="0"/>
              <w:right w:val="single" w:color="000000" w:sz="4" w:space="0"/>
            </w:tcBorders>
            <w:noWrap w:val="0"/>
            <w:vAlign w:val="center"/>
          </w:tcPr>
          <w:p w14:paraId="4082D87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39BD5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763D71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14:paraId="1DB9AB1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室内外通风模组</w:t>
            </w:r>
          </w:p>
        </w:tc>
        <w:tc>
          <w:tcPr>
            <w:tcW w:w="3527" w:type="pct"/>
            <w:tcBorders>
              <w:top w:val="single" w:color="000000" w:sz="4" w:space="0"/>
              <w:left w:val="single" w:color="000000" w:sz="4" w:space="0"/>
              <w:bottom w:val="single" w:color="000000" w:sz="4" w:space="0"/>
              <w:right w:val="single" w:color="000000" w:sz="4" w:space="0"/>
            </w:tcBorders>
            <w:noWrap w:val="0"/>
            <w:vAlign w:val="center"/>
          </w:tcPr>
          <w:p w14:paraId="20550D3A">
            <w:pPr>
              <w:keepNext w:val="0"/>
              <w:keepLines w:val="0"/>
              <w:widowControl/>
              <w:suppressLineNumbers w:val="0"/>
              <w:jc w:val="left"/>
              <w:textAlignment w:val="center"/>
              <w:rPr>
                <w:rFonts w:hint="eastAsia" w:ascii="仿宋" w:hAnsi="仿宋" w:eastAsia="仿宋" w:cs="仿宋"/>
                <w:sz w:val="21"/>
                <w:szCs w:val="21"/>
                <w:highlight w:val="none"/>
              </w:rPr>
            </w:pPr>
            <w:r>
              <w:rPr>
                <w:rFonts w:hint="eastAsia" w:ascii="仿宋" w:hAnsi="仿宋" w:eastAsia="仿宋" w:cs="仿宋"/>
                <w:i w:val="0"/>
                <w:iCs w:val="0"/>
                <w:color w:val="000000"/>
                <w:kern w:val="0"/>
                <w:sz w:val="21"/>
                <w:szCs w:val="21"/>
                <w:highlight w:val="none"/>
                <w:u w:val="none"/>
                <w:lang w:val="en-US" w:eastAsia="zh-CN" w:bidi="ar"/>
              </w:rPr>
              <w:t>整体采用PVC风管，具有耐酸碱性能。</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室内管道：主风管直径200mm，支风管直径≥110mm。管卡采用碳钢制作，表面经镀铬处理，具有耐腐蚀、防火、防潮等功能。</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室内外通风模组</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1、φ200pvc管，3米/根，10根；</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2、φ110pvc管，3米/根，5根；</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3、φ400pvc管，3米/根，5根；</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4、110变75三通，15个；</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5、75变40补芯，15个；</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6、400打孔，2个；</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7、吊丝：φ10*10*3米，数量10根；</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8、安装及实施。</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4BD0F82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49" w:type="pct"/>
            <w:tcBorders>
              <w:top w:val="single" w:color="000000" w:sz="4" w:space="0"/>
              <w:left w:val="single" w:color="000000" w:sz="4" w:space="0"/>
              <w:bottom w:val="single" w:color="000000" w:sz="4" w:space="0"/>
              <w:right w:val="single" w:color="000000" w:sz="4" w:space="0"/>
            </w:tcBorders>
            <w:noWrap w:val="0"/>
            <w:vAlign w:val="center"/>
          </w:tcPr>
          <w:p w14:paraId="14115DE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项</w:t>
            </w:r>
          </w:p>
        </w:tc>
      </w:tr>
      <w:tr w14:paraId="6543B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25E9AA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14:paraId="293BA3D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通风风机模组</w:t>
            </w:r>
          </w:p>
        </w:tc>
        <w:tc>
          <w:tcPr>
            <w:tcW w:w="3527" w:type="pct"/>
            <w:tcBorders>
              <w:top w:val="single" w:color="000000" w:sz="4" w:space="0"/>
              <w:left w:val="single" w:color="000000" w:sz="4" w:space="0"/>
              <w:bottom w:val="single" w:color="000000" w:sz="4" w:space="0"/>
              <w:right w:val="single" w:color="000000" w:sz="4" w:space="0"/>
            </w:tcBorders>
            <w:noWrap w:val="0"/>
            <w:vAlign w:val="center"/>
          </w:tcPr>
          <w:p w14:paraId="4DC038F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1、风机： 离心塑料风机 5.5KW，转速 1440r/min，风量 6840-12700M3/h，全压1137-785Pa，噪声符合国家标准,风机外壳和叶轮均采用模具一次成型。配橡胶减震器用于消除专用通风机引起的震动，配防雨帽，PP材质，主要用于对专用通风机的防护。</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 消音器：φ400*1000mm,PP材质，内置隔音棉等隔音装置，确保通风室外噪音小于50分贝。</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 软连接：φ600-φ400mm,pp材质。进出口接头采用柔性材质，消除因震动引起的微量错位对风机的影响。</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控制线：国标：采用交联聚乙烯绝缘﹑铝塑带绕包总屏蔽﹑低烟无卤聚烯烃内衬层﹑钢丝铠装﹑低烟无卤聚烯烃护套耐火计算机对绞控制电缆。电缆的额定电压300/500V，电缆长期工作温度-30～90℃，电缆敷设温度不低于0℃，WDZCN-DJYJP3YP3VR-33电缆弯曲半径不小于电缆直径的12倍，低烟无卤成束阻燃型电缆燃烧时析出气体中HCL含量≤100mg/g。</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132D518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49" w:type="pct"/>
            <w:tcBorders>
              <w:top w:val="single" w:color="000000" w:sz="4" w:space="0"/>
              <w:left w:val="single" w:color="000000" w:sz="4" w:space="0"/>
              <w:bottom w:val="single" w:color="000000" w:sz="4" w:space="0"/>
              <w:right w:val="single" w:color="000000" w:sz="4" w:space="0"/>
            </w:tcBorders>
            <w:noWrap w:val="0"/>
            <w:vAlign w:val="center"/>
          </w:tcPr>
          <w:p w14:paraId="1ED8D3E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7E0D4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14:paraId="6FEC2F2C">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实施设备</w:t>
            </w:r>
          </w:p>
        </w:tc>
      </w:tr>
      <w:tr w14:paraId="3E065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7170D23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14:paraId="5B02905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系统安装辅件</w:t>
            </w:r>
          </w:p>
        </w:tc>
        <w:tc>
          <w:tcPr>
            <w:tcW w:w="3527" w:type="pct"/>
            <w:tcBorders>
              <w:top w:val="single" w:color="000000" w:sz="4" w:space="0"/>
              <w:left w:val="single" w:color="000000" w:sz="4" w:space="0"/>
              <w:bottom w:val="single" w:color="000000" w:sz="4" w:space="0"/>
              <w:right w:val="single" w:color="000000" w:sz="4" w:space="0"/>
            </w:tcBorders>
            <w:noWrap w:val="0"/>
            <w:vAlign w:val="center"/>
          </w:tcPr>
          <w:p w14:paraId="3A02A7D7">
            <w:pPr>
              <w:keepNext w:val="0"/>
              <w:keepLines w:val="0"/>
              <w:widowControl/>
              <w:suppressLineNumbers w:val="0"/>
              <w:jc w:val="left"/>
              <w:textAlignment w:val="center"/>
              <w:rPr>
                <w:rFonts w:hint="eastAsia" w:ascii="仿宋" w:hAnsi="仿宋" w:eastAsia="仿宋" w:cs="仿宋"/>
                <w:sz w:val="21"/>
                <w:szCs w:val="21"/>
                <w:highlight w:val="none"/>
              </w:rPr>
            </w:pPr>
            <w:r>
              <w:rPr>
                <w:rFonts w:hint="eastAsia" w:ascii="仿宋" w:hAnsi="仿宋" w:eastAsia="仿宋" w:cs="仿宋"/>
                <w:i w:val="0"/>
                <w:iCs w:val="0"/>
                <w:color w:val="000000"/>
                <w:kern w:val="0"/>
                <w:sz w:val="21"/>
                <w:szCs w:val="21"/>
                <w:highlight w:val="none"/>
                <w:u w:val="none"/>
                <w:lang w:val="en-US" w:eastAsia="zh-CN" w:bidi="ar"/>
              </w:rPr>
              <w:t>采用门型框架安装方式，减少楼板承重，防止左右晃动。主要辅件有：吊装专用支架、三角连接件、吊装实验室专用安装支架和墙顶连接件、吊装挂件等。</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吊装附件包含：</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1、门型框架：规格采用40mm*40mm光伏支架，规格：980mm*712mm*51mm ，数量16个；</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2、挂钩：采用40mm*40mm光伏支架及镀锌钢板，规格：248mm*110mm*53mm,数量112个；</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3、吊装连接片：采用镀锌钢板，规格：150mm*40mm*3mm，数量4个；</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 吊装支架：采用40mm*40mm光伏支架，规格：4250mm*40mm*40mm,数量8个；</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5、吊丝：φ10*10*3米，数量12根；</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6、1.5平方铜线100米；</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7、2.5平方铜线300米；</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8、4平方铜线100米；</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9、30线槽，3米/根，10根。</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10、φ32PPR管材，3米/根，数量10根；</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11、φ20PPR管，3米/根，数量6根；</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12、φ32PPR直接头，数量12个；</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13、φ50PPR直接头，数量10个；</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14、φ75PPR直接弯头，数量16个；</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15、φ20外丝直接，数量35个；</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16、φ20PPR管字，3米/根，数量6根；</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17、φ20PVC线管，3米/根，数量30根；</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18、φ75*φ50弯头45个、φ50*φ32弯头30个、φ32*φ20弯头80个、φ32三通30个、φ20三通45个、φ32（90°）16个、φ20（90°）24个，φ75堵头8个、φ50堵头10个、φ32堵头10个、φ20堵头20个；</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19、膨胀管1440个，膨胀螺丝1449条、螺丝960条。</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20、安装及实施。</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1C0849E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49" w:type="pct"/>
            <w:tcBorders>
              <w:top w:val="single" w:color="000000" w:sz="4" w:space="0"/>
              <w:left w:val="single" w:color="000000" w:sz="4" w:space="0"/>
              <w:bottom w:val="single" w:color="000000" w:sz="4" w:space="0"/>
              <w:right w:val="single" w:color="000000" w:sz="4" w:space="0"/>
            </w:tcBorders>
            <w:noWrap w:val="0"/>
            <w:vAlign w:val="center"/>
          </w:tcPr>
          <w:p w14:paraId="65AD5B1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室</w:t>
            </w:r>
          </w:p>
        </w:tc>
      </w:tr>
    </w:tbl>
    <w:p w14:paraId="62B495D9">
      <w:pPr>
        <w:pStyle w:val="2"/>
        <w:rPr>
          <w:rFonts w:hint="eastAsia" w:ascii="仿宋" w:hAnsi="仿宋" w:eastAsia="仿宋" w:cs="仿宋"/>
          <w:b/>
          <w:bCs/>
          <w:sz w:val="24"/>
          <w:szCs w:val="24"/>
          <w:highlight w:val="none"/>
          <w:lang w:val="en-US" w:eastAsia="zh-CN"/>
        </w:rPr>
      </w:pPr>
    </w:p>
    <w:p w14:paraId="50FA32E9">
      <w:pPr>
        <w:pStyle w:val="2"/>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6、化学准备仪器室</w:t>
      </w:r>
    </w:p>
    <w:tbl>
      <w:tblPr>
        <w:tblStyle w:val="6"/>
        <w:tblW w:w="499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35"/>
        <w:gridCol w:w="981"/>
        <w:gridCol w:w="6656"/>
        <w:gridCol w:w="599"/>
        <w:gridCol w:w="577"/>
      </w:tblGrid>
      <w:tr w14:paraId="15A72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36" w:type="pct"/>
            <w:tcBorders>
              <w:top w:val="single" w:color="000000" w:sz="4" w:space="0"/>
              <w:left w:val="single" w:color="000000" w:sz="4" w:space="0"/>
              <w:bottom w:val="single" w:color="000000" w:sz="4" w:space="0"/>
              <w:right w:val="single" w:color="000000" w:sz="4" w:space="0"/>
            </w:tcBorders>
            <w:noWrap/>
            <w:vAlign w:val="center"/>
          </w:tcPr>
          <w:p w14:paraId="2289B378">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序号</w:t>
            </w:r>
          </w:p>
        </w:tc>
        <w:tc>
          <w:tcPr>
            <w:tcW w:w="519" w:type="pct"/>
            <w:tcBorders>
              <w:top w:val="single" w:color="000000" w:sz="4" w:space="0"/>
              <w:left w:val="single" w:color="000000" w:sz="4" w:space="0"/>
              <w:bottom w:val="single" w:color="000000" w:sz="4" w:space="0"/>
              <w:right w:val="single" w:color="000000" w:sz="4" w:space="0"/>
            </w:tcBorders>
            <w:noWrap/>
            <w:vAlign w:val="center"/>
          </w:tcPr>
          <w:p w14:paraId="0BD6F6F1">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产品名称</w:t>
            </w:r>
          </w:p>
        </w:tc>
        <w:tc>
          <w:tcPr>
            <w:tcW w:w="3522" w:type="pct"/>
            <w:tcBorders>
              <w:top w:val="single" w:color="000000" w:sz="4" w:space="0"/>
              <w:left w:val="single" w:color="000000" w:sz="4" w:space="0"/>
              <w:bottom w:val="single" w:color="000000" w:sz="4" w:space="0"/>
              <w:right w:val="single" w:color="000000" w:sz="4" w:space="0"/>
            </w:tcBorders>
            <w:noWrap w:val="0"/>
            <w:vAlign w:val="center"/>
          </w:tcPr>
          <w:p w14:paraId="34D52337">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参数</w:t>
            </w:r>
          </w:p>
        </w:tc>
        <w:tc>
          <w:tcPr>
            <w:tcW w:w="316" w:type="pct"/>
            <w:tcBorders>
              <w:top w:val="single" w:color="000000" w:sz="4" w:space="0"/>
              <w:left w:val="single" w:color="000000" w:sz="4" w:space="0"/>
              <w:bottom w:val="single" w:color="000000" w:sz="4" w:space="0"/>
              <w:right w:val="single" w:color="000000" w:sz="4" w:space="0"/>
            </w:tcBorders>
            <w:noWrap/>
            <w:vAlign w:val="center"/>
          </w:tcPr>
          <w:p w14:paraId="00E13936">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数量</w:t>
            </w:r>
          </w:p>
        </w:tc>
        <w:tc>
          <w:tcPr>
            <w:tcW w:w="305" w:type="pct"/>
            <w:tcBorders>
              <w:top w:val="single" w:color="000000" w:sz="4" w:space="0"/>
              <w:left w:val="single" w:color="000000" w:sz="4" w:space="0"/>
              <w:bottom w:val="single" w:color="000000" w:sz="4" w:space="0"/>
              <w:right w:val="single" w:color="000000" w:sz="4" w:space="0"/>
            </w:tcBorders>
            <w:noWrap/>
            <w:vAlign w:val="center"/>
          </w:tcPr>
          <w:p w14:paraId="74FFD1CE">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单位</w:t>
            </w:r>
          </w:p>
        </w:tc>
      </w:tr>
      <w:tr w14:paraId="29A59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39" w:hRule="atLeast"/>
        </w:trPr>
        <w:tc>
          <w:tcPr>
            <w:tcW w:w="336" w:type="pct"/>
            <w:tcBorders>
              <w:top w:val="single" w:color="000000" w:sz="4" w:space="0"/>
              <w:left w:val="single" w:color="000000" w:sz="4" w:space="0"/>
              <w:bottom w:val="single" w:color="000000" w:sz="4" w:space="0"/>
              <w:right w:val="single" w:color="000000" w:sz="4" w:space="0"/>
            </w:tcBorders>
            <w:noWrap/>
            <w:vAlign w:val="center"/>
          </w:tcPr>
          <w:p w14:paraId="5854F11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981" w:type="dxa"/>
            <w:tcBorders>
              <w:top w:val="single" w:color="000000" w:sz="4" w:space="0"/>
              <w:left w:val="single" w:color="000000" w:sz="4" w:space="0"/>
              <w:bottom w:val="single" w:color="000000" w:sz="4" w:space="0"/>
              <w:right w:val="single" w:color="000000" w:sz="4" w:space="0"/>
            </w:tcBorders>
            <w:noWrap w:val="0"/>
            <w:vAlign w:val="center"/>
          </w:tcPr>
          <w:p w14:paraId="3716D6A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准备台</w:t>
            </w:r>
          </w:p>
        </w:tc>
        <w:tc>
          <w:tcPr>
            <w:tcW w:w="6656" w:type="dxa"/>
            <w:tcBorders>
              <w:top w:val="single" w:color="000000" w:sz="4" w:space="0"/>
              <w:left w:val="single" w:color="000000" w:sz="4" w:space="0"/>
              <w:bottom w:val="single" w:color="000000" w:sz="4" w:space="0"/>
              <w:right w:val="single" w:color="000000" w:sz="4" w:space="0"/>
            </w:tcBorders>
            <w:noWrap w:val="0"/>
            <w:vAlign w:val="center"/>
          </w:tcPr>
          <w:p w14:paraId="787960C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规格：≥长2400mm×宽1100mm×高850mm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1.一体化台面，设置抽屉、对开门。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2.台面材料：采用理化板，台面厚度≥12.7mm，边缘加厚至≥25.4mm。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3.台体框架：采用铝合金型材制作，框架的立柱为45mm×32mm方管，框架的横梁为32mm×32mm方管，壁厚≥1.0mm。通过 ABS专用连接件组装而成，接缝严密，连接牢固，无松动现象。型材带凹槽，槽的宽度、深度应与所采用的柜体板材相匹配，接缝严密，无晃动现象。型材表面需经静电粉沫喷涂处理，整体耐腐蚀、防火、防潮、稳固耐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台体衬板：用厚度为≥16mm、彩色和灰白色双面三聚氰胺板（即双饰面板）作为台体衬板，其内芯的基材为聚木屑纤维板，外漏截面采用≥1.0mm厚塑制封边条机械封边；甲醛释放限量指标应符合GB18580－2017的要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5.支脚：采用Φ≥10mm的螺杆与ABS工程塑料一次注塑成型的脚垫，高度可调节。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6.柜门铰链：采用优质不锈钢定位铰链，安全、牢固、防腐、耐用。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7.抽屉滑道：采用优质消声三节滑轨，优质合金钢板一次性成型加工。</w:t>
            </w:r>
          </w:p>
        </w:tc>
        <w:tc>
          <w:tcPr>
            <w:tcW w:w="316" w:type="pct"/>
            <w:tcBorders>
              <w:top w:val="single" w:color="000000" w:sz="4" w:space="0"/>
              <w:left w:val="single" w:color="000000" w:sz="4" w:space="0"/>
              <w:bottom w:val="single" w:color="000000" w:sz="4" w:space="0"/>
              <w:right w:val="single" w:color="000000" w:sz="4" w:space="0"/>
            </w:tcBorders>
            <w:noWrap w:val="0"/>
            <w:vAlign w:val="center"/>
          </w:tcPr>
          <w:p w14:paraId="13E62A9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2375A75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张</w:t>
            </w:r>
          </w:p>
        </w:tc>
      </w:tr>
      <w:tr w14:paraId="02584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39" w:hRule="atLeast"/>
        </w:trPr>
        <w:tc>
          <w:tcPr>
            <w:tcW w:w="336" w:type="pct"/>
            <w:tcBorders>
              <w:top w:val="single" w:color="000000" w:sz="4" w:space="0"/>
              <w:left w:val="single" w:color="000000" w:sz="4" w:space="0"/>
              <w:bottom w:val="single" w:color="000000" w:sz="4" w:space="0"/>
              <w:right w:val="single" w:color="000000" w:sz="4" w:space="0"/>
            </w:tcBorders>
            <w:noWrap/>
            <w:vAlign w:val="center"/>
          </w:tcPr>
          <w:p w14:paraId="2CBEC41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981" w:type="dxa"/>
            <w:tcBorders>
              <w:top w:val="single" w:color="000000" w:sz="4" w:space="0"/>
              <w:left w:val="single" w:color="000000" w:sz="4" w:space="0"/>
              <w:bottom w:val="single" w:color="000000" w:sz="4" w:space="0"/>
              <w:right w:val="single" w:color="000000" w:sz="4" w:space="0"/>
            </w:tcBorders>
            <w:noWrap w:val="0"/>
            <w:vAlign w:val="center"/>
          </w:tcPr>
          <w:p w14:paraId="377B525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仪器柜</w:t>
            </w:r>
          </w:p>
        </w:tc>
        <w:tc>
          <w:tcPr>
            <w:tcW w:w="6656" w:type="dxa"/>
            <w:tcBorders>
              <w:top w:val="single" w:color="000000" w:sz="4" w:space="0"/>
              <w:left w:val="single" w:color="000000" w:sz="4" w:space="0"/>
              <w:bottom w:val="single" w:color="000000" w:sz="4" w:space="0"/>
              <w:right w:val="single" w:color="000000" w:sz="4" w:space="0"/>
            </w:tcBorders>
            <w:noWrap w:val="0"/>
            <w:vAlign w:val="center"/>
          </w:tcPr>
          <w:p w14:paraId="5E304CC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规格：≥1000mm×500mm×2000mm铝木结构，基本要求如下：</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柜体框架：采用模具成型的专用铝合金方管制作，通过ABS专用连接件组装而成，保证连接牢固。前立柱、前横梁外径为27mm×35mm（误差±1mm），后立柱、后横梁外径为35mm×35mm（误差±1mm），铝合金管材的壁厚≥1.0mm（误差±0.15mm）。铝合金型材带凹槽，凹槽的宽度应与柜体衬板相匹配，凹槽的深度应足够，保证柜体衬板与铝型材之间接缝严密，无晃动现象，不发生脱落。铝合金型材表面需经静电粉沫喷涂处理，整体耐腐蚀、防火、防潮、稳固耐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柜体衬板：用厚度为≥16mm、彩色和灰白色双面三聚氰胺板（即双饰面板）作为台体衬板，其内芯的基材为聚木屑纤维板，外漏截面采用≥1.0mm厚塑制封边条机械封边；甲醛释放限量指标应符合GB18580－2017的要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3.柜门：上部为专用木框对开玻璃门，下部为对开木门，不锈钢拉手。柜门采用不锈钢定位铰链，安全、牢固、防腐、耐用。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隔板：上柜设置2块活动隔板，下柜设置1块固定隔板。隔板所用的板材与柜体板材相同，厚度为≥16mm，隔板的一条长边采用“［”型槽板包边（槽板材料为冷轧钢板，其尺寸为30mm×19mm，壁厚1.0mm，槽宽与隔板厚度匹配，表面需进行喷塑处理），槽板与隔板用万能胶固定。</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5.高度升降条：上部柜体内侧均应安装高度升降条（1.0mm冷轧钢板制作），每侧2根，带活动支撑座（位置可调）。高度升降条和支撑座表面应采用纯环氧树脂静电喷涂高温固化，具有较高耐蚀性能。</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6.支脚：采用Φ≥8mm的螺杆与ABS工程塑料一次注塑成型的脚垫，高度可调节。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（1）、仪器柜外形尺寸偏差，翘曲度0.3mm，平整度0.03mm，临边垂直度，位度差0.2mm，分缝0.2mm，地脚平稳性；满足第三方检测机构外形尺寸偏差及形状位置公差检测，检测结果均为符合。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仪器柜冲压件应无脱层、裂缝，喷涂层应无漏喷、锈蚀和脱色、掉色现象，涂层应光滑均匀，色泽一致，应无流挂、疙瘩、皱皮、飞漆等缺陷；满足第三方检测机构木工及外观要求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（3）、仪器柜与人体接触的零部件不应有毛刺、刃口、尖锐的棱角和端头；满足第三方检测机构安全性要求检测，检测结果均为符合。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（4）、仪器柜金属喷塑涂层硬度4H，耐腐蚀9级，应无剥落、裂纹、皱纹；满足第三方检测机构金属喷塑涂层理化性能检测，检测结果均为符合。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仪器柜整体的力学性能通过搁板稳定性，搁板弯曲试验，搁板支承件试验，拉门强度试验，拉门水平静载荷试验，拉门猛开试验，拉门耐久性试验，过载试验，主体结构和底架的强度试验，空载稳定性试验，活动部件垂直加载稳定性试验；满足第三方检测机构安全性要求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（6）、仪器柜重金属含量中的可溶性铅、可溶性镉、可溶性铬、可溶性汞；满足第三方检测机构检测，检测结果均为符合。</w:t>
            </w:r>
          </w:p>
        </w:tc>
        <w:tc>
          <w:tcPr>
            <w:tcW w:w="316" w:type="pct"/>
            <w:tcBorders>
              <w:top w:val="single" w:color="000000" w:sz="4" w:space="0"/>
              <w:left w:val="single" w:color="000000" w:sz="4" w:space="0"/>
              <w:bottom w:val="single" w:color="000000" w:sz="4" w:space="0"/>
              <w:right w:val="single" w:color="000000" w:sz="4" w:space="0"/>
            </w:tcBorders>
            <w:noWrap w:val="0"/>
            <w:vAlign w:val="center"/>
          </w:tcPr>
          <w:p w14:paraId="6A62CB6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BEFD18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r>
      <w:tr w14:paraId="13205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4" w:hRule="atLeast"/>
        </w:trPr>
        <w:tc>
          <w:tcPr>
            <w:tcW w:w="336" w:type="pct"/>
            <w:tcBorders>
              <w:top w:val="single" w:color="000000" w:sz="4" w:space="0"/>
              <w:left w:val="single" w:color="000000" w:sz="4" w:space="0"/>
              <w:bottom w:val="single" w:color="000000" w:sz="4" w:space="0"/>
              <w:right w:val="single" w:color="000000" w:sz="4" w:space="0"/>
            </w:tcBorders>
            <w:noWrap/>
            <w:vAlign w:val="center"/>
          </w:tcPr>
          <w:p w14:paraId="6D0CED5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c>
          <w:tcPr>
            <w:tcW w:w="981" w:type="dxa"/>
            <w:tcBorders>
              <w:top w:val="single" w:color="000000" w:sz="4" w:space="0"/>
              <w:left w:val="single" w:color="000000" w:sz="4" w:space="0"/>
              <w:bottom w:val="single" w:color="000000" w:sz="4" w:space="0"/>
              <w:right w:val="single" w:color="000000" w:sz="4" w:space="0"/>
            </w:tcBorders>
            <w:noWrap w:val="0"/>
            <w:vAlign w:val="center"/>
          </w:tcPr>
          <w:p w14:paraId="15B5DB4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药品柜</w:t>
            </w:r>
          </w:p>
        </w:tc>
        <w:tc>
          <w:tcPr>
            <w:tcW w:w="6656" w:type="dxa"/>
            <w:tcBorders>
              <w:top w:val="single" w:color="000000" w:sz="4" w:space="0"/>
              <w:left w:val="single" w:color="000000" w:sz="4" w:space="0"/>
              <w:bottom w:val="single" w:color="000000" w:sz="4" w:space="0"/>
              <w:right w:val="single" w:color="000000" w:sz="4" w:space="0"/>
            </w:tcBorders>
            <w:noWrap w:val="0"/>
            <w:vAlign w:val="center"/>
          </w:tcPr>
          <w:p w14:paraId="40F020E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 ≥长1000mm×宽500mm×高2000mm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柜体框架：采用模具成型的专用铝合金方管制作，通过ABS专用连接件组装而成，保证连接牢固。前立柱、前横梁外径为27mm×35mm（误差±1mm），后立柱、后横梁外径为35mm×35mm（误差±1mm），铝合金管材的壁厚≥1.0mm（误差±0.15mm）。铝合金型材带凹槽，凹槽的宽度应与柜体衬板相匹配，凹槽的深度应足够，保证柜体衬板与铝型材之间接缝严密，无晃动现象，不发生脱落。铝合金型材表面需经静电粉沫喷涂处理，整体耐腐蚀、防火、防潮、稳固耐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柜体衬板：用厚度为≥16mm、彩色和灰白色双面三聚氰胺板（即双饰面板）作为台体衬板，其内芯的基材为聚木屑纤维板，外漏截面采用≥1.0mm厚塑制优质封边条机械封边；甲醛释放限量指标应符合GB18580－2017的要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3.柜门：上部为专用木框对开玻璃门，下部为对开木门。柜门采用优质不锈钢定位铰链，安全、牢固、防腐、耐用。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4.隔板：上柜设置2块隔板，带二阶梯药瓶台，隔板和药瓶台材质选用耐腐蚀实芯理化板；下柜设置1块固定隔板材质为三聚氰胺板。</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5.支脚：采用Φ≥8mm的螺杆与ABS工程塑料一次注塑成型的脚垫，高度可调节。</w:t>
            </w:r>
          </w:p>
        </w:tc>
        <w:tc>
          <w:tcPr>
            <w:tcW w:w="316" w:type="pct"/>
            <w:tcBorders>
              <w:top w:val="single" w:color="000000" w:sz="4" w:space="0"/>
              <w:left w:val="single" w:color="000000" w:sz="4" w:space="0"/>
              <w:bottom w:val="single" w:color="000000" w:sz="4" w:space="0"/>
              <w:right w:val="single" w:color="000000" w:sz="4" w:space="0"/>
            </w:tcBorders>
            <w:noWrap w:val="0"/>
            <w:vAlign w:val="center"/>
          </w:tcPr>
          <w:p w14:paraId="258D009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6A1C4F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r>
      <w:tr w14:paraId="6BA17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60" w:hRule="atLeast"/>
        </w:trPr>
        <w:tc>
          <w:tcPr>
            <w:tcW w:w="336" w:type="pct"/>
            <w:tcBorders>
              <w:top w:val="single" w:color="000000" w:sz="4" w:space="0"/>
              <w:left w:val="single" w:color="000000" w:sz="4" w:space="0"/>
              <w:bottom w:val="single" w:color="000000" w:sz="4" w:space="0"/>
              <w:right w:val="single" w:color="000000" w:sz="4" w:space="0"/>
            </w:tcBorders>
            <w:noWrap/>
            <w:vAlign w:val="center"/>
          </w:tcPr>
          <w:p w14:paraId="741C427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c>
          <w:tcPr>
            <w:tcW w:w="981" w:type="dxa"/>
            <w:tcBorders>
              <w:top w:val="single" w:color="000000" w:sz="4" w:space="0"/>
              <w:left w:val="single" w:color="000000" w:sz="4" w:space="0"/>
              <w:bottom w:val="single" w:color="000000" w:sz="4" w:space="0"/>
              <w:right w:val="single" w:color="000000" w:sz="4" w:space="0"/>
            </w:tcBorders>
            <w:noWrap w:val="0"/>
            <w:vAlign w:val="center"/>
          </w:tcPr>
          <w:p w14:paraId="502C7DA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易燃品储存柜(时控开关装置)</w:t>
            </w:r>
          </w:p>
        </w:tc>
        <w:tc>
          <w:tcPr>
            <w:tcW w:w="6656" w:type="dxa"/>
            <w:tcBorders>
              <w:top w:val="single" w:color="000000" w:sz="4" w:space="0"/>
              <w:left w:val="single" w:color="000000" w:sz="4" w:space="0"/>
              <w:bottom w:val="single" w:color="000000" w:sz="4" w:space="0"/>
              <w:right w:val="single" w:color="000000" w:sz="4" w:space="0"/>
            </w:tcBorders>
            <w:noWrap w:val="0"/>
            <w:vAlign w:val="center"/>
          </w:tcPr>
          <w:p w14:paraId="0EDAF02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规格:≥长900mm×宽510mm×高1800mm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1.柜体有明显的易燃警示标识，柜体采用≥1.0mm 冷轧钢板，加强型底座，内外表面经酸洗磷化环氧树脂粉末喷涂，烘热固化处理。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2.柜体内胆（上、下、左、右内衬板）全部采用瓷白 pp（聚丙烯树酯）板；柜体右侧设有可调进风口，有一次成型PP 可调风阀；柜体内部最下层留有可以存放不少于 120mm 厚黄沙填埋腔（漏液槽），用于埋放金属钠、黄磷（白磷）等的易燃物品，挡板应与柜体连为一体；柜底装有四个φ64mm 的聚丙烯移动脚轮，便于柜体移动；配有调节螺杆，方便易燃品储存柜体定位、水平调节。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3.柜中设 3 块三层阶梯式 PP 聚丙烯活动搁板，层板设有 10mm 的通气孔。</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4.柜顶部中间开有φ160mm的出风口，柜顶风口内置一个AC220V 50HZ 0.18A轴流风机，最大风量326m3/h，转速2550转/min,环境温度（-10-+70）摄氏度，无火花静电，控制开关设置柜体顶部的右上角，当风机开机前要把柜门下面中间的进风口推置打开状态。</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5.防火材料：柜体填充具有保温隔热作用的防火材料陶瓷纤维；</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6.铰链：钢琴式铰链，确保门能开 180 度。</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7.密封件：柜体门与柜体之间应安装防火膨胀密封件，密封件应符合GB 16807-2009的要求。（柜体门与柜体之间应安装环保热膨胀密封条。当温度为150℃~180℃时密封条局部膨胀，温度达到200℃时密封条全部膨胀，膨胀比例为1:5，以保证储存药品的安全性。</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8.电子锁：应符合 GB10409中 5.4 要求。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9.电源：应符合 GB10409中 5.5 要求。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10.附加装置：应符合 GB10409中 5.6 要求。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11.特殊安全性要求：机械锁钥匙、电子密码锁密码。（学校应由两人分别保管，开启时两人应同时在场）</w:t>
            </w:r>
          </w:p>
        </w:tc>
        <w:tc>
          <w:tcPr>
            <w:tcW w:w="316" w:type="pct"/>
            <w:tcBorders>
              <w:top w:val="single" w:color="000000" w:sz="4" w:space="0"/>
              <w:left w:val="single" w:color="000000" w:sz="4" w:space="0"/>
              <w:bottom w:val="single" w:color="000000" w:sz="4" w:space="0"/>
              <w:right w:val="single" w:color="000000" w:sz="4" w:space="0"/>
            </w:tcBorders>
            <w:noWrap w:val="0"/>
            <w:vAlign w:val="center"/>
          </w:tcPr>
          <w:p w14:paraId="68B8EB9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4E2F4E4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r>
      <w:tr w14:paraId="2C4C0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5" w:hRule="atLeast"/>
        </w:trPr>
        <w:tc>
          <w:tcPr>
            <w:tcW w:w="336" w:type="pct"/>
            <w:tcBorders>
              <w:top w:val="single" w:color="000000" w:sz="4" w:space="0"/>
              <w:left w:val="single" w:color="000000" w:sz="4" w:space="0"/>
              <w:bottom w:val="single" w:color="000000" w:sz="4" w:space="0"/>
              <w:right w:val="single" w:color="000000" w:sz="4" w:space="0"/>
            </w:tcBorders>
            <w:noWrap/>
            <w:vAlign w:val="center"/>
          </w:tcPr>
          <w:p w14:paraId="64DC734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981" w:type="dxa"/>
            <w:tcBorders>
              <w:top w:val="single" w:color="000000" w:sz="4" w:space="0"/>
              <w:left w:val="single" w:color="000000" w:sz="4" w:space="0"/>
              <w:bottom w:val="single" w:color="000000" w:sz="4" w:space="0"/>
              <w:right w:val="single" w:color="000000" w:sz="4" w:space="0"/>
            </w:tcBorders>
            <w:noWrap w:val="0"/>
            <w:vAlign w:val="center"/>
          </w:tcPr>
          <w:p w14:paraId="40F8827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毒害品储存柜(时控开关装置)</w:t>
            </w:r>
          </w:p>
        </w:tc>
        <w:tc>
          <w:tcPr>
            <w:tcW w:w="6656" w:type="dxa"/>
            <w:tcBorders>
              <w:top w:val="single" w:color="000000" w:sz="4" w:space="0"/>
              <w:left w:val="single" w:color="000000" w:sz="4" w:space="0"/>
              <w:bottom w:val="single" w:color="000000" w:sz="4" w:space="0"/>
              <w:right w:val="single" w:color="000000" w:sz="4" w:space="0"/>
            </w:tcBorders>
            <w:noWrap w:val="0"/>
            <w:vAlign w:val="center"/>
          </w:tcPr>
          <w:p w14:paraId="6F7331F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规格:≥长900mm×宽510mm×高1800mm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1.柜体有明显的毒害品警示标识，柜体全部采用≥1.0mm 冷轧钢板，加强型底座，内外表面经酸洗磷化环氧树脂粉末喷涂，烘热固化处理。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.柜体内胆（上、下、左、右内衬板）全部采用瓷白 pp（聚丙烯树酯）板；柜体右侧设有可调进风口，有一次成型PP 可调风阀；柜体内部最下层留有可以存放不少于 120mm 厚黄沙填埋腔（漏液槽），用于埋放金属钠、黄磷（白磷）等的易燃物品，挡板应与柜体连为一体；柜底装有四个φ64mm 的聚丙烯移动脚轮，便于柜体移动；配有调节螺杆，方便毒害品储存柜体定位、水平调节。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3.柜中设 3 块三层阶梯式 PP 聚丙烯活动搁板，层板设有 10mm 的通气孔。</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4.柜顶部中间开有φ160mm的出风口，柜顶风口内置一个AC220V 50HZ 0.18A轴流风机，最大风量326m3/h，转速2550转/min,环境温度（-10-+70）摄氏度，无火花静电，控制开关设置柜体顶部的右上角，当风机开机前要把柜门下面中间的进风口推置打开状态。</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5.电子锁：应符合 GB10409中 5.4 要求。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6.电源：应符合 GB10409中 5.5 要求。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7.附加装置：应符合 GB10409中 5.6 要求。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8.通风控制装置：</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8.1 柜体底部设置进风口及可调风阀，可调风阀灵活，并能控制风量大小。</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8.2 柜体应设置通风口，通风口最大风速应不小于 0.5m/s。</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8.3 配有微电脑时控开关，能根据用户设定的时间自动打开和关闭风机，电源开关指示灯指示风机是否正常工作，可自动或手动控制。</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8.4 通风管道口径宜采用φ160mm，通风管应耐高温、阻燃、耐腐蚀、符合 JGJ141 的要求。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9.特殊安全性要求：机械锁钥匙、电子密码锁密码。（学校应由两人分别保管，开启时两人应同时在场）</w:t>
            </w:r>
          </w:p>
        </w:tc>
        <w:tc>
          <w:tcPr>
            <w:tcW w:w="316" w:type="pct"/>
            <w:tcBorders>
              <w:top w:val="single" w:color="000000" w:sz="4" w:space="0"/>
              <w:left w:val="single" w:color="000000" w:sz="4" w:space="0"/>
              <w:bottom w:val="single" w:color="000000" w:sz="4" w:space="0"/>
              <w:right w:val="single" w:color="000000" w:sz="4" w:space="0"/>
            </w:tcBorders>
            <w:noWrap w:val="0"/>
            <w:vAlign w:val="center"/>
          </w:tcPr>
          <w:p w14:paraId="315CBC5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74F4469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r>
      <w:tr w14:paraId="5BF1D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trPr>
        <w:tc>
          <w:tcPr>
            <w:tcW w:w="336" w:type="pct"/>
            <w:tcBorders>
              <w:top w:val="single" w:color="000000" w:sz="4" w:space="0"/>
              <w:left w:val="single" w:color="000000" w:sz="4" w:space="0"/>
              <w:bottom w:val="single" w:color="000000" w:sz="4" w:space="0"/>
              <w:right w:val="single" w:color="000000" w:sz="4" w:space="0"/>
            </w:tcBorders>
            <w:noWrap/>
            <w:vAlign w:val="center"/>
          </w:tcPr>
          <w:p w14:paraId="71597F0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w:t>
            </w:r>
          </w:p>
        </w:tc>
        <w:tc>
          <w:tcPr>
            <w:tcW w:w="981" w:type="dxa"/>
            <w:tcBorders>
              <w:top w:val="single" w:color="000000" w:sz="4" w:space="0"/>
              <w:left w:val="single" w:color="000000" w:sz="4" w:space="0"/>
              <w:bottom w:val="single" w:color="000000" w:sz="4" w:space="0"/>
              <w:right w:val="single" w:color="000000" w:sz="4" w:space="0"/>
            </w:tcBorders>
            <w:noWrap w:val="0"/>
            <w:vAlign w:val="center"/>
          </w:tcPr>
          <w:p w14:paraId="2E4B526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通风橱（柜）</w:t>
            </w:r>
          </w:p>
        </w:tc>
        <w:tc>
          <w:tcPr>
            <w:tcW w:w="6656" w:type="dxa"/>
            <w:tcBorders>
              <w:top w:val="single" w:color="000000" w:sz="4" w:space="0"/>
              <w:left w:val="single" w:color="000000" w:sz="4" w:space="0"/>
              <w:bottom w:val="single" w:color="000000" w:sz="4" w:space="0"/>
              <w:right w:val="single" w:color="000000" w:sz="4" w:space="0"/>
            </w:tcBorders>
            <w:noWrap w:val="0"/>
            <w:vAlign w:val="center"/>
          </w:tcPr>
          <w:p w14:paraId="4BEE342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规格：≥长1200mm×宽850mm×高2350mm（全钢结构）</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1.外壳说明： 主体框架左右旁板、前钢板、下柜体均采用1.2mm厚钢板，在数控加工中心、剪裁、定位打孔、折弯焊接后成型，酸洗磷化处理后喷涂环氧树脂粉末高温烘烤固化。附着力高、表面硬度耐腐蚀性极强，外形美观。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2.顶板、内衬板、导流板、后背板采用4mm厚实芯抗倍特板具有良好的防腐蚀、化学抗性。导流板为三段式结构，导流板固定件使用PP优质材质制作一体成型</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移动视窗门框及拉手为铝合金型材，表面经环氧树脂粉末静电流水线自动化喷涂及高温固化。框内嵌入4mm钢化玻璃，门开启高度为740mm,自由升降，移门上下滑动装置采用同步轴轮皮带式结构，无级任意停留，移门导向装置由抗腐蚀的聚氯乙稀材质构成。</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4.台面采用（国产）实芯理化板（12.7mm厚）耐酸碱，耐冲击，耐腐蚀，甲醛达到E1级别标准。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5.排气出口采用PP集气罩模具一体成型，出风口直径250mm圆孔，套管连接，减少气体扰流。</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6.水路配有进口一次性成型壁式PP小杯槽，耐酸碱、耐腐蚀。壁式铜质单口水龙头并安装在通风柜内侧面。</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7.电路控制面板采用液晶显示屏；照明LED白光灯快速启动类型，安装在通风柜顶部。插座配有四个10A 220V五孔多功能插座。</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8.上柜右侧预留检修窗，方便故障检修。</w:t>
            </w:r>
          </w:p>
        </w:tc>
        <w:tc>
          <w:tcPr>
            <w:tcW w:w="316" w:type="pct"/>
            <w:tcBorders>
              <w:top w:val="single" w:color="000000" w:sz="4" w:space="0"/>
              <w:left w:val="single" w:color="000000" w:sz="4" w:space="0"/>
              <w:bottom w:val="single" w:color="000000" w:sz="4" w:space="0"/>
              <w:right w:val="single" w:color="000000" w:sz="4" w:space="0"/>
            </w:tcBorders>
            <w:noWrap w:val="0"/>
            <w:vAlign w:val="center"/>
          </w:tcPr>
          <w:p w14:paraId="0063803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952DB0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r>
      <w:tr w14:paraId="74656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36" w:type="pct"/>
            <w:tcBorders>
              <w:top w:val="single" w:color="000000" w:sz="4" w:space="0"/>
              <w:left w:val="single" w:color="000000" w:sz="4" w:space="0"/>
              <w:bottom w:val="single" w:color="000000" w:sz="4" w:space="0"/>
              <w:right w:val="single" w:color="000000" w:sz="4" w:space="0"/>
            </w:tcBorders>
            <w:noWrap/>
            <w:vAlign w:val="center"/>
          </w:tcPr>
          <w:p w14:paraId="0C3F66C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w:t>
            </w:r>
          </w:p>
        </w:tc>
        <w:tc>
          <w:tcPr>
            <w:tcW w:w="519" w:type="pct"/>
            <w:tcBorders>
              <w:top w:val="single" w:color="000000" w:sz="4" w:space="0"/>
              <w:left w:val="single" w:color="000000" w:sz="4" w:space="0"/>
              <w:bottom w:val="single" w:color="000000" w:sz="4" w:space="0"/>
              <w:right w:val="single" w:color="000000" w:sz="4" w:space="0"/>
            </w:tcBorders>
            <w:noWrap w:val="0"/>
            <w:vAlign w:val="center"/>
          </w:tcPr>
          <w:p w14:paraId="52164F8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灭火器</w:t>
            </w:r>
          </w:p>
        </w:tc>
        <w:tc>
          <w:tcPr>
            <w:tcW w:w="6656" w:type="dxa"/>
            <w:tcBorders>
              <w:top w:val="single" w:color="000000" w:sz="4" w:space="0"/>
              <w:left w:val="single" w:color="000000" w:sz="4" w:space="0"/>
              <w:bottom w:val="single" w:color="000000" w:sz="4" w:space="0"/>
              <w:right w:val="single" w:color="000000" w:sz="4" w:space="0"/>
            </w:tcBorders>
            <w:noWrap w:val="0"/>
            <w:vAlign w:val="center"/>
          </w:tcPr>
          <w:p w14:paraId="1A5ACF9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商品剂量:4KG 喷射距离:≥3.5M灭火级别: 1A/21B使用温度: -20°C~+50°C 瓶身材质:钢材</w:t>
            </w:r>
          </w:p>
        </w:tc>
        <w:tc>
          <w:tcPr>
            <w:tcW w:w="316" w:type="pct"/>
            <w:tcBorders>
              <w:top w:val="single" w:color="000000" w:sz="4" w:space="0"/>
              <w:left w:val="single" w:color="000000" w:sz="4" w:space="0"/>
              <w:bottom w:val="single" w:color="000000" w:sz="4" w:space="0"/>
              <w:right w:val="single" w:color="000000" w:sz="4" w:space="0"/>
            </w:tcBorders>
            <w:noWrap/>
            <w:vAlign w:val="center"/>
          </w:tcPr>
          <w:p w14:paraId="457DA91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05" w:type="pct"/>
            <w:tcBorders>
              <w:top w:val="single" w:color="000000" w:sz="4" w:space="0"/>
              <w:left w:val="single" w:color="000000" w:sz="4" w:space="0"/>
              <w:bottom w:val="single" w:color="000000" w:sz="4" w:space="0"/>
              <w:right w:val="single" w:color="000000" w:sz="4" w:space="0"/>
            </w:tcBorders>
            <w:noWrap/>
            <w:vAlign w:val="center"/>
          </w:tcPr>
          <w:p w14:paraId="350A60C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07A82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6" w:type="pct"/>
            <w:tcBorders>
              <w:top w:val="single" w:color="000000" w:sz="4" w:space="0"/>
              <w:left w:val="single" w:color="000000" w:sz="4" w:space="0"/>
              <w:bottom w:val="single" w:color="000000" w:sz="4" w:space="0"/>
              <w:right w:val="single" w:color="000000" w:sz="4" w:space="0"/>
            </w:tcBorders>
            <w:noWrap/>
            <w:vAlign w:val="center"/>
          </w:tcPr>
          <w:p w14:paraId="1487A50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w:t>
            </w:r>
          </w:p>
        </w:tc>
        <w:tc>
          <w:tcPr>
            <w:tcW w:w="519" w:type="pct"/>
            <w:tcBorders>
              <w:top w:val="single" w:color="000000" w:sz="4" w:space="0"/>
              <w:left w:val="single" w:color="000000" w:sz="4" w:space="0"/>
              <w:bottom w:val="single" w:color="000000" w:sz="4" w:space="0"/>
              <w:right w:val="single" w:color="000000" w:sz="4" w:space="0"/>
            </w:tcBorders>
            <w:noWrap w:val="0"/>
            <w:vAlign w:val="center"/>
          </w:tcPr>
          <w:p w14:paraId="5F8CE37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水基灭火器</w:t>
            </w:r>
          </w:p>
        </w:tc>
        <w:tc>
          <w:tcPr>
            <w:tcW w:w="6656" w:type="dxa"/>
            <w:tcBorders>
              <w:top w:val="single" w:color="000000" w:sz="4" w:space="0"/>
              <w:left w:val="single" w:color="000000" w:sz="4" w:space="0"/>
              <w:bottom w:val="single" w:color="000000" w:sz="4" w:space="0"/>
              <w:right w:val="single" w:color="000000" w:sz="4" w:space="0"/>
            </w:tcBorders>
            <w:noWrap w:val="0"/>
            <w:vAlign w:val="center"/>
          </w:tcPr>
          <w:p w14:paraId="52A4D88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商品剂量:3L 喷射距离:≥3.5M灭火级别: 1A/55B E 使用温度: 士5°C~+55°C 瓶身材质:钢材</w:t>
            </w:r>
          </w:p>
        </w:tc>
        <w:tc>
          <w:tcPr>
            <w:tcW w:w="316" w:type="pct"/>
            <w:tcBorders>
              <w:top w:val="single" w:color="000000" w:sz="4" w:space="0"/>
              <w:left w:val="single" w:color="000000" w:sz="4" w:space="0"/>
              <w:bottom w:val="single" w:color="000000" w:sz="4" w:space="0"/>
              <w:right w:val="single" w:color="000000" w:sz="4" w:space="0"/>
            </w:tcBorders>
            <w:noWrap/>
            <w:vAlign w:val="center"/>
          </w:tcPr>
          <w:p w14:paraId="2B1FE81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05" w:type="pct"/>
            <w:tcBorders>
              <w:top w:val="single" w:color="000000" w:sz="4" w:space="0"/>
              <w:left w:val="single" w:color="000000" w:sz="4" w:space="0"/>
              <w:bottom w:val="single" w:color="000000" w:sz="4" w:space="0"/>
              <w:right w:val="single" w:color="000000" w:sz="4" w:space="0"/>
            </w:tcBorders>
            <w:noWrap/>
            <w:vAlign w:val="center"/>
          </w:tcPr>
          <w:p w14:paraId="5C5ECAA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2B127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36" w:type="pct"/>
            <w:tcBorders>
              <w:top w:val="single" w:color="000000" w:sz="4" w:space="0"/>
              <w:left w:val="single" w:color="000000" w:sz="4" w:space="0"/>
              <w:bottom w:val="single" w:color="000000" w:sz="4" w:space="0"/>
              <w:right w:val="single" w:color="000000" w:sz="4" w:space="0"/>
            </w:tcBorders>
            <w:noWrap/>
            <w:vAlign w:val="center"/>
          </w:tcPr>
          <w:p w14:paraId="2F10AF6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c>
          <w:tcPr>
            <w:tcW w:w="519" w:type="pct"/>
            <w:tcBorders>
              <w:top w:val="single" w:color="000000" w:sz="4" w:space="0"/>
              <w:left w:val="single" w:color="000000" w:sz="4" w:space="0"/>
              <w:bottom w:val="single" w:color="000000" w:sz="4" w:space="0"/>
              <w:right w:val="single" w:color="000000" w:sz="4" w:space="0"/>
            </w:tcBorders>
            <w:noWrap w:val="0"/>
            <w:vAlign w:val="center"/>
          </w:tcPr>
          <w:p w14:paraId="0B9ABFC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消防箱</w:t>
            </w:r>
          </w:p>
        </w:tc>
        <w:tc>
          <w:tcPr>
            <w:tcW w:w="6656" w:type="dxa"/>
            <w:tcBorders>
              <w:top w:val="single" w:color="000000" w:sz="4" w:space="0"/>
              <w:left w:val="single" w:color="000000" w:sz="4" w:space="0"/>
              <w:bottom w:val="single" w:color="000000" w:sz="4" w:space="0"/>
              <w:right w:val="single" w:color="000000" w:sz="4" w:space="0"/>
            </w:tcBorders>
            <w:noWrap w:val="0"/>
            <w:vAlign w:val="center"/>
          </w:tcPr>
          <w:p w14:paraId="3A02BFF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规格:≥长520m×宽340m×高190mm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箱体采用铁制材质，厚度士0.4MM，表面采用防锈高光漆，双翻盖设计</w:t>
            </w:r>
          </w:p>
        </w:tc>
        <w:tc>
          <w:tcPr>
            <w:tcW w:w="316" w:type="pct"/>
            <w:tcBorders>
              <w:top w:val="single" w:color="000000" w:sz="4" w:space="0"/>
              <w:left w:val="single" w:color="000000" w:sz="4" w:space="0"/>
              <w:bottom w:val="single" w:color="000000" w:sz="4" w:space="0"/>
              <w:right w:val="single" w:color="000000" w:sz="4" w:space="0"/>
            </w:tcBorders>
            <w:noWrap/>
            <w:vAlign w:val="center"/>
          </w:tcPr>
          <w:p w14:paraId="1E4CCEB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05" w:type="pct"/>
            <w:tcBorders>
              <w:top w:val="single" w:color="000000" w:sz="4" w:space="0"/>
              <w:left w:val="single" w:color="000000" w:sz="4" w:space="0"/>
              <w:bottom w:val="single" w:color="000000" w:sz="4" w:space="0"/>
              <w:right w:val="single" w:color="000000" w:sz="4" w:space="0"/>
            </w:tcBorders>
            <w:noWrap/>
            <w:vAlign w:val="center"/>
          </w:tcPr>
          <w:p w14:paraId="38E4B44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654DE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36" w:type="pct"/>
            <w:tcBorders>
              <w:top w:val="single" w:color="000000" w:sz="4" w:space="0"/>
              <w:left w:val="single" w:color="000000" w:sz="4" w:space="0"/>
              <w:bottom w:val="single" w:color="000000" w:sz="4" w:space="0"/>
              <w:right w:val="single" w:color="000000" w:sz="4" w:space="0"/>
            </w:tcBorders>
            <w:noWrap/>
            <w:vAlign w:val="center"/>
          </w:tcPr>
          <w:p w14:paraId="01160C2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w:t>
            </w:r>
          </w:p>
        </w:tc>
        <w:tc>
          <w:tcPr>
            <w:tcW w:w="519" w:type="pct"/>
            <w:tcBorders>
              <w:top w:val="single" w:color="000000" w:sz="4" w:space="0"/>
              <w:left w:val="single" w:color="000000" w:sz="4" w:space="0"/>
              <w:bottom w:val="single" w:color="000000" w:sz="4" w:space="0"/>
              <w:right w:val="single" w:color="000000" w:sz="4" w:space="0"/>
            </w:tcBorders>
            <w:noWrap w:val="0"/>
            <w:vAlign w:val="center"/>
          </w:tcPr>
          <w:p w14:paraId="1BA34C3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沙箱</w:t>
            </w:r>
          </w:p>
        </w:tc>
        <w:tc>
          <w:tcPr>
            <w:tcW w:w="6656" w:type="dxa"/>
            <w:tcBorders>
              <w:top w:val="single" w:color="000000" w:sz="4" w:space="0"/>
              <w:left w:val="single" w:color="000000" w:sz="4" w:space="0"/>
              <w:bottom w:val="single" w:color="000000" w:sz="4" w:space="0"/>
              <w:right w:val="single" w:color="000000" w:sz="4" w:space="0"/>
            </w:tcBorders>
            <w:noWrap w:val="0"/>
            <w:vAlign w:val="center"/>
          </w:tcPr>
          <w:p w14:paraId="40D8E83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规格:≥长600mm×宽400mm×高400mm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箱体采用冷轧钢板制作，表面采用静电喷塑，平整光滑及附着力强。配备消防沙</w:t>
            </w:r>
          </w:p>
        </w:tc>
        <w:tc>
          <w:tcPr>
            <w:tcW w:w="316" w:type="pct"/>
            <w:tcBorders>
              <w:top w:val="single" w:color="000000" w:sz="4" w:space="0"/>
              <w:left w:val="single" w:color="000000" w:sz="4" w:space="0"/>
              <w:bottom w:val="single" w:color="000000" w:sz="4" w:space="0"/>
              <w:right w:val="single" w:color="000000" w:sz="4" w:space="0"/>
            </w:tcBorders>
            <w:noWrap/>
            <w:vAlign w:val="center"/>
          </w:tcPr>
          <w:p w14:paraId="5C60E6B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F3FEF1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72B50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36" w:type="pct"/>
            <w:tcBorders>
              <w:top w:val="single" w:color="000000" w:sz="4" w:space="0"/>
              <w:left w:val="single" w:color="000000" w:sz="4" w:space="0"/>
              <w:bottom w:val="single" w:color="000000" w:sz="4" w:space="0"/>
              <w:right w:val="single" w:color="000000" w:sz="4" w:space="0"/>
            </w:tcBorders>
            <w:noWrap/>
            <w:vAlign w:val="center"/>
          </w:tcPr>
          <w:p w14:paraId="5B25FBD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w:t>
            </w:r>
          </w:p>
        </w:tc>
        <w:tc>
          <w:tcPr>
            <w:tcW w:w="981" w:type="dxa"/>
            <w:tcBorders>
              <w:top w:val="single" w:color="000000" w:sz="4" w:space="0"/>
              <w:left w:val="single" w:color="000000" w:sz="4" w:space="0"/>
              <w:bottom w:val="single" w:color="000000" w:sz="4" w:space="0"/>
              <w:right w:val="single" w:color="000000" w:sz="4" w:space="0"/>
            </w:tcBorders>
            <w:noWrap w:val="0"/>
            <w:vAlign w:val="center"/>
          </w:tcPr>
          <w:p w14:paraId="70C8F61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药品室通风机</w:t>
            </w:r>
          </w:p>
        </w:tc>
        <w:tc>
          <w:tcPr>
            <w:tcW w:w="6656" w:type="dxa"/>
            <w:tcBorders>
              <w:top w:val="single" w:color="000000" w:sz="4" w:space="0"/>
              <w:left w:val="single" w:color="000000" w:sz="4" w:space="0"/>
              <w:bottom w:val="single" w:color="000000" w:sz="4" w:space="0"/>
              <w:right w:val="single" w:color="000000" w:sz="4" w:space="0"/>
            </w:tcBorders>
            <w:noWrap w:val="0"/>
            <w:vAlign w:val="center"/>
          </w:tcPr>
          <w:p w14:paraId="2B11232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离心风机2.2KW，转速 1450r/min，流量3977-7358M3/h，全压794-334Pa，噪声符合国家标准,风机外壳和叶轮均采用模具一次成型。配橡胶减震器用于消除专用通风机引起的震动，配防雨帽，PP材质，主要用于对专用通风机的防护。</w:t>
            </w:r>
          </w:p>
        </w:tc>
        <w:tc>
          <w:tcPr>
            <w:tcW w:w="316" w:type="pct"/>
            <w:tcBorders>
              <w:top w:val="single" w:color="000000" w:sz="4" w:space="0"/>
              <w:left w:val="single" w:color="000000" w:sz="4" w:space="0"/>
              <w:bottom w:val="single" w:color="000000" w:sz="4" w:space="0"/>
              <w:right w:val="single" w:color="000000" w:sz="4" w:space="0"/>
            </w:tcBorders>
            <w:noWrap w:val="0"/>
            <w:vAlign w:val="center"/>
          </w:tcPr>
          <w:p w14:paraId="32CA233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7C63E32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bl>
    <w:p w14:paraId="55F1ACDB">
      <w:pPr>
        <w:pStyle w:val="2"/>
        <w:rPr>
          <w:rFonts w:hint="eastAsia" w:ascii="仿宋" w:hAnsi="仿宋" w:eastAsia="仿宋" w:cs="仿宋"/>
          <w:b/>
          <w:bCs/>
          <w:sz w:val="24"/>
          <w:szCs w:val="24"/>
          <w:highlight w:val="none"/>
          <w:lang w:val="en-US" w:eastAsia="zh-CN"/>
        </w:rPr>
      </w:pPr>
    </w:p>
    <w:p w14:paraId="7A369261">
      <w:pPr>
        <w:pStyle w:val="2"/>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7、高中物理教学仪器</w:t>
      </w:r>
    </w:p>
    <w:tbl>
      <w:tblPr>
        <w:tblStyle w:val="6"/>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6"/>
        <w:gridCol w:w="1026"/>
        <w:gridCol w:w="6695"/>
        <w:gridCol w:w="576"/>
        <w:gridCol w:w="576"/>
      </w:tblGrid>
      <w:tr w14:paraId="43D66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304" w:type="pct"/>
            <w:tcBorders>
              <w:top w:val="single" w:color="000000" w:sz="4" w:space="0"/>
              <w:left w:val="single" w:color="000000" w:sz="4" w:space="0"/>
              <w:bottom w:val="nil"/>
              <w:right w:val="single" w:color="000000" w:sz="4" w:space="0"/>
            </w:tcBorders>
            <w:noWrap/>
            <w:vAlign w:val="center"/>
          </w:tcPr>
          <w:p w14:paraId="09BE3C9C">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序号</w:t>
            </w:r>
          </w:p>
        </w:tc>
        <w:tc>
          <w:tcPr>
            <w:tcW w:w="543" w:type="pct"/>
            <w:tcBorders>
              <w:top w:val="single" w:color="000000" w:sz="4" w:space="0"/>
              <w:left w:val="nil"/>
              <w:bottom w:val="nil"/>
              <w:right w:val="single" w:color="000000" w:sz="4" w:space="0"/>
            </w:tcBorders>
            <w:noWrap/>
            <w:vAlign w:val="center"/>
          </w:tcPr>
          <w:p w14:paraId="31D106EA">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产品名称</w:t>
            </w:r>
          </w:p>
        </w:tc>
        <w:tc>
          <w:tcPr>
            <w:tcW w:w="3541" w:type="pct"/>
            <w:tcBorders>
              <w:top w:val="single" w:color="000000" w:sz="4" w:space="0"/>
              <w:left w:val="single" w:color="000000" w:sz="4" w:space="0"/>
              <w:bottom w:val="nil"/>
              <w:right w:val="single" w:color="000000" w:sz="4" w:space="0"/>
            </w:tcBorders>
            <w:noWrap w:val="0"/>
            <w:vAlign w:val="center"/>
          </w:tcPr>
          <w:p w14:paraId="52449728">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规格参数</w:t>
            </w:r>
          </w:p>
        </w:tc>
        <w:tc>
          <w:tcPr>
            <w:tcW w:w="304" w:type="pct"/>
            <w:tcBorders>
              <w:top w:val="single" w:color="000000" w:sz="4" w:space="0"/>
              <w:left w:val="single" w:color="000000" w:sz="4" w:space="0"/>
              <w:bottom w:val="nil"/>
              <w:right w:val="single" w:color="000000" w:sz="4" w:space="0"/>
            </w:tcBorders>
            <w:noWrap/>
            <w:vAlign w:val="center"/>
          </w:tcPr>
          <w:p w14:paraId="58896F0D">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单位</w:t>
            </w:r>
          </w:p>
        </w:tc>
        <w:tc>
          <w:tcPr>
            <w:tcW w:w="305" w:type="pct"/>
            <w:tcBorders>
              <w:top w:val="single" w:color="000000" w:sz="4" w:space="0"/>
              <w:left w:val="single" w:color="000000" w:sz="4" w:space="0"/>
              <w:bottom w:val="nil"/>
              <w:right w:val="single" w:color="000000" w:sz="4" w:space="0"/>
            </w:tcBorders>
            <w:noWrap/>
            <w:vAlign w:val="center"/>
          </w:tcPr>
          <w:p w14:paraId="7792502E">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数量</w:t>
            </w:r>
          </w:p>
        </w:tc>
      </w:tr>
      <w:tr w14:paraId="4F760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FAF5DE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B99196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数据采集器</w:t>
            </w:r>
          </w:p>
        </w:tc>
        <w:tc>
          <w:tcPr>
            <w:tcW w:w="3541" w:type="pct"/>
            <w:tcBorders>
              <w:top w:val="single" w:color="000000" w:sz="4" w:space="0"/>
              <w:left w:val="single" w:color="000000" w:sz="4" w:space="0"/>
              <w:bottom w:val="single" w:color="000000" w:sz="4" w:space="0"/>
              <w:right w:val="single" w:color="000000" w:sz="4" w:space="0"/>
            </w:tcBorders>
            <w:noWrap w:val="0"/>
            <w:vAlign w:val="top"/>
          </w:tcPr>
          <w:p w14:paraId="4A3C8B37">
            <w:pPr>
              <w:keepNext w:val="0"/>
              <w:keepLines w:val="0"/>
              <w:widowControl/>
              <w:suppressLineNumbers w:val="0"/>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1、模块化结构，透明外壳设计，内含状态、电源指示灯；</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2、与计算机采用USB2.0通讯协议，四路全数字通道，单通道最大采样率20KByte，采集器最大采样率80KByte，数字通道采样精度达5微妙；</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3、通过USB接口供电，无需外接电源，所有端口具备防静电保护功能；</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4、与传感器采用BT自锁接口，支持热插拔，即插即用，传感器可以任意组合，采集分辨率12bits；</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5、内置双处理器主板，CPU主频48Mhz；支持有线/无线状态下的四通道并行采集；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6、采用插接式结构，可根据实验教学需要，方便有线、无线工作模式切换。</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2269F5B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420C9F7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4DFB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7BF7AA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13BAD6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传感器数据显示模块</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551FFB6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1、模块化设计既可以与传感器通过BT接口连接，也可以与计算机通过USB直接连接。数据的获取和上传无需通过数据采集器即可实现；</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2、自带1.8寸彩色LED屏，可实时显示传感器数据；</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3、自动识别传感器及测量范围和分度。无需按键调控，简洁、美观、实用，减少因按键失灵造成的实验功能缺失；</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4、接口采用BT接口连接，自带锁扣，有效防止脱落。同时具有单向连接属性，避免因连接失误导致的数据传输失败。支持热插拔，使用寿命：≥10000次插拔；</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5、自带≥8M内存；</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数据上传有线模式：数据显示模块自带miniUSB接口，可与计算机连接。通过软件将数据上传并自动绘制变化图像。导出数据以Excel形式保存，图像可以图片的形式保存。可用于编制实验报告上传至实验评测系统进行数据统计及分析（也可结合学校实际情况上传至云端服务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7、数据上传无线模式：设备自带二维码，可用移动手持终端（手机、平板等）通过移动端实验软件w扫描，导出实验数据，并绘制变化图线；</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8、自带可充电锂电池，最大电池容量不低于1100MAh。全铜触点，双保电芯，自动锁电。3.7V。满电最大待机续航时间≥240h。可通过专用充电器完成充电，也可通过数据上传有线模式完成充电。</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3F4A9B0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F9F2B3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r>
      <w:tr w14:paraId="1C66E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6A71DC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141A29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力传感器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068C0FE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1、测量范围：-20N～20N；</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2、分度：0.01N；</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3、可用于测拉力（显示正值）和压力（显示负值）；</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4、手柄式结构，自带防滑纹。符合人体工程学原理。自带一大一小两个传感器固定位，便于传感器的固定；</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5、自带硬件调零按钮；</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6、模块化设计，可与有线接口、无线发射模块、数据显示模块连接，实现有线通讯、无线通讯、独立彩屏数据显示三种工作模式；</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8、支持系统：windows、Android、iOS系统。</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6ABE3E5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EAF3C5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79D60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83754F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C03073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微力传感器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7E428BC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1、测量范围：-2N～2N；</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2、分度：0.001N；</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3、可用于测拉力（显示正值）和压力（显示负值）；</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4、手柄式结构，自带防滑纹。符合人体工程学原理。自带一大一小两个传感器固定位，便于传感器的固定；</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5、自带硬件调零按钮；</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6、模块化设计，可与有线接口、无线发射模块、数据显示模块连接，实现有线通讯、无线通讯、独立彩屏数据显示三种工作模式；</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8、支持系统：windows、Android、iOS系统。</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78290B1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700A2AE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E372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738F59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368283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温度传感器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57ABBCE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1、测量范围：-50℃～200℃；</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2、分度：0.1℃；</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3、不锈钢探针，可测各种物体或溶液的温度；</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4、自带传感器固定口，便于传感器固定；</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5、自带硬件调零按钮；</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6、模块化设计，可与有线接口、无线发射模块、数据显示模块连接，实现有线通讯、无线通讯、独立彩屏数据显示三种工作模式；</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8、支持系统：windows、Android、iOS系统。</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4F4AB66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EA7084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BFEE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E7549A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39D27E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声波/声级传感器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1042D5F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1、声波频率测量范围：20Hz～20kHz，声级测量范围：20 dB ～130dB，分度：0.1dB；</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2、通过转换按钮切换测量声音的波形和强度，研究声音的频率、周期、振幅等特征；</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3、自带传感器固定卡槽和螺口，便于和配套实验器材固定；</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5、支持系统：windows、Android、iOS系统。</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3750DEA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152BE3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DBD6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E97623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F2FD68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光电门传感器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744E60E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1、分度：2μS；</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2、用于测量挡光片（U型、I型）的挡光时间；</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3、自带2个传感器固定口，便于传感器固定；</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5、支持系统：windows、Android、iOS系统。</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▲提供外观、铅、砷、汞、 甲醛检测合格的检测报告</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1F32E8E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A4FD14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739D9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85CA2F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8AAFD7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微电流传感器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585EC5C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1、测量范围：-5μA～5μA；</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2、分度：0.01μA；</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3、鳄鱼夹导线，便于与多种电学仪器连接；</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4、自带传感器固定口，便于传感器固定；</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5、自带硬件调零按钮；</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6、模块化设计，可与有线接口、无线发射模块、数据显示模块连接，实现有线通讯、无线通讯、独立彩屏数据显示三种工作模式；</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8、支持系统：windows、Android、iOS系统。</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0F5A904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55B117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216CC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482FB5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05FB33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多量程电流传感器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07BC60E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1、测量范围：测量范围：-3A～3A；分度：0.01A</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测量范围：-300mA～300mA；分度：0.1mA</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测量范围：-30mA～30mA；分度：0.01 mA</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2、通过按钮切换量程；</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3、自带传感器固定卡槽和螺口，便于和配套实验器材固定；</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4、模块化设计，可与有线接口、无线发射模块、数据显示模块连接，实现有线通讯、无线通讯、独立彩屏数据显示三种工作模式；</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6、支持系统：windows、Android、iOS系统。</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49BF08D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238DCA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4F255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795989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C3F7E6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多量程电压传感器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40C8B3C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1、测量范围：-20V～20V；分度：0.01V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测量范围：-2V～2V；分度：0.001V</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测量范围：-0.2V～0.2V；分度：0.1mV</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2、通过按钮切换量程；</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3、自带传感器固定卡槽和螺口，便于和配套实验器材固定；</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4、模块化设计，可与有线接口、无线发射模块、数据显示模块连接，实现有线通讯、无线通讯、独立彩屏数据显示三种工作模式；</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6、支持系统：windows、Android、iOS系统。</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▲提供含有产品外观图片的省级及以上产品质 量检测中心出具的检测报告</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6B8218F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60BF01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6B8E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8DE045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FDA7A2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磁感应强度传感器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4E63531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1、测量范围：-15mT～15 mT；</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2、分度：0.01 mT；</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3、自带传感器固定口，便于传感器固定；</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4、自带硬件调零按钮；</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5、模块化设计，可与有线接口、无线发射模块、数据显示模块连接，实现有线通讯、无线通讯、独立彩屏数据显示三种工作模式；</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7、支持系统：windows、Android、iOS系统。</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327FCC2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7D61A7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4D49A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6D60B9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FB5F72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三维磁感应强度传感器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4AA5900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1、测量范围：-50mT~+50mT；分度：0.01 mT；可同时监测X、Y、Z三个方向上磁感应强度的分量。</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2、连接插口采用BT接口，具有方向性和自锁功能，可以防止传感器脱落保证数据传输稳定；</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3、支持与采集器的有线通讯、无线通讯和彩屏独立数据显示三种工作方式，支持热插拔；</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4、可在windows、iOS、鸿蒙和安卓系统（手机或平板）下进行实验。</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2F28A60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F6A9AA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A1E7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A107AD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181862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静电计</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67254A0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1、测量范围：±100nC，分辨率：1nC。</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2、自带5寸液晶屏可测量带电物体的电荷量和极性，具有硬件调零的功能；</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3、输入端可连接金属小球或法拉第冰桶，以无线方式与计算机通讯。可完成静电感应、电荷守恒、等势体研究、静电屏蔽、光电效应等实验；</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2F88DB1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2F84EA6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A484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2FF9F7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F9570E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分体式位移传感器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6D350C2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1、测量范围：0cm ～200cm；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2、分度：1mm；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3、由发射器和接收器构成。发射器由电池供电，易与现有实验装置（运动小车、弹簧振子等）组合。无测量盲区；</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4、自带传感器固定口，便于传感器固定；</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5、自带硬件调零按钮；</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6、模块化设计，可与有线接口、无线发射模块、数据显示模块连接，实现有线通讯、无线通讯、独立彩屏数据显示三种工作模式；</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8、支持系统：windows、Android、iOS系统。</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75351FE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73E3D3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4448F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3"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3D8B0A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2A03AC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一体式位移传感器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728C168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1、测量范围：0.15m～6m；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2、分度：1mm；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3、自带可翻转式超声波接收和发射装置；</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4、自带传感器固定卡槽和螺口，便于和配套实验器材固定；</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5、模块化设计，可与有线接口、无线发射模块、数据显示模块连接，实现有线通讯、无线通讯、独立彩屏数据显示三种工作模式；</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7、支持系统：windows、Android、iOS系统。</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08D8FC7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965F8D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258D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DAD925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20A5A1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旋转运动传感器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10F69D2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1、测量范围：30转/秒；</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2、分度：0.2°；</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3、自带传感器固定口，便于传感器固定；</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4、自带硬件调零按钮；</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5、模块化设计，可与有线接口、无线发射模块、数据显示模块连接，实现有线通讯、无线通讯、独立彩屏数据显示三种工作模式；</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7、支持系统：windows、Android、iOS系统。</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1A0CEB0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014248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404E3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4F38BA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B1A943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高温传感器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2B717B4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1、测量范围：0℃~1200℃；分度：1℃；不锈钢探针，可测高温物体或火焰的温度；</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2、连接插口采用BT接口，具有方向性和自锁功能，可以防止传感器脱落保证数据传输稳定；</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3、支持与采集器的有线通讯、无线通讯和彩屏独立数据显示三种工作方式，支持热插拔；</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4、可在windows、iOS、鸿蒙和安卓系统（手机或平板）下进行实验。</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0FF2859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79049E4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1192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2BFEB6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CA15B0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双量程光照度传感器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2CD5852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1、测量范围：0 lx～5000lx～50000lx，分度：1 lx、10 lx；</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2、连接插口采用BT接口，具有方向性和自锁功能，可以防止传感器脱落保证数据传输稳定；</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3、支持与采集器的有线通讯、无线通讯和彩屏独立数据显示三种工作方式，支持热插拔；</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4、可在windows、iOS、鸿蒙和安卓系统（手机或平板）下分别进行实验。</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38E5C66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EC5250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8DCE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4"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8B8D0C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6C63A7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加速度传感器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3CE7BF2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1、测量范围-50m/s2～50m/s2；</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2、测量X、Y、Z三个正交方向的加速度值，</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3、自带传感器固定口，便于传感器固定；</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4、自带硬件调零按钮；</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5、模块化设计，可与有线接口、无线发射模块、数据显示模块连接，实现有线通讯、无线通讯、独立彩屏数据显示三种工作模式；</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7、支持系统：windows、Android、iOS系统。</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3079A91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4FEDAE1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2B7A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B06969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FE6F1D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压强传感器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5E5C7B5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1、测量范围：0 kPa～700 kPa；</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2、分度：0.1 kPa；</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3、自带传感器固定卡槽和螺口，便于和配套实验器材固定；</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4、模块化设计，可与有线接口、无线发射模块、数据显示模块连接，实现有线通讯、无线通讯、独立彩屏数据显示三种工作模式；</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6、支持系统：windows、Android、iOS系统。</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配件：20ml注射器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▲提供外观、铅、砷、汞、 甲醛检测合格的检测报告</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1D06572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2590D8D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48948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6"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57FECE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B7A62D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法拉第电磁感应实验器(动生E=nBLV)</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00AF6EB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由底座、多匝数的活动线圈、可移动式磁铁、内置磁感应强度传感器、光电门传感器组成，直接与计算机USB口通讯；可通过控制变量法，分别验证动生电动势与运动速度的关系、磁感强度、导线长度的关系</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68617C3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96C1D7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BB86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AADB1A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3C4999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法拉第电磁感应实验器(感生E=n△Φ/△t）</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72E5305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底座、主线圈、次线圈、电动势测量传输系统组成；直接与计算机USB口连接通讯，与智能电源、磁感应强度传感器配合使用，探究感生电动势与磁感强度的变化率关系底座内置电压传感器，底座能够固定I型支架。主线圈匝数：三线200匝±2匝、副线圈匝数：单线200匝±2匝</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1C455B2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FD9086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F155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E44377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23</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8273C9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智能电源</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17166B8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分为手动模式和智能模式输出。</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手动模式输出：直流输出：1.5V~10V连续可调。</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智能模式输出：可分别调节单周期的梯形波、单周期三角波及多周期三角波三种模式输出，波形上升与下降斜率分别可调。是法拉第电磁感应定律实验器的必备模块，二者组合使用，可完成研究磁通量的变化率与感生电动势的关系实验。</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自带彩色显示屏，显示输出电压的变化图像，配套专用导线。</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6B9B094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3EBD69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C92F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05B678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24</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7B14BE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电磁定位系统</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6F5F809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支架、电磁定位板、纵横向保护槽、信号源、弹射器、附件组成。定位范围：578mm×330mm；最高采样频率：200Hz/s；定位精度：≤1mm。通过实时定位，检测跟踪信号源在定位板上的位置，研究物体在二维平面内运动规律。标配实验配件为三速弹射器，用于抛射信号源，可完成平抛运动/斜抛运动的相关实验研究。</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可以选配其它实验配件，完成单摆、自由落体运动、机械能守恒定律、阻尼振动、离心运动、运动的合成、圆周运动物体的投影及速度方向等十几个相关实。</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39DF3CC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C29377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272C8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752538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B6BC10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单摆实验器</w:t>
            </w:r>
          </w:p>
        </w:tc>
        <w:tc>
          <w:tcPr>
            <w:tcW w:w="354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318C5D">
            <w:pPr>
              <w:keepNext w:val="0"/>
              <w:keepLines w:val="0"/>
              <w:widowControl/>
              <w:suppressLineNumbers w:val="0"/>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由立柱、支架、摆杆（含转轴、T型连接杆、碳纤维杆、信号源夹、配重块）、刻度盘、角码及紧固件构成。与电磁定位板、信号源配合使用，可进行单摆实验。</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4755AA1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ign w:val="center"/>
          </w:tcPr>
          <w:p w14:paraId="370F79C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46B613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01D9E5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26</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BD2D80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多用力学轨道系统</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3CCAF0C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含1.2m黑色强化铝合金轨道1条、轨道小车2辆、弹簧2条、固定柱2只、50克配重片4片、5克配重块4只、沙桶1只、挡光片五片（20×2、40、60、80）、摩擦块1块、磁碰片2片、弹性碰圈2只、滑轮1套、磁碰座架1套、小车收纳器1套、轨道倾角调节器1套、T型支撑架1只、L型挂架2只、铝合金I型支架4只、塑料I型支架2只、策动源1套、紧固件一宗。</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▲提供外观、铅、砷、汞、 甲醛检测合格的检测报告</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0A33B45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B67870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4FDA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785761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27</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FD0764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光电计时测距实验器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0CE7BDB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该系统配套2辆三轮小车，主轮自带盘式光栅，车载滚轮式光电门传感器，小车可脱离专用轨道使用，通过主轮转动测量自身位移、速度或加速度，并能以无线方式上传至计算机。系统有别于光电扫码系统，轨道表面和侧面不需要添加黑白条码，从而小车能在不借助位移传感器和光电门传感器等设备的情况下完成测定位移和速度、测定加速度、弹性碰撞和非弹性碰撞等实验。</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性能参数：量程：0～1.2m；分辨率：0.1mm；采样率：5khz；供电：锂电池；传输方式：蓝牙无线。无线接收器直接与计算机USB口通讯，通过无线通讯的方式，接收光电计时测距装置的信号，并在专用软件上显示出测量数据或图线。</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5C1CBD8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F6C626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8B9F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CB176B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992A7A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智能力盘</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4E721CB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两只一体式力/倾角传感器（测量范围：-20N～20N/-180°～180°；分度：0.01N/0.1°）、精密力盘、挂臂、固定装置组成，与铁架台、数据采集器配合使用。可同时测量两个方向的分力大小与角度值，完成动态条件下力的分解实验</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3E4A770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42DCBF1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4455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232A88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29</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1CD187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机械能守恒实验器</w:t>
            </w:r>
          </w:p>
        </w:tc>
        <w:tc>
          <w:tcPr>
            <w:tcW w:w="354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063B12">
            <w:pPr>
              <w:keepNext w:val="0"/>
              <w:keepLines w:val="0"/>
              <w:widowControl/>
              <w:suppressLineNumbers w:val="0"/>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含主板、副板、圆柱型摆、固定臂、测平器、螺栓等。能够完成动能势能转化实验（定性定量）</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▲提供外观、铅、砷、汞、 甲醛检测合格的检测报告</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3F1950A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F95E08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F70C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AD6903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30</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359678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智能机械能守恒实验器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2F0E0FD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底座、金属刻度板（含释放与收纳装置、挡光片）、立柱、光电门传感器、传感器电路、摆锤、摆杆、固定螺栓组成；直接与计算机USB口连接通讯；通过摆锤的一次运动，可获得摆锤在六个不同高度位置的速度数据，摆锤速度采集非角速度或转速换算而来，为通过光电门传感器得到瞬时速度，并由基本公式S/T=V得出，重力势能通过设定零势能点，由刻度板度数高度h，并由基本公式Ep=mgh得出，符合高中各年级学生学习和认知规律。设备使用USB通讯线直接接入计算机进行实验；拥有独立的专用软件，方便教师课堂演示实验使用；通过数据计算可以计算出摆球的动能、势能和机械能，并同时描绘出动能、势能和机械能随摆球下落高度的图线，得到随着摆球下落高度的降低，动能增大，势能减小，机械能不变的实验结论，完成对机械能守恒定律的定量探究。</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6A1069A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30889E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9146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731CDA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31</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64D3BF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平抛运动实验器</w:t>
            </w:r>
          </w:p>
        </w:tc>
        <w:tc>
          <w:tcPr>
            <w:tcW w:w="354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DBAA9C">
            <w:pPr>
              <w:keepNext w:val="0"/>
              <w:keepLines w:val="0"/>
              <w:widowControl/>
              <w:suppressLineNumbers w:val="0"/>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由座架、支架、平抛轨道、光电门支架、内置式触碰传感器、小球、标尺游标、磁性回收器等组成。与光电门传感器配合，可测量平抛运动小球的初速度、运行时间与水平距离</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3AB1E83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A4485C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D45B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2D6BDB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5F8080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向心力实验器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615D121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主梁架、底座、砝码、旋臂、连接装置、紧固件与电机控制系统等构成。可以选择手动与电机驱动两种旋转模式；电机转动速度（0~30rad/s）及转动方向可调。可通过控制变量法，研究向心力分别与角速度、质量以及旋转半径的关系</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0F0CEF7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F1A07E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60DA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7914AA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33</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02CD4D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无线向心力实验器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798BC65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1、由三角稳固底座、金属支架、旋臂、配重杆、平衡杆、挡光臂、旋臂座、砝码、连接装置、紧固件、无线接收器、电机控制系统构成。</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2、旋臂内置光电门传感器测量系统、力传感器测量系统及无线发射电路，可自由旋转。                                                                                                                  3、无线接收器与计算机USB接口通讯，无需另配数据采集器与传感器测量系统，内置光电门传感器测量系统可以精确记录每次挡光时间，并通过软件计算出旋臂的角速度；力传感器同步测量向心力的大小。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4、可以选择手动与电机驱动两种旋转模式；电机转动速度（0~30挡位）及转动方向可调。                                                                                                                                                     5、可通过控制变量法，可描绘向心力与质量、角速度、运动半径的关系曲线，探究向心力与质量、角速度、角速度、运动半径的关系。</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7427A6F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8603D9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FD08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099216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34</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18315E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电学实验板</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71DE958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共23块，设有标准接插孔及开关；包含半波整流与滤波，全波整流与滤波，复杂电路分析， RC、RL 移相，伏安法测电池的电动势和内阻，补偿法测量电池电动势，分压与限流电路，伏安法测电阻、测电阻丝电阻率，二极管特性曲线，三极管特性曲线，三极管放大电路，恒压源、恒流源、双稳态电路、多谐振荡、电容充放电及串并联、振荡电路、自感现象、描绘小灯泡的伏安特性曲线、与门电路、或门电路、非门电路、电感等实验板，可完成几十例中学电学实验</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6AEBEDD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4F3F86F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EAC9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6D1BF1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35</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8C4547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电阻定律实验器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05EEAF7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由直径不同的铁、铁铬、镍铬三种金属丝组成，配合电流、电压传感器使用，探究导体的电阻与长度、截面积的关系。</w:t>
            </w:r>
          </w:p>
        </w:tc>
        <w:tc>
          <w:tcPr>
            <w:tcW w:w="304" w:type="pct"/>
            <w:tcBorders>
              <w:top w:val="single" w:color="000000" w:sz="4" w:space="0"/>
              <w:left w:val="single" w:color="000000" w:sz="4" w:space="0"/>
              <w:bottom w:val="single" w:color="000000" w:sz="4" w:space="0"/>
              <w:right w:val="single" w:color="000000" w:sz="4" w:space="0"/>
            </w:tcBorders>
            <w:noWrap/>
            <w:vAlign w:val="center"/>
          </w:tcPr>
          <w:p w14:paraId="6E1FA66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ign w:val="center"/>
          </w:tcPr>
          <w:p w14:paraId="6D49DA7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5209A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56C2D5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36</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C37544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高灵敏度线圈</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7C96ACD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高灵敏度、无源、塑壳封装、带屏蔽，与微电流传感器配合，可测得切割地磁场产生的感生电流，也可测得不同电器的电磁辐射强度</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722350F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ign w:val="center"/>
          </w:tcPr>
          <w:p w14:paraId="3845E8C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3FBE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91F19E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37</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3FA692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摩擦力实验器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70C4445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由轨道、摩擦台底座、多种摩擦块、电机组成，与力传感器配合使用，可实现摩擦物体做匀速直线运动</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4FD568A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ign w:val="center"/>
          </w:tcPr>
          <w:p w14:paraId="09E04C2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CC6F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7E966C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38</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9735F6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安培力实验器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13C757C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底座、磁铁组、标有角度的转盘、矩形线框、挂钩、支架组成，配合电流传感器或多量程电流传感器和微力传感器使用，研究安培力与导线长度、供电电流以及电流方向与磁场夹角的关系。矩形线框上线圈为6种匝数，50、100、150、200、250、300匝，可研究不同匝数下的安培力大小。</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6F20FD3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ign w:val="center"/>
          </w:tcPr>
          <w:p w14:paraId="233D182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6CBA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72EF0F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39</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3BD2B9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音频信号发生器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0A46A55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通过内置或接外部扬声器发出声波，声波频率200Hz~2000Hz，声音响度连续可调。可配合声波传感器检测音频信号进行音频分析，自带2.0寸TFT彩色液晶屏显示波形</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580C6D8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ign w:val="center"/>
          </w:tcPr>
          <w:p w14:paraId="3DCC3ED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3CD0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4FAA61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40</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33E4F5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电磁感应与楞次定律实验器</w:t>
            </w:r>
          </w:p>
        </w:tc>
        <w:tc>
          <w:tcPr>
            <w:tcW w:w="354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93E3B6">
            <w:pPr>
              <w:keepNext w:val="0"/>
              <w:keepLines w:val="0"/>
              <w:widowControl/>
              <w:suppressLineNumbers w:val="0"/>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该实验器由档位开关、线圈、接线柱和电路板组成。与电流传感器配合使用，用于研究电磁感应现象。档位开关分别与不同匝数相的线圈连接，探究线圈匝数与感应电流的关系。可根据曲线的变化趋势分析感应电流的方向，并由此验证楞次定律</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567720B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ign w:val="center"/>
          </w:tcPr>
          <w:p w14:paraId="3FC6C74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E666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79F577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41</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6D2191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光学实验系统</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2930269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由长度1.2米轨道、可调光源座、光缝座、光屏座、相对光照度分布传感器、单缝、双缝、USB数据线构成。可完成高中物理中光的干涉、衍射实验。</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6E2B647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ign w:val="center"/>
          </w:tcPr>
          <w:p w14:paraId="36A59A4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C240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503B8C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890D69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自动控制执行器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7BA5A56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接收模块可接插电压传感器，通过电脑观察接收到的特定电磁波波形。供电电源：两节5号电池</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3AA3B90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4F80371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ED44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9D305F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43</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F64DFD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匀强磁场螺线管</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349AB17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可接学生电源，塑壳封装，产生匀强磁场</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74533E6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31F8DD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4E13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402B0C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44</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FA899A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查理定律实验器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5383021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由试管、快速温度探头、压强传感器连接器组成，结合温度与压强传感器，探究气体压强与温度的关系</w:t>
            </w:r>
          </w:p>
        </w:tc>
        <w:tc>
          <w:tcPr>
            <w:tcW w:w="304" w:type="pct"/>
            <w:tcBorders>
              <w:top w:val="single" w:color="000000" w:sz="4" w:space="0"/>
              <w:left w:val="single" w:color="000000" w:sz="4" w:space="0"/>
              <w:bottom w:val="single" w:color="000000" w:sz="4" w:space="0"/>
              <w:right w:val="single" w:color="000000" w:sz="4" w:space="0"/>
            </w:tcBorders>
            <w:noWrap/>
            <w:vAlign w:val="center"/>
          </w:tcPr>
          <w:p w14:paraId="6235399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DE721F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576A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39C044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45</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D20FCC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远红外加热器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5DD0FB1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220V交流供电，功率80W；圆筒型远红外辐射加热炉芯，便于对加热体均匀加热。可完成查理定律、晶体熔解和凝固、比热容等高精度热学定量实验</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76D4107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474181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480D1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3"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2C4A94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46</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002774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数字化实验软件</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3380AA2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1、为数字化实验分析软件软件。用于数据收集和结果分析。</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2、包含教材通用软件、物理教材专用软件、化学专用软件、生物专用软件、传感器校准软件与数据导入软件六个部分。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2.1、通用软件：</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可实现传感器数据的自动识别及控制：传感器接入后自动识别测量种类、测量范围、分度、单位、通道序号等。可改变传感器的显示方式：数字表、模拟表、示波。可根据实验调整传感器的采样频率、开始与暂停、字体颜色、字号大小、调零、示波图线的移动及大小。</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组合图线：拥有2个完全相同的组合图线显示窗口，可并行使用。通过该功能的应用可完成基于传感器的实时数据变化的描绘和计算表格数据描绘及分析、处理等操作。数据的分析及处理包括：拟合、求导、积分、统计、包格线等。可通过回访功能重复观察实验的变化规律。对图像可根据实验进行放大、缩小。可对引用的传感器进行同步的停止和开始，达到很好的同时性；可对引用的传感器进行同步的调零，达到很好的一致性；可对引用的传感器进行同步采样频率调整，达到很好的精确性；</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计算表格：可自动识别接入的传感器，并按照接入的通道自动标号。可通过变量、公式、求平均、绘图等按钮对数据进行处理。根据不同的实验要求可选择自动记录和手动记录。自动记录可调整时间间隔、选择采样条件，手动记录可根据需要进行点击记录，有效减少无效数据对实验结果的干扰。可引用现有实验模板也可DIY实验模板，并保存。支持表格的复制、粘贴、剪切。具备放大缩小功能，还支持打印机直接引用（无需退出实验软件），进行结果打印。实验结果可通过Excel形式进行保存。也可将保存的数据多次调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（4）实验录制：可同时将实验操作过程和软件的实验界面进行同屏录制，实现了实验现象和数据的对应。解决了数字实验无现象的难题（为减少软件操作复杂性，用其他软件录屏视为功能性缺失。）</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2.2、物理专用软件：界面简洁、风格独特、一键OK的特点。j涵盖了人教、粤教、鲁科等教材的重点实验。明确了实验题目，使用时直接接入传感器即可。大大的方便了课堂教学。完全符合现行教材，用户可直接根据教材进行实验操作。</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2.3、化学专用软件：涵盖了初高中重点实验，起到温故知新的作用。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2.4、生物专用软件：涵盖了初高中重点实验，起到温故知新的作用。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2.5、传感器校准软件：根据国际计量公用应用规范，针对生物、化学传感器进行校准，以减少误差，提高精度。应用于PH、溶解氧、色度、浊度、氧化还原等传感器。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2.6、数据导入软件：和数据显示模块配合使用，将数据显示模块的数据导入电脑进行长期保存和数据处理。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3、应用平台：支持windows、Android、iOS系统</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364BECB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24A2C53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00FC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93CC20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47</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CA1D14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附件</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73615F0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1、含USB通讯线1条、转接器4只、传感器线4条；两端为BT插头，插口具有方向性和自锁功能插接方便、配合严密、方便教学；</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2、彩色印刷版高中实验指南书，有详细实验案例介绍（实验器材、实验装置图、实验操作步骤等）。</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3EB5D24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48C043F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6CA7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D84A7D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48</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53CED1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铝合金箱</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37FFC32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尺寸≥510*340*175（mm），由铝合金主架、铝塑板面构成，内设隔断海棉内衬传感器铝合金实验箱</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4A1FEFD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EE86A0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8A36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1300F7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49</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D6A55E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压缩气体做功实验器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4E7FFF9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由专用底座、注射器和快速响应温度探头组成，研究气体压缩或膨胀时，温度的变化</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0F6B23C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225F2D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473F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5E1D05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0471B7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摩擦做功实验器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424B457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由铜管、支架、摩擦绳组成，与温度传感器配合使用，可完成摩擦做功使温度升高实验</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5D686A3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2D728FF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6A25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DC9101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51</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C95CF8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玻璃导电实验器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23BAE96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由底座、专用实验板、玻璃组成，与微电流传感器配合使用，研究温度对玻璃导电性的影响实验</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6A18654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2BC5C73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05F4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06DCDC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4EB749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温差电流实验器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2793D0D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由底座、不同材料金属框组成，与微电流传感器配合使用，研究温差产生电流的现象</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2BCBF35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50E67D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BC95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B4BA69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53</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B47829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地磁场发电机</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59509D3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由专用底座、矩形线圈、连接轴承组成，线圈可自由旋转，与微电流传感器配合使用，测量线圈旋转时产生的交流电</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3AC3007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76A3EF9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6429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EA739D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54</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6A329B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斜面上力的分解实验器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2337E71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由座架、L型旋臂和内置式力传感器、弧型角度标尺、环型物块构成。不需另配传感器，完成在斜面上力的分解合成实验</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66EA7D9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EBD322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4CBA5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F18B22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55</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1021A6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作用力与反作用力实验器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2069E21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由底座、滑台、两个固定柱构成，将两个力传感器分别固定在固定柱上，通过移动其中一个固定柱上力传感器来观看两个力传感器值的大小。</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2B8BFD6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CE5AFE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2DBE1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AD7EA2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56</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154A77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运动的合成实验器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75B5484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轨道架（包含左连接块、线桩、水平轨道、刻度盘、右连接块、牵引线固定器、信号源固定座、竖直轨道、滑轮）、塑胶手拧螺栓、T型螺母、手拧螺栓、手拧螺母、绑线扣、拉环、牵引线构成与电磁定位系统、信号源配合使用，可进行运动的合成实验。</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097753B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14B905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4D709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3569B2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57</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3B60BF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自由落体实验器</w:t>
            </w:r>
          </w:p>
        </w:tc>
        <w:tc>
          <w:tcPr>
            <w:tcW w:w="354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CCF48E">
            <w:pPr>
              <w:keepNext w:val="0"/>
              <w:keepLines w:val="0"/>
              <w:widowControl/>
              <w:suppressLineNumbers w:val="0"/>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由手动释放器、信号源保护夹、缓冲筐及紧固件构成。与电磁定位板、信号源及软件配合使用，在定位范围578mm×330mm中，满足定位精度≤1mm的要求，在二维坐标系中能够以50Hz或100Hz精准定位物体自由下落过程中的轨迹点，同时以表格形式记录下落过程中轨迹点的坐标，能够绘制“s-t图线”以及“v-t图线”，并自动计算出物体下落的“加速度”值，从而揭示了自由落体运动的规律，支持实验数据的导出、导入、实验结果的保存等。</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35B627E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5CB459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D9AB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77F4B2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58</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E35F30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凹凸桥实验器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26E85A5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由桥形支架、滚轮、条形锁紧装置、USB Type-C数据线构成，是魔板系统的拓展实验装置之一，与魔板配合使用，可用于探究物体运动过程中受力与所处位置之间的关系，能够定量展示物体在凹桥、凸桥上的超重、失重状态，可以测量轨道任意位置的受力情况。</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657751C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02490B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AFE4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AEB431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59</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332C9D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马德堡实验器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6698A71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由马德堡实验装置（包含透明上下壳、微型压强传感器、吊环、阀门）、数据线、抽气装置构成，用于验证大气压强存在。可通过显示屏实时显示压强数据，也可采用无线的方式将数据传输到移动端。</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2EC94BC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46ADA3A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26C3C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233B91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7BA0D0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力传感器附件</w:t>
            </w:r>
          </w:p>
        </w:tc>
        <w:tc>
          <w:tcPr>
            <w:tcW w:w="354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1F2665">
            <w:pPr>
              <w:keepNext w:val="0"/>
              <w:keepLines w:val="0"/>
              <w:widowControl/>
              <w:suppressLineNumbers w:val="0"/>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由称重组件（含托盘、底座）和压力实验组件（含尖头顶针、平头顶针）构成，与力传感器配合使用。其中，称重组件用于测量物体的质量，压力实验组件用于测量物体的表面压力。</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7D4F181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C2491A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A4B1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5ED665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61</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49551B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测力板</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5024413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测力板由主机和电源通配器构成，可根据实际测量情况自动切换测量范围 (-200N-+850N /-850N-+3500N)。该器材为一体式设计，上机外壳采用不锈钢材质，可配合数采集器及教学软件进行重力与质量的关系，超重失重等实验</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78A3A6F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4E73DE7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85D9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202EC2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F9B078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机械危害防护手套</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8D760E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性能等级应符合GB24541－2009的3级及以上</w:t>
            </w:r>
          </w:p>
        </w:tc>
        <w:tc>
          <w:tcPr>
            <w:tcW w:w="304" w:type="pct"/>
            <w:tcBorders>
              <w:top w:val="single" w:color="000000" w:sz="4" w:space="0"/>
              <w:left w:val="single" w:color="000000" w:sz="4" w:space="0"/>
              <w:bottom w:val="single" w:color="000000" w:sz="4" w:space="0"/>
              <w:right w:val="nil"/>
            </w:tcBorders>
            <w:noWrap w:val="0"/>
            <w:vAlign w:val="center"/>
          </w:tcPr>
          <w:p w14:paraId="4775241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双</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782D27B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1B4C9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5E32D5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63</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7F3257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绝缘手套</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7D2FEFA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电压不高于380V的低压防护</w:t>
            </w:r>
          </w:p>
        </w:tc>
        <w:tc>
          <w:tcPr>
            <w:tcW w:w="304" w:type="pct"/>
            <w:tcBorders>
              <w:top w:val="single" w:color="000000" w:sz="4" w:space="0"/>
              <w:left w:val="single" w:color="000000" w:sz="4" w:space="0"/>
              <w:bottom w:val="single" w:color="000000" w:sz="4" w:space="0"/>
              <w:right w:val="nil"/>
            </w:tcBorders>
            <w:noWrap w:val="0"/>
            <w:vAlign w:val="center"/>
          </w:tcPr>
          <w:p w14:paraId="2E8DB27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双</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F6741E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4E7C6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309CC6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64</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CA713B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绝缘手套</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27EFA84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适用于直流电压高于10kV的高压防护，电气绝缘性能应不低于级别3</w:t>
            </w:r>
          </w:p>
        </w:tc>
        <w:tc>
          <w:tcPr>
            <w:tcW w:w="304" w:type="pct"/>
            <w:tcBorders>
              <w:top w:val="single" w:color="000000" w:sz="4" w:space="0"/>
              <w:left w:val="single" w:color="000000" w:sz="4" w:space="0"/>
              <w:bottom w:val="single" w:color="000000" w:sz="4" w:space="0"/>
              <w:right w:val="nil"/>
            </w:tcBorders>
            <w:noWrap w:val="0"/>
            <w:vAlign w:val="center"/>
          </w:tcPr>
          <w:p w14:paraId="70C8E8E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双</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4641A6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014BA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E8F6AE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65</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931D2D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激光防护镜</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1740A13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激光类实验用，需与激光波长匹配</w:t>
            </w:r>
          </w:p>
        </w:tc>
        <w:tc>
          <w:tcPr>
            <w:tcW w:w="304" w:type="pct"/>
            <w:tcBorders>
              <w:top w:val="single" w:color="000000" w:sz="4" w:space="0"/>
              <w:left w:val="single" w:color="000000" w:sz="4" w:space="0"/>
              <w:bottom w:val="single" w:color="000000" w:sz="4" w:space="0"/>
              <w:right w:val="nil"/>
            </w:tcBorders>
            <w:noWrap w:val="0"/>
            <w:vAlign w:val="center"/>
          </w:tcPr>
          <w:p w14:paraId="2BCDCF0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A0DFAA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61FE1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526C11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66</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E069DD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护目镜</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65FDEF2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防机械冲击</w:t>
            </w:r>
          </w:p>
        </w:tc>
        <w:tc>
          <w:tcPr>
            <w:tcW w:w="304" w:type="pct"/>
            <w:tcBorders>
              <w:top w:val="single" w:color="000000" w:sz="4" w:space="0"/>
              <w:left w:val="single" w:color="000000" w:sz="4" w:space="0"/>
              <w:bottom w:val="single" w:color="000000" w:sz="4" w:space="0"/>
              <w:right w:val="nil"/>
            </w:tcBorders>
            <w:noWrap w:val="0"/>
            <w:vAlign w:val="center"/>
          </w:tcPr>
          <w:p w14:paraId="6149E54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26D75F5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7087B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ECD3E9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67</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CBEDF5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灭火毯</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217E8AC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玻璃纤维材质，1800mm×1200mm</w:t>
            </w:r>
          </w:p>
        </w:tc>
        <w:tc>
          <w:tcPr>
            <w:tcW w:w="304" w:type="pct"/>
            <w:tcBorders>
              <w:top w:val="single" w:color="000000" w:sz="4" w:space="0"/>
              <w:left w:val="single" w:color="000000" w:sz="4" w:space="0"/>
              <w:bottom w:val="single" w:color="000000" w:sz="4" w:space="0"/>
              <w:right w:val="nil"/>
            </w:tcBorders>
            <w:noWrap w:val="0"/>
            <w:vAlign w:val="center"/>
          </w:tcPr>
          <w:p w14:paraId="74117A2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条</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EDEB53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752C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C9D51A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68</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B247BC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仪器车</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66C4D13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600mm×400mm×1000mm，橡胶包车轮，车轮Φ75mm，厚25mm；2轮带刹车，车轮固定时车架扭动量（上部）≤20mm；钢材制作，载重≥60kg</w:t>
            </w:r>
          </w:p>
        </w:tc>
        <w:tc>
          <w:tcPr>
            <w:tcW w:w="304" w:type="pct"/>
            <w:tcBorders>
              <w:top w:val="single" w:color="000000" w:sz="4" w:space="0"/>
              <w:left w:val="single" w:color="000000" w:sz="4" w:space="0"/>
              <w:bottom w:val="single" w:color="000000" w:sz="4" w:space="0"/>
              <w:right w:val="nil"/>
            </w:tcBorders>
            <w:noWrap w:val="0"/>
            <w:vAlign w:val="center"/>
          </w:tcPr>
          <w:p w14:paraId="13301C2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辆</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F6A598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2309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B5AA6C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69</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02A7B1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小托盘</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3190889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250mm×350mm×60mm</w:t>
            </w:r>
          </w:p>
        </w:tc>
        <w:tc>
          <w:tcPr>
            <w:tcW w:w="304" w:type="pct"/>
            <w:tcBorders>
              <w:top w:val="single" w:color="000000" w:sz="4" w:space="0"/>
              <w:left w:val="single" w:color="000000" w:sz="4" w:space="0"/>
              <w:bottom w:val="single" w:color="000000" w:sz="4" w:space="0"/>
              <w:right w:val="nil"/>
            </w:tcBorders>
            <w:noWrap w:val="0"/>
            <w:vAlign w:val="center"/>
          </w:tcPr>
          <w:p w14:paraId="0907B22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4B27081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68DA7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6A448E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70</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7ECD88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大托盘</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78CC94E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350mm×470mm×80mm</w:t>
            </w:r>
          </w:p>
        </w:tc>
        <w:tc>
          <w:tcPr>
            <w:tcW w:w="304" w:type="pct"/>
            <w:tcBorders>
              <w:top w:val="single" w:color="000000" w:sz="4" w:space="0"/>
              <w:left w:val="single" w:color="000000" w:sz="4" w:space="0"/>
              <w:bottom w:val="single" w:color="000000" w:sz="4" w:space="0"/>
              <w:right w:val="nil"/>
            </w:tcBorders>
            <w:noWrap w:val="0"/>
            <w:vAlign w:val="center"/>
          </w:tcPr>
          <w:p w14:paraId="445A1D1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37F4BB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0E097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C2E505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71</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E7447E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提盒</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29350BF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承重大于3kg</w:t>
            </w:r>
          </w:p>
        </w:tc>
        <w:tc>
          <w:tcPr>
            <w:tcW w:w="304" w:type="pct"/>
            <w:tcBorders>
              <w:top w:val="single" w:color="000000" w:sz="4" w:space="0"/>
              <w:left w:val="single" w:color="000000" w:sz="4" w:space="0"/>
              <w:bottom w:val="single" w:color="000000" w:sz="4" w:space="0"/>
              <w:right w:val="nil"/>
            </w:tcBorders>
            <w:noWrap w:val="0"/>
            <w:vAlign w:val="center"/>
          </w:tcPr>
          <w:p w14:paraId="73466C7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F051DD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5C1BB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0A2D26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85576D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三脚架</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770E2D2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采用碳钢或φ6mm冷拉钢材造，三脚均布，高度≥156mm，三脚内接圆直径≥120mm。2. 上支承环平整，直径＞80mm。3. 三支撑脚与圆环间焊接牢靠，分布均匀，焊点光滑、平稳，三脚及支承环钢材直径≥6mm，表面经酸洗，磷化后喷塑或喷黑色防锈、耐热强化漆。4. 表面不应有明显的凹痕、裂缝、变形等缺陷；表面涂镀层应均匀，不应起泡、龟裂、脱落和磨损；不应有锈蚀及其他机械损伤。　</w:t>
            </w:r>
          </w:p>
        </w:tc>
        <w:tc>
          <w:tcPr>
            <w:tcW w:w="304" w:type="pct"/>
            <w:tcBorders>
              <w:top w:val="single" w:color="000000" w:sz="4" w:space="0"/>
              <w:left w:val="single" w:color="000000" w:sz="4" w:space="0"/>
              <w:bottom w:val="single" w:color="000000" w:sz="4" w:space="0"/>
              <w:right w:val="nil"/>
            </w:tcBorders>
            <w:noWrap w:val="0"/>
            <w:vAlign w:val="center"/>
          </w:tcPr>
          <w:p w14:paraId="49C6BCF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2C3BE7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E470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B329B6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73</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F4099B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电磁实验用旋转架</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72DA9C1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由底座、转轴和转台等组成。转台应采用静电绝缘材料制成，转台内应有一凹槽；凹槽宽度应≥15mm，凹槽深度应≥8mm，凹槽长度应≥35mm；转台应能作360°旋转</w:t>
            </w:r>
          </w:p>
        </w:tc>
        <w:tc>
          <w:tcPr>
            <w:tcW w:w="304" w:type="pct"/>
            <w:tcBorders>
              <w:top w:val="single" w:color="000000" w:sz="4" w:space="0"/>
              <w:left w:val="single" w:color="000000" w:sz="4" w:space="0"/>
              <w:bottom w:val="single" w:color="000000" w:sz="4" w:space="0"/>
              <w:right w:val="nil"/>
            </w:tcBorders>
            <w:noWrap w:val="0"/>
            <w:vAlign w:val="center"/>
          </w:tcPr>
          <w:p w14:paraId="24E7FF0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BC030A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634DF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FB5B62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74</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1A93BF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试管架</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365C91B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木制或塑料制，8孔，孔径21mm，立柱粘结牢固</w:t>
            </w:r>
          </w:p>
        </w:tc>
        <w:tc>
          <w:tcPr>
            <w:tcW w:w="304" w:type="pct"/>
            <w:tcBorders>
              <w:top w:val="single" w:color="000000" w:sz="4" w:space="0"/>
              <w:left w:val="single" w:color="000000" w:sz="4" w:space="0"/>
              <w:bottom w:val="single" w:color="000000" w:sz="4" w:space="0"/>
              <w:right w:val="nil"/>
            </w:tcBorders>
            <w:noWrap w:val="0"/>
            <w:vAlign w:val="center"/>
          </w:tcPr>
          <w:p w14:paraId="649C224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5D5C72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54C68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19C98A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75</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73D0E4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漏斗架</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3A5B22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木制或塑料制</w:t>
            </w:r>
          </w:p>
        </w:tc>
        <w:tc>
          <w:tcPr>
            <w:tcW w:w="304" w:type="pct"/>
            <w:tcBorders>
              <w:top w:val="single" w:color="000000" w:sz="4" w:space="0"/>
              <w:left w:val="single" w:color="000000" w:sz="4" w:space="0"/>
              <w:bottom w:val="single" w:color="000000" w:sz="4" w:space="0"/>
              <w:right w:val="nil"/>
            </w:tcBorders>
            <w:noWrap w:val="0"/>
            <w:vAlign w:val="center"/>
          </w:tcPr>
          <w:p w14:paraId="0BE63D4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82B20E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FAA3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4CAC9C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76</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703D30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多向转接头</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3F43453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双向交叉，孔内径适应于方座支架</w:t>
            </w:r>
          </w:p>
        </w:tc>
        <w:tc>
          <w:tcPr>
            <w:tcW w:w="304" w:type="pct"/>
            <w:tcBorders>
              <w:top w:val="single" w:color="000000" w:sz="4" w:space="0"/>
              <w:left w:val="single" w:color="000000" w:sz="4" w:space="0"/>
              <w:bottom w:val="single" w:color="000000" w:sz="4" w:space="0"/>
              <w:right w:val="nil"/>
            </w:tcBorders>
            <w:noWrap w:val="0"/>
            <w:vAlign w:val="center"/>
          </w:tcPr>
          <w:p w14:paraId="5A20903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3A6395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258C7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48C04D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77</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CFC1CB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物理支架</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587C360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立杆Φ12mm×500mm、Φ12mm×700mm各1根；A形座2个，质量分别不小于1.5kg和3.0kg；平行夹2个、垂直夹2个、烧瓶夹1个、万向夹1个、台边夹1个、大铁环1个、圆托盘1个、绝缘杆1根、吊杆1个、吊钩4个</w:t>
            </w:r>
          </w:p>
        </w:tc>
        <w:tc>
          <w:tcPr>
            <w:tcW w:w="304" w:type="pct"/>
            <w:tcBorders>
              <w:top w:val="single" w:color="000000" w:sz="4" w:space="0"/>
              <w:left w:val="single" w:color="000000" w:sz="4" w:space="0"/>
              <w:bottom w:val="single" w:color="000000" w:sz="4" w:space="0"/>
              <w:right w:val="nil"/>
            </w:tcBorders>
            <w:noWrap w:val="0"/>
            <w:vAlign w:val="center"/>
          </w:tcPr>
          <w:p w14:paraId="2CE53F1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27CD1DE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8BDB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7B11E1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78</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798CB9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方座支架</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776E4C0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由方形座、立杆、烧瓶夹、大小铁环、垂直夹（2只）、平行夹、吊杆等组成；立杆长600mm，方形座长210mm，宽135mm，烧瓶夹夹口内壁有耐热不低于120℃的缓压层</w:t>
            </w:r>
          </w:p>
        </w:tc>
        <w:tc>
          <w:tcPr>
            <w:tcW w:w="304" w:type="pct"/>
            <w:tcBorders>
              <w:top w:val="single" w:color="000000" w:sz="4" w:space="0"/>
              <w:left w:val="single" w:color="000000" w:sz="4" w:space="0"/>
              <w:bottom w:val="single" w:color="000000" w:sz="4" w:space="0"/>
              <w:right w:val="nil"/>
            </w:tcBorders>
            <w:noWrap w:val="0"/>
            <w:vAlign w:val="center"/>
          </w:tcPr>
          <w:p w14:paraId="57E36C5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0BF9A1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085B0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22ECAD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79</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568FD0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多功能实验支架</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FB246D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组合座架1个，最小组合支承面积应不小于560mm×10mm；滑块式垂直夹5个、烧瓶夹1个、万向夹1个、大铁环1个、方托盘1个、绝缘环2个、吊钩4个</w:t>
            </w:r>
          </w:p>
        </w:tc>
        <w:tc>
          <w:tcPr>
            <w:tcW w:w="304" w:type="pct"/>
            <w:tcBorders>
              <w:top w:val="single" w:color="000000" w:sz="4" w:space="0"/>
              <w:left w:val="single" w:color="000000" w:sz="4" w:space="0"/>
              <w:bottom w:val="single" w:color="000000" w:sz="4" w:space="0"/>
              <w:right w:val="nil"/>
            </w:tcBorders>
            <w:noWrap w:val="0"/>
            <w:vAlign w:val="center"/>
          </w:tcPr>
          <w:p w14:paraId="0FB6501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47DF61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C110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B7ADAC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80</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283453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升降台</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219C6A3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不锈钢台面，上台面有效面积不小于140mm×140mm，下台面有效面积不小于160mm×160mm，厚度不低于1mm；升降范围85mm～235mm，连续可调；上下台面的平面度误差应≤2mm，升降过程中任一位置的平行度误差≤3mm；额定载重量≥10kg</w:t>
            </w:r>
          </w:p>
        </w:tc>
        <w:tc>
          <w:tcPr>
            <w:tcW w:w="304" w:type="pct"/>
            <w:tcBorders>
              <w:top w:val="single" w:color="000000" w:sz="4" w:space="0"/>
              <w:left w:val="single" w:color="000000" w:sz="4" w:space="0"/>
              <w:bottom w:val="single" w:color="000000" w:sz="4" w:space="0"/>
              <w:right w:val="nil"/>
            </w:tcBorders>
            <w:noWrap w:val="0"/>
            <w:vAlign w:val="center"/>
          </w:tcPr>
          <w:p w14:paraId="3FFAFE1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9C0133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A655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66C23F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81</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18182E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电火花计时器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2B19D63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交流电压：220V，多频率：0.01s、0.02 s、0.05s，火花距离≥10mm，平均电流≤0.5mA，附固定夹，有同步释放功能</w:t>
            </w:r>
          </w:p>
        </w:tc>
        <w:tc>
          <w:tcPr>
            <w:tcW w:w="304" w:type="pct"/>
            <w:tcBorders>
              <w:top w:val="single" w:color="000000" w:sz="4" w:space="0"/>
              <w:left w:val="single" w:color="000000" w:sz="4" w:space="0"/>
              <w:bottom w:val="single" w:color="000000" w:sz="4" w:space="0"/>
              <w:right w:val="nil"/>
            </w:tcBorders>
            <w:noWrap w:val="0"/>
            <w:vAlign w:val="center"/>
          </w:tcPr>
          <w:p w14:paraId="0A09151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4D352F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2710D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2A8138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BD3922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演示斜面小车</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5CD6488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斜面板长≥1200mm，一端应有滑轮、缓冲或捕获小车的装置；斜面板工作面平面度误差应小于2mm；附摩擦材料丁腈橡胶、砂纸、棉布等，有摩擦材料的固定夹</w:t>
            </w:r>
          </w:p>
        </w:tc>
        <w:tc>
          <w:tcPr>
            <w:tcW w:w="304" w:type="pct"/>
            <w:tcBorders>
              <w:top w:val="single" w:color="000000" w:sz="4" w:space="0"/>
              <w:left w:val="single" w:color="000000" w:sz="4" w:space="0"/>
              <w:bottom w:val="single" w:color="000000" w:sz="4" w:space="0"/>
              <w:right w:val="nil"/>
            </w:tcBorders>
            <w:noWrap w:val="0"/>
            <w:vAlign w:val="center"/>
          </w:tcPr>
          <w:p w14:paraId="729E7FA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77FB0B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8761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AF3BBE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83</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2DA4E9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斜面小车</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46AED4F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括斜面、小车、摩擦块、支撑杆、砝码桶和摩擦材料等，与教学支架配套使用；斜面板≥915mm×100mm×20mm，一端应有滑轮、缓冲或捕获小车的装置；斜面板工作面平面度误差应小于2mm；附摩擦材料丁腈橡胶、砂纸、棉布等，有摩擦材料的固定夹</w:t>
            </w:r>
          </w:p>
        </w:tc>
        <w:tc>
          <w:tcPr>
            <w:tcW w:w="304" w:type="pct"/>
            <w:tcBorders>
              <w:top w:val="single" w:color="000000" w:sz="4" w:space="0"/>
              <w:left w:val="single" w:color="000000" w:sz="4" w:space="0"/>
              <w:bottom w:val="single" w:color="000000" w:sz="4" w:space="0"/>
              <w:right w:val="nil"/>
            </w:tcBorders>
            <w:noWrap w:val="0"/>
            <w:vAlign w:val="center"/>
          </w:tcPr>
          <w:p w14:paraId="0AD3A04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54AD5D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0CF3B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969ACA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84</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A1F2AF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轨道小车</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3AD93D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车拖纸带打点式；由轨道、1辆小车及配件组成，应配有打点纸带，应有调节轨道倾斜度的装置，轨道始端应有固定及释放小车的装置、固定计时器的平台，终端有捕捉小车的装置；轨道的有效运动长度≥600mm，轨道轨面的直线度误差不大于有效长度的0.03%；安装计时器后，记录纸带应能平行轨道运动；在倾斜度1:50的轨道上小车应能从静止开始运动</w:t>
            </w:r>
          </w:p>
        </w:tc>
        <w:tc>
          <w:tcPr>
            <w:tcW w:w="304" w:type="pct"/>
            <w:tcBorders>
              <w:top w:val="single" w:color="000000" w:sz="4" w:space="0"/>
              <w:left w:val="single" w:color="000000" w:sz="4" w:space="0"/>
              <w:bottom w:val="single" w:color="000000" w:sz="4" w:space="0"/>
              <w:right w:val="nil"/>
            </w:tcBorders>
            <w:noWrap w:val="0"/>
            <w:vAlign w:val="center"/>
          </w:tcPr>
          <w:p w14:paraId="2D82DD2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09400A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3C81E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5AC316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85</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1C7667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坐标纸</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168991F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1cm大格，1mm小格</w:t>
            </w:r>
          </w:p>
        </w:tc>
        <w:tc>
          <w:tcPr>
            <w:tcW w:w="304" w:type="pct"/>
            <w:tcBorders>
              <w:top w:val="single" w:color="000000" w:sz="4" w:space="0"/>
              <w:left w:val="single" w:color="000000" w:sz="4" w:space="0"/>
              <w:bottom w:val="single" w:color="000000" w:sz="4" w:space="0"/>
              <w:right w:val="nil"/>
            </w:tcBorders>
            <w:noWrap w:val="0"/>
            <w:vAlign w:val="center"/>
          </w:tcPr>
          <w:p w14:paraId="1A8D12C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F258C6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639B6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A58E61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86</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96D2F8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金属直尺（钢直尺）</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334E279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1000mm，分度值为1mm；刻度面平面度误差应≤0.25mm，允许误差应±0.20mm材；料为1Cr18Ni9、1Cr13或其他类似性能材料，硬度应不低于342HV</w:t>
            </w:r>
          </w:p>
        </w:tc>
        <w:tc>
          <w:tcPr>
            <w:tcW w:w="304" w:type="pct"/>
            <w:tcBorders>
              <w:top w:val="single" w:color="000000" w:sz="4" w:space="0"/>
              <w:left w:val="single" w:color="000000" w:sz="4" w:space="0"/>
              <w:bottom w:val="single" w:color="000000" w:sz="4" w:space="0"/>
              <w:right w:val="nil"/>
            </w:tcBorders>
            <w:noWrap w:val="0"/>
            <w:vAlign w:val="center"/>
          </w:tcPr>
          <w:p w14:paraId="2D9AEBB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把</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0030CD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r>
      <w:tr w14:paraId="16330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CE6D78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87</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901B43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金属直尺（钢直尺）</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895823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150mm，分度值为1mm；刻度面平面度误差应≤0.25mm，允许误差应±0.20mm材；料为1Cr18Ni9、1Cr13或其他类似性能材料，硬度应不低于342HV</w:t>
            </w:r>
          </w:p>
        </w:tc>
        <w:tc>
          <w:tcPr>
            <w:tcW w:w="304" w:type="pct"/>
            <w:tcBorders>
              <w:top w:val="single" w:color="000000" w:sz="4" w:space="0"/>
              <w:left w:val="single" w:color="000000" w:sz="4" w:space="0"/>
              <w:bottom w:val="single" w:color="000000" w:sz="4" w:space="0"/>
              <w:right w:val="nil"/>
            </w:tcBorders>
            <w:noWrap w:val="0"/>
            <w:vAlign w:val="center"/>
          </w:tcPr>
          <w:p w14:paraId="1E070B1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把</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C47490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67D16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13A42A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88</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1165C6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钢卷尺</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309EF16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0mm～5000mm，分度值1mm。B型（自卷制动式），尺带宽不小于12mm，厚不低于0.15mm。尺带拉伸、收卷轻便灵活，无卡阻现象</w:t>
            </w:r>
          </w:p>
        </w:tc>
        <w:tc>
          <w:tcPr>
            <w:tcW w:w="304" w:type="pct"/>
            <w:tcBorders>
              <w:top w:val="single" w:color="000000" w:sz="4" w:space="0"/>
              <w:left w:val="single" w:color="000000" w:sz="4" w:space="0"/>
              <w:bottom w:val="single" w:color="000000" w:sz="4" w:space="0"/>
              <w:right w:val="nil"/>
            </w:tcBorders>
            <w:noWrap w:val="0"/>
            <w:vAlign w:val="center"/>
          </w:tcPr>
          <w:p w14:paraId="143EFA6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把</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93591F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82E1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3D6954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89</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48388E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游标卡尺</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465D24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测量范围0mm～150mm，分度值0.02mm，尺框微动装置沿尺身移动平稳、无卡滞和松动现象，用制动螺钉能准确、可靠的固定在尺身上，带深度尺</w:t>
            </w:r>
          </w:p>
        </w:tc>
        <w:tc>
          <w:tcPr>
            <w:tcW w:w="304" w:type="pct"/>
            <w:tcBorders>
              <w:top w:val="single" w:color="000000" w:sz="4" w:space="0"/>
              <w:left w:val="single" w:color="000000" w:sz="4" w:space="0"/>
              <w:bottom w:val="single" w:color="000000" w:sz="4" w:space="0"/>
              <w:right w:val="nil"/>
            </w:tcBorders>
            <w:noWrap w:val="0"/>
            <w:vAlign w:val="center"/>
          </w:tcPr>
          <w:p w14:paraId="276A52F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把</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83B8B9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397F6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30CCBF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90</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482F67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演示外径千分尺（演示螺旋测微器）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9E35D6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木质或铝合金材质，刻度清晰，刻度放大比例1:20，锁紧装置能有效锁紧测微装置</w:t>
            </w:r>
          </w:p>
        </w:tc>
        <w:tc>
          <w:tcPr>
            <w:tcW w:w="304" w:type="pct"/>
            <w:tcBorders>
              <w:top w:val="single" w:color="000000" w:sz="4" w:space="0"/>
              <w:left w:val="single" w:color="000000" w:sz="4" w:space="0"/>
              <w:bottom w:val="single" w:color="000000" w:sz="4" w:space="0"/>
              <w:right w:val="nil"/>
            </w:tcBorders>
            <w:noWrap w:val="0"/>
            <w:vAlign w:val="center"/>
          </w:tcPr>
          <w:p w14:paraId="574EFF8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FD4171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66BC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B940E2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91</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C41956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外径千分尺（螺旋测微器）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49A5746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测量范围0mm～25mm，分度值0.01mm。螺杆和螺母全量程范围内充分啮合，配合良好，无明显卡滞和轴向窜动，螺杆与轴套配合良好无明显径向摆动，锁紧装置能有效锁紧测微装置</w:t>
            </w:r>
          </w:p>
        </w:tc>
        <w:tc>
          <w:tcPr>
            <w:tcW w:w="304" w:type="pct"/>
            <w:tcBorders>
              <w:top w:val="single" w:color="000000" w:sz="4" w:space="0"/>
              <w:left w:val="single" w:color="000000" w:sz="4" w:space="0"/>
              <w:bottom w:val="single" w:color="000000" w:sz="4" w:space="0"/>
              <w:right w:val="nil"/>
            </w:tcBorders>
            <w:noWrap w:val="0"/>
            <w:vAlign w:val="center"/>
          </w:tcPr>
          <w:p w14:paraId="64670F0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把</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12D644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6C1D8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20EFF3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874C41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金属钩码</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73883F8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50g±0.5g，每盒10个，可叠放；材料采用纯度99.6%、粒度不小于80#的铁基粉或其它钢材，钩码表面应有防腐镀层；硬度不小于HB70；上下勾的连线应通过钩码主体的轴线</w:t>
            </w:r>
          </w:p>
        </w:tc>
        <w:tc>
          <w:tcPr>
            <w:tcW w:w="304" w:type="pct"/>
            <w:tcBorders>
              <w:top w:val="single" w:color="000000" w:sz="4" w:space="0"/>
              <w:left w:val="single" w:color="000000" w:sz="4" w:space="0"/>
              <w:bottom w:val="single" w:color="000000" w:sz="4" w:space="0"/>
              <w:right w:val="nil"/>
            </w:tcBorders>
            <w:noWrap w:val="0"/>
            <w:vAlign w:val="center"/>
          </w:tcPr>
          <w:p w14:paraId="08C983A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7E2398B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1903D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3853D3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93</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55D48F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金属槽码</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73CCA62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2g×4，5g×4，10g×4，20g×4，50g×4，100g×2，200g×1；5g×1金属槽码盘和10g×1金属槽码盘</w:t>
            </w:r>
          </w:p>
        </w:tc>
        <w:tc>
          <w:tcPr>
            <w:tcW w:w="304" w:type="pct"/>
            <w:tcBorders>
              <w:top w:val="single" w:color="000000" w:sz="4" w:space="0"/>
              <w:left w:val="single" w:color="000000" w:sz="4" w:space="0"/>
              <w:bottom w:val="single" w:color="000000" w:sz="4" w:space="0"/>
              <w:right w:val="nil"/>
            </w:tcBorders>
            <w:noWrap w:val="0"/>
            <w:vAlign w:val="center"/>
          </w:tcPr>
          <w:p w14:paraId="3D5E362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8B61DC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3BE5B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8DE445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94</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C918A4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频闪光源</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6C73D7D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闪烁频率0.5Hz～200Hz可调，数字读数显示，光触发</w:t>
            </w:r>
          </w:p>
        </w:tc>
        <w:tc>
          <w:tcPr>
            <w:tcW w:w="304" w:type="pct"/>
            <w:tcBorders>
              <w:top w:val="single" w:color="000000" w:sz="4" w:space="0"/>
              <w:left w:val="single" w:color="000000" w:sz="4" w:space="0"/>
              <w:bottom w:val="single" w:color="000000" w:sz="4" w:space="0"/>
              <w:right w:val="nil"/>
            </w:tcBorders>
            <w:noWrap w:val="0"/>
            <w:vAlign w:val="center"/>
          </w:tcPr>
          <w:p w14:paraId="4558604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B3CEDD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1C9A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D55B8F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95</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E68090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运动频闪观测仪</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5D522B9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频闪光源25Hz、50Hz，可实时观测运动物体图像</w:t>
            </w:r>
          </w:p>
        </w:tc>
        <w:tc>
          <w:tcPr>
            <w:tcW w:w="304" w:type="pct"/>
            <w:tcBorders>
              <w:top w:val="single" w:color="000000" w:sz="4" w:space="0"/>
              <w:left w:val="single" w:color="000000" w:sz="4" w:space="0"/>
              <w:bottom w:val="single" w:color="000000" w:sz="4" w:space="0"/>
              <w:right w:val="nil"/>
            </w:tcBorders>
            <w:noWrap w:val="0"/>
            <w:vAlign w:val="center"/>
          </w:tcPr>
          <w:p w14:paraId="56531A3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3ADE47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CF07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BB9E9C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96</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139A39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直角坐标书写板</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1833005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做背景板用，印有方格。尺寸800mm×600mm，分格50mm×50mm</w:t>
            </w:r>
          </w:p>
        </w:tc>
        <w:tc>
          <w:tcPr>
            <w:tcW w:w="304" w:type="pct"/>
            <w:tcBorders>
              <w:top w:val="single" w:color="000000" w:sz="4" w:space="0"/>
              <w:left w:val="single" w:color="000000" w:sz="4" w:space="0"/>
              <w:bottom w:val="single" w:color="000000" w:sz="4" w:space="0"/>
              <w:right w:val="nil"/>
            </w:tcBorders>
            <w:noWrap w:val="0"/>
            <w:vAlign w:val="center"/>
          </w:tcPr>
          <w:p w14:paraId="715E712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4FE4AC4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743A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63377B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97</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F6F33B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直联泵（真空泵）</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3275C2D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2XZ型，单相，抽气速率为1L/s，有防回油功能；配套抽气管，长度不小于1.5m</w:t>
            </w:r>
          </w:p>
        </w:tc>
        <w:tc>
          <w:tcPr>
            <w:tcW w:w="304" w:type="pct"/>
            <w:tcBorders>
              <w:top w:val="single" w:color="000000" w:sz="4" w:space="0"/>
              <w:left w:val="single" w:color="000000" w:sz="4" w:space="0"/>
              <w:bottom w:val="single" w:color="000000" w:sz="4" w:space="0"/>
              <w:right w:val="nil"/>
            </w:tcBorders>
            <w:noWrap w:val="0"/>
            <w:vAlign w:val="center"/>
          </w:tcPr>
          <w:p w14:paraId="2B6F217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2A33C59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616C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1989D0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98</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3F7CD0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两用气筒</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457AFB6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活塞胶垫，气嘴外径8mm±0.1mm，长度15mm，台阶口；抽气压强达到6.7kPa时，放置30s，漏气引起的压强变化应不大于2.6kPa；充气压强达到290kPa时，放置30s，漏气引起的压强变化应不大于9.8kPa</w:t>
            </w:r>
          </w:p>
        </w:tc>
        <w:tc>
          <w:tcPr>
            <w:tcW w:w="304" w:type="pct"/>
            <w:tcBorders>
              <w:top w:val="single" w:color="000000" w:sz="4" w:space="0"/>
              <w:left w:val="single" w:color="000000" w:sz="4" w:space="0"/>
              <w:bottom w:val="single" w:color="000000" w:sz="4" w:space="0"/>
              <w:right w:val="nil"/>
            </w:tcBorders>
            <w:noWrap w:val="0"/>
            <w:vAlign w:val="center"/>
          </w:tcPr>
          <w:p w14:paraId="511CE44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E2E8E9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8B26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E36F3F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99</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ABCA03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打气筒</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5DE71E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气嘴外径8mm±0.1mm，长度15mm，台阶口，工作气压不小于0.295MPa</w:t>
            </w:r>
          </w:p>
        </w:tc>
        <w:tc>
          <w:tcPr>
            <w:tcW w:w="304" w:type="pct"/>
            <w:tcBorders>
              <w:top w:val="single" w:color="000000" w:sz="4" w:space="0"/>
              <w:left w:val="single" w:color="000000" w:sz="4" w:space="0"/>
              <w:bottom w:val="single" w:color="000000" w:sz="4" w:space="0"/>
              <w:right w:val="nil"/>
            </w:tcBorders>
            <w:noWrap w:val="0"/>
            <w:vAlign w:val="center"/>
          </w:tcPr>
          <w:p w14:paraId="4962591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7B79D79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CF89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725313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B14A64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毛钱管(牛顿管)</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5EB62B3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配真空泵；金属片和羽毛片有明显的颜色区分；抽气使管内压强降至-0.095MPa，停止抽气，静置1min，管内压强应保持－0.095MPa不变；金属片和羽毛片同时到达时间相差不超过0.02s</w:t>
            </w:r>
          </w:p>
        </w:tc>
        <w:tc>
          <w:tcPr>
            <w:tcW w:w="304" w:type="pct"/>
            <w:tcBorders>
              <w:top w:val="single" w:color="000000" w:sz="4" w:space="0"/>
              <w:left w:val="single" w:color="000000" w:sz="4" w:space="0"/>
              <w:bottom w:val="single" w:color="000000" w:sz="4" w:space="0"/>
              <w:right w:val="nil"/>
            </w:tcBorders>
            <w:noWrap w:val="0"/>
            <w:vAlign w:val="center"/>
          </w:tcPr>
          <w:p w14:paraId="507DC09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613853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D8D1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2BAAED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101</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17E47E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自由落体实验仪</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1A92B6D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包括主杆、支架座、电磁铁、光电门、钢球、钢球俘获装置、标尺及方向调节座等</w:t>
            </w:r>
          </w:p>
        </w:tc>
        <w:tc>
          <w:tcPr>
            <w:tcW w:w="304" w:type="pct"/>
            <w:tcBorders>
              <w:top w:val="single" w:color="000000" w:sz="4" w:space="0"/>
              <w:left w:val="single" w:color="000000" w:sz="4" w:space="0"/>
              <w:bottom w:val="single" w:color="000000" w:sz="4" w:space="0"/>
              <w:right w:val="nil"/>
            </w:tcBorders>
            <w:noWrap w:val="0"/>
            <w:vAlign w:val="center"/>
          </w:tcPr>
          <w:p w14:paraId="3F73799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BAFA0D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9AA4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5D85D4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E3801E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螺旋弹簧组</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5A78BAF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由拉力极限分别为4.9N、2.94N、1.96N、0.98N和0.49N的5种弹簧构成；各弹簧带长50mm挂钩（有指针），两端应为圆拉环，附标度板</w:t>
            </w:r>
          </w:p>
        </w:tc>
        <w:tc>
          <w:tcPr>
            <w:tcW w:w="304" w:type="pct"/>
            <w:tcBorders>
              <w:top w:val="single" w:color="000000" w:sz="4" w:space="0"/>
              <w:left w:val="single" w:color="000000" w:sz="4" w:space="0"/>
              <w:bottom w:val="single" w:color="000000" w:sz="4" w:space="0"/>
              <w:right w:val="nil"/>
            </w:tcBorders>
            <w:noWrap w:val="0"/>
            <w:vAlign w:val="center"/>
          </w:tcPr>
          <w:p w14:paraId="4AAA8CE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组</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5F3D8E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406FC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257346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103</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5F3EB1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摩擦力演示器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A8EC18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产品由铝合金底板、摩擦板（带滚轮）、摩擦块（有牵引线、可更换其它摩擦面）、摩擦面（5块、有背胶）、摩擦材料（木、硅橡胶、聚四氟乙烯）、匀速电机（带绕线盘、带刻度调速旋钮、开关）、力显示模块（含显示模块、力传感器、挂钩、可调整定滑轮、支架、电源座等、测力数显0.000N，量程5N）等组成。</w:t>
            </w:r>
          </w:p>
        </w:tc>
        <w:tc>
          <w:tcPr>
            <w:tcW w:w="304" w:type="pct"/>
            <w:tcBorders>
              <w:top w:val="single" w:color="000000" w:sz="4" w:space="0"/>
              <w:left w:val="single" w:color="000000" w:sz="4" w:space="0"/>
              <w:bottom w:val="single" w:color="000000" w:sz="4" w:space="0"/>
              <w:right w:val="nil"/>
            </w:tcBorders>
            <w:noWrap w:val="0"/>
            <w:vAlign w:val="center"/>
          </w:tcPr>
          <w:p w14:paraId="6C57FAB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2D1B489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8688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E2E7C0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104</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4D304E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力的合成与分解演示器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104AFF9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二种实验方法，全滑轮和测力计。</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1.圆盘厚8mm，刻度线有效直径≥285mm，刻线均匀清晰，各活动支臂，轨道转动，旋转灵活，锁紧方便。</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2.滑轮镶嵌轴承，转动灵活，起动力距极小。</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3.测力计定位夹锁紧移动方便。</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4.二种挂物线，应悬挂勾码方便。</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5.定滑轮与可移动滑轮旋转夹角&lt;10度。</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6.采用墨绿理化板底座，稳固耐用。</w:t>
            </w:r>
          </w:p>
        </w:tc>
        <w:tc>
          <w:tcPr>
            <w:tcW w:w="304" w:type="pct"/>
            <w:tcBorders>
              <w:top w:val="single" w:color="000000" w:sz="4" w:space="0"/>
              <w:left w:val="single" w:color="000000" w:sz="4" w:space="0"/>
              <w:bottom w:val="single" w:color="000000" w:sz="4" w:space="0"/>
              <w:right w:val="nil"/>
            </w:tcBorders>
            <w:noWrap w:val="0"/>
            <w:vAlign w:val="center"/>
          </w:tcPr>
          <w:p w14:paraId="7765C27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E8FBFD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8113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8E7392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105</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9BBAB2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演示定滑轮</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763EF83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有磁性，配合磁吸钢制黑板使用，滑轮转盘尺寸不小于50mm</w:t>
            </w:r>
          </w:p>
        </w:tc>
        <w:tc>
          <w:tcPr>
            <w:tcW w:w="304" w:type="pct"/>
            <w:tcBorders>
              <w:top w:val="single" w:color="000000" w:sz="4" w:space="0"/>
              <w:left w:val="single" w:color="000000" w:sz="4" w:space="0"/>
              <w:bottom w:val="single" w:color="000000" w:sz="4" w:space="0"/>
              <w:right w:val="nil"/>
            </w:tcBorders>
            <w:noWrap w:val="0"/>
            <w:vAlign w:val="center"/>
          </w:tcPr>
          <w:p w14:paraId="3C71EC7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2A8AB4B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w:t>
            </w:r>
          </w:p>
        </w:tc>
      </w:tr>
      <w:tr w14:paraId="31363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358F9A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106</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684E53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条形盒测力计</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3902C63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测量范围0N～1N，分度值0.01N；示值误差≤1/2分度，升降示差≤1/2分度，重复性偏差≤1/4分度</w:t>
            </w:r>
          </w:p>
        </w:tc>
        <w:tc>
          <w:tcPr>
            <w:tcW w:w="304" w:type="pct"/>
            <w:tcBorders>
              <w:top w:val="single" w:color="000000" w:sz="4" w:space="0"/>
              <w:left w:val="single" w:color="000000" w:sz="4" w:space="0"/>
              <w:bottom w:val="single" w:color="000000" w:sz="4" w:space="0"/>
              <w:right w:val="nil"/>
            </w:tcBorders>
            <w:noWrap w:val="0"/>
            <w:vAlign w:val="center"/>
          </w:tcPr>
          <w:p w14:paraId="329B5DE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46F4EF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r>
      <w:tr w14:paraId="4A65AB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395780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107</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9E0813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条形盒测力计</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3993366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测量范围0N～2.5N，分度值0.05N；示值误差≤1/4分度，升降示差≤1/2分度，重复性偏差≤1/4分度</w:t>
            </w:r>
          </w:p>
        </w:tc>
        <w:tc>
          <w:tcPr>
            <w:tcW w:w="304" w:type="pct"/>
            <w:tcBorders>
              <w:top w:val="single" w:color="000000" w:sz="4" w:space="0"/>
              <w:left w:val="single" w:color="000000" w:sz="4" w:space="0"/>
              <w:bottom w:val="single" w:color="000000" w:sz="4" w:space="0"/>
              <w:right w:val="nil"/>
            </w:tcBorders>
            <w:noWrap w:val="0"/>
            <w:vAlign w:val="center"/>
          </w:tcPr>
          <w:p w14:paraId="1E07BD8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4521F0B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r>
      <w:tr w14:paraId="53652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D3459D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108</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6AF9C0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条形盒测力计</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7A0A525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测量范围0N～5N，分度值0.1N；示值误差≤1/4分度，升降示差≤1/2分度，重复性偏差≤1/4分度</w:t>
            </w:r>
          </w:p>
        </w:tc>
        <w:tc>
          <w:tcPr>
            <w:tcW w:w="304" w:type="pct"/>
            <w:tcBorders>
              <w:top w:val="single" w:color="000000" w:sz="4" w:space="0"/>
              <w:left w:val="single" w:color="000000" w:sz="4" w:space="0"/>
              <w:bottom w:val="single" w:color="000000" w:sz="4" w:space="0"/>
              <w:right w:val="nil"/>
            </w:tcBorders>
            <w:noWrap w:val="0"/>
            <w:vAlign w:val="center"/>
          </w:tcPr>
          <w:p w14:paraId="0FC0C1B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49F647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r>
      <w:tr w14:paraId="2C439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E84429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109</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650341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条形盒测力计</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6D52CFB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测量范围0N～10N，分度值0.2N；示值误差≤1/4分度，升降示差≤1/2分度，重复性偏差≤1/4分度</w:t>
            </w:r>
          </w:p>
        </w:tc>
        <w:tc>
          <w:tcPr>
            <w:tcW w:w="304" w:type="pct"/>
            <w:tcBorders>
              <w:top w:val="single" w:color="000000" w:sz="4" w:space="0"/>
              <w:left w:val="single" w:color="000000" w:sz="4" w:space="0"/>
              <w:bottom w:val="single" w:color="000000" w:sz="4" w:space="0"/>
              <w:right w:val="nil"/>
            </w:tcBorders>
            <w:noWrap w:val="0"/>
            <w:vAlign w:val="center"/>
          </w:tcPr>
          <w:p w14:paraId="337C08B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5CF0E8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r>
      <w:tr w14:paraId="4EAF3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4F5D1D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110</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94E95F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量角器(圆等分器)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768D1B1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最小分度值应为1°,分度线应为0º~180º和180º~0º双向标度，双向角度标度中间有划线槽。半圆直径应为150mm～200mm，尺面厚不小于6mm</w:t>
            </w:r>
          </w:p>
        </w:tc>
        <w:tc>
          <w:tcPr>
            <w:tcW w:w="304" w:type="pct"/>
            <w:tcBorders>
              <w:top w:val="single" w:color="000000" w:sz="4" w:space="0"/>
              <w:left w:val="single" w:color="000000" w:sz="4" w:space="0"/>
              <w:bottom w:val="single" w:color="000000" w:sz="4" w:space="0"/>
              <w:right w:val="nil"/>
            </w:tcBorders>
            <w:noWrap w:val="0"/>
            <w:vAlign w:val="center"/>
          </w:tcPr>
          <w:p w14:paraId="530A4F1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793A57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r>
      <w:tr w14:paraId="2917C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FE3FDD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111</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4C77CF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三角板</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629CE10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等腰直角，中间带量角器，斜边不小于300mm</w:t>
            </w:r>
          </w:p>
        </w:tc>
        <w:tc>
          <w:tcPr>
            <w:tcW w:w="304" w:type="pct"/>
            <w:tcBorders>
              <w:top w:val="single" w:color="000000" w:sz="4" w:space="0"/>
              <w:left w:val="single" w:color="000000" w:sz="4" w:space="0"/>
              <w:bottom w:val="single" w:color="000000" w:sz="4" w:space="0"/>
              <w:right w:val="nil"/>
            </w:tcBorders>
            <w:noWrap w:val="0"/>
            <w:vAlign w:val="center"/>
          </w:tcPr>
          <w:p w14:paraId="11D0700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27D73C3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r>
      <w:tr w14:paraId="27148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BAF082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4A0A8F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圆规</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3616FCE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两用圆规（绘铅线、分距），铜质或不锈钢，齿轮型结构，同步型，一般调节，宜用摩擦固定</w:t>
            </w:r>
          </w:p>
        </w:tc>
        <w:tc>
          <w:tcPr>
            <w:tcW w:w="304" w:type="pct"/>
            <w:tcBorders>
              <w:top w:val="single" w:color="000000" w:sz="4" w:space="0"/>
              <w:left w:val="single" w:color="000000" w:sz="4" w:space="0"/>
              <w:bottom w:val="single" w:color="000000" w:sz="4" w:space="0"/>
              <w:right w:val="nil"/>
            </w:tcBorders>
            <w:noWrap w:val="0"/>
            <w:vAlign w:val="center"/>
          </w:tcPr>
          <w:p w14:paraId="51D76F4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7975DB0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r>
      <w:tr w14:paraId="48D82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C5B517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113</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F9B2DB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伽利略理想斜面演示器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2B583C6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长度≥1200mm，一端高度可连续升降，连接曲面光滑</w:t>
            </w:r>
          </w:p>
        </w:tc>
        <w:tc>
          <w:tcPr>
            <w:tcW w:w="304" w:type="pct"/>
            <w:tcBorders>
              <w:top w:val="single" w:color="000000" w:sz="4" w:space="0"/>
              <w:left w:val="single" w:color="000000" w:sz="4" w:space="0"/>
              <w:bottom w:val="single" w:color="000000" w:sz="4" w:space="0"/>
              <w:right w:val="nil"/>
            </w:tcBorders>
            <w:noWrap w:val="0"/>
            <w:vAlign w:val="center"/>
          </w:tcPr>
          <w:p w14:paraId="4559E56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2703E9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BCE6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83F987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114</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D30FF7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牛顿第二定律演示仪</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2ECF865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双轨道、刹车装置、滑轮、2辆小车、拉力挂钩等组成。轨道有效运动长度不小于600mm，轨面直线度误差不大于有效运动长度的0.03%，两轨面平行度误差不大于有效运动长度的0.1%；小车质量应为200g+n50g(n=0、1、2……)，误差不大于小车标称质量的2%；小车放在斜度1：50的轨道上应能从静止开始运动；刹车装置应能调节，使两辆小车同时静止或者同时开始运动；滑轮倾斜角度应可调节且固定可靠。当两小车质量相同，拉力相同，同时释放，行程误差不大于5％；当两小车质量相同，拉力为1:2，同时释放，行程误差不大于10%</w:t>
            </w:r>
          </w:p>
        </w:tc>
        <w:tc>
          <w:tcPr>
            <w:tcW w:w="304" w:type="pct"/>
            <w:tcBorders>
              <w:top w:val="single" w:color="000000" w:sz="4" w:space="0"/>
              <w:left w:val="single" w:color="000000" w:sz="4" w:space="0"/>
              <w:bottom w:val="single" w:color="000000" w:sz="4" w:space="0"/>
              <w:right w:val="nil"/>
            </w:tcBorders>
            <w:noWrap w:val="0"/>
            <w:vAlign w:val="center"/>
          </w:tcPr>
          <w:p w14:paraId="6D22220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68BBBF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A08E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E43084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115</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D0AAD4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架盘天平（托盘天平）</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2F89454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测量范围0g～100g，分度值0.1g</w:t>
            </w:r>
          </w:p>
        </w:tc>
        <w:tc>
          <w:tcPr>
            <w:tcW w:w="304" w:type="pct"/>
            <w:tcBorders>
              <w:top w:val="single" w:color="000000" w:sz="4" w:space="0"/>
              <w:left w:val="single" w:color="000000" w:sz="4" w:space="0"/>
              <w:bottom w:val="single" w:color="000000" w:sz="4" w:space="0"/>
              <w:right w:val="nil"/>
            </w:tcBorders>
            <w:noWrap w:val="0"/>
            <w:vAlign w:val="center"/>
          </w:tcPr>
          <w:p w14:paraId="2733A77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F06B32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r>
      <w:tr w14:paraId="0DBEA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202E72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116</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C47869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电子天平</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4ECA0FC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测量范围0g～1000g，分度值0.1g</w:t>
            </w:r>
          </w:p>
        </w:tc>
        <w:tc>
          <w:tcPr>
            <w:tcW w:w="304" w:type="pct"/>
            <w:tcBorders>
              <w:top w:val="single" w:color="000000" w:sz="4" w:space="0"/>
              <w:left w:val="single" w:color="000000" w:sz="4" w:space="0"/>
              <w:bottom w:val="single" w:color="000000" w:sz="4" w:space="0"/>
              <w:right w:val="nil"/>
            </w:tcBorders>
            <w:noWrap w:val="0"/>
            <w:vAlign w:val="center"/>
          </w:tcPr>
          <w:p w14:paraId="02EF90A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7FF359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28D2D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7CA5E7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117</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7D44E7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电子台秤</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417A9D5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测量范围20g～5kg，分度值1g</w:t>
            </w:r>
          </w:p>
        </w:tc>
        <w:tc>
          <w:tcPr>
            <w:tcW w:w="304" w:type="pct"/>
            <w:tcBorders>
              <w:top w:val="single" w:color="000000" w:sz="4" w:space="0"/>
              <w:left w:val="single" w:color="000000" w:sz="4" w:space="0"/>
              <w:bottom w:val="single" w:color="000000" w:sz="4" w:space="0"/>
              <w:right w:val="nil"/>
            </w:tcBorders>
            <w:noWrap w:val="0"/>
            <w:vAlign w:val="center"/>
          </w:tcPr>
          <w:p w14:paraId="3D2627B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43B4DF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22048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BA29B8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118</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8E5A01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超重失重演示器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6FB7CE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记忆测力计式</w:t>
            </w:r>
          </w:p>
        </w:tc>
        <w:tc>
          <w:tcPr>
            <w:tcW w:w="304" w:type="pct"/>
            <w:tcBorders>
              <w:top w:val="single" w:color="000000" w:sz="4" w:space="0"/>
              <w:left w:val="single" w:color="000000" w:sz="4" w:space="0"/>
              <w:bottom w:val="single" w:color="000000" w:sz="4" w:space="0"/>
              <w:right w:val="nil"/>
            </w:tcBorders>
            <w:noWrap w:val="0"/>
            <w:vAlign w:val="center"/>
          </w:tcPr>
          <w:p w14:paraId="521908A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73D726C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8BC6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BBAC94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119</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6224B4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滚摆</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35EC080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滚摆摆体（摆轮和摆轴）、悬线、支柱、横梁和底座组成。2、摆轮Φ115mm。摆轴Φ8mm，长160mm，轴上两个穿线孔距离140mm，穿线孔径Φ1.5mm。支柱高350mm，横梁长240mm。3、摆轴对摆轮的垂直度公差约0.5mm。4、摆轴应粗细均匀。轴上二穿线孔对于摆轮的对称公差约1mm。5、摆轴镀铬。底座应稳固，表面涂漆，支柱表面应作防锈处理。</w:t>
            </w:r>
          </w:p>
        </w:tc>
        <w:tc>
          <w:tcPr>
            <w:tcW w:w="304" w:type="pct"/>
            <w:tcBorders>
              <w:top w:val="single" w:color="000000" w:sz="4" w:space="0"/>
              <w:left w:val="single" w:color="000000" w:sz="4" w:space="0"/>
              <w:bottom w:val="single" w:color="000000" w:sz="4" w:space="0"/>
              <w:right w:val="nil"/>
            </w:tcBorders>
            <w:noWrap w:val="0"/>
            <w:vAlign w:val="center"/>
          </w:tcPr>
          <w:p w14:paraId="0CEE597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A0C649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B5DD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8CD3E2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120</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004574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机械能守恒演示器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2E04388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由底座、刻度板（含释放与收纳装置）挡片、立柱、摆锤等组成，通过摆锤的运动获得不同高度的实验数据</w:t>
            </w:r>
          </w:p>
        </w:tc>
        <w:tc>
          <w:tcPr>
            <w:tcW w:w="304" w:type="pct"/>
            <w:tcBorders>
              <w:top w:val="single" w:color="000000" w:sz="4" w:space="0"/>
              <w:left w:val="single" w:color="000000" w:sz="4" w:space="0"/>
              <w:bottom w:val="single" w:color="000000" w:sz="4" w:space="0"/>
              <w:right w:val="nil"/>
            </w:tcBorders>
            <w:noWrap w:val="0"/>
            <w:vAlign w:val="center"/>
          </w:tcPr>
          <w:p w14:paraId="6C8F192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1A54EA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F7DC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2B1D7B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121</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C51E70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曲线运动速度方向实验器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3ED3E90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可拼接的“S”形铝合金轨道、钢球、钢球释放装置等组成。小钢球能够在轨道内自由滚动。小钢球表面粘上印泥后，能够以一定的初速度从同一入口滚入轨道，滚出轨道时的速度方向（沿轨道该点切线）即为此时瞬时速度的方向，在加、减轨道时，小球滚出的速度方向不同。钢球在滚出轨道时会在白纸上留下一条运动的痕迹，记录钢球在离开轨道时的速度方向</w:t>
            </w:r>
          </w:p>
        </w:tc>
        <w:tc>
          <w:tcPr>
            <w:tcW w:w="304" w:type="pct"/>
            <w:tcBorders>
              <w:top w:val="single" w:color="000000" w:sz="4" w:space="0"/>
              <w:left w:val="single" w:color="000000" w:sz="4" w:space="0"/>
              <w:bottom w:val="single" w:color="000000" w:sz="4" w:space="0"/>
              <w:right w:val="nil"/>
            </w:tcBorders>
            <w:noWrap w:val="0"/>
            <w:vAlign w:val="center"/>
          </w:tcPr>
          <w:p w14:paraId="6338E96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74AC816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6D10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93742E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73B02C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运动合成分解演示器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267B7D4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运动分解与合成；可做匀速-匀速、匀速-匀加速运动合成</w:t>
            </w:r>
          </w:p>
        </w:tc>
        <w:tc>
          <w:tcPr>
            <w:tcW w:w="304" w:type="pct"/>
            <w:tcBorders>
              <w:top w:val="single" w:color="000000" w:sz="4" w:space="0"/>
              <w:left w:val="single" w:color="000000" w:sz="4" w:space="0"/>
              <w:bottom w:val="single" w:color="000000" w:sz="4" w:space="0"/>
              <w:right w:val="nil"/>
            </w:tcBorders>
            <w:noWrap w:val="0"/>
            <w:vAlign w:val="center"/>
          </w:tcPr>
          <w:p w14:paraId="19C2DF7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4DA5017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5853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226750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123</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563155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二维空间—时间描迹仪</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743033A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可用于平抛、斜抛、验证向心力、单摆运动图像等实验。高压脉冲频率：20Hz、50Hz、100Hz。电源输入与外壳：I类1500V，II类3000V；高压部分与外壳：15kV</w:t>
            </w:r>
          </w:p>
        </w:tc>
        <w:tc>
          <w:tcPr>
            <w:tcW w:w="304" w:type="pct"/>
            <w:tcBorders>
              <w:top w:val="single" w:color="000000" w:sz="4" w:space="0"/>
              <w:left w:val="single" w:color="000000" w:sz="4" w:space="0"/>
              <w:bottom w:val="single" w:color="000000" w:sz="4" w:space="0"/>
              <w:right w:val="nil"/>
            </w:tcBorders>
            <w:noWrap w:val="0"/>
            <w:vAlign w:val="center"/>
          </w:tcPr>
          <w:p w14:paraId="7D492AD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2C6AB2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7B29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42EF0C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124</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747890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平抛竖落仪</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12EE069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重锤击打式，两球应同时落地</w:t>
            </w:r>
          </w:p>
        </w:tc>
        <w:tc>
          <w:tcPr>
            <w:tcW w:w="304" w:type="pct"/>
            <w:tcBorders>
              <w:top w:val="single" w:color="000000" w:sz="4" w:space="0"/>
              <w:left w:val="single" w:color="000000" w:sz="4" w:space="0"/>
              <w:bottom w:val="single" w:color="000000" w:sz="4" w:space="0"/>
              <w:right w:val="nil"/>
            </w:tcBorders>
            <w:noWrap w:val="0"/>
            <w:vAlign w:val="center"/>
          </w:tcPr>
          <w:p w14:paraId="7F6FC90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941967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478B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FA5547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125</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B5DDC9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平抛和碰撞实验器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778EAD0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包含钢制演示板、钢球释放机构、钢球、铝合金钢球轨道、水平挡板、支球柱、重锤等。入射小球或被碰小球从斜轨轨道末端飞出后做平抛运动，落到挡板上，挤压复写纸，留下痕迹，挡板上下位置可调</w:t>
            </w:r>
          </w:p>
        </w:tc>
        <w:tc>
          <w:tcPr>
            <w:tcW w:w="304" w:type="pct"/>
            <w:tcBorders>
              <w:top w:val="single" w:color="000000" w:sz="4" w:space="0"/>
              <w:left w:val="single" w:color="000000" w:sz="4" w:space="0"/>
              <w:bottom w:val="single" w:color="000000" w:sz="4" w:space="0"/>
              <w:right w:val="nil"/>
            </w:tcBorders>
            <w:noWrap w:val="0"/>
            <w:vAlign w:val="center"/>
          </w:tcPr>
          <w:p w14:paraId="29F11D1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A0D666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25224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1B164A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126</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EE3E81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向心力实验器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2AA54C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质量、半径和角速度均可调</w:t>
            </w:r>
          </w:p>
        </w:tc>
        <w:tc>
          <w:tcPr>
            <w:tcW w:w="304" w:type="pct"/>
            <w:tcBorders>
              <w:top w:val="single" w:color="000000" w:sz="4" w:space="0"/>
              <w:left w:val="single" w:color="000000" w:sz="4" w:space="0"/>
              <w:bottom w:val="single" w:color="000000" w:sz="4" w:space="0"/>
              <w:right w:val="nil"/>
            </w:tcBorders>
            <w:noWrap w:val="0"/>
            <w:vAlign w:val="center"/>
          </w:tcPr>
          <w:p w14:paraId="4A20F66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9FCA81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40113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DAC3D4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127</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C19254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碰撞实验器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44154B7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供高中物理教学验证动量守恒定律等学生分组实验用。产品由轨道、小平轴、水平固定螺丝、C形夹、档球板、支球柱、玻璃靶球、钢球、重锤等组成。1.轨道应采用铝形材加工制成，表面烤漆处理；2.C形夹夹持范围不小于40mm；3.钢球和玻璃球直径为16mm。</w:t>
            </w:r>
          </w:p>
        </w:tc>
        <w:tc>
          <w:tcPr>
            <w:tcW w:w="304" w:type="pct"/>
            <w:tcBorders>
              <w:top w:val="single" w:color="000000" w:sz="4" w:space="0"/>
              <w:left w:val="single" w:color="000000" w:sz="4" w:space="0"/>
              <w:bottom w:val="single" w:color="000000" w:sz="4" w:space="0"/>
              <w:right w:val="nil"/>
            </w:tcBorders>
            <w:noWrap w:val="0"/>
            <w:vAlign w:val="center"/>
          </w:tcPr>
          <w:p w14:paraId="2774188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326032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55C66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7BBB94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128</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3B23BE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动量守恒小车</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2B3EC0F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包含轴承、实心摆球、小车等。小车底部有4个可动轮，摆球的直径≥5cm</w:t>
            </w:r>
          </w:p>
        </w:tc>
        <w:tc>
          <w:tcPr>
            <w:tcW w:w="304" w:type="pct"/>
            <w:tcBorders>
              <w:top w:val="single" w:color="000000" w:sz="4" w:space="0"/>
              <w:left w:val="single" w:color="000000" w:sz="4" w:space="0"/>
              <w:bottom w:val="single" w:color="000000" w:sz="4" w:space="0"/>
              <w:right w:val="nil"/>
            </w:tcBorders>
            <w:noWrap w:val="0"/>
            <w:vAlign w:val="center"/>
          </w:tcPr>
          <w:p w14:paraId="1C1EDA7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429EA2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85F6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666B39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129</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191EEF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动量传递演示器(碰撞球)</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46EE6F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包括底板、立柱、横杆、横梁、钢球等。支架上悬挂5个等质量、等直径且相互接触的钢球，并设有微调装置，用来调节钢球高低。钢球直径不小于16mm</w:t>
            </w:r>
          </w:p>
        </w:tc>
        <w:tc>
          <w:tcPr>
            <w:tcW w:w="304" w:type="pct"/>
            <w:tcBorders>
              <w:top w:val="single" w:color="000000" w:sz="4" w:space="0"/>
              <w:left w:val="single" w:color="000000" w:sz="4" w:space="0"/>
              <w:bottom w:val="single" w:color="000000" w:sz="4" w:space="0"/>
              <w:right w:val="nil"/>
            </w:tcBorders>
            <w:noWrap w:val="0"/>
            <w:vAlign w:val="center"/>
          </w:tcPr>
          <w:p w14:paraId="048B455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B4F34F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9189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0D6F56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130</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88CE21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反冲运动演示器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EFCF67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包含调节钉、上下支承、盛水器、支撑座、喷管、底座、横梁、立柱、密封座等。反冲运动时间不小于60s，盛水器盛水量1000mL±100mL</w:t>
            </w:r>
          </w:p>
        </w:tc>
        <w:tc>
          <w:tcPr>
            <w:tcW w:w="304" w:type="pct"/>
            <w:tcBorders>
              <w:top w:val="single" w:color="000000" w:sz="4" w:space="0"/>
              <w:left w:val="single" w:color="000000" w:sz="4" w:space="0"/>
              <w:bottom w:val="single" w:color="000000" w:sz="4" w:space="0"/>
              <w:right w:val="nil"/>
            </w:tcBorders>
            <w:noWrap w:val="0"/>
            <w:vAlign w:val="center"/>
          </w:tcPr>
          <w:p w14:paraId="39862D4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20C0F62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25E47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7A339D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131</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0BBF2C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弹簧振子</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A309A4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气垫式，含气源接口</w:t>
            </w:r>
          </w:p>
        </w:tc>
        <w:tc>
          <w:tcPr>
            <w:tcW w:w="304" w:type="pct"/>
            <w:tcBorders>
              <w:top w:val="single" w:color="000000" w:sz="4" w:space="0"/>
              <w:left w:val="single" w:color="000000" w:sz="4" w:space="0"/>
              <w:bottom w:val="single" w:color="000000" w:sz="4" w:space="0"/>
              <w:right w:val="nil"/>
            </w:tcBorders>
            <w:noWrap w:val="0"/>
            <w:vAlign w:val="center"/>
          </w:tcPr>
          <w:p w14:paraId="5E73392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EFFD9D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D981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68C5CF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45EDB7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单摆运动规律演示器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6341F4A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由铝合金底座、支撑杆、摆球等组成；可改变摆长、回复力等；宜配置光电门或计时器、无线传输模块等，与演示用显示屏配套使用显示频率、周期等；实验误差不大于5%</w:t>
            </w:r>
          </w:p>
        </w:tc>
        <w:tc>
          <w:tcPr>
            <w:tcW w:w="304" w:type="pct"/>
            <w:tcBorders>
              <w:top w:val="single" w:color="000000" w:sz="4" w:space="0"/>
              <w:left w:val="single" w:color="000000" w:sz="4" w:space="0"/>
              <w:bottom w:val="single" w:color="000000" w:sz="4" w:space="0"/>
              <w:right w:val="nil"/>
            </w:tcBorders>
            <w:noWrap w:val="0"/>
            <w:vAlign w:val="center"/>
          </w:tcPr>
          <w:p w14:paraId="4B9A395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9830C3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4A57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9D510E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133</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1507BB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单摆</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315596A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5个摆球，含3个直径不同的钢球，1个木球，1个塑料球。单摆夹应由金属材料制成，夹口应为V形，单摆在摆动过程中摆线上的固定点应不变</w:t>
            </w:r>
          </w:p>
        </w:tc>
        <w:tc>
          <w:tcPr>
            <w:tcW w:w="304" w:type="pct"/>
            <w:tcBorders>
              <w:top w:val="single" w:color="000000" w:sz="4" w:space="0"/>
              <w:left w:val="single" w:color="000000" w:sz="4" w:space="0"/>
              <w:bottom w:val="single" w:color="000000" w:sz="4" w:space="0"/>
              <w:right w:val="nil"/>
            </w:tcBorders>
            <w:noWrap w:val="0"/>
            <w:vAlign w:val="center"/>
          </w:tcPr>
          <w:p w14:paraId="443A0C4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7606E06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79633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319ED6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134</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CC9369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电子秒表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3FEC07F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专用型，全时段分辨力0.01s；有防震、防水功能，电池更换周期不小于1.5年</w:t>
            </w:r>
          </w:p>
        </w:tc>
        <w:tc>
          <w:tcPr>
            <w:tcW w:w="304" w:type="pct"/>
            <w:tcBorders>
              <w:top w:val="single" w:color="000000" w:sz="4" w:space="0"/>
              <w:left w:val="single" w:color="000000" w:sz="4" w:space="0"/>
              <w:bottom w:val="single" w:color="000000" w:sz="4" w:space="0"/>
              <w:right w:val="nil"/>
            </w:tcBorders>
            <w:noWrap w:val="0"/>
            <w:vAlign w:val="center"/>
          </w:tcPr>
          <w:p w14:paraId="649427F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468BFE2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5F0C3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F797C5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135</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29AFFC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受迫振动和共振演示器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74C7755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改变策动摆摆长，可分别使5个摆长不同的单摆发生共振，用来演示驱动力周期和单摆固有周期相同时发生共振</w:t>
            </w:r>
          </w:p>
        </w:tc>
        <w:tc>
          <w:tcPr>
            <w:tcW w:w="304" w:type="pct"/>
            <w:tcBorders>
              <w:top w:val="single" w:color="000000" w:sz="4" w:space="0"/>
              <w:left w:val="single" w:color="000000" w:sz="4" w:space="0"/>
              <w:bottom w:val="single" w:color="000000" w:sz="4" w:space="0"/>
              <w:right w:val="nil"/>
            </w:tcBorders>
            <w:noWrap w:val="0"/>
            <w:vAlign w:val="center"/>
          </w:tcPr>
          <w:p w14:paraId="2D09C92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729D96D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81F7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BF1055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136</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5BAEB8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波动弹簧</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78D980E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扁钢丝弹簧密绕；弹簧钢丝宽2.5mm~2.8mm，厚0.6mm～0.8mm；弹簧刚度2.0×10－3N/mm～5.0×10－3N/mm；圈数不小于130，弹簧旋绕比为25倍～35倍</w:t>
            </w:r>
          </w:p>
        </w:tc>
        <w:tc>
          <w:tcPr>
            <w:tcW w:w="304" w:type="pct"/>
            <w:tcBorders>
              <w:top w:val="single" w:color="000000" w:sz="4" w:space="0"/>
              <w:left w:val="single" w:color="000000" w:sz="4" w:space="0"/>
              <w:bottom w:val="single" w:color="000000" w:sz="4" w:space="0"/>
              <w:right w:val="nil"/>
            </w:tcBorders>
            <w:noWrap w:val="0"/>
            <w:vAlign w:val="center"/>
          </w:tcPr>
          <w:p w14:paraId="7B2F76E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C9BE1B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1449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F30F65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137</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051825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纵波演示器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2C6B427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用于演示纵波实验，由振动器及纵向波弹簧组成，纵向波弹簧≥155mm。外形尺寸：Φ100mm×120mm；波的密部和疏部现象明显</w:t>
            </w:r>
          </w:p>
        </w:tc>
        <w:tc>
          <w:tcPr>
            <w:tcW w:w="304" w:type="pct"/>
            <w:tcBorders>
              <w:top w:val="single" w:color="000000" w:sz="4" w:space="0"/>
              <w:left w:val="single" w:color="000000" w:sz="4" w:space="0"/>
              <w:bottom w:val="single" w:color="000000" w:sz="4" w:space="0"/>
              <w:right w:val="nil"/>
            </w:tcBorders>
            <w:noWrap w:val="0"/>
            <w:vAlign w:val="center"/>
          </w:tcPr>
          <w:p w14:paraId="6284EB9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92D369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8C29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9F4890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138</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2F27D1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绳波演示器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187731F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横波、行波、驻波、模拟偏振</w:t>
            </w:r>
          </w:p>
        </w:tc>
        <w:tc>
          <w:tcPr>
            <w:tcW w:w="304" w:type="pct"/>
            <w:tcBorders>
              <w:top w:val="single" w:color="000000" w:sz="4" w:space="0"/>
              <w:left w:val="single" w:color="000000" w:sz="4" w:space="0"/>
              <w:bottom w:val="single" w:color="000000" w:sz="4" w:space="0"/>
              <w:right w:val="nil"/>
            </w:tcBorders>
            <w:noWrap w:val="0"/>
            <w:vAlign w:val="center"/>
          </w:tcPr>
          <w:p w14:paraId="0BC0F3A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781FAE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EAD7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546F61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139</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00A03E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发波水槽</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1E6735A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水波槽、振动器、频闪光源和投影设备等组成，振动器的振幅应能调节，水槽尺寸不小于30cm×30cm×35cm,屏幕尺寸不小于26cm×24cm。性能要求：能消除边缘产生的反射波；能够演示小孔的口径不变，调整频率，衍射由不明显到明显；能够演示频率不变，改变小孔的口径，衍射由不明显到明显；投影清晰，可见度好</w:t>
            </w:r>
          </w:p>
        </w:tc>
        <w:tc>
          <w:tcPr>
            <w:tcW w:w="304" w:type="pct"/>
            <w:tcBorders>
              <w:top w:val="single" w:color="000000" w:sz="4" w:space="0"/>
              <w:left w:val="single" w:color="000000" w:sz="4" w:space="0"/>
              <w:bottom w:val="single" w:color="000000" w:sz="4" w:space="0"/>
              <w:right w:val="nil"/>
            </w:tcBorders>
            <w:noWrap w:val="0"/>
            <w:vAlign w:val="center"/>
          </w:tcPr>
          <w:p w14:paraId="10AA48F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636DD1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F98B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279D42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140</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7AC91B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油膜实验器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3E9B776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盛水盘、计数板、滴液器、油酸稀释液（或油酸）、粉、粉盒等组成。盛水盘深度不小于20mm，中心点到边沿的最小距离不小于100mm，中心点应有明显标记。计数板需透明并印有正方形格子，格子边长5mm，计数板应能覆盖整个盘面。粉盒内滤粉网不小于300目，粉不溶于水。滴液器灵活好用，不漏液</w:t>
            </w:r>
          </w:p>
        </w:tc>
        <w:tc>
          <w:tcPr>
            <w:tcW w:w="304" w:type="pct"/>
            <w:tcBorders>
              <w:top w:val="single" w:color="000000" w:sz="4" w:space="0"/>
              <w:left w:val="single" w:color="000000" w:sz="4" w:space="0"/>
              <w:bottom w:val="single" w:color="000000" w:sz="4" w:space="0"/>
              <w:right w:val="nil"/>
            </w:tcBorders>
            <w:noWrap w:val="0"/>
            <w:vAlign w:val="center"/>
          </w:tcPr>
          <w:p w14:paraId="317A41F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39DBBE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6F628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1F3D92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141</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2E2B46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光学显微镜</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DD4E0E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640×,带光源</w:t>
            </w:r>
          </w:p>
        </w:tc>
        <w:tc>
          <w:tcPr>
            <w:tcW w:w="304" w:type="pct"/>
            <w:tcBorders>
              <w:top w:val="single" w:color="000000" w:sz="4" w:space="0"/>
              <w:left w:val="single" w:color="000000" w:sz="4" w:space="0"/>
              <w:bottom w:val="single" w:color="000000" w:sz="4" w:space="0"/>
              <w:right w:val="nil"/>
            </w:tcBorders>
            <w:noWrap w:val="0"/>
            <w:vAlign w:val="center"/>
          </w:tcPr>
          <w:p w14:paraId="4B3A8D2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2EC2997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430DD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1FE065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FAF5E9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液体表面张力演示器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2DDDB48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可观察不同形状、不同状态的薄膜，薄膜产生的收缩效果等，宜能支持表面张力测量实验</w:t>
            </w:r>
          </w:p>
        </w:tc>
        <w:tc>
          <w:tcPr>
            <w:tcW w:w="304" w:type="pct"/>
            <w:tcBorders>
              <w:top w:val="single" w:color="000000" w:sz="4" w:space="0"/>
              <w:left w:val="single" w:color="000000" w:sz="4" w:space="0"/>
              <w:bottom w:val="single" w:color="000000" w:sz="4" w:space="0"/>
              <w:right w:val="nil"/>
            </w:tcBorders>
            <w:noWrap w:val="0"/>
            <w:vAlign w:val="center"/>
          </w:tcPr>
          <w:p w14:paraId="52DE554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25E5AA5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C89E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F80639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143</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1C8D11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气体定律演示器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E3BB9B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产品立式结构，设计新颖，用热敏电阻做传感器，密封在测量气室内，用数显模快显示温度的变化，用压强传感器采集压强的变化信息，用压强显示模快显示压强的变化。外壳用外径100mm透明亚克力圆管制作，观察无死角。定量气体的气室用PC透明100mL注射器，刻度均匀清晰，活塞限位装置易操作，气体体积易定量，易控制，容积易计算，结构原理正确。产品加入100℃洁净水做实验，安全耐用。用硅胶管连接各部件，使用寿命长，又耐高低温实验。</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产品可做定量气体的等温变化，定量气体的等压变化，定量气体的等容变化，实验误差多次平均值&lt;3%。</w:t>
            </w:r>
          </w:p>
        </w:tc>
        <w:tc>
          <w:tcPr>
            <w:tcW w:w="304" w:type="pct"/>
            <w:tcBorders>
              <w:top w:val="single" w:color="000000" w:sz="4" w:space="0"/>
              <w:left w:val="single" w:color="000000" w:sz="4" w:space="0"/>
              <w:bottom w:val="single" w:color="000000" w:sz="4" w:space="0"/>
              <w:right w:val="nil"/>
            </w:tcBorders>
            <w:noWrap w:val="0"/>
            <w:vAlign w:val="center"/>
          </w:tcPr>
          <w:p w14:paraId="63EC7BA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289F869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F363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0D106B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144</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702A84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气体定律实验器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5B839B5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产品立式结构，设计新颖，用热敏电阻做传感器，密封在测量气室内，用数显模快显示温度的变化，用压强传感器采集压强的变化信息，用压强显示模快显示压强的变化。外壳用外径100mm透明亚克力圆管制作，观察无死角。定量气体的气室用PC透明100mL注射器，刻度均匀清晰，活塞限位装置易操作，气体体积易定量，易控制，容积易计算，结构原理正确。产品加入100℃洁净水做实验，安全耐用。用硅胶管连接各部件，使用寿命长，又耐高低温实验。</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产品可做定量气体的等温变化，定量气体的等压变化，定量气体的等容变化，实验误差多次平均值&lt;3%。</w:t>
            </w:r>
          </w:p>
        </w:tc>
        <w:tc>
          <w:tcPr>
            <w:tcW w:w="304" w:type="pct"/>
            <w:tcBorders>
              <w:top w:val="single" w:color="000000" w:sz="4" w:space="0"/>
              <w:left w:val="single" w:color="000000" w:sz="4" w:space="0"/>
              <w:bottom w:val="single" w:color="000000" w:sz="4" w:space="0"/>
              <w:right w:val="nil"/>
            </w:tcBorders>
            <w:noWrap w:val="0"/>
            <w:vAlign w:val="center"/>
          </w:tcPr>
          <w:p w14:paraId="6C1056F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4AF67C2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405AA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0C15D3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145</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BEE809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空气压缩引火仪</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18AF2A9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气缸、底座、端盖、活塞等部分组成。气缸用透明有机玻璃制作，内径Φ10mm，外径Φ25mm，长130mm，底座Φ65mm，手柄Φ40mm，活塞杆Φ8mm。活塞体应使用弹性材料制成，活塞与气缸气密性应良好，连续压缩引火100次后密封圈性能不变。应能引燃脱脂棉，不应使用硝化棉</w:t>
            </w:r>
          </w:p>
        </w:tc>
        <w:tc>
          <w:tcPr>
            <w:tcW w:w="304" w:type="pct"/>
            <w:tcBorders>
              <w:top w:val="single" w:color="000000" w:sz="4" w:space="0"/>
              <w:left w:val="single" w:color="000000" w:sz="4" w:space="0"/>
              <w:bottom w:val="single" w:color="000000" w:sz="4" w:space="0"/>
              <w:right w:val="nil"/>
            </w:tcBorders>
            <w:noWrap w:val="0"/>
            <w:vAlign w:val="center"/>
          </w:tcPr>
          <w:p w14:paraId="605A389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009087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9E94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945DFD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146</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6BEF5E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光具座</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582E84E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导轨长1000mm，导轨和滑块均为金属件，滑块在导轨上应滑行自如，无阻滞现象。金属标尺刻度900mm，分度值lmm。光源出口处照度应≥5001x，500mm处照度≥3001x。附件包括双凸透镜2件，平凸透镜1件，双凹透镜1件，“1”字屏1件，白屏1件，插杆5根，带支架毛玻璃屏1件，烛台1件，宜配F光源。各器件易于装配、固定及拆卸</w:t>
            </w:r>
          </w:p>
        </w:tc>
        <w:tc>
          <w:tcPr>
            <w:tcW w:w="304" w:type="pct"/>
            <w:tcBorders>
              <w:top w:val="single" w:color="000000" w:sz="4" w:space="0"/>
              <w:left w:val="single" w:color="000000" w:sz="4" w:space="0"/>
              <w:bottom w:val="single" w:color="000000" w:sz="4" w:space="0"/>
              <w:right w:val="nil"/>
            </w:tcBorders>
            <w:noWrap w:val="0"/>
            <w:vAlign w:val="center"/>
          </w:tcPr>
          <w:p w14:paraId="7F3F51D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437C40B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06BD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898DCF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147</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703D29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光具盘C</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4C532F0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分离型、磁吸附式。矩形光盘长≥650mm，宽≥240mm；圆形光盘直径≥250mm。盘面分四个象限，以一条直径为始边，分别刻有0°~90°刻度。半导体激光光源，可显示5条平行光。光学零件：梯形玻砖1件，等腰直角棱镜1件，半圆柱透镜1件，小双凹柱透镜1件，小双凸柱透镜1件，双凸透镜1件，大双凸柱透镜1件，平面镜1件，凹凸柱面镜1件，正三棱镜2件</w:t>
            </w:r>
          </w:p>
        </w:tc>
        <w:tc>
          <w:tcPr>
            <w:tcW w:w="304" w:type="pct"/>
            <w:tcBorders>
              <w:top w:val="single" w:color="000000" w:sz="4" w:space="0"/>
              <w:left w:val="single" w:color="000000" w:sz="4" w:space="0"/>
              <w:bottom w:val="single" w:color="000000" w:sz="4" w:space="0"/>
              <w:right w:val="nil"/>
            </w:tcBorders>
            <w:noWrap w:val="0"/>
            <w:vAlign w:val="center"/>
          </w:tcPr>
          <w:p w14:paraId="479CD2D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D3B151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4BCCA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9AC91C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148</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CE6AF8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激光光学演示仪C</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740CF57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括演示屏、圆形光盘、光源、分束器、光学零部件（扩束透镜、双凸柱面透镜、半圆柱面透镜、平凸柱面透镜、平凹柱面透镜、凹凸柱面反光镜、平面镜、漫反射镜、等边棱镜、等腰直角棱镜、光纤、光具架、移动尺）等。演示屏长度≥350mm，宽度≥280mm；圆形光盘直径≥160mm。光盘面分为四个象限，分别刻有0°~90°刻度。激光束经分束器在演示屏上呈现的三条光束基本相同</w:t>
            </w:r>
          </w:p>
        </w:tc>
        <w:tc>
          <w:tcPr>
            <w:tcW w:w="304" w:type="pct"/>
            <w:tcBorders>
              <w:top w:val="single" w:color="000000" w:sz="4" w:space="0"/>
              <w:left w:val="single" w:color="000000" w:sz="4" w:space="0"/>
              <w:bottom w:val="single" w:color="000000" w:sz="4" w:space="0"/>
              <w:right w:val="nil"/>
            </w:tcBorders>
            <w:noWrap w:val="0"/>
            <w:vAlign w:val="center"/>
          </w:tcPr>
          <w:p w14:paraId="0C43391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3F7E59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43B2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BF4694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149</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7AC599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光的折射全反射实验器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E78ECD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包括演示屏、折射镜、光源、光源座、反射镜、底座、漫反射镜等。可折叠，演示屏半径≥130mm，半圆玻璃折射镜半径≥35mm</w:t>
            </w:r>
          </w:p>
        </w:tc>
        <w:tc>
          <w:tcPr>
            <w:tcW w:w="304" w:type="pct"/>
            <w:tcBorders>
              <w:top w:val="single" w:color="000000" w:sz="4" w:space="0"/>
              <w:left w:val="single" w:color="000000" w:sz="4" w:space="0"/>
              <w:bottom w:val="single" w:color="000000" w:sz="4" w:space="0"/>
              <w:right w:val="nil"/>
            </w:tcBorders>
            <w:noWrap w:val="0"/>
            <w:vAlign w:val="center"/>
          </w:tcPr>
          <w:p w14:paraId="5E27BF1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9A28A9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A40C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0E0D83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150</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71403D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光的传播、反射、折射实验器C</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396B3D7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由能显示光路的透明材料制成的半圆玻砖、角度板、2个条形玻砖、2个半导体激光光源（不加扩束镜，1个为入射光源，1个提供法线）等组成，表盘直径≥300mm</w:t>
            </w:r>
          </w:p>
        </w:tc>
        <w:tc>
          <w:tcPr>
            <w:tcW w:w="304" w:type="pct"/>
            <w:tcBorders>
              <w:top w:val="single" w:color="000000" w:sz="4" w:space="0"/>
              <w:left w:val="single" w:color="000000" w:sz="4" w:space="0"/>
              <w:bottom w:val="single" w:color="000000" w:sz="4" w:space="0"/>
              <w:right w:val="nil"/>
            </w:tcBorders>
            <w:noWrap w:val="0"/>
            <w:vAlign w:val="center"/>
          </w:tcPr>
          <w:p w14:paraId="6274EC3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1EBDA2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73F9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6E3E51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151</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04B1AA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玻璃砖</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BC582F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外形尺寸：上底长为35mm，两底角为60°±0.5°和45°±0.5°,高度为35mm±1mm，厚度为15mm±1mm；上下两面底面平行度为0.10mm；以抛光的梯形面为基标准面，上、下两底面、两斜面与基准面垂直度为0.1mm；玻璃砖中的一梯形面为粗加工面，光洁度为V5，上下里底面、两斜面及另一梯形面为精加工面，应进行抛光处理</w:t>
            </w:r>
          </w:p>
        </w:tc>
        <w:tc>
          <w:tcPr>
            <w:tcW w:w="304" w:type="pct"/>
            <w:tcBorders>
              <w:top w:val="single" w:color="000000" w:sz="4" w:space="0"/>
              <w:left w:val="single" w:color="000000" w:sz="4" w:space="0"/>
              <w:bottom w:val="single" w:color="000000" w:sz="4" w:space="0"/>
              <w:right w:val="nil"/>
            </w:tcBorders>
            <w:noWrap w:val="0"/>
            <w:vAlign w:val="center"/>
          </w:tcPr>
          <w:p w14:paraId="58C181C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4876AF5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436AC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485A40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80F6EA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折射率实验配材</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685F803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八开白纸（26cm×36.8cm）、图钉（每组至少4个）、大头针（每组至少4个）、方木板（尺寸不小于400mm×600mm）</w:t>
            </w:r>
          </w:p>
        </w:tc>
        <w:tc>
          <w:tcPr>
            <w:tcW w:w="304" w:type="pct"/>
            <w:tcBorders>
              <w:top w:val="single" w:color="000000" w:sz="4" w:space="0"/>
              <w:left w:val="single" w:color="000000" w:sz="4" w:space="0"/>
              <w:bottom w:val="single" w:color="000000" w:sz="4" w:space="0"/>
              <w:right w:val="nil"/>
            </w:tcBorders>
            <w:noWrap w:val="0"/>
            <w:vAlign w:val="center"/>
          </w:tcPr>
          <w:p w14:paraId="01637F5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E3DC2B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0538F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CBD388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153</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CF3887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光导纤维应用演示器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1552578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括传光束、传像束、有机玻璃棒、通讯演示器（发射机和接收机）、字母板、放大屏等。视听距离≥6m，传光束长度≥400mm，横截面≥2.55mm2，白光透过率≥50%，传像束长度≥350mm，传像工作面积≥100mm2。光线丝排列对应整齐，无错位，像元数不低于900个</w:t>
            </w:r>
          </w:p>
        </w:tc>
        <w:tc>
          <w:tcPr>
            <w:tcW w:w="304" w:type="pct"/>
            <w:tcBorders>
              <w:top w:val="single" w:color="000000" w:sz="4" w:space="0"/>
              <w:left w:val="single" w:color="000000" w:sz="4" w:space="0"/>
              <w:bottom w:val="single" w:color="000000" w:sz="4" w:space="0"/>
              <w:right w:val="nil"/>
            </w:tcBorders>
            <w:noWrap w:val="0"/>
            <w:vAlign w:val="center"/>
          </w:tcPr>
          <w:p w14:paraId="5C7AB3C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5B1CF8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B0F4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836EC8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154</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E3160F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玻棒(附丝绸)</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4B93568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或有机玻棒(附丝绸)，丝绸面积≥350mm×350mm。在规定工作条件下，用丝绸裹住玻棒（或有机玻棒），做一次快速拉出，棒上所带的电荷用D－YDQ－Z-100型指针验电器检验张角≥30°(≥50°)</w:t>
            </w:r>
          </w:p>
        </w:tc>
        <w:tc>
          <w:tcPr>
            <w:tcW w:w="304" w:type="pct"/>
            <w:tcBorders>
              <w:top w:val="single" w:color="000000" w:sz="4" w:space="0"/>
              <w:left w:val="single" w:color="000000" w:sz="4" w:space="0"/>
              <w:bottom w:val="single" w:color="000000" w:sz="4" w:space="0"/>
              <w:right w:val="nil"/>
            </w:tcBorders>
            <w:noWrap w:val="0"/>
            <w:vAlign w:val="center"/>
          </w:tcPr>
          <w:p w14:paraId="6658E0C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对</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3DBC61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0B6DF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400149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155</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A0E130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胶棒(附毛皮)</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771902C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或聚碳酸酯棒(附毛皮)，毛皮面积≥150mm×150mm。在规定工作条件下，用毛皮裹胶棒（或聚碳酸脂棒），做一次快速拉出，棒上所带的电荷用D－YDQ－Z-100型指针验电器检验张角≥30°(≥45°)</w:t>
            </w:r>
          </w:p>
        </w:tc>
        <w:tc>
          <w:tcPr>
            <w:tcW w:w="304" w:type="pct"/>
            <w:tcBorders>
              <w:top w:val="single" w:color="000000" w:sz="4" w:space="0"/>
              <w:left w:val="single" w:color="000000" w:sz="4" w:space="0"/>
              <w:bottom w:val="single" w:color="000000" w:sz="4" w:space="0"/>
              <w:right w:val="nil"/>
            </w:tcBorders>
            <w:noWrap w:val="0"/>
            <w:vAlign w:val="center"/>
          </w:tcPr>
          <w:p w14:paraId="0864A45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对</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7E07AD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7D9BD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BD9DA2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156</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9D2661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箔片验电器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6F0C19A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外壳、圆盘、导电杆、绝缘子、箔片、中位卡、接线柱和底座等组成。外壳应由不能带静电的材料制成，观察面应采用透明材料，透明材料透光率≥90%，箔片长度≥25mm。性能要求：相对湿度≤65%的环境，圆盘上加8kV直流高压，箔片张开与中位片角度≥45°。移去高压后，箔片张开角度保持30°以上的时间≥10min</w:t>
            </w:r>
          </w:p>
        </w:tc>
        <w:tc>
          <w:tcPr>
            <w:tcW w:w="304" w:type="pct"/>
            <w:tcBorders>
              <w:top w:val="single" w:color="000000" w:sz="4" w:space="0"/>
              <w:left w:val="single" w:color="000000" w:sz="4" w:space="0"/>
              <w:bottom w:val="single" w:color="000000" w:sz="4" w:space="0"/>
              <w:right w:val="nil"/>
            </w:tcBorders>
            <w:noWrap w:val="0"/>
            <w:vAlign w:val="center"/>
          </w:tcPr>
          <w:p w14:paraId="78F229F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对</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2F00E30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897A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777CC2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157</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0DE8FD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指针验电器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3C422AD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D－YDQ－Z－100型指针验电器，由外壳、圆球、法拉第圆筒、导电杆、绝缘子、指针、指针架、接地线柱构成。外壳应由不能带静电的材料制成，外壳上观察面应采用透明材料（透光率≥90%），指针用非磁性材料，长度≥100mm，带法拉第圆筒，指针刻度应为收敛式。性能要求：相对湿度≤65%的环境，圆球加9kV直流高压，指针张开角度在45º~50º,移去高压后，指针保持30°以上的时间≥20min</w:t>
            </w:r>
          </w:p>
        </w:tc>
        <w:tc>
          <w:tcPr>
            <w:tcW w:w="304" w:type="pct"/>
            <w:tcBorders>
              <w:top w:val="single" w:color="000000" w:sz="4" w:space="0"/>
              <w:left w:val="single" w:color="000000" w:sz="4" w:space="0"/>
              <w:bottom w:val="single" w:color="000000" w:sz="4" w:space="0"/>
              <w:right w:val="nil"/>
            </w:tcBorders>
            <w:noWrap w:val="0"/>
            <w:vAlign w:val="center"/>
          </w:tcPr>
          <w:p w14:paraId="5738D54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对</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648195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07CF7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57F02F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158</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F31FD6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移电球（验电球）</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75A772B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带有绝缘棒的金属小球</w:t>
            </w:r>
          </w:p>
        </w:tc>
        <w:tc>
          <w:tcPr>
            <w:tcW w:w="304" w:type="pct"/>
            <w:tcBorders>
              <w:top w:val="single" w:color="000000" w:sz="4" w:space="0"/>
              <w:left w:val="single" w:color="000000" w:sz="4" w:space="0"/>
              <w:bottom w:val="single" w:color="000000" w:sz="4" w:space="0"/>
              <w:right w:val="nil"/>
            </w:tcBorders>
            <w:noWrap w:val="0"/>
            <w:vAlign w:val="center"/>
          </w:tcPr>
          <w:p w14:paraId="2366E92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EB7455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C809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20B37D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159</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394E41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验电器连接杆</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B6DB36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含导电杆、绝缘手柄等，导电杆直径不小于2mm，长度不小于250mm，绝缘柄直径不小于10mm，长度不小于150mm</w:t>
            </w:r>
          </w:p>
        </w:tc>
        <w:tc>
          <w:tcPr>
            <w:tcW w:w="304" w:type="pct"/>
            <w:tcBorders>
              <w:top w:val="single" w:color="000000" w:sz="4" w:space="0"/>
              <w:left w:val="single" w:color="000000" w:sz="4" w:space="0"/>
              <w:bottom w:val="single" w:color="000000" w:sz="4" w:space="0"/>
              <w:right w:val="nil"/>
            </w:tcBorders>
            <w:noWrap w:val="0"/>
            <w:vAlign w:val="center"/>
          </w:tcPr>
          <w:p w14:paraId="639F244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28F81D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8F4E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0AC6B9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160</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DD90BF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电子起电机</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5210845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放电距离应为5mm～35mm，输出高压电流应≤500μA，有短路保护和开路保护，连续工作时间不少于30min，输出电压对地正负对称。安全要求：变压器的一次绕阻和二次绕阻抗电强度应达到交流3000V，电源与高压部分的电气间隙和爬电距离符合高压电气要求，宜采用外接的电源变换器（II类电器）。宜用干电池作电源</w:t>
            </w:r>
          </w:p>
        </w:tc>
        <w:tc>
          <w:tcPr>
            <w:tcW w:w="304" w:type="pct"/>
            <w:tcBorders>
              <w:top w:val="single" w:color="000000" w:sz="4" w:space="0"/>
              <w:left w:val="single" w:color="000000" w:sz="4" w:space="0"/>
              <w:bottom w:val="single" w:color="000000" w:sz="4" w:space="0"/>
              <w:right w:val="nil"/>
            </w:tcBorders>
            <w:noWrap w:val="0"/>
            <w:vAlign w:val="center"/>
          </w:tcPr>
          <w:p w14:paraId="3829820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A54327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5A59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28B1B4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161</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CFFF7A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枕形导体</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2115452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一对相同的半枕形导体、绝缘支杆和底座等组成。半枕形导体下方应有一个导电挂钩，导电挂钩不应有尖端。圆筒导体的直径应不小于55mm，长度应不小于100mm。半枕形导体应宜用304号以上不锈钢制成，封闭端应为半球面。性能要求：使各静电导体与D－YDQ－Z-100型指针验电器连接，用9kV高压使导体带电，10min内指针验电器的指针张角应≥30º</w:t>
            </w:r>
          </w:p>
        </w:tc>
        <w:tc>
          <w:tcPr>
            <w:tcW w:w="304" w:type="pct"/>
            <w:tcBorders>
              <w:top w:val="single" w:color="000000" w:sz="4" w:space="0"/>
              <w:left w:val="single" w:color="000000" w:sz="4" w:space="0"/>
              <w:bottom w:val="single" w:color="000000" w:sz="4" w:space="0"/>
              <w:right w:val="nil"/>
            </w:tcBorders>
            <w:noWrap w:val="0"/>
            <w:vAlign w:val="center"/>
          </w:tcPr>
          <w:p w14:paraId="6AC518D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对</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6E8FC9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AE1B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94DA99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D184B6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球形导体</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1C177B7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圆球形导体或开口的圆球形导体、绝缘支杆和底座构成。导体宜用不锈钢（304号以上）制成，球体直径应不小于90mm。性能要求：使静电导体与D－YDQ-Z－100型指针验电器连接，用9kV高压使导体带电，10min内指针验电器的指针张角应≥30º</w:t>
            </w:r>
          </w:p>
        </w:tc>
        <w:tc>
          <w:tcPr>
            <w:tcW w:w="304" w:type="pct"/>
            <w:tcBorders>
              <w:top w:val="single" w:color="000000" w:sz="4" w:space="0"/>
              <w:left w:val="single" w:color="000000" w:sz="4" w:space="0"/>
              <w:bottom w:val="single" w:color="000000" w:sz="4" w:space="0"/>
              <w:right w:val="nil"/>
            </w:tcBorders>
            <w:noWrap w:val="0"/>
            <w:vAlign w:val="center"/>
          </w:tcPr>
          <w:p w14:paraId="0D12A72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7B8B027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64EA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A04446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163</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6EFE49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验电幡</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56C9441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由长方形铜丝网、绝缘支柱、底座等部分组成。绝缘部分宜用有机玻璃制成</w:t>
            </w:r>
          </w:p>
        </w:tc>
        <w:tc>
          <w:tcPr>
            <w:tcW w:w="304" w:type="pct"/>
            <w:tcBorders>
              <w:top w:val="single" w:color="000000" w:sz="4" w:space="0"/>
              <w:left w:val="single" w:color="000000" w:sz="4" w:space="0"/>
              <w:bottom w:val="single" w:color="000000" w:sz="4" w:space="0"/>
              <w:right w:val="nil"/>
            </w:tcBorders>
            <w:noWrap w:val="0"/>
            <w:vAlign w:val="center"/>
          </w:tcPr>
          <w:p w14:paraId="19E0F1E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747D148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F3A9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2832D1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164</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C8D098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库仑定律演示器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474727E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精确到千分位的电子天平，三个带有绝缘底座的相同的金属小球，带刻度（最小刻度1mm）的支架，一个金属小球通过绝缘杆连接在支架上，并可自由升降和固定。将以上仪器封装于矩形有机玻璃罩内，有开口可进行相应调节，另附红外干燥器</w:t>
            </w:r>
          </w:p>
        </w:tc>
        <w:tc>
          <w:tcPr>
            <w:tcW w:w="304" w:type="pct"/>
            <w:tcBorders>
              <w:top w:val="single" w:color="000000" w:sz="4" w:space="0"/>
              <w:left w:val="single" w:color="000000" w:sz="4" w:space="0"/>
              <w:bottom w:val="single" w:color="000000" w:sz="4" w:space="0"/>
              <w:right w:val="nil"/>
            </w:tcBorders>
            <w:noWrap w:val="0"/>
            <w:vAlign w:val="center"/>
          </w:tcPr>
          <w:p w14:paraId="5CBC07C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A02927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E63E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064D0F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165</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892131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验电羽</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618507D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由绝缘支架、金属片、细尼龙绳、螺钉等组成。绝缘支架上装有两片金属片，两金属片间夹有若干长条形细尼龙绳</w:t>
            </w:r>
          </w:p>
        </w:tc>
        <w:tc>
          <w:tcPr>
            <w:tcW w:w="304" w:type="pct"/>
            <w:tcBorders>
              <w:top w:val="single" w:color="000000" w:sz="4" w:space="0"/>
              <w:left w:val="single" w:color="000000" w:sz="4" w:space="0"/>
              <w:bottom w:val="single" w:color="000000" w:sz="4" w:space="0"/>
              <w:right w:val="nil"/>
            </w:tcBorders>
            <w:noWrap w:val="0"/>
            <w:vAlign w:val="center"/>
          </w:tcPr>
          <w:p w14:paraId="06C9438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对</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7272E12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2CDD8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B998E0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166</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701EF3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电场线演示器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1C210B4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由单点电极演示板、双点电极演示板（同种电极和异种电极）、平行板电极演示板、环形电极演示板、尖形导体演示板组成</w:t>
            </w:r>
          </w:p>
        </w:tc>
        <w:tc>
          <w:tcPr>
            <w:tcW w:w="304" w:type="pct"/>
            <w:tcBorders>
              <w:top w:val="single" w:color="000000" w:sz="4" w:space="0"/>
              <w:left w:val="single" w:color="000000" w:sz="4" w:space="0"/>
              <w:bottom w:val="single" w:color="000000" w:sz="4" w:space="0"/>
              <w:right w:val="nil"/>
            </w:tcBorders>
            <w:noWrap w:val="0"/>
            <w:vAlign w:val="center"/>
          </w:tcPr>
          <w:p w14:paraId="7AEBA02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467584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42931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E8A408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167</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3189DB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平行板电容器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171E4EE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底座、极板、介质板等构成，两平行板间距离可调，最大应不小于100mm，最小距离应不大于3mm。介质板插入两极板中间后，极板与介质板间应能接触。极板装配后，两块板面之间的相对面积应能任意调节，相对面积变化应能从100％变化到零。宜采用转动或平移错开极板改变相对面积的方式</w:t>
            </w:r>
          </w:p>
        </w:tc>
        <w:tc>
          <w:tcPr>
            <w:tcW w:w="304" w:type="pct"/>
            <w:tcBorders>
              <w:top w:val="single" w:color="000000" w:sz="4" w:space="0"/>
              <w:left w:val="single" w:color="000000" w:sz="4" w:space="0"/>
              <w:bottom w:val="single" w:color="000000" w:sz="4" w:space="0"/>
              <w:right w:val="nil"/>
            </w:tcBorders>
            <w:noWrap w:val="0"/>
            <w:vAlign w:val="center"/>
          </w:tcPr>
          <w:p w14:paraId="6F5F8E2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3CF873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5B8B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3C7C41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168</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4CBB96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常用电容器示教板</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5D2E280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电解电容器、云母电容器、陶瓷电容器、独石电容器、薄膜电容器、贴片电容器、微调电容器、可变电容器等。性能要求：电容器要标明相应参数</w:t>
            </w:r>
          </w:p>
        </w:tc>
        <w:tc>
          <w:tcPr>
            <w:tcW w:w="304" w:type="pct"/>
            <w:tcBorders>
              <w:top w:val="single" w:color="000000" w:sz="4" w:space="0"/>
              <w:left w:val="single" w:color="000000" w:sz="4" w:space="0"/>
              <w:bottom w:val="single" w:color="000000" w:sz="4" w:space="0"/>
              <w:right w:val="nil"/>
            </w:tcBorders>
            <w:noWrap w:val="0"/>
            <w:vAlign w:val="center"/>
          </w:tcPr>
          <w:p w14:paraId="3C9D114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AC80FD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4A114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F1A8A7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169</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1E256D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电容器实验板</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714255E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包含不少于5种规格不同电解电容器，排列均匀，焊接在实验板上，能有效实现电容器充放电等实验</w:t>
            </w:r>
          </w:p>
        </w:tc>
        <w:tc>
          <w:tcPr>
            <w:tcW w:w="304" w:type="pct"/>
            <w:tcBorders>
              <w:top w:val="single" w:color="000000" w:sz="4" w:space="0"/>
              <w:left w:val="single" w:color="000000" w:sz="4" w:space="0"/>
              <w:bottom w:val="single" w:color="000000" w:sz="4" w:space="0"/>
              <w:right w:val="nil"/>
            </w:tcBorders>
            <w:noWrap w:val="0"/>
            <w:vAlign w:val="center"/>
          </w:tcPr>
          <w:p w14:paraId="5279C23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7ED2C3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26</w:t>
            </w:r>
          </w:p>
        </w:tc>
      </w:tr>
      <w:tr w14:paraId="12D80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5565A8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170</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C0CCB4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常用电阻器示教板</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495790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定值电阻(碳膜电阻、金属膜电阻、绕线电阻、水泥电阻、贴片式电阻等)、可变电阻(电位器、小型滑动变阻器)、特殊电阻(热敏电阻、光敏电阻、压敏电阻）等</w:t>
            </w:r>
          </w:p>
        </w:tc>
        <w:tc>
          <w:tcPr>
            <w:tcW w:w="304" w:type="pct"/>
            <w:tcBorders>
              <w:top w:val="single" w:color="000000" w:sz="4" w:space="0"/>
              <w:left w:val="single" w:color="000000" w:sz="4" w:space="0"/>
              <w:bottom w:val="single" w:color="000000" w:sz="4" w:space="0"/>
              <w:right w:val="nil"/>
            </w:tcBorders>
            <w:noWrap w:val="0"/>
            <w:vAlign w:val="center"/>
          </w:tcPr>
          <w:p w14:paraId="2991985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42717AB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53AB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1EB7EA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171</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B1B9A5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电阻实验板</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5AF024C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由不少于6种不同规格的定值电阻（1Ω~100kΩ)组成，排列均匀，焊接在实验板上，应注明标称值及系列</w:t>
            </w:r>
          </w:p>
        </w:tc>
        <w:tc>
          <w:tcPr>
            <w:tcW w:w="304" w:type="pct"/>
            <w:tcBorders>
              <w:top w:val="single" w:color="000000" w:sz="4" w:space="0"/>
              <w:left w:val="single" w:color="000000" w:sz="4" w:space="0"/>
              <w:bottom w:val="single" w:color="000000" w:sz="4" w:space="0"/>
              <w:right w:val="nil"/>
            </w:tcBorders>
            <w:noWrap w:val="0"/>
            <w:vAlign w:val="center"/>
          </w:tcPr>
          <w:p w14:paraId="7F14248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878F01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62F63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F1E9E3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2C90EB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单刀双掷开关</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7556B26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最高工作电压 36 V，额定工作电流 6 A。 开关闸刀、接线柱、垫片均为铜质。闸  刀宽度≥7 mm，闸刀厚度≥0.7 mm。接  线柱直径为 4 mm，有效行程≥4 mm。通  额定电流，导电部分允许温升≤35 ℃,  操作手柄允许温升≤25 ℃。开关的绝缘 强度应能承受 1200 V 在额定直流电流工 作条件下，接线两端直流电压降≤100 mV</w:t>
            </w:r>
          </w:p>
        </w:tc>
        <w:tc>
          <w:tcPr>
            <w:tcW w:w="304" w:type="pct"/>
            <w:tcBorders>
              <w:top w:val="single" w:color="000000" w:sz="4" w:space="0"/>
              <w:left w:val="single" w:color="000000" w:sz="4" w:space="0"/>
              <w:bottom w:val="single" w:color="000000" w:sz="4" w:space="0"/>
              <w:right w:val="nil"/>
            </w:tcBorders>
            <w:noWrap w:val="0"/>
            <w:vAlign w:val="center"/>
          </w:tcPr>
          <w:p w14:paraId="23554CC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4E257B6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35</w:t>
            </w:r>
          </w:p>
        </w:tc>
      </w:tr>
      <w:tr w14:paraId="1DD26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1D464C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173</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C1F81F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双刀双掷开关</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1D71615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最高工作电压 36 V，额定工作电流 6 A。 开关闸刀、接线柱、垫片均为铜质。闸  刀宽度≥7 mm，闸刀厚度≥0.7 mm。接  线柱直径为 4 mm，有效行程≥4 mm。通  额定电流，导电部分允许温升≤35 ℃,  操作手柄允许温升≤25 ℃。开关的绝缘 强度应能承受 1200 V 在额定直流电流工 作条件下，接线两端直流电压降≤100 mV</w:t>
            </w:r>
          </w:p>
        </w:tc>
        <w:tc>
          <w:tcPr>
            <w:tcW w:w="304" w:type="pct"/>
            <w:tcBorders>
              <w:top w:val="single" w:color="000000" w:sz="4" w:space="0"/>
              <w:left w:val="single" w:color="000000" w:sz="4" w:space="0"/>
              <w:bottom w:val="single" w:color="000000" w:sz="4" w:space="0"/>
              <w:right w:val="nil"/>
            </w:tcBorders>
            <w:noWrap w:val="0"/>
            <w:vAlign w:val="center"/>
          </w:tcPr>
          <w:p w14:paraId="4B88652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C21871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6ECF4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A9F3E9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174</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BE4C58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电池盒</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7B15011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R20（1＃）电池用，有接线柱，负极可用弹簧或弹性磷铜片，有串联接插口，电池装反时不能接通</w:t>
            </w:r>
          </w:p>
        </w:tc>
        <w:tc>
          <w:tcPr>
            <w:tcW w:w="304" w:type="pct"/>
            <w:tcBorders>
              <w:top w:val="single" w:color="000000" w:sz="4" w:space="0"/>
              <w:left w:val="single" w:color="000000" w:sz="4" w:space="0"/>
              <w:bottom w:val="single" w:color="000000" w:sz="4" w:space="0"/>
              <w:right w:val="nil"/>
            </w:tcBorders>
            <w:noWrap w:val="0"/>
            <w:vAlign w:val="center"/>
          </w:tcPr>
          <w:p w14:paraId="0BB6108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组</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AE4B8A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75</w:t>
            </w:r>
          </w:p>
        </w:tc>
      </w:tr>
      <w:tr w14:paraId="0F434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26276F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175</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8157F9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干电池</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6815F5C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R20，无汞</w:t>
            </w:r>
          </w:p>
        </w:tc>
        <w:tc>
          <w:tcPr>
            <w:tcW w:w="304" w:type="pct"/>
            <w:tcBorders>
              <w:top w:val="single" w:color="000000" w:sz="4" w:space="0"/>
              <w:left w:val="single" w:color="000000" w:sz="4" w:space="0"/>
              <w:bottom w:val="single" w:color="000000" w:sz="4" w:space="0"/>
              <w:right w:val="nil"/>
            </w:tcBorders>
            <w:noWrap w:val="0"/>
            <w:vAlign w:val="center"/>
          </w:tcPr>
          <w:p w14:paraId="219547C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50F7D4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w:t>
            </w:r>
          </w:p>
        </w:tc>
      </w:tr>
      <w:tr w14:paraId="39F73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EDB97B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176</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C99E55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高中学生电源</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77358B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交流输出：2V～16V/3A，每2V一档。直流稳压输出：2V～16V/2A，每2V一档。有过载保护。安全要求：电源端与外壳抗电强度1500V（有保护接地线）或3000V（无保护接地线），电源端与低压输出抗电强度3000V</w:t>
            </w:r>
          </w:p>
        </w:tc>
        <w:tc>
          <w:tcPr>
            <w:tcW w:w="304" w:type="pct"/>
            <w:tcBorders>
              <w:top w:val="single" w:color="000000" w:sz="4" w:space="0"/>
              <w:left w:val="single" w:color="000000" w:sz="4" w:space="0"/>
              <w:bottom w:val="single" w:color="000000" w:sz="4" w:space="0"/>
              <w:right w:val="nil"/>
            </w:tcBorders>
            <w:noWrap w:val="0"/>
            <w:vAlign w:val="center"/>
          </w:tcPr>
          <w:p w14:paraId="308FE6C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275A9C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3F7091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4FBC38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177</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EFAFA1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高中教学电源</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256964B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交流：2V～24V，每2V一档，2V～6V/12A，8V～12V/6A，14V～24V/3A；直流稳压：1V～25V分档连续可调，2V～6V/6A，8V～12V/4A，14V~24V/2A；40A、8s自动关断。安全要求：电源端与外壳抗电强度1500V（有保护接地线）或3000V（无保护接地线），电源端与低压输出抗电强度3000V</w:t>
            </w:r>
          </w:p>
        </w:tc>
        <w:tc>
          <w:tcPr>
            <w:tcW w:w="304" w:type="pct"/>
            <w:tcBorders>
              <w:top w:val="single" w:color="000000" w:sz="4" w:space="0"/>
              <w:left w:val="single" w:color="000000" w:sz="4" w:space="0"/>
              <w:bottom w:val="single" w:color="000000" w:sz="4" w:space="0"/>
              <w:right w:val="nil"/>
            </w:tcBorders>
            <w:noWrap w:val="0"/>
            <w:vAlign w:val="center"/>
          </w:tcPr>
          <w:p w14:paraId="4E90521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227B086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E55F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B867D2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178</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A8DF26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演示电表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6A5A2BB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磁电系高阻演示直流；电流、电压2.5级，电阻5.0级</w:t>
            </w:r>
          </w:p>
        </w:tc>
        <w:tc>
          <w:tcPr>
            <w:tcW w:w="304" w:type="pct"/>
            <w:tcBorders>
              <w:top w:val="single" w:color="000000" w:sz="4" w:space="0"/>
              <w:left w:val="single" w:color="000000" w:sz="4" w:space="0"/>
              <w:bottom w:val="single" w:color="000000" w:sz="4" w:space="0"/>
              <w:right w:val="nil"/>
            </w:tcBorders>
            <w:noWrap w:val="0"/>
            <w:vAlign w:val="center"/>
          </w:tcPr>
          <w:p w14:paraId="16C0866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63ACDC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w:t>
            </w:r>
          </w:p>
        </w:tc>
      </w:tr>
      <w:tr w14:paraId="77964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730495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179</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706309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直流电压表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5A77826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3V、15V双量程，2.5级</w:t>
            </w:r>
          </w:p>
        </w:tc>
        <w:tc>
          <w:tcPr>
            <w:tcW w:w="304" w:type="pct"/>
            <w:tcBorders>
              <w:top w:val="single" w:color="000000" w:sz="4" w:space="0"/>
              <w:left w:val="single" w:color="000000" w:sz="4" w:space="0"/>
              <w:bottom w:val="single" w:color="000000" w:sz="4" w:space="0"/>
              <w:right w:val="nil"/>
            </w:tcBorders>
            <w:noWrap w:val="0"/>
            <w:vAlign w:val="center"/>
          </w:tcPr>
          <w:p w14:paraId="3DCB71D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096AB2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79EE0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B68481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180</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0B0785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直流电压表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1E9B7ED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0.6A、3A双量程，2.5级</w:t>
            </w:r>
          </w:p>
        </w:tc>
        <w:tc>
          <w:tcPr>
            <w:tcW w:w="304" w:type="pct"/>
            <w:tcBorders>
              <w:top w:val="single" w:color="000000" w:sz="4" w:space="0"/>
              <w:left w:val="single" w:color="000000" w:sz="4" w:space="0"/>
              <w:bottom w:val="single" w:color="000000" w:sz="4" w:space="0"/>
              <w:right w:val="nil"/>
            </w:tcBorders>
            <w:noWrap w:val="0"/>
            <w:vAlign w:val="center"/>
          </w:tcPr>
          <w:p w14:paraId="3524115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55DD5D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4BE50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27CD09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181</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F5CD7E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直流电压表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22057DB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200μA，2.5级</w:t>
            </w:r>
          </w:p>
        </w:tc>
        <w:tc>
          <w:tcPr>
            <w:tcW w:w="304" w:type="pct"/>
            <w:tcBorders>
              <w:top w:val="single" w:color="000000" w:sz="4" w:space="0"/>
              <w:left w:val="single" w:color="000000" w:sz="4" w:space="0"/>
              <w:bottom w:val="single" w:color="000000" w:sz="4" w:space="0"/>
              <w:right w:val="nil"/>
            </w:tcBorders>
            <w:noWrap w:val="0"/>
            <w:vAlign w:val="center"/>
          </w:tcPr>
          <w:p w14:paraId="0DC889E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C9FD7C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r>
      <w:tr w14:paraId="05CEA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97532F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4164E0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多用电表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375CE7E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指针式，不低于2.5级，学生用电表功能不低于MF47型电表，教师用电表功能不低于MF10型电表</w:t>
            </w:r>
          </w:p>
        </w:tc>
        <w:tc>
          <w:tcPr>
            <w:tcW w:w="304" w:type="pct"/>
            <w:tcBorders>
              <w:top w:val="single" w:color="000000" w:sz="4" w:space="0"/>
              <w:left w:val="single" w:color="000000" w:sz="4" w:space="0"/>
              <w:bottom w:val="single" w:color="000000" w:sz="4" w:space="0"/>
              <w:right w:val="nil"/>
            </w:tcBorders>
            <w:noWrap w:val="0"/>
            <w:vAlign w:val="center"/>
          </w:tcPr>
          <w:p w14:paraId="0376A49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42AECAF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r>
      <w:tr w14:paraId="3AF93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66B141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183</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8B7EA7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电阻定律实验器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583E007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 底座由金属拉伸成型，磷化喷塑，尺寸为560mm×170mm×20mm。2.电阻丝规格、阻值等基本参数见下表：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 材质 导线直径(mm) 有效长度(mm) 参考阻值(Ω) 数量(根)  铜 0.5±0.04 1000±2 0.09 1</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铁 0.5±0.04 1000±2 0.5 1</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镍铬 0.5±0.04 1000±2 5 2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3.电阻丝在两接线柱之间的有效长度保证为1000±2mm。4.各电阻丝的材质、直径在底板上有明显的标志。金属丝精细均匀，在有效长度内不能有弯折、锈蚀现象。5.接线柱为铜质，直径≥8mm，与底板绝缘良好。</w:t>
            </w:r>
          </w:p>
        </w:tc>
        <w:tc>
          <w:tcPr>
            <w:tcW w:w="304" w:type="pct"/>
            <w:tcBorders>
              <w:top w:val="single" w:color="000000" w:sz="4" w:space="0"/>
              <w:left w:val="single" w:color="000000" w:sz="4" w:space="0"/>
              <w:bottom w:val="single" w:color="000000" w:sz="4" w:space="0"/>
              <w:right w:val="nil"/>
            </w:tcBorders>
            <w:noWrap w:val="0"/>
            <w:vAlign w:val="center"/>
          </w:tcPr>
          <w:p w14:paraId="7277B65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1C3B4F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r>
      <w:tr w14:paraId="0649D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734C1C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184</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41660A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电路实验板</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169CAC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演示用，接插式或磁贴式</w:t>
            </w:r>
          </w:p>
        </w:tc>
        <w:tc>
          <w:tcPr>
            <w:tcW w:w="304" w:type="pct"/>
            <w:tcBorders>
              <w:top w:val="single" w:color="000000" w:sz="4" w:space="0"/>
              <w:left w:val="single" w:color="000000" w:sz="4" w:space="0"/>
              <w:bottom w:val="single" w:color="000000" w:sz="4" w:space="0"/>
              <w:right w:val="nil"/>
            </w:tcBorders>
            <w:noWrap w:val="0"/>
            <w:vAlign w:val="center"/>
          </w:tcPr>
          <w:p w14:paraId="49E52D8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1EB78D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81E9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9B8811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185</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68FC81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接线夹导线</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462A209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纯铜接线夹；纯铜导线，长度分别为200mm、300mm、400mm，芯线截面积不小于0.5mm2；宜用不同线色</w:t>
            </w:r>
          </w:p>
        </w:tc>
        <w:tc>
          <w:tcPr>
            <w:tcW w:w="304" w:type="pct"/>
            <w:tcBorders>
              <w:top w:val="single" w:color="000000" w:sz="4" w:space="0"/>
              <w:left w:val="single" w:color="000000" w:sz="4" w:space="0"/>
              <w:bottom w:val="single" w:color="000000" w:sz="4" w:space="0"/>
              <w:right w:val="nil"/>
            </w:tcBorders>
            <w:noWrap w:val="0"/>
            <w:vAlign w:val="center"/>
          </w:tcPr>
          <w:p w14:paraId="3806C19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根</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62B80E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r>
      <w:tr w14:paraId="104C9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22C9DF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186</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C8AEAE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接线叉导线</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3247CF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纯铜接线叉，接线叉开口5.9mm；纯铜导线，长度分别为200mm、300mm、400mm，芯线截面积不小于0.5mm2；宜用不同线色</w:t>
            </w:r>
          </w:p>
        </w:tc>
        <w:tc>
          <w:tcPr>
            <w:tcW w:w="304" w:type="pct"/>
            <w:tcBorders>
              <w:top w:val="single" w:color="000000" w:sz="4" w:space="0"/>
              <w:left w:val="single" w:color="000000" w:sz="4" w:space="0"/>
              <w:bottom w:val="single" w:color="000000" w:sz="4" w:space="0"/>
              <w:right w:val="nil"/>
            </w:tcBorders>
            <w:noWrap w:val="0"/>
            <w:vAlign w:val="center"/>
          </w:tcPr>
          <w:p w14:paraId="10BD64E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根</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3EC5D4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r>
      <w:tr w14:paraId="7D55A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306036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187</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A18CA7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组合接头导线</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930811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一头为纯铜接线叉，一头为接线夹，接线叉开口5.9mm；纯铜导线，长度分别为200mm、300mm、400mm，芯线截面积不小于0.5mm2；宜用不同线色</w:t>
            </w:r>
          </w:p>
        </w:tc>
        <w:tc>
          <w:tcPr>
            <w:tcW w:w="304" w:type="pct"/>
            <w:tcBorders>
              <w:top w:val="single" w:color="000000" w:sz="4" w:space="0"/>
              <w:left w:val="single" w:color="000000" w:sz="4" w:space="0"/>
              <w:bottom w:val="single" w:color="000000" w:sz="4" w:space="0"/>
              <w:right w:val="nil"/>
            </w:tcBorders>
            <w:noWrap w:val="0"/>
            <w:vAlign w:val="center"/>
          </w:tcPr>
          <w:p w14:paraId="64DED92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根</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B85CA9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r>
      <w:tr w14:paraId="213C7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E904BA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188</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440F84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电阻箱</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51C7F70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六位，99999.9Ω,1级</w:t>
            </w:r>
          </w:p>
        </w:tc>
        <w:tc>
          <w:tcPr>
            <w:tcW w:w="304" w:type="pct"/>
            <w:tcBorders>
              <w:top w:val="single" w:color="000000" w:sz="4" w:space="0"/>
              <w:left w:val="single" w:color="000000" w:sz="4" w:space="0"/>
              <w:bottom w:val="single" w:color="000000" w:sz="4" w:space="0"/>
              <w:right w:val="nil"/>
            </w:tcBorders>
            <w:noWrap w:val="0"/>
            <w:vAlign w:val="center"/>
          </w:tcPr>
          <w:p w14:paraId="32E2491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C9E423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64E9C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3D64B9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189</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6E0399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滑动变阻器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4FC8DD5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10Ω,2A，滑杆宜采用正多边形截面（正六边形、正四边形、正三角形）；滑片不应滑出端夹以外；全部电阻线以额定电流连续工作30min，温升不应超过300K</w:t>
            </w:r>
          </w:p>
        </w:tc>
        <w:tc>
          <w:tcPr>
            <w:tcW w:w="304" w:type="pct"/>
            <w:tcBorders>
              <w:top w:val="single" w:color="000000" w:sz="4" w:space="0"/>
              <w:left w:val="single" w:color="000000" w:sz="4" w:space="0"/>
              <w:bottom w:val="single" w:color="000000" w:sz="4" w:space="0"/>
              <w:right w:val="nil"/>
            </w:tcBorders>
            <w:noWrap w:val="0"/>
            <w:vAlign w:val="center"/>
          </w:tcPr>
          <w:p w14:paraId="5A11441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D6B458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r>
      <w:tr w14:paraId="4D809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FED5A2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190</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1F967C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滑动变阻器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45C82BF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20Ω,2A，滑杆宜采用正多边形截面（正六边形、正四边形、正三角形）；滑片不应滑出端夹以外；全部电阻线以额定电流连续工作30min，温升不应超过300K</w:t>
            </w:r>
          </w:p>
        </w:tc>
        <w:tc>
          <w:tcPr>
            <w:tcW w:w="304" w:type="pct"/>
            <w:tcBorders>
              <w:top w:val="single" w:color="000000" w:sz="4" w:space="0"/>
              <w:left w:val="single" w:color="000000" w:sz="4" w:space="0"/>
              <w:bottom w:val="single" w:color="000000" w:sz="4" w:space="0"/>
              <w:right w:val="nil"/>
            </w:tcBorders>
            <w:noWrap w:val="0"/>
            <w:vAlign w:val="center"/>
          </w:tcPr>
          <w:p w14:paraId="7987FDB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E7FAEC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4E5C8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408F64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191</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2B9259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滑动变阻器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67E1D19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50Ω,1.5A，滑杆宜采用正多边形截面（正六边形、正四边形、正三角形）；滑片不应滑出端夹以外；全部电阻线以额定电流连续工作30min，温升不应超过300K</w:t>
            </w:r>
          </w:p>
        </w:tc>
        <w:tc>
          <w:tcPr>
            <w:tcW w:w="304" w:type="pct"/>
            <w:tcBorders>
              <w:top w:val="single" w:color="000000" w:sz="4" w:space="0"/>
              <w:left w:val="single" w:color="000000" w:sz="4" w:space="0"/>
              <w:bottom w:val="single" w:color="000000" w:sz="4" w:space="0"/>
              <w:right w:val="nil"/>
            </w:tcBorders>
            <w:noWrap w:val="0"/>
            <w:vAlign w:val="center"/>
          </w:tcPr>
          <w:p w14:paraId="12D0616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87C4AC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2205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17069E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F4E963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菱形小磁针</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491B7CA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16支，磁针28mm×8mm，座Φ25mm×25mm，磁针体中间铆接铜轴承套，内嵌玻璃轴承，平均磁感应强度≥5mT</w:t>
            </w:r>
          </w:p>
        </w:tc>
        <w:tc>
          <w:tcPr>
            <w:tcW w:w="304" w:type="pct"/>
            <w:tcBorders>
              <w:top w:val="single" w:color="000000" w:sz="4" w:space="0"/>
              <w:left w:val="single" w:color="000000" w:sz="4" w:space="0"/>
              <w:bottom w:val="single" w:color="000000" w:sz="4" w:space="0"/>
              <w:right w:val="nil"/>
            </w:tcBorders>
            <w:noWrap w:val="0"/>
            <w:vAlign w:val="center"/>
          </w:tcPr>
          <w:p w14:paraId="1B8AFBD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49A8FB1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r>
      <w:tr w14:paraId="57D32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C27FA6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193</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01B86B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翼形磁针</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1E4205A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2支，针体140mm×8mm，座Φ71mm×112mm。磁针体中间铆接铜轴承套，内嵌玻璃轴承，平均磁感应强度≥9mT</w:t>
            </w:r>
          </w:p>
        </w:tc>
        <w:tc>
          <w:tcPr>
            <w:tcW w:w="304" w:type="pct"/>
            <w:tcBorders>
              <w:top w:val="single" w:color="000000" w:sz="4" w:space="0"/>
              <w:left w:val="single" w:color="000000" w:sz="4" w:space="0"/>
              <w:bottom w:val="single" w:color="000000" w:sz="4" w:space="0"/>
              <w:right w:val="nil"/>
            </w:tcBorders>
            <w:noWrap w:val="0"/>
            <w:vAlign w:val="center"/>
          </w:tcPr>
          <w:p w14:paraId="60A51B4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对</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E3004E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F167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203DCF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194</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F51C08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条形磁铁</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4CEA0D1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D-CG-LT-180，表面磁感应强度≥0.07T</w:t>
            </w:r>
          </w:p>
        </w:tc>
        <w:tc>
          <w:tcPr>
            <w:tcW w:w="304" w:type="pct"/>
            <w:tcBorders>
              <w:top w:val="single" w:color="000000" w:sz="4" w:space="0"/>
              <w:left w:val="single" w:color="000000" w:sz="4" w:space="0"/>
              <w:bottom w:val="single" w:color="000000" w:sz="4" w:space="0"/>
              <w:right w:val="nil"/>
            </w:tcBorders>
            <w:noWrap w:val="0"/>
            <w:vAlign w:val="center"/>
          </w:tcPr>
          <w:p w14:paraId="176185B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对</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0EDDDC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r>
      <w:tr w14:paraId="4CE77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A7B221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195</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F7E6C3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蹄形磁铁</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27BB481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一体成型，D-CG-LU-100，表面磁感应强度≥0.07T</w:t>
            </w:r>
          </w:p>
        </w:tc>
        <w:tc>
          <w:tcPr>
            <w:tcW w:w="304" w:type="pct"/>
            <w:tcBorders>
              <w:top w:val="single" w:color="000000" w:sz="4" w:space="0"/>
              <w:left w:val="single" w:color="000000" w:sz="4" w:space="0"/>
              <w:bottom w:val="single" w:color="000000" w:sz="4" w:space="0"/>
              <w:right w:val="nil"/>
            </w:tcBorders>
            <w:noWrap w:val="0"/>
            <w:vAlign w:val="center"/>
          </w:tcPr>
          <w:p w14:paraId="59AFA28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对</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72B029B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r>
      <w:tr w14:paraId="4D155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3E52D5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196</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0A041E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充磁器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1642CA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有充磁时间自动控制功能，外壳为非铁磁性材料，线圈轴向长度不小于80mm，能充两极间距大于28mm、磁极截面积小于42mm×24mm的U形磁铁以及截面积小于42mm×24mm的条形磁铁，电源与线圈骨架以及外壳金属件之间抗电强度3000V</w:t>
            </w:r>
          </w:p>
        </w:tc>
        <w:tc>
          <w:tcPr>
            <w:tcW w:w="304" w:type="pct"/>
            <w:tcBorders>
              <w:top w:val="single" w:color="000000" w:sz="4" w:space="0"/>
              <w:left w:val="single" w:color="000000" w:sz="4" w:space="0"/>
              <w:bottom w:val="single" w:color="000000" w:sz="4" w:space="0"/>
              <w:right w:val="nil"/>
            </w:tcBorders>
            <w:noWrap w:val="0"/>
            <w:vAlign w:val="center"/>
          </w:tcPr>
          <w:p w14:paraId="3E20F6B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35ECA1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58375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647FA6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197</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C38420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电磁感应演示器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2B37235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匀强磁场的磁感应强度应足够大，闭合矩形线框面积应小于匀强磁场区域的面积。部分切割或旋转时能够产生较大电流：单根导线切割磁感线，经过微电流放大器，可用演示电表指示；电动机线圈及支架在电磁铁磁场的匀强区内旋转，感生电动势（峰值）应为0.5V～1.6V；软线圈移出电磁铁匀强区时感生电动势应为0.4V～1.5V（峰值）；长方形线圈的长边在匀强磁场中约0.5m/s～1m/s的速度作切割磁感线运动，感生电动势应为0.3V至大于1.0V（峰值）</w:t>
            </w:r>
          </w:p>
        </w:tc>
        <w:tc>
          <w:tcPr>
            <w:tcW w:w="304" w:type="pct"/>
            <w:tcBorders>
              <w:top w:val="single" w:color="000000" w:sz="4" w:space="0"/>
              <w:left w:val="single" w:color="000000" w:sz="4" w:space="0"/>
              <w:bottom w:val="single" w:color="000000" w:sz="4" w:space="0"/>
              <w:right w:val="nil"/>
            </w:tcBorders>
            <w:noWrap w:val="0"/>
            <w:vAlign w:val="center"/>
          </w:tcPr>
          <w:p w14:paraId="73112F8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7D6AAE8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93C5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10A81C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198</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47F0E5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磁电式电流表模型</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2DFDCC0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由永久磁铁、铁芯、线圈、螺旋弹簧、指针、刻度盘等组成。外壳透明，从电表的前后应能观察到电表的内部测量结构和主要结构件以及动作原理。通过电流时线圈能旋转</w:t>
            </w:r>
          </w:p>
        </w:tc>
        <w:tc>
          <w:tcPr>
            <w:tcW w:w="304" w:type="pct"/>
            <w:tcBorders>
              <w:top w:val="single" w:color="000000" w:sz="4" w:space="0"/>
              <w:left w:val="single" w:color="000000" w:sz="4" w:space="0"/>
              <w:bottom w:val="single" w:color="000000" w:sz="4" w:space="0"/>
              <w:right w:val="nil"/>
            </w:tcBorders>
            <w:noWrap w:val="0"/>
            <w:vAlign w:val="center"/>
          </w:tcPr>
          <w:p w14:paraId="0AFBD68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409647C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2B65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904DC9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199</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65D4B8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电场中带电粒子运动模拟演示器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62EE250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用实验球模拟带电粒子，有加速电极、偏转电极</w:t>
            </w:r>
          </w:p>
        </w:tc>
        <w:tc>
          <w:tcPr>
            <w:tcW w:w="304" w:type="pct"/>
            <w:tcBorders>
              <w:top w:val="single" w:color="000000" w:sz="4" w:space="0"/>
              <w:left w:val="single" w:color="000000" w:sz="4" w:space="0"/>
              <w:bottom w:val="single" w:color="000000" w:sz="4" w:space="0"/>
              <w:right w:val="nil"/>
            </w:tcBorders>
            <w:noWrap w:val="0"/>
            <w:vAlign w:val="center"/>
          </w:tcPr>
          <w:p w14:paraId="14E35C9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7196C52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F791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DCAC64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200</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0E70CE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阴极射线管</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4CC7C23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磁偏转管，使用高压为60kV，负载电流为200μA的直流高压电源，阴极射线管应能工作，电子束轨迹的亮度应≥100cd/m2</w:t>
            </w:r>
          </w:p>
        </w:tc>
        <w:tc>
          <w:tcPr>
            <w:tcW w:w="304" w:type="pct"/>
            <w:tcBorders>
              <w:top w:val="single" w:color="000000" w:sz="4" w:space="0"/>
              <w:left w:val="single" w:color="000000" w:sz="4" w:space="0"/>
              <w:bottom w:val="single" w:color="000000" w:sz="4" w:space="0"/>
              <w:right w:val="nil"/>
            </w:tcBorders>
            <w:noWrap w:val="0"/>
            <w:vAlign w:val="center"/>
          </w:tcPr>
          <w:p w14:paraId="3325AC8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6498A8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BEFF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9C328E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201</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39739F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灵敏电流计</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5CC6B97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测量精度：2.5级，测量范围：-300μA~0μA～300μA，表头内阻：G0档80Ω~125Ω,G1档2400Ω~3000Ω</w:t>
            </w:r>
          </w:p>
        </w:tc>
        <w:tc>
          <w:tcPr>
            <w:tcW w:w="304" w:type="pct"/>
            <w:tcBorders>
              <w:top w:val="single" w:color="000000" w:sz="4" w:space="0"/>
              <w:left w:val="single" w:color="000000" w:sz="4" w:space="0"/>
              <w:bottom w:val="single" w:color="000000" w:sz="4" w:space="0"/>
              <w:right w:val="nil"/>
            </w:tcBorders>
            <w:noWrap w:val="0"/>
            <w:vAlign w:val="center"/>
          </w:tcPr>
          <w:p w14:paraId="486ABEA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EF371E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r>
      <w:tr w14:paraId="538971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3E50AE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2C364F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环形磁铁</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2FF1CF1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一体成型，D-CG-YT-36，表面磁感应强度≥0.05T</w:t>
            </w:r>
          </w:p>
        </w:tc>
        <w:tc>
          <w:tcPr>
            <w:tcW w:w="304" w:type="pct"/>
            <w:tcBorders>
              <w:top w:val="single" w:color="000000" w:sz="4" w:space="0"/>
              <w:left w:val="single" w:color="000000" w:sz="4" w:space="0"/>
              <w:bottom w:val="single" w:color="000000" w:sz="4" w:space="0"/>
              <w:right w:val="nil"/>
            </w:tcBorders>
            <w:noWrap w:val="0"/>
            <w:vAlign w:val="center"/>
          </w:tcPr>
          <w:p w14:paraId="4EB1967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29DFAE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4ED9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4A3D18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203</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961F50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原副线圈</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EE7EEC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原线圈：0.56mmQZ型漆包线310匝~330匝，线圈架内径11mm，绕线宽度57mm。副线圈0.25mmQZ型漆包线670匝～680匝，线圈架内径24mm，绕线宽度52mm。性能要求：各线圈都应带绕向标识</w:t>
            </w:r>
          </w:p>
        </w:tc>
        <w:tc>
          <w:tcPr>
            <w:tcW w:w="304" w:type="pct"/>
            <w:tcBorders>
              <w:top w:val="single" w:color="000000" w:sz="4" w:space="0"/>
              <w:left w:val="single" w:color="000000" w:sz="4" w:space="0"/>
              <w:bottom w:val="single" w:color="000000" w:sz="4" w:space="0"/>
              <w:right w:val="nil"/>
            </w:tcBorders>
            <w:noWrap w:val="0"/>
            <w:vAlign w:val="center"/>
          </w:tcPr>
          <w:p w14:paraId="2CAB5DC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027A9C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r>
      <w:tr w14:paraId="2E281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B1DF9B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204</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1EED77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楞次定律演示器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203BE5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平面型开口环和闭口环；环的外径应不小于90mm，内径应不小于50mm，总厚度应不小于1.6mm；用教学用条形磁钢迅速抽出(或插入)闭合环时，梁的偏转角应不小于30°,用强磁条形磁钢迅速抽出(或插入)开囗环时，环带动梁的偏转角应为0°</w:t>
            </w:r>
          </w:p>
        </w:tc>
        <w:tc>
          <w:tcPr>
            <w:tcW w:w="304" w:type="pct"/>
            <w:tcBorders>
              <w:top w:val="single" w:color="000000" w:sz="4" w:space="0"/>
              <w:left w:val="single" w:color="000000" w:sz="4" w:space="0"/>
              <w:bottom w:val="single" w:color="000000" w:sz="4" w:space="0"/>
              <w:right w:val="nil"/>
            </w:tcBorders>
            <w:noWrap w:val="0"/>
            <w:vAlign w:val="center"/>
          </w:tcPr>
          <w:p w14:paraId="3980E7D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7A94B6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4CE6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DE56A1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205</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19971B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法拉第电磁感应定律 演示仪</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77A7BAA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由底座、活动线圈、可移动式磁铁、内置微电流或电压传感器、磁感应强度传感器、光电门传感器等组成。可通过控制变量法，分别验证动生电动势与运动速度、磁感强度、导线长度的关系</w:t>
            </w:r>
          </w:p>
        </w:tc>
        <w:tc>
          <w:tcPr>
            <w:tcW w:w="304" w:type="pct"/>
            <w:tcBorders>
              <w:top w:val="single" w:color="000000" w:sz="4" w:space="0"/>
              <w:left w:val="single" w:color="000000" w:sz="4" w:space="0"/>
              <w:bottom w:val="single" w:color="000000" w:sz="4" w:space="0"/>
              <w:right w:val="nil"/>
            </w:tcBorders>
            <w:noWrap w:val="0"/>
            <w:vAlign w:val="center"/>
          </w:tcPr>
          <w:p w14:paraId="7014078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48CC42C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2D9B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ADAB0D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206</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ED4835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学生示波器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1D2B530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DC～2MHz，扫描范围：10Hz～100kHz，I类电器，电源端与信号输出端抗电强度3000V</w:t>
            </w:r>
          </w:p>
        </w:tc>
        <w:tc>
          <w:tcPr>
            <w:tcW w:w="304" w:type="pct"/>
            <w:tcBorders>
              <w:top w:val="single" w:color="000000" w:sz="4" w:space="0"/>
              <w:left w:val="single" w:color="000000" w:sz="4" w:space="0"/>
              <w:bottom w:val="single" w:color="000000" w:sz="4" w:space="0"/>
              <w:right w:val="nil"/>
            </w:tcBorders>
            <w:noWrap w:val="0"/>
            <w:vAlign w:val="center"/>
          </w:tcPr>
          <w:p w14:paraId="06C51E4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878ED0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1E388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339C71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207</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C9A9CF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示波器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664D8CC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数字式，不低于10MHz，不小于18cm屏，有贮存功能，I类电器，电源端与信号输出端抗电强度3000V</w:t>
            </w:r>
          </w:p>
        </w:tc>
        <w:tc>
          <w:tcPr>
            <w:tcW w:w="304" w:type="pct"/>
            <w:tcBorders>
              <w:top w:val="single" w:color="000000" w:sz="4" w:space="0"/>
              <w:left w:val="single" w:color="000000" w:sz="4" w:space="0"/>
              <w:bottom w:val="single" w:color="000000" w:sz="4" w:space="0"/>
              <w:right w:val="nil"/>
            </w:tcBorders>
            <w:noWrap w:val="0"/>
            <w:vAlign w:val="center"/>
          </w:tcPr>
          <w:p w14:paraId="5B06C52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36971D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9DBF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B88DE0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208</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C04322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函数信号发生器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004A50C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频率范围：0.2MHz～2MHz连续可调；波形：正弦波、三角波、方波、正向或负向脉冲波、正向或负向锯齿波，波形失真≤1%；输入、输出：压控输入、TTL输出或功率输出、50Ω输出、50Hz输出、10MHz标频输出，含输出衰减，另有直流偏置调节、幅度调节等</w:t>
            </w:r>
          </w:p>
        </w:tc>
        <w:tc>
          <w:tcPr>
            <w:tcW w:w="304" w:type="pct"/>
            <w:tcBorders>
              <w:top w:val="single" w:color="000000" w:sz="4" w:space="0"/>
              <w:left w:val="single" w:color="000000" w:sz="4" w:space="0"/>
              <w:bottom w:val="single" w:color="000000" w:sz="4" w:space="0"/>
              <w:right w:val="nil"/>
            </w:tcBorders>
            <w:noWrap w:val="0"/>
            <w:vAlign w:val="center"/>
          </w:tcPr>
          <w:p w14:paraId="2D803B4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4AD2A66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57B2E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F78011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209</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853767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高频信号发生器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1941261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0.4MHz～130MHz分段连续可调，误差±5%</w:t>
            </w:r>
          </w:p>
        </w:tc>
        <w:tc>
          <w:tcPr>
            <w:tcW w:w="304" w:type="pct"/>
            <w:tcBorders>
              <w:top w:val="single" w:color="000000" w:sz="4" w:space="0"/>
              <w:left w:val="single" w:color="000000" w:sz="4" w:space="0"/>
              <w:bottom w:val="single" w:color="000000" w:sz="4" w:space="0"/>
              <w:right w:val="nil"/>
            </w:tcBorders>
            <w:noWrap w:val="0"/>
            <w:vAlign w:val="center"/>
          </w:tcPr>
          <w:p w14:paraId="060DAC9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006E8B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44F7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406F5C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210</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F17E17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交流电路特性演示器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5F08C67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大电感、小电感，大电容、小电容，电阻；频率可变的正弦电源，观察感抗、容抗和纯电阻</w:t>
            </w:r>
          </w:p>
        </w:tc>
        <w:tc>
          <w:tcPr>
            <w:tcW w:w="304" w:type="pct"/>
            <w:tcBorders>
              <w:top w:val="single" w:color="000000" w:sz="4" w:space="0"/>
              <w:left w:val="single" w:color="000000" w:sz="4" w:space="0"/>
              <w:bottom w:val="single" w:color="000000" w:sz="4" w:space="0"/>
              <w:right w:val="nil"/>
            </w:tcBorders>
            <w:noWrap w:val="0"/>
            <w:vAlign w:val="center"/>
          </w:tcPr>
          <w:p w14:paraId="1A456F1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611C08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46D1A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A37035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211</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CEDBAB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变压器原理说明器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5F95876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线圈、U形铁芯、条形铁轭、极掌、压板螺钉、强阻尼摆、弱阻尼摆、摆架、示教板、感应线圈、铝环、低压小灯泡（6V、1.5V等规格）、可调电阻、接线铝片、感应灯等组成；1600匝线圈接220V时空载电流应不大于60mA</w:t>
            </w:r>
          </w:p>
        </w:tc>
        <w:tc>
          <w:tcPr>
            <w:tcW w:w="304" w:type="pct"/>
            <w:tcBorders>
              <w:top w:val="single" w:color="000000" w:sz="4" w:space="0"/>
              <w:left w:val="single" w:color="000000" w:sz="4" w:space="0"/>
              <w:bottom w:val="single" w:color="000000" w:sz="4" w:space="0"/>
              <w:right w:val="nil"/>
            </w:tcBorders>
            <w:noWrap w:val="0"/>
            <w:vAlign w:val="center"/>
          </w:tcPr>
          <w:p w14:paraId="798D960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26A259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5B92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DA34E7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EB7A00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可拆变压器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542CD6A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单相芯式结构,铁芯以优质钢矽片冲制并经绝缘处理,U型铁芯及条形铁轭为可拆式。2、线圈骨架用塑料压制。3、可演示远距离输电、变压器效率，还可进行变压器初、次级线圈间电压和电流与匝数关系的定量演示。</w:t>
            </w:r>
          </w:p>
        </w:tc>
        <w:tc>
          <w:tcPr>
            <w:tcW w:w="304" w:type="pct"/>
            <w:tcBorders>
              <w:top w:val="single" w:color="000000" w:sz="4" w:space="0"/>
              <w:left w:val="single" w:color="000000" w:sz="4" w:space="0"/>
              <w:bottom w:val="single" w:color="000000" w:sz="4" w:space="0"/>
              <w:right w:val="nil"/>
            </w:tcBorders>
            <w:noWrap w:val="0"/>
            <w:vAlign w:val="center"/>
          </w:tcPr>
          <w:p w14:paraId="39DE22D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277D023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3E34D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0DD25A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213</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274712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手摇交直流发电机</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68154F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括定子、转子、整流器、集流环、电刷、灯座（带灯泡）、手摇驱动机构和底板等部分。定子应由永磁体和极靴组成，转子应由转轴、两极电枢铁芯、电枢线圈以及整流器和集流环等组成。整流器在任何位置不应将两电刷短路，电刷与整流器和集流环应使用弹性接触，转动灵活。转子转速为1600r/min空载时，输出端交流和直流电压均应不小于8V。接16Ω电阻负载时，输出端交流和直流电压均应不小于5V。不带皮带轮用作电动机使用时启动电压应不大于4V，电流应不大于0.4A</w:t>
            </w:r>
          </w:p>
        </w:tc>
        <w:tc>
          <w:tcPr>
            <w:tcW w:w="304" w:type="pct"/>
            <w:tcBorders>
              <w:top w:val="single" w:color="000000" w:sz="4" w:space="0"/>
              <w:left w:val="single" w:color="000000" w:sz="4" w:space="0"/>
              <w:bottom w:val="single" w:color="000000" w:sz="4" w:space="0"/>
              <w:right w:val="nil"/>
            </w:tcBorders>
            <w:noWrap w:val="0"/>
            <w:vAlign w:val="center"/>
          </w:tcPr>
          <w:p w14:paraId="32D15F7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7C9702A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29FF6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6C6425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214</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3E8A46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电磁振荡演示仪</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1DFDCC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由具有铁芯的电感线圈、电容器、集成电路等组成，包括等幅振荡演示电路和阻尼振荡演示电路，仪器面板上印有原理图</w:t>
            </w:r>
          </w:p>
        </w:tc>
        <w:tc>
          <w:tcPr>
            <w:tcW w:w="304" w:type="pct"/>
            <w:tcBorders>
              <w:top w:val="single" w:color="000000" w:sz="4" w:space="0"/>
              <w:left w:val="single" w:color="000000" w:sz="4" w:space="0"/>
              <w:bottom w:val="single" w:color="000000" w:sz="4" w:space="0"/>
              <w:right w:val="nil"/>
            </w:tcBorders>
            <w:noWrap w:val="0"/>
            <w:vAlign w:val="center"/>
          </w:tcPr>
          <w:p w14:paraId="097A380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A0ECE2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2BF4E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EB5D22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215</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88E72A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赫兹实验演示器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25CFD74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带电球、发射天线杆、接收天线杆、接收金属杆、感应圈连接金属杆、固定螺丝、氖泡架、底座等组成。接收端天线与发射端天线平行相距400mm，在环境照度为240lx±50lx的室内接通高压电源，接收端氖灯发光；接收端与发射端相距减小到200mm时氖灯亮度应不低于6cd/m2；接收端天线与发射端天线垂直，距离在200mm以内（不接触），接收端氖灯应不亮</w:t>
            </w:r>
          </w:p>
        </w:tc>
        <w:tc>
          <w:tcPr>
            <w:tcW w:w="304" w:type="pct"/>
            <w:tcBorders>
              <w:top w:val="single" w:color="000000" w:sz="4" w:space="0"/>
              <w:left w:val="single" w:color="000000" w:sz="4" w:space="0"/>
              <w:bottom w:val="single" w:color="000000" w:sz="4" w:space="0"/>
              <w:right w:val="nil"/>
            </w:tcBorders>
            <w:noWrap w:val="0"/>
            <w:vAlign w:val="center"/>
          </w:tcPr>
          <w:p w14:paraId="715A7DA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2D0FD18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4F8E0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6AE728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216</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CD90F9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感应圈</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1B1E6A9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应带有高压输出插座和高压连接导线，可有放电电极。输出电压调节范围应为9kV～300kV（单边脉冲峰值），正反向（或反正向）电压峰值之比应不小于1.5。输出电流最大应达到4mA（平均值）。不设放电电极，外部没有火花放电时感应圈不应损坏。设放电电极时，放电电极应定位，在可能调节到的最大放电距离时感应圈应不损坏。在最高输出电压，放电间隙5mm时感应圈连续放电15min，温升应不超过15℃。在最高输出电压，放电间隙5mm时感应圈连续放电15min，温升应不超过15℃。感应圈高压绕组与电源输入端的抗电强度应不低于3000V，高压绕组与保护接地线之间的抗电强度应不低于3000V。应设防护罩，面板显著位置应有“当心触电”的安全警示标志</w:t>
            </w:r>
          </w:p>
        </w:tc>
        <w:tc>
          <w:tcPr>
            <w:tcW w:w="304" w:type="pct"/>
            <w:tcBorders>
              <w:top w:val="single" w:color="000000" w:sz="4" w:space="0"/>
              <w:left w:val="single" w:color="000000" w:sz="4" w:space="0"/>
              <w:bottom w:val="single" w:color="000000" w:sz="4" w:space="0"/>
              <w:right w:val="nil"/>
            </w:tcBorders>
            <w:noWrap w:val="0"/>
            <w:vAlign w:val="center"/>
          </w:tcPr>
          <w:p w14:paraId="22C85A8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2B912A2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5E25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137E6E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217</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71A8DF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面包板</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61383B6B">
            <w:pPr>
              <w:jc w:val="left"/>
              <w:rPr>
                <w:rFonts w:hint="eastAsia" w:ascii="仿宋" w:hAnsi="仿宋" w:eastAsia="仿宋" w:cs="仿宋"/>
                <w:i w:val="0"/>
                <w:iCs w:val="0"/>
                <w:color w:val="000000"/>
                <w:sz w:val="21"/>
                <w:szCs w:val="21"/>
                <w:highlight w:val="none"/>
                <w:u w:val="none"/>
              </w:rPr>
            </w:pPr>
          </w:p>
        </w:tc>
        <w:tc>
          <w:tcPr>
            <w:tcW w:w="304" w:type="pct"/>
            <w:tcBorders>
              <w:top w:val="single" w:color="000000" w:sz="4" w:space="0"/>
              <w:left w:val="single" w:color="000000" w:sz="4" w:space="0"/>
              <w:bottom w:val="single" w:color="000000" w:sz="4" w:space="0"/>
              <w:right w:val="nil"/>
            </w:tcBorders>
            <w:noWrap w:val="0"/>
            <w:vAlign w:val="center"/>
          </w:tcPr>
          <w:p w14:paraId="2734B9A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2C5631D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3D4A1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475F67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218</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27F209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阴极射线管</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2750C5D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机械效应管，卧式、立式。滚轮叶片上应涂有不同颜色的荧光粉。工作时亮度应不低于50cd/m2</w:t>
            </w:r>
          </w:p>
        </w:tc>
        <w:tc>
          <w:tcPr>
            <w:tcW w:w="304" w:type="pct"/>
            <w:tcBorders>
              <w:top w:val="single" w:color="000000" w:sz="4" w:space="0"/>
              <w:left w:val="single" w:color="000000" w:sz="4" w:space="0"/>
              <w:bottom w:val="single" w:color="000000" w:sz="4" w:space="0"/>
              <w:right w:val="nil"/>
            </w:tcBorders>
            <w:noWrap w:val="0"/>
            <w:vAlign w:val="center"/>
          </w:tcPr>
          <w:p w14:paraId="7F7BE4B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740B0E3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1FF5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F906D5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219</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AC2F66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阴极射线管</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205CCF7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静电偏转管，在偏转板上加250V直流电压时，电子束轨迹末端偏转应不小于12mm</w:t>
            </w:r>
          </w:p>
        </w:tc>
        <w:tc>
          <w:tcPr>
            <w:tcW w:w="304" w:type="pct"/>
            <w:tcBorders>
              <w:top w:val="single" w:color="000000" w:sz="4" w:space="0"/>
              <w:left w:val="single" w:color="000000" w:sz="4" w:space="0"/>
              <w:bottom w:val="single" w:color="000000" w:sz="4" w:space="0"/>
              <w:right w:val="nil"/>
            </w:tcBorders>
            <w:noWrap w:val="0"/>
            <w:vAlign w:val="center"/>
          </w:tcPr>
          <w:p w14:paraId="6984C10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21D60D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8E35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173AFD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220</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4E6811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光谱管组</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43FE90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可选光谱管：Ne光谱管、Hg光谱管、H2光谱管、He光谱管、Ar光谱管、O2光谱管、Kr光谱管、N2光谱管、CO2光谱管、Xe光谱管等</w:t>
            </w:r>
          </w:p>
        </w:tc>
        <w:tc>
          <w:tcPr>
            <w:tcW w:w="304" w:type="pct"/>
            <w:tcBorders>
              <w:top w:val="single" w:color="000000" w:sz="4" w:space="0"/>
              <w:left w:val="single" w:color="000000" w:sz="4" w:space="0"/>
              <w:bottom w:val="single" w:color="000000" w:sz="4" w:space="0"/>
              <w:right w:val="nil"/>
            </w:tcBorders>
            <w:noWrap w:val="0"/>
            <w:vAlign w:val="center"/>
          </w:tcPr>
          <w:p w14:paraId="1B32193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89C27B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1AEF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021137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221</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005F4C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光源</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74072A8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距光源500mm处照度8001x～9001x；发光亮度可调，可装在光具座上</w:t>
            </w:r>
          </w:p>
        </w:tc>
        <w:tc>
          <w:tcPr>
            <w:tcW w:w="304" w:type="pct"/>
            <w:tcBorders>
              <w:top w:val="single" w:color="000000" w:sz="4" w:space="0"/>
              <w:left w:val="single" w:color="000000" w:sz="4" w:space="0"/>
              <w:bottom w:val="single" w:color="000000" w:sz="4" w:space="0"/>
              <w:right w:val="nil"/>
            </w:tcBorders>
            <w:noWrap w:val="0"/>
            <w:vAlign w:val="center"/>
          </w:tcPr>
          <w:p w14:paraId="1EF07EE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735433D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17250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837514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222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066976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普朗克常量测定器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20B9A2B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光电管，能演示光电效应四个基本规律</w:t>
            </w:r>
          </w:p>
        </w:tc>
        <w:tc>
          <w:tcPr>
            <w:tcW w:w="304" w:type="pct"/>
            <w:tcBorders>
              <w:top w:val="single" w:color="000000" w:sz="4" w:space="0"/>
              <w:left w:val="single" w:color="000000" w:sz="4" w:space="0"/>
              <w:bottom w:val="single" w:color="000000" w:sz="4" w:space="0"/>
              <w:right w:val="nil"/>
            </w:tcBorders>
            <w:noWrap w:val="0"/>
            <w:vAlign w:val="center"/>
          </w:tcPr>
          <w:p w14:paraId="30B6DE0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2529E61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bl>
    <w:p w14:paraId="68C63A32">
      <w:pPr>
        <w:pStyle w:val="2"/>
        <w:rPr>
          <w:rFonts w:hint="eastAsia" w:ascii="仿宋" w:hAnsi="仿宋" w:eastAsia="仿宋" w:cs="仿宋"/>
          <w:b/>
          <w:bCs/>
          <w:sz w:val="24"/>
          <w:szCs w:val="24"/>
          <w:highlight w:val="none"/>
          <w:lang w:val="en-US" w:eastAsia="zh-CN"/>
        </w:rPr>
      </w:pPr>
    </w:p>
    <w:p w14:paraId="73BFBFC1">
      <w:pPr>
        <w:pStyle w:val="2"/>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8、高中化学教学仪器</w:t>
      </w:r>
    </w:p>
    <w:tbl>
      <w:tblPr>
        <w:tblStyle w:val="6"/>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82"/>
        <w:gridCol w:w="1231"/>
        <w:gridCol w:w="6359"/>
        <w:gridCol w:w="596"/>
        <w:gridCol w:w="683"/>
      </w:tblGrid>
      <w:tr w14:paraId="6E943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308" w:type="pct"/>
            <w:tcBorders>
              <w:top w:val="single" w:color="000000" w:sz="4" w:space="0"/>
              <w:left w:val="single" w:color="000000" w:sz="4" w:space="0"/>
              <w:bottom w:val="nil"/>
              <w:right w:val="single" w:color="000000" w:sz="4" w:space="0"/>
            </w:tcBorders>
            <w:noWrap/>
            <w:vAlign w:val="center"/>
          </w:tcPr>
          <w:p w14:paraId="2D3F7E09">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序号</w:t>
            </w:r>
          </w:p>
        </w:tc>
        <w:tc>
          <w:tcPr>
            <w:tcW w:w="651" w:type="pct"/>
            <w:tcBorders>
              <w:top w:val="single" w:color="000000" w:sz="4" w:space="0"/>
              <w:left w:val="nil"/>
              <w:bottom w:val="nil"/>
              <w:right w:val="single" w:color="000000" w:sz="4" w:space="0"/>
            </w:tcBorders>
            <w:noWrap/>
            <w:vAlign w:val="center"/>
          </w:tcPr>
          <w:p w14:paraId="3BB694DE">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产品名称</w:t>
            </w:r>
          </w:p>
        </w:tc>
        <w:tc>
          <w:tcPr>
            <w:tcW w:w="3363" w:type="pct"/>
            <w:tcBorders>
              <w:top w:val="single" w:color="000000" w:sz="4" w:space="0"/>
              <w:left w:val="single" w:color="000000" w:sz="4" w:space="0"/>
              <w:bottom w:val="nil"/>
              <w:right w:val="single" w:color="000000" w:sz="4" w:space="0"/>
            </w:tcBorders>
            <w:noWrap w:val="0"/>
            <w:vAlign w:val="center"/>
          </w:tcPr>
          <w:p w14:paraId="46CC1139">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规格参数</w:t>
            </w:r>
          </w:p>
        </w:tc>
        <w:tc>
          <w:tcPr>
            <w:tcW w:w="315" w:type="pct"/>
            <w:tcBorders>
              <w:top w:val="single" w:color="000000" w:sz="4" w:space="0"/>
              <w:left w:val="single" w:color="000000" w:sz="4" w:space="0"/>
              <w:bottom w:val="nil"/>
              <w:right w:val="single" w:color="000000" w:sz="4" w:space="0"/>
            </w:tcBorders>
            <w:noWrap/>
            <w:vAlign w:val="center"/>
          </w:tcPr>
          <w:p w14:paraId="22CC3FDF">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单位</w:t>
            </w:r>
          </w:p>
        </w:tc>
        <w:tc>
          <w:tcPr>
            <w:tcW w:w="361" w:type="pct"/>
            <w:tcBorders>
              <w:top w:val="single" w:color="000000" w:sz="4" w:space="0"/>
              <w:left w:val="single" w:color="000000" w:sz="4" w:space="0"/>
              <w:bottom w:val="nil"/>
              <w:right w:val="single" w:color="000000" w:sz="4" w:space="0"/>
            </w:tcBorders>
            <w:noWrap/>
            <w:vAlign w:val="center"/>
          </w:tcPr>
          <w:p w14:paraId="39DF09B8">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数量</w:t>
            </w:r>
          </w:p>
        </w:tc>
      </w:tr>
      <w:tr w14:paraId="26CA8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D23D17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75C91BC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灭火毯</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300BC4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玻璃纤维材质，1200mm×1800mm</w:t>
            </w:r>
          </w:p>
        </w:tc>
        <w:tc>
          <w:tcPr>
            <w:tcW w:w="315" w:type="pct"/>
            <w:tcBorders>
              <w:top w:val="single" w:color="000000" w:sz="4" w:space="0"/>
              <w:left w:val="single" w:color="000000" w:sz="4" w:space="0"/>
              <w:bottom w:val="single" w:color="000000" w:sz="4" w:space="0"/>
              <w:right w:val="nil"/>
            </w:tcBorders>
            <w:noWrap w:val="0"/>
            <w:vAlign w:val="center"/>
          </w:tcPr>
          <w:p w14:paraId="0A47589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件</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58CEA6C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33EFD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3D8E60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4F5503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实验服</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6FAA7A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可分为大、中、小号，耐酸碱</w:t>
            </w:r>
          </w:p>
        </w:tc>
        <w:tc>
          <w:tcPr>
            <w:tcW w:w="315" w:type="pct"/>
            <w:tcBorders>
              <w:top w:val="single" w:color="000000" w:sz="4" w:space="0"/>
              <w:left w:val="single" w:color="000000" w:sz="4" w:space="0"/>
              <w:bottom w:val="single" w:color="000000" w:sz="4" w:space="0"/>
              <w:right w:val="nil"/>
            </w:tcBorders>
            <w:noWrap w:val="0"/>
            <w:vAlign w:val="center"/>
          </w:tcPr>
          <w:p w14:paraId="3501DE9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件</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5C9990B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52</w:t>
            </w:r>
          </w:p>
        </w:tc>
      </w:tr>
      <w:tr w14:paraId="0E094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2EAB6F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19D028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护目镜</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E68C0D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封闭型，耐酸碱，抗冲击，耐磨，便于清洗</w:t>
            </w:r>
          </w:p>
        </w:tc>
        <w:tc>
          <w:tcPr>
            <w:tcW w:w="315" w:type="pct"/>
            <w:tcBorders>
              <w:top w:val="single" w:color="000000" w:sz="4" w:space="0"/>
              <w:left w:val="single" w:color="000000" w:sz="4" w:space="0"/>
              <w:bottom w:val="single" w:color="000000" w:sz="4" w:space="0"/>
              <w:right w:val="nil"/>
            </w:tcBorders>
            <w:noWrap w:val="0"/>
            <w:vAlign w:val="center"/>
          </w:tcPr>
          <w:p w14:paraId="1A8AA24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B2E52A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54</w:t>
            </w:r>
          </w:p>
        </w:tc>
      </w:tr>
      <w:tr w14:paraId="6EB43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1B9924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5280545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防护面罩</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75943E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防冲击面屏，聚碳酸酯材质，光洁，透明度高，耐高速粒子冲击，通过弹簧箍与安全帽相连，面屏可更换，起到头部与面部双重保护作用</w:t>
            </w:r>
          </w:p>
        </w:tc>
        <w:tc>
          <w:tcPr>
            <w:tcW w:w="315" w:type="pct"/>
            <w:tcBorders>
              <w:top w:val="single" w:color="000000" w:sz="4" w:space="0"/>
              <w:left w:val="single" w:color="000000" w:sz="4" w:space="0"/>
              <w:bottom w:val="single" w:color="000000" w:sz="4" w:space="0"/>
              <w:right w:val="nil"/>
            </w:tcBorders>
            <w:noWrap w:val="0"/>
            <w:vAlign w:val="center"/>
          </w:tcPr>
          <w:p w14:paraId="270578E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BDF469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CDB7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846442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56F8E4A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防毒口罩</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43CA58C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E型（标色：黄），防止吸入酸性气体或蒸气</w:t>
            </w:r>
          </w:p>
        </w:tc>
        <w:tc>
          <w:tcPr>
            <w:tcW w:w="315" w:type="pct"/>
            <w:tcBorders>
              <w:top w:val="single" w:color="000000" w:sz="4" w:space="0"/>
              <w:left w:val="single" w:color="000000" w:sz="4" w:space="0"/>
              <w:bottom w:val="single" w:color="000000" w:sz="4" w:space="0"/>
              <w:right w:val="nil"/>
            </w:tcBorders>
            <w:noWrap w:val="0"/>
            <w:vAlign w:val="center"/>
          </w:tcPr>
          <w:p w14:paraId="28052AB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AA9A5A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61EA3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02D2F4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2FCDE9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防毒口罩</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0FF392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CO型（标色：白），防止吸入一氧化碳</w:t>
            </w:r>
          </w:p>
        </w:tc>
        <w:tc>
          <w:tcPr>
            <w:tcW w:w="315" w:type="pct"/>
            <w:tcBorders>
              <w:top w:val="single" w:color="000000" w:sz="4" w:space="0"/>
              <w:left w:val="single" w:color="000000" w:sz="4" w:space="0"/>
              <w:bottom w:val="single" w:color="000000" w:sz="4" w:space="0"/>
              <w:right w:val="nil"/>
            </w:tcBorders>
            <w:noWrap w:val="0"/>
            <w:vAlign w:val="center"/>
          </w:tcPr>
          <w:p w14:paraId="0D2AB47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C6E7EB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08CD6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7D625B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66BA5E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耐酸手套</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5806001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机械性能不低于3级，无破损，手套应有长度≥15cm的套袖</w:t>
            </w:r>
          </w:p>
        </w:tc>
        <w:tc>
          <w:tcPr>
            <w:tcW w:w="315" w:type="pct"/>
            <w:tcBorders>
              <w:top w:val="single" w:color="000000" w:sz="4" w:space="0"/>
              <w:left w:val="single" w:color="000000" w:sz="4" w:space="0"/>
              <w:bottom w:val="single" w:color="000000" w:sz="4" w:space="0"/>
              <w:right w:val="nil"/>
            </w:tcBorders>
            <w:noWrap w:val="0"/>
            <w:vAlign w:val="center"/>
          </w:tcPr>
          <w:p w14:paraId="1762587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CCA2E2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5DD05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FD2515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B23BE3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一次性乳胶手套</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E7AF32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一般性防护，不漏水</w:t>
            </w:r>
          </w:p>
        </w:tc>
        <w:tc>
          <w:tcPr>
            <w:tcW w:w="315" w:type="pct"/>
            <w:tcBorders>
              <w:top w:val="single" w:color="000000" w:sz="4" w:space="0"/>
              <w:left w:val="single" w:color="000000" w:sz="4" w:space="0"/>
              <w:bottom w:val="single" w:color="000000" w:sz="4" w:space="0"/>
              <w:right w:val="nil"/>
            </w:tcBorders>
            <w:noWrap w:val="0"/>
            <w:vAlign w:val="center"/>
          </w:tcPr>
          <w:p w14:paraId="7F63167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盒</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85764E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02C6B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4DCFF4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A9A10A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化学实验废水处理装置</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5B6538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主体透明，兼作教学使用，能进行pH测试、酸碱废液中和、重金属离子凝聚和过滤，能处理中学常见无机化学废液，同时可以通过仪器内的活性炭吸附少量混入的有机物。应配备适量的凝聚剂和助凝剂，至少应配备更换用活性炭包2个。处理量≥6L/次</w:t>
            </w:r>
          </w:p>
        </w:tc>
        <w:tc>
          <w:tcPr>
            <w:tcW w:w="315" w:type="pct"/>
            <w:tcBorders>
              <w:top w:val="single" w:color="000000" w:sz="4" w:space="0"/>
              <w:left w:val="single" w:color="000000" w:sz="4" w:space="0"/>
              <w:bottom w:val="single" w:color="000000" w:sz="4" w:space="0"/>
              <w:right w:val="nil"/>
            </w:tcBorders>
            <w:noWrap w:val="0"/>
            <w:vAlign w:val="center"/>
          </w:tcPr>
          <w:p w14:paraId="2BC4B05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828957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14033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D53616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7DE268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废液分类回收桶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59A5E14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塑料制，25L，带底座</w:t>
            </w:r>
          </w:p>
        </w:tc>
        <w:tc>
          <w:tcPr>
            <w:tcW w:w="315" w:type="pct"/>
            <w:tcBorders>
              <w:top w:val="single" w:color="000000" w:sz="4" w:space="0"/>
              <w:left w:val="single" w:color="000000" w:sz="4" w:space="0"/>
              <w:bottom w:val="single" w:color="000000" w:sz="4" w:space="0"/>
              <w:right w:val="nil"/>
            </w:tcBorders>
            <w:noWrap w:val="0"/>
            <w:vAlign w:val="center"/>
          </w:tcPr>
          <w:p w14:paraId="41543AC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5E6C9F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r>
      <w:tr w14:paraId="0D35C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8BBC9C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495EF4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电加热器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2AF3A0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密封式</w:t>
            </w:r>
          </w:p>
        </w:tc>
        <w:tc>
          <w:tcPr>
            <w:tcW w:w="315" w:type="pct"/>
            <w:tcBorders>
              <w:top w:val="single" w:color="000000" w:sz="4" w:space="0"/>
              <w:left w:val="single" w:color="000000" w:sz="4" w:space="0"/>
              <w:bottom w:val="single" w:color="000000" w:sz="4" w:space="0"/>
              <w:right w:val="nil"/>
            </w:tcBorders>
            <w:noWrap w:val="0"/>
            <w:vAlign w:val="center"/>
          </w:tcPr>
          <w:p w14:paraId="46F1C13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58E27DF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F67C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6FB3A3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C1F579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列管式烘干器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6151B4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由外壳、不少于13支通风管、电源线、发热器、风扇等组成。通风管用外径12mm的金属管制作，管壁厚≥2mm，长度185mm，每支通风管上均布10个直径5mm的通气孔。功率≥250W，绝缘电阻大于100MΩ</w:t>
            </w:r>
          </w:p>
        </w:tc>
        <w:tc>
          <w:tcPr>
            <w:tcW w:w="315" w:type="pct"/>
            <w:tcBorders>
              <w:top w:val="single" w:color="000000" w:sz="4" w:space="0"/>
              <w:left w:val="single" w:color="000000" w:sz="4" w:space="0"/>
              <w:bottom w:val="single" w:color="000000" w:sz="4" w:space="0"/>
              <w:right w:val="nil"/>
            </w:tcBorders>
            <w:noWrap w:val="0"/>
            <w:vAlign w:val="center"/>
          </w:tcPr>
          <w:p w14:paraId="568C6FE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77FE87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86F8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AA4F38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37355D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烘干箱</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6A96BC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电热鼓风型，最高工作温度为250℃,温度波动度限值为±1.5℃,箱体内有隔板，内部容积≥350mm×350mm×350mm</w:t>
            </w:r>
          </w:p>
        </w:tc>
        <w:tc>
          <w:tcPr>
            <w:tcW w:w="315" w:type="pct"/>
            <w:tcBorders>
              <w:top w:val="single" w:color="000000" w:sz="4" w:space="0"/>
              <w:left w:val="single" w:color="000000" w:sz="4" w:space="0"/>
              <w:bottom w:val="single" w:color="000000" w:sz="4" w:space="0"/>
              <w:right w:val="nil"/>
            </w:tcBorders>
            <w:noWrap w:val="0"/>
            <w:vAlign w:val="center"/>
          </w:tcPr>
          <w:p w14:paraId="4BD1494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709129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F812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F4EBC6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BFD5D5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教学电源</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0CCCE7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交流2V～12V，5A，每2V一档；直流1.5V～12V，2A，分为1.5V、3V、4.5V、6V、9V、12V，共6档</w:t>
            </w:r>
          </w:p>
        </w:tc>
        <w:tc>
          <w:tcPr>
            <w:tcW w:w="315" w:type="pct"/>
            <w:tcBorders>
              <w:top w:val="single" w:color="000000" w:sz="4" w:space="0"/>
              <w:left w:val="single" w:color="000000" w:sz="4" w:space="0"/>
              <w:bottom w:val="single" w:color="000000" w:sz="4" w:space="0"/>
              <w:right w:val="nil"/>
            </w:tcBorders>
            <w:noWrap w:val="0"/>
            <w:vAlign w:val="center"/>
          </w:tcPr>
          <w:p w14:paraId="43F46D0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EBD242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3F73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3DF86A6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564B9C1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仪器车</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541A07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600mm×400mm×800mm，不锈钢材质，至少两层，各层带可拆卸护栏，总载重≥60kg</w:t>
            </w:r>
          </w:p>
        </w:tc>
        <w:tc>
          <w:tcPr>
            <w:tcW w:w="315" w:type="pct"/>
            <w:tcBorders>
              <w:top w:val="single" w:color="000000" w:sz="4" w:space="0"/>
              <w:left w:val="single" w:color="000000" w:sz="4" w:space="0"/>
              <w:bottom w:val="single" w:color="000000" w:sz="4" w:space="0"/>
              <w:right w:val="nil"/>
            </w:tcBorders>
            <w:noWrap w:val="0"/>
            <w:vAlign w:val="center"/>
          </w:tcPr>
          <w:p w14:paraId="5F04181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辆</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F49192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r>
      <w:tr w14:paraId="2CD15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86CA5C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6D21A8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试剂瓶托盘</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47BED4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耐腐蚀材质，内沿≥400mm×290mm×50mm</w:t>
            </w:r>
          </w:p>
        </w:tc>
        <w:tc>
          <w:tcPr>
            <w:tcW w:w="315" w:type="pct"/>
            <w:tcBorders>
              <w:top w:val="single" w:color="000000" w:sz="4" w:space="0"/>
              <w:left w:val="single" w:color="000000" w:sz="4" w:space="0"/>
              <w:bottom w:val="single" w:color="000000" w:sz="4" w:space="0"/>
              <w:right w:val="nil"/>
            </w:tcBorders>
            <w:noWrap w:val="0"/>
            <w:vAlign w:val="center"/>
          </w:tcPr>
          <w:p w14:paraId="1B61900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504E45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30</w:t>
            </w:r>
          </w:p>
        </w:tc>
      </w:tr>
      <w:tr w14:paraId="19809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3EDA96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CC793F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实验用品提篮</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B50C1C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采用工程聚丙烯塑料注塑成形。</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1.外形尺寸：≥490mm×350mm×160mm，壁厚≥2mm。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2.提手采用壁厚≥1mm，长≥20mm，宽≥10mm的钢管加工成矩形，两角内圆弧直径≥50mm，表面磷化喷塑。</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3.四周及底面有加强筋。产品应美观、耐用。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4.产品自800mm高度处自由下落于水泥地面后无破损。</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5.产品整体质量应符合JY0001《教学仪器一般质量要求》的有关规定及招标文件的相关规定。</w:t>
            </w:r>
          </w:p>
        </w:tc>
        <w:tc>
          <w:tcPr>
            <w:tcW w:w="315" w:type="pct"/>
            <w:tcBorders>
              <w:top w:val="single" w:color="000000" w:sz="4" w:space="0"/>
              <w:left w:val="single" w:color="000000" w:sz="4" w:space="0"/>
              <w:bottom w:val="single" w:color="000000" w:sz="4" w:space="0"/>
              <w:right w:val="nil"/>
            </w:tcBorders>
            <w:noWrap w:val="0"/>
            <w:vAlign w:val="center"/>
          </w:tcPr>
          <w:p w14:paraId="525B371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BFCE2B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r>
      <w:tr w14:paraId="3548D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724F6A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B6E0E5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打孔器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3C0D23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齿口式，材质为不锈钢管、钢管或黄铜管，每组不少于4支，外径分别为5.0mm、6.5mm、8.0mm、9.5mm，并配一支带柄金属通扦</w:t>
            </w:r>
          </w:p>
        </w:tc>
        <w:tc>
          <w:tcPr>
            <w:tcW w:w="315" w:type="pct"/>
            <w:tcBorders>
              <w:top w:val="single" w:color="000000" w:sz="4" w:space="0"/>
              <w:left w:val="single" w:color="000000" w:sz="4" w:space="0"/>
              <w:bottom w:val="single" w:color="000000" w:sz="4" w:space="0"/>
              <w:right w:val="nil"/>
            </w:tcBorders>
            <w:noWrap w:val="0"/>
            <w:vAlign w:val="center"/>
          </w:tcPr>
          <w:p w14:paraId="56DF370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F71363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5F415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D82533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57FAC9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打孔夹板</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4E3941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硬木或硬塑料制，有大小不同的锥形孔</w:t>
            </w:r>
          </w:p>
        </w:tc>
        <w:tc>
          <w:tcPr>
            <w:tcW w:w="315" w:type="pct"/>
            <w:tcBorders>
              <w:top w:val="single" w:color="000000" w:sz="4" w:space="0"/>
              <w:left w:val="single" w:color="000000" w:sz="4" w:space="0"/>
              <w:bottom w:val="single" w:color="000000" w:sz="4" w:space="0"/>
              <w:right w:val="nil"/>
            </w:tcBorders>
            <w:noWrap w:val="0"/>
            <w:vAlign w:val="center"/>
          </w:tcPr>
          <w:p w14:paraId="324837B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9151C0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CE34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1828D9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67C0CC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电动钻孔器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FA0368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钻头可拆卸，应配有3个以上不同孔径的钻头，外径分别为7mm、6mm、5mm</w:t>
            </w:r>
          </w:p>
        </w:tc>
        <w:tc>
          <w:tcPr>
            <w:tcW w:w="315" w:type="pct"/>
            <w:tcBorders>
              <w:top w:val="single" w:color="000000" w:sz="4" w:space="0"/>
              <w:left w:val="single" w:color="000000" w:sz="4" w:space="0"/>
              <w:bottom w:val="single" w:color="000000" w:sz="4" w:space="0"/>
              <w:right w:val="nil"/>
            </w:tcBorders>
            <w:noWrap w:val="0"/>
            <w:vAlign w:val="center"/>
          </w:tcPr>
          <w:p w14:paraId="3C0D8D3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2AE38F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1693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ACE8B4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156CA3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托盘天平</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49DF7A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100g，0.1g</w:t>
            </w:r>
          </w:p>
        </w:tc>
        <w:tc>
          <w:tcPr>
            <w:tcW w:w="315" w:type="pct"/>
            <w:tcBorders>
              <w:top w:val="single" w:color="000000" w:sz="4" w:space="0"/>
              <w:left w:val="single" w:color="000000" w:sz="4" w:space="0"/>
              <w:bottom w:val="single" w:color="000000" w:sz="4" w:space="0"/>
              <w:right w:val="nil"/>
            </w:tcBorders>
            <w:noWrap w:val="0"/>
            <w:vAlign w:val="center"/>
          </w:tcPr>
          <w:p w14:paraId="069676B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E384AE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5C179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17FE74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22</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8EABD1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托盘天平</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4D6C01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500g，0.5g</w:t>
            </w:r>
          </w:p>
        </w:tc>
        <w:tc>
          <w:tcPr>
            <w:tcW w:w="315" w:type="pct"/>
            <w:tcBorders>
              <w:top w:val="single" w:color="000000" w:sz="4" w:space="0"/>
              <w:left w:val="single" w:color="000000" w:sz="4" w:space="0"/>
              <w:bottom w:val="single" w:color="000000" w:sz="4" w:space="0"/>
              <w:right w:val="nil"/>
            </w:tcBorders>
            <w:noWrap w:val="0"/>
            <w:vAlign w:val="center"/>
          </w:tcPr>
          <w:p w14:paraId="3909DA8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EF4B44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5563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F8F9D9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064E51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电子天平</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6D2ABF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1000g，0.1g</w:t>
            </w:r>
          </w:p>
        </w:tc>
        <w:tc>
          <w:tcPr>
            <w:tcW w:w="315" w:type="pct"/>
            <w:tcBorders>
              <w:top w:val="single" w:color="000000" w:sz="4" w:space="0"/>
              <w:left w:val="single" w:color="000000" w:sz="4" w:space="0"/>
              <w:bottom w:val="single" w:color="000000" w:sz="4" w:space="0"/>
              <w:right w:val="nil"/>
            </w:tcBorders>
            <w:noWrap w:val="0"/>
            <w:vAlign w:val="center"/>
          </w:tcPr>
          <w:p w14:paraId="3029B75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B783B3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B240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A83AA5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CE5E70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红液温度计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A4C8C9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0℃~100℃,分度值1℃,示值误差&lt;1.5℃</w:t>
            </w:r>
          </w:p>
        </w:tc>
        <w:tc>
          <w:tcPr>
            <w:tcW w:w="315" w:type="pct"/>
            <w:tcBorders>
              <w:top w:val="single" w:color="000000" w:sz="4" w:space="0"/>
              <w:left w:val="single" w:color="000000" w:sz="4" w:space="0"/>
              <w:bottom w:val="single" w:color="000000" w:sz="4" w:space="0"/>
              <w:right w:val="nil"/>
            </w:tcBorders>
            <w:noWrap w:val="0"/>
            <w:vAlign w:val="center"/>
          </w:tcPr>
          <w:p w14:paraId="28B58DC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0613CD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39FF5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32E1950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941195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水银温度计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CCF2B9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-30℃~100℃,分度值1℃,示值误差＜1.5℃</w:t>
            </w:r>
          </w:p>
        </w:tc>
        <w:tc>
          <w:tcPr>
            <w:tcW w:w="315" w:type="pct"/>
            <w:tcBorders>
              <w:top w:val="single" w:color="000000" w:sz="4" w:space="0"/>
              <w:left w:val="single" w:color="000000" w:sz="4" w:space="0"/>
              <w:bottom w:val="single" w:color="000000" w:sz="4" w:space="0"/>
              <w:right w:val="nil"/>
            </w:tcBorders>
            <w:noWrap w:val="0"/>
            <w:vAlign w:val="center"/>
          </w:tcPr>
          <w:p w14:paraId="03CC1DB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B8A647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DE3A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8D1EBB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26</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257CAA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电子秒表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9D4B63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0.1s</w:t>
            </w:r>
          </w:p>
        </w:tc>
        <w:tc>
          <w:tcPr>
            <w:tcW w:w="315" w:type="pct"/>
            <w:tcBorders>
              <w:top w:val="single" w:color="000000" w:sz="4" w:space="0"/>
              <w:left w:val="single" w:color="000000" w:sz="4" w:space="0"/>
              <w:bottom w:val="single" w:color="000000" w:sz="4" w:space="0"/>
              <w:right w:val="nil"/>
            </w:tcBorders>
            <w:noWrap w:val="0"/>
            <w:vAlign w:val="center"/>
          </w:tcPr>
          <w:p w14:paraId="35332D5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D8474C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09B35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FC10D2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27</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6F121D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多用电表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FCE57B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直流电流、电压、电阻2.5级，交流电压5级</w:t>
            </w:r>
          </w:p>
        </w:tc>
        <w:tc>
          <w:tcPr>
            <w:tcW w:w="315" w:type="pct"/>
            <w:tcBorders>
              <w:top w:val="single" w:color="000000" w:sz="4" w:space="0"/>
              <w:left w:val="single" w:color="000000" w:sz="4" w:space="0"/>
              <w:bottom w:val="single" w:color="000000" w:sz="4" w:space="0"/>
              <w:right w:val="nil"/>
            </w:tcBorders>
            <w:noWrap w:val="0"/>
            <w:vAlign w:val="center"/>
          </w:tcPr>
          <w:p w14:paraId="06FE6FF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6E518C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4002B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D7D15C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8385C3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直流电流表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B29440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2.5级，0.6A，3A</w:t>
            </w:r>
          </w:p>
        </w:tc>
        <w:tc>
          <w:tcPr>
            <w:tcW w:w="315" w:type="pct"/>
            <w:tcBorders>
              <w:top w:val="single" w:color="000000" w:sz="4" w:space="0"/>
              <w:left w:val="single" w:color="000000" w:sz="4" w:space="0"/>
              <w:bottom w:val="single" w:color="000000" w:sz="4" w:space="0"/>
              <w:right w:val="nil"/>
            </w:tcBorders>
            <w:noWrap w:val="0"/>
            <w:vAlign w:val="center"/>
          </w:tcPr>
          <w:p w14:paraId="056E540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029760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42A1F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11100D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29</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10AC09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灵敏电流计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082E68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±300μA</w:t>
            </w:r>
          </w:p>
        </w:tc>
        <w:tc>
          <w:tcPr>
            <w:tcW w:w="315" w:type="pct"/>
            <w:tcBorders>
              <w:top w:val="single" w:color="000000" w:sz="4" w:space="0"/>
              <w:left w:val="single" w:color="000000" w:sz="4" w:space="0"/>
              <w:bottom w:val="single" w:color="000000" w:sz="4" w:space="0"/>
              <w:right w:val="nil"/>
            </w:tcBorders>
            <w:noWrap w:val="0"/>
            <w:vAlign w:val="center"/>
          </w:tcPr>
          <w:p w14:paraId="693ADF5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EA807C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4BBE1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C7A6CB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30</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C048E4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演示电流电压表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00FA2F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2.5级</w:t>
            </w:r>
          </w:p>
        </w:tc>
        <w:tc>
          <w:tcPr>
            <w:tcW w:w="315" w:type="pct"/>
            <w:tcBorders>
              <w:top w:val="single" w:color="000000" w:sz="4" w:space="0"/>
              <w:left w:val="single" w:color="000000" w:sz="4" w:space="0"/>
              <w:bottom w:val="single" w:color="000000" w:sz="4" w:space="0"/>
              <w:right w:val="nil"/>
            </w:tcBorders>
            <w:noWrap w:val="0"/>
            <w:vAlign w:val="center"/>
          </w:tcPr>
          <w:p w14:paraId="7FE66E6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6CB343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D3CC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2F19B0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B84B41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酸度计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80933B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笔式，pH测量范围0～14，分辨力0.1，读数清晰，有自动关机节电模式，配校准试剂</w:t>
            </w:r>
          </w:p>
        </w:tc>
        <w:tc>
          <w:tcPr>
            <w:tcW w:w="315" w:type="pct"/>
            <w:tcBorders>
              <w:top w:val="single" w:color="000000" w:sz="4" w:space="0"/>
              <w:left w:val="single" w:color="000000" w:sz="4" w:space="0"/>
              <w:bottom w:val="single" w:color="000000" w:sz="4" w:space="0"/>
              <w:right w:val="nil"/>
            </w:tcBorders>
            <w:noWrap w:val="0"/>
            <w:vAlign w:val="center"/>
          </w:tcPr>
          <w:p w14:paraId="066D3C5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0733CF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3386E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A6A46A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32</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836F56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教学支架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6E6359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包括方形座，立杆，平行夹，垂直夹两个，烧瓶夹，大铁环，小铁环，吊杆。重心稳定不晃动，烧瓶夹内侧应有缓压层</w:t>
            </w:r>
          </w:p>
        </w:tc>
        <w:tc>
          <w:tcPr>
            <w:tcW w:w="315" w:type="pct"/>
            <w:tcBorders>
              <w:top w:val="single" w:color="000000" w:sz="4" w:space="0"/>
              <w:left w:val="single" w:color="000000" w:sz="4" w:space="0"/>
              <w:bottom w:val="single" w:color="000000" w:sz="4" w:space="0"/>
              <w:right w:val="nil"/>
            </w:tcBorders>
            <w:noWrap w:val="0"/>
            <w:vAlign w:val="center"/>
          </w:tcPr>
          <w:p w14:paraId="37449A3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067ABE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7E9D7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68B3ED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7D6EE5E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三脚架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8BA4A8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采用碳钢或φ6mm冷拉钢材造，三脚均布，高度≥156mm，三脚内接圆直径≥120mm。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 上支承环平整，直径＞80mm。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 三支撑脚与圆环间焊接牢靠，分布均匀，焊点光滑、平稳，三脚及支承环钢材直径≥6mm，表面经酸洗，磷化后喷塑或喷黑色防锈、耐热强化漆。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 表面不应有明显的凹痕、裂缝、变形等缺陷；表面涂镀层应均匀，不应起泡、龟裂、脱落和磨损；不应有锈蚀及其他机械损伤。　</w:t>
            </w:r>
          </w:p>
        </w:tc>
        <w:tc>
          <w:tcPr>
            <w:tcW w:w="315" w:type="pct"/>
            <w:tcBorders>
              <w:top w:val="single" w:color="000000" w:sz="4" w:space="0"/>
              <w:left w:val="single" w:color="000000" w:sz="4" w:space="0"/>
              <w:bottom w:val="single" w:color="000000" w:sz="4" w:space="0"/>
              <w:right w:val="nil"/>
            </w:tcBorders>
            <w:noWrap w:val="0"/>
            <w:vAlign w:val="center"/>
          </w:tcPr>
          <w:p w14:paraId="4BCF0A1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94DF0C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514CEA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B9FED9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BAA4DD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试管架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52CBB1C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木制或塑料制，8孔，孔径21mm，立柱粘结牢固</w:t>
            </w:r>
          </w:p>
        </w:tc>
        <w:tc>
          <w:tcPr>
            <w:tcW w:w="315" w:type="pct"/>
            <w:tcBorders>
              <w:top w:val="single" w:color="000000" w:sz="4" w:space="0"/>
              <w:left w:val="single" w:color="000000" w:sz="4" w:space="0"/>
              <w:bottom w:val="single" w:color="000000" w:sz="4" w:space="0"/>
              <w:right w:val="nil"/>
            </w:tcBorders>
            <w:noWrap w:val="0"/>
            <w:vAlign w:val="center"/>
          </w:tcPr>
          <w:p w14:paraId="4FA1D45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F249A7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6D7FB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20B19C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C83AB2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试管架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A9332C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木制或塑料制，8孔，孔径25mm</w:t>
            </w:r>
          </w:p>
        </w:tc>
        <w:tc>
          <w:tcPr>
            <w:tcW w:w="315" w:type="pct"/>
            <w:tcBorders>
              <w:top w:val="single" w:color="000000" w:sz="4" w:space="0"/>
              <w:left w:val="single" w:color="000000" w:sz="4" w:space="0"/>
              <w:bottom w:val="single" w:color="000000" w:sz="4" w:space="0"/>
              <w:right w:val="nil"/>
            </w:tcBorders>
            <w:noWrap w:val="0"/>
            <w:vAlign w:val="center"/>
          </w:tcPr>
          <w:p w14:paraId="31A7CDB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563A192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E419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9F5A84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36</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70F8791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试管架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6EA567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木制或塑料制，8孔，孔径35mm</w:t>
            </w:r>
          </w:p>
        </w:tc>
        <w:tc>
          <w:tcPr>
            <w:tcW w:w="315" w:type="pct"/>
            <w:tcBorders>
              <w:top w:val="single" w:color="000000" w:sz="4" w:space="0"/>
              <w:left w:val="single" w:color="000000" w:sz="4" w:space="0"/>
              <w:bottom w:val="single" w:color="000000" w:sz="4" w:space="0"/>
              <w:right w:val="nil"/>
            </w:tcBorders>
            <w:noWrap w:val="0"/>
            <w:vAlign w:val="center"/>
          </w:tcPr>
          <w:p w14:paraId="689EF65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50B165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5C6C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983363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37</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DC6E64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漏斗架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A231C6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木制或塑料制</w:t>
            </w:r>
          </w:p>
        </w:tc>
        <w:tc>
          <w:tcPr>
            <w:tcW w:w="315" w:type="pct"/>
            <w:tcBorders>
              <w:top w:val="single" w:color="000000" w:sz="4" w:space="0"/>
              <w:left w:val="single" w:color="000000" w:sz="4" w:space="0"/>
              <w:bottom w:val="single" w:color="000000" w:sz="4" w:space="0"/>
              <w:right w:val="nil"/>
            </w:tcBorders>
            <w:noWrap w:val="0"/>
            <w:vAlign w:val="center"/>
          </w:tcPr>
          <w:p w14:paraId="3BBF33C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3D1EC1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4DDFB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D04EB6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38</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7085A6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滴定台</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6BB9E8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底座采用实芯理化板制造，尺寸300mm×150mm×12.7mm，上平面抛光，底面四角嵌装橡胶脚垫，放置平稳；金属件表面应做镀铬处理。无明显扭曲、变形现象，无锈蚀、无刺。</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1.立杆直径≥11mm，长度≥600mm，表面镀铬；立杆与底座垂直度误差不大于3mm，产品在工作台面上放置稳定可靠。</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2.产品整体质量应符合JY0001《教学仪器一般质量要求》的有关规定及招标文件的相关规定。</w:t>
            </w:r>
          </w:p>
        </w:tc>
        <w:tc>
          <w:tcPr>
            <w:tcW w:w="315" w:type="pct"/>
            <w:tcBorders>
              <w:top w:val="single" w:color="000000" w:sz="4" w:space="0"/>
              <w:left w:val="single" w:color="000000" w:sz="4" w:space="0"/>
              <w:bottom w:val="single" w:color="000000" w:sz="4" w:space="0"/>
              <w:right w:val="nil"/>
            </w:tcBorders>
            <w:noWrap w:val="0"/>
            <w:vAlign w:val="center"/>
          </w:tcPr>
          <w:p w14:paraId="3497DE9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1F7FAB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601AB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D288A8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39</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D5DCA5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滴定夹</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CA1EE4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铝制，加持部位有防滑脱凹槽</w:t>
            </w:r>
          </w:p>
        </w:tc>
        <w:tc>
          <w:tcPr>
            <w:tcW w:w="315" w:type="pct"/>
            <w:tcBorders>
              <w:top w:val="single" w:color="000000" w:sz="4" w:space="0"/>
              <w:left w:val="single" w:color="000000" w:sz="4" w:space="0"/>
              <w:bottom w:val="single" w:color="000000" w:sz="4" w:space="0"/>
              <w:right w:val="nil"/>
            </w:tcBorders>
            <w:noWrap w:val="0"/>
            <w:vAlign w:val="center"/>
          </w:tcPr>
          <w:p w14:paraId="02EB2C5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BFF40E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09E70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BC036B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40</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2868E6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多用滴管架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535223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塑料制，底部有圆形凹槽</w:t>
            </w:r>
          </w:p>
        </w:tc>
        <w:tc>
          <w:tcPr>
            <w:tcW w:w="315" w:type="pct"/>
            <w:tcBorders>
              <w:top w:val="single" w:color="000000" w:sz="4" w:space="0"/>
              <w:left w:val="single" w:color="000000" w:sz="4" w:space="0"/>
              <w:bottom w:val="single" w:color="000000" w:sz="4" w:space="0"/>
              <w:right w:val="nil"/>
            </w:tcBorders>
            <w:noWrap w:val="0"/>
            <w:vAlign w:val="center"/>
          </w:tcPr>
          <w:p w14:paraId="10FEAE0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5B4C4D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6CCE4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D3549E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9B2384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移液管架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4930B1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塑料制</w:t>
            </w:r>
          </w:p>
        </w:tc>
        <w:tc>
          <w:tcPr>
            <w:tcW w:w="315" w:type="pct"/>
            <w:tcBorders>
              <w:top w:val="single" w:color="000000" w:sz="4" w:space="0"/>
              <w:left w:val="single" w:color="000000" w:sz="4" w:space="0"/>
              <w:bottom w:val="single" w:color="000000" w:sz="4" w:space="0"/>
              <w:right w:val="nil"/>
            </w:tcBorders>
            <w:noWrap w:val="0"/>
            <w:vAlign w:val="center"/>
          </w:tcPr>
          <w:p w14:paraId="17736FB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CB2D2F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3CDF0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3F0576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42</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5990A54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比色管架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BAA65F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塑料制，6孔</w:t>
            </w:r>
          </w:p>
        </w:tc>
        <w:tc>
          <w:tcPr>
            <w:tcW w:w="315" w:type="pct"/>
            <w:tcBorders>
              <w:top w:val="single" w:color="000000" w:sz="4" w:space="0"/>
              <w:left w:val="single" w:color="000000" w:sz="4" w:space="0"/>
              <w:bottom w:val="single" w:color="000000" w:sz="4" w:space="0"/>
              <w:right w:val="nil"/>
            </w:tcBorders>
            <w:noWrap w:val="0"/>
            <w:vAlign w:val="center"/>
          </w:tcPr>
          <w:p w14:paraId="0CE0B5D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B5824A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5068D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38959D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3875AA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升降台</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10C0C7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上下台面为不锈钢材质，100mm×100mm，台面升降范围50mm～150mm</w:t>
            </w:r>
          </w:p>
        </w:tc>
        <w:tc>
          <w:tcPr>
            <w:tcW w:w="315" w:type="pct"/>
            <w:tcBorders>
              <w:top w:val="single" w:color="000000" w:sz="4" w:space="0"/>
              <w:left w:val="single" w:color="000000" w:sz="4" w:space="0"/>
              <w:bottom w:val="single" w:color="000000" w:sz="4" w:space="0"/>
              <w:right w:val="nil"/>
            </w:tcBorders>
            <w:noWrap w:val="0"/>
            <w:vAlign w:val="center"/>
          </w:tcPr>
          <w:p w14:paraId="3298356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65459F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1E530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14F90D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A63497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量筒</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767D04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10mL，透明钠钙玻璃制，分度线、数字和标志应完整、清晰和耐久，容积为20℃时充满量筒刻度线所容纳体积</w:t>
            </w:r>
          </w:p>
        </w:tc>
        <w:tc>
          <w:tcPr>
            <w:tcW w:w="315" w:type="pct"/>
            <w:tcBorders>
              <w:top w:val="single" w:color="000000" w:sz="4" w:space="0"/>
              <w:left w:val="single" w:color="000000" w:sz="4" w:space="0"/>
              <w:bottom w:val="single" w:color="000000" w:sz="4" w:space="0"/>
              <w:right w:val="nil"/>
            </w:tcBorders>
            <w:noWrap w:val="0"/>
            <w:vAlign w:val="center"/>
          </w:tcPr>
          <w:p w14:paraId="7E29715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B50A02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4D23C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9155CB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5005178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量筒</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0A22CB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20mL，透明钠钙玻璃制，分度线、数字和标志应完整、清晰和耐久，容积为20℃时充满量筒刻度线所容纳体积</w:t>
            </w:r>
          </w:p>
        </w:tc>
        <w:tc>
          <w:tcPr>
            <w:tcW w:w="315" w:type="pct"/>
            <w:tcBorders>
              <w:top w:val="single" w:color="000000" w:sz="4" w:space="0"/>
              <w:left w:val="single" w:color="000000" w:sz="4" w:space="0"/>
              <w:bottom w:val="single" w:color="000000" w:sz="4" w:space="0"/>
              <w:right w:val="nil"/>
            </w:tcBorders>
            <w:noWrap w:val="0"/>
            <w:vAlign w:val="center"/>
          </w:tcPr>
          <w:p w14:paraId="630CECA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41B9C3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0230B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8315FF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46</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D79A8B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量筒</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4FDEBD5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50mL，透明钠钙玻璃制，分度线、数字和标志应完整、清晰和耐久，容积为20℃时充满量筒刻度线所容纳体积</w:t>
            </w:r>
          </w:p>
        </w:tc>
        <w:tc>
          <w:tcPr>
            <w:tcW w:w="315" w:type="pct"/>
            <w:tcBorders>
              <w:top w:val="single" w:color="000000" w:sz="4" w:space="0"/>
              <w:left w:val="single" w:color="000000" w:sz="4" w:space="0"/>
              <w:bottom w:val="single" w:color="000000" w:sz="4" w:space="0"/>
              <w:right w:val="nil"/>
            </w:tcBorders>
            <w:noWrap w:val="0"/>
            <w:vAlign w:val="center"/>
          </w:tcPr>
          <w:p w14:paraId="5B13278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A9F462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6E491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A0CC71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47</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291147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量筒</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1E822F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100mL，透明钠钙玻璃制，分度线、数字和标志应完整、清晰和耐久，容积为20℃时充满量筒刻度线所容纳体积</w:t>
            </w:r>
          </w:p>
        </w:tc>
        <w:tc>
          <w:tcPr>
            <w:tcW w:w="315" w:type="pct"/>
            <w:tcBorders>
              <w:top w:val="single" w:color="000000" w:sz="4" w:space="0"/>
              <w:left w:val="single" w:color="000000" w:sz="4" w:space="0"/>
              <w:bottom w:val="single" w:color="000000" w:sz="4" w:space="0"/>
              <w:right w:val="nil"/>
            </w:tcBorders>
            <w:noWrap w:val="0"/>
            <w:vAlign w:val="center"/>
          </w:tcPr>
          <w:p w14:paraId="02E45B6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C862BE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2D533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A3CA42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48</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63AC5C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量筒</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DA85CA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500mL，透明钠钙玻璃制，分度线、数字和标志应完整、清晰和耐久，容积为20℃时充满量筒刻度线所容纳体积</w:t>
            </w:r>
          </w:p>
        </w:tc>
        <w:tc>
          <w:tcPr>
            <w:tcW w:w="315" w:type="pct"/>
            <w:tcBorders>
              <w:top w:val="single" w:color="000000" w:sz="4" w:space="0"/>
              <w:left w:val="single" w:color="000000" w:sz="4" w:space="0"/>
              <w:bottom w:val="single" w:color="000000" w:sz="4" w:space="0"/>
              <w:right w:val="nil"/>
            </w:tcBorders>
            <w:noWrap w:val="0"/>
            <w:vAlign w:val="center"/>
          </w:tcPr>
          <w:p w14:paraId="6999F27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C16422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1796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C6CEBC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49</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503B70D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量筒</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282D8D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1000mL，透明钠钙玻璃制，分度线、数字和标志应完整、清晰和耐久，容积为20℃时充满量筒刻度线所容纳体积</w:t>
            </w:r>
          </w:p>
        </w:tc>
        <w:tc>
          <w:tcPr>
            <w:tcW w:w="315" w:type="pct"/>
            <w:tcBorders>
              <w:top w:val="single" w:color="000000" w:sz="4" w:space="0"/>
              <w:left w:val="single" w:color="000000" w:sz="4" w:space="0"/>
              <w:bottom w:val="single" w:color="000000" w:sz="4" w:space="0"/>
              <w:right w:val="nil"/>
            </w:tcBorders>
            <w:noWrap w:val="0"/>
            <w:vAlign w:val="center"/>
          </w:tcPr>
          <w:p w14:paraId="7B104A0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7DF136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44AAB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C9283E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BCDB00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容量瓶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954000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50mL，透明硼硅酸盐玻璃制，刻度线应清晰耐久，粗细均匀，位于和瓶底平行的平面，围绕整个瓶颈</w:t>
            </w:r>
          </w:p>
        </w:tc>
        <w:tc>
          <w:tcPr>
            <w:tcW w:w="315" w:type="pct"/>
            <w:tcBorders>
              <w:top w:val="single" w:color="000000" w:sz="4" w:space="0"/>
              <w:left w:val="single" w:color="000000" w:sz="4" w:space="0"/>
              <w:bottom w:val="single" w:color="000000" w:sz="4" w:space="0"/>
              <w:right w:val="nil"/>
            </w:tcBorders>
            <w:noWrap w:val="0"/>
            <w:vAlign w:val="center"/>
          </w:tcPr>
          <w:p w14:paraId="15BC133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30407F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817F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A804DA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3A8F44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容量瓶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638606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100mL，透明硼硅酸盐玻璃制，刻度线应清晰耐久，粗细均匀，位于和瓶底平行的平面，围绕整个瓶颈</w:t>
            </w:r>
          </w:p>
        </w:tc>
        <w:tc>
          <w:tcPr>
            <w:tcW w:w="315" w:type="pct"/>
            <w:tcBorders>
              <w:top w:val="single" w:color="000000" w:sz="4" w:space="0"/>
              <w:left w:val="single" w:color="000000" w:sz="4" w:space="0"/>
              <w:bottom w:val="single" w:color="000000" w:sz="4" w:space="0"/>
              <w:right w:val="nil"/>
            </w:tcBorders>
            <w:noWrap w:val="0"/>
            <w:vAlign w:val="center"/>
          </w:tcPr>
          <w:p w14:paraId="1DB05B1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BF43D6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0536F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3C01610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52</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7DC30F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容量瓶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57031F6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250mL，透明硼硅酸盐玻璃制，刻度线应清晰耐久，粗细均匀，位于和瓶底平行的平面，围绕整个瓶颈</w:t>
            </w:r>
          </w:p>
        </w:tc>
        <w:tc>
          <w:tcPr>
            <w:tcW w:w="315" w:type="pct"/>
            <w:tcBorders>
              <w:top w:val="single" w:color="000000" w:sz="4" w:space="0"/>
              <w:left w:val="single" w:color="000000" w:sz="4" w:space="0"/>
              <w:bottom w:val="single" w:color="000000" w:sz="4" w:space="0"/>
              <w:right w:val="nil"/>
            </w:tcBorders>
            <w:noWrap w:val="0"/>
            <w:vAlign w:val="center"/>
          </w:tcPr>
          <w:p w14:paraId="6662768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ED70E0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05EB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33744DE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475745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容量瓶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082D7D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500mL，透明硼硅酸盐玻璃制，刻度线应清晰耐久，粗细均匀，位于和瓶底平行的平面，围绕整个瓶颈</w:t>
            </w:r>
          </w:p>
        </w:tc>
        <w:tc>
          <w:tcPr>
            <w:tcW w:w="315" w:type="pct"/>
            <w:tcBorders>
              <w:top w:val="single" w:color="000000" w:sz="4" w:space="0"/>
              <w:left w:val="single" w:color="000000" w:sz="4" w:space="0"/>
              <w:bottom w:val="single" w:color="000000" w:sz="4" w:space="0"/>
              <w:right w:val="nil"/>
            </w:tcBorders>
            <w:noWrap w:val="0"/>
            <w:vAlign w:val="center"/>
          </w:tcPr>
          <w:p w14:paraId="18E0C56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61701D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w:t>
            </w:r>
          </w:p>
        </w:tc>
      </w:tr>
      <w:tr w14:paraId="785DD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E3E3E6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10D90E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容量瓶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4E2EB97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1000mL，透明硼硅酸盐玻璃制，刻度线应清晰耐久，粗细均匀，位于和瓶底平行的平面，围绕整个瓶颈</w:t>
            </w:r>
          </w:p>
        </w:tc>
        <w:tc>
          <w:tcPr>
            <w:tcW w:w="315" w:type="pct"/>
            <w:tcBorders>
              <w:top w:val="single" w:color="000000" w:sz="4" w:space="0"/>
              <w:left w:val="single" w:color="000000" w:sz="4" w:space="0"/>
              <w:bottom w:val="single" w:color="000000" w:sz="4" w:space="0"/>
              <w:right w:val="nil"/>
            </w:tcBorders>
            <w:noWrap w:val="0"/>
            <w:vAlign w:val="center"/>
          </w:tcPr>
          <w:p w14:paraId="6606CCE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2974F9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F17D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9BC583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FF3AF5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滴定管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662482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酸式，50mL，透明钠钙玻璃制，应采用刻蚀刻度，刻度清晰不易腐蚀，整数分度应为</w:t>
            </w:r>
          </w:p>
        </w:tc>
        <w:tc>
          <w:tcPr>
            <w:tcW w:w="315" w:type="pct"/>
            <w:tcBorders>
              <w:top w:val="single" w:color="000000" w:sz="4" w:space="0"/>
              <w:left w:val="single" w:color="000000" w:sz="4" w:space="0"/>
              <w:bottom w:val="single" w:color="000000" w:sz="4" w:space="0"/>
              <w:right w:val="nil"/>
            </w:tcBorders>
            <w:noWrap w:val="0"/>
            <w:vAlign w:val="center"/>
          </w:tcPr>
          <w:p w14:paraId="41A90D0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582024A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4BBBD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A8243A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56</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FA68D6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滴定管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D8D3DB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碱式，50mL，环形刻度</w:t>
            </w:r>
          </w:p>
        </w:tc>
        <w:tc>
          <w:tcPr>
            <w:tcW w:w="315" w:type="pct"/>
            <w:tcBorders>
              <w:top w:val="single" w:color="000000" w:sz="4" w:space="0"/>
              <w:left w:val="single" w:color="000000" w:sz="4" w:space="0"/>
              <w:bottom w:val="single" w:color="000000" w:sz="4" w:space="0"/>
              <w:right w:val="nil"/>
            </w:tcBorders>
            <w:noWrap w:val="0"/>
            <w:vAlign w:val="center"/>
          </w:tcPr>
          <w:p w14:paraId="374463D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ABC81A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3B591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20F877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57</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6D136C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移液管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C96997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1mL，透明硼硅酸盐玻璃制</w:t>
            </w:r>
          </w:p>
        </w:tc>
        <w:tc>
          <w:tcPr>
            <w:tcW w:w="315" w:type="pct"/>
            <w:tcBorders>
              <w:top w:val="single" w:color="000000" w:sz="4" w:space="0"/>
              <w:left w:val="single" w:color="000000" w:sz="4" w:space="0"/>
              <w:bottom w:val="single" w:color="000000" w:sz="4" w:space="0"/>
              <w:right w:val="nil"/>
            </w:tcBorders>
            <w:noWrap w:val="0"/>
            <w:vAlign w:val="center"/>
          </w:tcPr>
          <w:p w14:paraId="0641A2C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45FE41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02F13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65399A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58</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2F61AA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移液管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84A9DE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2mL，透明硼硅酸盐玻璃制</w:t>
            </w:r>
          </w:p>
        </w:tc>
        <w:tc>
          <w:tcPr>
            <w:tcW w:w="315" w:type="pct"/>
            <w:tcBorders>
              <w:top w:val="single" w:color="000000" w:sz="4" w:space="0"/>
              <w:left w:val="single" w:color="000000" w:sz="4" w:space="0"/>
              <w:bottom w:val="single" w:color="000000" w:sz="4" w:space="0"/>
              <w:right w:val="nil"/>
            </w:tcBorders>
            <w:noWrap w:val="0"/>
            <w:vAlign w:val="center"/>
          </w:tcPr>
          <w:p w14:paraId="242BFCF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306927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4574C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B5316F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59</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B3D3BD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移液管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E86CEA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5mL，透明硼硅酸盐玻璃制</w:t>
            </w:r>
          </w:p>
        </w:tc>
        <w:tc>
          <w:tcPr>
            <w:tcW w:w="315" w:type="pct"/>
            <w:tcBorders>
              <w:top w:val="single" w:color="000000" w:sz="4" w:space="0"/>
              <w:left w:val="single" w:color="000000" w:sz="4" w:space="0"/>
              <w:bottom w:val="single" w:color="000000" w:sz="4" w:space="0"/>
              <w:right w:val="nil"/>
            </w:tcBorders>
            <w:noWrap w:val="0"/>
            <w:vAlign w:val="center"/>
          </w:tcPr>
          <w:p w14:paraId="6AFB1A1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58D640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41C08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E8F19C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33289D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移液管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0DD7DC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25mL，透明硼硅酸盐玻璃制</w:t>
            </w:r>
          </w:p>
        </w:tc>
        <w:tc>
          <w:tcPr>
            <w:tcW w:w="315" w:type="pct"/>
            <w:tcBorders>
              <w:top w:val="single" w:color="000000" w:sz="4" w:space="0"/>
              <w:left w:val="single" w:color="000000" w:sz="4" w:space="0"/>
              <w:bottom w:val="single" w:color="000000" w:sz="4" w:space="0"/>
              <w:right w:val="nil"/>
            </w:tcBorders>
            <w:noWrap w:val="0"/>
            <w:vAlign w:val="center"/>
          </w:tcPr>
          <w:p w14:paraId="581799A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483BF3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7E269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707E20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0BB58F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试管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538BC57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Φ12mm×75mm，透明硼硅酸盐玻璃制</w:t>
            </w:r>
          </w:p>
        </w:tc>
        <w:tc>
          <w:tcPr>
            <w:tcW w:w="315" w:type="pct"/>
            <w:tcBorders>
              <w:top w:val="single" w:color="000000" w:sz="4" w:space="0"/>
              <w:left w:val="single" w:color="000000" w:sz="4" w:space="0"/>
              <w:bottom w:val="single" w:color="000000" w:sz="4" w:space="0"/>
              <w:right w:val="nil"/>
            </w:tcBorders>
            <w:noWrap w:val="0"/>
            <w:vAlign w:val="center"/>
          </w:tcPr>
          <w:p w14:paraId="53F8A17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94A3F4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w:t>
            </w:r>
          </w:p>
        </w:tc>
      </w:tr>
      <w:tr w14:paraId="5751E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5ACEE8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62</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B0FCE1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试管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333312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Φ15mm×150mm，透明硼硅酸盐玻璃制</w:t>
            </w:r>
          </w:p>
        </w:tc>
        <w:tc>
          <w:tcPr>
            <w:tcW w:w="315" w:type="pct"/>
            <w:tcBorders>
              <w:top w:val="single" w:color="000000" w:sz="4" w:space="0"/>
              <w:left w:val="single" w:color="000000" w:sz="4" w:space="0"/>
              <w:bottom w:val="single" w:color="000000" w:sz="4" w:space="0"/>
              <w:right w:val="nil"/>
            </w:tcBorders>
            <w:noWrap w:val="0"/>
            <w:vAlign w:val="center"/>
          </w:tcPr>
          <w:p w14:paraId="163BF03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D40755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w:t>
            </w:r>
          </w:p>
        </w:tc>
      </w:tr>
      <w:tr w14:paraId="088B0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39DB06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0B2A6C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试管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EFD53A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Φ18mm×180mm，透明硼硅酸盐玻璃制</w:t>
            </w:r>
          </w:p>
        </w:tc>
        <w:tc>
          <w:tcPr>
            <w:tcW w:w="315" w:type="pct"/>
            <w:tcBorders>
              <w:top w:val="single" w:color="000000" w:sz="4" w:space="0"/>
              <w:left w:val="single" w:color="000000" w:sz="4" w:space="0"/>
              <w:bottom w:val="single" w:color="000000" w:sz="4" w:space="0"/>
              <w:right w:val="nil"/>
            </w:tcBorders>
            <w:noWrap w:val="0"/>
            <w:vAlign w:val="center"/>
          </w:tcPr>
          <w:p w14:paraId="7925AEA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A9AE17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75</w:t>
            </w:r>
          </w:p>
        </w:tc>
      </w:tr>
      <w:tr w14:paraId="700D1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5A24AE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7B3AB8F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试管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70DFAC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Φ20mm×200mm，透明硼硅酸盐玻璃制</w:t>
            </w:r>
          </w:p>
        </w:tc>
        <w:tc>
          <w:tcPr>
            <w:tcW w:w="315" w:type="pct"/>
            <w:tcBorders>
              <w:top w:val="single" w:color="000000" w:sz="4" w:space="0"/>
              <w:left w:val="single" w:color="000000" w:sz="4" w:space="0"/>
              <w:bottom w:val="single" w:color="000000" w:sz="4" w:space="0"/>
              <w:right w:val="nil"/>
            </w:tcBorders>
            <w:noWrap w:val="0"/>
            <w:vAlign w:val="center"/>
          </w:tcPr>
          <w:p w14:paraId="36C0F45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3CC8C2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75</w:t>
            </w:r>
          </w:p>
        </w:tc>
      </w:tr>
      <w:tr w14:paraId="657BF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3D3C9B5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BB7311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试管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AFD6C9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Φ32mm×200mm，透明硼硅酸盐玻璃制</w:t>
            </w:r>
          </w:p>
        </w:tc>
        <w:tc>
          <w:tcPr>
            <w:tcW w:w="315" w:type="pct"/>
            <w:tcBorders>
              <w:top w:val="single" w:color="000000" w:sz="4" w:space="0"/>
              <w:left w:val="single" w:color="000000" w:sz="4" w:space="0"/>
              <w:bottom w:val="single" w:color="000000" w:sz="4" w:space="0"/>
              <w:right w:val="nil"/>
            </w:tcBorders>
            <w:noWrap w:val="0"/>
            <w:vAlign w:val="center"/>
          </w:tcPr>
          <w:p w14:paraId="27BE022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7CEA8B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30</w:t>
            </w:r>
          </w:p>
        </w:tc>
      </w:tr>
      <w:tr w14:paraId="6BC93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30D5543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66</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1E2086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试管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4D3900B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Φ40mm×200mm，透明硼硅酸盐玻璃制</w:t>
            </w:r>
          </w:p>
        </w:tc>
        <w:tc>
          <w:tcPr>
            <w:tcW w:w="315" w:type="pct"/>
            <w:tcBorders>
              <w:top w:val="single" w:color="000000" w:sz="4" w:space="0"/>
              <w:left w:val="single" w:color="000000" w:sz="4" w:space="0"/>
              <w:bottom w:val="single" w:color="000000" w:sz="4" w:space="0"/>
              <w:right w:val="nil"/>
            </w:tcBorders>
            <w:noWrap w:val="0"/>
            <w:vAlign w:val="center"/>
          </w:tcPr>
          <w:p w14:paraId="6F4D8F2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851DA8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30</w:t>
            </w:r>
          </w:p>
        </w:tc>
      </w:tr>
      <w:tr w14:paraId="4081E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B16E26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67</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87CD73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口部具支试管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DDA388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Φ18mm×180mm，透明硼硅酸盐玻璃制，管底厚薄应均匀，支管连接应平滑牢固，不应有偏歪</w:t>
            </w:r>
          </w:p>
        </w:tc>
        <w:tc>
          <w:tcPr>
            <w:tcW w:w="315" w:type="pct"/>
            <w:tcBorders>
              <w:top w:val="single" w:color="000000" w:sz="4" w:space="0"/>
              <w:left w:val="single" w:color="000000" w:sz="4" w:space="0"/>
              <w:bottom w:val="single" w:color="000000" w:sz="4" w:space="0"/>
              <w:right w:val="nil"/>
            </w:tcBorders>
            <w:noWrap w:val="0"/>
            <w:vAlign w:val="center"/>
          </w:tcPr>
          <w:p w14:paraId="293D6ED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169579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w:t>
            </w:r>
          </w:p>
        </w:tc>
      </w:tr>
      <w:tr w14:paraId="6D6A9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D8988A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68</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665DCB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口部具支试管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4E4BC71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Φ25mm×200mm，透明硼硅酸盐玻璃制，管底厚薄应均匀，支管连接应平滑牢固，不应有偏歪</w:t>
            </w:r>
          </w:p>
        </w:tc>
        <w:tc>
          <w:tcPr>
            <w:tcW w:w="315" w:type="pct"/>
            <w:tcBorders>
              <w:top w:val="single" w:color="000000" w:sz="4" w:space="0"/>
              <w:left w:val="single" w:color="000000" w:sz="4" w:space="0"/>
              <w:bottom w:val="single" w:color="000000" w:sz="4" w:space="0"/>
              <w:right w:val="nil"/>
            </w:tcBorders>
            <w:noWrap w:val="0"/>
            <w:vAlign w:val="center"/>
          </w:tcPr>
          <w:p w14:paraId="519B0AA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32A0D8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w:t>
            </w:r>
          </w:p>
        </w:tc>
      </w:tr>
      <w:tr w14:paraId="6848E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AE2ACD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69</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B23484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硬质玻璃管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4E9752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Φ15mm×150mm，透明硼硅酸盐玻璃制，耐热温度≥800℃,试管两端口部应卷口</w:t>
            </w:r>
          </w:p>
        </w:tc>
        <w:tc>
          <w:tcPr>
            <w:tcW w:w="315" w:type="pct"/>
            <w:tcBorders>
              <w:top w:val="single" w:color="000000" w:sz="4" w:space="0"/>
              <w:left w:val="single" w:color="000000" w:sz="4" w:space="0"/>
              <w:bottom w:val="single" w:color="000000" w:sz="4" w:space="0"/>
              <w:right w:val="nil"/>
            </w:tcBorders>
            <w:noWrap w:val="0"/>
            <w:vAlign w:val="center"/>
          </w:tcPr>
          <w:p w14:paraId="02B40FC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09E3BD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30</w:t>
            </w:r>
          </w:p>
        </w:tc>
      </w:tr>
      <w:tr w14:paraId="3EC8B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195842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70</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EE4A11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硬质玻璃管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58464BF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Φ20mm×250mm，透明硼硅酸盐玻璃制，耐热温度≥800℃,试管两端口部应卷口</w:t>
            </w:r>
          </w:p>
        </w:tc>
        <w:tc>
          <w:tcPr>
            <w:tcW w:w="315" w:type="pct"/>
            <w:tcBorders>
              <w:top w:val="single" w:color="000000" w:sz="4" w:space="0"/>
              <w:left w:val="single" w:color="000000" w:sz="4" w:space="0"/>
              <w:bottom w:val="single" w:color="000000" w:sz="4" w:space="0"/>
              <w:right w:val="nil"/>
            </w:tcBorders>
            <w:noWrap w:val="0"/>
            <w:vAlign w:val="center"/>
          </w:tcPr>
          <w:p w14:paraId="60ABEA7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6B81B4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w:t>
            </w:r>
          </w:p>
        </w:tc>
      </w:tr>
      <w:tr w14:paraId="694C7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AAB16E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87146D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烧杯</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000E06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5mL，透明硼硅酸盐玻璃制，烧杯的满口容量应超过标称容量的10%或烧杯的满口容量和标称容量的两液面间距不应少于10mm，并应采用容量差值较大的一种</w:t>
            </w:r>
          </w:p>
        </w:tc>
        <w:tc>
          <w:tcPr>
            <w:tcW w:w="315" w:type="pct"/>
            <w:tcBorders>
              <w:top w:val="single" w:color="000000" w:sz="4" w:space="0"/>
              <w:left w:val="single" w:color="000000" w:sz="4" w:space="0"/>
              <w:bottom w:val="single" w:color="000000" w:sz="4" w:space="0"/>
              <w:right w:val="nil"/>
            </w:tcBorders>
            <w:noWrap w:val="0"/>
            <w:vAlign w:val="center"/>
          </w:tcPr>
          <w:p w14:paraId="718427F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8CDCE9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744A4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B44704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72</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FB6022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烧杯</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4244F0B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10mL，透明硼硅酸盐玻璃制，烧杯的满口容量应超过标称容量的10%或烧杯的满口容量和标称容量的两液面间距不应少于10mm，并应采用容量差值较大的一种</w:t>
            </w:r>
          </w:p>
        </w:tc>
        <w:tc>
          <w:tcPr>
            <w:tcW w:w="315" w:type="pct"/>
            <w:tcBorders>
              <w:top w:val="single" w:color="000000" w:sz="4" w:space="0"/>
              <w:left w:val="single" w:color="000000" w:sz="4" w:space="0"/>
              <w:bottom w:val="single" w:color="000000" w:sz="4" w:space="0"/>
              <w:right w:val="nil"/>
            </w:tcBorders>
            <w:noWrap w:val="0"/>
            <w:vAlign w:val="center"/>
          </w:tcPr>
          <w:p w14:paraId="26F079E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B31050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153EA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162525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00E4C5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烧杯</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467F0B1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25mL，透明硼硅酸盐玻璃制，烧杯的满口容量应超过标称容量的10%或烧杯的满口容量和标称容量的两液面间距不应少于10mm，并应采用容量差值较大的一种</w:t>
            </w:r>
          </w:p>
        </w:tc>
        <w:tc>
          <w:tcPr>
            <w:tcW w:w="315" w:type="pct"/>
            <w:tcBorders>
              <w:top w:val="single" w:color="000000" w:sz="4" w:space="0"/>
              <w:left w:val="single" w:color="000000" w:sz="4" w:space="0"/>
              <w:bottom w:val="single" w:color="000000" w:sz="4" w:space="0"/>
              <w:right w:val="nil"/>
            </w:tcBorders>
            <w:noWrap w:val="0"/>
            <w:vAlign w:val="center"/>
          </w:tcPr>
          <w:p w14:paraId="3515946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F11153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r>
      <w:tr w14:paraId="4AC33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DBF4A2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EF69A5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烧杯</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8271B8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50mL，透明硼硅酸盐玻璃制，烧杯的满口容量应超过标称容量的10%或烧杯的满口容量和标称容量的两液面间距不应少于10mm，并应采用容量差值较大的一种</w:t>
            </w:r>
          </w:p>
        </w:tc>
        <w:tc>
          <w:tcPr>
            <w:tcW w:w="315" w:type="pct"/>
            <w:tcBorders>
              <w:top w:val="single" w:color="000000" w:sz="4" w:space="0"/>
              <w:left w:val="single" w:color="000000" w:sz="4" w:space="0"/>
              <w:bottom w:val="single" w:color="000000" w:sz="4" w:space="0"/>
              <w:right w:val="nil"/>
            </w:tcBorders>
            <w:noWrap w:val="0"/>
            <w:vAlign w:val="center"/>
          </w:tcPr>
          <w:p w14:paraId="0E98E55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81EB9B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631C5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31B923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D47132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烧杯</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7B8247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100mL，透明硼硅酸盐玻璃制，烧杯的满口容量应超过标称容量的10%或烧杯的满口容量和标称容量的两液面间距不应少于10mm，并应采用容量差值较大的一种</w:t>
            </w:r>
          </w:p>
        </w:tc>
        <w:tc>
          <w:tcPr>
            <w:tcW w:w="315" w:type="pct"/>
            <w:tcBorders>
              <w:top w:val="single" w:color="000000" w:sz="4" w:space="0"/>
              <w:left w:val="single" w:color="000000" w:sz="4" w:space="0"/>
              <w:bottom w:val="single" w:color="000000" w:sz="4" w:space="0"/>
              <w:right w:val="nil"/>
            </w:tcBorders>
            <w:noWrap w:val="0"/>
            <w:vAlign w:val="center"/>
          </w:tcPr>
          <w:p w14:paraId="08B9520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057F35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r>
      <w:tr w14:paraId="31D8A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27938F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76</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545A888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烧杯</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543ABB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250mL，透明硼硅酸盐玻璃制，烧杯的满口容量应超过标称容量的10%或烧杯的满口容量和标称容量的两液面间距不应少于10mm，并应采用容量差值较大的一种</w:t>
            </w:r>
          </w:p>
        </w:tc>
        <w:tc>
          <w:tcPr>
            <w:tcW w:w="315" w:type="pct"/>
            <w:tcBorders>
              <w:top w:val="single" w:color="000000" w:sz="4" w:space="0"/>
              <w:left w:val="single" w:color="000000" w:sz="4" w:space="0"/>
              <w:bottom w:val="single" w:color="000000" w:sz="4" w:space="0"/>
              <w:right w:val="nil"/>
            </w:tcBorders>
            <w:noWrap w:val="0"/>
            <w:vAlign w:val="center"/>
          </w:tcPr>
          <w:p w14:paraId="57249B8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528CD3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r>
      <w:tr w14:paraId="42CD2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D2E2FB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77</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7D4D71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烧杯</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6E93A8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500mL，透明硼硅酸盐玻璃制，烧杯的满口容量应超过标称容量的10%或烧杯的满口容量和标称容量的两液面间距不应少于10mm，并应采用容量差值较大的一种</w:t>
            </w:r>
          </w:p>
        </w:tc>
        <w:tc>
          <w:tcPr>
            <w:tcW w:w="315" w:type="pct"/>
            <w:tcBorders>
              <w:top w:val="single" w:color="000000" w:sz="4" w:space="0"/>
              <w:left w:val="single" w:color="000000" w:sz="4" w:space="0"/>
              <w:bottom w:val="single" w:color="000000" w:sz="4" w:space="0"/>
              <w:right w:val="nil"/>
            </w:tcBorders>
            <w:noWrap w:val="0"/>
            <w:vAlign w:val="center"/>
          </w:tcPr>
          <w:p w14:paraId="108020B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62B4BE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w:t>
            </w:r>
          </w:p>
        </w:tc>
      </w:tr>
      <w:tr w14:paraId="6B548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F60B05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78</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7767B20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烧杯</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843515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1000mL，透明硼硅酸盐玻璃制，烧杯的满口容量应超过标称容量的10%或烧杯的满口容量和标称容量的两液面间距不应少于10mm，并应采用容量差值较大的一种</w:t>
            </w:r>
          </w:p>
        </w:tc>
        <w:tc>
          <w:tcPr>
            <w:tcW w:w="315" w:type="pct"/>
            <w:tcBorders>
              <w:top w:val="single" w:color="000000" w:sz="4" w:space="0"/>
              <w:left w:val="single" w:color="000000" w:sz="4" w:space="0"/>
              <w:bottom w:val="single" w:color="000000" w:sz="4" w:space="0"/>
              <w:right w:val="nil"/>
            </w:tcBorders>
            <w:noWrap w:val="0"/>
            <w:vAlign w:val="center"/>
          </w:tcPr>
          <w:p w14:paraId="7C455FF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A53A3E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r>
      <w:tr w14:paraId="55B79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C53CED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79</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52BF2B5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烧瓶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5355C42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圆底、长颈，250mL，透明硼硅酸盐玻璃制，玻璃薄厚均匀，底部应规整</w:t>
            </w:r>
          </w:p>
        </w:tc>
        <w:tc>
          <w:tcPr>
            <w:tcW w:w="315" w:type="pct"/>
            <w:tcBorders>
              <w:top w:val="single" w:color="000000" w:sz="4" w:space="0"/>
              <w:left w:val="single" w:color="000000" w:sz="4" w:space="0"/>
              <w:bottom w:val="single" w:color="000000" w:sz="4" w:space="0"/>
              <w:right w:val="nil"/>
            </w:tcBorders>
            <w:noWrap w:val="0"/>
            <w:vAlign w:val="center"/>
          </w:tcPr>
          <w:p w14:paraId="276CF43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6DC0E7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7CE40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946564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80</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B6CAF4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烧瓶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44ACC60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圆底，短颈，厚口250mL，透明硼硅酸盐玻璃制，玻璃薄厚均匀，底部应规整</w:t>
            </w:r>
          </w:p>
        </w:tc>
        <w:tc>
          <w:tcPr>
            <w:tcW w:w="315" w:type="pct"/>
            <w:tcBorders>
              <w:top w:val="single" w:color="000000" w:sz="4" w:space="0"/>
              <w:left w:val="single" w:color="000000" w:sz="4" w:space="0"/>
              <w:bottom w:val="single" w:color="000000" w:sz="4" w:space="0"/>
              <w:right w:val="nil"/>
            </w:tcBorders>
            <w:noWrap w:val="0"/>
            <w:vAlign w:val="center"/>
          </w:tcPr>
          <w:p w14:paraId="4B831BD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1AA138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w:t>
            </w:r>
          </w:p>
        </w:tc>
      </w:tr>
      <w:tr w14:paraId="70A72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D1D868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7FE171D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烧瓶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06FCD5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圆底，长颈，500mL，透明硼硅酸盐玻璃制，玻璃薄厚均匀，底部应规整</w:t>
            </w:r>
          </w:p>
        </w:tc>
        <w:tc>
          <w:tcPr>
            <w:tcW w:w="315" w:type="pct"/>
            <w:tcBorders>
              <w:top w:val="single" w:color="000000" w:sz="4" w:space="0"/>
              <w:left w:val="single" w:color="000000" w:sz="4" w:space="0"/>
              <w:bottom w:val="single" w:color="000000" w:sz="4" w:space="0"/>
              <w:right w:val="nil"/>
            </w:tcBorders>
            <w:noWrap w:val="0"/>
            <w:vAlign w:val="center"/>
          </w:tcPr>
          <w:p w14:paraId="6911053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5AD946A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191A1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6927C5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82</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5EC10FA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烧瓶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754431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平底、长颈，250mL，透明硼硅酸盐玻璃制，平底烧瓶底部应平整，放在平台上应直立不摇晃</w:t>
            </w:r>
          </w:p>
        </w:tc>
        <w:tc>
          <w:tcPr>
            <w:tcW w:w="315" w:type="pct"/>
            <w:tcBorders>
              <w:top w:val="single" w:color="000000" w:sz="4" w:space="0"/>
              <w:left w:val="single" w:color="000000" w:sz="4" w:space="0"/>
              <w:bottom w:val="single" w:color="000000" w:sz="4" w:space="0"/>
              <w:right w:val="nil"/>
            </w:tcBorders>
            <w:noWrap w:val="0"/>
            <w:vAlign w:val="center"/>
          </w:tcPr>
          <w:p w14:paraId="05809DF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C5BF01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r>
      <w:tr w14:paraId="447E4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7747A5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A987E6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锥形瓶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93F2D7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100mL，透明硼硅酸盐玻璃制，放在平台上应直立不摇晃</w:t>
            </w:r>
          </w:p>
        </w:tc>
        <w:tc>
          <w:tcPr>
            <w:tcW w:w="315" w:type="pct"/>
            <w:tcBorders>
              <w:top w:val="single" w:color="000000" w:sz="4" w:space="0"/>
              <w:left w:val="single" w:color="000000" w:sz="4" w:space="0"/>
              <w:bottom w:val="single" w:color="000000" w:sz="4" w:space="0"/>
              <w:right w:val="nil"/>
            </w:tcBorders>
            <w:noWrap w:val="0"/>
            <w:vAlign w:val="center"/>
          </w:tcPr>
          <w:p w14:paraId="189F34D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B33708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08D3A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36D2B0F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23EFAF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锥形瓶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E6D1EF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250mL，透明硼硅酸盐玻璃制，放在平台上应直立不摇晃</w:t>
            </w:r>
          </w:p>
        </w:tc>
        <w:tc>
          <w:tcPr>
            <w:tcW w:w="315" w:type="pct"/>
            <w:tcBorders>
              <w:top w:val="single" w:color="000000" w:sz="4" w:space="0"/>
              <w:left w:val="single" w:color="000000" w:sz="4" w:space="0"/>
              <w:bottom w:val="single" w:color="000000" w:sz="4" w:space="0"/>
              <w:right w:val="nil"/>
            </w:tcBorders>
            <w:noWrap w:val="0"/>
            <w:vAlign w:val="center"/>
          </w:tcPr>
          <w:p w14:paraId="3E55C6D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46D3F0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w:t>
            </w:r>
          </w:p>
        </w:tc>
      </w:tr>
      <w:tr w14:paraId="42274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FD1CE1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057F22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蒸馏烧瓶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D2A5B6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250mL，透明硼硅酸盐玻璃制，烧瓶的颈部同一截面应该呈圆形，颈的口部不应呈锥形，并适当提高强度</w:t>
            </w:r>
          </w:p>
        </w:tc>
        <w:tc>
          <w:tcPr>
            <w:tcW w:w="315" w:type="pct"/>
            <w:tcBorders>
              <w:top w:val="single" w:color="000000" w:sz="4" w:space="0"/>
              <w:left w:val="single" w:color="000000" w:sz="4" w:space="0"/>
              <w:bottom w:val="single" w:color="000000" w:sz="4" w:space="0"/>
              <w:right w:val="nil"/>
            </w:tcBorders>
            <w:noWrap w:val="0"/>
            <w:vAlign w:val="center"/>
          </w:tcPr>
          <w:p w14:paraId="5BFE810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66FF81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3628F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5F1A36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86</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E132C4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三口烧瓶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5CD74F5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250mL，透明硼硅酸盐玻璃制</w:t>
            </w:r>
          </w:p>
        </w:tc>
        <w:tc>
          <w:tcPr>
            <w:tcW w:w="315" w:type="pct"/>
            <w:tcBorders>
              <w:top w:val="single" w:color="000000" w:sz="4" w:space="0"/>
              <w:left w:val="single" w:color="000000" w:sz="4" w:space="0"/>
              <w:bottom w:val="single" w:color="000000" w:sz="4" w:space="0"/>
              <w:right w:val="nil"/>
            </w:tcBorders>
            <w:noWrap w:val="0"/>
            <w:vAlign w:val="center"/>
          </w:tcPr>
          <w:p w14:paraId="40957F0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477C2B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r>
      <w:tr w14:paraId="78CB8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393E24F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87</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F0B7BB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集气瓶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165006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125mL，透明钠钙玻璃制，磨砂面应均匀地覆盖瓶口端面与盖板，磨砂面不应有光斑；盖板四角应倒角，四边应磨光盖板与瓶口密合性应符合：盖板与瓶口充分湿润盖合后，倒提瓶体盖板在瓶口上保持30s不脱落</w:t>
            </w:r>
          </w:p>
        </w:tc>
        <w:tc>
          <w:tcPr>
            <w:tcW w:w="315" w:type="pct"/>
            <w:tcBorders>
              <w:top w:val="single" w:color="000000" w:sz="4" w:space="0"/>
              <w:left w:val="single" w:color="000000" w:sz="4" w:space="0"/>
              <w:bottom w:val="single" w:color="000000" w:sz="4" w:space="0"/>
              <w:right w:val="nil"/>
            </w:tcBorders>
            <w:noWrap w:val="0"/>
            <w:vAlign w:val="center"/>
          </w:tcPr>
          <w:p w14:paraId="40AECC8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1EA45F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75</w:t>
            </w:r>
          </w:p>
        </w:tc>
      </w:tr>
      <w:tr w14:paraId="57174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06B354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88</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282196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集气瓶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581EEB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250mL，透明钠钙玻璃制，磨砂面应均匀地覆盖瓶口端面与盖板，磨砂面不应有光斑；盖板四角应倒角，四边应磨光盖板与瓶口密合性应符合：盖板与瓶口充分湿润盖合后，倒提瓶体盖板在瓶口上保持30s不脱落</w:t>
            </w:r>
          </w:p>
        </w:tc>
        <w:tc>
          <w:tcPr>
            <w:tcW w:w="315" w:type="pct"/>
            <w:tcBorders>
              <w:top w:val="single" w:color="000000" w:sz="4" w:space="0"/>
              <w:left w:val="single" w:color="000000" w:sz="4" w:space="0"/>
              <w:bottom w:val="single" w:color="000000" w:sz="4" w:space="0"/>
              <w:right w:val="nil"/>
            </w:tcBorders>
            <w:noWrap w:val="0"/>
            <w:vAlign w:val="center"/>
          </w:tcPr>
          <w:p w14:paraId="6811EA7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8AE0AD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w:t>
            </w:r>
          </w:p>
        </w:tc>
      </w:tr>
      <w:tr w14:paraId="185BF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D8EBEB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89</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8E1B26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集气瓶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D64C66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500mL，透明钠钙玻璃制，磨砂面应均匀地覆盖瓶口端面与盖板，磨砂面不应有光斑；盖板四角应倒角，四边应磨光盖板与瓶口密合性应符合：盖板与瓶口充分湿润盖合后，倒提瓶体盖板在瓶口上保持30s不脱落</w:t>
            </w:r>
          </w:p>
        </w:tc>
        <w:tc>
          <w:tcPr>
            <w:tcW w:w="315" w:type="pct"/>
            <w:tcBorders>
              <w:top w:val="single" w:color="000000" w:sz="4" w:space="0"/>
              <w:left w:val="single" w:color="000000" w:sz="4" w:space="0"/>
              <w:bottom w:val="single" w:color="000000" w:sz="4" w:space="0"/>
              <w:right w:val="nil"/>
            </w:tcBorders>
            <w:noWrap w:val="0"/>
            <w:vAlign w:val="center"/>
          </w:tcPr>
          <w:p w14:paraId="7B91D6B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71D523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r>
      <w:tr w14:paraId="1AABE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84B832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90</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3C8D90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液封除毒气集气瓶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56FFC85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250mL，瓶口光滑，液封口深度≥1cm</w:t>
            </w:r>
          </w:p>
        </w:tc>
        <w:tc>
          <w:tcPr>
            <w:tcW w:w="315" w:type="pct"/>
            <w:tcBorders>
              <w:top w:val="single" w:color="000000" w:sz="4" w:space="0"/>
              <w:left w:val="single" w:color="000000" w:sz="4" w:space="0"/>
              <w:bottom w:val="single" w:color="000000" w:sz="4" w:space="0"/>
              <w:right w:val="nil"/>
            </w:tcBorders>
            <w:noWrap w:val="0"/>
            <w:vAlign w:val="center"/>
          </w:tcPr>
          <w:p w14:paraId="0E1005D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5FED7EA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r>
      <w:tr w14:paraId="36355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416F53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55EA91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广口瓶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412EEFA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60mL，透明钠钙玻璃制，瓶塞与瓶口紧实，不晃动；口部应圆整光滑，底部应平整，放置平台上不应摇晃</w:t>
            </w:r>
          </w:p>
        </w:tc>
        <w:tc>
          <w:tcPr>
            <w:tcW w:w="315" w:type="pct"/>
            <w:tcBorders>
              <w:top w:val="single" w:color="000000" w:sz="4" w:space="0"/>
              <w:left w:val="single" w:color="000000" w:sz="4" w:space="0"/>
              <w:bottom w:val="single" w:color="000000" w:sz="4" w:space="0"/>
              <w:right w:val="nil"/>
            </w:tcBorders>
            <w:noWrap w:val="0"/>
            <w:vAlign w:val="center"/>
          </w:tcPr>
          <w:p w14:paraId="6BAD90A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AD3407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350</w:t>
            </w:r>
          </w:p>
        </w:tc>
      </w:tr>
      <w:tr w14:paraId="116D0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4A80FF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92</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1D0700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广口瓶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683296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125mL，透明钠钙玻璃制，瓶塞与瓶口紧实，不晃动；口部应圆整光滑，底部应平整，放置平台上不应摇晃</w:t>
            </w:r>
          </w:p>
        </w:tc>
        <w:tc>
          <w:tcPr>
            <w:tcW w:w="315" w:type="pct"/>
            <w:tcBorders>
              <w:top w:val="single" w:color="000000" w:sz="4" w:space="0"/>
              <w:left w:val="single" w:color="000000" w:sz="4" w:space="0"/>
              <w:bottom w:val="single" w:color="000000" w:sz="4" w:space="0"/>
              <w:right w:val="nil"/>
            </w:tcBorders>
            <w:noWrap w:val="0"/>
            <w:vAlign w:val="center"/>
          </w:tcPr>
          <w:p w14:paraId="11C865B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792F96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r>
      <w:tr w14:paraId="34069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2768D0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6625B8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广口瓶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563901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250mL，透明钠钙玻璃制，瓶塞与瓶口紧实，不晃动；口部应圆整光滑，底部应平整，放置平台上不应摇晃</w:t>
            </w:r>
          </w:p>
        </w:tc>
        <w:tc>
          <w:tcPr>
            <w:tcW w:w="315" w:type="pct"/>
            <w:tcBorders>
              <w:top w:val="single" w:color="000000" w:sz="4" w:space="0"/>
              <w:left w:val="single" w:color="000000" w:sz="4" w:space="0"/>
              <w:bottom w:val="single" w:color="000000" w:sz="4" w:space="0"/>
              <w:right w:val="nil"/>
            </w:tcBorders>
            <w:noWrap w:val="0"/>
            <w:vAlign w:val="center"/>
          </w:tcPr>
          <w:p w14:paraId="695390D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3B2FB2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30</w:t>
            </w:r>
          </w:p>
        </w:tc>
      </w:tr>
      <w:tr w14:paraId="1C8CC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389BAF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7FE8DB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广口瓶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61BC74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500mL，透明钠钙玻璃制，瓶塞与瓶口紧实，不晃动；口部应圆整光滑，底部应平整，放置平台上不应摇晃</w:t>
            </w:r>
          </w:p>
        </w:tc>
        <w:tc>
          <w:tcPr>
            <w:tcW w:w="315" w:type="pct"/>
            <w:tcBorders>
              <w:top w:val="single" w:color="000000" w:sz="4" w:space="0"/>
              <w:left w:val="single" w:color="000000" w:sz="4" w:space="0"/>
              <w:bottom w:val="single" w:color="000000" w:sz="4" w:space="0"/>
              <w:right w:val="nil"/>
            </w:tcBorders>
            <w:noWrap w:val="0"/>
            <w:vAlign w:val="center"/>
          </w:tcPr>
          <w:p w14:paraId="1D6DCDD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541C657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r>
      <w:tr w14:paraId="19F7B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943784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FDA5D6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茶色广口瓶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0C923F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60mL，黄棕色钠钙玻璃制，瓶塞与瓶口紧实，不晃动；口部应圆整光滑，底部应平整，放置平台上不应摇晃</w:t>
            </w:r>
          </w:p>
        </w:tc>
        <w:tc>
          <w:tcPr>
            <w:tcW w:w="315" w:type="pct"/>
            <w:tcBorders>
              <w:top w:val="single" w:color="000000" w:sz="4" w:space="0"/>
              <w:left w:val="single" w:color="000000" w:sz="4" w:space="0"/>
              <w:bottom w:val="single" w:color="000000" w:sz="4" w:space="0"/>
              <w:right w:val="nil"/>
            </w:tcBorders>
            <w:noWrap w:val="0"/>
            <w:vAlign w:val="center"/>
          </w:tcPr>
          <w:p w14:paraId="24933E8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DEF5AB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r>
      <w:tr w14:paraId="6BE94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87F196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96</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A1B7DD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茶色广口瓶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7098B3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125mL，黄棕色钠钙玻璃制，瓶塞与瓶口紧实，不晃动；口部应圆整光滑，底部应平整，放置平台上不应摇晃</w:t>
            </w:r>
          </w:p>
        </w:tc>
        <w:tc>
          <w:tcPr>
            <w:tcW w:w="315" w:type="pct"/>
            <w:tcBorders>
              <w:top w:val="single" w:color="000000" w:sz="4" w:space="0"/>
              <w:left w:val="single" w:color="000000" w:sz="4" w:space="0"/>
              <w:bottom w:val="single" w:color="000000" w:sz="4" w:space="0"/>
              <w:right w:val="nil"/>
            </w:tcBorders>
            <w:noWrap w:val="0"/>
            <w:vAlign w:val="center"/>
          </w:tcPr>
          <w:p w14:paraId="61FF758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752115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r>
      <w:tr w14:paraId="5C9D3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5E7494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97</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5A26943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茶色广口瓶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A00E48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250mL，黄棕色钠钙玻璃制，瓶塞与瓶口紧实，不晃动；口部应圆整光滑，底部应平整，放置平台上不应摇晃</w:t>
            </w:r>
          </w:p>
        </w:tc>
        <w:tc>
          <w:tcPr>
            <w:tcW w:w="315" w:type="pct"/>
            <w:tcBorders>
              <w:top w:val="single" w:color="000000" w:sz="4" w:space="0"/>
              <w:left w:val="single" w:color="000000" w:sz="4" w:space="0"/>
              <w:bottom w:val="single" w:color="000000" w:sz="4" w:space="0"/>
              <w:right w:val="nil"/>
            </w:tcBorders>
            <w:noWrap w:val="0"/>
            <w:vAlign w:val="center"/>
          </w:tcPr>
          <w:p w14:paraId="1CF6A55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74B41E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r>
      <w:tr w14:paraId="1B9DE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314A4F0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98</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E3255B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细口瓶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2390F9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60mL，透明钠钙玻璃制，瓶塞与瓶口紧实，不晃动；口部应圆整光滑，底部应平整，放置平台上不应摇晃</w:t>
            </w:r>
          </w:p>
        </w:tc>
        <w:tc>
          <w:tcPr>
            <w:tcW w:w="315" w:type="pct"/>
            <w:tcBorders>
              <w:top w:val="single" w:color="000000" w:sz="4" w:space="0"/>
              <w:left w:val="single" w:color="000000" w:sz="4" w:space="0"/>
              <w:bottom w:val="single" w:color="000000" w:sz="4" w:space="0"/>
              <w:right w:val="nil"/>
            </w:tcBorders>
            <w:noWrap w:val="0"/>
            <w:vAlign w:val="center"/>
          </w:tcPr>
          <w:p w14:paraId="150BDF6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5579ED7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r>
      <w:tr w14:paraId="70341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80B8C5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99</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28C228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细口瓶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3C8121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125mL，透明钠钙玻璃制，瓶塞与瓶口紧实，不晃动；口部应圆整光滑，底部应平整，放置平台上不应摇晃</w:t>
            </w:r>
          </w:p>
        </w:tc>
        <w:tc>
          <w:tcPr>
            <w:tcW w:w="315" w:type="pct"/>
            <w:tcBorders>
              <w:top w:val="single" w:color="000000" w:sz="4" w:space="0"/>
              <w:left w:val="single" w:color="000000" w:sz="4" w:space="0"/>
              <w:bottom w:val="single" w:color="000000" w:sz="4" w:space="0"/>
              <w:right w:val="nil"/>
            </w:tcBorders>
            <w:noWrap w:val="0"/>
            <w:vAlign w:val="center"/>
          </w:tcPr>
          <w:p w14:paraId="6F84C23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D81D7E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350</w:t>
            </w:r>
          </w:p>
        </w:tc>
      </w:tr>
      <w:tr w14:paraId="22E08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E7C4A3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6A2D31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细口瓶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8FA574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250mL，透明钠钙玻璃制，瓶塞与瓶口紧实，不晃动；口部应圆整光滑，底部应平整，放置平台上不应摇晃</w:t>
            </w:r>
          </w:p>
        </w:tc>
        <w:tc>
          <w:tcPr>
            <w:tcW w:w="315" w:type="pct"/>
            <w:tcBorders>
              <w:top w:val="single" w:color="000000" w:sz="4" w:space="0"/>
              <w:left w:val="single" w:color="000000" w:sz="4" w:space="0"/>
              <w:bottom w:val="single" w:color="000000" w:sz="4" w:space="0"/>
              <w:right w:val="nil"/>
            </w:tcBorders>
            <w:noWrap w:val="0"/>
            <w:vAlign w:val="center"/>
          </w:tcPr>
          <w:p w14:paraId="5E1915D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45AAB5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r>
      <w:tr w14:paraId="6F1C0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7B7C8A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730B5E8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细口瓶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82F7B9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500mL，透明钠钙玻璃制，瓶塞与瓶口紧实，不晃动；口部应圆整光滑，底部应平整，放置平台上不应摇晃</w:t>
            </w:r>
          </w:p>
        </w:tc>
        <w:tc>
          <w:tcPr>
            <w:tcW w:w="315" w:type="pct"/>
            <w:tcBorders>
              <w:top w:val="single" w:color="000000" w:sz="4" w:space="0"/>
              <w:left w:val="single" w:color="000000" w:sz="4" w:space="0"/>
              <w:bottom w:val="single" w:color="000000" w:sz="4" w:space="0"/>
              <w:right w:val="nil"/>
            </w:tcBorders>
            <w:noWrap w:val="0"/>
            <w:vAlign w:val="center"/>
          </w:tcPr>
          <w:p w14:paraId="447720A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72E784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w:t>
            </w:r>
          </w:p>
        </w:tc>
      </w:tr>
      <w:tr w14:paraId="5FA06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E9AE71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102</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86D25E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细口瓶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F74C02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1000mL，透明钠钙玻璃制，瓶塞与瓶口紧实，不晃动；口部应圆整光滑，底部应平整，放置平台上不应摇晃</w:t>
            </w:r>
          </w:p>
        </w:tc>
        <w:tc>
          <w:tcPr>
            <w:tcW w:w="315" w:type="pct"/>
            <w:tcBorders>
              <w:top w:val="single" w:color="000000" w:sz="4" w:space="0"/>
              <w:left w:val="single" w:color="000000" w:sz="4" w:space="0"/>
              <w:bottom w:val="single" w:color="000000" w:sz="4" w:space="0"/>
              <w:right w:val="nil"/>
            </w:tcBorders>
            <w:noWrap w:val="0"/>
            <w:vAlign w:val="center"/>
          </w:tcPr>
          <w:p w14:paraId="319751E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B214F2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w:t>
            </w:r>
          </w:p>
        </w:tc>
      </w:tr>
      <w:tr w14:paraId="5BB7F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560F78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C8B5A9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细口瓶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C3F56A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2500mL，透明钠钙玻璃制，瓶塞与瓶口紧实，不晃动；口部应圆整光滑，底部应平整，放置平台上不应摇晃</w:t>
            </w:r>
          </w:p>
        </w:tc>
        <w:tc>
          <w:tcPr>
            <w:tcW w:w="315" w:type="pct"/>
            <w:tcBorders>
              <w:top w:val="single" w:color="000000" w:sz="4" w:space="0"/>
              <w:left w:val="single" w:color="000000" w:sz="4" w:space="0"/>
              <w:bottom w:val="single" w:color="000000" w:sz="4" w:space="0"/>
              <w:right w:val="nil"/>
            </w:tcBorders>
            <w:noWrap w:val="0"/>
            <w:vAlign w:val="center"/>
          </w:tcPr>
          <w:p w14:paraId="77E83ED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53854DF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61F2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FC58F6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F23C90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茶色细口瓶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010416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60mL，黄棕色钠钙玻璃制，瓶塞与瓶口紧实，不晃动；口部应圆整光滑，底部应平整，放置平台上不应摇晃</w:t>
            </w:r>
          </w:p>
        </w:tc>
        <w:tc>
          <w:tcPr>
            <w:tcW w:w="315" w:type="pct"/>
            <w:tcBorders>
              <w:top w:val="single" w:color="000000" w:sz="4" w:space="0"/>
              <w:left w:val="single" w:color="000000" w:sz="4" w:space="0"/>
              <w:bottom w:val="single" w:color="000000" w:sz="4" w:space="0"/>
              <w:right w:val="nil"/>
            </w:tcBorders>
            <w:noWrap w:val="0"/>
            <w:vAlign w:val="center"/>
          </w:tcPr>
          <w:p w14:paraId="4D4BA6F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211360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r>
      <w:tr w14:paraId="37656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16B639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899E60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茶色细口瓶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4636BF2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125mL，黄棕色钠钙玻璃制，瓶塞与瓶口紧实，不晃动；口部应圆整光滑，底部应平整，放置平台上不应摇晃</w:t>
            </w:r>
          </w:p>
        </w:tc>
        <w:tc>
          <w:tcPr>
            <w:tcW w:w="315" w:type="pct"/>
            <w:tcBorders>
              <w:top w:val="single" w:color="000000" w:sz="4" w:space="0"/>
              <w:left w:val="single" w:color="000000" w:sz="4" w:space="0"/>
              <w:bottom w:val="single" w:color="000000" w:sz="4" w:space="0"/>
              <w:right w:val="nil"/>
            </w:tcBorders>
            <w:noWrap w:val="0"/>
            <w:vAlign w:val="center"/>
          </w:tcPr>
          <w:p w14:paraId="506D25F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BE8850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r>
      <w:tr w14:paraId="199EC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9D57A9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106</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2128AF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茶色细口瓶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CAA2BE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250mL，黄棕色钠钙玻璃制，瓶塞与瓶口紧实，不晃动；口部应圆整光滑，底部应平整，放置平台上不应摇晃</w:t>
            </w:r>
          </w:p>
        </w:tc>
        <w:tc>
          <w:tcPr>
            <w:tcW w:w="315" w:type="pct"/>
            <w:tcBorders>
              <w:top w:val="single" w:color="000000" w:sz="4" w:space="0"/>
              <w:left w:val="single" w:color="000000" w:sz="4" w:space="0"/>
              <w:bottom w:val="single" w:color="000000" w:sz="4" w:space="0"/>
              <w:right w:val="nil"/>
            </w:tcBorders>
            <w:noWrap w:val="0"/>
            <w:vAlign w:val="center"/>
          </w:tcPr>
          <w:p w14:paraId="6DAB976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D7E2FF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w:t>
            </w:r>
          </w:p>
        </w:tc>
      </w:tr>
      <w:tr w14:paraId="5A2FE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67FD46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107</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A33A97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茶色细口瓶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7CC333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500mL，黄棕色钠钙玻璃制，瓶塞与瓶口紧实，不晃动；口部应圆整光滑，底部应平整，放置平台上不应摇晃</w:t>
            </w:r>
          </w:p>
        </w:tc>
        <w:tc>
          <w:tcPr>
            <w:tcW w:w="315" w:type="pct"/>
            <w:tcBorders>
              <w:top w:val="single" w:color="000000" w:sz="4" w:space="0"/>
              <w:left w:val="single" w:color="000000" w:sz="4" w:space="0"/>
              <w:bottom w:val="single" w:color="000000" w:sz="4" w:space="0"/>
              <w:right w:val="nil"/>
            </w:tcBorders>
            <w:noWrap w:val="0"/>
            <w:vAlign w:val="center"/>
          </w:tcPr>
          <w:p w14:paraId="30AC3FC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546E7C8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7098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EAEF06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108</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981808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茶色细口瓶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5127BC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1000mL，黄棕色钠钙玻璃制，瓶塞与瓶口紧实，不晃动；口部应圆整光滑，底部应平整，放置平台上不应摇晃</w:t>
            </w:r>
          </w:p>
        </w:tc>
        <w:tc>
          <w:tcPr>
            <w:tcW w:w="315" w:type="pct"/>
            <w:tcBorders>
              <w:top w:val="single" w:color="000000" w:sz="4" w:space="0"/>
              <w:left w:val="single" w:color="000000" w:sz="4" w:space="0"/>
              <w:bottom w:val="single" w:color="000000" w:sz="4" w:space="0"/>
              <w:right w:val="nil"/>
            </w:tcBorders>
            <w:noWrap w:val="0"/>
            <w:vAlign w:val="center"/>
          </w:tcPr>
          <w:p w14:paraId="2A8FE2F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761C6D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E120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D4C6FA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109</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A1866C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茶色细口瓶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0D683F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2500mL，黄棕色钠钙玻璃制，瓶塞与瓶口紧实，不晃动；口部应圆整光滑，底部应平整，放置平台上不应摇晃</w:t>
            </w:r>
          </w:p>
        </w:tc>
        <w:tc>
          <w:tcPr>
            <w:tcW w:w="315" w:type="pct"/>
            <w:tcBorders>
              <w:top w:val="single" w:color="000000" w:sz="4" w:space="0"/>
              <w:left w:val="single" w:color="000000" w:sz="4" w:space="0"/>
              <w:bottom w:val="single" w:color="000000" w:sz="4" w:space="0"/>
              <w:right w:val="nil"/>
            </w:tcBorders>
            <w:noWrap w:val="0"/>
            <w:vAlign w:val="center"/>
          </w:tcPr>
          <w:p w14:paraId="320A4FD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C79C03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6648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5EAAC0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110</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2E90FB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下口瓶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DD5604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5000mL，透明钠钙玻璃制</w:t>
            </w:r>
          </w:p>
        </w:tc>
        <w:tc>
          <w:tcPr>
            <w:tcW w:w="315" w:type="pct"/>
            <w:tcBorders>
              <w:top w:val="single" w:color="000000" w:sz="4" w:space="0"/>
              <w:left w:val="single" w:color="000000" w:sz="4" w:space="0"/>
              <w:bottom w:val="single" w:color="000000" w:sz="4" w:space="0"/>
              <w:right w:val="nil"/>
            </w:tcBorders>
            <w:noWrap w:val="0"/>
            <w:vAlign w:val="center"/>
          </w:tcPr>
          <w:p w14:paraId="17D2EB1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8BC062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9749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386A071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93AA5C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滴瓶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A60101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30mL，透明钠钙玻璃制，瓶口细磨，磨砂面应均匀细腻，滴管应附橡胶帽，吸放弹性好，开口直径6mm，与滴管口套合牢固稳定</w:t>
            </w:r>
          </w:p>
        </w:tc>
        <w:tc>
          <w:tcPr>
            <w:tcW w:w="315" w:type="pct"/>
            <w:tcBorders>
              <w:top w:val="single" w:color="000000" w:sz="4" w:space="0"/>
              <w:left w:val="single" w:color="000000" w:sz="4" w:space="0"/>
              <w:bottom w:val="single" w:color="000000" w:sz="4" w:space="0"/>
              <w:right w:val="nil"/>
            </w:tcBorders>
            <w:noWrap w:val="0"/>
            <w:vAlign w:val="center"/>
          </w:tcPr>
          <w:p w14:paraId="68B02CE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EA048C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r>
      <w:tr w14:paraId="0CFBC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F9EFF0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112</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BA0CDB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滴瓶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875B85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60mL透明钠钙玻璃制，瓶口细磨，磨砂面应均匀细腻，滴管应附橡胶帽，吸放弹性好，开口直径6mm，与滴管口套合牢固稳定</w:t>
            </w:r>
          </w:p>
        </w:tc>
        <w:tc>
          <w:tcPr>
            <w:tcW w:w="315" w:type="pct"/>
            <w:tcBorders>
              <w:top w:val="single" w:color="000000" w:sz="4" w:space="0"/>
              <w:left w:val="single" w:color="000000" w:sz="4" w:space="0"/>
              <w:bottom w:val="single" w:color="000000" w:sz="4" w:space="0"/>
              <w:right w:val="nil"/>
            </w:tcBorders>
            <w:noWrap w:val="0"/>
            <w:vAlign w:val="center"/>
          </w:tcPr>
          <w:p w14:paraId="0DF8377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CFC47E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300</w:t>
            </w:r>
          </w:p>
        </w:tc>
      </w:tr>
      <w:tr w14:paraId="1AACA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FC35F2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9C18E9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茶色滴瓶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C68976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30mL，黄棕色钠钙玻璃制，瓶口细磨，磨砂面应均匀细腻，滴管应附橡胶帽，吸放弹性好，开口直径6mm，与滴管口套合牢固稳定</w:t>
            </w:r>
          </w:p>
        </w:tc>
        <w:tc>
          <w:tcPr>
            <w:tcW w:w="315" w:type="pct"/>
            <w:tcBorders>
              <w:top w:val="single" w:color="000000" w:sz="4" w:space="0"/>
              <w:left w:val="single" w:color="000000" w:sz="4" w:space="0"/>
              <w:bottom w:val="single" w:color="000000" w:sz="4" w:space="0"/>
              <w:right w:val="nil"/>
            </w:tcBorders>
            <w:noWrap w:val="0"/>
            <w:vAlign w:val="center"/>
          </w:tcPr>
          <w:p w14:paraId="12C5B9D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8C6D83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4AA42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FCF0F5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AC7814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茶色滴瓶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822F11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60mL，黄棕色钠钙玻璃制，瓶口细磨，磨砂面应均匀细腻，滴管应附橡胶帽，吸放弹性好，开口直径6mm，与滴管口套合牢固稳定</w:t>
            </w:r>
          </w:p>
        </w:tc>
        <w:tc>
          <w:tcPr>
            <w:tcW w:w="315" w:type="pct"/>
            <w:tcBorders>
              <w:top w:val="single" w:color="000000" w:sz="4" w:space="0"/>
              <w:left w:val="single" w:color="000000" w:sz="4" w:space="0"/>
              <w:bottom w:val="single" w:color="000000" w:sz="4" w:space="0"/>
              <w:right w:val="nil"/>
            </w:tcBorders>
            <w:noWrap w:val="0"/>
            <w:vAlign w:val="center"/>
          </w:tcPr>
          <w:p w14:paraId="7DB60F1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29B1D8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r>
      <w:tr w14:paraId="70C4D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D98F1D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A33C34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称量瓶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78E067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Φ25mm×40mm</w:t>
            </w:r>
          </w:p>
        </w:tc>
        <w:tc>
          <w:tcPr>
            <w:tcW w:w="315" w:type="pct"/>
            <w:tcBorders>
              <w:top w:val="single" w:color="000000" w:sz="4" w:space="0"/>
              <w:left w:val="single" w:color="000000" w:sz="4" w:space="0"/>
              <w:bottom w:val="single" w:color="000000" w:sz="4" w:space="0"/>
              <w:right w:val="nil"/>
            </w:tcBorders>
            <w:noWrap w:val="0"/>
            <w:vAlign w:val="center"/>
          </w:tcPr>
          <w:p w14:paraId="00E4DF3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A67BF1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74BFD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7DD4F4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116</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B9C0AE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酒精灯</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AD48E6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150mL，单头，透明钠钙玻璃制，无明显黄绿色。灯口应平整，瓷灯头与灯口平面间隙不应超过1.5mm。玻璃灯罩应磨口。瓷灯头应为白色，完全覆盖灯口，表面无缺陷。配置与灯口孔径相适应的整齐完整的棉线灯芯</w:t>
            </w:r>
          </w:p>
        </w:tc>
        <w:tc>
          <w:tcPr>
            <w:tcW w:w="315" w:type="pct"/>
            <w:tcBorders>
              <w:top w:val="single" w:color="000000" w:sz="4" w:space="0"/>
              <w:left w:val="single" w:color="000000" w:sz="4" w:space="0"/>
              <w:bottom w:val="single" w:color="000000" w:sz="4" w:space="0"/>
              <w:right w:val="nil"/>
            </w:tcBorders>
            <w:noWrap w:val="0"/>
            <w:vAlign w:val="center"/>
          </w:tcPr>
          <w:p w14:paraId="64D2F6D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430676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4E370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BC5C5D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117</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63EC6C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酒精灯</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C5E775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250mL，单头，透明钠钙玻璃制，无明显黄绿色。灯口应平整，瓷灯头与灯口平面间隙不应超过1.5mm。玻璃灯罩应磨口。瓷灯头应为白色，完全覆盖灯口，表面无缺陷。配置与灯口孔径相适应的整齐完整的棉线灯芯</w:t>
            </w:r>
          </w:p>
        </w:tc>
        <w:tc>
          <w:tcPr>
            <w:tcW w:w="315" w:type="pct"/>
            <w:tcBorders>
              <w:top w:val="single" w:color="000000" w:sz="4" w:space="0"/>
              <w:left w:val="single" w:color="000000" w:sz="4" w:space="0"/>
              <w:bottom w:val="single" w:color="000000" w:sz="4" w:space="0"/>
              <w:right w:val="nil"/>
            </w:tcBorders>
            <w:noWrap w:val="0"/>
            <w:vAlign w:val="center"/>
          </w:tcPr>
          <w:p w14:paraId="1898CFE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48D698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57EB7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2CC8C5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118</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3219F0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酒精灯</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56342F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250mL，双头，透明钠钙玻璃制，无明显黄绿色。灯口应平整，瓷灯头与灯口平面间隙不应超过1.5mm。玻璃灯罩应磨口。瓷灯头应为白色，完全覆盖灯口，表面无缺陷。配置与灯口孔径相适应的整齐完整的棉线灯芯</w:t>
            </w:r>
          </w:p>
        </w:tc>
        <w:tc>
          <w:tcPr>
            <w:tcW w:w="315" w:type="pct"/>
            <w:tcBorders>
              <w:top w:val="single" w:color="000000" w:sz="4" w:space="0"/>
              <w:left w:val="single" w:color="000000" w:sz="4" w:space="0"/>
              <w:bottom w:val="single" w:color="000000" w:sz="4" w:space="0"/>
              <w:right w:val="nil"/>
            </w:tcBorders>
            <w:noWrap w:val="0"/>
            <w:vAlign w:val="center"/>
          </w:tcPr>
          <w:p w14:paraId="312BE3B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BC3ECF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7BCA8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6AA8A1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119</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79EFE89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干燥器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2C260C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150mm，磨口平整，密封严实，隔板大小合适，不少于5个圆孔</w:t>
            </w:r>
          </w:p>
        </w:tc>
        <w:tc>
          <w:tcPr>
            <w:tcW w:w="315" w:type="pct"/>
            <w:tcBorders>
              <w:top w:val="single" w:color="000000" w:sz="4" w:space="0"/>
              <w:left w:val="single" w:color="000000" w:sz="4" w:space="0"/>
              <w:bottom w:val="single" w:color="000000" w:sz="4" w:space="0"/>
              <w:right w:val="nil"/>
            </w:tcBorders>
            <w:noWrap w:val="0"/>
            <w:vAlign w:val="center"/>
          </w:tcPr>
          <w:p w14:paraId="72B6BA4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E908C8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7467E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E1CB2F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120</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78FF77D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气体发生器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DE7222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250mL，漏斗柄与瓶身连接口内壁间隔≤2mm（单边）</w:t>
            </w:r>
          </w:p>
        </w:tc>
        <w:tc>
          <w:tcPr>
            <w:tcW w:w="315" w:type="pct"/>
            <w:tcBorders>
              <w:top w:val="single" w:color="000000" w:sz="4" w:space="0"/>
              <w:left w:val="single" w:color="000000" w:sz="4" w:space="0"/>
              <w:bottom w:val="single" w:color="000000" w:sz="4" w:space="0"/>
              <w:right w:val="nil"/>
            </w:tcBorders>
            <w:noWrap w:val="0"/>
            <w:vAlign w:val="center"/>
          </w:tcPr>
          <w:p w14:paraId="5897631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114AB3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70EC7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3DA97EA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F1A5B1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冷凝管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B4F62C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300mm±10mm，漏斗柄与瓶身连接口内壁间隔≤2mm（单边）</w:t>
            </w:r>
          </w:p>
        </w:tc>
        <w:tc>
          <w:tcPr>
            <w:tcW w:w="315" w:type="pct"/>
            <w:tcBorders>
              <w:top w:val="single" w:color="000000" w:sz="4" w:space="0"/>
              <w:left w:val="single" w:color="000000" w:sz="4" w:space="0"/>
              <w:bottom w:val="single" w:color="000000" w:sz="4" w:space="0"/>
              <w:right w:val="nil"/>
            </w:tcBorders>
            <w:noWrap w:val="0"/>
            <w:vAlign w:val="center"/>
          </w:tcPr>
          <w:p w14:paraId="7EC753A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34FCD7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16E47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F153EA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122</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7D1D831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冷凝管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7B6F0F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300mm±10mm，透明硼硅酸盐玻璃制，球形</w:t>
            </w:r>
          </w:p>
        </w:tc>
        <w:tc>
          <w:tcPr>
            <w:tcW w:w="315" w:type="pct"/>
            <w:tcBorders>
              <w:top w:val="single" w:color="000000" w:sz="4" w:space="0"/>
              <w:left w:val="single" w:color="000000" w:sz="4" w:space="0"/>
              <w:bottom w:val="single" w:color="000000" w:sz="4" w:space="0"/>
              <w:right w:val="nil"/>
            </w:tcBorders>
            <w:noWrap w:val="0"/>
            <w:vAlign w:val="center"/>
          </w:tcPr>
          <w:p w14:paraId="69C8CD5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74524A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16FE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12992E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66CD1A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牛角管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870117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Φ18mm×150mm，弯形，1mm≤尖嘴处壁厚≤2mm</w:t>
            </w:r>
          </w:p>
        </w:tc>
        <w:tc>
          <w:tcPr>
            <w:tcW w:w="315" w:type="pct"/>
            <w:tcBorders>
              <w:top w:val="single" w:color="000000" w:sz="4" w:space="0"/>
              <w:left w:val="single" w:color="000000" w:sz="4" w:space="0"/>
              <w:bottom w:val="single" w:color="000000" w:sz="4" w:space="0"/>
              <w:right w:val="nil"/>
            </w:tcBorders>
            <w:noWrap w:val="0"/>
            <w:vAlign w:val="center"/>
          </w:tcPr>
          <w:p w14:paraId="00F8C9B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4DDFFB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474FD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0B3C2B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57CDF86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漏斗</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2AD7E7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60mm，滤碗为夹角60°的圆锥形，管的尾端磨成约45°角</w:t>
            </w:r>
          </w:p>
        </w:tc>
        <w:tc>
          <w:tcPr>
            <w:tcW w:w="315" w:type="pct"/>
            <w:tcBorders>
              <w:top w:val="single" w:color="000000" w:sz="4" w:space="0"/>
              <w:left w:val="single" w:color="000000" w:sz="4" w:space="0"/>
              <w:bottom w:val="single" w:color="000000" w:sz="4" w:space="0"/>
              <w:right w:val="nil"/>
            </w:tcBorders>
            <w:noWrap w:val="0"/>
            <w:vAlign w:val="center"/>
          </w:tcPr>
          <w:p w14:paraId="060B1F5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CA930A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3D7DE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82352B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70795FF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漏斗</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11A4DC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90mm，滤碗为夹角60°的圆锥形，管的尾端磨成约45°角</w:t>
            </w:r>
          </w:p>
        </w:tc>
        <w:tc>
          <w:tcPr>
            <w:tcW w:w="315" w:type="pct"/>
            <w:tcBorders>
              <w:top w:val="single" w:color="000000" w:sz="4" w:space="0"/>
              <w:left w:val="single" w:color="000000" w:sz="4" w:space="0"/>
              <w:bottom w:val="single" w:color="000000" w:sz="4" w:space="0"/>
              <w:right w:val="nil"/>
            </w:tcBorders>
            <w:noWrap w:val="0"/>
            <w:vAlign w:val="center"/>
          </w:tcPr>
          <w:p w14:paraId="6E25374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313A94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w:t>
            </w:r>
          </w:p>
        </w:tc>
      </w:tr>
      <w:tr w14:paraId="15509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3D5819B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126</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7DD355D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安全漏斗</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0DF240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直形，径长300mm，上口直径40mm±3mm，玻璃壁厚度适中</w:t>
            </w:r>
          </w:p>
        </w:tc>
        <w:tc>
          <w:tcPr>
            <w:tcW w:w="315" w:type="pct"/>
            <w:tcBorders>
              <w:top w:val="single" w:color="000000" w:sz="4" w:space="0"/>
              <w:left w:val="single" w:color="000000" w:sz="4" w:space="0"/>
              <w:bottom w:val="single" w:color="000000" w:sz="4" w:space="0"/>
              <w:right w:val="nil"/>
            </w:tcBorders>
            <w:noWrap w:val="0"/>
            <w:vAlign w:val="center"/>
          </w:tcPr>
          <w:p w14:paraId="0632E96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59CF539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r>
      <w:tr w14:paraId="0B34D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EA8900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127</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7E13EEF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安全漏斗</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0D6003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双球，球径高度、直径一致，双球应位于环管中部，应无明显偏斜</w:t>
            </w:r>
          </w:p>
        </w:tc>
        <w:tc>
          <w:tcPr>
            <w:tcW w:w="315" w:type="pct"/>
            <w:tcBorders>
              <w:top w:val="single" w:color="000000" w:sz="4" w:space="0"/>
              <w:left w:val="single" w:color="000000" w:sz="4" w:space="0"/>
              <w:bottom w:val="single" w:color="000000" w:sz="4" w:space="0"/>
              <w:right w:val="nil"/>
            </w:tcBorders>
            <w:noWrap w:val="0"/>
            <w:vAlign w:val="center"/>
          </w:tcPr>
          <w:p w14:paraId="287D911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363867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1AE7D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D5CF38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128</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43E2FC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分液漏斗</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F82288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锥型，100mL，瓶塞应有凹槽，瓶口有气孔</w:t>
            </w:r>
          </w:p>
        </w:tc>
        <w:tc>
          <w:tcPr>
            <w:tcW w:w="315" w:type="pct"/>
            <w:tcBorders>
              <w:top w:val="single" w:color="000000" w:sz="4" w:space="0"/>
              <w:left w:val="single" w:color="000000" w:sz="4" w:space="0"/>
              <w:bottom w:val="single" w:color="000000" w:sz="4" w:space="0"/>
              <w:right w:val="nil"/>
            </w:tcBorders>
            <w:noWrap w:val="0"/>
            <w:vAlign w:val="center"/>
          </w:tcPr>
          <w:p w14:paraId="22AB258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9B8F23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28F3F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98A337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129</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5056971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分液漏斗</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EF245A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球型，50mL，瓶塞应有凹槽，瓶口有气孔</w:t>
            </w:r>
          </w:p>
        </w:tc>
        <w:tc>
          <w:tcPr>
            <w:tcW w:w="315" w:type="pct"/>
            <w:tcBorders>
              <w:top w:val="single" w:color="000000" w:sz="4" w:space="0"/>
              <w:left w:val="single" w:color="000000" w:sz="4" w:space="0"/>
              <w:bottom w:val="single" w:color="000000" w:sz="4" w:space="0"/>
              <w:right w:val="nil"/>
            </w:tcBorders>
            <w:noWrap w:val="0"/>
            <w:vAlign w:val="center"/>
          </w:tcPr>
          <w:p w14:paraId="331283B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E58452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0890C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C1D104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130</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3067C9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三通连接管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7A2EF6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T形，Φ7mm~Φ8mm，连接完好，管口应作打磨或烧结处理</w:t>
            </w:r>
          </w:p>
        </w:tc>
        <w:tc>
          <w:tcPr>
            <w:tcW w:w="315" w:type="pct"/>
            <w:tcBorders>
              <w:top w:val="single" w:color="000000" w:sz="4" w:space="0"/>
              <w:left w:val="single" w:color="000000" w:sz="4" w:space="0"/>
              <w:bottom w:val="single" w:color="000000" w:sz="4" w:space="0"/>
              <w:right w:val="nil"/>
            </w:tcBorders>
            <w:noWrap w:val="0"/>
            <w:vAlign w:val="center"/>
          </w:tcPr>
          <w:p w14:paraId="0E01E3B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4EC715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39F30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A7D9D8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7300A73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三通连接管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4662D0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Y形，Φ7mm~Φ8mm，连接完好，管口应作打磨或烧结处理</w:t>
            </w:r>
          </w:p>
        </w:tc>
        <w:tc>
          <w:tcPr>
            <w:tcW w:w="315" w:type="pct"/>
            <w:tcBorders>
              <w:top w:val="single" w:color="000000" w:sz="4" w:space="0"/>
              <w:left w:val="single" w:color="000000" w:sz="4" w:space="0"/>
              <w:bottom w:val="single" w:color="000000" w:sz="4" w:space="0"/>
              <w:right w:val="nil"/>
            </w:tcBorders>
            <w:noWrap w:val="0"/>
            <w:vAlign w:val="center"/>
          </w:tcPr>
          <w:p w14:paraId="5A7C6A6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AFA174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5CBA6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B4F9D2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132</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53401DC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滴管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5005315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100mm，直形，滴管尖嘴口径1mm，上端有防滑脱翻口，翻口处直径比滴管直径略多1mm～2mm</w:t>
            </w:r>
          </w:p>
        </w:tc>
        <w:tc>
          <w:tcPr>
            <w:tcW w:w="315" w:type="pct"/>
            <w:tcBorders>
              <w:top w:val="single" w:color="000000" w:sz="4" w:space="0"/>
              <w:left w:val="single" w:color="000000" w:sz="4" w:space="0"/>
              <w:bottom w:val="single" w:color="000000" w:sz="4" w:space="0"/>
              <w:right w:val="nil"/>
            </w:tcBorders>
            <w:noWrap w:val="0"/>
            <w:vAlign w:val="center"/>
          </w:tcPr>
          <w:p w14:paraId="0368567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1DBF96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r>
      <w:tr w14:paraId="0AC40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E212C6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9C38C2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滴管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36A9E0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150mm，直形，滴管尖嘴口径1mm，上端有防滑脱翻口，翻口处直径比滴管直径略多1mm～2mm</w:t>
            </w:r>
          </w:p>
        </w:tc>
        <w:tc>
          <w:tcPr>
            <w:tcW w:w="315" w:type="pct"/>
            <w:tcBorders>
              <w:top w:val="single" w:color="000000" w:sz="4" w:space="0"/>
              <w:left w:val="single" w:color="000000" w:sz="4" w:space="0"/>
              <w:bottom w:val="single" w:color="000000" w:sz="4" w:space="0"/>
              <w:right w:val="nil"/>
            </w:tcBorders>
            <w:noWrap w:val="0"/>
            <w:vAlign w:val="center"/>
          </w:tcPr>
          <w:p w14:paraId="54D4571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84E38A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r>
      <w:tr w14:paraId="75751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4687BA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7205E6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离心管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478D29E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10mL，硼硅酸盐玻璃制</w:t>
            </w:r>
          </w:p>
        </w:tc>
        <w:tc>
          <w:tcPr>
            <w:tcW w:w="315" w:type="pct"/>
            <w:tcBorders>
              <w:top w:val="single" w:color="000000" w:sz="4" w:space="0"/>
              <w:left w:val="single" w:color="000000" w:sz="4" w:space="0"/>
              <w:bottom w:val="single" w:color="000000" w:sz="4" w:space="0"/>
              <w:right w:val="nil"/>
            </w:tcBorders>
            <w:noWrap w:val="0"/>
            <w:vAlign w:val="center"/>
          </w:tcPr>
          <w:p w14:paraId="3990B8A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63B1B8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w:t>
            </w:r>
          </w:p>
        </w:tc>
      </w:tr>
      <w:tr w14:paraId="0A8B5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9899B3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3A5088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干燥管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B6B2F4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145mm，直形单球，硼硅酸盐玻璃制，球应厚薄均匀</w:t>
            </w:r>
          </w:p>
        </w:tc>
        <w:tc>
          <w:tcPr>
            <w:tcW w:w="315" w:type="pct"/>
            <w:tcBorders>
              <w:top w:val="single" w:color="000000" w:sz="4" w:space="0"/>
              <w:left w:val="single" w:color="000000" w:sz="4" w:space="0"/>
              <w:bottom w:val="single" w:color="000000" w:sz="4" w:space="0"/>
              <w:right w:val="nil"/>
            </w:tcBorders>
            <w:noWrap w:val="0"/>
            <w:vAlign w:val="center"/>
          </w:tcPr>
          <w:p w14:paraId="168D3E4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35E197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5744F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9A849F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136</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3D2CA8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干燥管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3C62CB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U型，Φ15mm×150mm，硼硅酸盐玻璃制，两管应平行，管口高度误差不大于5mm</w:t>
            </w:r>
          </w:p>
        </w:tc>
        <w:tc>
          <w:tcPr>
            <w:tcW w:w="315" w:type="pct"/>
            <w:tcBorders>
              <w:top w:val="single" w:color="000000" w:sz="4" w:space="0"/>
              <w:left w:val="single" w:color="000000" w:sz="4" w:space="0"/>
              <w:bottom w:val="single" w:color="000000" w:sz="4" w:space="0"/>
              <w:right w:val="nil"/>
            </w:tcBorders>
            <w:noWrap w:val="0"/>
            <w:vAlign w:val="center"/>
          </w:tcPr>
          <w:p w14:paraId="4488967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DF04EA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2BE9B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F33CF4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137</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557759F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干燥管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B58863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U型，具支，Φ15mm×150mm，硼硅酸盐玻璃制，两管应平行，管口高度误差不大于5mm</w:t>
            </w:r>
          </w:p>
        </w:tc>
        <w:tc>
          <w:tcPr>
            <w:tcW w:w="315" w:type="pct"/>
            <w:tcBorders>
              <w:top w:val="single" w:color="000000" w:sz="4" w:space="0"/>
              <w:left w:val="single" w:color="000000" w:sz="4" w:space="0"/>
              <w:bottom w:val="single" w:color="000000" w:sz="4" w:space="0"/>
              <w:right w:val="nil"/>
            </w:tcBorders>
            <w:noWrap w:val="0"/>
            <w:vAlign w:val="center"/>
          </w:tcPr>
          <w:p w14:paraId="394A212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A42355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D3E7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7EE21D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138</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3E2403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干燥管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FA6C68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U型，Φ20mm×200mm，硼硅酸盐玻璃制，两管应平行，管口高度误差不大于5mm</w:t>
            </w:r>
          </w:p>
        </w:tc>
        <w:tc>
          <w:tcPr>
            <w:tcW w:w="315" w:type="pct"/>
            <w:tcBorders>
              <w:top w:val="single" w:color="000000" w:sz="4" w:space="0"/>
              <w:left w:val="single" w:color="000000" w:sz="4" w:space="0"/>
              <w:bottom w:val="single" w:color="000000" w:sz="4" w:space="0"/>
              <w:right w:val="nil"/>
            </w:tcBorders>
            <w:noWrap w:val="0"/>
            <w:vAlign w:val="center"/>
          </w:tcPr>
          <w:p w14:paraId="166A9B0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F05981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75A3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3E6387E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139</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4C11C4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干燥塔</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0A6047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250mL，硼硅酸盐玻璃制</w:t>
            </w:r>
          </w:p>
        </w:tc>
        <w:tc>
          <w:tcPr>
            <w:tcW w:w="315" w:type="pct"/>
            <w:tcBorders>
              <w:top w:val="single" w:color="000000" w:sz="4" w:space="0"/>
              <w:left w:val="single" w:color="000000" w:sz="4" w:space="0"/>
              <w:bottom w:val="single" w:color="000000" w:sz="4" w:space="0"/>
              <w:right w:val="nil"/>
            </w:tcBorders>
            <w:noWrap w:val="0"/>
            <w:vAlign w:val="center"/>
          </w:tcPr>
          <w:p w14:paraId="63B6D30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28B185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E08E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A2BBF0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140</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60BC1C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比色管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456AFFA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25mL，硼硅酸盐玻璃制</w:t>
            </w:r>
          </w:p>
        </w:tc>
        <w:tc>
          <w:tcPr>
            <w:tcW w:w="315" w:type="pct"/>
            <w:tcBorders>
              <w:top w:val="single" w:color="000000" w:sz="4" w:space="0"/>
              <w:left w:val="single" w:color="000000" w:sz="4" w:space="0"/>
              <w:bottom w:val="single" w:color="000000" w:sz="4" w:space="0"/>
              <w:right w:val="nil"/>
            </w:tcBorders>
            <w:noWrap w:val="0"/>
            <w:vAlign w:val="center"/>
          </w:tcPr>
          <w:p w14:paraId="2DBD1D8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5C49B07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65</w:t>
            </w:r>
          </w:p>
        </w:tc>
      </w:tr>
      <w:tr w14:paraId="202EC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97F2B2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8EBF96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玻璃活塞</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48AE7DA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直形，吻合良好，不漏气，不漏液</w:t>
            </w:r>
          </w:p>
        </w:tc>
        <w:tc>
          <w:tcPr>
            <w:tcW w:w="315" w:type="pct"/>
            <w:tcBorders>
              <w:top w:val="single" w:color="000000" w:sz="4" w:space="0"/>
              <w:left w:val="single" w:color="000000" w:sz="4" w:space="0"/>
              <w:bottom w:val="single" w:color="000000" w:sz="4" w:space="0"/>
              <w:right w:val="nil"/>
            </w:tcBorders>
            <w:noWrap w:val="0"/>
            <w:vAlign w:val="center"/>
          </w:tcPr>
          <w:p w14:paraId="44DB82B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EF5CFC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8DE5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87E58B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142</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12C48D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玻璃活塞</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ACA093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T形，吻合良好，不漏气，不漏液</w:t>
            </w:r>
          </w:p>
        </w:tc>
        <w:tc>
          <w:tcPr>
            <w:tcW w:w="315" w:type="pct"/>
            <w:tcBorders>
              <w:top w:val="single" w:color="000000" w:sz="4" w:space="0"/>
              <w:left w:val="single" w:color="000000" w:sz="4" w:space="0"/>
              <w:bottom w:val="single" w:color="000000" w:sz="4" w:space="0"/>
              <w:right w:val="nil"/>
            </w:tcBorders>
            <w:noWrap w:val="0"/>
            <w:vAlign w:val="center"/>
          </w:tcPr>
          <w:p w14:paraId="2292CA5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0BDA62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DF28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50B8BD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E20C17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圆水槽</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16C1C7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Φ210mm×100mm，水槽底部应平整，不应凸底，壁厚和底厚应均匀，口部端面应平整，边和口应圆滑</w:t>
            </w:r>
          </w:p>
        </w:tc>
        <w:tc>
          <w:tcPr>
            <w:tcW w:w="315" w:type="pct"/>
            <w:tcBorders>
              <w:top w:val="single" w:color="000000" w:sz="4" w:space="0"/>
              <w:left w:val="single" w:color="000000" w:sz="4" w:space="0"/>
              <w:bottom w:val="single" w:color="000000" w:sz="4" w:space="0"/>
              <w:right w:val="nil"/>
            </w:tcBorders>
            <w:noWrap w:val="0"/>
            <w:vAlign w:val="center"/>
          </w:tcPr>
          <w:p w14:paraId="25B1CC9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C088B6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225E3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3C21A61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97647B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圆水槽</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47D631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Φ270mm×140mm，水槽底部应平整，不应凸底，壁厚和底厚应均匀，口部端面应平整，边和口应圆滑</w:t>
            </w:r>
          </w:p>
        </w:tc>
        <w:tc>
          <w:tcPr>
            <w:tcW w:w="315" w:type="pct"/>
            <w:tcBorders>
              <w:top w:val="single" w:color="000000" w:sz="4" w:space="0"/>
              <w:left w:val="single" w:color="000000" w:sz="4" w:space="0"/>
              <w:bottom w:val="single" w:color="000000" w:sz="4" w:space="0"/>
              <w:right w:val="nil"/>
            </w:tcBorders>
            <w:noWrap w:val="0"/>
            <w:vAlign w:val="center"/>
          </w:tcPr>
          <w:p w14:paraId="6F25DA5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A4B75B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3A23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06B0F4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5A4080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钴玻璃片</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58E7B59">
            <w:pPr>
              <w:jc w:val="left"/>
              <w:rPr>
                <w:rFonts w:hint="eastAsia" w:ascii="仿宋" w:hAnsi="仿宋" w:eastAsia="仿宋" w:cs="仿宋"/>
                <w:i w:val="0"/>
                <w:iCs w:val="0"/>
                <w:color w:val="000000"/>
                <w:sz w:val="21"/>
                <w:szCs w:val="21"/>
                <w:highlight w:val="none"/>
                <w:u w:val="none"/>
              </w:rPr>
            </w:pPr>
          </w:p>
        </w:tc>
        <w:tc>
          <w:tcPr>
            <w:tcW w:w="315" w:type="pct"/>
            <w:tcBorders>
              <w:top w:val="single" w:color="000000" w:sz="4" w:space="0"/>
              <w:left w:val="single" w:color="000000" w:sz="4" w:space="0"/>
              <w:bottom w:val="single" w:color="000000" w:sz="4" w:space="0"/>
              <w:right w:val="nil"/>
            </w:tcBorders>
            <w:noWrap w:val="0"/>
            <w:vAlign w:val="center"/>
          </w:tcPr>
          <w:p w14:paraId="411AFC2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60B1F0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4E64C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3427810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146</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5BAB4C5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结晶皿</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6F1D4E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90mm，平底，透明硼硅酸盐玻璃制</w:t>
            </w:r>
          </w:p>
        </w:tc>
        <w:tc>
          <w:tcPr>
            <w:tcW w:w="315" w:type="pct"/>
            <w:tcBorders>
              <w:top w:val="single" w:color="000000" w:sz="4" w:space="0"/>
              <w:left w:val="single" w:color="000000" w:sz="4" w:space="0"/>
              <w:bottom w:val="single" w:color="000000" w:sz="4" w:space="0"/>
              <w:right w:val="nil"/>
            </w:tcBorders>
            <w:noWrap w:val="0"/>
            <w:vAlign w:val="center"/>
          </w:tcPr>
          <w:p w14:paraId="6C101FB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CF6FDA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088F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4BF59A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147</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5640295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表面皿</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1E01DA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60mm，透明硼硅酸盐玻璃制</w:t>
            </w:r>
          </w:p>
        </w:tc>
        <w:tc>
          <w:tcPr>
            <w:tcW w:w="315" w:type="pct"/>
            <w:tcBorders>
              <w:top w:val="single" w:color="000000" w:sz="4" w:space="0"/>
              <w:left w:val="single" w:color="000000" w:sz="4" w:space="0"/>
              <w:bottom w:val="single" w:color="000000" w:sz="4" w:space="0"/>
              <w:right w:val="nil"/>
            </w:tcBorders>
            <w:noWrap w:val="0"/>
            <w:vAlign w:val="center"/>
          </w:tcPr>
          <w:p w14:paraId="550C480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271464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5AC5E0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30EA757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148</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653D8C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表面皿</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28AD04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100mm，透明硼硅酸盐玻璃制</w:t>
            </w:r>
          </w:p>
        </w:tc>
        <w:tc>
          <w:tcPr>
            <w:tcW w:w="315" w:type="pct"/>
            <w:tcBorders>
              <w:top w:val="single" w:color="000000" w:sz="4" w:space="0"/>
              <w:left w:val="single" w:color="000000" w:sz="4" w:space="0"/>
              <w:bottom w:val="single" w:color="000000" w:sz="4" w:space="0"/>
              <w:right w:val="nil"/>
            </w:tcBorders>
            <w:noWrap w:val="0"/>
            <w:vAlign w:val="center"/>
          </w:tcPr>
          <w:p w14:paraId="4F038C7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2DAC7E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4769F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7ECFDF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149</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586C71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坩埚</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94FDFA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瓷制，30mL，耐热≥1200℃,内外壁光滑，外壁涂釉，配有坩埚盖</w:t>
            </w:r>
          </w:p>
        </w:tc>
        <w:tc>
          <w:tcPr>
            <w:tcW w:w="315" w:type="pct"/>
            <w:tcBorders>
              <w:top w:val="single" w:color="000000" w:sz="4" w:space="0"/>
              <w:left w:val="single" w:color="000000" w:sz="4" w:space="0"/>
              <w:bottom w:val="single" w:color="000000" w:sz="4" w:space="0"/>
              <w:right w:val="nil"/>
            </w:tcBorders>
            <w:noWrap w:val="0"/>
            <w:vAlign w:val="center"/>
          </w:tcPr>
          <w:p w14:paraId="684DA97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CCC52D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587EC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2E2BD0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150</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18CF78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坩埚钳</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DBBCCB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200mm，钢制，中间弯曲部分内径应在2cm～3cm</w:t>
            </w:r>
          </w:p>
        </w:tc>
        <w:tc>
          <w:tcPr>
            <w:tcW w:w="315" w:type="pct"/>
            <w:tcBorders>
              <w:top w:val="single" w:color="000000" w:sz="4" w:space="0"/>
              <w:left w:val="single" w:color="000000" w:sz="4" w:space="0"/>
              <w:bottom w:val="single" w:color="000000" w:sz="4" w:space="0"/>
              <w:right w:val="nil"/>
            </w:tcBorders>
            <w:noWrap w:val="0"/>
            <w:vAlign w:val="center"/>
          </w:tcPr>
          <w:p w14:paraId="3D8B492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53893DA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7808A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F2B6D6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78E9BE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烧杯夹</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43CBC8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不锈钢制，夹持部位应有橡胶保护套，避免与玻璃烧杯直接接触</w:t>
            </w:r>
          </w:p>
        </w:tc>
        <w:tc>
          <w:tcPr>
            <w:tcW w:w="315" w:type="pct"/>
            <w:tcBorders>
              <w:top w:val="single" w:color="000000" w:sz="4" w:space="0"/>
              <w:left w:val="single" w:color="000000" w:sz="4" w:space="0"/>
              <w:bottom w:val="single" w:color="000000" w:sz="4" w:space="0"/>
              <w:right w:val="nil"/>
            </w:tcBorders>
            <w:noWrap w:val="0"/>
            <w:vAlign w:val="center"/>
          </w:tcPr>
          <w:p w14:paraId="7655ED4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53928AA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E66E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51278E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152</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97C56B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镊子</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6601E4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不锈钢制，平头，长125mm，钢板厚1.2mm，前部应有防滑脱锯齿</w:t>
            </w:r>
          </w:p>
        </w:tc>
        <w:tc>
          <w:tcPr>
            <w:tcW w:w="315" w:type="pct"/>
            <w:tcBorders>
              <w:top w:val="single" w:color="000000" w:sz="4" w:space="0"/>
              <w:left w:val="single" w:color="000000" w:sz="4" w:space="0"/>
              <w:bottom w:val="single" w:color="000000" w:sz="4" w:space="0"/>
              <w:right w:val="nil"/>
            </w:tcBorders>
            <w:noWrap w:val="0"/>
            <w:vAlign w:val="center"/>
          </w:tcPr>
          <w:p w14:paraId="59939F9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821519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38ABE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57376E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261746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试管夹</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C1297D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木制或者竹制，长度≥200mm，宽度约20mm，厚度约20mm。试管夹闭口缝≤1mm，开口距离≥25mm。毡块粘接牢固，试管夹弹簧作防锈处理。试管夹持部位圆弧内径≤15mm</w:t>
            </w:r>
          </w:p>
        </w:tc>
        <w:tc>
          <w:tcPr>
            <w:tcW w:w="315" w:type="pct"/>
            <w:tcBorders>
              <w:top w:val="single" w:color="000000" w:sz="4" w:space="0"/>
              <w:left w:val="single" w:color="000000" w:sz="4" w:space="0"/>
              <w:bottom w:val="single" w:color="000000" w:sz="4" w:space="0"/>
              <w:right w:val="nil"/>
            </w:tcBorders>
            <w:noWrap w:val="0"/>
            <w:vAlign w:val="center"/>
          </w:tcPr>
          <w:p w14:paraId="44A9DB9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E9D86D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130E6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25F0AB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A6B34C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止水皮管夹</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5896CD1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Φ3mm钢丝制成，作防锈处理，夹持角度≥60º,弹性好，不漏液</w:t>
            </w:r>
          </w:p>
        </w:tc>
        <w:tc>
          <w:tcPr>
            <w:tcW w:w="315" w:type="pct"/>
            <w:tcBorders>
              <w:top w:val="single" w:color="000000" w:sz="4" w:space="0"/>
              <w:left w:val="single" w:color="000000" w:sz="4" w:space="0"/>
              <w:bottom w:val="single" w:color="000000" w:sz="4" w:space="0"/>
              <w:right w:val="nil"/>
            </w:tcBorders>
            <w:noWrap w:val="0"/>
            <w:vAlign w:val="center"/>
          </w:tcPr>
          <w:p w14:paraId="292F0A5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56815B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47B13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DA1ABE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BD38B9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螺旋皮管夹</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853242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由支架管和带压板的螺杆等组成。外形尺寸约为33mm×20mm×8mm，旋转方便，不易变形，压板厚度≥1mm</w:t>
            </w:r>
          </w:p>
        </w:tc>
        <w:tc>
          <w:tcPr>
            <w:tcW w:w="315" w:type="pct"/>
            <w:tcBorders>
              <w:top w:val="single" w:color="000000" w:sz="4" w:space="0"/>
              <w:left w:val="single" w:color="000000" w:sz="4" w:space="0"/>
              <w:bottom w:val="single" w:color="000000" w:sz="4" w:space="0"/>
              <w:right w:val="nil"/>
            </w:tcBorders>
            <w:noWrap w:val="0"/>
            <w:vAlign w:val="center"/>
          </w:tcPr>
          <w:p w14:paraId="64BF732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1EF612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7939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A1FA1E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156</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34081E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陶土网</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42C20B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金属网尺寸≥125mm×125mm，耐火材料为陶土，功能等同于石棉网</w:t>
            </w:r>
          </w:p>
        </w:tc>
        <w:tc>
          <w:tcPr>
            <w:tcW w:w="315" w:type="pct"/>
            <w:tcBorders>
              <w:top w:val="single" w:color="000000" w:sz="4" w:space="0"/>
              <w:left w:val="single" w:color="000000" w:sz="4" w:space="0"/>
              <w:bottom w:val="single" w:color="000000" w:sz="4" w:space="0"/>
              <w:right w:val="nil"/>
            </w:tcBorders>
            <w:noWrap w:val="0"/>
            <w:vAlign w:val="center"/>
          </w:tcPr>
          <w:p w14:paraId="587533C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908351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2E593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2FEA74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157</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D952DA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二连球</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9CC9EC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橡胶材质，直径90mm，长度250mm</w:t>
            </w:r>
          </w:p>
        </w:tc>
        <w:tc>
          <w:tcPr>
            <w:tcW w:w="315" w:type="pct"/>
            <w:tcBorders>
              <w:top w:val="single" w:color="000000" w:sz="4" w:space="0"/>
              <w:left w:val="single" w:color="000000" w:sz="4" w:space="0"/>
              <w:bottom w:val="single" w:color="000000" w:sz="4" w:space="0"/>
              <w:right w:val="nil"/>
            </w:tcBorders>
            <w:noWrap w:val="0"/>
            <w:vAlign w:val="center"/>
          </w:tcPr>
          <w:p w14:paraId="5689606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3DF175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55D2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34F5BE3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158</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7E3EB15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燃烧匙</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881CD4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铜勺，勺直径18mm，深10mm，铁柄，柄长300mm，长柄和铜勺连接稳定结实</w:t>
            </w:r>
          </w:p>
        </w:tc>
        <w:tc>
          <w:tcPr>
            <w:tcW w:w="315" w:type="pct"/>
            <w:tcBorders>
              <w:top w:val="single" w:color="000000" w:sz="4" w:space="0"/>
              <w:left w:val="single" w:color="000000" w:sz="4" w:space="0"/>
              <w:bottom w:val="single" w:color="000000" w:sz="4" w:space="0"/>
              <w:right w:val="nil"/>
            </w:tcBorders>
            <w:noWrap w:val="0"/>
            <w:vAlign w:val="center"/>
          </w:tcPr>
          <w:p w14:paraId="688F5F8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2A115D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6A407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EAA7A2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159</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78EA0D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药匙</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468923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中号13.5cm，带小勺，材质可选金属、牛角、塑料</w:t>
            </w:r>
          </w:p>
        </w:tc>
        <w:tc>
          <w:tcPr>
            <w:tcW w:w="315" w:type="pct"/>
            <w:tcBorders>
              <w:top w:val="single" w:color="000000" w:sz="4" w:space="0"/>
              <w:left w:val="single" w:color="000000" w:sz="4" w:space="0"/>
              <w:bottom w:val="single" w:color="000000" w:sz="4" w:space="0"/>
              <w:right w:val="nil"/>
            </w:tcBorders>
            <w:noWrap w:val="0"/>
            <w:vAlign w:val="center"/>
          </w:tcPr>
          <w:p w14:paraId="5E5EFFB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32515B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r>
      <w:tr w14:paraId="71293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B811DF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160</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55C778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玻璃管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839737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Φ5mm~Φ6mm，中性料，管口应为熔光</w:t>
            </w:r>
          </w:p>
        </w:tc>
        <w:tc>
          <w:tcPr>
            <w:tcW w:w="315" w:type="pct"/>
            <w:tcBorders>
              <w:top w:val="single" w:color="000000" w:sz="4" w:space="0"/>
              <w:left w:val="single" w:color="000000" w:sz="4" w:space="0"/>
              <w:bottom w:val="single" w:color="000000" w:sz="4" w:space="0"/>
              <w:right w:val="nil"/>
            </w:tcBorders>
            <w:noWrap w:val="0"/>
            <w:vAlign w:val="center"/>
          </w:tcPr>
          <w:p w14:paraId="58EAF83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kg</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A5B420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r>
      <w:tr w14:paraId="33343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A7D8C0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5F15A12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玻璃管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2EA0AC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Φ7mm~Φ8mm，中性料，管口应为熔光</w:t>
            </w:r>
          </w:p>
        </w:tc>
        <w:tc>
          <w:tcPr>
            <w:tcW w:w="315" w:type="pct"/>
            <w:tcBorders>
              <w:top w:val="single" w:color="000000" w:sz="4" w:space="0"/>
              <w:left w:val="single" w:color="000000" w:sz="4" w:space="0"/>
              <w:bottom w:val="single" w:color="000000" w:sz="4" w:space="0"/>
              <w:right w:val="nil"/>
            </w:tcBorders>
            <w:noWrap w:val="0"/>
            <w:vAlign w:val="center"/>
          </w:tcPr>
          <w:p w14:paraId="4461331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kg</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CBC401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r>
      <w:tr w14:paraId="57095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9041DA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162</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F97D90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玻璃弯管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50637B2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Φ7mm~Φ8mm，一端长度为6cm~7cm，另一端长度约20cm，形状为锐角、直角和钝角，管口应为熔光</w:t>
            </w:r>
          </w:p>
        </w:tc>
        <w:tc>
          <w:tcPr>
            <w:tcW w:w="315" w:type="pct"/>
            <w:tcBorders>
              <w:top w:val="single" w:color="000000" w:sz="4" w:space="0"/>
              <w:left w:val="single" w:color="000000" w:sz="4" w:space="0"/>
              <w:bottom w:val="single" w:color="000000" w:sz="4" w:space="0"/>
              <w:right w:val="nil"/>
            </w:tcBorders>
            <w:noWrap w:val="0"/>
            <w:vAlign w:val="center"/>
          </w:tcPr>
          <w:p w14:paraId="7E27878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D39271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r>
      <w:tr w14:paraId="6E278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7DF212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3CE6F4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玻璃棒</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5EE5A8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Φ5mm~Φ6mm，两端应平整倒边</w:t>
            </w:r>
          </w:p>
        </w:tc>
        <w:tc>
          <w:tcPr>
            <w:tcW w:w="315" w:type="pct"/>
            <w:tcBorders>
              <w:top w:val="single" w:color="000000" w:sz="4" w:space="0"/>
              <w:left w:val="single" w:color="000000" w:sz="4" w:space="0"/>
              <w:bottom w:val="single" w:color="000000" w:sz="4" w:space="0"/>
              <w:right w:val="nil"/>
            </w:tcBorders>
            <w:noWrap w:val="0"/>
            <w:vAlign w:val="center"/>
          </w:tcPr>
          <w:p w14:paraId="50C27F4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9B0A8C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w:t>
            </w:r>
          </w:p>
        </w:tc>
      </w:tr>
      <w:tr w14:paraId="54F35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F6636A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53B005D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玻璃棒</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52C417C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Φ7mm~Φ8mm，两端应平整倒边</w:t>
            </w:r>
          </w:p>
        </w:tc>
        <w:tc>
          <w:tcPr>
            <w:tcW w:w="315" w:type="pct"/>
            <w:tcBorders>
              <w:top w:val="single" w:color="000000" w:sz="4" w:space="0"/>
              <w:left w:val="single" w:color="000000" w:sz="4" w:space="0"/>
              <w:bottom w:val="single" w:color="000000" w:sz="4" w:space="0"/>
              <w:right w:val="nil"/>
            </w:tcBorders>
            <w:noWrap w:val="0"/>
            <w:vAlign w:val="center"/>
          </w:tcPr>
          <w:p w14:paraId="4373D87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210BFF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w:t>
            </w:r>
          </w:p>
        </w:tc>
      </w:tr>
      <w:tr w14:paraId="6C5E9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C55D04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E20AD6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橡胶塞</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9BA849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000、00、0～11号，白色，质地均匀</w:t>
            </w:r>
          </w:p>
        </w:tc>
        <w:tc>
          <w:tcPr>
            <w:tcW w:w="315" w:type="pct"/>
            <w:tcBorders>
              <w:top w:val="single" w:color="000000" w:sz="4" w:space="0"/>
              <w:left w:val="single" w:color="000000" w:sz="4" w:space="0"/>
              <w:bottom w:val="single" w:color="000000" w:sz="4" w:space="0"/>
              <w:right w:val="nil"/>
            </w:tcBorders>
            <w:noWrap w:val="0"/>
            <w:vAlign w:val="center"/>
          </w:tcPr>
          <w:p w14:paraId="0C25AC9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kg</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C18CC3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w:t>
            </w:r>
          </w:p>
        </w:tc>
      </w:tr>
      <w:tr w14:paraId="12D7A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0E03F3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166</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543F131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橡胶管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AC3E2E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外径9mm，内径6mm，乳白色，具有耐油、耐酸碱、耐热、耐压等特性</w:t>
            </w:r>
          </w:p>
        </w:tc>
        <w:tc>
          <w:tcPr>
            <w:tcW w:w="315" w:type="pct"/>
            <w:tcBorders>
              <w:top w:val="single" w:color="000000" w:sz="4" w:space="0"/>
              <w:left w:val="single" w:color="000000" w:sz="4" w:space="0"/>
              <w:bottom w:val="single" w:color="000000" w:sz="4" w:space="0"/>
              <w:right w:val="nil"/>
            </w:tcBorders>
            <w:noWrap w:val="0"/>
            <w:vAlign w:val="center"/>
          </w:tcPr>
          <w:p w14:paraId="47BC7EE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m</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5C7A434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40</w:t>
            </w:r>
          </w:p>
        </w:tc>
      </w:tr>
      <w:tr w14:paraId="53D8C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3F8EA36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167</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8D1F9F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乳胶管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B715CB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外径6mm，内径4mm，弹力好，拉力范围可在自身的6倍，回弹力100%</w:t>
            </w:r>
          </w:p>
        </w:tc>
        <w:tc>
          <w:tcPr>
            <w:tcW w:w="315" w:type="pct"/>
            <w:tcBorders>
              <w:top w:val="single" w:color="000000" w:sz="4" w:space="0"/>
              <w:left w:val="single" w:color="000000" w:sz="4" w:space="0"/>
              <w:bottom w:val="single" w:color="000000" w:sz="4" w:space="0"/>
              <w:right w:val="nil"/>
            </w:tcBorders>
            <w:noWrap w:val="0"/>
            <w:vAlign w:val="center"/>
          </w:tcPr>
          <w:p w14:paraId="5CD5352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m</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862CA8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40</w:t>
            </w:r>
          </w:p>
        </w:tc>
      </w:tr>
      <w:tr w14:paraId="13972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614846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168</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A383E0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乳胶管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E01243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外径9mm，内径6mm，弹力好，拉力范围可在自身的6倍，回弹力100%</w:t>
            </w:r>
          </w:p>
        </w:tc>
        <w:tc>
          <w:tcPr>
            <w:tcW w:w="315" w:type="pct"/>
            <w:tcBorders>
              <w:top w:val="single" w:color="000000" w:sz="4" w:space="0"/>
              <w:left w:val="single" w:color="000000" w:sz="4" w:space="0"/>
              <w:bottom w:val="single" w:color="000000" w:sz="4" w:space="0"/>
              <w:right w:val="nil"/>
            </w:tcBorders>
            <w:noWrap w:val="0"/>
            <w:vAlign w:val="center"/>
          </w:tcPr>
          <w:p w14:paraId="5723BAC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m</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952E4E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40</w:t>
            </w:r>
          </w:p>
        </w:tc>
      </w:tr>
      <w:tr w14:paraId="428F4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218A07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169</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637E80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洗耳球</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E74B02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60mL，橡胶材质</w:t>
            </w:r>
          </w:p>
        </w:tc>
        <w:tc>
          <w:tcPr>
            <w:tcW w:w="315" w:type="pct"/>
            <w:tcBorders>
              <w:top w:val="single" w:color="000000" w:sz="4" w:space="0"/>
              <w:left w:val="single" w:color="000000" w:sz="4" w:space="0"/>
              <w:bottom w:val="single" w:color="000000" w:sz="4" w:space="0"/>
              <w:right w:val="nil"/>
            </w:tcBorders>
            <w:noWrap w:val="0"/>
            <w:vAlign w:val="center"/>
          </w:tcPr>
          <w:p w14:paraId="514CF83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5B0FE7C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72F5B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43D3CF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170</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8237CB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试管刷</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174D46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Φ12mm，手持部分顶端应为带环状，顶部要有刷丝，铁丝不可外露</w:t>
            </w:r>
          </w:p>
        </w:tc>
        <w:tc>
          <w:tcPr>
            <w:tcW w:w="315" w:type="pct"/>
            <w:tcBorders>
              <w:top w:val="single" w:color="000000" w:sz="4" w:space="0"/>
              <w:left w:val="single" w:color="000000" w:sz="4" w:space="0"/>
              <w:bottom w:val="single" w:color="000000" w:sz="4" w:space="0"/>
              <w:right w:val="nil"/>
            </w:tcBorders>
            <w:noWrap w:val="0"/>
            <w:vAlign w:val="center"/>
          </w:tcPr>
          <w:p w14:paraId="20C9AD5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3D8E28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65EC2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B8D7A5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4CE857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试管刷</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BE3954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Φ18mm，手持部分顶端应为带环状，顶部要有刷丝，铁丝不可外露</w:t>
            </w:r>
          </w:p>
        </w:tc>
        <w:tc>
          <w:tcPr>
            <w:tcW w:w="315" w:type="pct"/>
            <w:tcBorders>
              <w:top w:val="single" w:color="000000" w:sz="4" w:space="0"/>
              <w:left w:val="single" w:color="000000" w:sz="4" w:space="0"/>
              <w:bottom w:val="single" w:color="000000" w:sz="4" w:space="0"/>
              <w:right w:val="nil"/>
            </w:tcBorders>
            <w:noWrap w:val="0"/>
            <w:vAlign w:val="center"/>
          </w:tcPr>
          <w:p w14:paraId="7A11252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FD5B95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69EA7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8EC221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172</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E4EDDF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试管刷</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5356CF1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Φ32mm，手持部分顶端应为带环状，顶部要有刷丝，铁丝不可外露</w:t>
            </w:r>
          </w:p>
        </w:tc>
        <w:tc>
          <w:tcPr>
            <w:tcW w:w="315" w:type="pct"/>
            <w:tcBorders>
              <w:top w:val="single" w:color="000000" w:sz="4" w:space="0"/>
              <w:left w:val="single" w:color="000000" w:sz="4" w:space="0"/>
              <w:bottom w:val="single" w:color="000000" w:sz="4" w:space="0"/>
              <w:right w:val="nil"/>
            </w:tcBorders>
            <w:noWrap w:val="0"/>
            <w:vAlign w:val="center"/>
          </w:tcPr>
          <w:p w14:paraId="6512BE5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D57ED7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r>
      <w:tr w14:paraId="66EF1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69F618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7E59C7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烧瓶刷</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8F37CB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250mL烧瓶用，手持部分顶端应为环状，顶部要有刷丝，铁丝不可外露</w:t>
            </w:r>
          </w:p>
        </w:tc>
        <w:tc>
          <w:tcPr>
            <w:tcW w:w="315" w:type="pct"/>
            <w:tcBorders>
              <w:top w:val="single" w:color="000000" w:sz="4" w:space="0"/>
              <w:left w:val="single" w:color="000000" w:sz="4" w:space="0"/>
              <w:bottom w:val="single" w:color="000000" w:sz="4" w:space="0"/>
              <w:right w:val="nil"/>
            </w:tcBorders>
            <w:noWrap w:val="0"/>
            <w:vAlign w:val="center"/>
          </w:tcPr>
          <w:p w14:paraId="23DE986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7F26A7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39F86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49A73B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72C2C9D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烧瓶刷</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E70A55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500mL烧瓶用，手持部分顶端应为环状，顶部要有刷丝，铁丝不可外露</w:t>
            </w:r>
          </w:p>
        </w:tc>
        <w:tc>
          <w:tcPr>
            <w:tcW w:w="315" w:type="pct"/>
            <w:tcBorders>
              <w:top w:val="single" w:color="000000" w:sz="4" w:space="0"/>
              <w:left w:val="single" w:color="000000" w:sz="4" w:space="0"/>
              <w:bottom w:val="single" w:color="000000" w:sz="4" w:space="0"/>
              <w:right w:val="nil"/>
            </w:tcBorders>
            <w:noWrap w:val="0"/>
            <w:vAlign w:val="center"/>
          </w:tcPr>
          <w:p w14:paraId="26C1E23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D622F6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7AF75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3DAC63D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8522B7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滴定管刷</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CD7B0C7">
            <w:pPr>
              <w:jc w:val="left"/>
              <w:rPr>
                <w:rFonts w:hint="eastAsia" w:ascii="仿宋" w:hAnsi="仿宋" w:eastAsia="仿宋" w:cs="仿宋"/>
                <w:i w:val="0"/>
                <w:iCs w:val="0"/>
                <w:color w:val="000000"/>
                <w:sz w:val="21"/>
                <w:szCs w:val="21"/>
                <w:highlight w:val="none"/>
                <w:u w:val="none"/>
              </w:rPr>
            </w:pPr>
          </w:p>
        </w:tc>
        <w:tc>
          <w:tcPr>
            <w:tcW w:w="315" w:type="pct"/>
            <w:tcBorders>
              <w:top w:val="single" w:color="000000" w:sz="4" w:space="0"/>
              <w:left w:val="single" w:color="000000" w:sz="4" w:space="0"/>
              <w:bottom w:val="single" w:color="000000" w:sz="4" w:space="0"/>
              <w:right w:val="nil"/>
            </w:tcBorders>
            <w:noWrap w:val="0"/>
            <w:vAlign w:val="center"/>
          </w:tcPr>
          <w:p w14:paraId="3794452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7F4225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26ECA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7838DF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176</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5DF4DB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研钵</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473D74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瓷或玻璃制，60mm，配有研杵，内部粗糙便于研磨，外部光滑</w:t>
            </w:r>
          </w:p>
        </w:tc>
        <w:tc>
          <w:tcPr>
            <w:tcW w:w="315" w:type="pct"/>
            <w:tcBorders>
              <w:top w:val="single" w:color="000000" w:sz="4" w:space="0"/>
              <w:left w:val="single" w:color="000000" w:sz="4" w:space="0"/>
              <w:bottom w:val="single" w:color="000000" w:sz="4" w:space="0"/>
              <w:right w:val="nil"/>
            </w:tcBorders>
            <w:noWrap w:val="0"/>
            <w:vAlign w:val="center"/>
          </w:tcPr>
          <w:p w14:paraId="611E507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CD100F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7D9BF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411D3B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177</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C04E48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研钵</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27E8FB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瓷或玻璃制，100mm，配有研杵，内部粗糙便于研磨，外部光滑</w:t>
            </w:r>
          </w:p>
        </w:tc>
        <w:tc>
          <w:tcPr>
            <w:tcW w:w="315" w:type="pct"/>
            <w:tcBorders>
              <w:top w:val="single" w:color="000000" w:sz="4" w:space="0"/>
              <w:left w:val="single" w:color="000000" w:sz="4" w:space="0"/>
              <w:bottom w:val="single" w:color="000000" w:sz="4" w:space="0"/>
              <w:right w:val="nil"/>
            </w:tcBorders>
            <w:noWrap w:val="0"/>
            <w:vAlign w:val="center"/>
          </w:tcPr>
          <w:p w14:paraId="4A40246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90E6A3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D4E8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3205A56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178</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9865DB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蒸发皿</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483DE08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瓷制，60mm，耐受温度≥800℃</w:t>
            </w:r>
          </w:p>
        </w:tc>
        <w:tc>
          <w:tcPr>
            <w:tcW w:w="315" w:type="pct"/>
            <w:tcBorders>
              <w:top w:val="single" w:color="000000" w:sz="4" w:space="0"/>
              <w:left w:val="single" w:color="000000" w:sz="4" w:space="0"/>
              <w:bottom w:val="single" w:color="000000" w:sz="4" w:space="0"/>
              <w:right w:val="nil"/>
            </w:tcBorders>
            <w:noWrap w:val="0"/>
            <w:vAlign w:val="center"/>
          </w:tcPr>
          <w:p w14:paraId="65A7EAC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131615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7F6AB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06B1EE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179</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EB08C3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蒸发皿</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7BE218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瓷制，120mm，耐受温度≥800℃</w:t>
            </w:r>
          </w:p>
        </w:tc>
        <w:tc>
          <w:tcPr>
            <w:tcW w:w="315" w:type="pct"/>
            <w:tcBorders>
              <w:top w:val="single" w:color="000000" w:sz="4" w:space="0"/>
              <w:left w:val="single" w:color="000000" w:sz="4" w:space="0"/>
              <w:bottom w:val="single" w:color="000000" w:sz="4" w:space="0"/>
              <w:right w:val="nil"/>
            </w:tcBorders>
            <w:noWrap w:val="0"/>
            <w:vAlign w:val="center"/>
          </w:tcPr>
          <w:p w14:paraId="34195E8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50C6E8B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508E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2DC20A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180</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7D4848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反应板</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4CF1586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白色陶瓷，6孔，表面有釉层，不会发生溶液渗透</w:t>
            </w:r>
          </w:p>
        </w:tc>
        <w:tc>
          <w:tcPr>
            <w:tcW w:w="315" w:type="pct"/>
            <w:tcBorders>
              <w:top w:val="single" w:color="000000" w:sz="4" w:space="0"/>
              <w:left w:val="single" w:color="000000" w:sz="4" w:space="0"/>
              <w:bottom w:val="single" w:color="000000" w:sz="4" w:space="0"/>
              <w:right w:val="nil"/>
            </w:tcBorders>
            <w:noWrap w:val="0"/>
            <w:vAlign w:val="center"/>
          </w:tcPr>
          <w:p w14:paraId="5839C15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5FD404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34901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397E7B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95DFC6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井穴板</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8FDA53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透明塑料，9孔，每孔0.7mL，环保材料，可以重复使用</w:t>
            </w:r>
          </w:p>
        </w:tc>
        <w:tc>
          <w:tcPr>
            <w:tcW w:w="315" w:type="pct"/>
            <w:tcBorders>
              <w:top w:val="single" w:color="000000" w:sz="4" w:space="0"/>
              <w:left w:val="single" w:color="000000" w:sz="4" w:space="0"/>
              <w:bottom w:val="single" w:color="000000" w:sz="4" w:space="0"/>
              <w:right w:val="nil"/>
            </w:tcBorders>
            <w:noWrap w:val="0"/>
            <w:vAlign w:val="center"/>
          </w:tcPr>
          <w:p w14:paraId="0D01148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753309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4FCF7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3EA20C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182</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E3963B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井穴板</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217C77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透明塑料，6孔，每孔5mL，配6个双导气管的井穴塞，可以重复使用</w:t>
            </w:r>
          </w:p>
        </w:tc>
        <w:tc>
          <w:tcPr>
            <w:tcW w:w="315" w:type="pct"/>
            <w:tcBorders>
              <w:top w:val="single" w:color="000000" w:sz="4" w:space="0"/>
              <w:left w:val="single" w:color="000000" w:sz="4" w:space="0"/>
              <w:bottom w:val="single" w:color="000000" w:sz="4" w:space="0"/>
              <w:right w:val="nil"/>
            </w:tcBorders>
            <w:noWrap w:val="0"/>
            <w:vAlign w:val="center"/>
          </w:tcPr>
          <w:p w14:paraId="5DB2C89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7D71C3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7C9C2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6E245D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EBC5A0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塑料多用滴管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CB7524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弹性圆筒形吸泡和一根Φ1mm×120mm的径管连接而成，容积4mL，弹性好</w:t>
            </w:r>
          </w:p>
        </w:tc>
        <w:tc>
          <w:tcPr>
            <w:tcW w:w="315" w:type="pct"/>
            <w:tcBorders>
              <w:top w:val="single" w:color="000000" w:sz="4" w:space="0"/>
              <w:left w:val="single" w:color="000000" w:sz="4" w:space="0"/>
              <w:bottom w:val="single" w:color="000000" w:sz="4" w:space="0"/>
              <w:right w:val="nil"/>
            </w:tcBorders>
            <w:noWrap w:val="0"/>
            <w:vAlign w:val="center"/>
          </w:tcPr>
          <w:p w14:paraId="1D06EE9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4AF1FF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300</w:t>
            </w:r>
          </w:p>
        </w:tc>
      </w:tr>
      <w:tr w14:paraId="6E866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BB674B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7B4ECA3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塑料洗瓶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413DE9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250mL或500mL，水嘴略向下倾斜,口径1mm～2mm，瓶口紧实不漏气</w:t>
            </w:r>
          </w:p>
        </w:tc>
        <w:tc>
          <w:tcPr>
            <w:tcW w:w="315" w:type="pct"/>
            <w:tcBorders>
              <w:top w:val="single" w:color="000000" w:sz="4" w:space="0"/>
              <w:left w:val="single" w:color="000000" w:sz="4" w:space="0"/>
              <w:bottom w:val="single" w:color="000000" w:sz="4" w:space="0"/>
              <w:right w:val="nil"/>
            </w:tcBorders>
            <w:noWrap w:val="0"/>
            <w:vAlign w:val="center"/>
          </w:tcPr>
          <w:p w14:paraId="18F7B7C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157746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6509E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F92D11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413820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透明塑料水槽</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C1AA46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250mm×180mm×100mm</w:t>
            </w:r>
          </w:p>
        </w:tc>
        <w:tc>
          <w:tcPr>
            <w:tcW w:w="315" w:type="pct"/>
            <w:tcBorders>
              <w:top w:val="single" w:color="000000" w:sz="4" w:space="0"/>
              <w:left w:val="single" w:color="000000" w:sz="4" w:space="0"/>
              <w:bottom w:val="single" w:color="000000" w:sz="4" w:space="0"/>
              <w:right w:val="nil"/>
            </w:tcBorders>
            <w:noWrap w:val="0"/>
            <w:vAlign w:val="center"/>
          </w:tcPr>
          <w:p w14:paraId="08A36EF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59880A2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7BF3B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723A3B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186</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5BCE7D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集气瓶挂扣器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19E6C5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适合125mL集气瓶，塑料制</w:t>
            </w:r>
          </w:p>
        </w:tc>
        <w:tc>
          <w:tcPr>
            <w:tcW w:w="315" w:type="pct"/>
            <w:tcBorders>
              <w:top w:val="single" w:color="000000" w:sz="4" w:space="0"/>
              <w:left w:val="single" w:color="000000" w:sz="4" w:space="0"/>
              <w:bottom w:val="single" w:color="000000" w:sz="4" w:space="0"/>
              <w:right w:val="nil"/>
            </w:tcBorders>
            <w:noWrap w:val="0"/>
            <w:vAlign w:val="center"/>
          </w:tcPr>
          <w:p w14:paraId="7A3B2B4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A3F0B6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43900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676EC6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187</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358A94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集气瓶挂扣器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06DDB1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适合250mL集气瓶，塑料制</w:t>
            </w:r>
          </w:p>
        </w:tc>
        <w:tc>
          <w:tcPr>
            <w:tcW w:w="315" w:type="pct"/>
            <w:tcBorders>
              <w:top w:val="single" w:color="000000" w:sz="4" w:space="0"/>
              <w:left w:val="single" w:color="000000" w:sz="4" w:space="0"/>
              <w:bottom w:val="single" w:color="000000" w:sz="4" w:space="0"/>
              <w:right w:val="nil"/>
            </w:tcBorders>
            <w:noWrap w:val="0"/>
            <w:vAlign w:val="center"/>
          </w:tcPr>
          <w:p w14:paraId="669AF8A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B8E975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47E9D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AA27AA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188</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752C15B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铂丝</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0EC489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Φ0.5mm×50mm；具金属柄，可拆卸</w:t>
            </w:r>
          </w:p>
        </w:tc>
        <w:tc>
          <w:tcPr>
            <w:tcW w:w="315" w:type="pct"/>
            <w:tcBorders>
              <w:top w:val="single" w:color="000000" w:sz="4" w:space="0"/>
              <w:left w:val="single" w:color="000000" w:sz="4" w:space="0"/>
              <w:bottom w:val="single" w:color="000000" w:sz="4" w:space="0"/>
              <w:right w:val="nil"/>
            </w:tcBorders>
            <w:noWrap w:val="0"/>
            <w:vAlign w:val="center"/>
          </w:tcPr>
          <w:p w14:paraId="26E622B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FD1C69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1CD2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05B5EB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189</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BCB7F4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水浴锅</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B32A75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铜制</w:t>
            </w:r>
          </w:p>
        </w:tc>
        <w:tc>
          <w:tcPr>
            <w:tcW w:w="315" w:type="pct"/>
            <w:tcBorders>
              <w:top w:val="single" w:color="000000" w:sz="4" w:space="0"/>
              <w:left w:val="single" w:color="000000" w:sz="4" w:space="0"/>
              <w:bottom w:val="single" w:color="000000" w:sz="4" w:space="0"/>
              <w:right w:val="nil"/>
            </w:tcBorders>
            <w:noWrap w:val="0"/>
            <w:vAlign w:val="center"/>
          </w:tcPr>
          <w:p w14:paraId="1CD8181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6DA85E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D17A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D8C0B5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190</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F56828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酒精喷灯</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52CBF4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座式，铜制，壶体容积≥300mL，火焰温度≥1000℃</w:t>
            </w:r>
          </w:p>
        </w:tc>
        <w:tc>
          <w:tcPr>
            <w:tcW w:w="315" w:type="pct"/>
            <w:tcBorders>
              <w:top w:val="single" w:color="000000" w:sz="4" w:space="0"/>
              <w:left w:val="single" w:color="000000" w:sz="4" w:space="0"/>
              <w:bottom w:val="single" w:color="000000" w:sz="4" w:space="0"/>
              <w:right w:val="nil"/>
            </w:tcBorders>
            <w:noWrap w:val="0"/>
            <w:vAlign w:val="center"/>
          </w:tcPr>
          <w:p w14:paraId="068A337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408EC4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5A8F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3B200A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DAF8FE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储气装置</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555671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容积≥2L</w:t>
            </w:r>
          </w:p>
        </w:tc>
        <w:tc>
          <w:tcPr>
            <w:tcW w:w="315" w:type="pct"/>
            <w:tcBorders>
              <w:top w:val="single" w:color="000000" w:sz="4" w:space="0"/>
              <w:left w:val="single" w:color="000000" w:sz="4" w:space="0"/>
              <w:bottom w:val="single" w:color="000000" w:sz="4" w:space="0"/>
              <w:right w:val="nil"/>
            </w:tcBorders>
            <w:noWrap w:val="0"/>
            <w:vAlign w:val="center"/>
          </w:tcPr>
          <w:p w14:paraId="2F3D031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466AA0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770B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CC14AB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192</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F8D8C7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高中化学实验材料</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39B5AE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小刀、棉花、木炭、火柴、蜡烛、焊锡、炭棒、导线、电灯泡、聚光小手电筒、木板、电池、电珠、砂纸、电极材料（石墨、铜、锌、镁、铁、锡等电极）</w:t>
            </w:r>
          </w:p>
        </w:tc>
        <w:tc>
          <w:tcPr>
            <w:tcW w:w="315" w:type="pct"/>
            <w:tcBorders>
              <w:top w:val="single" w:color="000000" w:sz="4" w:space="0"/>
              <w:left w:val="single" w:color="000000" w:sz="4" w:space="0"/>
              <w:bottom w:val="single" w:color="000000" w:sz="4" w:space="0"/>
              <w:right w:val="nil"/>
            </w:tcBorders>
            <w:noWrap w:val="0"/>
            <w:vAlign w:val="center"/>
          </w:tcPr>
          <w:p w14:paraId="6A795C3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份</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D2E3F0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26</w:t>
            </w:r>
          </w:p>
        </w:tc>
      </w:tr>
      <w:tr w14:paraId="14DFE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E33AFC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6C1927A">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数据采集器</w:t>
            </w:r>
          </w:p>
        </w:tc>
        <w:tc>
          <w:tcPr>
            <w:tcW w:w="3363" w:type="pct"/>
            <w:tcBorders>
              <w:top w:val="single" w:color="000000" w:sz="4" w:space="0"/>
              <w:left w:val="single" w:color="000000" w:sz="4" w:space="0"/>
              <w:bottom w:val="single" w:color="000000" w:sz="4" w:space="0"/>
              <w:right w:val="single" w:color="000000" w:sz="4" w:space="0"/>
            </w:tcBorders>
            <w:noWrap w:val="0"/>
            <w:vAlign w:val="top"/>
          </w:tcPr>
          <w:p w14:paraId="3E98D3DF">
            <w:pPr>
              <w:keepNext w:val="0"/>
              <w:keepLines w:val="0"/>
              <w:widowControl/>
              <w:suppressLineNumbers w:val="0"/>
              <w:jc w:val="both"/>
              <w:textAlignment w:val="top"/>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1、模块化结构，透明外壳设计，内含状态、电源指示灯；</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2、与计算机采用USB2.0通讯协议，四路全数字通道，单通道最大采样率20KByte，采集器最大采样率80KByte，数字通道采样精度达5微妙；</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3、通过USB接口供电，无需外接电源，所有端口具备防静电保护功能；</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4、与传感器采用BT自锁接口，支持热插拔，即插即用，传感器可以任意组合，采集分辨率12bits；</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5、内置双处理器主板，CPU主频48Mhz；支持有线/无线状态下的四通道并行采集；</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6、采用插接式结构，可根据实验教学需要，方便有线、无线工作模式切换。</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3B31275D">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台</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354369C">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1FBDD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90BC5B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9D83C7E">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传感器数据显示模块</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1C8F46C">
            <w:pPr>
              <w:keepNext w:val="0"/>
              <w:keepLines w:val="0"/>
              <w:widowControl/>
              <w:suppressLineNumbers w:val="0"/>
              <w:jc w:val="both"/>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1、模块化设计既可以与传感器通过BT接口连接，也可以与计算机通过USB直接连接。数据的获取和上传无需通过数据采集器即可实现；</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2、自带1.8寸彩色LED屏，可实时显示传感器数据；</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3、自动识别传感器及测量范围和分度。无需按键调控，简洁、美观、实用，减少因按键失灵造成的实验功能缺失；</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4、接口采用BT接口连接，自带锁扣，有效防止脱落。同时具有单向连接属性，避免因连接失误导致的数据传输失败。支持热插拔，使用寿命：≥10000次插拔；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5、自带≥8M内存；</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数据上传有线模式：数据显示模块自带miniUSB接口，可与计算机连接。通过软件将数据上传并自动绘制变化图像。导出数据以Excel形式保存，图像可以图片的形式保存。可用于编制实验报告上传至实验评测系统进行数据统计及分析（也可结合学校实际情况上传至云端服务器）；</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7、数据上传无线模式：设备自带二维码，可用移动手持终端（手机、平板等）通过移动端实验软件w扫描，导出实验数据，并绘制变化图线；</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8、自带可充电锂电池，最大电池容量不低于1100MAh。全铜触点，双保电芯，自动锁电。3.7V。满电最大待机续航时间≥240h。可通过专用充电器完成充电，也可通过数据上传有线模式完成充电。</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06C4E1E5">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24F85A2">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4</w:t>
            </w:r>
          </w:p>
        </w:tc>
      </w:tr>
      <w:tr w14:paraId="2CB0E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9"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B2F8EF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DFFAEEC">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传感器转接模块</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A6601E1">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两端分别是BT接头与BT接口转换器，用于特种传感器与无线发射模块或数据显示模块的转接</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1400E099">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F86FCF3">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69F4A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CAF92B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196</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67494E3">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温度传感器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FF8B176">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1、测量范围：-50℃～200℃；</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2、分度：0.1℃；</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3、不锈钢探针，可测各种物体或溶液的温度；</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4、自带传感器固定口，便于传感器固定；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5、自带硬件调零按钮；</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7、采用BT接口，自带锁扣，有效防止脱落。同时具有单向连接属性，避免因连接失误导致的数据传输失败。支持热插拔，使用寿命：≥10000次插拔；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8、支持系统：windows、Android、iOS系统。</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▲提供外观、铅、砷、汞、 甲醛检测合格的检测报告</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38DC8912">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31AB63C">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37BC7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F65BCC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197</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EA45464">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高温传感器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52B174E8">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1、测量范围：0℃～1200℃；</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2、分度：1℃；</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3不锈钢探针，可测高温物体或火焰的温度；</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4、自带传感器固定口，便于传感器固定；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5、自带硬件调零按钮；</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7、采用BT接口，自带锁扣，有效防止脱落。同时具有单向连接属性，避免因连接失误导致的数据传输失败。支持热插拔，使用寿命：≥10000次插拔；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8、支持系统：windows、Android、iOS系统。</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0749A447">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34F531F">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5F6FD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67E939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198</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505EFD3E">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相对压强传感器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53390AC">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1、测量范围：-20kPa～20kPa；</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2、分度：0.01 kPa；</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3、可用于测量气体的相对压强；</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4、自带传感器固定口，便于传感器固定；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5、自带硬件调零按钮；</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7、采用BT接口，自带锁扣，有效防止脱落。同时具有单向连接属性，避免因连接失误导致的数据传输失败。支持热插拔，使用寿命：≥10000次插拔；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8、支持系统：windows、Android、iOS系统。</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75A73F4C">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37E42E9">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2</w:t>
            </w:r>
          </w:p>
        </w:tc>
      </w:tr>
      <w:tr w14:paraId="0C19E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4"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DB32DD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199</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FEAD481">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相对湿度传感器</w:t>
            </w:r>
          </w:p>
        </w:tc>
        <w:tc>
          <w:tcPr>
            <w:tcW w:w="336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CF6732">
            <w:pPr>
              <w:keepNext w:val="0"/>
              <w:keepLines w:val="0"/>
              <w:widowControl/>
              <w:suppressLineNumbers w:val="0"/>
              <w:jc w:val="both"/>
              <w:textAlignment w:val="center"/>
              <w:rPr>
                <w:rFonts w:hint="eastAsia" w:ascii="仿宋" w:hAnsi="仿宋" w:eastAsia="仿宋" w:cs="仿宋"/>
                <w:i w:val="0"/>
                <w:iCs w:val="0"/>
                <w:color w:val="00000A"/>
                <w:kern w:val="2"/>
                <w:sz w:val="21"/>
                <w:szCs w:val="21"/>
                <w:highlight w:val="none"/>
                <w:u w:val="none"/>
                <w:lang w:val="en-US" w:eastAsia="zh-CN" w:bidi="ar-SA"/>
              </w:rPr>
            </w:pPr>
            <w:r>
              <w:rPr>
                <w:rFonts w:hint="eastAsia" w:ascii="仿宋" w:hAnsi="仿宋" w:eastAsia="仿宋" w:cs="仿宋"/>
                <w:i w:val="0"/>
                <w:iCs w:val="0"/>
                <w:color w:val="00000A"/>
                <w:kern w:val="0"/>
                <w:sz w:val="21"/>
                <w:szCs w:val="21"/>
                <w:highlight w:val="none"/>
                <w:u w:val="none"/>
                <w:lang w:val="en-US" w:eastAsia="zh-CN" w:bidi="ar"/>
              </w:rPr>
              <w:t>1、测量范围：0～100%；</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2、分度0.1％；</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3、测量灵感件置于探管中，便于测量罐体的湿度值；</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4、自带传感器固定口，便于传感器固定；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5、自带硬件调零按钮；</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7、采用BT接口，自带锁扣，有效防止脱落。同时具有单向连接属性，避免因连接失误导致的数据传输失败。支持热插拔，使用寿命：≥10000次插拔；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8、支持系统：windows、Android、iOS系统。</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5E692486">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3A23C1E">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38AB6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FF43DE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200</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40CD3A1">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多量程电流传感器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C272670">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1、测量范围：测量范围：-3A～3A；分度：0.01A</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测量范围：-300mA～300mA；分度：0.1mA</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测量范围：-30mA～30mA；分度：0.01 mA</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2、通过按钮切换量程；</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3、自带传感器固定卡槽和螺口，便于和配套实验器材固定；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6、支持系统：windows、Android、iOS系统。</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0A18E1F3">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65B32D1">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7030A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93238B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9D7E489">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pH传感器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4B701F9">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1、测量范围：0-14；</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2、分度：0.01，</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4、自带传感器固定口，便于传感器固定；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7、支持系统：windows、Android、iOS系统。</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080FAC4C">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DBB825F">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00A95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F60032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202</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DE78D41">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多量程电导率传感器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4B6D6F3C">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1、测量范围：0~20000μS/cm；分度：10μS/cm</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测量范围：0~2000μS/cm；分度：1μS/cm</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测量范围：0~200μS/cm；分度：0.1μS/cm</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2、自带传感器固定口，便于传感器固定；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3、自带硬件调零按钮；</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6、支持系统：windows、Android、iOS系统。</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5F6C4F53">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6094CF9">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54FE1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2FC90F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83A990E">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氧气传感器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D62FB73">
            <w:pPr>
              <w:keepNext w:val="0"/>
              <w:keepLines w:val="0"/>
              <w:widowControl/>
              <w:suppressLineNumbers w:val="0"/>
              <w:jc w:val="both"/>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1、测量范围：0～100%；</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2、分度：0.1%；</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3、自带硬件校准按钮；</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6、支持系统：windows、Android、iOS系统。</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7805ED83">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2091373">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548993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0525C3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D01E5AE">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二氧化碳传感器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ED1DBC9">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1、测量范围：0 ppm～50000ppm；</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2、分度1ppm；</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3、红外原理，为保证测量数据准确性和时效性，要求该传感器采用泵动循环，方便气体循环；</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4、自带传感器固定口，便于传感器固定；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5、自带硬件调零按钮；</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7、采用BT接口，自带锁扣，有效防止脱落。同时具有单向连接属性，避免因连接失误导致的数据传输失败。支持热插拔，使用寿命：≥10000次插拔；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8、支持系统：windows、Android、iOS系统。</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273F9EFB">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35D3945">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4B5E6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3F2430D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DEE418A">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色度传感器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943287F">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1、测量范围：透光率0～100％；</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2、分度：0.1％，三波长光源（R、G、B）测量；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5、支持系统：windows、Android、iOS系统。</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1428B0DB">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EEEB4D6">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45E45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8F9F91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206</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5A7C09E2">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浊度传感器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33F0BBC">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1、测量范围：0 NTU～400NTU；</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2、分度：0.1 NTU；</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5、支持系统：windows、Android、iOS系统。</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690329EC">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C7FD7F0">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443BE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5B0382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207</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6F481A5">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一氧化碳传感器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498894F1">
            <w:pPr>
              <w:keepNext w:val="0"/>
              <w:keepLines w:val="0"/>
              <w:widowControl/>
              <w:suppressLineNumbers w:val="0"/>
              <w:jc w:val="both"/>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1、测量范围：0～1000ppm；</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2、分度：1ppm；</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3、自带传感器固定口，便于传感器固定；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4、自带硬件调零按钮；</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7、支持系统：windows、Android、iOS系统。</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502497AD">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534B99B">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53E28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4A8ED9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208</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C8A1E34">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二氧化硫传感器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5B476999">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1、测量范围：0 ppm～20ppm，</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2、分度0.01 ppm；</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3、自带传感器固定口，便于传感器固定；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4、自带硬件调零按钮；</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7、支持系统：windows、Android、iOS系统。</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5FB3B65B">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2F17BC2">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389FD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523AE9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209</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E4A8D62">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氢气传感器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CB8DF96">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1、测量范围：0～100%LEL；</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2、分度：0.1%；</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3、自带传感器固定口，便于传感器固定；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4、自带硬件调零按钮；</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7、支持系统：windows、Android、iOS系统。</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5A92B20A">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AF4DCC5">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49FD7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5D13DA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210</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D1ADD8B">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氯气传感器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946643F">
            <w:pPr>
              <w:keepNext w:val="0"/>
              <w:keepLines w:val="0"/>
              <w:widowControl/>
              <w:suppressLineNumbers w:val="0"/>
              <w:jc w:val="both"/>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1、测量范围：0～20ppm；</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2、分度：1ppm；</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3、自带传感器固定口，便于传感器固定；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4、自带硬件调零按钮；</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7、支持系统：windows、Android、iOS系统。</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01A5235B">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1451E97">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49560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AC0760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927CAD8">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甲烷传感器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3AF11AF">
            <w:pPr>
              <w:keepNext w:val="0"/>
              <w:keepLines w:val="0"/>
              <w:widowControl/>
              <w:suppressLineNumbers w:val="0"/>
              <w:jc w:val="both"/>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1、测量范围：0～5%；</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2、分度：0.01%；</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3、自带传感器固定口，便于传感器固定；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4、自带硬件调零按钮；</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7、支持系统：windows、Android、iOS系统。</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3D4E6AD1">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4ACDDFE">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0161C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A7526A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212</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B01DAC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二氧化氮传感器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5B77B4F9">
            <w:pPr>
              <w:keepNext w:val="0"/>
              <w:keepLines w:val="0"/>
              <w:widowControl/>
              <w:suppressLineNumbers w:val="0"/>
              <w:jc w:val="both"/>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测量范围：0~200ppm；分度：1ppm；用于检测气体中二氧化氮含量；支持与采集器的有线通讯、无线通讯和独立数据显示三种工作方式。</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3365A06A">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3B2F55C">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35AF6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015C8D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04AB0C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氨气传感器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3BD3C10">
            <w:pPr>
              <w:keepNext w:val="0"/>
              <w:keepLines w:val="0"/>
              <w:widowControl/>
              <w:suppressLineNumbers w:val="0"/>
              <w:jc w:val="both"/>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测量范围：0~100ppm；分度：1ppm；用于检测气体中氨气含量；支持与采集器的有线通讯、无线通讯和独立数据显示三种工作方式。</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67D3DF04">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C90A252">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58C5D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03D900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DDF8E2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钾离子传感器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4576D6E1">
            <w:pPr>
              <w:keepNext w:val="0"/>
              <w:keepLines w:val="0"/>
              <w:widowControl/>
              <w:suppressLineNumbers w:val="0"/>
              <w:jc w:val="both"/>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测量范围：0~1mol/L；分度：0.00001mol/L；用于检测溶液中钾离子浓度。支持与采集器的有线通讯、无线和独立数据显示通讯工作方式。</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48AF5A37">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5C8D193">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53349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E15433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9F52D3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氯离子传感器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3DBDB57">
            <w:pPr>
              <w:keepNext w:val="0"/>
              <w:keepLines w:val="0"/>
              <w:widowControl/>
              <w:suppressLineNumbers w:val="0"/>
              <w:jc w:val="both"/>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测量范围：0~1mol/L；分度：0.00001mol/L；用于检测溶液中氯离子浓度。支持与采集器的有线通讯、无线和独立数据显示通讯工作方式。</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5E3D7A36">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7DF58B3">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64C24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A5C925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216</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6C24A2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铵根离子传感器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9BAAC11">
            <w:pPr>
              <w:keepNext w:val="0"/>
              <w:keepLines w:val="0"/>
              <w:widowControl/>
              <w:suppressLineNumbers w:val="0"/>
              <w:jc w:val="both"/>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测量范围：0~1mol/L；分度：0.00001mol/L；用于检测溶液中铵根浓度。支持与采集器的有线通讯、无线和独立数据显示通讯工作方式。</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4ED1BBDA">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9BE825C">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06B6C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FE5143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217</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E4EEFD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硝酸根离子传感器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79FF916">
            <w:pPr>
              <w:keepNext w:val="0"/>
              <w:keepLines w:val="0"/>
              <w:widowControl/>
              <w:suppressLineNumbers w:val="0"/>
              <w:jc w:val="both"/>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测量范围：0~1mol/L；分度：0.00001mol/L；用于检测溶液中硝酸根浓度。支持与采集器的有线通讯、无线和独立数据显示通讯工作方式。</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5FD389D5">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43E6D1E">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58F0A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4CAA7F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218</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7559173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滴定实验装置</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3FBF451A">
            <w:pPr>
              <w:keepNext w:val="0"/>
              <w:keepLines w:val="0"/>
              <w:widowControl/>
              <w:suppressLineNumbers w:val="0"/>
              <w:jc w:val="both"/>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由滴定计数器、专用滴定管、支架、转接器和螺栓组成，用于统计液滴数量、测量液滴体积。</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508CA5C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CA09F3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22B1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E8FC69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219</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8E22A6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多用途生化传感器支架</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352C0E2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机械臂、传感器电极夹及固定夹组成，机械臂固定在实验台边，能在三维空间内灵活移动并准确定位，稳定性好；电极夹口径适合常用生化传感器的电极，方便生化实验操作，具有保护传感器不受损坏、提高空间利用率和实验效率功能。</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0764455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F53617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16B0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9968D7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220</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D616AF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多向转接头</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3D9EAC72">
            <w:pPr>
              <w:keepNext w:val="0"/>
              <w:keepLines w:val="0"/>
              <w:widowControl/>
              <w:suppressLineNumbers w:val="0"/>
              <w:jc w:val="both"/>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配合各类传感器和辅材可进行多向固定</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0EA073D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0FDAF5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268D8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FD046A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221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A563B9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磁力搅拌器</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29ED9511">
            <w:pPr>
              <w:keepNext w:val="0"/>
              <w:keepLines w:val="0"/>
              <w:widowControl/>
              <w:suppressLineNumbers w:val="0"/>
              <w:jc w:val="both"/>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磁力搅拌器由搅拌驱动器、搅拌子、电源适配器构成。最大搅拌量：2L，转速范围：200转/分钟~2000转/分钟；适用于生化实验过程中搅拌低粘稠度的液体或固液混合物。</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0274F7F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BBEB04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4AD9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45C425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222</w:t>
            </w:r>
          </w:p>
        </w:tc>
        <w:tc>
          <w:tcPr>
            <w:tcW w:w="651" w:type="pct"/>
            <w:tcBorders>
              <w:top w:val="single" w:color="000000" w:sz="4" w:space="0"/>
              <w:left w:val="single" w:color="000000" w:sz="4" w:space="0"/>
              <w:bottom w:val="nil"/>
              <w:right w:val="single" w:color="000000" w:sz="4" w:space="0"/>
            </w:tcBorders>
            <w:noWrap w:val="0"/>
            <w:vAlign w:val="center"/>
          </w:tcPr>
          <w:p w14:paraId="242A393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中和热实验器</w:t>
            </w:r>
          </w:p>
        </w:tc>
        <w:tc>
          <w:tcPr>
            <w:tcW w:w="6359" w:type="dxa"/>
            <w:tcBorders>
              <w:top w:val="single" w:color="000000" w:sz="4" w:space="0"/>
              <w:left w:val="single" w:color="000000" w:sz="4" w:space="0"/>
              <w:bottom w:val="nil"/>
              <w:right w:val="single" w:color="000000" w:sz="4" w:space="0"/>
            </w:tcBorders>
            <w:noWrap w:val="0"/>
            <w:vAlign w:val="center"/>
          </w:tcPr>
          <w:p w14:paraId="2A0F3247">
            <w:pPr>
              <w:keepNext w:val="0"/>
              <w:keepLines w:val="0"/>
              <w:widowControl/>
              <w:suppressLineNumbers w:val="0"/>
              <w:jc w:val="both"/>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由反应容器、硅胶塞及注射器构成。配合温度传感器、数据采集器等硬件及中和热专用软件，用于测定强酸与强碱反应的中和热实验。</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7E5F12E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748686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BFE6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14769B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223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76BCE5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原电池实验器</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2C2FDE0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配备方槽、铜锌电极，可以产生微弱电动势。</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09440FA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4AC8C2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5CA1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3FA0C3D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224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3C22FB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溶液稀释池</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42463AAE">
            <w:pPr>
              <w:keepNext w:val="0"/>
              <w:keepLines w:val="0"/>
              <w:widowControl/>
              <w:suppressLineNumbers w:val="0"/>
              <w:jc w:val="both"/>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倒置三角烧杯结构，上端开口，底端封闭，配合实验室匀速滴管使用。用于稀释倍数较大，且对初始溶解有一定量要求的化学实验。</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7A728C1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0B00E9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8D75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3583A6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225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7438406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铁的吸氧腐蚀实验器</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7BAD2F1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宽径浅口玻璃试管及胶塞总成组成。配合温度传感器、压强传感器、及氧气传感器使用，用于中学化学“铁的吸氧腐蚀实验的探究”及“空气中氧气含量的测定”。该器材的设计增大反应物与氧气反应的接触面积，加快反应速率，缩短反应时间，又易于观察和清洗的功能。</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123D737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5D91D18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2B11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E6B441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226</w:t>
            </w:r>
          </w:p>
        </w:tc>
        <w:tc>
          <w:tcPr>
            <w:tcW w:w="651" w:type="pct"/>
            <w:tcBorders>
              <w:top w:val="single" w:color="000000" w:sz="4" w:space="0"/>
              <w:left w:val="single" w:color="000000" w:sz="4" w:space="0"/>
              <w:bottom w:val="nil"/>
              <w:right w:val="single" w:color="000000" w:sz="4" w:space="0"/>
            </w:tcBorders>
            <w:noWrap w:val="0"/>
            <w:vAlign w:val="center"/>
          </w:tcPr>
          <w:p w14:paraId="134558C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酶的特性实验器</w:t>
            </w:r>
          </w:p>
        </w:tc>
        <w:tc>
          <w:tcPr>
            <w:tcW w:w="6359" w:type="dxa"/>
            <w:tcBorders>
              <w:top w:val="single" w:color="000000" w:sz="4" w:space="0"/>
              <w:left w:val="single" w:color="000000" w:sz="4" w:space="0"/>
              <w:bottom w:val="nil"/>
              <w:right w:val="single" w:color="000000" w:sz="4" w:space="0"/>
            </w:tcBorders>
            <w:noWrap w:val="0"/>
            <w:vAlign w:val="center"/>
          </w:tcPr>
          <w:p w14:paraId="72212FC6">
            <w:pPr>
              <w:keepNext w:val="0"/>
              <w:keepLines w:val="0"/>
              <w:widowControl/>
              <w:suppressLineNumbers w:val="0"/>
              <w:jc w:val="both"/>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酶的特性实验器由2只Y型试管、1组支架、2只φ4mm单孔5号橡胶塞、2只等径气管快速接头、2条外径φ4mm软管、2只泄压阀组成。与传感器配套使用，可完成探究酶的专一性、比较过氧化氢在不同条件下的分解、探究pH对酶活性的影响、探究温度对生物酶活性的影响等相关实验。</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547AD41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C1C9589">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3E91D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3A7771D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227</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5B78ECD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密封实验套件</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3DFDBFA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密封实验套件由5只5号橡胶塞（配5种孔径：单孔φ3、φ4、φ12、φ18；双孔φ4）、4只硅胶塞（配4种孔径：单孔φ4、φ12、φ18；双孔φ4）、1只150mL反应瓶、2只硅胶环、2只等径气管快速接头、2只变径气管快速接头、3条外径φ4mm软管组成。与生化传感器及常用实验室器皿配套使用，完成中学相关实验及探究活动。</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22416F0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A6194E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DADF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3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5BB8E0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228</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7416C485">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数字化实验软件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DBAAB50">
            <w:pPr>
              <w:keepNext w:val="0"/>
              <w:keepLines w:val="0"/>
              <w:widowControl/>
              <w:suppressLineNumbers w:val="0"/>
              <w:jc w:val="both"/>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1、为数字化实验分析软件软件。用于数据收集和结果分析。</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2、包含教材通用软件、物理教材专用软件、化学专用软件、生物专用软件、传感器校准软件与数据导入软件六个部分。</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2.1、通用软件：</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1）可实现传感器数据的自动识别及控制：传感器接入后自动识别测量种类、测量范围、分度、单位、通道序号等。可改变传感器的显示方式：数字表、模拟表、示波。可根据实验调整传感器的采样频率、开始与暂停、字体颜色、字号大小、调零、示波图线的移动及大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组合图线：拥有2个完全相同的组合图线显示窗口，可并行使用。通过该功能的应用可完成基于传感器的实时数据变化的描绘和计算表格数据描绘及分析、处理等操作。数据的分析及处理包括：拟合、求导、积分、统计、包格线等。可通过回访功能重复观察实验的变化规律。对图像可根据实验进行放大、缩小。可对引用的传感器进行同步的停止和开始，达到很好的同时性；可对引用的传感器进行同步的调零，达到很好的一致性；可对引用的传感器进行同步采样频率调整，达到很好的精确性；</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计算表格：可自动识别接入的传感器，并按照接入的通道自动标号。可通过变量、公式、求平均、绘图等按钮对数据进行处理。根据不同的实验要求可选择自动记录和手动记录。自动记录可调整时间间隔、选择采样条件，手动记录可根据需要进行点击记录，有效减少无效数据对实验结果的干扰。可引用现有实验模板也可DIY实验模板，并保存。支持表格的复制、粘贴、剪切。具备放大缩小功能，还支持打印机直接引用（无需退出实验软件），进行结果打印。实验结果可通过Excel形式进行保存。也可将保存的数据多次调用。</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（4）实验录制：可同时将实验操作过程和软件的实验界面进行同屏录制，实现了实验现象和数据的对应。解决了数字实验无现象的难题（为减少软件操作复杂性，用其他软件录屏视为功能性缺失。）</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2.2、物理专用软件：界面简洁、风格独特、一键OK的特点。j涵盖了人教、粤教、鲁科等教材的重点实验。明确了实验题目，使用时直接接入传感器即可。大大的方便了课堂教学。实验完全符合现行教材，用户可直接根据教材进行实验操作</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2.3、化学专用软件：涵盖了初高中重点实验，起到温故知新的作用。</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2.4、生物专用软件：涵盖了初高中重点实验，起到温故知新的作用。</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2.5、传感器校准软件：根据国际计量公用应用规范，针对生物、化学传感器进行校准，以减少误差，提高精度。应用于PH、溶解氧、色度、浊度、氧化还原等传感器。</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2.6、数据导入软件：和数据显示模块配合使用，将数据显示模块的数据导入电脑进行长期保存和数据处理。</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3、应用平台：支持windows、Android、iOS系统</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6F72526A">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F355FCA">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74EA1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51542B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229</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D7EC9FF">
            <w:pPr>
              <w:keepNext w:val="0"/>
              <w:keepLines w:val="0"/>
              <w:widowControl/>
              <w:suppressLineNumbers w:val="0"/>
              <w:jc w:val="center"/>
              <w:textAlignment w:val="center"/>
              <w:rPr>
                <w:rFonts w:hint="eastAsia" w:ascii="仿宋" w:hAnsi="仿宋" w:eastAsia="仿宋" w:cs="仿宋"/>
                <w:i w:val="0"/>
                <w:iCs w:val="0"/>
                <w:color w:val="00000A"/>
                <w:kern w:val="0"/>
                <w:sz w:val="21"/>
                <w:szCs w:val="21"/>
                <w:highlight w:val="none"/>
                <w:u w:val="none"/>
                <w:lang w:val="en-US" w:eastAsia="zh-CN" w:bidi="ar"/>
              </w:rPr>
            </w:pPr>
            <w:r>
              <w:rPr>
                <w:rFonts w:hint="eastAsia" w:ascii="仿宋" w:hAnsi="仿宋" w:eastAsia="仿宋" w:cs="仿宋"/>
                <w:i w:val="0"/>
                <w:iCs w:val="0"/>
                <w:color w:val="00000A"/>
                <w:kern w:val="0"/>
                <w:sz w:val="21"/>
                <w:szCs w:val="21"/>
                <w:highlight w:val="none"/>
                <w:u w:val="none"/>
                <w:lang w:val="en-US" w:eastAsia="zh-CN" w:bidi="ar"/>
              </w:rPr>
              <w:t>附件</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15A2578F">
            <w:pPr>
              <w:keepNext w:val="0"/>
              <w:keepLines w:val="0"/>
              <w:widowControl/>
              <w:suppressLineNumbers w:val="0"/>
              <w:jc w:val="left"/>
              <w:textAlignment w:val="center"/>
              <w:rPr>
                <w:rFonts w:hint="eastAsia" w:ascii="仿宋" w:hAnsi="仿宋" w:eastAsia="仿宋" w:cs="仿宋"/>
                <w:i w:val="0"/>
                <w:iCs w:val="0"/>
                <w:color w:val="00000A"/>
                <w:kern w:val="0"/>
                <w:sz w:val="21"/>
                <w:szCs w:val="21"/>
                <w:highlight w:val="none"/>
                <w:u w:val="none"/>
                <w:lang w:val="en-US" w:eastAsia="zh-CN" w:bidi="ar"/>
              </w:rPr>
            </w:pPr>
            <w:r>
              <w:rPr>
                <w:rFonts w:hint="eastAsia" w:ascii="仿宋" w:hAnsi="仿宋" w:eastAsia="仿宋" w:cs="仿宋"/>
                <w:i w:val="0"/>
                <w:iCs w:val="0"/>
                <w:color w:val="00000A"/>
                <w:kern w:val="0"/>
                <w:sz w:val="21"/>
                <w:szCs w:val="21"/>
                <w:highlight w:val="none"/>
                <w:u w:val="none"/>
                <w:lang w:val="en-US" w:eastAsia="zh-CN" w:bidi="ar"/>
              </w:rPr>
              <w:t>1、含USB通讯线1条、转接器4只、传感器线4条；两端为BT插头，插口具有方向性和自锁功能插接方便、配合严密、方便教学；</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2、彩色印刷版高中实验指南书，有详细实验案例介绍（实验器材、实验装置图、实验操作步骤等）。</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7F82D446">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550ED91">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1D2566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F6FC2F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230</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D6A4CBE">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铝合金箱</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185C8EE1">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尺寸≥510*340*175（mm），由铝合金主架、铝塑板面构成，内设隔断海棉内衬传感器铝合金实验箱</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7C4E5C6A">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27D5614">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04083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D2DBB6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231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CF4ADC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放电反应实验仪</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7349E25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通电2min之内即有氮气与氧气反应的现象，消耗功率不大于30W</w:t>
            </w:r>
          </w:p>
        </w:tc>
        <w:tc>
          <w:tcPr>
            <w:tcW w:w="315" w:type="pct"/>
            <w:tcBorders>
              <w:top w:val="single" w:color="000000" w:sz="4" w:space="0"/>
              <w:left w:val="single" w:color="000000" w:sz="4" w:space="0"/>
              <w:bottom w:val="single" w:color="000000" w:sz="4" w:space="0"/>
              <w:right w:val="nil"/>
            </w:tcBorders>
            <w:noWrap w:val="0"/>
            <w:vAlign w:val="center"/>
          </w:tcPr>
          <w:p w14:paraId="70F3167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5406CA1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w:t>
            </w:r>
          </w:p>
        </w:tc>
      </w:tr>
      <w:tr w14:paraId="78577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EAD4E9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232</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6577AC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中和热测定仪</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41ED73A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又称简易量热计，包括反应容器、温度计、环形玻璃搅拌棒</w:t>
            </w:r>
          </w:p>
        </w:tc>
        <w:tc>
          <w:tcPr>
            <w:tcW w:w="315" w:type="pct"/>
            <w:tcBorders>
              <w:top w:val="single" w:color="000000" w:sz="4" w:space="0"/>
              <w:left w:val="single" w:color="000000" w:sz="4" w:space="0"/>
              <w:bottom w:val="single" w:color="000000" w:sz="4" w:space="0"/>
              <w:right w:val="nil"/>
            </w:tcBorders>
            <w:noWrap w:val="0"/>
            <w:vAlign w:val="center"/>
          </w:tcPr>
          <w:p w14:paraId="0A047D8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8692C7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760D4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344EBDF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233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94FA72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原电池实验器</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7B67E29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包括缸体、带固定接线柱和电极夹的缸体盖板、铜电极板、锌电极板、铁电极板、碳棒、发光二极管、导线等</w:t>
            </w:r>
          </w:p>
        </w:tc>
        <w:tc>
          <w:tcPr>
            <w:tcW w:w="315" w:type="pct"/>
            <w:tcBorders>
              <w:top w:val="single" w:color="000000" w:sz="4" w:space="0"/>
              <w:left w:val="single" w:color="000000" w:sz="4" w:space="0"/>
              <w:bottom w:val="single" w:color="000000" w:sz="4" w:space="0"/>
              <w:right w:val="nil"/>
            </w:tcBorders>
            <w:noWrap w:val="0"/>
            <w:vAlign w:val="center"/>
          </w:tcPr>
          <w:p w14:paraId="6D6A590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6D15F8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3706F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1FDD28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234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75E8B69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氢燃料电池实验器</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38422F2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含一个质子交换膜电极，膜电极不小于15mm×15mm</w:t>
            </w:r>
          </w:p>
        </w:tc>
        <w:tc>
          <w:tcPr>
            <w:tcW w:w="315" w:type="pct"/>
            <w:tcBorders>
              <w:top w:val="single" w:color="000000" w:sz="4" w:space="0"/>
              <w:left w:val="single" w:color="000000" w:sz="4" w:space="0"/>
              <w:bottom w:val="single" w:color="000000" w:sz="4" w:space="0"/>
              <w:right w:val="nil"/>
            </w:tcBorders>
            <w:noWrap w:val="0"/>
            <w:vAlign w:val="center"/>
          </w:tcPr>
          <w:p w14:paraId="71839A7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784811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50F3D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9B2375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235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8A3C9A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二氧化氮球</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004523A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双球，内封二氧化氮和四氧化二氮混合气体</w:t>
            </w:r>
          </w:p>
        </w:tc>
        <w:tc>
          <w:tcPr>
            <w:tcW w:w="315" w:type="pct"/>
            <w:tcBorders>
              <w:top w:val="single" w:color="000000" w:sz="4" w:space="0"/>
              <w:left w:val="single" w:color="000000" w:sz="4" w:space="0"/>
              <w:bottom w:val="single" w:color="000000" w:sz="4" w:space="0"/>
              <w:right w:val="nil"/>
            </w:tcBorders>
            <w:noWrap w:val="0"/>
            <w:vAlign w:val="center"/>
          </w:tcPr>
          <w:p w14:paraId="709E4AB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2BAF65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28FC2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013531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236</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C76AE3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溶液导电演示器</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57F163B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产品由数显电流表、选择开关、耐酸碱透明带盖容器盒，不锈钢电极、黄铜插头、插头座、背板、底座等配件组成。产品DC6V供电，电极与黄铜插头均安装在容器盖上，与插头座插拔方便，0.8寸三位数显表头满量程显示13.6mA、9.99mA以下显两位小数，旋动选择开关可依次测量五种不同溶液或不同浓度溶液导电性，操作简单，读数精准，极简实验教学。</w:t>
            </w:r>
          </w:p>
        </w:tc>
        <w:tc>
          <w:tcPr>
            <w:tcW w:w="315" w:type="pct"/>
            <w:tcBorders>
              <w:top w:val="single" w:color="000000" w:sz="4" w:space="0"/>
              <w:left w:val="single" w:color="000000" w:sz="4" w:space="0"/>
              <w:bottom w:val="single" w:color="000000" w:sz="4" w:space="0"/>
              <w:right w:val="nil"/>
            </w:tcBorders>
            <w:noWrap w:val="0"/>
            <w:vAlign w:val="center"/>
          </w:tcPr>
          <w:p w14:paraId="21EC2FA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53E2EB9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2C47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DF9CC4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237</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645D08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教师用分子结构模型</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5474E9C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球棍式，氢原子球直径不小于30mm，其他原子球直径不小于40mm</w:t>
            </w:r>
          </w:p>
        </w:tc>
        <w:tc>
          <w:tcPr>
            <w:tcW w:w="315" w:type="pct"/>
            <w:tcBorders>
              <w:top w:val="single" w:color="000000" w:sz="4" w:space="0"/>
              <w:left w:val="single" w:color="000000" w:sz="4" w:space="0"/>
              <w:bottom w:val="single" w:color="000000" w:sz="4" w:space="0"/>
              <w:right w:val="nil"/>
            </w:tcBorders>
            <w:noWrap w:val="0"/>
            <w:vAlign w:val="center"/>
          </w:tcPr>
          <w:p w14:paraId="5ABBA94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EB2A4D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r>
      <w:tr w14:paraId="2DD6E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3C84B3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238</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7FE973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教师用分子结构模型</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3F72807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空间充填式</w:t>
            </w:r>
          </w:p>
        </w:tc>
        <w:tc>
          <w:tcPr>
            <w:tcW w:w="315" w:type="pct"/>
            <w:tcBorders>
              <w:top w:val="single" w:color="000000" w:sz="4" w:space="0"/>
              <w:left w:val="single" w:color="000000" w:sz="4" w:space="0"/>
              <w:bottom w:val="single" w:color="000000" w:sz="4" w:space="0"/>
              <w:right w:val="nil"/>
            </w:tcBorders>
            <w:noWrap w:val="0"/>
            <w:vAlign w:val="center"/>
          </w:tcPr>
          <w:p w14:paraId="18D16F1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697BA2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r>
      <w:tr w14:paraId="031CB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D33598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239</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7F91B3F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学生用分子结构模型</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2728C64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球棍式，氢原子球直径不小于23mm，其他原子球直径不小于30mm</w:t>
            </w:r>
          </w:p>
        </w:tc>
        <w:tc>
          <w:tcPr>
            <w:tcW w:w="315" w:type="pct"/>
            <w:tcBorders>
              <w:top w:val="single" w:color="000000" w:sz="4" w:space="0"/>
              <w:left w:val="single" w:color="000000" w:sz="4" w:space="0"/>
              <w:bottom w:val="single" w:color="000000" w:sz="4" w:space="0"/>
              <w:right w:val="nil"/>
            </w:tcBorders>
            <w:noWrap w:val="0"/>
            <w:vAlign w:val="center"/>
          </w:tcPr>
          <w:p w14:paraId="4E9BBE7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EF59A5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64AEC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3529B61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240</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5505A57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光化学实验演示器</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2434B8D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能演示甲烷与氯气的反应</w:t>
            </w:r>
          </w:p>
        </w:tc>
        <w:tc>
          <w:tcPr>
            <w:tcW w:w="315" w:type="pct"/>
            <w:tcBorders>
              <w:top w:val="single" w:color="000000" w:sz="4" w:space="0"/>
              <w:left w:val="single" w:color="000000" w:sz="4" w:space="0"/>
              <w:bottom w:val="single" w:color="000000" w:sz="4" w:space="0"/>
              <w:right w:val="nil"/>
            </w:tcBorders>
            <w:noWrap w:val="0"/>
            <w:vAlign w:val="center"/>
          </w:tcPr>
          <w:p w14:paraId="062D8F7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E94C29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7E0F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0DC430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241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6E0F31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有机高分子材料标本</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76DCD6E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包括但不局限于聚乙烯、聚氯乙烯、聚苯乙烯、聚四氟乙烯、聚甲基丙烯酸甲酯、酚醛树脂、涤纶、尼龙、芳纶、顺丁橡胶、离子交换膜、可降解材料等</w:t>
            </w:r>
          </w:p>
        </w:tc>
        <w:tc>
          <w:tcPr>
            <w:tcW w:w="315" w:type="pct"/>
            <w:tcBorders>
              <w:top w:val="single" w:color="000000" w:sz="4" w:space="0"/>
              <w:left w:val="single" w:color="000000" w:sz="4" w:space="0"/>
              <w:bottom w:val="single" w:color="000000" w:sz="4" w:space="0"/>
              <w:right w:val="nil"/>
            </w:tcBorders>
            <w:noWrap w:val="0"/>
            <w:vAlign w:val="center"/>
          </w:tcPr>
          <w:p w14:paraId="6872BCE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E7331A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3B34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206504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242</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F07849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原子轨道模型</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31242EF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s、px、py、pz、dx2-y2、dz2、dxy、dyz、dzx</w:t>
            </w:r>
          </w:p>
        </w:tc>
        <w:tc>
          <w:tcPr>
            <w:tcW w:w="315" w:type="pct"/>
            <w:tcBorders>
              <w:top w:val="single" w:color="000000" w:sz="4" w:space="0"/>
              <w:left w:val="single" w:color="000000" w:sz="4" w:space="0"/>
              <w:bottom w:val="single" w:color="000000" w:sz="4" w:space="0"/>
              <w:right w:val="nil"/>
            </w:tcBorders>
            <w:noWrap w:val="0"/>
            <w:vAlign w:val="center"/>
          </w:tcPr>
          <w:p w14:paraId="63D6C34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7ACE6A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9793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F717B5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243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E6F8A1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元素周期表</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7995D67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有外围电子层排布，≥150cm×110cm，字迹信息清晰，正确，易于观看</w:t>
            </w:r>
          </w:p>
        </w:tc>
        <w:tc>
          <w:tcPr>
            <w:tcW w:w="315" w:type="pct"/>
            <w:tcBorders>
              <w:top w:val="single" w:color="000000" w:sz="4" w:space="0"/>
              <w:left w:val="single" w:color="000000" w:sz="4" w:space="0"/>
              <w:bottom w:val="single" w:color="000000" w:sz="4" w:space="0"/>
              <w:right w:val="nil"/>
            </w:tcBorders>
            <w:noWrap w:val="0"/>
            <w:vAlign w:val="center"/>
          </w:tcPr>
          <w:p w14:paraId="6336AE4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件</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FE808D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07E2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1FBEA6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244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7C33767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轨道重叠方式模型</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6C388ED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σ键模型（s-s、s-p、p-p）、π键模型（简单的p-pπ键、N2分子的两个π键）</w:t>
            </w:r>
          </w:p>
        </w:tc>
        <w:tc>
          <w:tcPr>
            <w:tcW w:w="315" w:type="pct"/>
            <w:tcBorders>
              <w:top w:val="single" w:color="000000" w:sz="4" w:space="0"/>
              <w:left w:val="single" w:color="000000" w:sz="4" w:space="0"/>
              <w:bottom w:val="single" w:color="000000" w:sz="4" w:space="0"/>
              <w:right w:val="nil"/>
            </w:tcBorders>
            <w:noWrap w:val="0"/>
            <w:vAlign w:val="center"/>
          </w:tcPr>
          <w:p w14:paraId="195770A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6C60FB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2F577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128609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245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0D97F2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分子空间结构模型</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FCDB7F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包括CO2、H2O、HCHO、NH3、CH4、P4、P4O6、P4O10、C60、船式C6H12、椅式C6H12、S8、SF6</w:t>
            </w:r>
          </w:p>
        </w:tc>
        <w:tc>
          <w:tcPr>
            <w:tcW w:w="315" w:type="pct"/>
            <w:tcBorders>
              <w:top w:val="single" w:color="000000" w:sz="4" w:space="0"/>
              <w:left w:val="single" w:color="000000" w:sz="4" w:space="0"/>
              <w:bottom w:val="single" w:color="000000" w:sz="4" w:space="0"/>
              <w:right w:val="nil"/>
            </w:tcBorders>
            <w:noWrap w:val="0"/>
            <w:vAlign w:val="center"/>
          </w:tcPr>
          <w:p w14:paraId="5283432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09ED18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CD9D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1F4A23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246</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52E0309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原子杂化轨道模型</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55E3578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sp、sp2、sp3</w:t>
            </w:r>
          </w:p>
        </w:tc>
        <w:tc>
          <w:tcPr>
            <w:tcW w:w="315" w:type="pct"/>
            <w:tcBorders>
              <w:top w:val="single" w:color="000000" w:sz="4" w:space="0"/>
              <w:left w:val="single" w:color="000000" w:sz="4" w:space="0"/>
              <w:bottom w:val="single" w:color="000000" w:sz="4" w:space="0"/>
              <w:right w:val="nil"/>
            </w:tcBorders>
            <w:noWrap w:val="0"/>
            <w:vAlign w:val="center"/>
          </w:tcPr>
          <w:p w14:paraId="136B9AE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件</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06A3F2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2F9B6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BA093A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247</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1D9CC8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价层电子对互斥模型</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43037AF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CO2、SO2、CO32-、H2O、SO3、NH3、CH4</w:t>
            </w:r>
          </w:p>
        </w:tc>
        <w:tc>
          <w:tcPr>
            <w:tcW w:w="315" w:type="pct"/>
            <w:tcBorders>
              <w:top w:val="single" w:color="000000" w:sz="4" w:space="0"/>
              <w:left w:val="single" w:color="000000" w:sz="4" w:space="0"/>
              <w:bottom w:val="single" w:color="000000" w:sz="4" w:space="0"/>
              <w:right w:val="nil"/>
            </w:tcBorders>
            <w:noWrap w:val="0"/>
            <w:vAlign w:val="center"/>
          </w:tcPr>
          <w:p w14:paraId="1BB1DC0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件</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53643BA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2DF6B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26C7DD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248</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7F5F0C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金属晶体结构模型</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5D11D98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包括但不局限于Cu、Na、Zn等球直径不小于30mm可通过创客方式自制</w:t>
            </w:r>
          </w:p>
        </w:tc>
        <w:tc>
          <w:tcPr>
            <w:tcW w:w="315" w:type="pct"/>
            <w:tcBorders>
              <w:top w:val="single" w:color="000000" w:sz="4" w:space="0"/>
              <w:left w:val="single" w:color="000000" w:sz="4" w:space="0"/>
              <w:bottom w:val="single" w:color="000000" w:sz="4" w:space="0"/>
              <w:right w:val="nil"/>
            </w:tcBorders>
            <w:noWrap w:val="0"/>
            <w:vAlign w:val="center"/>
          </w:tcPr>
          <w:p w14:paraId="3B101D1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280608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39A8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2316AA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249</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5C2F2AD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离子晶体结构模型</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146BEDA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包括但不局限于氯化钠、氯化铯等球直径不小于30mm可通过创客方式自制</w:t>
            </w:r>
          </w:p>
        </w:tc>
        <w:tc>
          <w:tcPr>
            <w:tcW w:w="315" w:type="pct"/>
            <w:tcBorders>
              <w:top w:val="single" w:color="000000" w:sz="4" w:space="0"/>
              <w:left w:val="single" w:color="000000" w:sz="4" w:space="0"/>
              <w:bottom w:val="single" w:color="000000" w:sz="4" w:space="0"/>
              <w:right w:val="nil"/>
            </w:tcBorders>
            <w:noWrap w:val="0"/>
            <w:vAlign w:val="center"/>
          </w:tcPr>
          <w:p w14:paraId="4D4783E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0426B1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AEED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79E0B2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B61BD0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共价晶体结构模型</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5306D2B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包括但不局限于金刚石、二氧化硅等球直径不小于30mm可通过创客方式自制</w:t>
            </w:r>
          </w:p>
        </w:tc>
        <w:tc>
          <w:tcPr>
            <w:tcW w:w="315" w:type="pct"/>
            <w:tcBorders>
              <w:top w:val="single" w:color="000000" w:sz="4" w:space="0"/>
              <w:left w:val="single" w:color="000000" w:sz="4" w:space="0"/>
              <w:bottom w:val="single" w:color="000000" w:sz="4" w:space="0"/>
              <w:right w:val="nil"/>
            </w:tcBorders>
            <w:noWrap w:val="0"/>
            <w:vAlign w:val="center"/>
          </w:tcPr>
          <w:p w14:paraId="4EF9792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20293C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2B031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7B08ED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4699CE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分子晶体结构模型</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2E23FE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包括但不局限于C60、冰、干冰、碘、天然气水合物等球直径不小于30mm可通过创客方式自制</w:t>
            </w:r>
          </w:p>
        </w:tc>
        <w:tc>
          <w:tcPr>
            <w:tcW w:w="315" w:type="pct"/>
            <w:tcBorders>
              <w:top w:val="single" w:color="000000" w:sz="4" w:space="0"/>
              <w:left w:val="single" w:color="000000" w:sz="4" w:space="0"/>
              <w:bottom w:val="single" w:color="000000" w:sz="4" w:space="0"/>
              <w:right w:val="nil"/>
            </w:tcBorders>
            <w:noWrap w:val="0"/>
            <w:vAlign w:val="center"/>
          </w:tcPr>
          <w:p w14:paraId="79D7F1F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5A4C94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9077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27E911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252</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55C44D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混合型晶体结构模型</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2581032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石墨球直径不小于30mm可通过创客方式自制</w:t>
            </w:r>
          </w:p>
        </w:tc>
        <w:tc>
          <w:tcPr>
            <w:tcW w:w="315" w:type="pct"/>
            <w:tcBorders>
              <w:top w:val="single" w:color="000000" w:sz="4" w:space="0"/>
              <w:left w:val="single" w:color="000000" w:sz="4" w:space="0"/>
              <w:bottom w:val="single" w:color="000000" w:sz="4" w:space="0"/>
              <w:right w:val="nil"/>
            </w:tcBorders>
            <w:noWrap w:val="0"/>
            <w:vAlign w:val="center"/>
          </w:tcPr>
          <w:p w14:paraId="0756D1D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1928E2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9AE5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CBA4A9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70CBB46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晶体标本</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6A8D540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包括但不局限于氯化钠、硫黄、碘、高锰酸钾、胆矾等</w:t>
            </w:r>
          </w:p>
        </w:tc>
        <w:tc>
          <w:tcPr>
            <w:tcW w:w="315" w:type="pct"/>
            <w:tcBorders>
              <w:top w:val="single" w:color="000000" w:sz="4" w:space="0"/>
              <w:left w:val="single" w:color="000000" w:sz="4" w:space="0"/>
              <w:bottom w:val="single" w:color="000000" w:sz="4" w:space="0"/>
              <w:right w:val="nil"/>
            </w:tcBorders>
            <w:noWrap w:val="0"/>
            <w:vAlign w:val="center"/>
          </w:tcPr>
          <w:p w14:paraId="187E08B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盒</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F035CB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2DBA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131C02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3A8977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非晶体标本</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7B720C5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包括但不局限于玻璃、炭黑等</w:t>
            </w:r>
          </w:p>
        </w:tc>
        <w:tc>
          <w:tcPr>
            <w:tcW w:w="315" w:type="pct"/>
            <w:tcBorders>
              <w:top w:val="single" w:color="000000" w:sz="4" w:space="0"/>
              <w:left w:val="single" w:color="000000" w:sz="4" w:space="0"/>
              <w:bottom w:val="single" w:color="000000" w:sz="4" w:space="0"/>
              <w:right w:val="nil"/>
            </w:tcBorders>
            <w:noWrap w:val="0"/>
            <w:vAlign w:val="center"/>
          </w:tcPr>
          <w:p w14:paraId="3EE8F5D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盒</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CBF4B6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164D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CE33D2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9B5998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金属矿物标本</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07B8BA9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包括但不局限于萤石、刚玉、黄玉、正长石、磷灰石、方解石、石膏（生、熟）、滑石、孔雀石、云母等</w:t>
            </w:r>
          </w:p>
        </w:tc>
        <w:tc>
          <w:tcPr>
            <w:tcW w:w="315" w:type="pct"/>
            <w:tcBorders>
              <w:top w:val="single" w:color="000000" w:sz="4" w:space="0"/>
              <w:left w:val="single" w:color="000000" w:sz="4" w:space="0"/>
              <w:bottom w:val="single" w:color="000000" w:sz="4" w:space="0"/>
              <w:right w:val="nil"/>
            </w:tcBorders>
            <w:noWrap w:val="0"/>
            <w:vAlign w:val="center"/>
          </w:tcPr>
          <w:p w14:paraId="62B87DB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盒</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799887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29F83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A3EC93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256</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A319BE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非金属矿物标本</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7DC5685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包括但不局限于玛瑙、水晶、金刚砂等</w:t>
            </w:r>
          </w:p>
        </w:tc>
        <w:tc>
          <w:tcPr>
            <w:tcW w:w="315" w:type="pct"/>
            <w:tcBorders>
              <w:top w:val="single" w:color="000000" w:sz="4" w:space="0"/>
              <w:left w:val="single" w:color="000000" w:sz="4" w:space="0"/>
              <w:bottom w:val="single" w:color="000000" w:sz="4" w:space="0"/>
              <w:right w:val="nil"/>
            </w:tcBorders>
            <w:noWrap w:val="0"/>
            <w:vAlign w:val="center"/>
          </w:tcPr>
          <w:p w14:paraId="6254A08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盒</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39D41C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bl>
    <w:p w14:paraId="1AD2679B">
      <w:pPr>
        <w:pStyle w:val="2"/>
        <w:rPr>
          <w:rFonts w:hint="eastAsia" w:ascii="仿宋" w:hAnsi="仿宋" w:eastAsia="仿宋" w:cs="仿宋"/>
          <w:b/>
          <w:bCs/>
          <w:sz w:val="24"/>
          <w:szCs w:val="24"/>
          <w:highlight w:val="none"/>
          <w:lang w:val="en-US" w:eastAsia="zh-CN"/>
        </w:rPr>
      </w:pPr>
    </w:p>
    <w:p w14:paraId="20C59BE8">
      <w:pPr>
        <w:pStyle w:val="2"/>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9、高中生物学教学仪器</w:t>
      </w:r>
    </w:p>
    <w:tbl>
      <w:tblPr>
        <w:tblStyle w:val="6"/>
        <w:tblW w:w="506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41"/>
        <w:gridCol w:w="941"/>
        <w:gridCol w:w="6711"/>
        <w:gridCol w:w="635"/>
        <w:gridCol w:w="652"/>
      </w:tblGrid>
      <w:tr w14:paraId="3A772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334" w:type="pct"/>
            <w:tcBorders>
              <w:top w:val="single" w:color="000000" w:sz="4" w:space="0"/>
              <w:left w:val="single" w:color="000000" w:sz="4" w:space="0"/>
              <w:bottom w:val="nil"/>
              <w:right w:val="single" w:color="000000" w:sz="4" w:space="0"/>
            </w:tcBorders>
            <w:noWrap/>
            <w:vAlign w:val="center"/>
          </w:tcPr>
          <w:p w14:paraId="55C0C4F5">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序号</w:t>
            </w:r>
          </w:p>
        </w:tc>
        <w:tc>
          <w:tcPr>
            <w:tcW w:w="491" w:type="pct"/>
            <w:tcBorders>
              <w:top w:val="single" w:color="000000" w:sz="4" w:space="0"/>
              <w:left w:val="nil"/>
              <w:bottom w:val="nil"/>
              <w:right w:val="single" w:color="000000" w:sz="4" w:space="0"/>
            </w:tcBorders>
            <w:noWrap/>
            <w:vAlign w:val="center"/>
          </w:tcPr>
          <w:p w14:paraId="347E1518">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产品名称</w:t>
            </w:r>
          </w:p>
        </w:tc>
        <w:tc>
          <w:tcPr>
            <w:tcW w:w="3502" w:type="pct"/>
            <w:tcBorders>
              <w:top w:val="single" w:color="000000" w:sz="4" w:space="0"/>
              <w:left w:val="single" w:color="000000" w:sz="4" w:space="0"/>
              <w:bottom w:val="nil"/>
              <w:right w:val="single" w:color="000000" w:sz="4" w:space="0"/>
            </w:tcBorders>
            <w:noWrap w:val="0"/>
            <w:vAlign w:val="center"/>
          </w:tcPr>
          <w:p w14:paraId="6C829A95">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规格参数</w:t>
            </w:r>
          </w:p>
        </w:tc>
        <w:tc>
          <w:tcPr>
            <w:tcW w:w="331" w:type="pct"/>
            <w:tcBorders>
              <w:top w:val="single" w:color="000000" w:sz="4" w:space="0"/>
              <w:left w:val="single" w:color="000000" w:sz="4" w:space="0"/>
              <w:bottom w:val="nil"/>
              <w:right w:val="single" w:color="000000" w:sz="4" w:space="0"/>
            </w:tcBorders>
            <w:noWrap/>
            <w:vAlign w:val="center"/>
          </w:tcPr>
          <w:p w14:paraId="4C6CF0CD">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单位</w:t>
            </w:r>
          </w:p>
        </w:tc>
        <w:tc>
          <w:tcPr>
            <w:tcW w:w="340" w:type="pct"/>
            <w:tcBorders>
              <w:top w:val="single" w:color="000000" w:sz="4" w:space="0"/>
              <w:left w:val="single" w:color="000000" w:sz="4" w:space="0"/>
              <w:bottom w:val="nil"/>
              <w:right w:val="single" w:color="000000" w:sz="4" w:space="0"/>
            </w:tcBorders>
            <w:noWrap/>
            <w:vAlign w:val="center"/>
          </w:tcPr>
          <w:p w14:paraId="3F5E1C37">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数量</w:t>
            </w:r>
          </w:p>
        </w:tc>
      </w:tr>
      <w:tr w14:paraId="7C39C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0"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3CB91C9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83A298A">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数据采集器</w:t>
            </w:r>
          </w:p>
        </w:tc>
        <w:tc>
          <w:tcPr>
            <w:tcW w:w="3502" w:type="pct"/>
            <w:tcBorders>
              <w:top w:val="single" w:color="000000" w:sz="4" w:space="0"/>
              <w:left w:val="single" w:color="000000" w:sz="4" w:space="0"/>
              <w:bottom w:val="single" w:color="000000" w:sz="4" w:space="0"/>
              <w:right w:val="single" w:color="000000" w:sz="4" w:space="0"/>
            </w:tcBorders>
            <w:noWrap w:val="0"/>
            <w:vAlign w:val="top"/>
          </w:tcPr>
          <w:p w14:paraId="62169240">
            <w:pPr>
              <w:keepNext w:val="0"/>
              <w:keepLines w:val="0"/>
              <w:widowControl/>
              <w:suppressLineNumbers w:val="0"/>
              <w:jc w:val="both"/>
              <w:textAlignment w:val="top"/>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1、模块化结构，透明外壳设计，内含状态、电源指示灯；</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2、与计算机采用USB2.0通讯协议，四路全数字通道，单通道最大采样率20KByte，采集器最大采样率80KByte，数字通道采样精度达5微妙；</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3、通过USB接口供电，无需外接电源，所有端口具备防静电保护功能；</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4、与传感器采用BT自锁接口，支持热插拔，即插即用，传感器可以任意组合，采集分辨率12bits；</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5、内置双处理器主板，CPU主频48Mhz；支持有线/无线状态下的四通道并行采集；</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6、采用插接式结构，可根据实验教学需要，方便有线、无线工作模式切换。</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2D46A486">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台</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408069BC">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2352E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506A590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662F5CBD">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传感器数据显示模块</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51DF02BE">
            <w:pPr>
              <w:keepNext w:val="0"/>
              <w:keepLines w:val="0"/>
              <w:widowControl/>
              <w:suppressLineNumbers w:val="0"/>
              <w:jc w:val="both"/>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1、模块化设计既可以与传感器通过BT接口连接，也可以与计算机通过USB直接连接。数据的获取和上传无需通过数据采集器即可实现；</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2、自带1.8寸彩色LED屏，可实时显示传感器数据；</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3、自动识别传感器及测量范围和分度。无需按键调控，简洁、美观、实用，减少因按键失灵造成的实验功能缺失；</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4、接口采用BT接口连接，自带锁扣，有效防止脱落。同时具有单向连接属性，避免因连接失误导致的数据传输失败。支持热插拔，使用寿命：≥10000次插拔；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5、自带≥8M内存；</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数据上传有线模式：数据显示模块自带miniUSB接口，可与计算机连接。通过软件将数据上传并自动绘制变化图像。导出数据以Excel形式保存，图像可以图片的形式保存。可用于编制实验报告上传至实验评测系统进行数据统计及分析（也可结合学校实际情况上传至云端服务器）；</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7、数据上传无线模式：设备自带二维码，可用移动手持终端（手机、平板等）通过移动端实验软件y扫描，导出实验数据，并绘制变化图线；</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8、自带可充电锂电池，最大电池容量不低于1100MAh。全铜触点，双保电芯，自动锁电。3.7V。满电最大待机续航时间≥240h。可通过专用充电器完成充电，也可通过数据上传有线模式完成充电。</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4114F893">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F33875F">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2</w:t>
            </w:r>
          </w:p>
        </w:tc>
      </w:tr>
      <w:tr w14:paraId="022ED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24B117C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D1A5332">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传感器转接模块</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2277638F">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两端分别是BT接头与BT接口转换器，用于特种传感器与无线发射模块或数据显示模块的转接</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5FCE6FCD">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33C9597D">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47148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0"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54C67CE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3126203">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温度传感器</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3FB11DC1">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1、测量范围：-50℃～200℃；</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2、分度：0.1℃；</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3、不锈钢探针，可测各种物体或溶液的温度；</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4、自带传感器固定口，便于传感器固定；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5、自带硬件调零按钮；</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7、采用BT接口，自带锁扣，有效防止脱落。同时具有单向连接属性，避免因连接失误导致的数据传输失败。支持热插拔，使用寿命：≥10000次插拔；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8、支持系统：windows、Android、iOS系统。</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24F5A316">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459FE19C">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4561F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3"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1B0189F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707E929">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相对压强传感器</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0BCEC4A0">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1、测量范围：-20kPa~+20kPa；</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2、分度：0.01 kPa；</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3、可用于测量气体的相对压强；</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4、自带传感器固定口，便于传感器固定；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5、自带硬件调零按钮；</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7、采用BT接口，自带锁扣，有效防止脱落。同时具有单向连接属性，避免因连接失误导致的数据传输失败。支持热插拔，使用寿命：≥10000次插拔；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8、支持系统：windows、Android、iOS系统。</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55B26357">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29600FDE">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2</w:t>
            </w:r>
          </w:p>
        </w:tc>
      </w:tr>
      <w:tr w14:paraId="38184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0A4BCF6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AF64B21">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相对湿度传感器</w:t>
            </w:r>
          </w:p>
        </w:tc>
        <w:tc>
          <w:tcPr>
            <w:tcW w:w="350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86E12F">
            <w:pPr>
              <w:keepNext w:val="0"/>
              <w:keepLines w:val="0"/>
              <w:widowControl/>
              <w:suppressLineNumbers w:val="0"/>
              <w:jc w:val="both"/>
              <w:textAlignment w:val="center"/>
              <w:rPr>
                <w:rFonts w:hint="eastAsia" w:ascii="仿宋" w:hAnsi="仿宋" w:eastAsia="仿宋" w:cs="仿宋"/>
                <w:i w:val="0"/>
                <w:iCs w:val="0"/>
                <w:color w:val="00000A"/>
                <w:kern w:val="2"/>
                <w:sz w:val="21"/>
                <w:szCs w:val="21"/>
                <w:highlight w:val="none"/>
                <w:u w:val="none"/>
                <w:lang w:val="en-US" w:eastAsia="zh-CN" w:bidi="ar-SA"/>
              </w:rPr>
            </w:pPr>
            <w:r>
              <w:rPr>
                <w:rFonts w:hint="eastAsia" w:ascii="仿宋" w:hAnsi="仿宋" w:eastAsia="仿宋" w:cs="仿宋"/>
                <w:i w:val="0"/>
                <w:iCs w:val="0"/>
                <w:color w:val="00000A"/>
                <w:kern w:val="0"/>
                <w:sz w:val="21"/>
                <w:szCs w:val="21"/>
                <w:highlight w:val="none"/>
                <w:u w:val="none"/>
                <w:lang w:val="en-US" w:eastAsia="zh-CN" w:bidi="ar"/>
              </w:rPr>
              <w:t>1、测量范围：0～100%；</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2、分度0.1％；</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3、测量灵感件置于探管中，便于测量罐体的湿度值；</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4、自带传感器固定口，便于传感器固定；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5、自带硬件调零按钮；</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7、采用BT接口，自带锁扣，有效防止脱落。同时具有单向连接属性，避免因连接失误导致的数据传输失败。支持热插拔，使用寿命：≥10000次插拔；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8、支持系统：windows、Android、iOS系统。</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284CF4B5">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7EDE20CB">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5E026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4BA1E24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2AA351C">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pH传感器</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5E1D2BB4">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1、测量范围：0-14；</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2、分度：0.01，</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3、具有快速响应的特点，测量数据能在5秒内达到真实值的90%， 10秒内稳定；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4、自带传感器固定口，便于传感器固定；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5、自带硬件调零按钮；</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7、采用BT接口，自带锁扣，有效防止脱落。同时具有单向连接属性，避免因连接失误导致的数据传输失败。支持热插拔，使用寿命：≥10000次插拔；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8、支持系统：windows、Android、iOS系统。</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2092076D">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ADFD43F">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0105D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47158B4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1AA1B4A">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多量程电导率传感器</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5678C27D">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1、测量范围：0~20000μS/cm；分度：10μS/cm</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测量范围：0~2000μS/cm；分度：1μS/cm</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测量范围：0~200μS/cm；分度：0.1μS/cm</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2、自带传感器固定口，便于传感器固定；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3、自带硬件调零按钮；</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6、支持系统：windows、Android、iOS系统。</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6C8CF412">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4168D9D9">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67642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3E33207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4DFC1E8E">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氧气传感器</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4B98B9E9">
            <w:pPr>
              <w:keepNext w:val="0"/>
              <w:keepLines w:val="0"/>
              <w:widowControl/>
              <w:suppressLineNumbers w:val="0"/>
              <w:jc w:val="both"/>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1、测量范围：1～30%；</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2、分度：0.01%；</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3、自带硬件校准按钮；</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6、支持系统：windows、Android、iOS系统。</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0B9475CB">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5F51B886">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00399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2C39693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0933B7B">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溶解氧传感器</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199A5FCC">
            <w:pPr>
              <w:keepNext w:val="0"/>
              <w:keepLines w:val="0"/>
              <w:widowControl/>
              <w:suppressLineNumbers w:val="0"/>
              <w:jc w:val="both"/>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1、测量范围：0 mg/L～20mg/L；</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2、分度：0.01 mg/L；</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3、带有温补功能；</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4、自带传感器固定口，便于传感器固定；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5、自带硬件调零按钮；</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7、采用BT接口，自带锁扣，有效防止脱落。同时具有单向连接属性，避免因连接失误导致的数据传输失败。支持热插拔，使用寿命：≥10000次插拔；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8、支持系统：windows、Android、iOS系统。</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407B6FFA">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2B2DA354">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189C3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11C7BB1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C425675">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二氧化碳传感器</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65D97DCA">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1、测量范围：0 ppm～50000ppm；</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2、分度1ppm；</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3、红外原理，为保证测量数据准确性和时效性，要求该传感器采用泵动循环，方便气体循环；</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4、自带传感器固定口，便于传感器固定；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5、自带硬件调零按钮；</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7、采用BT接口，自带锁扣，有效防止脱落。同时具有单向连接属性，避免因连接失误导致的数据传输失败。支持热插拔，使用寿命：≥10000次插拔；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8、支持系统：windows、Android、iOS系统。</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53994E2F">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23423A6A">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4F2D0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26F3FCD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213C4E0">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色度传感器</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4EEFDBAD">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1、测量范围：透光率0～100％；</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2、分度：0.1％，三波长光源（R、G、B）测量；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3、自带传感器固定口，便于传感器固定；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4、自带硬件调零按钮；</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7、支持系统：windows、Android、iOS系统。</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0738CE6D">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300F9F2C">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5253B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649CA9B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3D19CD9">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二氧化硫传感器</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0D862684">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1、测量范围：0 ppm～20ppm，</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2、分度0.01 ppm；</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3、自带传感器固定口，便于传感器固定；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4、自带硬件调零按钮；</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7、支持系统：windows、Android、iOS系统。</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313F76E8">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3FB9EA63">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25AD8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6E00B68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87440F8">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气态酒精传感器</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7258FCBF">
            <w:pPr>
              <w:keepNext w:val="0"/>
              <w:keepLines w:val="0"/>
              <w:widowControl/>
              <w:suppressLineNumbers w:val="0"/>
              <w:jc w:val="both"/>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1、测量范围：0mg/L～2mg/L；</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2、自带传感器固定口，便于传感器固定；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3、自带硬件调零按钮；</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6、支持系统：windows、Android、iOS系统。</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433C75D5">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CC9D7A3">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49BAD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0"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1F1B9AC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DF2352B">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心电图传感器</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3AC80D44">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1、测量范围：-5mV ～5mV</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2、用于生成EKG曲线，能清晰的显示出人体P波、QRS波、T波与U波，可通过RR间期计算出心率</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3、尺寸：不大于80mm*41mm*25（±5mm,不含电极夹具）</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4、自带传感器固定口，便于传感器固定。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7、支持系统：windows、Android、iOS系统</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60DD26B2">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套</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3601D6E8">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5609E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0"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5878831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68006728">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心率传感器</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31D01E4D">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1、测量范围：0次～200次</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2、可通过专用软件实时显示心率大小以及心电心率波形</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3、尺寸：不大于80mm*41mm*25（±5mm,不含电极夹具）</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4、自带传感器固定口，便于传感器固定。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7、支持系统：windows、Android、iOS系统</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31C3460D">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套</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1979EBF">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48C22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0"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612F7DD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1C1ECAC">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呼吸率传感器</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75CD8767">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1、满足人体生理特征；</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2、自带传感器固定口，便于传感器固定；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5、支持系统：windows、Android、iOS系统。</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7E8BB7FD">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套</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559065D4">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7E50A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488E1AE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4C4740C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多用途生化传感器支架</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0749A27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机械臂、传感器电极夹及固定夹组成，机械臂固定在实验台边，能在三维空间内灵活移动并准确定位，稳定性好；电极夹口径适合常用生化传感器的电极，方便生化实验操作，具有保护传感器不受损坏、提高空间利用率和实验效率功能。</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6D64E7E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131F971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5808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7FDC2FA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40E8E7C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多向转接头</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72E0F4FF">
            <w:pPr>
              <w:keepNext w:val="0"/>
              <w:keepLines w:val="0"/>
              <w:widowControl/>
              <w:suppressLineNumbers w:val="0"/>
              <w:jc w:val="both"/>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配合各类传感器和辅材可进行多向固定</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5C33477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3F681BB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D7B8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3F8EFCD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1CD030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磁力搅拌器</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2196EED4">
            <w:pPr>
              <w:keepNext w:val="0"/>
              <w:keepLines w:val="0"/>
              <w:widowControl/>
              <w:suppressLineNumbers w:val="0"/>
              <w:jc w:val="both"/>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磁力搅拌器由搅拌驱动器、搅拌子、电源适配器构成。最大搅拌量：2L，转速范围：200转/分钟~2000转/分钟；适用于生化实验过程中搅拌低粘稠度的液体或固液混合物。</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3B711CD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40" w:type="pct"/>
            <w:tcBorders>
              <w:top w:val="nil"/>
              <w:left w:val="single" w:color="000000" w:sz="4" w:space="0"/>
              <w:bottom w:val="single" w:color="000000" w:sz="4" w:space="0"/>
              <w:right w:val="nil"/>
            </w:tcBorders>
            <w:noWrap w:val="0"/>
            <w:vAlign w:val="center"/>
          </w:tcPr>
          <w:p w14:paraId="3D33E1F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9750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142E51E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8B447B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溶液稀释池</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7FF8FEA0">
            <w:pPr>
              <w:keepNext w:val="0"/>
              <w:keepLines w:val="0"/>
              <w:widowControl/>
              <w:suppressLineNumbers w:val="0"/>
              <w:jc w:val="both"/>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倒置三角烧杯结构，上端开口，底端封闭，配合实验室匀速滴管使用。用于稀释倍数较大，且对初始溶解有一定量要求的化学实验;提供自主知识产权证明文件、产品图片复印件。</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65FA923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7CEECC3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2490E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086DDEA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22</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1CA826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气液相密封实验器</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26218EEB">
            <w:pPr>
              <w:keepNext w:val="0"/>
              <w:keepLines w:val="0"/>
              <w:widowControl/>
              <w:suppressLineNumbers w:val="0"/>
              <w:jc w:val="both"/>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与生物化学传感器密闭连接，可完成陆水生植物光合作用、种子萌发、呼吸作用、酶的特性等实验；</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13156F1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40E4BBF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2EE9C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0B83139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23</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C4D8E41">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袖珍生化密封实验器</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577143E1">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与生物化学传感器密闭连接，可完成陆水生植物光合作用、种子萌发、呼吸作用、酶的特性等实验</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488249B0">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套</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862508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47C52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61627CA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24</w:t>
            </w:r>
          </w:p>
        </w:tc>
        <w:tc>
          <w:tcPr>
            <w:tcW w:w="491" w:type="pct"/>
            <w:tcBorders>
              <w:top w:val="single" w:color="000000" w:sz="4" w:space="0"/>
              <w:left w:val="single" w:color="000000" w:sz="4" w:space="0"/>
              <w:bottom w:val="nil"/>
              <w:right w:val="single" w:color="000000" w:sz="4" w:space="0"/>
            </w:tcBorders>
            <w:noWrap w:val="0"/>
            <w:vAlign w:val="center"/>
          </w:tcPr>
          <w:p w14:paraId="3B4FC39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酶的特性实验器</w:t>
            </w:r>
          </w:p>
        </w:tc>
        <w:tc>
          <w:tcPr>
            <w:tcW w:w="3502" w:type="pct"/>
            <w:tcBorders>
              <w:top w:val="single" w:color="000000" w:sz="4" w:space="0"/>
              <w:left w:val="single" w:color="000000" w:sz="4" w:space="0"/>
              <w:bottom w:val="nil"/>
              <w:right w:val="single" w:color="000000" w:sz="4" w:space="0"/>
            </w:tcBorders>
            <w:noWrap w:val="0"/>
            <w:vAlign w:val="center"/>
          </w:tcPr>
          <w:p w14:paraId="58974BA2">
            <w:pPr>
              <w:keepNext w:val="0"/>
              <w:keepLines w:val="0"/>
              <w:widowControl/>
              <w:suppressLineNumbers w:val="0"/>
              <w:jc w:val="both"/>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酶的特性实验器由2只Y型试管、1组支架、2只φ4mm单孔5号橡胶塞、2只等径气管快速接头、2条外径φ4mm软管、2只泄压阀组成。与传感器配套使用，可完成探究酶的专一性、比较过氧化氢在不同条件下的分解、探究pH对酶活性的影响、探究温度对生物酶活性的影响等相关实验。</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51DACF8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72E1B682">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565B1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1CF3600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623FCA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密封实验套件</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3931C84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密封实验套件由5只5号橡胶塞（配5种孔径：单孔φ3、φ4、φ12、φ18；双孔φ4）、4只硅胶塞（配4种孔径：单孔φ4、φ12、φ18；双孔φ4）、1只150mL反应瓶、2只硅胶环、2只等径气管快速接头、2只变径气管快速接头、3条外径φ4mm软管组成。与生化传感器及常用实验室器皿配套使用，完成中学相关实验及探究活动。</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3E4303A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2129E32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4D113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65"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66C20AF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26</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01750AA">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数字化实验软件</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0DE6BA17">
            <w:pPr>
              <w:keepNext w:val="0"/>
              <w:keepLines w:val="0"/>
              <w:widowControl/>
              <w:suppressLineNumbers w:val="0"/>
              <w:jc w:val="both"/>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1、为数字化实验分析软件软件。用于数据收集和结果分析。</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2、包含教材通用软件、物理教材专用软件、化学专用软件、生物专用软件、传感器校准软件与数据导入软件六个部分。</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2.1、通用软件：</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1）可实现传感器数据的自动识别及控制：传感器接入后自动识别测量种类、测量范围、分度、单位、通道序号等。可改变传感器的显示方式：数字表、模拟表、示波。可根据实验调整传感器的采样频率、开始与暂停、字体颜色、字号大小、调零、示波图线的移动及大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组合图线：拥有2个完全相同的组合图线显示窗口，可并行使用。通过该功能的应用可完成基于传感器的实时数据变化的描绘和计算表格数据描绘及分析、处理等操作。数据的分析及处理包括：拟合、求导、积分、统计、包格线等。可通过回访功能重复观察实验的变化规律。对图像可根据实验进行放大、缩小。可对引用的传感器进行同步的停止和开始，达到很好的同时性；可对引用的传感器进行同步的调零，达到很好的一致性；可对引用的传感器进行同步采样频率调整，达到很好的精确性；</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计算表格：可自动识别接入的传感器，并按照接入的通道自动标号。可通过变量、公式、求平均、绘图等按钮对数据进行处理。根据不同的实验要求可选择自动记录和手动记录。自动记录可调整时间间隔、选择采样条件，手动记录可根据需要进行点击记录，有效减少无效数据对实验结果的干扰。可引用现有实验模板也可DIY实验模板，并保存。支持表格的复制、粘贴、剪切。具备放大缩小功能，还支持打印机直接引用（无需退出实验软件），进行结果打印。实验结果可通过Excel形式进行保存。也可将保存的数据多次调用。</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（4）实验录制：可同时将实验操作过程和软件的实验界面进行同屏录制，实现了实验现象和数据的对应。解决了数字实验无现象的难题（为减少软件操作复杂性，用其他软件录屏视为功能性缺失。）</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2.2、物理专用软件：界面简洁、风格独特、一键OK的特点。n涵盖了人教、粤教、鲁科等教材的重点实验。明确了实验题目，使用时直接接入传感器即可。大大的方便了课堂教学。实验完全符合现行教材，用户可直接根据教材进行实验操作</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2.3、化学专用软件：涵盖了初高中重点实验，起到温故知新的作用。</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2.4、生物专用软件：涵盖了初高中重点实验，起到温故知新的作用。</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2.5、传感器校准软件：根据国际计量公用应用规范，针对生物、化学传感器进行校准，以减少误差，提高精度。应用于PH、溶解氧、色度、浊度、氧化还原等传感器。</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2.6、数据导入软件：和数据显示模块配合使用，将数据显示模块的数据导入电脑进行长期保存和数据处理。</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3、应用平台：支持windows、Android、iOS系统</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3E79857E">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套</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7E01C7DE">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7A989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6060BB4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27</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B33F604">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附件</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69A40728">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1、含USB通讯线1条、转接器4只、传感器线4条；两端为BT插头，插口具有方向性和自锁功能插接方便、配合严密、方便教学；</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2、彩色印刷版高中实验指南书，有详细实验案例介绍（实验器材、实验装置图、实验操作步骤等）。</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5ED03BA1">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套</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FBE9765">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1B960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2584F16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29139CF">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铝合金箱</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452DE8F6">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尺寸≥510*340*175（mm），由铝合金主架、铝塑板面构成，内设隔断海棉内衬传感器铝合金实验箱</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325111A4">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套</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2FEAD04B">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17604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09BAECE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29</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5899CA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灭火毯</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415621B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玻璃纤维材质，1800mm×1200mm</w:t>
            </w:r>
          </w:p>
        </w:tc>
        <w:tc>
          <w:tcPr>
            <w:tcW w:w="331" w:type="pct"/>
            <w:tcBorders>
              <w:top w:val="single" w:color="000000" w:sz="4" w:space="0"/>
              <w:left w:val="single" w:color="000000" w:sz="4" w:space="0"/>
              <w:bottom w:val="single" w:color="000000" w:sz="4" w:space="0"/>
              <w:right w:val="nil"/>
            </w:tcBorders>
            <w:noWrap w:val="0"/>
            <w:vAlign w:val="center"/>
          </w:tcPr>
          <w:p w14:paraId="25C2B5D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件</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3B0754C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2FE0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36930AA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30</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A0B8ED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实验服</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5DEBD9D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耐酸碱，可分为大中小号</w:t>
            </w:r>
          </w:p>
        </w:tc>
        <w:tc>
          <w:tcPr>
            <w:tcW w:w="331" w:type="pct"/>
            <w:tcBorders>
              <w:top w:val="single" w:color="000000" w:sz="4" w:space="0"/>
              <w:left w:val="single" w:color="000000" w:sz="4" w:space="0"/>
              <w:bottom w:val="single" w:color="000000" w:sz="4" w:space="0"/>
              <w:right w:val="nil"/>
            </w:tcBorders>
            <w:noWrap w:val="0"/>
            <w:vAlign w:val="center"/>
          </w:tcPr>
          <w:p w14:paraId="3839747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件</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8C9261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27A39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1ACC5B9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31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666A7FE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护目镜</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68B9610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封闭型，耐酸碱，抗冲击，耐磨，便于清洗</w:t>
            </w:r>
          </w:p>
        </w:tc>
        <w:tc>
          <w:tcPr>
            <w:tcW w:w="331" w:type="pct"/>
            <w:tcBorders>
              <w:top w:val="single" w:color="000000" w:sz="4" w:space="0"/>
              <w:left w:val="single" w:color="000000" w:sz="4" w:space="0"/>
              <w:bottom w:val="single" w:color="000000" w:sz="4" w:space="0"/>
              <w:right w:val="nil"/>
            </w:tcBorders>
            <w:noWrap w:val="0"/>
            <w:vAlign w:val="center"/>
          </w:tcPr>
          <w:p w14:paraId="205FDDC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ED33D9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62BAB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04F728E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32</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694639C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乳胶手套</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77C4942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耐酸碱</w:t>
            </w:r>
          </w:p>
        </w:tc>
        <w:tc>
          <w:tcPr>
            <w:tcW w:w="331" w:type="pct"/>
            <w:tcBorders>
              <w:top w:val="single" w:color="000000" w:sz="4" w:space="0"/>
              <w:left w:val="single" w:color="000000" w:sz="4" w:space="0"/>
              <w:bottom w:val="single" w:color="000000" w:sz="4" w:space="0"/>
              <w:right w:val="nil"/>
            </w:tcBorders>
            <w:noWrap w:val="0"/>
            <w:vAlign w:val="center"/>
          </w:tcPr>
          <w:p w14:paraId="165D8CF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副</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445AC84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5BC1C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3399812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33</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AF3718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生物显微镜</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2B323FA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双目，消色差物镜：4×、10×、40×、100×;广视场目镜：WF10×;带照明光源和聚光镜，亮度连续可调；移动式载物台</w:t>
            </w:r>
          </w:p>
        </w:tc>
        <w:tc>
          <w:tcPr>
            <w:tcW w:w="331" w:type="pct"/>
            <w:tcBorders>
              <w:top w:val="single" w:color="000000" w:sz="4" w:space="0"/>
              <w:left w:val="single" w:color="000000" w:sz="4" w:space="0"/>
              <w:bottom w:val="single" w:color="000000" w:sz="4" w:space="0"/>
              <w:right w:val="nil"/>
            </w:tcBorders>
            <w:noWrap w:val="0"/>
            <w:vAlign w:val="center"/>
          </w:tcPr>
          <w:p w14:paraId="49C601E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3F7183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w:t>
            </w:r>
          </w:p>
        </w:tc>
      </w:tr>
      <w:tr w14:paraId="5576C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21614B7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34</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E877B6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望远镜</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1B65AA6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双筒，7×35</w:t>
            </w:r>
          </w:p>
        </w:tc>
        <w:tc>
          <w:tcPr>
            <w:tcW w:w="331" w:type="pct"/>
            <w:tcBorders>
              <w:top w:val="single" w:color="000000" w:sz="4" w:space="0"/>
              <w:left w:val="single" w:color="000000" w:sz="4" w:space="0"/>
              <w:bottom w:val="single" w:color="000000" w:sz="4" w:space="0"/>
              <w:right w:val="nil"/>
            </w:tcBorders>
            <w:noWrap w:val="0"/>
            <w:vAlign w:val="center"/>
          </w:tcPr>
          <w:p w14:paraId="4B34876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1ECEE9F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r>
      <w:tr w14:paraId="3A4BD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542ACF1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35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488B31D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放大镜</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05BBB90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手持式，有效通光孔径50mm，5倍</w:t>
            </w:r>
          </w:p>
        </w:tc>
        <w:tc>
          <w:tcPr>
            <w:tcW w:w="331" w:type="pct"/>
            <w:tcBorders>
              <w:top w:val="single" w:color="000000" w:sz="4" w:space="0"/>
              <w:left w:val="single" w:color="000000" w:sz="4" w:space="0"/>
              <w:bottom w:val="single" w:color="000000" w:sz="4" w:space="0"/>
              <w:right w:val="nil"/>
            </w:tcBorders>
            <w:noWrap w:val="0"/>
            <w:vAlign w:val="center"/>
          </w:tcPr>
          <w:p w14:paraId="3EB278C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3E809E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26F2C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7756A73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36</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66F32A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减数分裂中染色体变化模型组件</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3ADE0AB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材料环保，便于演示</w:t>
            </w:r>
          </w:p>
        </w:tc>
        <w:tc>
          <w:tcPr>
            <w:tcW w:w="331" w:type="pct"/>
            <w:tcBorders>
              <w:top w:val="single" w:color="000000" w:sz="4" w:space="0"/>
              <w:left w:val="single" w:color="000000" w:sz="4" w:space="0"/>
              <w:bottom w:val="single" w:color="000000" w:sz="4" w:space="0"/>
              <w:right w:val="nil"/>
            </w:tcBorders>
            <w:noWrap w:val="0"/>
            <w:vAlign w:val="center"/>
          </w:tcPr>
          <w:p w14:paraId="0BABFC2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3C2821B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1AD6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4A847E9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37</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284239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DNA结构模型</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68372C6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一个半螺旋，包括16个碱基对和其他相应元件，材料环保，便于演示</w:t>
            </w:r>
          </w:p>
        </w:tc>
        <w:tc>
          <w:tcPr>
            <w:tcW w:w="331" w:type="pct"/>
            <w:tcBorders>
              <w:top w:val="single" w:color="000000" w:sz="4" w:space="0"/>
              <w:left w:val="single" w:color="000000" w:sz="4" w:space="0"/>
              <w:bottom w:val="single" w:color="000000" w:sz="4" w:space="0"/>
              <w:right w:val="nil"/>
            </w:tcBorders>
            <w:noWrap w:val="0"/>
            <w:vAlign w:val="center"/>
          </w:tcPr>
          <w:p w14:paraId="123DD3F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4478CE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BFA6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2DFF800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38</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4FCB91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DNA双螺旋结构模型组件</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43C0C76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四种碱基、脱氧核糖、磷酸彼此分离</w:t>
            </w:r>
          </w:p>
        </w:tc>
        <w:tc>
          <w:tcPr>
            <w:tcW w:w="331" w:type="pct"/>
            <w:tcBorders>
              <w:top w:val="single" w:color="000000" w:sz="4" w:space="0"/>
              <w:left w:val="single" w:color="000000" w:sz="4" w:space="0"/>
              <w:bottom w:val="single" w:color="000000" w:sz="4" w:space="0"/>
              <w:right w:val="nil"/>
            </w:tcBorders>
            <w:noWrap w:val="0"/>
            <w:vAlign w:val="center"/>
          </w:tcPr>
          <w:p w14:paraId="655276B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F0485B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04419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24BD3EF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39</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490CC74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转录和翻译磁片模型</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3BC103A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具有单独构件，可以分步演示。大小适合黑板展示</w:t>
            </w:r>
          </w:p>
        </w:tc>
        <w:tc>
          <w:tcPr>
            <w:tcW w:w="331" w:type="pct"/>
            <w:tcBorders>
              <w:top w:val="single" w:color="000000" w:sz="4" w:space="0"/>
              <w:left w:val="single" w:color="000000" w:sz="4" w:space="0"/>
              <w:bottom w:val="single" w:color="000000" w:sz="4" w:space="0"/>
              <w:right w:val="nil"/>
            </w:tcBorders>
            <w:noWrap w:val="0"/>
            <w:vAlign w:val="center"/>
          </w:tcPr>
          <w:p w14:paraId="2BCE401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5115501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FFDA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4E94420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40</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4345C6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恒温水浴锅</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725FD9E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水浴控温范围：室温5℃~99.9℃,水温控制±0.5℃,不锈钢内胆，数字显示</w:t>
            </w:r>
          </w:p>
        </w:tc>
        <w:tc>
          <w:tcPr>
            <w:tcW w:w="331" w:type="pct"/>
            <w:tcBorders>
              <w:top w:val="single" w:color="000000" w:sz="4" w:space="0"/>
              <w:left w:val="single" w:color="000000" w:sz="4" w:space="0"/>
              <w:bottom w:val="single" w:color="000000" w:sz="4" w:space="0"/>
              <w:right w:val="nil"/>
            </w:tcBorders>
            <w:noWrap w:val="0"/>
            <w:vAlign w:val="center"/>
          </w:tcPr>
          <w:p w14:paraId="18CA35E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708EAB4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2AA9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069AA7B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41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DF7EB3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离心机</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0ACEE56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0r/min～4000r/min，10mL、20mL、50mL等，6或8孔等，无刷电机</w:t>
            </w:r>
          </w:p>
        </w:tc>
        <w:tc>
          <w:tcPr>
            <w:tcW w:w="331" w:type="pct"/>
            <w:tcBorders>
              <w:top w:val="single" w:color="000000" w:sz="4" w:space="0"/>
              <w:left w:val="single" w:color="000000" w:sz="4" w:space="0"/>
              <w:bottom w:val="single" w:color="000000" w:sz="4" w:space="0"/>
              <w:right w:val="nil"/>
            </w:tcBorders>
            <w:noWrap w:val="0"/>
            <w:vAlign w:val="center"/>
          </w:tcPr>
          <w:p w14:paraId="7993FA8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4B94E2B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8715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341FDF6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42</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4CFE5B3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恒温培养箱</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61E234D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控温范围：室温5℃~65℃,±1℃</w:t>
            </w:r>
          </w:p>
        </w:tc>
        <w:tc>
          <w:tcPr>
            <w:tcW w:w="331" w:type="pct"/>
            <w:tcBorders>
              <w:top w:val="single" w:color="000000" w:sz="4" w:space="0"/>
              <w:left w:val="single" w:color="000000" w:sz="4" w:space="0"/>
              <w:bottom w:val="single" w:color="000000" w:sz="4" w:space="0"/>
              <w:right w:val="nil"/>
            </w:tcBorders>
            <w:noWrap w:val="0"/>
            <w:vAlign w:val="center"/>
          </w:tcPr>
          <w:p w14:paraId="6ADB298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CC0D5D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2C2FC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0A15FD5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43</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34EFF0F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恒温震荡器</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65322B9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室温+5℃~60℃,±1℃;容量：100mL锥形瓶25个或以上</w:t>
            </w:r>
          </w:p>
        </w:tc>
        <w:tc>
          <w:tcPr>
            <w:tcW w:w="331" w:type="pct"/>
            <w:tcBorders>
              <w:top w:val="single" w:color="000000" w:sz="4" w:space="0"/>
              <w:left w:val="single" w:color="000000" w:sz="4" w:space="0"/>
              <w:bottom w:val="single" w:color="000000" w:sz="4" w:space="0"/>
              <w:right w:val="nil"/>
            </w:tcBorders>
            <w:noWrap w:val="0"/>
            <w:vAlign w:val="center"/>
          </w:tcPr>
          <w:p w14:paraId="04F32E4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228429A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FDE9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3308B1D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44</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5682FC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酸度计</w:t>
            </w:r>
          </w:p>
        </w:tc>
        <w:tc>
          <w:tcPr>
            <w:tcW w:w="350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EEF494">
            <w:pPr>
              <w:keepNext w:val="0"/>
              <w:keepLines w:val="0"/>
              <w:widowControl/>
              <w:suppressLineNumbers w:val="0"/>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笔式，pH测量范围0～14，分辨力0.1，读数清晰，有自动关机节电模式，配校准试剂</w:t>
            </w:r>
          </w:p>
        </w:tc>
        <w:tc>
          <w:tcPr>
            <w:tcW w:w="331" w:type="pct"/>
            <w:tcBorders>
              <w:top w:val="single" w:color="000000" w:sz="4" w:space="0"/>
              <w:left w:val="single" w:color="000000" w:sz="4" w:space="0"/>
              <w:bottom w:val="single" w:color="000000" w:sz="4" w:space="0"/>
              <w:right w:val="nil"/>
            </w:tcBorders>
            <w:noWrap w:val="0"/>
            <w:vAlign w:val="center"/>
          </w:tcPr>
          <w:p w14:paraId="7DB5912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5EABB78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B0EF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4CA1579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45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D4079A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紫外可见分光光度计</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778DE68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波长范围：190nm～1100nm，比色皿配备玻璃和石英两种材质，波长调节为1nm数字或机械调节</w:t>
            </w:r>
          </w:p>
        </w:tc>
        <w:tc>
          <w:tcPr>
            <w:tcW w:w="331" w:type="pct"/>
            <w:tcBorders>
              <w:top w:val="single" w:color="000000" w:sz="4" w:space="0"/>
              <w:left w:val="single" w:color="000000" w:sz="4" w:space="0"/>
              <w:bottom w:val="single" w:color="000000" w:sz="4" w:space="0"/>
              <w:right w:val="nil"/>
            </w:tcBorders>
            <w:noWrap w:val="0"/>
            <w:vAlign w:val="center"/>
          </w:tcPr>
          <w:p w14:paraId="049D88F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1D24AA4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5C38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19D010E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46</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62471E6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电泳仪</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6BB784D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四组输出，输出电压：2V～200V、输出电流：2mA～200mA，具有36V电压限制、稳压和稳流功能</w:t>
            </w:r>
          </w:p>
        </w:tc>
        <w:tc>
          <w:tcPr>
            <w:tcW w:w="331" w:type="pct"/>
            <w:tcBorders>
              <w:top w:val="single" w:color="000000" w:sz="4" w:space="0"/>
              <w:left w:val="single" w:color="000000" w:sz="4" w:space="0"/>
              <w:bottom w:val="single" w:color="000000" w:sz="4" w:space="0"/>
              <w:right w:val="nil"/>
            </w:tcBorders>
            <w:noWrap w:val="0"/>
            <w:vAlign w:val="center"/>
          </w:tcPr>
          <w:p w14:paraId="3A1E3CB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428AFEE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0FA5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2C9796F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47</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3F7287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水平电泳槽</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1929D3D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聚碳酸脂注塑成型，凝胶托盘带有荧光标尺，具有开盖断电功能，凝胶板规格：60mm×60mm</w:t>
            </w:r>
          </w:p>
        </w:tc>
        <w:tc>
          <w:tcPr>
            <w:tcW w:w="331" w:type="pct"/>
            <w:tcBorders>
              <w:top w:val="single" w:color="000000" w:sz="4" w:space="0"/>
              <w:left w:val="single" w:color="000000" w:sz="4" w:space="0"/>
              <w:bottom w:val="single" w:color="000000" w:sz="4" w:space="0"/>
              <w:right w:val="nil"/>
            </w:tcBorders>
            <w:noWrap w:val="0"/>
            <w:vAlign w:val="center"/>
          </w:tcPr>
          <w:p w14:paraId="05AB3BC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750BDEF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8DAF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5BAFBC0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48</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D288AC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DNA电泳图谱观察仪</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3209ADF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非紫外光源，观察凝胶面积＞100mm×100mm</w:t>
            </w:r>
          </w:p>
        </w:tc>
        <w:tc>
          <w:tcPr>
            <w:tcW w:w="331" w:type="pct"/>
            <w:tcBorders>
              <w:top w:val="single" w:color="000000" w:sz="4" w:space="0"/>
              <w:left w:val="single" w:color="000000" w:sz="4" w:space="0"/>
              <w:bottom w:val="single" w:color="000000" w:sz="4" w:space="0"/>
              <w:right w:val="nil"/>
            </w:tcBorders>
            <w:noWrap w:val="0"/>
            <w:vAlign w:val="center"/>
          </w:tcPr>
          <w:p w14:paraId="0DDFA2F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2ADA1AE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895E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293B5F2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49</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969422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解剖盘</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0159244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260mm×200mm×30mm，蜡盘</w:t>
            </w:r>
          </w:p>
        </w:tc>
        <w:tc>
          <w:tcPr>
            <w:tcW w:w="331" w:type="pct"/>
            <w:tcBorders>
              <w:top w:val="single" w:color="000000" w:sz="4" w:space="0"/>
              <w:left w:val="single" w:color="000000" w:sz="4" w:space="0"/>
              <w:bottom w:val="single" w:color="000000" w:sz="4" w:space="0"/>
              <w:right w:val="nil"/>
            </w:tcBorders>
            <w:noWrap w:val="0"/>
            <w:vAlign w:val="center"/>
          </w:tcPr>
          <w:p w14:paraId="11AEB06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E4A663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2D155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63E3804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50</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EECBC1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解剖器</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6903847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不锈钢材料，7件，包括：2把解剖剪（直剪、弯剪各1）、2个镊子（直头、弯头各1）、2个解剖刀（圆头、尖头各1）、1个解剖针</w:t>
            </w:r>
          </w:p>
        </w:tc>
        <w:tc>
          <w:tcPr>
            <w:tcW w:w="331" w:type="pct"/>
            <w:tcBorders>
              <w:top w:val="single" w:color="000000" w:sz="4" w:space="0"/>
              <w:left w:val="single" w:color="000000" w:sz="4" w:space="0"/>
              <w:bottom w:val="single" w:color="000000" w:sz="4" w:space="0"/>
              <w:right w:val="nil"/>
            </w:tcBorders>
            <w:noWrap w:val="0"/>
            <w:vAlign w:val="center"/>
          </w:tcPr>
          <w:p w14:paraId="193BEA0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3684332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11250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229433D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51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E79103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双面刀片</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1CCF76B2">
            <w:pPr>
              <w:jc w:val="left"/>
              <w:rPr>
                <w:rFonts w:hint="eastAsia" w:ascii="仿宋" w:hAnsi="仿宋" w:eastAsia="仿宋" w:cs="仿宋"/>
                <w:i w:val="0"/>
                <w:iCs w:val="0"/>
                <w:color w:val="000000"/>
                <w:sz w:val="21"/>
                <w:szCs w:val="21"/>
                <w:highlight w:val="none"/>
                <w:u w:val="none"/>
              </w:rPr>
            </w:pPr>
          </w:p>
        </w:tc>
        <w:tc>
          <w:tcPr>
            <w:tcW w:w="331" w:type="pct"/>
            <w:tcBorders>
              <w:top w:val="single" w:color="000000" w:sz="4" w:space="0"/>
              <w:left w:val="single" w:color="000000" w:sz="4" w:space="0"/>
              <w:bottom w:val="single" w:color="000000" w:sz="4" w:space="0"/>
              <w:right w:val="nil"/>
            </w:tcBorders>
            <w:noWrap w:val="0"/>
            <w:vAlign w:val="center"/>
          </w:tcPr>
          <w:p w14:paraId="47FA322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4186F24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r>
      <w:tr w14:paraId="63D7B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64342E0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52</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C1523E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镊子</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19D6425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尖头，140mm</w:t>
            </w:r>
          </w:p>
        </w:tc>
        <w:tc>
          <w:tcPr>
            <w:tcW w:w="331" w:type="pct"/>
            <w:tcBorders>
              <w:top w:val="single" w:color="000000" w:sz="4" w:space="0"/>
              <w:left w:val="single" w:color="000000" w:sz="4" w:space="0"/>
              <w:bottom w:val="single" w:color="000000" w:sz="4" w:space="0"/>
              <w:right w:val="nil"/>
            </w:tcBorders>
            <w:noWrap w:val="0"/>
            <w:vAlign w:val="center"/>
          </w:tcPr>
          <w:p w14:paraId="3D08570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把</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8D4764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238BC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2573874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53</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4E54C19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镊子</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3F76803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弯头，140mm</w:t>
            </w:r>
          </w:p>
        </w:tc>
        <w:tc>
          <w:tcPr>
            <w:tcW w:w="331" w:type="pct"/>
            <w:tcBorders>
              <w:top w:val="single" w:color="000000" w:sz="4" w:space="0"/>
              <w:left w:val="single" w:color="000000" w:sz="4" w:space="0"/>
              <w:bottom w:val="single" w:color="000000" w:sz="4" w:space="0"/>
              <w:right w:val="nil"/>
            </w:tcBorders>
            <w:noWrap w:val="0"/>
            <w:vAlign w:val="center"/>
          </w:tcPr>
          <w:p w14:paraId="27A82F0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把</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27A842A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560C2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6377491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54</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B99105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眼科镊</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1914F5A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直，100mm</w:t>
            </w:r>
          </w:p>
        </w:tc>
        <w:tc>
          <w:tcPr>
            <w:tcW w:w="331" w:type="pct"/>
            <w:tcBorders>
              <w:top w:val="single" w:color="000000" w:sz="4" w:space="0"/>
              <w:left w:val="single" w:color="000000" w:sz="4" w:space="0"/>
              <w:bottom w:val="single" w:color="000000" w:sz="4" w:space="0"/>
              <w:right w:val="nil"/>
            </w:tcBorders>
            <w:noWrap w:val="0"/>
            <w:vAlign w:val="center"/>
          </w:tcPr>
          <w:p w14:paraId="09B5306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把</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1CF609C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1A3F98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6CBF6D8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55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F8DB62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解剖针</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68F10E6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六菱医用全钢</w:t>
            </w:r>
          </w:p>
        </w:tc>
        <w:tc>
          <w:tcPr>
            <w:tcW w:w="331" w:type="pct"/>
            <w:tcBorders>
              <w:top w:val="single" w:color="000000" w:sz="4" w:space="0"/>
              <w:left w:val="single" w:color="000000" w:sz="4" w:space="0"/>
              <w:bottom w:val="single" w:color="000000" w:sz="4" w:space="0"/>
              <w:right w:val="nil"/>
            </w:tcBorders>
            <w:noWrap w:val="0"/>
            <w:vAlign w:val="center"/>
          </w:tcPr>
          <w:p w14:paraId="4A78401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把</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71F84A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0DEE7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19E22E0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56</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36A239B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研磨过滤器</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6E40B21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容量20mL</w:t>
            </w:r>
          </w:p>
        </w:tc>
        <w:tc>
          <w:tcPr>
            <w:tcW w:w="331" w:type="pct"/>
            <w:tcBorders>
              <w:top w:val="single" w:color="000000" w:sz="4" w:space="0"/>
              <w:left w:val="single" w:color="000000" w:sz="4" w:space="0"/>
              <w:bottom w:val="single" w:color="000000" w:sz="4" w:space="0"/>
              <w:right w:val="nil"/>
            </w:tcBorders>
            <w:noWrap w:val="0"/>
            <w:vAlign w:val="center"/>
          </w:tcPr>
          <w:p w14:paraId="0D2073D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C30EFF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3EE3F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6AB280F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57</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46DDE1B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移液器</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983030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0.1µL～2.5µL</w:t>
            </w:r>
          </w:p>
        </w:tc>
        <w:tc>
          <w:tcPr>
            <w:tcW w:w="331" w:type="pct"/>
            <w:tcBorders>
              <w:top w:val="single" w:color="000000" w:sz="4" w:space="0"/>
              <w:left w:val="single" w:color="000000" w:sz="4" w:space="0"/>
              <w:bottom w:val="single" w:color="000000" w:sz="4" w:space="0"/>
              <w:right w:val="nil"/>
            </w:tcBorders>
            <w:noWrap w:val="0"/>
            <w:vAlign w:val="center"/>
          </w:tcPr>
          <w:p w14:paraId="275F0E1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4439BC0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03C5F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45575EF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58</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27558C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移液器</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6C97103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0.5µL～10µL</w:t>
            </w:r>
          </w:p>
        </w:tc>
        <w:tc>
          <w:tcPr>
            <w:tcW w:w="331" w:type="pct"/>
            <w:tcBorders>
              <w:top w:val="single" w:color="000000" w:sz="4" w:space="0"/>
              <w:left w:val="single" w:color="000000" w:sz="4" w:space="0"/>
              <w:bottom w:val="single" w:color="000000" w:sz="4" w:space="0"/>
              <w:right w:val="nil"/>
            </w:tcBorders>
            <w:noWrap w:val="0"/>
            <w:vAlign w:val="center"/>
          </w:tcPr>
          <w:p w14:paraId="30B53A2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5167645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4FD6F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5CF4973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59</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45FB65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移液器</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2DB512D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10µL～100µL</w:t>
            </w:r>
          </w:p>
        </w:tc>
        <w:tc>
          <w:tcPr>
            <w:tcW w:w="331" w:type="pct"/>
            <w:tcBorders>
              <w:top w:val="single" w:color="000000" w:sz="4" w:space="0"/>
              <w:left w:val="single" w:color="000000" w:sz="4" w:space="0"/>
              <w:bottom w:val="single" w:color="000000" w:sz="4" w:space="0"/>
              <w:right w:val="nil"/>
            </w:tcBorders>
            <w:noWrap w:val="0"/>
            <w:vAlign w:val="center"/>
          </w:tcPr>
          <w:p w14:paraId="7F0C998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57FDDD1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37768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6ED691B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60</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4881C7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移液器</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60531A5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100µL～1000µL</w:t>
            </w:r>
          </w:p>
        </w:tc>
        <w:tc>
          <w:tcPr>
            <w:tcW w:w="331" w:type="pct"/>
            <w:tcBorders>
              <w:top w:val="single" w:color="000000" w:sz="4" w:space="0"/>
              <w:left w:val="single" w:color="000000" w:sz="4" w:space="0"/>
              <w:bottom w:val="single" w:color="000000" w:sz="4" w:space="0"/>
              <w:right w:val="nil"/>
            </w:tcBorders>
            <w:noWrap w:val="0"/>
            <w:vAlign w:val="center"/>
          </w:tcPr>
          <w:p w14:paraId="021CD64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45502D1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42276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31FF103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61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ECF4E9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移液器</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3D2B0C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1mL～5mL</w:t>
            </w:r>
          </w:p>
        </w:tc>
        <w:tc>
          <w:tcPr>
            <w:tcW w:w="331" w:type="pct"/>
            <w:tcBorders>
              <w:top w:val="single" w:color="000000" w:sz="4" w:space="0"/>
              <w:left w:val="single" w:color="000000" w:sz="4" w:space="0"/>
              <w:bottom w:val="single" w:color="000000" w:sz="4" w:space="0"/>
              <w:right w:val="nil"/>
            </w:tcBorders>
            <w:noWrap w:val="0"/>
            <w:vAlign w:val="center"/>
          </w:tcPr>
          <w:p w14:paraId="6AEB41F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1F12F5D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1A586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3F1FC1A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62</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6C303A4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接种环</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67D6177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接种棒为铜或不锈钢材质，接种丝为耐热合金，环内径2mm～3mm</w:t>
            </w:r>
          </w:p>
        </w:tc>
        <w:tc>
          <w:tcPr>
            <w:tcW w:w="331" w:type="pct"/>
            <w:tcBorders>
              <w:top w:val="single" w:color="000000" w:sz="4" w:space="0"/>
              <w:left w:val="single" w:color="000000" w:sz="4" w:space="0"/>
              <w:bottom w:val="single" w:color="000000" w:sz="4" w:space="0"/>
              <w:right w:val="nil"/>
            </w:tcBorders>
            <w:noWrap w:val="0"/>
            <w:vAlign w:val="center"/>
          </w:tcPr>
          <w:p w14:paraId="03F968D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把</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3309026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35E2B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7D00405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63</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3C013A3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铁架台</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6A40CCE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方形座，含铁夹、复夹、铁圈，重心稳定不晃动，夹持器内侧应有石棉垫或橡胶垫衬</w:t>
            </w:r>
          </w:p>
        </w:tc>
        <w:tc>
          <w:tcPr>
            <w:tcW w:w="331" w:type="pct"/>
            <w:tcBorders>
              <w:top w:val="single" w:color="000000" w:sz="4" w:space="0"/>
              <w:left w:val="single" w:color="000000" w:sz="4" w:space="0"/>
              <w:bottom w:val="single" w:color="000000" w:sz="4" w:space="0"/>
              <w:right w:val="nil"/>
            </w:tcBorders>
            <w:noWrap w:val="0"/>
            <w:vAlign w:val="center"/>
          </w:tcPr>
          <w:p w14:paraId="2864A31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53AE4D6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497F3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56212A2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64</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8A2190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三脚架</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9B796E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采用碳钢或φ6mm冷拉钢材造，三脚均布，高度≥156mm，三脚内接圆直径≥120mm。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 上支承环平整，直径＞80mm。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 三支撑脚与圆环间焊接牢靠，分布均匀，焊点光滑、平稳，三脚及支承环钢材直径≥6mm，表面经酸洗，磷化后喷塑或喷黑色防锈、耐热强化漆。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 表面不应有明显的凹痕、裂缝、变形等缺陷；表面涂镀层应均匀，不应起泡、龟裂、脱落和磨损；不应有锈蚀及其他机械损伤。　</w:t>
            </w:r>
          </w:p>
        </w:tc>
        <w:tc>
          <w:tcPr>
            <w:tcW w:w="331" w:type="pct"/>
            <w:tcBorders>
              <w:top w:val="single" w:color="000000" w:sz="4" w:space="0"/>
              <w:left w:val="single" w:color="000000" w:sz="4" w:space="0"/>
              <w:bottom w:val="single" w:color="000000" w:sz="4" w:space="0"/>
              <w:right w:val="nil"/>
            </w:tcBorders>
            <w:noWrap w:val="0"/>
            <w:vAlign w:val="center"/>
          </w:tcPr>
          <w:p w14:paraId="57FA7DD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5A92C0C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220BC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7CDEF92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65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17E5A2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试管架</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430C506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木质或塑料质，8孔，孔径21mm，立柱黏结牢固</w:t>
            </w:r>
          </w:p>
        </w:tc>
        <w:tc>
          <w:tcPr>
            <w:tcW w:w="331" w:type="pct"/>
            <w:tcBorders>
              <w:top w:val="single" w:color="000000" w:sz="4" w:space="0"/>
              <w:left w:val="single" w:color="000000" w:sz="4" w:space="0"/>
              <w:bottom w:val="single" w:color="000000" w:sz="4" w:space="0"/>
              <w:right w:val="nil"/>
            </w:tcBorders>
            <w:noWrap w:val="0"/>
            <w:vAlign w:val="center"/>
          </w:tcPr>
          <w:p w14:paraId="37E425C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235F851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0AE7B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00C89E3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66</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3B0DCA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注射器架</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958849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有机玻璃，高度25cm，孔径35mm</w:t>
            </w:r>
          </w:p>
        </w:tc>
        <w:tc>
          <w:tcPr>
            <w:tcW w:w="331" w:type="pct"/>
            <w:tcBorders>
              <w:top w:val="single" w:color="000000" w:sz="4" w:space="0"/>
              <w:left w:val="single" w:color="000000" w:sz="4" w:space="0"/>
              <w:bottom w:val="single" w:color="000000" w:sz="4" w:space="0"/>
              <w:right w:val="nil"/>
            </w:tcBorders>
            <w:noWrap w:val="0"/>
            <w:vAlign w:val="center"/>
          </w:tcPr>
          <w:p w14:paraId="7E50E47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29741A4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6866A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14926D5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67</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6C650F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移液器架</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46823FB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塑料或亚克力材质，可放置至少5支移液器</w:t>
            </w:r>
          </w:p>
        </w:tc>
        <w:tc>
          <w:tcPr>
            <w:tcW w:w="331" w:type="pct"/>
            <w:tcBorders>
              <w:top w:val="single" w:color="000000" w:sz="4" w:space="0"/>
              <w:left w:val="single" w:color="000000" w:sz="4" w:space="0"/>
              <w:bottom w:val="single" w:color="000000" w:sz="4" w:space="0"/>
              <w:right w:val="nil"/>
            </w:tcBorders>
            <w:noWrap w:val="0"/>
            <w:vAlign w:val="center"/>
          </w:tcPr>
          <w:p w14:paraId="33AC027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5C03B4F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3C75FC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20C9952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68</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441050E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移液管架</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31D183D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塑料或亚克力材质</w:t>
            </w:r>
          </w:p>
        </w:tc>
        <w:tc>
          <w:tcPr>
            <w:tcW w:w="331" w:type="pct"/>
            <w:tcBorders>
              <w:top w:val="single" w:color="000000" w:sz="4" w:space="0"/>
              <w:left w:val="single" w:color="000000" w:sz="4" w:space="0"/>
              <w:bottom w:val="single" w:color="000000" w:sz="4" w:space="0"/>
              <w:right w:val="nil"/>
            </w:tcBorders>
            <w:noWrap w:val="0"/>
            <w:vAlign w:val="center"/>
          </w:tcPr>
          <w:p w14:paraId="2C6D38E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5FAB69B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0F45F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7FA27EF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69</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B03E71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直尺</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2BF94E5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500mm</w:t>
            </w:r>
          </w:p>
        </w:tc>
        <w:tc>
          <w:tcPr>
            <w:tcW w:w="331" w:type="pct"/>
            <w:tcBorders>
              <w:top w:val="single" w:color="000000" w:sz="4" w:space="0"/>
              <w:left w:val="single" w:color="000000" w:sz="4" w:space="0"/>
              <w:bottom w:val="single" w:color="000000" w:sz="4" w:space="0"/>
              <w:right w:val="nil"/>
            </w:tcBorders>
            <w:noWrap w:val="0"/>
            <w:vAlign w:val="center"/>
          </w:tcPr>
          <w:p w14:paraId="2363555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把</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78F7694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6FC23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0686292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70</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630E7A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软尺</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588F8FA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1500mm</w:t>
            </w:r>
          </w:p>
        </w:tc>
        <w:tc>
          <w:tcPr>
            <w:tcW w:w="331" w:type="pct"/>
            <w:tcBorders>
              <w:top w:val="single" w:color="000000" w:sz="4" w:space="0"/>
              <w:left w:val="single" w:color="000000" w:sz="4" w:space="0"/>
              <w:bottom w:val="single" w:color="000000" w:sz="4" w:space="0"/>
              <w:right w:val="nil"/>
            </w:tcBorders>
            <w:noWrap w:val="0"/>
            <w:vAlign w:val="center"/>
          </w:tcPr>
          <w:p w14:paraId="1D68D2A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把</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2C11938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60060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665664E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71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4AAF3A9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托盘天平</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6840935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200g，0.2g</w:t>
            </w:r>
          </w:p>
        </w:tc>
        <w:tc>
          <w:tcPr>
            <w:tcW w:w="331" w:type="pct"/>
            <w:tcBorders>
              <w:top w:val="single" w:color="000000" w:sz="4" w:space="0"/>
              <w:left w:val="single" w:color="000000" w:sz="4" w:space="0"/>
              <w:bottom w:val="single" w:color="000000" w:sz="4" w:space="0"/>
              <w:right w:val="nil"/>
            </w:tcBorders>
            <w:noWrap w:val="0"/>
            <w:vAlign w:val="center"/>
          </w:tcPr>
          <w:p w14:paraId="301EAA6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354F81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0FC91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0754119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72</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65D178E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电子天平</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49FB11D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200g，0.1g</w:t>
            </w:r>
          </w:p>
        </w:tc>
        <w:tc>
          <w:tcPr>
            <w:tcW w:w="331" w:type="pct"/>
            <w:tcBorders>
              <w:top w:val="single" w:color="000000" w:sz="4" w:space="0"/>
              <w:left w:val="single" w:color="000000" w:sz="4" w:space="0"/>
              <w:bottom w:val="single" w:color="000000" w:sz="4" w:space="0"/>
              <w:right w:val="nil"/>
            </w:tcBorders>
            <w:noWrap w:val="0"/>
            <w:vAlign w:val="center"/>
          </w:tcPr>
          <w:p w14:paraId="17A5040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17E37C6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51FC0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6736990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73</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98DC08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电子天平</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3FED22E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100g，0.001g</w:t>
            </w:r>
          </w:p>
        </w:tc>
        <w:tc>
          <w:tcPr>
            <w:tcW w:w="331" w:type="pct"/>
            <w:tcBorders>
              <w:top w:val="single" w:color="000000" w:sz="4" w:space="0"/>
              <w:left w:val="single" w:color="000000" w:sz="4" w:space="0"/>
              <w:bottom w:val="single" w:color="000000" w:sz="4" w:space="0"/>
              <w:right w:val="nil"/>
            </w:tcBorders>
            <w:noWrap w:val="0"/>
            <w:vAlign w:val="center"/>
          </w:tcPr>
          <w:p w14:paraId="251FB4D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7E6C4D9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5C2E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112304F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74</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6647EA6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电子秒表</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4D2C636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专用型，全时段分辨力0.01s；有防震、防水功能，电池更换周期≥1.5年</w:t>
            </w:r>
          </w:p>
        </w:tc>
        <w:tc>
          <w:tcPr>
            <w:tcW w:w="331" w:type="pct"/>
            <w:tcBorders>
              <w:top w:val="single" w:color="000000" w:sz="4" w:space="0"/>
              <w:left w:val="single" w:color="000000" w:sz="4" w:space="0"/>
              <w:bottom w:val="single" w:color="000000" w:sz="4" w:space="0"/>
              <w:right w:val="nil"/>
            </w:tcBorders>
            <w:noWrap w:val="0"/>
            <w:vAlign w:val="center"/>
          </w:tcPr>
          <w:p w14:paraId="4063DEB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74EF46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1113C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6067B10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75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37C3CE9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红液温度计</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6C40392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0℃~100℃,分度值1℃,示值误差&lt;1.5℃</w:t>
            </w:r>
          </w:p>
        </w:tc>
        <w:tc>
          <w:tcPr>
            <w:tcW w:w="331" w:type="pct"/>
            <w:tcBorders>
              <w:top w:val="single" w:color="000000" w:sz="4" w:space="0"/>
              <w:left w:val="single" w:color="000000" w:sz="4" w:space="0"/>
              <w:bottom w:val="single" w:color="000000" w:sz="4" w:space="0"/>
              <w:right w:val="nil"/>
            </w:tcBorders>
            <w:noWrap w:val="0"/>
            <w:vAlign w:val="center"/>
          </w:tcPr>
          <w:p w14:paraId="2DF88A1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5B4F0A9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39D86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29C1470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76</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64DF5A8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干湿球温度计</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5584E87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-10℃~50℃,分度值0.5℃;测量湿度0～100%</w:t>
            </w:r>
          </w:p>
        </w:tc>
        <w:tc>
          <w:tcPr>
            <w:tcW w:w="331" w:type="pct"/>
            <w:tcBorders>
              <w:top w:val="single" w:color="000000" w:sz="4" w:space="0"/>
              <w:left w:val="single" w:color="000000" w:sz="4" w:space="0"/>
              <w:bottom w:val="single" w:color="000000" w:sz="4" w:space="0"/>
              <w:right w:val="nil"/>
            </w:tcBorders>
            <w:noWrap w:val="0"/>
            <w:vAlign w:val="center"/>
          </w:tcPr>
          <w:p w14:paraId="37D4F43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3F290B2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3F7D0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0E2163B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77</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682604B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计数器</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4990928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手持式</w:t>
            </w:r>
          </w:p>
        </w:tc>
        <w:tc>
          <w:tcPr>
            <w:tcW w:w="331" w:type="pct"/>
            <w:tcBorders>
              <w:top w:val="single" w:color="000000" w:sz="4" w:space="0"/>
              <w:left w:val="single" w:color="000000" w:sz="4" w:space="0"/>
              <w:bottom w:val="single" w:color="000000" w:sz="4" w:space="0"/>
              <w:right w:val="nil"/>
            </w:tcBorders>
            <w:noWrap w:val="0"/>
            <w:vAlign w:val="center"/>
          </w:tcPr>
          <w:p w14:paraId="0811D52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2EBE71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675F2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2FC18D1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78</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4012BA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血细胞计数板</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1BF486C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H型凹槽，两个计数池，计数池深度0.1mm</w:t>
            </w:r>
          </w:p>
        </w:tc>
        <w:tc>
          <w:tcPr>
            <w:tcW w:w="331" w:type="pct"/>
            <w:tcBorders>
              <w:top w:val="single" w:color="000000" w:sz="4" w:space="0"/>
              <w:left w:val="single" w:color="000000" w:sz="4" w:space="0"/>
              <w:bottom w:val="single" w:color="000000" w:sz="4" w:space="0"/>
              <w:right w:val="nil"/>
            </w:tcBorders>
            <w:noWrap w:val="0"/>
            <w:vAlign w:val="center"/>
          </w:tcPr>
          <w:p w14:paraId="68DA727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片</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184C75D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35B26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66F29D7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79</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8CBC53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量筒</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69F8DA8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10mL，透明钠钙玻璃制，分度线、数字和标志应完整、清晰和耐久，容积为20℃时充满量筒刻度线所容纳体积</w:t>
            </w:r>
          </w:p>
        </w:tc>
        <w:tc>
          <w:tcPr>
            <w:tcW w:w="331" w:type="pct"/>
            <w:tcBorders>
              <w:top w:val="single" w:color="000000" w:sz="4" w:space="0"/>
              <w:left w:val="single" w:color="000000" w:sz="4" w:space="0"/>
              <w:bottom w:val="single" w:color="000000" w:sz="4" w:space="0"/>
              <w:right w:val="nil"/>
            </w:tcBorders>
            <w:noWrap w:val="0"/>
            <w:vAlign w:val="center"/>
          </w:tcPr>
          <w:p w14:paraId="0CE516A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D10F08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122FD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00904C8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80</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C11200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量筒</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098112F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25mL，透明钠钙玻璃制，分度线、数字和标志应完整、清晰和耐久，容积为20℃时充满量筒刻度线所容纳体积</w:t>
            </w:r>
          </w:p>
        </w:tc>
        <w:tc>
          <w:tcPr>
            <w:tcW w:w="331" w:type="pct"/>
            <w:tcBorders>
              <w:top w:val="single" w:color="000000" w:sz="4" w:space="0"/>
              <w:left w:val="single" w:color="000000" w:sz="4" w:space="0"/>
              <w:bottom w:val="single" w:color="000000" w:sz="4" w:space="0"/>
              <w:right w:val="nil"/>
            </w:tcBorders>
            <w:noWrap w:val="0"/>
            <w:vAlign w:val="center"/>
          </w:tcPr>
          <w:p w14:paraId="6088176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1FB4D9E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w:t>
            </w:r>
          </w:p>
        </w:tc>
      </w:tr>
      <w:tr w14:paraId="691D4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0EA5335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81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6375BA6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量筒</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1381FC7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50mL，透明钠钙玻璃制，分度线、数字和标志应完整、清晰和耐久，容积为20℃时充满量筒刻度线所容纳体积</w:t>
            </w:r>
          </w:p>
        </w:tc>
        <w:tc>
          <w:tcPr>
            <w:tcW w:w="331" w:type="pct"/>
            <w:tcBorders>
              <w:top w:val="single" w:color="000000" w:sz="4" w:space="0"/>
              <w:left w:val="single" w:color="000000" w:sz="4" w:space="0"/>
              <w:bottom w:val="single" w:color="000000" w:sz="4" w:space="0"/>
              <w:right w:val="nil"/>
            </w:tcBorders>
            <w:noWrap w:val="0"/>
            <w:vAlign w:val="center"/>
          </w:tcPr>
          <w:p w14:paraId="25AA772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7624DD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w:t>
            </w:r>
          </w:p>
        </w:tc>
      </w:tr>
      <w:tr w14:paraId="7E217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7925A20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82</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6497EA2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量筒</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66C6A8B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100mL，透明钠钙玻璃制，分度线、数字和标志应完整、清晰和耐久，容积为20℃时充满量筒刻度线所容纳体积</w:t>
            </w:r>
          </w:p>
        </w:tc>
        <w:tc>
          <w:tcPr>
            <w:tcW w:w="331" w:type="pct"/>
            <w:tcBorders>
              <w:top w:val="single" w:color="000000" w:sz="4" w:space="0"/>
              <w:left w:val="single" w:color="000000" w:sz="4" w:space="0"/>
              <w:bottom w:val="single" w:color="000000" w:sz="4" w:space="0"/>
              <w:right w:val="nil"/>
            </w:tcBorders>
            <w:noWrap w:val="0"/>
            <w:vAlign w:val="center"/>
          </w:tcPr>
          <w:p w14:paraId="4C77045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76BCAB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w:t>
            </w:r>
          </w:p>
        </w:tc>
      </w:tr>
      <w:tr w14:paraId="07540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39B1F19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83</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B88DF0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量筒</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1A82491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500mL，透明钠钙玻璃制，分度线、数字和标志应完整、清晰和耐久，容积为20℃时充满量筒刻度线所容纳体积</w:t>
            </w:r>
          </w:p>
        </w:tc>
        <w:tc>
          <w:tcPr>
            <w:tcW w:w="331" w:type="pct"/>
            <w:tcBorders>
              <w:top w:val="single" w:color="000000" w:sz="4" w:space="0"/>
              <w:left w:val="single" w:color="000000" w:sz="4" w:space="0"/>
              <w:bottom w:val="single" w:color="000000" w:sz="4" w:space="0"/>
              <w:right w:val="nil"/>
            </w:tcBorders>
            <w:noWrap w:val="0"/>
            <w:vAlign w:val="center"/>
          </w:tcPr>
          <w:p w14:paraId="58ACA10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2F5AC5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w:t>
            </w:r>
          </w:p>
        </w:tc>
      </w:tr>
      <w:tr w14:paraId="2ECA4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0853508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84</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4A66D47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量筒</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617EA0F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1000mL，透明钠钙玻璃制，分度线、数字和标志应完整、清晰和耐久，容积为20℃时充满量筒刻度线所容纳体积</w:t>
            </w:r>
          </w:p>
        </w:tc>
        <w:tc>
          <w:tcPr>
            <w:tcW w:w="331" w:type="pct"/>
            <w:tcBorders>
              <w:top w:val="single" w:color="000000" w:sz="4" w:space="0"/>
              <w:left w:val="single" w:color="000000" w:sz="4" w:space="0"/>
              <w:bottom w:val="single" w:color="000000" w:sz="4" w:space="0"/>
              <w:right w:val="nil"/>
            </w:tcBorders>
            <w:noWrap w:val="0"/>
            <w:vAlign w:val="center"/>
          </w:tcPr>
          <w:p w14:paraId="3806CD1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78457E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76F7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24544AA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85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4F9FA4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容量瓶</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14F1605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100mL，透明硼硅酸盐玻璃制，刻度线应在瓶颈下部三分之二处，清晰耐久，粗细均匀</w:t>
            </w:r>
          </w:p>
        </w:tc>
        <w:tc>
          <w:tcPr>
            <w:tcW w:w="331" w:type="pct"/>
            <w:tcBorders>
              <w:top w:val="single" w:color="000000" w:sz="4" w:space="0"/>
              <w:left w:val="single" w:color="000000" w:sz="4" w:space="0"/>
              <w:bottom w:val="single" w:color="000000" w:sz="4" w:space="0"/>
              <w:right w:val="nil"/>
            </w:tcBorders>
            <w:noWrap w:val="0"/>
            <w:vAlign w:val="center"/>
          </w:tcPr>
          <w:p w14:paraId="1F1A3B1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1F03000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5F36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6E81AB8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86</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CFC12C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试管</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21D1C71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Φ12mm×70mm，透明硼硅酸盐玻璃制</w:t>
            </w:r>
          </w:p>
        </w:tc>
        <w:tc>
          <w:tcPr>
            <w:tcW w:w="331" w:type="pct"/>
            <w:tcBorders>
              <w:top w:val="single" w:color="000000" w:sz="4" w:space="0"/>
              <w:left w:val="single" w:color="000000" w:sz="4" w:space="0"/>
              <w:bottom w:val="single" w:color="000000" w:sz="4" w:space="0"/>
              <w:right w:val="nil"/>
            </w:tcBorders>
            <w:noWrap w:val="0"/>
            <w:vAlign w:val="center"/>
          </w:tcPr>
          <w:p w14:paraId="1901354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211EA96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74F54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7A3A2B1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87</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383A141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试管</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1E2FB5F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Φ15mm×150mm，透明硼硅酸盐玻璃制</w:t>
            </w:r>
          </w:p>
        </w:tc>
        <w:tc>
          <w:tcPr>
            <w:tcW w:w="331" w:type="pct"/>
            <w:tcBorders>
              <w:top w:val="single" w:color="000000" w:sz="4" w:space="0"/>
              <w:left w:val="single" w:color="000000" w:sz="4" w:space="0"/>
              <w:bottom w:val="single" w:color="000000" w:sz="4" w:space="0"/>
              <w:right w:val="nil"/>
            </w:tcBorders>
            <w:noWrap w:val="0"/>
            <w:vAlign w:val="center"/>
          </w:tcPr>
          <w:p w14:paraId="575FCDA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1B4ADB7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r>
      <w:tr w14:paraId="3CB44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3E11113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88</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62BB97F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烧杯</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6404ECF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50mL，透明硼硅酸盐玻璃制，烧杯的满口容量应超过标称容量的10%或烧杯的满口容量和标称容量的两液面间距不应少于10mm，并应采用容量差值较大的一种</w:t>
            </w:r>
          </w:p>
        </w:tc>
        <w:tc>
          <w:tcPr>
            <w:tcW w:w="331" w:type="pct"/>
            <w:tcBorders>
              <w:top w:val="single" w:color="000000" w:sz="4" w:space="0"/>
              <w:left w:val="single" w:color="000000" w:sz="4" w:space="0"/>
              <w:bottom w:val="single" w:color="000000" w:sz="4" w:space="0"/>
              <w:right w:val="nil"/>
            </w:tcBorders>
            <w:noWrap w:val="0"/>
            <w:vAlign w:val="center"/>
          </w:tcPr>
          <w:p w14:paraId="749F023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B9B5C8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r>
      <w:tr w14:paraId="473F5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5878C51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89</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4FB4300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烧杯</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565824F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100mL，透明硼硅酸盐玻璃制，烧杯的满口容量应超过标称容量的10%或烧杯的满口容量和标称容量的两液面间距不应少于10mm，并应采用容量差值较大的一种</w:t>
            </w:r>
          </w:p>
        </w:tc>
        <w:tc>
          <w:tcPr>
            <w:tcW w:w="331" w:type="pct"/>
            <w:tcBorders>
              <w:top w:val="single" w:color="000000" w:sz="4" w:space="0"/>
              <w:left w:val="single" w:color="000000" w:sz="4" w:space="0"/>
              <w:bottom w:val="single" w:color="000000" w:sz="4" w:space="0"/>
              <w:right w:val="nil"/>
            </w:tcBorders>
            <w:noWrap w:val="0"/>
            <w:vAlign w:val="center"/>
          </w:tcPr>
          <w:p w14:paraId="27C1C2D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4597513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r>
      <w:tr w14:paraId="1B73D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633E2F8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90</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B41B2B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烧杯</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5D62E4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250mL，透明硼硅酸盐玻璃制，烧杯的满口容量应超过标称容量的10%或烧杯的满口容量和标称容量的两液面间距不应少于10mm，并应采用容量差值较大的一种</w:t>
            </w:r>
          </w:p>
        </w:tc>
        <w:tc>
          <w:tcPr>
            <w:tcW w:w="331" w:type="pct"/>
            <w:tcBorders>
              <w:top w:val="single" w:color="000000" w:sz="4" w:space="0"/>
              <w:left w:val="single" w:color="000000" w:sz="4" w:space="0"/>
              <w:bottom w:val="single" w:color="000000" w:sz="4" w:space="0"/>
              <w:right w:val="nil"/>
            </w:tcBorders>
            <w:noWrap w:val="0"/>
            <w:vAlign w:val="center"/>
          </w:tcPr>
          <w:p w14:paraId="5DAEA12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9466FA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0144D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17D4524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91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E7639D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烧杯</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21C0A5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500mL，透明硼硅酸盐玻璃制，烧杯的满口容量应超过标称容量的10%或烧杯的满口容量和标称容量的两液面间距不应少于10mm，并应采用容量差值较大的一种</w:t>
            </w:r>
          </w:p>
        </w:tc>
        <w:tc>
          <w:tcPr>
            <w:tcW w:w="331" w:type="pct"/>
            <w:tcBorders>
              <w:top w:val="single" w:color="000000" w:sz="4" w:space="0"/>
              <w:left w:val="single" w:color="000000" w:sz="4" w:space="0"/>
              <w:bottom w:val="single" w:color="000000" w:sz="4" w:space="0"/>
              <w:right w:val="nil"/>
            </w:tcBorders>
            <w:noWrap w:val="0"/>
            <w:vAlign w:val="center"/>
          </w:tcPr>
          <w:p w14:paraId="60A1574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7F06788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646CD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1EDB184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92</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D5763B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烧杯</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A716E7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1000mL，透明硼硅酸盐玻璃制，烧杯的满口容量应超过标称容量的10%或烧杯的满口容量和标称容量的两液面间距不应少于10mm，并应采用容量差值较大的一种</w:t>
            </w:r>
          </w:p>
        </w:tc>
        <w:tc>
          <w:tcPr>
            <w:tcW w:w="331" w:type="pct"/>
            <w:tcBorders>
              <w:top w:val="single" w:color="000000" w:sz="4" w:space="0"/>
              <w:left w:val="single" w:color="000000" w:sz="4" w:space="0"/>
              <w:bottom w:val="single" w:color="000000" w:sz="4" w:space="0"/>
              <w:right w:val="nil"/>
            </w:tcBorders>
            <w:noWrap w:val="0"/>
            <w:vAlign w:val="center"/>
          </w:tcPr>
          <w:p w14:paraId="5D5B5B6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8EF54B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4DC0C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5B7EC1B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93</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32BE66D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锥形瓶</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031F5B8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50mL，透明硼硅酸盐玻璃制，放在平台上应直立不摇晃、不转动</w:t>
            </w:r>
          </w:p>
        </w:tc>
        <w:tc>
          <w:tcPr>
            <w:tcW w:w="331" w:type="pct"/>
            <w:tcBorders>
              <w:top w:val="single" w:color="000000" w:sz="4" w:space="0"/>
              <w:left w:val="single" w:color="000000" w:sz="4" w:space="0"/>
              <w:bottom w:val="single" w:color="000000" w:sz="4" w:space="0"/>
              <w:right w:val="nil"/>
            </w:tcBorders>
            <w:noWrap w:val="0"/>
            <w:vAlign w:val="center"/>
          </w:tcPr>
          <w:p w14:paraId="3B33E72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6C5F90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5C6A1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06F23CC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94</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56B717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锥形瓶</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279D27D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100mL，透明硼硅酸盐玻璃制，放在平台上应直立不摇晃、不转动</w:t>
            </w:r>
          </w:p>
        </w:tc>
        <w:tc>
          <w:tcPr>
            <w:tcW w:w="331" w:type="pct"/>
            <w:tcBorders>
              <w:top w:val="single" w:color="000000" w:sz="4" w:space="0"/>
              <w:left w:val="single" w:color="000000" w:sz="4" w:space="0"/>
              <w:bottom w:val="single" w:color="000000" w:sz="4" w:space="0"/>
              <w:right w:val="nil"/>
            </w:tcBorders>
            <w:noWrap w:val="0"/>
            <w:vAlign w:val="center"/>
          </w:tcPr>
          <w:p w14:paraId="5801EBC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7923A64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428B4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4A38790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95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ADE6DF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锥形瓶</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277298E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250mL，透明硼硅酸盐玻璃制，放在平台上应直立不摇晃、不转动</w:t>
            </w:r>
          </w:p>
        </w:tc>
        <w:tc>
          <w:tcPr>
            <w:tcW w:w="331" w:type="pct"/>
            <w:tcBorders>
              <w:top w:val="single" w:color="000000" w:sz="4" w:space="0"/>
              <w:left w:val="single" w:color="000000" w:sz="4" w:space="0"/>
              <w:bottom w:val="single" w:color="000000" w:sz="4" w:space="0"/>
              <w:right w:val="nil"/>
            </w:tcBorders>
            <w:noWrap w:val="0"/>
            <w:vAlign w:val="center"/>
          </w:tcPr>
          <w:p w14:paraId="4290EE9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1B85EF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42A00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3B6A180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96</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3EA264A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锥形瓶</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03140D8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500mL，透明硼硅酸盐玻璃制，放在平台上应直立不摇晃、不转动</w:t>
            </w:r>
          </w:p>
        </w:tc>
        <w:tc>
          <w:tcPr>
            <w:tcW w:w="331" w:type="pct"/>
            <w:tcBorders>
              <w:top w:val="single" w:color="000000" w:sz="4" w:space="0"/>
              <w:left w:val="single" w:color="000000" w:sz="4" w:space="0"/>
              <w:bottom w:val="single" w:color="000000" w:sz="4" w:space="0"/>
              <w:right w:val="nil"/>
            </w:tcBorders>
            <w:noWrap w:val="0"/>
            <w:vAlign w:val="center"/>
          </w:tcPr>
          <w:p w14:paraId="1CED64B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5CA1DCF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5F770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0F5C2A0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97</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DB12C5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蒸馏烧瓶</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362ABB4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250mL；透明硼硅酸盐玻璃制，烧瓶的颈部同一截面应该呈圆形，颈的口部不应呈锥形，并适当提高强度</w:t>
            </w:r>
          </w:p>
        </w:tc>
        <w:tc>
          <w:tcPr>
            <w:tcW w:w="331" w:type="pct"/>
            <w:tcBorders>
              <w:top w:val="single" w:color="000000" w:sz="4" w:space="0"/>
              <w:left w:val="single" w:color="000000" w:sz="4" w:space="0"/>
              <w:bottom w:val="single" w:color="000000" w:sz="4" w:space="0"/>
              <w:right w:val="nil"/>
            </w:tcBorders>
            <w:noWrap w:val="0"/>
            <w:vAlign w:val="center"/>
          </w:tcPr>
          <w:p w14:paraId="45AB991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6815F9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r>
      <w:tr w14:paraId="4185C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7E4AB76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98</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FDF38F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广口瓶</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939961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125mL，透明钠钙玻璃制；瓶塞与瓶口紧实，不晃动；口部应圆整光滑，底部应平整，放置平台上不应摇晃或转动</w:t>
            </w:r>
          </w:p>
        </w:tc>
        <w:tc>
          <w:tcPr>
            <w:tcW w:w="331" w:type="pct"/>
            <w:tcBorders>
              <w:top w:val="single" w:color="000000" w:sz="4" w:space="0"/>
              <w:left w:val="single" w:color="000000" w:sz="4" w:space="0"/>
              <w:bottom w:val="single" w:color="000000" w:sz="4" w:space="0"/>
              <w:right w:val="nil"/>
            </w:tcBorders>
            <w:noWrap w:val="0"/>
            <w:vAlign w:val="center"/>
          </w:tcPr>
          <w:p w14:paraId="2A98E3B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3DDA228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208F9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4998A95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99</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363743F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广口瓶</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0EFA8BD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250mL，透明钠钙玻璃制；瓶塞与瓶口紧实，不晃动；口部应圆整光滑，底部应平整，放置平台上不应摇晃或转动</w:t>
            </w:r>
          </w:p>
        </w:tc>
        <w:tc>
          <w:tcPr>
            <w:tcW w:w="331" w:type="pct"/>
            <w:tcBorders>
              <w:top w:val="single" w:color="000000" w:sz="4" w:space="0"/>
              <w:left w:val="single" w:color="000000" w:sz="4" w:space="0"/>
              <w:bottom w:val="single" w:color="000000" w:sz="4" w:space="0"/>
              <w:right w:val="nil"/>
            </w:tcBorders>
            <w:noWrap w:val="0"/>
            <w:vAlign w:val="center"/>
          </w:tcPr>
          <w:p w14:paraId="458D3A1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446B6B0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66BF0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4898228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C0C06E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广口瓶</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55E9317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500mL，透明钠钙玻璃制；瓶塞与瓶口紧实，不晃动；口部应圆整光滑，底部应平整，放置平台上不应摇晃或转动</w:t>
            </w:r>
          </w:p>
        </w:tc>
        <w:tc>
          <w:tcPr>
            <w:tcW w:w="331" w:type="pct"/>
            <w:tcBorders>
              <w:top w:val="single" w:color="000000" w:sz="4" w:space="0"/>
              <w:left w:val="single" w:color="000000" w:sz="4" w:space="0"/>
              <w:bottom w:val="single" w:color="000000" w:sz="4" w:space="0"/>
              <w:right w:val="nil"/>
            </w:tcBorders>
            <w:noWrap w:val="0"/>
            <w:vAlign w:val="center"/>
          </w:tcPr>
          <w:p w14:paraId="790170F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56B6243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79B24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4E0AF78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101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782C40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细口瓶</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6407CE9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125mL，透明钠钙玻璃制；瓶塞与瓶口紧实，不晃动；口部应圆整光滑，底部应平整，放置平台上不应摇晃或转动</w:t>
            </w:r>
          </w:p>
        </w:tc>
        <w:tc>
          <w:tcPr>
            <w:tcW w:w="331" w:type="pct"/>
            <w:tcBorders>
              <w:top w:val="single" w:color="000000" w:sz="4" w:space="0"/>
              <w:left w:val="single" w:color="000000" w:sz="4" w:space="0"/>
              <w:bottom w:val="single" w:color="000000" w:sz="4" w:space="0"/>
              <w:right w:val="nil"/>
            </w:tcBorders>
            <w:noWrap w:val="0"/>
            <w:vAlign w:val="center"/>
          </w:tcPr>
          <w:p w14:paraId="01B07BA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2A007FD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77A41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09CB8FE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102</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F29B06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细口瓶</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2138E43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250mL，透明钠钙玻璃制；瓶塞与瓶口紧实，不晃动；口部应圆整光滑，底部应平整，放置平台上不应摇晃或转动</w:t>
            </w:r>
          </w:p>
        </w:tc>
        <w:tc>
          <w:tcPr>
            <w:tcW w:w="331" w:type="pct"/>
            <w:tcBorders>
              <w:top w:val="single" w:color="000000" w:sz="4" w:space="0"/>
              <w:left w:val="single" w:color="000000" w:sz="4" w:space="0"/>
              <w:bottom w:val="single" w:color="000000" w:sz="4" w:space="0"/>
              <w:right w:val="nil"/>
            </w:tcBorders>
            <w:noWrap w:val="0"/>
            <w:vAlign w:val="center"/>
          </w:tcPr>
          <w:p w14:paraId="417D10E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774FC3E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2ACE0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2EF14A8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103</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1A48AA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细口瓶</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506D632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500mL，透明钠钙玻璃制；瓶塞与瓶口紧实，不晃动；口部应圆整光滑，底部应平整，放置平台上不应摇晃或转动</w:t>
            </w:r>
          </w:p>
        </w:tc>
        <w:tc>
          <w:tcPr>
            <w:tcW w:w="331" w:type="pct"/>
            <w:tcBorders>
              <w:top w:val="single" w:color="000000" w:sz="4" w:space="0"/>
              <w:left w:val="single" w:color="000000" w:sz="4" w:space="0"/>
              <w:bottom w:val="single" w:color="000000" w:sz="4" w:space="0"/>
              <w:right w:val="nil"/>
            </w:tcBorders>
            <w:noWrap w:val="0"/>
            <w:vAlign w:val="center"/>
          </w:tcPr>
          <w:p w14:paraId="4C4ADFB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5241678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4A88B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6A97051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104</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C30852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细口瓶</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3DD5D89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1000mL，透明钠钙玻璃制；瓶塞与瓶口紧实，不晃动；口部应圆整光滑，底部应平整，放置平台上不应摇晃或转动</w:t>
            </w:r>
          </w:p>
        </w:tc>
        <w:tc>
          <w:tcPr>
            <w:tcW w:w="331" w:type="pct"/>
            <w:tcBorders>
              <w:top w:val="single" w:color="000000" w:sz="4" w:space="0"/>
              <w:left w:val="single" w:color="000000" w:sz="4" w:space="0"/>
              <w:bottom w:val="single" w:color="000000" w:sz="4" w:space="0"/>
              <w:right w:val="nil"/>
            </w:tcBorders>
            <w:noWrap w:val="0"/>
            <w:vAlign w:val="center"/>
          </w:tcPr>
          <w:p w14:paraId="2B75E06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51A6628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4D24D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2D53B1F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105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0E6648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滴瓶</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28650F2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30mL，透明钠钙玻璃制，瓶口细磨，磨砂面应均匀细腻，滴管应附橡胶帽，吸放弹性好，开口直径6mm，与滴管口套合牢固稳定</w:t>
            </w:r>
          </w:p>
        </w:tc>
        <w:tc>
          <w:tcPr>
            <w:tcW w:w="331" w:type="pct"/>
            <w:tcBorders>
              <w:top w:val="single" w:color="000000" w:sz="4" w:space="0"/>
              <w:left w:val="single" w:color="000000" w:sz="4" w:space="0"/>
              <w:bottom w:val="single" w:color="000000" w:sz="4" w:space="0"/>
              <w:right w:val="nil"/>
            </w:tcBorders>
            <w:noWrap w:val="0"/>
            <w:vAlign w:val="center"/>
          </w:tcPr>
          <w:p w14:paraId="3902FA1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48009D4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75</w:t>
            </w:r>
          </w:p>
        </w:tc>
      </w:tr>
      <w:tr w14:paraId="37074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66E4A62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106</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65D8D22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滴瓶</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64256E1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60mL，透明钠钙玻璃制，瓶口细磨，磨砂面应均匀细腻，滴管应附橡胶帽，吸放弹性好，开口直径6mm，与滴管口套合牢固稳定</w:t>
            </w:r>
          </w:p>
        </w:tc>
        <w:tc>
          <w:tcPr>
            <w:tcW w:w="331" w:type="pct"/>
            <w:tcBorders>
              <w:top w:val="single" w:color="000000" w:sz="4" w:space="0"/>
              <w:left w:val="single" w:color="000000" w:sz="4" w:space="0"/>
              <w:bottom w:val="single" w:color="000000" w:sz="4" w:space="0"/>
              <w:right w:val="nil"/>
            </w:tcBorders>
            <w:noWrap w:val="0"/>
            <w:vAlign w:val="center"/>
          </w:tcPr>
          <w:p w14:paraId="2297B53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4BFABBE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75</w:t>
            </w:r>
          </w:p>
        </w:tc>
      </w:tr>
      <w:tr w14:paraId="44C4E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015FFB7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107</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B391BE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茶色滴瓶</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2851F57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30mL，透明钠钙玻璃制，瓶口细磨，磨砂面应均匀细腻，滴管应附橡胶帽，吸放弹性好，开口直径6mm，与滴管口套合牢固稳定</w:t>
            </w:r>
          </w:p>
        </w:tc>
        <w:tc>
          <w:tcPr>
            <w:tcW w:w="331" w:type="pct"/>
            <w:tcBorders>
              <w:top w:val="single" w:color="000000" w:sz="4" w:space="0"/>
              <w:left w:val="single" w:color="000000" w:sz="4" w:space="0"/>
              <w:bottom w:val="single" w:color="000000" w:sz="4" w:space="0"/>
              <w:right w:val="nil"/>
            </w:tcBorders>
            <w:noWrap w:val="0"/>
            <w:vAlign w:val="center"/>
          </w:tcPr>
          <w:p w14:paraId="00853AD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77723C1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75</w:t>
            </w:r>
          </w:p>
        </w:tc>
      </w:tr>
      <w:tr w14:paraId="5072C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555F52B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108</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21CD70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茶色滴瓶</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45D55E9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60mL，透明钠钙玻璃制，瓶口细磨，磨砂面应均匀细腻，滴管应附橡胶帽，吸放弹性好，开口直径6mm，与滴管口套合牢固稳定</w:t>
            </w:r>
          </w:p>
        </w:tc>
        <w:tc>
          <w:tcPr>
            <w:tcW w:w="331" w:type="pct"/>
            <w:tcBorders>
              <w:top w:val="single" w:color="000000" w:sz="4" w:space="0"/>
              <w:left w:val="single" w:color="000000" w:sz="4" w:space="0"/>
              <w:bottom w:val="single" w:color="000000" w:sz="4" w:space="0"/>
              <w:right w:val="nil"/>
            </w:tcBorders>
            <w:noWrap w:val="0"/>
            <w:vAlign w:val="center"/>
          </w:tcPr>
          <w:p w14:paraId="3670F17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D1F067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75</w:t>
            </w:r>
          </w:p>
        </w:tc>
      </w:tr>
      <w:tr w14:paraId="3BEB2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089B920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109</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3519EA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泡菜坛</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035CE4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1000mL</w:t>
            </w:r>
          </w:p>
        </w:tc>
        <w:tc>
          <w:tcPr>
            <w:tcW w:w="331" w:type="pct"/>
            <w:tcBorders>
              <w:top w:val="single" w:color="000000" w:sz="4" w:space="0"/>
              <w:left w:val="single" w:color="000000" w:sz="4" w:space="0"/>
              <w:bottom w:val="single" w:color="000000" w:sz="4" w:space="0"/>
              <w:right w:val="nil"/>
            </w:tcBorders>
            <w:noWrap w:val="0"/>
            <w:vAlign w:val="center"/>
          </w:tcPr>
          <w:p w14:paraId="232C7AB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57F4819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w:t>
            </w:r>
          </w:p>
        </w:tc>
      </w:tr>
      <w:tr w14:paraId="61E7E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4BD0568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110</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4044ECB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培养皿</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CDE403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60mm；玻璃薄厚均匀、耐高温高压</w:t>
            </w:r>
          </w:p>
        </w:tc>
        <w:tc>
          <w:tcPr>
            <w:tcW w:w="331" w:type="pct"/>
            <w:tcBorders>
              <w:top w:val="single" w:color="000000" w:sz="4" w:space="0"/>
              <w:left w:val="single" w:color="000000" w:sz="4" w:space="0"/>
              <w:bottom w:val="single" w:color="000000" w:sz="4" w:space="0"/>
              <w:right w:val="nil"/>
            </w:tcBorders>
            <w:noWrap w:val="0"/>
            <w:vAlign w:val="center"/>
          </w:tcPr>
          <w:p w14:paraId="215B009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5A96D25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150</w:t>
            </w:r>
          </w:p>
        </w:tc>
      </w:tr>
      <w:tr w14:paraId="6D6FF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6509250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111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04A8D7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培养皿</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6C8A3DF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90mm；玻璃薄厚均匀、耐高温高压</w:t>
            </w:r>
          </w:p>
        </w:tc>
        <w:tc>
          <w:tcPr>
            <w:tcW w:w="331" w:type="pct"/>
            <w:tcBorders>
              <w:top w:val="single" w:color="000000" w:sz="4" w:space="0"/>
              <w:left w:val="single" w:color="000000" w:sz="4" w:space="0"/>
              <w:bottom w:val="single" w:color="000000" w:sz="4" w:space="0"/>
              <w:right w:val="nil"/>
            </w:tcBorders>
            <w:noWrap w:val="0"/>
            <w:vAlign w:val="center"/>
          </w:tcPr>
          <w:p w14:paraId="362ACD9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2CFEA48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150</w:t>
            </w:r>
          </w:p>
        </w:tc>
      </w:tr>
      <w:tr w14:paraId="2F4AE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50FC033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112</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4B33AC7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干燥器</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147F045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150mm，磨口平整，密封严实，隔板大小合适，不少于5个圆孔</w:t>
            </w:r>
          </w:p>
        </w:tc>
        <w:tc>
          <w:tcPr>
            <w:tcW w:w="331" w:type="pct"/>
            <w:tcBorders>
              <w:top w:val="single" w:color="000000" w:sz="4" w:space="0"/>
              <w:left w:val="single" w:color="000000" w:sz="4" w:space="0"/>
              <w:bottom w:val="single" w:color="000000" w:sz="4" w:space="0"/>
              <w:right w:val="nil"/>
            </w:tcBorders>
            <w:noWrap w:val="0"/>
            <w:vAlign w:val="center"/>
          </w:tcPr>
          <w:p w14:paraId="3B41779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1A4D35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E391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2EFAEA4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113</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CD9C51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干燥管</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2FC9799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U型，Φ15mm×150mm，硼硅酸盐玻璃制，两管应平行，管口高度误差不大于5mm</w:t>
            </w:r>
          </w:p>
        </w:tc>
        <w:tc>
          <w:tcPr>
            <w:tcW w:w="331" w:type="pct"/>
            <w:tcBorders>
              <w:top w:val="single" w:color="000000" w:sz="4" w:space="0"/>
              <w:left w:val="single" w:color="000000" w:sz="4" w:space="0"/>
              <w:bottom w:val="single" w:color="000000" w:sz="4" w:space="0"/>
              <w:right w:val="nil"/>
            </w:tcBorders>
            <w:noWrap w:val="0"/>
            <w:vAlign w:val="center"/>
          </w:tcPr>
          <w:p w14:paraId="78470BD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79566BC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w:t>
            </w:r>
          </w:p>
        </w:tc>
      </w:tr>
      <w:tr w14:paraId="43079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2BF5294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114</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3ADA85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比色管</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475C95C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25mL</w:t>
            </w:r>
          </w:p>
        </w:tc>
        <w:tc>
          <w:tcPr>
            <w:tcW w:w="331" w:type="pct"/>
            <w:tcBorders>
              <w:top w:val="single" w:color="000000" w:sz="4" w:space="0"/>
              <w:left w:val="single" w:color="000000" w:sz="4" w:space="0"/>
              <w:bottom w:val="single" w:color="000000" w:sz="4" w:space="0"/>
              <w:right w:val="nil"/>
            </w:tcBorders>
            <w:noWrap w:val="0"/>
            <w:vAlign w:val="center"/>
          </w:tcPr>
          <w:p w14:paraId="498AB05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086941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150</w:t>
            </w:r>
          </w:p>
        </w:tc>
      </w:tr>
      <w:tr w14:paraId="0C267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0BA6CA6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115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F28790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长颈漏斗</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4C78221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上口直径45mm,球形直径42mm,下管长250mm,下管外径8mm</w:t>
            </w:r>
          </w:p>
        </w:tc>
        <w:tc>
          <w:tcPr>
            <w:tcW w:w="331" w:type="pct"/>
            <w:tcBorders>
              <w:top w:val="single" w:color="000000" w:sz="4" w:space="0"/>
              <w:left w:val="single" w:color="000000" w:sz="4" w:space="0"/>
              <w:bottom w:val="single" w:color="000000" w:sz="4" w:space="0"/>
              <w:right w:val="nil"/>
            </w:tcBorders>
            <w:noWrap w:val="0"/>
            <w:vAlign w:val="center"/>
          </w:tcPr>
          <w:p w14:paraId="7D817F5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305BF6B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r>
      <w:tr w14:paraId="4B5E0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01945A5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116</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6AC43E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漏斗</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12BD081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60mm，滤碗为夹角60°的圆锥形，管的尾端磨成约45°角</w:t>
            </w:r>
          </w:p>
        </w:tc>
        <w:tc>
          <w:tcPr>
            <w:tcW w:w="331" w:type="pct"/>
            <w:tcBorders>
              <w:top w:val="single" w:color="000000" w:sz="4" w:space="0"/>
              <w:left w:val="single" w:color="000000" w:sz="4" w:space="0"/>
              <w:bottom w:val="single" w:color="000000" w:sz="4" w:space="0"/>
              <w:right w:val="nil"/>
            </w:tcBorders>
            <w:noWrap w:val="0"/>
            <w:vAlign w:val="center"/>
          </w:tcPr>
          <w:p w14:paraId="0E8EEB9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7EF0AF8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w:t>
            </w:r>
          </w:p>
        </w:tc>
      </w:tr>
      <w:tr w14:paraId="3BB81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7DCCC30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117</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52076F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漏斗</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6C415FA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90mm，滤碗为夹角60°的圆锥形，管的尾端磨成约45°角</w:t>
            </w:r>
          </w:p>
        </w:tc>
        <w:tc>
          <w:tcPr>
            <w:tcW w:w="331" w:type="pct"/>
            <w:tcBorders>
              <w:top w:val="single" w:color="000000" w:sz="4" w:space="0"/>
              <w:left w:val="single" w:color="000000" w:sz="4" w:space="0"/>
              <w:bottom w:val="single" w:color="000000" w:sz="4" w:space="0"/>
              <w:right w:val="nil"/>
            </w:tcBorders>
            <w:noWrap w:val="0"/>
            <w:vAlign w:val="center"/>
          </w:tcPr>
          <w:p w14:paraId="4D67C42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42486E4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w:t>
            </w:r>
          </w:p>
        </w:tc>
      </w:tr>
      <w:tr w14:paraId="702401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2FA1B0D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118</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45111F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三通连接管</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4F75B8A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Y形，Φ7mm~Φ8mm，连接完好，管口应作打磨或烧结处理</w:t>
            </w:r>
          </w:p>
        </w:tc>
        <w:tc>
          <w:tcPr>
            <w:tcW w:w="331" w:type="pct"/>
            <w:tcBorders>
              <w:top w:val="single" w:color="000000" w:sz="4" w:space="0"/>
              <w:left w:val="single" w:color="000000" w:sz="4" w:space="0"/>
              <w:bottom w:val="single" w:color="000000" w:sz="4" w:space="0"/>
              <w:right w:val="nil"/>
            </w:tcBorders>
            <w:noWrap w:val="0"/>
            <w:vAlign w:val="center"/>
          </w:tcPr>
          <w:p w14:paraId="2CDF5C4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C3912B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w:t>
            </w:r>
          </w:p>
        </w:tc>
      </w:tr>
      <w:tr w14:paraId="7C73F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271F07C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119</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3D4438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滴管</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F81BCE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100mm，直形，滴管尖嘴口径1mm，上端有防滑脱翻口，翻口处直径比滴管直径略多1mm～2mm</w:t>
            </w:r>
          </w:p>
        </w:tc>
        <w:tc>
          <w:tcPr>
            <w:tcW w:w="331" w:type="pct"/>
            <w:tcBorders>
              <w:top w:val="single" w:color="000000" w:sz="4" w:space="0"/>
              <w:left w:val="single" w:color="000000" w:sz="4" w:space="0"/>
              <w:bottom w:val="single" w:color="000000" w:sz="4" w:space="0"/>
              <w:right w:val="nil"/>
            </w:tcBorders>
            <w:noWrap w:val="0"/>
            <w:vAlign w:val="center"/>
          </w:tcPr>
          <w:p w14:paraId="691B229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766CE92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150</w:t>
            </w:r>
          </w:p>
        </w:tc>
      </w:tr>
      <w:tr w14:paraId="593F9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4CE1266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120</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24DD8E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载玻片</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FFD2B1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无色透明，平整</w:t>
            </w:r>
          </w:p>
        </w:tc>
        <w:tc>
          <w:tcPr>
            <w:tcW w:w="331" w:type="pct"/>
            <w:tcBorders>
              <w:top w:val="single" w:color="000000" w:sz="4" w:space="0"/>
              <w:left w:val="single" w:color="000000" w:sz="4" w:space="0"/>
              <w:bottom w:val="single" w:color="000000" w:sz="4" w:space="0"/>
              <w:right w:val="nil"/>
            </w:tcBorders>
            <w:noWrap w:val="0"/>
            <w:vAlign w:val="center"/>
          </w:tcPr>
          <w:p w14:paraId="2DFB1A8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盒</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CBF991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w:t>
            </w:r>
          </w:p>
        </w:tc>
      </w:tr>
      <w:tr w14:paraId="2E832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163A1A4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121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111FB6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盖玻片</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AA5281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无色透明，平整</w:t>
            </w:r>
          </w:p>
        </w:tc>
        <w:tc>
          <w:tcPr>
            <w:tcW w:w="331" w:type="pct"/>
            <w:tcBorders>
              <w:top w:val="single" w:color="000000" w:sz="4" w:space="0"/>
              <w:left w:val="single" w:color="000000" w:sz="4" w:space="0"/>
              <w:bottom w:val="single" w:color="000000" w:sz="4" w:space="0"/>
              <w:right w:val="nil"/>
            </w:tcBorders>
            <w:noWrap w:val="0"/>
            <w:vAlign w:val="center"/>
          </w:tcPr>
          <w:p w14:paraId="79F1E65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1065D19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w:t>
            </w:r>
          </w:p>
        </w:tc>
      </w:tr>
      <w:tr w14:paraId="49942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11A8F1E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122</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432BEF7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酒精灯</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284BC12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150mL，透明钠钙玻璃制，无明显黄绿色；灯口应平整，瓷灯头与灯口平面间隙不应超过1.5mm；玻璃灯罩应磨口；瓷灯头应为白色，完全覆盖灯口，表面无缺陷，配置与灯口孔径相适应的整齐完整的棉线灯芯</w:t>
            </w:r>
          </w:p>
        </w:tc>
        <w:tc>
          <w:tcPr>
            <w:tcW w:w="331" w:type="pct"/>
            <w:tcBorders>
              <w:top w:val="single" w:color="000000" w:sz="4" w:space="0"/>
              <w:left w:val="single" w:color="000000" w:sz="4" w:space="0"/>
              <w:bottom w:val="single" w:color="000000" w:sz="4" w:space="0"/>
              <w:right w:val="nil"/>
            </w:tcBorders>
            <w:noWrap w:val="0"/>
            <w:vAlign w:val="center"/>
          </w:tcPr>
          <w:p w14:paraId="2268B1A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27C5A2F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w:t>
            </w:r>
          </w:p>
        </w:tc>
      </w:tr>
      <w:tr w14:paraId="5C552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57E466B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123</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5E45A9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离心管</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6CCEF8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10mL，塑料</w:t>
            </w:r>
          </w:p>
        </w:tc>
        <w:tc>
          <w:tcPr>
            <w:tcW w:w="331" w:type="pct"/>
            <w:tcBorders>
              <w:top w:val="single" w:color="000000" w:sz="4" w:space="0"/>
              <w:left w:val="single" w:color="000000" w:sz="4" w:space="0"/>
              <w:bottom w:val="single" w:color="000000" w:sz="4" w:space="0"/>
              <w:right w:val="nil"/>
            </w:tcBorders>
            <w:noWrap w:val="0"/>
            <w:vAlign w:val="center"/>
          </w:tcPr>
          <w:p w14:paraId="711E328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7348F2F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w:t>
            </w:r>
          </w:p>
        </w:tc>
      </w:tr>
      <w:tr w14:paraId="0D689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3349919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124</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68C8FED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玻璃管</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10AF2A7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Φ5mm~Φ6mm，中性料，管口应为熔光，避免划伤事故</w:t>
            </w:r>
          </w:p>
        </w:tc>
        <w:tc>
          <w:tcPr>
            <w:tcW w:w="331" w:type="pct"/>
            <w:tcBorders>
              <w:top w:val="single" w:color="000000" w:sz="4" w:space="0"/>
              <w:left w:val="single" w:color="000000" w:sz="4" w:space="0"/>
              <w:bottom w:val="single" w:color="000000" w:sz="4" w:space="0"/>
              <w:right w:val="nil"/>
            </w:tcBorders>
            <w:noWrap w:val="0"/>
            <w:vAlign w:val="center"/>
          </w:tcPr>
          <w:p w14:paraId="777330B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kg</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516A62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2F0F3A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4FE9AEC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125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63469C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玻璃弯管</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3F01451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Φ7mm~Φ8mm，一端长度为6cm～7cm，一端长度约20cm，形状为直角和钝角两种，管口应为熔光，避免划伤事故</w:t>
            </w:r>
          </w:p>
        </w:tc>
        <w:tc>
          <w:tcPr>
            <w:tcW w:w="331" w:type="pct"/>
            <w:tcBorders>
              <w:top w:val="single" w:color="000000" w:sz="4" w:space="0"/>
              <w:left w:val="single" w:color="000000" w:sz="4" w:space="0"/>
              <w:bottom w:val="single" w:color="000000" w:sz="4" w:space="0"/>
              <w:right w:val="nil"/>
            </w:tcBorders>
            <w:noWrap w:val="0"/>
            <w:vAlign w:val="center"/>
          </w:tcPr>
          <w:p w14:paraId="06FF3A5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kg</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7C38E40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0.5</w:t>
            </w:r>
          </w:p>
        </w:tc>
      </w:tr>
      <w:tr w14:paraId="50DEF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5B2DD11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126</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379959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玻璃棒</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6C8B51E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Φ5mm~Φ6mm，两端应平整倒边</w:t>
            </w:r>
          </w:p>
        </w:tc>
        <w:tc>
          <w:tcPr>
            <w:tcW w:w="331" w:type="pct"/>
            <w:tcBorders>
              <w:top w:val="single" w:color="000000" w:sz="4" w:space="0"/>
              <w:left w:val="single" w:color="000000" w:sz="4" w:space="0"/>
              <w:bottom w:val="single" w:color="000000" w:sz="4" w:space="0"/>
              <w:right w:val="nil"/>
            </w:tcBorders>
            <w:noWrap w:val="0"/>
            <w:vAlign w:val="center"/>
          </w:tcPr>
          <w:p w14:paraId="09A8BA6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kg</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3B9C1F0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453D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7B15548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127</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A24C48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试管夹</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30BFEEB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木制或竹制，长度≥200mm，宽度20mm，厚度20mm；试管夹闭口缝≤1mm，开口距≥25mm；毡块黏结牢固，试管夹弹簧作防锈处理，试管夹持部位圆弧内径不大于15mm</w:t>
            </w:r>
          </w:p>
        </w:tc>
        <w:tc>
          <w:tcPr>
            <w:tcW w:w="331" w:type="pct"/>
            <w:tcBorders>
              <w:top w:val="single" w:color="000000" w:sz="4" w:space="0"/>
              <w:left w:val="single" w:color="000000" w:sz="4" w:space="0"/>
              <w:bottom w:val="single" w:color="000000" w:sz="4" w:space="0"/>
              <w:right w:val="nil"/>
            </w:tcBorders>
            <w:noWrap w:val="0"/>
            <w:vAlign w:val="center"/>
          </w:tcPr>
          <w:p w14:paraId="6946465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把</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7A23D6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124CC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70E723F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128</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B41551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水止皮管夹</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26C6F8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Φ3mm钢丝制成，作防锈处理，夹持角度不小于60º,弹性好，不漏液</w:t>
            </w:r>
          </w:p>
        </w:tc>
        <w:tc>
          <w:tcPr>
            <w:tcW w:w="331" w:type="pct"/>
            <w:tcBorders>
              <w:top w:val="single" w:color="000000" w:sz="4" w:space="0"/>
              <w:left w:val="single" w:color="000000" w:sz="4" w:space="0"/>
              <w:bottom w:val="single" w:color="000000" w:sz="4" w:space="0"/>
              <w:right w:val="nil"/>
            </w:tcBorders>
            <w:noWrap w:val="0"/>
            <w:vAlign w:val="center"/>
          </w:tcPr>
          <w:p w14:paraId="691F502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BEC831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3AA92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13A82F5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129</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9DA2D9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陶土网</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3D5E7EF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功能等同于石棉网，尺寸不小于125mm×125mm，耐火材料为陶土</w:t>
            </w:r>
          </w:p>
        </w:tc>
        <w:tc>
          <w:tcPr>
            <w:tcW w:w="331" w:type="pct"/>
            <w:tcBorders>
              <w:top w:val="single" w:color="000000" w:sz="4" w:space="0"/>
              <w:left w:val="single" w:color="000000" w:sz="4" w:space="0"/>
              <w:bottom w:val="single" w:color="000000" w:sz="4" w:space="0"/>
              <w:right w:val="nil"/>
            </w:tcBorders>
            <w:noWrap w:val="0"/>
            <w:vAlign w:val="center"/>
          </w:tcPr>
          <w:p w14:paraId="27926BA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F5280B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3D748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6BC15CE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130</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3026D53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药匙</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30DB155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中号13.5cm，一端带小勺，材质可选金属、牛角、塑料</w:t>
            </w:r>
          </w:p>
        </w:tc>
        <w:tc>
          <w:tcPr>
            <w:tcW w:w="331" w:type="pct"/>
            <w:tcBorders>
              <w:top w:val="single" w:color="000000" w:sz="4" w:space="0"/>
              <w:left w:val="single" w:color="000000" w:sz="4" w:space="0"/>
              <w:bottom w:val="single" w:color="000000" w:sz="4" w:space="0"/>
              <w:right w:val="nil"/>
            </w:tcBorders>
            <w:noWrap w:val="0"/>
            <w:vAlign w:val="center"/>
          </w:tcPr>
          <w:p w14:paraId="65FF7B6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把</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1285933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5F89B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4394590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131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87B1D9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橡胶塞</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53CCF3C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000、00、0～10号，白色，质地均匀</w:t>
            </w:r>
          </w:p>
        </w:tc>
        <w:tc>
          <w:tcPr>
            <w:tcW w:w="331" w:type="pct"/>
            <w:tcBorders>
              <w:top w:val="single" w:color="000000" w:sz="4" w:space="0"/>
              <w:left w:val="single" w:color="000000" w:sz="4" w:space="0"/>
              <w:bottom w:val="single" w:color="000000" w:sz="4" w:space="0"/>
              <w:right w:val="nil"/>
            </w:tcBorders>
            <w:noWrap w:val="0"/>
            <w:vAlign w:val="center"/>
          </w:tcPr>
          <w:p w14:paraId="068FBD5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kg</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0549D4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A05D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3D3E093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132</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24C767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橡胶管</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5BB6254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外径9mm，内径6mm，乳白色，具有耐油、耐酸碱、耐压等特性</w:t>
            </w:r>
          </w:p>
        </w:tc>
        <w:tc>
          <w:tcPr>
            <w:tcW w:w="331" w:type="pct"/>
            <w:tcBorders>
              <w:top w:val="single" w:color="000000" w:sz="4" w:space="0"/>
              <w:left w:val="single" w:color="000000" w:sz="4" w:space="0"/>
              <w:bottom w:val="single" w:color="000000" w:sz="4" w:space="0"/>
              <w:right w:val="nil"/>
            </w:tcBorders>
            <w:noWrap w:val="0"/>
            <w:vAlign w:val="center"/>
          </w:tcPr>
          <w:p w14:paraId="1730918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kg</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73321CE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48D17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42D352C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133</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92F49C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试管刷</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016BE6D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Φ12mm；手持部分顶端应为环状，顶部要有刷丝，铁丝不可外露</w:t>
            </w:r>
          </w:p>
        </w:tc>
        <w:tc>
          <w:tcPr>
            <w:tcW w:w="331" w:type="pct"/>
            <w:tcBorders>
              <w:top w:val="single" w:color="000000" w:sz="4" w:space="0"/>
              <w:left w:val="single" w:color="000000" w:sz="4" w:space="0"/>
              <w:bottom w:val="single" w:color="000000" w:sz="4" w:space="0"/>
              <w:right w:val="nil"/>
            </w:tcBorders>
            <w:noWrap w:val="0"/>
            <w:vAlign w:val="center"/>
          </w:tcPr>
          <w:p w14:paraId="37439C6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3747B82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74D5E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1EF48BD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134</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3FE68E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试管刷</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5DC8CF2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Φ18mm；手持部分顶端应为环状，顶部要有刷丝，铁丝不可外露</w:t>
            </w:r>
          </w:p>
        </w:tc>
        <w:tc>
          <w:tcPr>
            <w:tcW w:w="331" w:type="pct"/>
            <w:tcBorders>
              <w:top w:val="single" w:color="000000" w:sz="4" w:space="0"/>
              <w:left w:val="single" w:color="000000" w:sz="4" w:space="0"/>
              <w:bottom w:val="single" w:color="000000" w:sz="4" w:space="0"/>
              <w:right w:val="nil"/>
            </w:tcBorders>
            <w:noWrap w:val="0"/>
            <w:vAlign w:val="center"/>
          </w:tcPr>
          <w:p w14:paraId="21D41BA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202FF7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4EC5F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52A5241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135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B8B239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点滴板</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3218F2C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12孔穴</w:t>
            </w:r>
          </w:p>
        </w:tc>
        <w:tc>
          <w:tcPr>
            <w:tcW w:w="331" w:type="pct"/>
            <w:tcBorders>
              <w:top w:val="single" w:color="000000" w:sz="4" w:space="0"/>
              <w:left w:val="single" w:color="000000" w:sz="4" w:space="0"/>
              <w:bottom w:val="single" w:color="000000" w:sz="4" w:space="0"/>
              <w:right w:val="nil"/>
            </w:tcBorders>
            <w:noWrap w:val="0"/>
            <w:vAlign w:val="center"/>
          </w:tcPr>
          <w:p w14:paraId="5956287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78D2195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w:t>
            </w:r>
          </w:p>
        </w:tc>
      </w:tr>
      <w:tr w14:paraId="66055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7F6DE15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136</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46307F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研钵</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4D92621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60mm，手持部分顶端应为环状，顶部要有刷丝，铁丝不可外露</w:t>
            </w:r>
          </w:p>
        </w:tc>
        <w:tc>
          <w:tcPr>
            <w:tcW w:w="331" w:type="pct"/>
            <w:tcBorders>
              <w:top w:val="single" w:color="000000" w:sz="4" w:space="0"/>
              <w:left w:val="single" w:color="000000" w:sz="4" w:space="0"/>
              <w:bottom w:val="single" w:color="000000" w:sz="4" w:space="0"/>
              <w:right w:val="nil"/>
            </w:tcBorders>
            <w:noWrap w:val="0"/>
            <w:vAlign w:val="center"/>
          </w:tcPr>
          <w:p w14:paraId="238743A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1369C6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w:t>
            </w:r>
          </w:p>
        </w:tc>
      </w:tr>
      <w:tr w14:paraId="4BFCB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1832CEE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137</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0DB1ED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血细胞计数板</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06BC54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22mm×26mm，厚0.5mm</w:t>
            </w:r>
          </w:p>
        </w:tc>
        <w:tc>
          <w:tcPr>
            <w:tcW w:w="331" w:type="pct"/>
            <w:tcBorders>
              <w:top w:val="single" w:color="000000" w:sz="4" w:space="0"/>
              <w:left w:val="single" w:color="000000" w:sz="4" w:space="0"/>
              <w:bottom w:val="single" w:color="000000" w:sz="4" w:space="0"/>
              <w:right w:val="nil"/>
            </w:tcBorders>
            <w:noWrap w:val="0"/>
            <w:vAlign w:val="center"/>
          </w:tcPr>
          <w:p w14:paraId="5834E71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片</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542178D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288DF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61F3A5C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138</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32571F3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记号笔</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6E8CB97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双头，油性墨水</w:t>
            </w:r>
          </w:p>
        </w:tc>
        <w:tc>
          <w:tcPr>
            <w:tcW w:w="331" w:type="pct"/>
            <w:tcBorders>
              <w:top w:val="single" w:color="000000" w:sz="4" w:space="0"/>
              <w:left w:val="single" w:color="000000" w:sz="4" w:space="0"/>
              <w:bottom w:val="single" w:color="000000" w:sz="4" w:space="0"/>
              <w:right w:val="nil"/>
            </w:tcBorders>
            <w:noWrap w:val="0"/>
            <w:vAlign w:val="center"/>
          </w:tcPr>
          <w:p w14:paraId="794BEF8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2EC1F76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59B57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3698B05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139</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87228D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喷壶</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02E5CE3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500mL</w:t>
            </w:r>
          </w:p>
        </w:tc>
        <w:tc>
          <w:tcPr>
            <w:tcW w:w="331" w:type="pct"/>
            <w:tcBorders>
              <w:top w:val="single" w:color="000000" w:sz="4" w:space="0"/>
              <w:left w:val="single" w:color="000000" w:sz="4" w:space="0"/>
              <w:bottom w:val="single" w:color="000000" w:sz="4" w:space="0"/>
              <w:right w:val="nil"/>
            </w:tcBorders>
            <w:noWrap w:val="0"/>
            <w:vAlign w:val="center"/>
          </w:tcPr>
          <w:p w14:paraId="6C4FACA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73493A0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7C397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25BF087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140</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239765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透析袋</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0959397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16mm</w:t>
            </w:r>
          </w:p>
        </w:tc>
        <w:tc>
          <w:tcPr>
            <w:tcW w:w="331" w:type="pct"/>
            <w:tcBorders>
              <w:top w:val="single" w:color="000000" w:sz="4" w:space="0"/>
              <w:left w:val="single" w:color="000000" w:sz="4" w:space="0"/>
              <w:bottom w:val="single" w:color="000000" w:sz="4" w:space="0"/>
              <w:right w:val="nil"/>
            </w:tcBorders>
            <w:noWrap w:val="0"/>
            <w:vAlign w:val="center"/>
          </w:tcPr>
          <w:p w14:paraId="27CE3F5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卷</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2F28C0F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80C0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749086D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141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E231BB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毛细吸管</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EF94F7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玻璃材质，50支/盒</w:t>
            </w:r>
          </w:p>
        </w:tc>
        <w:tc>
          <w:tcPr>
            <w:tcW w:w="331" w:type="pct"/>
            <w:tcBorders>
              <w:top w:val="single" w:color="000000" w:sz="4" w:space="0"/>
              <w:left w:val="single" w:color="000000" w:sz="4" w:space="0"/>
              <w:bottom w:val="single" w:color="000000" w:sz="4" w:space="0"/>
              <w:right w:val="nil"/>
            </w:tcBorders>
            <w:noWrap w:val="0"/>
            <w:vAlign w:val="center"/>
          </w:tcPr>
          <w:p w14:paraId="4CBA4F6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盒</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32C1113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B6D4F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63B4818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142</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35CE1A4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移液器吸头盒</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05FB653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10µL，96孔</w:t>
            </w:r>
          </w:p>
        </w:tc>
        <w:tc>
          <w:tcPr>
            <w:tcW w:w="331" w:type="pct"/>
            <w:tcBorders>
              <w:top w:val="single" w:color="000000" w:sz="4" w:space="0"/>
              <w:left w:val="single" w:color="000000" w:sz="4" w:space="0"/>
              <w:bottom w:val="single" w:color="000000" w:sz="4" w:space="0"/>
              <w:right w:val="nil"/>
            </w:tcBorders>
            <w:noWrap w:val="0"/>
            <w:vAlign w:val="center"/>
          </w:tcPr>
          <w:p w14:paraId="15EFFC0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3152D4A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7A13E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42FB991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143</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6BC1E7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移液器吸头盒</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0C33ECA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200µL，96孔</w:t>
            </w:r>
          </w:p>
        </w:tc>
        <w:tc>
          <w:tcPr>
            <w:tcW w:w="331" w:type="pct"/>
            <w:tcBorders>
              <w:top w:val="single" w:color="000000" w:sz="4" w:space="0"/>
              <w:left w:val="single" w:color="000000" w:sz="4" w:space="0"/>
              <w:bottom w:val="single" w:color="000000" w:sz="4" w:space="0"/>
              <w:right w:val="nil"/>
            </w:tcBorders>
            <w:noWrap w:val="0"/>
            <w:vAlign w:val="center"/>
          </w:tcPr>
          <w:p w14:paraId="4B28767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1C6D5AD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7CFBE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40156B4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144</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6A2204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移液器吸头盒</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4BB357F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1000µL，60孔</w:t>
            </w:r>
          </w:p>
        </w:tc>
        <w:tc>
          <w:tcPr>
            <w:tcW w:w="331" w:type="pct"/>
            <w:tcBorders>
              <w:top w:val="single" w:color="000000" w:sz="4" w:space="0"/>
              <w:left w:val="single" w:color="000000" w:sz="4" w:space="0"/>
              <w:bottom w:val="single" w:color="000000" w:sz="4" w:space="0"/>
              <w:right w:val="nil"/>
            </w:tcBorders>
            <w:noWrap w:val="0"/>
            <w:vAlign w:val="center"/>
          </w:tcPr>
          <w:p w14:paraId="0885B55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4782A39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66FD4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24EB31E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145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A6AAAE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移液器吸头盒</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32C914C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5mL，28孔</w:t>
            </w:r>
          </w:p>
        </w:tc>
        <w:tc>
          <w:tcPr>
            <w:tcW w:w="331" w:type="pct"/>
            <w:tcBorders>
              <w:top w:val="single" w:color="000000" w:sz="4" w:space="0"/>
              <w:left w:val="single" w:color="000000" w:sz="4" w:space="0"/>
              <w:bottom w:val="single" w:color="000000" w:sz="4" w:space="0"/>
              <w:right w:val="nil"/>
            </w:tcBorders>
            <w:noWrap w:val="0"/>
            <w:vAlign w:val="center"/>
          </w:tcPr>
          <w:p w14:paraId="4F85960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491F076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4A4CA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2F066FA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146</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288C56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移液器吸头</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9DB514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10µL</w:t>
            </w:r>
          </w:p>
        </w:tc>
        <w:tc>
          <w:tcPr>
            <w:tcW w:w="331" w:type="pct"/>
            <w:tcBorders>
              <w:top w:val="single" w:color="000000" w:sz="4" w:space="0"/>
              <w:left w:val="single" w:color="000000" w:sz="4" w:space="0"/>
              <w:bottom w:val="single" w:color="000000" w:sz="4" w:space="0"/>
              <w:right w:val="nil"/>
            </w:tcBorders>
            <w:noWrap w:val="0"/>
            <w:vAlign w:val="center"/>
          </w:tcPr>
          <w:p w14:paraId="3675E08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3174C34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3B37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51A8833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147</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6055454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移液器吸头</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0723EEA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200µL</w:t>
            </w:r>
          </w:p>
        </w:tc>
        <w:tc>
          <w:tcPr>
            <w:tcW w:w="331" w:type="pct"/>
            <w:tcBorders>
              <w:top w:val="single" w:color="000000" w:sz="4" w:space="0"/>
              <w:left w:val="single" w:color="000000" w:sz="4" w:space="0"/>
              <w:bottom w:val="single" w:color="000000" w:sz="4" w:space="0"/>
              <w:right w:val="nil"/>
            </w:tcBorders>
            <w:noWrap w:val="0"/>
            <w:vAlign w:val="center"/>
          </w:tcPr>
          <w:p w14:paraId="6A9B9D5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5A308B7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22F4C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5945C04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148</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FC4761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移液器吸头</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11E80CE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1000µL</w:t>
            </w:r>
          </w:p>
        </w:tc>
        <w:tc>
          <w:tcPr>
            <w:tcW w:w="331" w:type="pct"/>
            <w:tcBorders>
              <w:top w:val="single" w:color="000000" w:sz="4" w:space="0"/>
              <w:left w:val="single" w:color="000000" w:sz="4" w:space="0"/>
              <w:bottom w:val="single" w:color="000000" w:sz="4" w:space="0"/>
              <w:right w:val="nil"/>
            </w:tcBorders>
            <w:noWrap w:val="0"/>
            <w:vAlign w:val="center"/>
          </w:tcPr>
          <w:p w14:paraId="63EA76B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1FAFBC6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4E7C8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178129C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149</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9EBA1B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移液器吸头</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64D4CB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5mL</w:t>
            </w:r>
          </w:p>
        </w:tc>
        <w:tc>
          <w:tcPr>
            <w:tcW w:w="331" w:type="pct"/>
            <w:tcBorders>
              <w:top w:val="single" w:color="000000" w:sz="4" w:space="0"/>
              <w:left w:val="single" w:color="000000" w:sz="4" w:space="0"/>
              <w:bottom w:val="single" w:color="000000" w:sz="4" w:space="0"/>
              <w:right w:val="nil"/>
            </w:tcBorders>
            <w:noWrap w:val="0"/>
            <w:vAlign w:val="center"/>
          </w:tcPr>
          <w:p w14:paraId="191CCE4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A0E940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3412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7B0E03D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150</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478805F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塑料多用滴管</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586B42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4mL</w:t>
            </w:r>
          </w:p>
        </w:tc>
        <w:tc>
          <w:tcPr>
            <w:tcW w:w="331" w:type="pct"/>
            <w:tcBorders>
              <w:top w:val="single" w:color="000000" w:sz="4" w:space="0"/>
              <w:left w:val="single" w:color="000000" w:sz="4" w:space="0"/>
              <w:bottom w:val="single" w:color="000000" w:sz="4" w:space="0"/>
              <w:right w:val="nil"/>
            </w:tcBorders>
            <w:noWrap w:val="0"/>
            <w:vAlign w:val="center"/>
          </w:tcPr>
          <w:p w14:paraId="083A43E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49A77AF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w:t>
            </w:r>
          </w:p>
        </w:tc>
      </w:tr>
      <w:tr w14:paraId="499CD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09C2BBC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151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60C59E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定性滤纸</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0CFACD7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快速，9cm</w:t>
            </w:r>
          </w:p>
        </w:tc>
        <w:tc>
          <w:tcPr>
            <w:tcW w:w="331" w:type="pct"/>
            <w:tcBorders>
              <w:top w:val="single" w:color="000000" w:sz="4" w:space="0"/>
              <w:left w:val="single" w:color="000000" w:sz="4" w:space="0"/>
              <w:bottom w:val="single" w:color="000000" w:sz="4" w:space="0"/>
              <w:right w:val="nil"/>
            </w:tcBorders>
            <w:noWrap w:val="0"/>
            <w:vAlign w:val="center"/>
          </w:tcPr>
          <w:p w14:paraId="61108ED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盒</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43FD8B3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w:t>
            </w:r>
          </w:p>
        </w:tc>
      </w:tr>
      <w:tr w14:paraId="690C5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573D6A2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152</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272F4B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吸虫器</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28B8D9C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小，储虫瓶40mm×100mm，带有吸虫管和吸气管</w:t>
            </w:r>
          </w:p>
        </w:tc>
        <w:tc>
          <w:tcPr>
            <w:tcW w:w="331" w:type="pct"/>
            <w:tcBorders>
              <w:top w:val="single" w:color="000000" w:sz="4" w:space="0"/>
              <w:left w:val="single" w:color="000000" w:sz="4" w:space="0"/>
              <w:bottom w:val="single" w:color="000000" w:sz="4" w:space="0"/>
              <w:right w:val="nil"/>
            </w:tcBorders>
            <w:noWrap w:val="0"/>
            <w:vAlign w:val="center"/>
          </w:tcPr>
          <w:p w14:paraId="48B9ACA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件</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C1231D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9339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29A45B1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153</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03CFF3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玻璃三角刮刀</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19A5AD9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涂布器</w:t>
            </w:r>
          </w:p>
        </w:tc>
        <w:tc>
          <w:tcPr>
            <w:tcW w:w="331" w:type="pct"/>
            <w:tcBorders>
              <w:top w:val="single" w:color="000000" w:sz="4" w:space="0"/>
              <w:left w:val="single" w:color="000000" w:sz="4" w:space="0"/>
              <w:bottom w:val="single" w:color="000000" w:sz="4" w:space="0"/>
              <w:right w:val="nil"/>
            </w:tcBorders>
            <w:noWrap w:val="0"/>
            <w:vAlign w:val="center"/>
          </w:tcPr>
          <w:p w14:paraId="3760305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713A46D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3A6B8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7E28242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154</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6E57277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打孔器</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135681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齿口式，材质为不锈钢管、钢管或黄铜管，每组不少于4支，外径分别为5.0mm、6.5mm、8.0mm、9.5mm，并配一支带柄金属通扦</w:t>
            </w:r>
          </w:p>
        </w:tc>
        <w:tc>
          <w:tcPr>
            <w:tcW w:w="331" w:type="pct"/>
            <w:tcBorders>
              <w:top w:val="single" w:color="000000" w:sz="4" w:space="0"/>
              <w:left w:val="single" w:color="000000" w:sz="4" w:space="0"/>
              <w:bottom w:val="single" w:color="000000" w:sz="4" w:space="0"/>
              <w:right w:val="nil"/>
            </w:tcBorders>
            <w:noWrap w:val="0"/>
            <w:vAlign w:val="center"/>
          </w:tcPr>
          <w:p w14:paraId="70240C1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407A296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00738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593D28B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155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35EBA7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打孔夹板</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BDCF7B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硬木或硬塑料制，有大小不同的锥形孔</w:t>
            </w:r>
          </w:p>
        </w:tc>
        <w:tc>
          <w:tcPr>
            <w:tcW w:w="331" w:type="pct"/>
            <w:tcBorders>
              <w:top w:val="single" w:color="000000" w:sz="4" w:space="0"/>
              <w:left w:val="single" w:color="000000" w:sz="4" w:space="0"/>
              <w:bottom w:val="single" w:color="000000" w:sz="4" w:space="0"/>
              <w:right w:val="nil"/>
            </w:tcBorders>
            <w:noWrap w:val="0"/>
            <w:vAlign w:val="center"/>
          </w:tcPr>
          <w:p w14:paraId="390B7B4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7B4F7CB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A0A0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0D8ADF0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156</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3F7799D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仪器车</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581F24E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600mm×400mm×800mm，不锈钢材质，至少两层，各层带可拆卸护栏，总载重≥60kg</w:t>
            </w:r>
          </w:p>
        </w:tc>
        <w:tc>
          <w:tcPr>
            <w:tcW w:w="331" w:type="pct"/>
            <w:tcBorders>
              <w:top w:val="single" w:color="000000" w:sz="4" w:space="0"/>
              <w:left w:val="single" w:color="000000" w:sz="4" w:space="0"/>
              <w:bottom w:val="single" w:color="000000" w:sz="4" w:space="0"/>
              <w:right w:val="nil"/>
            </w:tcBorders>
            <w:noWrap w:val="0"/>
            <w:vAlign w:val="center"/>
          </w:tcPr>
          <w:p w14:paraId="10FE1E3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辆</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12E0C03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2CADC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33BF3F6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157</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DF35C7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整理箱</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0D846DD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矮型，储存及分发试剂用</w:t>
            </w:r>
          </w:p>
        </w:tc>
        <w:tc>
          <w:tcPr>
            <w:tcW w:w="331" w:type="pct"/>
            <w:tcBorders>
              <w:top w:val="single" w:color="000000" w:sz="4" w:space="0"/>
              <w:left w:val="single" w:color="000000" w:sz="4" w:space="0"/>
              <w:bottom w:val="single" w:color="000000" w:sz="4" w:space="0"/>
              <w:right w:val="nil"/>
            </w:tcBorders>
            <w:noWrap w:val="0"/>
            <w:vAlign w:val="center"/>
          </w:tcPr>
          <w:p w14:paraId="5B1FBB9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429602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r>
      <w:tr w14:paraId="4A22B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3EA707D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158</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50486A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托盘</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035B1EF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搪瓷材质</w:t>
            </w:r>
          </w:p>
        </w:tc>
        <w:tc>
          <w:tcPr>
            <w:tcW w:w="331" w:type="pct"/>
            <w:tcBorders>
              <w:top w:val="single" w:color="000000" w:sz="4" w:space="0"/>
              <w:left w:val="single" w:color="000000" w:sz="4" w:space="0"/>
              <w:bottom w:val="single" w:color="000000" w:sz="4" w:space="0"/>
              <w:right w:val="nil"/>
            </w:tcBorders>
            <w:noWrap w:val="0"/>
            <w:vAlign w:val="center"/>
          </w:tcPr>
          <w:p w14:paraId="7BFED06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4F0461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19C78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316885D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159</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EF7D5B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实验用品提篮</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3C514A0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采用工程聚丙烯塑料注塑成形。</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1.外形尺寸：≥490mm×350mm×160mm，壁厚≥2mm。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2.提手采用壁厚≥1mm，长≥20mm，宽≥10mm的钢管加工成矩形，两角内圆弧直径≥50mm，表面磷化喷塑。</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3.四周及底面有加强筋。产品应美观、耐用。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4.产品自800mm高度处自由下落于水泥地面后无破损。</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5.产品整体质量应符合JY0001《教学仪器一般质量要求》的有关规定及招标文件的相关规定。</w:t>
            </w:r>
          </w:p>
        </w:tc>
        <w:tc>
          <w:tcPr>
            <w:tcW w:w="331" w:type="pct"/>
            <w:tcBorders>
              <w:top w:val="single" w:color="000000" w:sz="4" w:space="0"/>
              <w:left w:val="single" w:color="000000" w:sz="4" w:space="0"/>
              <w:bottom w:val="single" w:color="000000" w:sz="4" w:space="0"/>
              <w:right w:val="nil"/>
            </w:tcBorders>
            <w:noWrap w:val="0"/>
            <w:vAlign w:val="center"/>
          </w:tcPr>
          <w:p w14:paraId="4C91C54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4E130A6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3B04C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2D531AA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160</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665A34A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生物玻片</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2C40DC0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蚕豆叶下表皮装片</w:t>
            </w:r>
          </w:p>
        </w:tc>
        <w:tc>
          <w:tcPr>
            <w:tcW w:w="331" w:type="pct"/>
            <w:tcBorders>
              <w:top w:val="single" w:color="000000" w:sz="4" w:space="0"/>
              <w:left w:val="single" w:color="000000" w:sz="4" w:space="0"/>
              <w:bottom w:val="single" w:color="000000" w:sz="4" w:space="0"/>
              <w:right w:val="nil"/>
            </w:tcBorders>
            <w:noWrap w:val="0"/>
            <w:vAlign w:val="center"/>
          </w:tcPr>
          <w:p w14:paraId="62831EE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片</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28F0AA5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1A572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1746E22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161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D22F62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生物玻片</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1B96978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胞间连丝切片</w:t>
            </w:r>
          </w:p>
        </w:tc>
        <w:tc>
          <w:tcPr>
            <w:tcW w:w="331" w:type="pct"/>
            <w:tcBorders>
              <w:top w:val="single" w:color="000000" w:sz="4" w:space="0"/>
              <w:left w:val="single" w:color="000000" w:sz="4" w:space="0"/>
              <w:bottom w:val="single" w:color="000000" w:sz="4" w:space="0"/>
              <w:right w:val="nil"/>
            </w:tcBorders>
            <w:noWrap w:val="0"/>
            <w:vAlign w:val="center"/>
          </w:tcPr>
          <w:p w14:paraId="31C3748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片</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F177BE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366B7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42B5A91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162</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4F7F0F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生物玻片</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5228B52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迎春叶横切</w:t>
            </w:r>
          </w:p>
        </w:tc>
        <w:tc>
          <w:tcPr>
            <w:tcW w:w="331" w:type="pct"/>
            <w:tcBorders>
              <w:top w:val="single" w:color="000000" w:sz="4" w:space="0"/>
              <w:left w:val="single" w:color="000000" w:sz="4" w:space="0"/>
              <w:bottom w:val="single" w:color="000000" w:sz="4" w:space="0"/>
              <w:right w:val="nil"/>
            </w:tcBorders>
            <w:noWrap w:val="0"/>
            <w:vAlign w:val="center"/>
          </w:tcPr>
          <w:p w14:paraId="03B7747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片</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E78F90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54A72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63325B6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163</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7E095A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生物玻片</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42490C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黑藻叶装片</w:t>
            </w:r>
          </w:p>
        </w:tc>
        <w:tc>
          <w:tcPr>
            <w:tcW w:w="331" w:type="pct"/>
            <w:tcBorders>
              <w:top w:val="single" w:color="000000" w:sz="4" w:space="0"/>
              <w:left w:val="single" w:color="000000" w:sz="4" w:space="0"/>
              <w:bottom w:val="single" w:color="000000" w:sz="4" w:space="0"/>
              <w:right w:val="nil"/>
            </w:tcBorders>
            <w:noWrap w:val="0"/>
            <w:vAlign w:val="center"/>
          </w:tcPr>
          <w:p w14:paraId="4B264EF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片</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3F9A93A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3CD41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5FCE29D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164</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B5616A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生物玻片</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1FF2B16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线粒体切片</w:t>
            </w:r>
          </w:p>
        </w:tc>
        <w:tc>
          <w:tcPr>
            <w:tcW w:w="331" w:type="pct"/>
            <w:tcBorders>
              <w:top w:val="single" w:color="000000" w:sz="4" w:space="0"/>
              <w:left w:val="single" w:color="000000" w:sz="4" w:space="0"/>
              <w:bottom w:val="single" w:color="000000" w:sz="4" w:space="0"/>
              <w:right w:val="nil"/>
            </w:tcBorders>
            <w:noWrap w:val="0"/>
            <w:vAlign w:val="center"/>
          </w:tcPr>
          <w:p w14:paraId="48B27BE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片</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88AB83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6A746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0AFBB60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165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708AB3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生物玻片</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1B5240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酵母菌装片</w:t>
            </w:r>
          </w:p>
        </w:tc>
        <w:tc>
          <w:tcPr>
            <w:tcW w:w="331" w:type="pct"/>
            <w:tcBorders>
              <w:top w:val="single" w:color="000000" w:sz="4" w:space="0"/>
              <w:left w:val="single" w:color="000000" w:sz="4" w:space="0"/>
              <w:bottom w:val="single" w:color="000000" w:sz="4" w:space="0"/>
              <w:right w:val="nil"/>
            </w:tcBorders>
            <w:noWrap w:val="0"/>
            <w:vAlign w:val="center"/>
          </w:tcPr>
          <w:p w14:paraId="70FCFDE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片</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43C4892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4944B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2436ED7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166</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659FF05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生物玻片</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3BE0A7A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水绵装片</w:t>
            </w:r>
          </w:p>
        </w:tc>
        <w:tc>
          <w:tcPr>
            <w:tcW w:w="331" w:type="pct"/>
            <w:tcBorders>
              <w:top w:val="single" w:color="000000" w:sz="4" w:space="0"/>
              <w:left w:val="single" w:color="000000" w:sz="4" w:space="0"/>
              <w:bottom w:val="single" w:color="000000" w:sz="4" w:space="0"/>
              <w:right w:val="nil"/>
            </w:tcBorders>
            <w:noWrap w:val="0"/>
            <w:vAlign w:val="center"/>
          </w:tcPr>
          <w:p w14:paraId="4E4E51C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片</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751DD00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056BA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7CBD43C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167</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2BB01A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生物玻片</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6615978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大肠杆菌涂片</w:t>
            </w:r>
          </w:p>
        </w:tc>
        <w:tc>
          <w:tcPr>
            <w:tcW w:w="331" w:type="pct"/>
            <w:tcBorders>
              <w:top w:val="single" w:color="000000" w:sz="4" w:space="0"/>
              <w:left w:val="single" w:color="000000" w:sz="4" w:space="0"/>
              <w:bottom w:val="single" w:color="000000" w:sz="4" w:space="0"/>
              <w:right w:val="nil"/>
            </w:tcBorders>
            <w:noWrap w:val="0"/>
            <w:vAlign w:val="center"/>
          </w:tcPr>
          <w:p w14:paraId="7DAF676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片</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3D3760A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3F110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4022104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168</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3968603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生物玻片</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4A9A234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细菌三型涂片</w:t>
            </w:r>
          </w:p>
        </w:tc>
        <w:tc>
          <w:tcPr>
            <w:tcW w:w="331" w:type="pct"/>
            <w:tcBorders>
              <w:top w:val="single" w:color="000000" w:sz="4" w:space="0"/>
              <w:left w:val="single" w:color="000000" w:sz="4" w:space="0"/>
              <w:bottom w:val="single" w:color="000000" w:sz="4" w:space="0"/>
              <w:right w:val="nil"/>
            </w:tcBorders>
            <w:noWrap w:val="0"/>
            <w:vAlign w:val="center"/>
          </w:tcPr>
          <w:p w14:paraId="10A053E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片</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B8DDE9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66490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766EEB9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169</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EB7890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生物玻片</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554D5F2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草履虫分裂生殖装片</w:t>
            </w:r>
          </w:p>
        </w:tc>
        <w:tc>
          <w:tcPr>
            <w:tcW w:w="331" w:type="pct"/>
            <w:tcBorders>
              <w:top w:val="single" w:color="000000" w:sz="4" w:space="0"/>
              <w:left w:val="single" w:color="000000" w:sz="4" w:space="0"/>
              <w:bottom w:val="single" w:color="000000" w:sz="4" w:space="0"/>
              <w:right w:val="nil"/>
            </w:tcBorders>
            <w:noWrap w:val="0"/>
            <w:vAlign w:val="center"/>
          </w:tcPr>
          <w:p w14:paraId="321E0BB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片</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7B0A8EE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25955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62EAE46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170</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49606A9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生物玻片</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61F9113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人血涂片</w:t>
            </w:r>
          </w:p>
        </w:tc>
        <w:tc>
          <w:tcPr>
            <w:tcW w:w="331" w:type="pct"/>
            <w:tcBorders>
              <w:top w:val="single" w:color="000000" w:sz="4" w:space="0"/>
              <w:left w:val="single" w:color="000000" w:sz="4" w:space="0"/>
              <w:bottom w:val="single" w:color="000000" w:sz="4" w:space="0"/>
              <w:right w:val="nil"/>
            </w:tcBorders>
            <w:noWrap w:val="0"/>
            <w:vAlign w:val="center"/>
          </w:tcPr>
          <w:p w14:paraId="4C71ADE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片</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3FF8F2A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1FA36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0957055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171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1194F5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生物玻片</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3037B7E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蛙血涂片</w:t>
            </w:r>
          </w:p>
        </w:tc>
        <w:tc>
          <w:tcPr>
            <w:tcW w:w="331" w:type="pct"/>
            <w:tcBorders>
              <w:top w:val="single" w:color="000000" w:sz="4" w:space="0"/>
              <w:left w:val="single" w:color="000000" w:sz="4" w:space="0"/>
              <w:bottom w:val="single" w:color="000000" w:sz="4" w:space="0"/>
              <w:right w:val="nil"/>
            </w:tcBorders>
            <w:noWrap w:val="0"/>
            <w:vAlign w:val="center"/>
          </w:tcPr>
          <w:p w14:paraId="7E7096E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片</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7A7B83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2D067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18FC27A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172</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69C56A4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生物玻片</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01E01E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动物上皮细胞装片</w:t>
            </w:r>
          </w:p>
        </w:tc>
        <w:tc>
          <w:tcPr>
            <w:tcW w:w="331" w:type="pct"/>
            <w:tcBorders>
              <w:top w:val="single" w:color="000000" w:sz="4" w:space="0"/>
              <w:left w:val="single" w:color="000000" w:sz="4" w:space="0"/>
              <w:bottom w:val="single" w:color="000000" w:sz="4" w:space="0"/>
              <w:right w:val="nil"/>
            </w:tcBorders>
            <w:noWrap w:val="0"/>
            <w:vAlign w:val="center"/>
          </w:tcPr>
          <w:p w14:paraId="7FC2BA0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片</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114C2AD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0DD4D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271ECA3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173</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4E552D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生物玻片</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1FAEA1B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骨骼肌纵横切</w:t>
            </w:r>
          </w:p>
        </w:tc>
        <w:tc>
          <w:tcPr>
            <w:tcW w:w="331" w:type="pct"/>
            <w:tcBorders>
              <w:top w:val="single" w:color="000000" w:sz="4" w:space="0"/>
              <w:left w:val="single" w:color="000000" w:sz="4" w:space="0"/>
              <w:bottom w:val="single" w:color="000000" w:sz="4" w:space="0"/>
              <w:right w:val="nil"/>
            </w:tcBorders>
            <w:noWrap w:val="0"/>
            <w:vAlign w:val="center"/>
          </w:tcPr>
          <w:p w14:paraId="56A7E79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片</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1BC8C0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69920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7642601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174</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F22262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生物玻片</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296E68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平滑肌分离装片</w:t>
            </w:r>
          </w:p>
        </w:tc>
        <w:tc>
          <w:tcPr>
            <w:tcW w:w="331" w:type="pct"/>
            <w:tcBorders>
              <w:top w:val="single" w:color="000000" w:sz="4" w:space="0"/>
              <w:left w:val="single" w:color="000000" w:sz="4" w:space="0"/>
              <w:bottom w:val="single" w:color="000000" w:sz="4" w:space="0"/>
              <w:right w:val="nil"/>
            </w:tcBorders>
            <w:noWrap w:val="0"/>
            <w:vAlign w:val="center"/>
          </w:tcPr>
          <w:p w14:paraId="3095F74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片</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3647E4F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7B53D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5A64BF9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175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CD084D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生物玻片</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794C87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心肌切片</w:t>
            </w:r>
          </w:p>
        </w:tc>
        <w:tc>
          <w:tcPr>
            <w:tcW w:w="331" w:type="pct"/>
            <w:tcBorders>
              <w:top w:val="single" w:color="000000" w:sz="4" w:space="0"/>
              <w:left w:val="single" w:color="000000" w:sz="4" w:space="0"/>
              <w:bottom w:val="single" w:color="000000" w:sz="4" w:space="0"/>
              <w:right w:val="nil"/>
            </w:tcBorders>
            <w:noWrap w:val="0"/>
            <w:vAlign w:val="center"/>
          </w:tcPr>
          <w:p w14:paraId="4EC7605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片</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0A9B14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47258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7833C4D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176</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0B0E03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生物玻片</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023CDE2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运动神经元装片</w:t>
            </w:r>
          </w:p>
        </w:tc>
        <w:tc>
          <w:tcPr>
            <w:tcW w:w="331" w:type="pct"/>
            <w:tcBorders>
              <w:top w:val="single" w:color="000000" w:sz="4" w:space="0"/>
              <w:left w:val="single" w:color="000000" w:sz="4" w:space="0"/>
              <w:bottom w:val="single" w:color="000000" w:sz="4" w:space="0"/>
              <w:right w:val="nil"/>
            </w:tcBorders>
            <w:noWrap w:val="0"/>
            <w:vAlign w:val="center"/>
          </w:tcPr>
          <w:p w14:paraId="6B3B034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片</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5294679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6E13D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1CF7803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177</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B5EA81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层析瓶</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373DC45C">
            <w:pPr>
              <w:jc w:val="left"/>
              <w:rPr>
                <w:rFonts w:hint="eastAsia" w:ascii="仿宋" w:hAnsi="仿宋" w:eastAsia="仿宋" w:cs="仿宋"/>
                <w:i w:val="0"/>
                <w:iCs w:val="0"/>
                <w:color w:val="000000"/>
                <w:sz w:val="21"/>
                <w:szCs w:val="21"/>
                <w:highlight w:val="none"/>
                <w:u w:val="none"/>
              </w:rPr>
            </w:pPr>
          </w:p>
        </w:tc>
        <w:tc>
          <w:tcPr>
            <w:tcW w:w="331" w:type="pct"/>
            <w:tcBorders>
              <w:top w:val="single" w:color="000000" w:sz="4" w:space="0"/>
              <w:left w:val="single" w:color="000000" w:sz="4" w:space="0"/>
              <w:bottom w:val="single" w:color="000000" w:sz="4" w:space="0"/>
              <w:right w:val="nil"/>
            </w:tcBorders>
            <w:noWrap w:val="0"/>
            <w:vAlign w:val="center"/>
          </w:tcPr>
          <w:p w14:paraId="790AF26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188FBF4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03B2B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1B8BAC2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178</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49A13C2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生物玻片</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407400A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动物细胞有丝分裂切片（马蛔虫受精卵切片）</w:t>
            </w:r>
          </w:p>
        </w:tc>
        <w:tc>
          <w:tcPr>
            <w:tcW w:w="331" w:type="pct"/>
            <w:tcBorders>
              <w:top w:val="single" w:color="000000" w:sz="4" w:space="0"/>
              <w:left w:val="single" w:color="000000" w:sz="4" w:space="0"/>
              <w:bottom w:val="single" w:color="000000" w:sz="4" w:space="0"/>
              <w:right w:val="nil"/>
            </w:tcBorders>
            <w:noWrap w:val="0"/>
            <w:vAlign w:val="center"/>
          </w:tcPr>
          <w:p w14:paraId="6398426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片</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10A2B96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2991F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42658CC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179</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3693A0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生物玻片</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5430133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植物细胞有丝分裂切片</w:t>
            </w:r>
          </w:p>
        </w:tc>
        <w:tc>
          <w:tcPr>
            <w:tcW w:w="331" w:type="pct"/>
            <w:tcBorders>
              <w:top w:val="single" w:color="000000" w:sz="4" w:space="0"/>
              <w:left w:val="single" w:color="000000" w:sz="4" w:space="0"/>
              <w:bottom w:val="single" w:color="000000" w:sz="4" w:space="0"/>
              <w:right w:val="nil"/>
            </w:tcBorders>
            <w:noWrap w:val="0"/>
            <w:vAlign w:val="center"/>
          </w:tcPr>
          <w:p w14:paraId="5941D5D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片</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5118898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10E48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71619A0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180</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49EF0B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生物玻片</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64A03FD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蝗虫精巢减数分裂切片</w:t>
            </w:r>
          </w:p>
        </w:tc>
        <w:tc>
          <w:tcPr>
            <w:tcW w:w="331" w:type="pct"/>
            <w:tcBorders>
              <w:top w:val="single" w:color="000000" w:sz="4" w:space="0"/>
              <w:left w:val="single" w:color="000000" w:sz="4" w:space="0"/>
              <w:bottom w:val="single" w:color="000000" w:sz="4" w:space="0"/>
              <w:right w:val="nil"/>
            </w:tcBorders>
            <w:noWrap w:val="0"/>
            <w:vAlign w:val="center"/>
          </w:tcPr>
          <w:p w14:paraId="027277D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片</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77A6D15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63A4D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760AD5F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181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0D38C9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生物玻片</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31586A1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植物花粉减数分裂装片</w:t>
            </w:r>
          </w:p>
        </w:tc>
        <w:tc>
          <w:tcPr>
            <w:tcW w:w="331" w:type="pct"/>
            <w:tcBorders>
              <w:top w:val="single" w:color="000000" w:sz="4" w:space="0"/>
              <w:left w:val="single" w:color="000000" w:sz="4" w:space="0"/>
              <w:bottom w:val="single" w:color="000000" w:sz="4" w:space="0"/>
              <w:right w:val="nil"/>
            </w:tcBorders>
            <w:noWrap w:val="0"/>
            <w:vAlign w:val="center"/>
          </w:tcPr>
          <w:p w14:paraId="30876C6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片</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8B72ED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6B8B0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3F5DF32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182</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38C9466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生物玻片</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5FC97F2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正常人染色体装片</w:t>
            </w:r>
          </w:p>
        </w:tc>
        <w:tc>
          <w:tcPr>
            <w:tcW w:w="331" w:type="pct"/>
            <w:tcBorders>
              <w:top w:val="single" w:color="000000" w:sz="4" w:space="0"/>
              <w:left w:val="single" w:color="000000" w:sz="4" w:space="0"/>
              <w:bottom w:val="single" w:color="000000" w:sz="4" w:space="0"/>
              <w:right w:val="nil"/>
            </w:tcBorders>
            <w:noWrap w:val="0"/>
            <w:vAlign w:val="center"/>
          </w:tcPr>
          <w:p w14:paraId="734162E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片</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34C0FE4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61F65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25BA562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183</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4F67E6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生物分类图鉴资料</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7D778A8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植物图鉴、土壤动物图鉴、昆虫图鉴、鸟类图鉴等</w:t>
            </w:r>
          </w:p>
        </w:tc>
        <w:tc>
          <w:tcPr>
            <w:tcW w:w="331" w:type="pct"/>
            <w:tcBorders>
              <w:top w:val="single" w:color="000000" w:sz="4" w:space="0"/>
              <w:left w:val="single" w:color="000000" w:sz="4" w:space="0"/>
              <w:bottom w:val="single" w:color="000000" w:sz="4" w:space="0"/>
              <w:right w:val="nil"/>
            </w:tcBorders>
            <w:noWrap w:val="0"/>
            <w:vAlign w:val="center"/>
          </w:tcPr>
          <w:p w14:paraId="49F0B37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5431E33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42B1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41C290C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184</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48F8CF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植物分类图谱</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5963144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图片内容包含但不限于：植物分类方法；藻类植物、苔藓植物、蕨类植物、种子植物；植物的一生、植物的根茎和叶、植物的花、果实和种子；植物和人类的关系；保护植物的方法等</w:t>
            </w:r>
          </w:p>
        </w:tc>
        <w:tc>
          <w:tcPr>
            <w:tcW w:w="331" w:type="pct"/>
            <w:tcBorders>
              <w:top w:val="single" w:color="000000" w:sz="4" w:space="0"/>
              <w:left w:val="single" w:color="000000" w:sz="4" w:space="0"/>
              <w:bottom w:val="single" w:color="000000" w:sz="4" w:space="0"/>
              <w:right w:val="nil"/>
            </w:tcBorders>
            <w:noWrap w:val="0"/>
            <w:vAlign w:val="center"/>
          </w:tcPr>
          <w:p w14:paraId="5C907BC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本</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1F0915D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1B9D8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1D0C5F2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185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9D289E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动物分类图谱</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671DBAE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图片内容包含但不限于：无脊椎动物、脊椎动物、动物的繁殖和成长历程、动物怎样捕食、动物的运动、动物怎样保护自己、动物与人类生活的关系、保护动物等</w:t>
            </w:r>
          </w:p>
        </w:tc>
        <w:tc>
          <w:tcPr>
            <w:tcW w:w="331" w:type="pct"/>
            <w:tcBorders>
              <w:top w:val="single" w:color="000000" w:sz="4" w:space="0"/>
              <w:left w:val="single" w:color="000000" w:sz="4" w:space="0"/>
              <w:bottom w:val="single" w:color="000000" w:sz="4" w:space="0"/>
              <w:right w:val="nil"/>
            </w:tcBorders>
            <w:noWrap w:val="0"/>
            <w:vAlign w:val="center"/>
          </w:tcPr>
          <w:p w14:paraId="420793F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本</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160DEFD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bl>
    <w:p w14:paraId="43E2728E">
      <w:pPr>
        <w:widowControl/>
        <w:spacing w:before="240" w:after="60" w:line="360" w:lineRule="auto"/>
        <w:jc w:val="both"/>
        <w:outlineLvl w:val="9"/>
        <w:rPr>
          <w:rFonts w:hint="default" w:ascii="仿宋" w:hAnsi="仿宋" w:eastAsia="仿宋" w:cs="宋体"/>
          <w:b/>
          <w:bCs/>
          <w:sz w:val="32"/>
          <w:szCs w:val="32"/>
          <w:highlight w:val="none"/>
          <w:lang w:val="en-US" w:eastAsia="zh-CN"/>
        </w:rPr>
      </w:pPr>
      <w:r>
        <w:rPr>
          <w:rFonts w:hint="eastAsia" w:ascii="仿宋" w:hAnsi="仿宋" w:eastAsia="仿宋" w:cs="仿宋"/>
          <w:b/>
          <w:bCs/>
          <w:sz w:val="24"/>
          <w:szCs w:val="24"/>
          <w:highlight w:val="none"/>
          <w:lang w:val="en-US" w:eastAsia="zh-CN"/>
        </w:rPr>
        <w:t>注：采购清单中加“▲”的参数，如果为同一产品的，可无需重复提供检测报告，只提供一次即可。</w:t>
      </w:r>
    </w:p>
    <w:p w14:paraId="0766CF6B">
      <w:pPr>
        <w:pStyle w:val="40"/>
        <w:rPr>
          <w:rFonts w:hint="default" w:ascii="仿宋" w:hAnsi="仿宋" w:eastAsia="仿宋" w:cs="宋体"/>
          <w:b/>
          <w:bCs/>
          <w:sz w:val="32"/>
          <w:szCs w:val="32"/>
          <w:highlight w:val="none"/>
          <w:lang w:val="en-US" w:eastAsia="zh-CN"/>
        </w:rPr>
      </w:pPr>
    </w:p>
    <w:p w14:paraId="4B9A0361">
      <w:pPr>
        <w:rPr>
          <w:rFonts w:hint="default" w:ascii="仿宋" w:hAnsi="仿宋" w:eastAsia="仿宋" w:cs="宋体"/>
          <w:b/>
          <w:bCs/>
          <w:sz w:val="32"/>
          <w:szCs w:val="32"/>
          <w:highlight w:val="none"/>
          <w:lang w:val="en-US" w:eastAsia="zh-CN"/>
        </w:rPr>
      </w:pPr>
    </w:p>
    <w:p w14:paraId="246D37B1">
      <w:pPr>
        <w:pStyle w:val="40"/>
        <w:rPr>
          <w:rFonts w:hint="default" w:ascii="仿宋" w:hAnsi="仿宋" w:eastAsia="仿宋" w:cs="宋体"/>
          <w:b/>
          <w:bCs/>
          <w:sz w:val="32"/>
          <w:szCs w:val="32"/>
          <w:highlight w:val="none"/>
          <w:lang w:val="en-US" w:eastAsia="zh-CN"/>
        </w:rPr>
      </w:pPr>
    </w:p>
    <w:p w14:paraId="31037C11">
      <w:pPr>
        <w:rPr>
          <w:rFonts w:hint="default" w:ascii="仿宋" w:hAnsi="仿宋" w:eastAsia="仿宋" w:cs="宋体"/>
          <w:b/>
          <w:bCs/>
          <w:sz w:val="32"/>
          <w:szCs w:val="32"/>
          <w:highlight w:val="none"/>
          <w:lang w:val="en-US" w:eastAsia="zh-CN"/>
        </w:rPr>
      </w:pPr>
    </w:p>
    <w:p w14:paraId="7A6ACC61">
      <w:pPr>
        <w:pStyle w:val="2"/>
        <w:rPr>
          <w:rFonts w:hint="default" w:ascii="仿宋" w:hAnsi="仿宋" w:eastAsia="仿宋" w:cs="宋体"/>
          <w:b/>
          <w:bCs/>
          <w:sz w:val="32"/>
          <w:szCs w:val="32"/>
          <w:highlight w:val="none"/>
          <w:lang w:val="en-US" w:eastAsia="zh-CN"/>
        </w:rPr>
      </w:pPr>
    </w:p>
    <w:p w14:paraId="4F74B164">
      <w:pPr>
        <w:pStyle w:val="2"/>
        <w:rPr>
          <w:rFonts w:hint="default" w:ascii="仿宋" w:hAnsi="仿宋" w:eastAsia="仿宋" w:cs="宋体"/>
          <w:b/>
          <w:bCs/>
          <w:sz w:val="32"/>
          <w:szCs w:val="32"/>
          <w:highlight w:val="none"/>
          <w:lang w:val="en-US" w:eastAsia="zh-CN"/>
        </w:rPr>
      </w:pPr>
    </w:p>
    <w:p w14:paraId="6D3A61F7">
      <w:pPr>
        <w:rPr>
          <w:rFonts w:hint="default" w:ascii="仿宋" w:hAnsi="仿宋" w:eastAsia="仿宋" w:cs="宋体"/>
          <w:b/>
          <w:bCs/>
          <w:sz w:val="32"/>
          <w:szCs w:val="32"/>
          <w:lang w:val="en-US" w:eastAsia="zh-CN"/>
        </w:rPr>
      </w:pPr>
    </w:p>
    <w:p w14:paraId="4EEBE8C5">
      <w:pPr>
        <w:widowControl/>
        <w:spacing w:before="240" w:after="60" w:line="360" w:lineRule="auto"/>
        <w:ind w:firstLine="0" w:firstLineChars="0"/>
        <w:jc w:val="center"/>
        <w:outlineLvl w:val="0"/>
        <w:rPr>
          <w:rFonts w:hint="eastAsia" w:ascii="仿宋" w:hAnsi="仿宋" w:eastAsia="仿宋" w:cs="宋体"/>
          <w:b/>
          <w:bCs/>
          <w:sz w:val="32"/>
          <w:szCs w:val="32"/>
        </w:rPr>
      </w:pPr>
      <w:bookmarkStart w:id="189" w:name="_Toc24108"/>
      <w:r>
        <w:rPr>
          <w:rFonts w:hint="eastAsia" w:ascii="仿宋" w:hAnsi="仿宋" w:eastAsia="仿宋" w:cs="宋体"/>
          <w:b/>
          <w:bCs/>
          <w:sz w:val="32"/>
          <w:szCs w:val="32"/>
        </w:rPr>
        <w:t>第四章  合 同(样本)</w:t>
      </w:r>
      <w:bookmarkEnd w:id="186"/>
      <w:bookmarkEnd w:id="187"/>
      <w:bookmarkEnd w:id="188"/>
      <w:bookmarkEnd w:id="189"/>
    </w:p>
    <w:p w14:paraId="36F1D745">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双方应根据磋商文件、成交通知书、成交的响应文件（包括澄清说明），以及与本项目采购相关的资料、图纸签订采购合同。所签订的合同不得背离磋商文件的实质性内容要求和响应文件的承诺。使用或参考《洛阳市市级政府服务类采购合同范本》签订合同。</w:t>
      </w:r>
    </w:p>
    <w:p w14:paraId="0F7D809D">
      <w:pPr>
        <w:pStyle w:val="13"/>
        <w:ind w:firstLine="0"/>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 </w:t>
      </w:r>
    </w:p>
    <w:p w14:paraId="0E60E4EB">
      <w:pPr>
        <w:pStyle w:val="13"/>
        <w:ind w:firstLine="0"/>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 </w:t>
      </w:r>
    </w:p>
    <w:p w14:paraId="2246045A">
      <w:pPr>
        <w:ind w:firstLine="625" w:firstLineChars="299"/>
        <w:rPr>
          <w:rFonts w:hint="eastAsia" w:ascii="仿宋" w:hAnsi="仿宋" w:eastAsia="仿宋" w:cs="宋体"/>
          <w:b/>
          <w:sz w:val="24"/>
          <w:szCs w:val="24"/>
        </w:rPr>
      </w:pPr>
      <w:r>
        <w:rPr>
          <w:rFonts w:hint="eastAsia" w:ascii="仿宋" w:hAnsi="仿宋" w:eastAsia="仿宋" w:cs="宋体"/>
          <w:b/>
          <w:sz w:val="24"/>
          <w:szCs w:val="24"/>
        </w:rPr>
        <w:t>《洛阳市市级政府采购支持中小微企业信用融资信用担保合作金融机构名单》</w:t>
      </w:r>
      <w:r>
        <w:rPr>
          <w:rFonts w:hint="eastAsia" w:ascii="仿宋" w:hAnsi="仿宋" w:eastAsia="仿宋" w:cs="宋体"/>
          <w:spacing w:val="14"/>
          <w:sz w:val="24"/>
          <w:szCs w:val="24"/>
        </w:rPr>
        <w:t>下载地址：</w:t>
      </w:r>
    </w:p>
    <w:p w14:paraId="0C09088A">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洛阳市政府采购网（</w:t>
      </w:r>
      <w:r>
        <w:rPr>
          <w:color w:val="auto"/>
          <w:sz w:val="24"/>
          <w:szCs w:val="24"/>
        </w:rPr>
        <w:fldChar w:fldCharType="begin"/>
      </w:r>
      <w:r>
        <w:rPr>
          <w:color w:val="auto"/>
          <w:sz w:val="24"/>
          <w:szCs w:val="24"/>
        </w:rPr>
        <w:instrText xml:space="preserve"> HYPERLINK "http://luoyang.hngp.gov.cn/" </w:instrText>
      </w:r>
      <w:r>
        <w:rPr>
          <w:color w:val="auto"/>
          <w:sz w:val="24"/>
          <w:szCs w:val="24"/>
        </w:rPr>
        <w:fldChar w:fldCharType="separate"/>
      </w:r>
      <w:r>
        <w:rPr>
          <w:rStyle w:val="83"/>
          <w:rFonts w:hint="eastAsia" w:ascii="仿宋" w:hAnsi="仿宋" w:eastAsia="仿宋"/>
          <w:color w:val="auto"/>
          <w:spacing w:val="14"/>
          <w:sz w:val="24"/>
          <w:szCs w:val="24"/>
        </w:rPr>
        <w:t>http://luoyang.hngp.gov.cn/</w:t>
      </w:r>
      <w:r>
        <w:rPr>
          <w:color w:val="auto"/>
          <w:sz w:val="24"/>
          <w:szCs w:val="24"/>
        </w:rPr>
        <w:fldChar w:fldCharType="end"/>
      </w:r>
      <w:r>
        <w:rPr>
          <w:rFonts w:hint="eastAsia" w:ascii="仿宋" w:hAnsi="仿宋" w:eastAsia="仿宋"/>
          <w:color w:val="auto"/>
          <w:spacing w:val="14"/>
          <w:sz w:val="24"/>
          <w:szCs w:val="24"/>
        </w:rPr>
        <w:t>）首页“文件下载”栏。</w:t>
      </w:r>
    </w:p>
    <w:p w14:paraId="4F9DAE29">
      <w:pPr>
        <w:pStyle w:val="13"/>
        <w:ind w:firstLine="0"/>
        <w:rPr>
          <w:rFonts w:hint="eastAsia" w:ascii="仿宋" w:hAnsi="仿宋" w:eastAsia="仿宋"/>
          <w:color w:val="auto"/>
          <w:spacing w:val="14"/>
        </w:rPr>
      </w:pPr>
      <w:r>
        <w:rPr>
          <w:rFonts w:hint="eastAsia" w:ascii="仿宋" w:hAnsi="仿宋" w:eastAsia="仿宋"/>
          <w:color w:val="auto"/>
          <w:spacing w:val="14"/>
        </w:rPr>
        <w:t xml:space="preserve"> </w:t>
      </w:r>
    </w:p>
    <w:p w14:paraId="27051200">
      <w:pPr>
        <w:pStyle w:val="13"/>
        <w:ind w:firstLine="0"/>
        <w:rPr>
          <w:rFonts w:hint="eastAsia" w:ascii="仿宋" w:hAnsi="仿宋" w:eastAsia="仿宋"/>
          <w:color w:val="auto"/>
          <w:spacing w:val="14"/>
          <w:sz w:val="28"/>
          <w:szCs w:val="28"/>
        </w:rPr>
      </w:pPr>
      <w:r>
        <w:rPr>
          <w:rFonts w:hint="eastAsia" w:ascii="仿宋" w:hAnsi="仿宋" w:eastAsia="仿宋"/>
          <w:color w:val="auto"/>
          <w:spacing w:val="14"/>
        </w:rPr>
        <w:br w:type="page"/>
      </w:r>
      <w:r>
        <w:rPr>
          <w:rFonts w:hint="eastAsia" w:ascii="仿宋" w:hAnsi="仿宋" w:eastAsia="仿宋"/>
          <w:color w:val="auto"/>
          <w:spacing w:val="14"/>
          <w:sz w:val="28"/>
          <w:szCs w:val="28"/>
        </w:rPr>
        <w:t>附 件：</w:t>
      </w:r>
    </w:p>
    <w:p w14:paraId="6DAA4911">
      <w:pPr>
        <w:pStyle w:val="13"/>
        <w:ind w:firstLine="0"/>
        <w:jc w:val="center"/>
        <w:rPr>
          <w:rFonts w:hint="eastAsia" w:ascii="仿宋" w:hAnsi="仿宋" w:eastAsia="仿宋"/>
          <w:b/>
          <w:bCs/>
          <w:color w:val="auto"/>
          <w:spacing w:val="14"/>
          <w:sz w:val="28"/>
          <w:szCs w:val="28"/>
        </w:rPr>
      </w:pPr>
      <w:r>
        <w:rPr>
          <w:rFonts w:hint="eastAsia" w:ascii="仿宋" w:hAnsi="仿宋" w:eastAsia="仿宋"/>
          <w:b/>
          <w:bCs/>
          <w:color w:val="auto"/>
          <w:spacing w:val="14"/>
          <w:sz w:val="28"/>
          <w:szCs w:val="28"/>
        </w:rPr>
        <w:t>洛阳市政府采购合同融资政策告知函</w:t>
      </w:r>
    </w:p>
    <w:p w14:paraId="2B99F5BD">
      <w:pPr>
        <w:pStyle w:val="13"/>
        <w:ind w:firstLine="0"/>
        <w:rPr>
          <w:rFonts w:hint="eastAsia" w:ascii="仿宋" w:hAnsi="仿宋" w:eastAsia="仿宋"/>
          <w:color w:val="auto"/>
          <w:spacing w:val="14"/>
        </w:rPr>
      </w:pPr>
      <w:r>
        <w:rPr>
          <w:rFonts w:hint="eastAsia" w:ascii="仿宋" w:hAnsi="仿宋" w:eastAsia="仿宋"/>
          <w:color w:val="auto"/>
          <w:spacing w:val="14"/>
        </w:rPr>
        <w:t>各供应商：</w:t>
      </w:r>
    </w:p>
    <w:p w14:paraId="188D7C32">
      <w:pPr>
        <w:pStyle w:val="13"/>
        <w:rPr>
          <w:rFonts w:hint="eastAsia" w:ascii="仿宋" w:hAnsi="仿宋" w:eastAsia="仿宋"/>
          <w:color w:val="auto"/>
          <w:spacing w:val="14"/>
        </w:rPr>
      </w:pPr>
      <w:r>
        <w:rPr>
          <w:rFonts w:hint="eastAsia" w:ascii="仿宋" w:hAnsi="仿宋" w:eastAsia="仿宋"/>
          <w:color w:val="auto"/>
          <w:spacing w:val="14"/>
        </w:rPr>
        <w:t>欢迎贵公司参与洛阳市政府采购活动！</w:t>
      </w:r>
    </w:p>
    <w:p w14:paraId="2C7FF7A7">
      <w:pPr>
        <w:pStyle w:val="13"/>
        <w:rPr>
          <w:rFonts w:hint="eastAsia" w:ascii="仿宋" w:hAnsi="仿宋" w:eastAsia="仿宋"/>
          <w:color w:val="auto"/>
          <w:spacing w:val="14"/>
        </w:rPr>
      </w:pPr>
      <w:r>
        <w:rPr>
          <w:rFonts w:hint="eastAsia" w:ascii="仿宋" w:hAnsi="仿宋" w:eastAsia="仿宋"/>
          <w:color w:val="auto"/>
          <w:spacing w:val="14"/>
        </w:rPr>
        <w:t>政府采购合同融资是洛阳市财政局联合人民银行洛阳市中心支行支持中小微企业发展，针对参与政府采购活动的供应商融资难、融资贵问题推出的一项融资政策。贵公司若成为本次政府采购项目的中标（成交）供应商，可持政府采购合同向金融机构申请贷款，无需抵押、担保，融资机构将根据《洛阳市财政局、中国人民银行洛阳市中心支行关于印发深入推荐政府采购合同融资工作实施方案》（洛财购〔2021〕4号），按照双方自愿的原则提供便捷、优惠的贷款服务。</w:t>
      </w:r>
    </w:p>
    <w:p w14:paraId="37FA4F2E">
      <w:pPr>
        <w:pStyle w:val="13"/>
        <w:rPr>
          <w:rFonts w:hint="eastAsia" w:ascii="仿宋" w:hAnsi="仿宋" w:eastAsia="仿宋"/>
          <w:color w:val="auto"/>
          <w:spacing w:val="14"/>
        </w:rPr>
      </w:pPr>
      <w:r>
        <w:rPr>
          <w:rFonts w:hint="eastAsia" w:ascii="仿宋" w:hAnsi="仿宋" w:eastAsia="仿宋"/>
          <w:color w:val="auto"/>
          <w:spacing w:val="14"/>
        </w:rPr>
        <w:t>贷款渠道和提供贷款的金融机构，可在河南省政府采购网“河南省政府采购合同融资平台”或洛阳市政府采购网“政府采购合同融资业务入口”查询联系。</w:t>
      </w:r>
    </w:p>
    <w:p w14:paraId="69CEF6B5">
      <w:pPr>
        <w:pStyle w:val="13"/>
        <w:ind w:firstLine="0"/>
        <w:jc w:val="center"/>
        <w:rPr>
          <w:rFonts w:hint="eastAsia" w:ascii="仿宋" w:hAnsi="仿宋" w:eastAsia="仿宋"/>
          <w:b/>
          <w:bCs/>
          <w:color w:val="auto"/>
          <w:spacing w:val="14"/>
          <w:sz w:val="28"/>
          <w:szCs w:val="28"/>
        </w:rPr>
      </w:pPr>
      <w:r>
        <w:rPr>
          <w:rFonts w:hint="eastAsia" w:ascii="仿宋" w:hAnsi="仿宋" w:eastAsia="仿宋"/>
          <w:b/>
          <w:bCs/>
          <w:color w:val="auto"/>
          <w:spacing w:val="14"/>
          <w:sz w:val="28"/>
          <w:szCs w:val="28"/>
        </w:rPr>
        <w:t>建设银行政府采购融资贷联系方式</w:t>
      </w:r>
    </w:p>
    <w:p w14:paraId="5323ACC0">
      <w:pPr>
        <w:pStyle w:val="13"/>
        <w:ind w:firstLine="0"/>
        <w:jc w:val="center"/>
        <w:rPr>
          <w:rFonts w:hint="eastAsia" w:ascii="仿宋" w:hAnsi="仿宋" w:eastAsia="仿宋"/>
          <w:b/>
          <w:bCs/>
          <w:color w:val="auto"/>
          <w:spacing w:val="14"/>
          <w:sz w:val="28"/>
          <w:szCs w:val="28"/>
        </w:rPr>
      </w:pPr>
      <w:r>
        <w:rPr>
          <w:rFonts w:hint="eastAsia" w:ascii="仿宋" w:hAnsi="仿宋" w:eastAsia="仿宋"/>
          <w:b/>
          <w:bCs/>
          <w:color w:val="auto"/>
          <w:spacing w:val="14"/>
          <w:sz w:val="28"/>
          <w:szCs w:val="28"/>
        </w:rPr>
        <w:t>及融资产品介绍</w:t>
      </w:r>
    </w:p>
    <w:p w14:paraId="3242BDDB">
      <w:pPr>
        <w:pStyle w:val="14"/>
        <w:ind w:firstLine="358" w:firstLineChars="200"/>
        <w:rPr>
          <w:rFonts w:hint="eastAsia" w:ascii="仿宋" w:hAnsi="仿宋" w:eastAsia="仿宋" w:cs="仿宋"/>
        </w:rPr>
      </w:pPr>
      <w:r>
        <w:rPr>
          <w:rFonts w:hint="eastAsia" w:ascii="仿宋" w:hAnsi="仿宋" w:eastAsia="仿宋" w:cs="仿宋"/>
        </w:rPr>
        <w:t>一、联系方式:</w:t>
      </w:r>
    </w:p>
    <w:tbl>
      <w:tblPr>
        <w:tblStyle w:val="6"/>
        <w:tblW w:w="8398" w:type="dxa"/>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0"/>
        <w:gridCol w:w="1570"/>
        <w:gridCol w:w="1592"/>
        <w:gridCol w:w="2095"/>
        <w:gridCol w:w="1571"/>
      </w:tblGrid>
      <w:tr w14:paraId="4B8FE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570" w:type="dxa"/>
            <w:noWrap w:val="0"/>
            <w:vAlign w:val="center"/>
          </w:tcPr>
          <w:p w14:paraId="16D920B5">
            <w:pPr>
              <w:pStyle w:val="84"/>
              <w:shd w:val="clear" w:color="auto" w:fill="auto"/>
              <w:spacing w:line="560" w:lineRule="exact"/>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联系人</w:t>
            </w:r>
          </w:p>
        </w:tc>
        <w:tc>
          <w:tcPr>
            <w:tcW w:w="1570" w:type="dxa"/>
            <w:noWrap w:val="0"/>
            <w:vAlign w:val="center"/>
          </w:tcPr>
          <w:p w14:paraId="691DD4B7">
            <w:pPr>
              <w:pStyle w:val="84"/>
              <w:shd w:val="clear" w:color="auto" w:fill="auto"/>
              <w:spacing w:line="560" w:lineRule="exact"/>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职务</w:t>
            </w:r>
          </w:p>
        </w:tc>
        <w:tc>
          <w:tcPr>
            <w:tcW w:w="1592" w:type="dxa"/>
            <w:noWrap w:val="0"/>
            <w:vAlign w:val="center"/>
          </w:tcPr>
          <w:p w14:paraId="422F62E4">
            <w:pPr>
              <w:pStyle w:val="84"/>
              <w:shd w:val="clear" w:color="auto" w:fill="auto"/>
              <w:spacing w:line="560" w:lineRule="exact"/>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地址</w:t>
            </w:r>
          </w:p>
        </w:tc>
        <w:tc>
          <w:tcPr>
            <w:tcW w:w="2095" w:type="dxa"/>
            <w:noWrap w:val="0"/>
            <w:vAlign w:val="center"/>
          </w:tcPr>
          <w:p w14:paraId="60220498">
            <w:pPr>
              <w:pStyle w:val="84"/>
              <w:shd w:val="clear" w:color="auto" w:fill="auto"/>
              <w:spacing w:line="560" w:lineRule="exact"/>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电话</w:t>
            </w:r>
          </w:p>
        </w:tc>
        <w:tc>
          <w:tcPr>
            <w:tcW w:w="1571" w:type="dxa"/>
            <w:noWrap w:val="0"/>
            <w:vAlign w:val="center"/>
          </w:tcPr>
          <w:p w14:paraId="20041F07">
            <w:pPr>
              <w:pStyle w:val="84"/>
              <w:shd w:val="clear" w:color="auto" w:fill="auto"/>
              <w:spacing w:line="560" w:lineRule="exact"/>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备注</w:t>
            </w:r>
          </w:p>
        </w:tc>
      </w:tr>
      <w:tr w14:paraId="2897D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70" w:type="dxa"/>
            <w:noWrap w:val="0"/>
            <w:vAlign w:val="center"/>
          </w:tcPr>
          <w:p w14:paraId="0926E93F">
            <w:pPr>
              <w:pStyle w:val="84"/>
              <w:shd w:val="clear" w:color="auto" w:fill="auto"/>
              <w:spacing w:line="560" w:lineRule="exact"/>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张翠荣</w:t>
            </w:r>
          </w:p>
        </w:tc>
        <w:tc>
          <w:tcPr>
            <w:tcW w:w="1570" w:type="dxa"/>
            <w:noWrap w:val="0"/>
            <w:vAlign w:val="center"/>
          </w:tcPr>
          <w:p w14:paraId="13B57890">
            <w:pPr>
              <w:pStyle w:val="84"/>
              <w:shd w:val="clear" w:color="auto" w:fill="auto"/>
              <w:spacing w:line="560" w:lineRule="exact"/>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洛阳建行公司客户经理</w:t>
            </w:r>
          </w:p>
        </w:tc>
        <w:tc>
          <w:tcPr>
            <w:tcW w:w="1592" w:type="dxa"/>
            <w:noWrap w:val="0"/>
            <w:vAlign w:val="center"/>
          </w:tcPr>
          <w:p w14:paraId="5964E932">
            <w:pPr>
              <w:pStyle w:val="84"/>
              <w:shd w:val="clear" w:color="auto" w:fill="auto"/>
              <w:spacing w:line="560" w:lineRule="exact"/>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南昌路132号建设银行</w:t>
            </w:r>
          </w:p>
        </w:tc>
        <w:tc>
          <w:tcPr>
            <w:tcW w:w="2095" w:type="dxa"/>
            <w:noWrap w:val="0"/>
            <w:vAlign w:val="center"/>
          </w:tcPr>
          <w:p w14:paraId="7B99F12E">
            <w:pPr>
              <w:pStyle w:val="84"/>
              <w:shd w:val="clear" w:color="auto" w:fill="auto"/>
              <w:spacing w:line="560" w:lineRule="exact"/>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0379-63296788</w:t>
            </w:r>
          </w:p>
          <w:p w14:paraId="50462A20">
            <w:pPr>
              <w:pStyle w:val="84"/>
              <w:shd w:val="clear" w:color="auto" w:fill="auto"/>
              <w:spacing w:line="560" w:lineRule="exact"/>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13937942294</w:t>
            </w:r>
          </w:p>
        </w:tc>
        <w:tc>
          <w:tcPr>
            <w:tcW w:w="1571" w:type="dxa"/>
            <w:noWrap w:val="0"/>
            <w:vAlign w:val="center"/>
          </w:tcPr>
          <w:p w14:paraId="1FB9BE41">
            <w:pPr>
              <w:pStyle w:val="84"/>
              <w:shd w:val="clear" w:color="auto" w:fill="auto"/>
              <w:spacing w:line="560" w:lineRule="exact"/>
              <w:jc w:val="center"/>
              <w:rPr>
                <w:rFonts w:hint="eastAsia" w:ascii="仿宋" w:hAnsi="仿宋" w:eastAsia="仿宋" w:cs="仿宋"/>
                <w:kern w:val="2"/>
                <w:sz w:val="21"/>
                <w:szCs w:val="21"/>
                <w:lang w:val="en-US" w:eastAsia="zh-CN" w:bidi="ar-SA"/>
              </w:rPr>
            </w:pPr>
          </w:p>
        </w:tc>
      </w:tr>
    </w:tbl>
    <w:p w14:paraId="33919594">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二、融资产品介绍:</w:t>
      </w:r>
    </w:p>
    <w:p w14:paraId="1C387AB6">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（一）产品介绍</w:t>
      </w:r>
    </w:p>
    <w:p w14:paraId="30309CC0">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1、产品简介</w:t>
      </w:r>
    </w:p>
    <w:p w14:paraId="5C02DC13">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建行“e政通”是中国建设银行以政府采购供应商中的供应商企业作为借款人，依据政府采购交易信息，通过建行集团供应链平台在线申请、审批、签约、支取的贷款产品。有效解决政府采购中标、成交的供应商资金不足、融资难、融资贵的困难。</w:t>
      </w:r>
    </w:p>
    <w:p w14:paraId="7A9BE593">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2、业务流程</w:t>
      </w:r>
    </w:p>
    <w:p w14:paraId="19AD1667">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（1）采购人的采购资金纳入同级或以上政府财政预算。</w:t>
      </w:r>
    </w:p>
    <w:p w14:paraId="1A70519F">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（2）供应商与政府采购部门签署采购合同。</w:t>
      </w:r>
    </w:p>
    <w:p w14:paraId="01DD4EC2">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（3）采购合同在公开平台进行公示或者备案。</w:t>
      </w:r>
    </w:p>
    <w:p w14:paraId="4982CFBA">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（4）采购供应商依托采购合同，通过建行集团供应链平台申请融资。</w:t>
      </w:r>
    </w:p>
    <w:p w14:paraId="0F0F67FF">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（5）建行核实贸易背景，按照采购合同金额的一定比例（考虑质押率）发放融资款项。</w:t>
      </w:r>
    </w:p>
    <w:p w14:paraId="465BC476">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（6）业务到期前，政府部门支付采购款项到建设银行指定的回款专户中。</w:t>
      </w:r>
    </w:p>
    <w:p w14:paraId="16402BF9">
      <w:pPr>
        <w:pStyle w:val="40"/>
        <w:spacing w:line="560" w:lineRule="exact"/>
        <w:ind w:firstLine="378" w:firstLineChars="200"/>
        <w:rPr>
          <w:rFonts w:hint="eastAsia" w:ascii="仿宋" w:hAnsi="仿宋" w:eastAsia="仿宋" w:cs="仿宋"/>
          <w:kern w:val="2"/>
          <w:sz w:val="22"/>
          <w:szCs w:val="22"/>
        </w:rPr>
      </w:pPr>
      <w:r>
        <w:rPr>
          <w:rFonts w:hint="eastAsia" w:ascii="仿宋" w:hAnsi="仿宋" w:eastAsia="仿宋" w:cs="仿宋"/>
          <w:kern w:val="2"/>
          <w:sz w:val="22"/>
          <w:szCs w:val="22"/>
        </w:rPr>
        <w:t>3、产品优势</w:t>
      </w:r>
    </w:p>
    <w:p w14:paraId="1B63CCED">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无抵押（依据政府采购合同及历史交易、履约信息作为授信依据）；</w:t>
      </w:r>
    </w:p>
    <w:p w14:paraId="3934F15F">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放款快（在线审批，最快T+0放款）；</w:t>
      </w:r>
    </w:p>
    <w:p w14:paraId="7E0F4985">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额度高（单笔合同贷款金额最高3000万元）；</w:t>
      </w:r>
    </w:p>
    <w:p w14:paraId="14DDBC61">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操作便捷（流程简捷，全线上化操作）；</w:t>
      </w:r>
    </w:p>
    <w:p w14:paraId="516FF216">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还款灵活（支持多种还款付息方式，支持提前还款）；</w:t>
      </w:r>
    </w:p>
    <w:p w14:paraId="7C8679BB">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4、借款人基本条件</w:t>
      </w:r>
    </w:p>
    <w:p w14:paraId="210FA00F">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（1）经工商行政管理机关（或主管机关）核准登记的企业法人及个体工商户；</w:t>
      </w:r>
    </w:p>
    <w:p w14:paraId="0BF5027F">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 xml:space="preserve">（2）有固定的生产或经营场所，从事符合法律、法规的生产、经营活动,近两年无环保违法记录； </w:t>
      </w:r>
    </w:p>
    <w:p w14:paraId="57A24E9E">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（3）在建设银行开立结算账户；</w:t>
      </w:r>
    </w:p>
    <w:p w14:paraId="627BCAE6">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（4）企业具有持续经营能力，信用记录良好，近2年在中国人民银行企业征信系统无不良信用记录；</w:t>
      </w:r>
    </w:p>
    <w:p w14:paraId="06A9ADFF">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（5）企业主及其配偶品行端正，无不良嗜好，无不良信用记录。</w:t>
      </w:r>
    </w:p>
    <w:p w14:paraId="5034ED1F">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（6）不存在我行反洗钱客户身份识别管理制度规定的禁止准入情形或停止业务关系的情形。</w:t>
      </w:r>
    </w:p>
    <w:p w14:paraId="39D5F80A">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（二）申请路径</w:t>
      </w:r>
    </w:p>
    <w:p w14:paraId="0D69917C">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建行集团供应链平台</w:t>
      </w:r>
    </w:p>
    <w:p w14:paraId="2E709A50">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（三）利率</w:t>
      </w:r>
    </w:p>
    <w:p w14:paraId="760CB870">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随着市场价格变化及上级行要求确定，一般不超过5%，优质客户综合成本更优惠。</w:t>
      </w:r>
    </w:p>
    <w:p w14:paraId="3527768D">
      <w:pPr>
        <w:spacing w:line="560" w:lineRule="exact"/>
        <w:ind w:firstLine="498" w:firstLineChars="200"/>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平顶山银行政府采购融资贷联系方式</w:t>
      </w:r>
    </w:p>
    <w:p w14:paraId="00CF5918">
      <w:pPr>
        <w:spacing w:line="560" w:lineRule="exact"/>
        <w:ind w:firstLine="498" w:firstLineChars="200"/>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及融资产品介绍</w:t>
      </w:r>
    </w:p>
    <w:p w14:paraId="08950FB7">
      <w:pPr>
        <w:spacing w:line="560" w:lineRule="exact"/>
        <w:ind w:firstLine="378" w:firstLineChars="200"/>
        <w:outlineLvl w:val="9"/>
        <w:rPr>
          <w:rFonts w:hint="eastAsia" w:ascii="仿宋" w:hAnsi="仿宋" w:eastAsia="仿宋" w:cs="仿宋"/>
          <w:color w:val="000000"/>
          <w:sz w:val="22"/>
          <w:szCs w:val="22"/>
        </w:rPr>
      </w:pPr>
      <w:bookmarkStart w:id="190" w:name="_Toc24858"/>
      <w:r>
        <w:rPr>
          <w:rFonts w:hint="eastAsia" w:ascii="仿宋" w:hAnsi="仿宋" w:eastAsia="仿宋" w:cs="仿宋"/>
          <w:color w:val="000000"/>
          <w:sz w:val="22"/>
          <w:szCs w:val="22"/>
        </w:rPr>
        <w:t>一、联系方式:</w:t>
      </w:r>
      <w:bookmarkEnd w:id="190"/>
    </w:p>
    <w:tbl>
      <w:tblPr>
        <w:tblStyle w:val="6"/>
        <w:tblW w:w="8162" w:type="dxa"/>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526"/>
        <w:gridCol w:w="1658"/>
        <w:gridCol w:w="1925"/>
        <w:gridCol w:w="1527"/>
      </w:tblGrid>
      <w:tr w14:paraId="35757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5E39EEF5">
            <w:pPr>
              <w:spacing w:line="560" w:lineRule="exact"/>
              <w:ind w:firstLine="189" w:firstLineChars="100"/>
              <w:rPr>
                <w:rFonts w:hint="eastAsia" w:ascii="仿宋" w:hAnsi="仿宋" w:eastAsia="仿宋" w:cs="仿宋"/>
                <w:color w:val="000000"/>
                <w:sz w:val="22"/>
                <w:szCs w:val="22"/>
              </w:rPr>
            </w:pPr>
            <w:r>
              <w:rPr>
                <w:rFonts w:hint="eastAsia" w:ascii="仿宋" w:hAnsi="仿宋" w:eastAsia="仿宋" w:cs="仿宋"/>
                <w:color w:val="000000"/>
                <w:sz w:val="22"/>
                <w:szCs w:val="22"/>
              </w:rPr>
              <w:t>联系人</w:t>
            </w:r>
          </w:p>
        </w:tc>
        <w:tc>
          <w:tcPr>
            <w:tcW w:w="1526" w:type="dxa"/>
            <w:noWrap w:val="0"/>
            <w:vAlign w:val="center"/>
          </w:tcPr>
          <w:p w14:paraId="12C12F0C">
            <w:pPr>
              <w:spacing w:line="560" w:lineRule="exact"/>
              <w:ind w:firstLine="284" w:firstLineChars="150"/>
              <w:rPr>
                <w:rFonts w:hint="eastAsia" w:ascii="仿宋" w:hAnsi="仿宋" w:eastAsia="仿宋" w:cs="仿宋"/>
                <w:color w:val="000000"/>
                <w:sz w:val="22"/>
                <w:szCs w:val="22"/>
              </w:rPr>
            </w:pPr>
            <w:r>
              <w:rPr>
                <w:rFonts w:hint="eastAsia" w:ascii="仿宋" w:hAnsi="仿宋" w:eastAsia="仿宋" w:cs="仿宋"/>
                <w:color w:val="000000"/>
                <w:sz w:val="22"/>
                <w:szCs w:val="22"/>
              </w:rPr>
              <w:t>职务</w:t>
            </w:r>
          </w:p>
        </w:tc>
        <w:tc>
          <w:tcPr>
            <w:tcW w:w="1658" w:type="dxa"/>
            <w:noWrap w:val="0"/>
            <w:vAlign w:val="center"/>
          </w:tcPr>
          <w:p w14:paraId="3D6E46A7">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地址</w:t>
            </w:r>
          </w:p>
        </w:tc>
        <w:tc>
          <w:tcPr>
            <w:tcW w:w="1925" w:type="dxa"/>
            <w:noWrap w:val="0"/>
            <w:vAlign w:val="center"/>
          </w:tcPr>
          <w:p w14:paraId="6277B226">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电话</w:t>
            </w:r>
          </w:p>
        </w:tc>
        <w:tc>
          <w:tcPr>
            <w:tcW w:w="1527" w:type="dxa"/>
            <w:noWrap w:val="0"/>
            <w:vAlign w:val="center"/>
          </w:tcPr>
          <w:p w14:paraId="6BE03D29">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备注</w:t>
            </w:r>
          </w:p>
        </w:tc>
      </w:tr>
      <w:tr w14:paraId="4C326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26EAA0CF">
            <w:pPr>
              <w:spacing w:line="560" w:lineRule="exact"/>
              <w:ind w:firstLine="95" w:firstLineChars="50"/>
              <w:rPr>
                <w:rFonts w:hint="eastAsia" w:ascii="仿宋" w:hAnsi="仿宋" w:eastAsia="仿宋" w:cs="仿宋"/>
                <w:color w:val="000000"/>
                <w:sz w:val="22"/>
                <w:szCs w:val="22"/>
              </w:rPr>
            </w:pPr>
            <w:r>
              <w:rPr>
                <w:rFonts w:hint="eastAsia" w:ascii="仿宋" w:hAnsi="仿宋" w:eastAsia="仿宋" w:cs="仿宋"/>
                <w:color w:val="000000"/>
                <w:sz w:val="22"/>
                <w:szCs w:val="22"/>
              </w:rPr>
              <w:t>刘亚兴</w:t>
            </w:r>
          </w:p>
        </w:tc>
        <w:tc>
          <w:tcPr>
            <w:tcW w:w="1526" w:type="dxa"/>
            <w:noWrap w:val="0"/>
            <w:vAlign w:val="center"/>
          </w:tcPr>
          <w:p w14:paraId="6804CEBB">
            <w:pPr>
              <w:spacing w:line="560" w:lineRule="exact"/>
              <w:rPr>
                <w:rFonts w:hint="eastAsia" w:ascii="仿宋" w:hAnsi="仿宋" w:eastAsia="仿宋" w:cs="仿宋"/>
                <w:color w:val="000000"/>
                <w:sz w:val="22"/>
                <w:szCs w:val="22"/>
              </w:rPr>
            </w:pPr>
            <w:r>
              <w:rPr>
                <w:rFonts w:hint="eastAsia" w:ascii="仿宋" w:hAnsi="仿宋" w:eastAsia="仿宋" w:cs="仿宋"/>
                <w:color w:val="000000"/>
                <w:sz w:val="22"/>
                <w:szCs w:val="22"/>
              </w:rPr>
              <w:t>平顶山银行洛阳分行小微金融部</w:t>
            </w:r>
          </w:p>
        </w:tc>
        <w:tc>
          <w:tcPr>
            <w:tcW w:w="1658" w:type="dxa"/>
            <w:noWrap w:val="0"/>
            <w:vAlign w:val="center"/>
          </w:tcPr>
          <w:p w14:paraId="733BEB04">
            <w:pPr>
              <w:spacing w:line="560" w:lineRule="exact"/>
              <w:rPr>
                <w:rFonts w:hint="eastAsia" w:ascii="仿宋" w:hAnsi="仿宋" w:eastAsia="仿宋" w:cs="仿宋"/>
                <w:color w:val="000000"/>
                <w:sz w:val="22"/>
                <w:szCs w:val="22"/>
              </w:rPr>
            </w:pPr>
            <w:r>
              <w:rPr>
                <w:rFonts w:hint="eastAsia" w:ascii="仿宋" w:hAnsi="仿宋" w:eastAsia="仿宋" w:cs="仿宋"/>
                <w:color w:val="000000"/>
                <w:sz w:val="22"/>
                <w:szCs w:val="22"/>
              </w:rPr>
              <w:t>洛龙区开元大道258号世贸中心一楼</w:t>
            </w:r>
          </w:p>
        </w:tc>
        <w:tc>
          <w:tcPr>
            <w:tcW w:w="1925" w:type="dxa"/>
            <w:noWrap w:val="0"/>
            <w:vAlign w:val="center"/>
          </w:tcPr>
          <w:p w14:paraId="5F3FBF71">
            <w:pPr>
              <w:spacing w:line="560" w:lineRule="exact"/>
              <w:rPr>
                <w:rFonts w:hint="eastAsia" w:ascii="仿宋" w:hAnsi="仿宋" w:eastAsia="仿宋" w:cs="仿宋"/>
                <w:color w:val="000000"/>
                <w:sz w:val="22"/>
                <w:szCs w:val="22"/>
              </w:rPr>
            </w:pPr>
            <w:r>
              <w:rPr>
                <w:rFonts w:hint="eastAsia" w:ascii="仿宋" w:hAnsi="仿宋" w:eastAsia="仿宋" w:cs="仿宋"/>
                <w:color w:val="000000"/>
                <w:sz w:val="22"/>
                <w:szCs w:val="22"/>
              </w:rPr>
              <w:t>13837937717（微信同号）</w:t>
            </w:r>
          </w:p>
        </w:tc>
        <w:tc>
          <w:tcPr>
            <w:tcW w:w="1527" w:type="dxa"/>
            <w:noWrap w:val="0"/>
            <w:vAlign w:val="center"/>
          </w:tcPr>
          <w:p w14:paraId="141BAC90">
            <w:pPr>
              <w:spacing w:line="560" w:lineRule="exact"/>
              <w:ind w:firstLine="378" w:firstLineChars="200"/>
              <w:rPr>
                <w:rFonts w:hint="eastAsia" w:ascii="仿宋" w:hAnsi="仿宋" w:eastAsia="仿宋" w:cs="仿宋"/>
                <w:color w:val="000000"/>
                <w:sz w:val="22"/>
                <w:szCs w:val="22"/>
              </w:rPr>
            </w:pPr>
          </w:p>
        </w:tc>
      </w:tr>
    </w:tbl>
    <w:p w14:paraId="1D4ECDAE">
      <w:pPr>
        <w:ind w:firstLine="378" w:firstLineChars="200"/>
        <w:outlineLvl w:val="9"/>
        <w:rPr>
          <w:rFonts w:hint="eastAsia" w:ascii="仿宋" w:hAnsi="仿宋" w:eastAsia="仿宋" w:cs="仿宋"/>
          <w:color w:val="000000"/>
          <w:sz w:val="22"/>
          <w:szCs w:val="22"/>
        </w:rPr>
      </w:pPr>
      <w:bookmarkStart w:id="191" w:name="_Toc24170"/>
      <w:r>
        <w:rPr>
          <w:rFonts w:hint="eastAsia" w:ascii="仿宋" w:hAnsi="仿宋" w:eastAsia="仿宋" w:cs="仿宋"/>
          <w:color w:val="000000"/>
          <w:sz w:val="22"/>
          <w:szCs w:val="22"/>
        </w:rPr>
        <w:t>二、融资产品介绍</w:t>
      </w:r>
      <w:bookmarkEnd w:id="191"/>
    </w:p>
    <w:p w14:paraId="258E997E">
      <w:pPr>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“银政易贷”是指我行对中标政府采购合同的企业实际控制人发放的，专项用于履行政府采购合同的个人贷款业务。 </w:t>
      </w:r>
    </w:p>
    <w:p w14:paraId="401B1856">
      <w:pPr>
        <w:ind w:firstLine="378" w:firstLineChars="200"/>
        <w:rPr>
          <w:rFonts w:hint="eastAsia" w:ascii="仿宋" w:hAnsi="仿宋" w:eastAsia="仿宋" w:cs="仿宋"/>
          <w:color w:val="000000"/>
          <w:sz w:val="22"/>
          <w:szCs w:val="22"/>
          <w:lang w:eastAsia="zh-CN"/>
        </w:rPr>
      </w:pPr>
      <w:r>
        <w:rPr>
          <w:rFonts w:hint="eastAsia" w:ascii="仿宋" w:hAnsi="仿宋" w:eastAsia="仿宋" w:cs="仿宋"/>
          <w:color w:val="000000"/>
          <w:sz w:val="22"/>
          <w:szCs w:val="22"/>
        </w:rPr>
        <w:t>目标客户：中标政府采购合同的企业实际控制人</w:t>
      </w:r>
    </w:p>
    <w:p w14:paraId="68A48C60">
      <w:pPr>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 xml:space="preserve">贷款额度：最高150万元（含）    </w:t>
      </w:r>
    </w:p>
    <w:p w14:paraId="3EEDE267">
      <w:pPr>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借款期限：最长不超过1年，以中标合同付款期限为参考。</w:t>
      </w:r>
    </w:p>
    <w:p w14:paraId="01D68E6E">
      <w:pPr>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申请路径：电话咨询+书面申请</w:t>
      </w:r>
    </w:p>
    <w:p w14:paraId="3A49E864">
      <w:pPr>
        <w:ind w:firstLine="378" w:firstLineChars="200"/>
        <w:rPr>
          <w:rFonts w:hint="eastAsia" w:ascii="仿宋" w:hAnsi="仿宋" w:eastAsia="仿宋" w:cs="仿宋"/>
          <w:color w:val="000000"/>
          <w:sz w:val="22"/>
          <w:szCs w:val="22"/>
          <w:lang w:eastAsia="zh-CN"/>
        </w:rPr>
      </w:pPr>
      <w:r>
        <w:rPr>
          <w:rFonts w:hint="eastAsia" w:ascii="仿宋" w:hAnsi="仿宋" w:eastAsia="仿宋" w:cs="仿宋"/>
          <w:color w:val="000000"/>
          <w:sz w:val="22"/>
          <w:szCs w:val="22"/>
        </w:rPr>
        <w:t>贷款利率：年利率8%-10%</w:t>
      </w:r>
    </w:p>
    <w:p w14:paraId="1E94650C">
      <w:pPr>
        <w:ind w:firstLine="378" w:firstLineChars="200"/>
        <w:rPr>
          <w:rFonts w:hint="eastAsia" w:ascii="仿宋" w:hAnsi="仿宋" w:eastAsia="仿宋" w:cs="仿宋"/>
          <w:b/>
          <w:bCs/>
          <w:color w:val="000000"/>
          <w:sz w:val="28"/>
          <w:szCs w:val="36"/>
        </w:rPr>
      </w:pPr>
      <w:r>
        <w:rPr>
          <w:rFonts w:hint="eastAsia" w:ascii="仿宋" w:hAnsi="仿宋" w:eastAsia="仿宋" w:cs="仿宋"/>
          <w:color w:val="000000"/>
          <w:sz w:val="22"/>
          <w:szCs w:val="22"/>
        </w:rPr>
        <w:t>还款方式：按月付息，到期一次性还款或根据客户实际经营 情况不规则还款</w:t>
      </w:r>
    </w:p>
    <w:p w14:paraId="625112E7">
      <w:pPr>
        <w:jc w:val="center"/>
        <w:outlineLvl w:val="9"/>
        <w:rPr>
          <w:rFonts w:hint="eastAsia" w:ascii="仿宋" w:hAnsi="仿宋" w:eastAsia="仿宋" w:cs="仿宋"/>
          <w:b/>
          <w:bCs/>
          <w:sz w:val="28"/>
          <w:szCs w:val="28"/>
        </w:rPr>
      </w:pPr>
      <w:bookmarkStart w:id="192" w:name="_Toc30150"/>
      <w:r>
        <w:rPr>
          <w:rFonts w:hint="eastAsia" w:ascii="仿宋" w:hAnsi="仿宋" w:eastAsia="仿宋" w:cs="仿宋"/>
          <w:b/>
          <w:bCs/>
          <w:sz w:val="28"/>
          <w:szCs w:val="28"/>
        </w:rPr>
        <w:t>郑州银行股份有限公司洛阳分行政府采购融资贷</w:t>
      </w:r>
    </w:p>
    <w:p w14:paraId="7CE92CE1">
      <w:pPr>
        <w:jc w:val="center"/>
        <w:outlineLvl w:val="9"/>
        <w:rPr>
          <w:rFonts w:hint="eastAsia" w:ascii="仿宋" w:hAnsi="仿宋" w:eastAsia="仿宋" w:cs="仿宋"/>
          <w:b/>
          <w:bCs/>
          <w:sz w:val="28"/>
          <w:szCs w:val="28"/>
        </w:rPr>
      </w:pPr>
      <w:r>
        <w:rPr>
          <w:rFonts w:hint="eastAsia" w:ascii="仿宋" w:hAnsi="仿宋" w:eastAsia="仿宋" w:cs="仿宋"/>
          <w:b/>
          <w:bCs/>
          <w:sz w:val="28"/>
          <w:szCs w:val="28"/>
        </w:rPr>
        <w:t>联系方式及融资产品介绍</w:t>
      </w:r>
    </w:p>
    <w:p w14:paraId="5C63E04A">
      <w:pPr>
        <w:ind w:firstLine="418" w:firstLineChars="200"/>
        <w:jc w:val="left"/>
        <w:outlineLvl w:val="9"/>
        <w:rPr>
          <w:rFonts w:hint="eastAsia" w:ascii="仿宋" w:hAnsi="仿宋" w:eastAsia="仿宋" w:cs="仿宋"/>
          <w:sz w:val="24"/>
          <w:szCs w:val="24"/>
        </w:rPr>
      </w:pPr>
      <w:r>
        <w:rPr>
          <w:rFonts w:hint="eastAsia" w:ascii="仿宋" w:hAnsi="仿宋" w:eastAsia="仿宋" w:cs="仿宋"/>
          <w:sz w:val="24"/>
          <w:szCs w:val="24"/>
        </w:rPr>
        <w:t>一、联系方式：</w:t>
      </w:r>
      <w:bookmarkEnd w:id="192"/>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14:paraId="46591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3F605745">
            <w:pPr>
              <w:jc w:val="left"/>
              <w:rPr>
                <w:rFonts w:hint="eastAsia" w:ascii="仿宋" w:hAnsi="仿宋" w:eastAsia="仿宋" w:cs="仿宋"/>
                <w:sz w:val="24"/>
                <w:szCs w:val="24"/>
              </w:rPr>
            </w:pPr>
            <w:r>
              <w:rPr>
                <w:rFonts w:hint="eastAsia" w:ascii="仿宋" w:hAnsi="仿宋" w:eastAsia="仿宋" w:cs="仿宋"/>
                <w:sz w:val="24"/>
                <w:szCs w:val="24"/>
              </w:rPr>
              <w:t>联系人</w:t>
            </w:r>
          </w:p>
        </w:tc>
        <w:tc>
          <w:tcPr>
            <w:tcW w:w="2130" w:type="dxa"/>
            <w:noWrap w:val="0"/>
            <w:vAlign w:val="top"/>
          </w:tcPr>
          <w:p w14:paraId="157D7379">
            <w:pPr>
              <w:jc w:val="left"/>
              <w:rPr>
                <w:rFonts w:hint="eastAsia" w:ascii="仿宋" w:hAnsi="仿宋" w:eastAsia="仿宋" w:cs="仿宋"/>
                <w:sz w:val="24"/>
                <w:szCs w:val="24"/>
              </w:rPr>
            </w:pPr>
            <w:r>
              <w:rPr>
                <w:rFonts w:hint="eastAsia" w:ascii="仿宋" w:hAnsi="仿宋" w:eastAsia="仿宋" w:cs="仿宋"/>
                <w:sz w:val="24"/>
                <w:szCs w:val="24"/>
              </w:rPr>
              <w:t>职务</w:t>
            </w:r>
          </w:p>
        </w:tc>
        <w:tc>
          <w:tcPr>
            <w:tcW w:w="2131" w:type="dxa"/>
            <w:noWrap w:val="0"/>
            <w:vAlign w:val="top"/>
          </w:tcPr>
          <w:p w14:paraId="5A94D311">
            <w:pPr>
              <w:jc w:val="left"/>
              <w:rPr>
                <w:rFonts w:hint="eastAsia" w:ascii="仿宋" w:hAnsi="仿宋" w:eastAsia="仿宋" w:cs="仿宋"/>
                <w:sz w:val="24"/>
                <w:szCs w:val="24"/>
              </w:rPr>
            </w:pPr>
            <w:r>
              <w:rPr>
                <w:rFonts w:hint="eastAsia" w:ascii="仿宋" w:hAnsi="仿宋" w:eastAsia="仿宋" w:cs="仿宋"/>
                <w:sz w:val="24"/>
                <w:szCs w:val="24"/>
              </w:rPr>
              <w:t>地址</w:t>
            </w:r>
          </w:p>
        </w:tc>
        <w:tc>
          <w:tcPr>
            <w:tcW w:w="2131" w:type="dxa"/>
            <w:noWrap w:val="0"/>
            <w:vAlign w:val="top"/>
          </w:tcPr>
          <w:p w14:paraId="1D46B269">
            <w:pPr>
              <w:jc w:val="left"/>
              <w:rPr>
                <w:rFonts w:hint="eastAsia" w:ascii="仿宋" w:hAnsi="仿宋" w:eastAsia="仿宋" w:cs="仿宋"/>
                <w:sz w:val="24"/>
                <w:szCs w:val="24"/>
              </w:rPr>
            </w:pPr>
            <w:r>
              <w:rPr>
                <w:rFonts w:hint="eastAsia" w:ascii="仿宋" w:hAnsi="仿宋" w:eastAsia="仿宋" w:cs="仿宋"/>
                <w:sz w:val="24"/>
                <w:szCs w:val="24"/>
              </w:rPr>
              <w:t>电话</w:t>
            </w:r>
          </w:p>
        </w:tc>
      </w:tr>
      <w:tr w14:paraId="717D3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trPr>
        <w:tc>
          <w:tcPr>
            <w:tcW w:w="2130" w:type="dxa"/>
            <w:noWrap w:val="0"/>
            <w:vAlign w:val="top"/>
          </w:tcPr>
          <w:p w14:paraId="285C51EC">
            <w:pPr>
              <w:jc w:val="left"/>
              <w:rPr>
                <w:rFonts w:hint="eastAsia" w:ascii="仿宋" w:hAnsi="仿宋" w:eastAsia="仿宋" w:cs="仿宋"/>
                <w:sz w:val="22"/>
                <w:szCs w:val="22"/>
              </w:rPr>
            </w:pPr>
            <w:r>
              <w:rPr>
                <w:rFonts w:hint="eastAsia" w:ascii="仿宋" w:hAnsi="仿宋" w:eastAsia="仿宋" w:cs="仿宋"/>
                <w:sz w:val="22"/>
                <w:szCs w:val="22"/>
              </w:rPr>
              <w:t>杨洋</w:t>
            </w:r>
          </w:p>
        </w:tc>
        <w:tc>
          <w:tcPr>
            <w:tcW w:w="2130" w:type="dxa"/>
            <w:noWrap w:val="0"/>
            <w:vAlign w:val="top"/>
          </w:tcPr>
          <w:p w14:paraId="345E917A">
            <w:pPr>
              <w:jc w:val="left"/>
              <w:rPr>
                <w:rFonts w:hint="eastAsia" w:ascii="仿宋" w:hAnsi="仿宋" w:eastAsia="仿宋" w:cs="仿宋"/>
                <w:sz w:val="22"/>
                <w:szCs w:val="22"/>
              </w:rPr>
            </w:pPr>
            <w:r>
              <w:rPr>
                <w:rFonts w:hint="eastAsia" w:ascii="仿宋" w:hAnsi="仿宋" w:eastAsia="仿宋" w:cs="仿宋"/>
                <w:sz w:val="22"/>
                <w:szCs w:val="22"/>
              </w:rPr>
              <w:t>客户经理</w:t>
            </w:r>
          </w:p>
        </w:tc>
        <w:tc>
          <w:tcPr>
            <w:tcW w:w="2131" w:type="dxa"/>
            <w:vMerge w:val="restart"/>
            <w:noWrap w:val="0"/>
            <w:vAlign w:val="top"/>
          </w:tcPr>
          <w:p w14:paraId="6F18334C">
            <w:pPr>
              <w:jc w:val="left"/>
              <w:rPr>
                <w:rFonts w:hint="eastAsia" w:ascii="仿宋" w:hAnsi="仿宋" w:eastAsia="仿宋" w:cs="仿宋"/>
                <w:sz w:val="22"/>
                <w:szCs w:val="22"/>
              </w:rPr>
            </w:pPr>
            <w:r>
              <w:rPr>
                <w:rFonts w:hint="eastAsia" w:ascii="仿宋" w:hAnsi="仿宋" w:eastAsia="仿宋" w:cs="仿宋"/>
                <w:sz w:val="22"/>
                <w:szCs w:val="22"/>
              </w:rPr>
              <w:t>洛阳市洛龙区关林路与厚载门街交叉口隆安大厦</w:t>
            </w:r>
          </w:p>
        </w:tc>
        <w:tc>
          <w:tcPr>
            <w:tcW w:w="2131" w:type="dxa"/>
            <w:noWrap w:val="0"/>
            <w:vAlign w:val="top"/>
          </w:tcPr>
          <w:p w14:paraId="60693857">
            <w:pPr>
              <w:jc w:val="left"/>
              <w:rPr>
                <w:rFonts w:hint="eastAsia" w:ascii="仿宋" w:hAnsi="仿宋" w:eastAsia="仿宋" w:cs="仿宋"/>
                <w:sz w:val="22"/>
                <w:szCs w:val="22"/>
              </w:rPr>
            </w:pPr>
            <w:r>
              <w:rPr>
                <w:rFonts w:hint="eastAsia" w:ascii="仿宋" w:hAnsi="仿宋" w:eastAsia="仿宋" w:cs="仿宋"/>
                <w:sz w:val="22"/>
                <w:szCs w:val="22"/>
              </w:rPr>
              <w:t>15896531927</w:t>
            </w:r>
          </w:p>
        </w:tc>
      </w:tr>
      <w:tr w14:paraId="0B797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60C16448">
            <w:pPr>
              <w:jc w:val="left"/>
              <w:rPr>
                <w:rFonts w:hint="eastAsia" w:ascii="仿宋" w:hAnsi="仿宋" w:eastAsia="仿宋" w:cs="仿宋"/>
                <w:sz w:val="22"/>
                <w:szCs w:val="22"/>
              </w:rPr>
            </w:pPr>
            <w:r>
              <w:rPr>
                <w:rFonts w:hint="eastAsia" w:ascii="仿宋" w:hAnsi="仿宋" w:eastAsia="仿宋" w:cs="仿宋"/>
                <w:sz w:val="22"/>
                <w:szCs w:val="22"/>
              </w:rPr>
              <w:t>马超</w:t>
            </w:r>
          </w:p>
        </w:tc>
        <w:tc>
          <w:tcPr>
            <w:tcW w:w="2130" w:type="dxa"/>
            <w:noWrap w:val="0"/>
            <w:vAlign w:val="top"/>
          </w:tcPr>
          <w:p w14:paraId="431EE17C">
            <w:pPr>
              <w:jc w:val="left"/>
              <w:rPr>
                <w:rFonts w:hint="eastAsia" w:ascii="仿宋" w:hAnsi="仿宋" w:eastAsia="仿宋" w:cs="仿宋"/>
                <w:sz w:val="22"/>
                <w:szCs w:val="22"/>
              </w:rPr>
            </w:pPr>
            <w:r>
              <w:rPr>
                <w:rFonts w:hint="eastAsia" w:ascii="仿宋" w:hAnsi="仿宋" w:eastAsia="仿宋" w:cs="仿宋"/>
                <w:sz w:val="22"/>
                <w:szCs w:val="22"/>
              </w:rPr>
              <w:t>客户经理</w:t>
            </w:r>
          </w:p>
        </w:tc>
        <w:tc>
          <w:tcPr>
            <w:tcW w:w="2131" w:type="dxa"/>
            <w:vMerge w:val="continue"/>
            <w:noWrap w:val="0"/>
            <w:vAlign w:val="top"/>
          </w:tcPr>
          <w:p w14:paraId="5C913EFC">
            <w:pPr>
              <w:jc w:val="left"/>
              <w:rPr>
                <w:rFonts w:hint="eastAsia" w:ascii="仿宋" w:hAnsi="仿宋" w:eastAsia="仿宋" w:cs="仿宋"/>
                <w:sz w:val="22"/>
                <w:szCs w:val="22"/>
              </w:rPr>
            </w:pPr>
          </w:p>
        </w:tc>
        <w:tc>
          <w:tcPr>
            <w:tcW w:w="2131" w:type="dxa"/>
            <w:noWrap w:val="0"/>
            <w:vAlign w:val="top"/>
          </w:tcPr>
          <w:p w14:paraId="64ED583A">
            <w:pPr>
              <w:jc w:val="left"/>
              <w:rPr>
                <w:rFonts w:hint="eastAsia" w:ascii="仿宋" w:hAnsi="仿宋" w:eastAsia="仿宋" w:cs="仿宋"/>
                <w:sz w:val="22"/>
                <w:szCs w:val="22"/>
              </w:rPr>
            </w:pPr>
            <w:r>
              <w:rPr>
                <w:rFonts w:hint="eastAsia" w:ascii="仿宋" w:hAnsi="仿宋" w:eastAsia="仿宋" w:cs="仿宋"/>
                <w:sz w:val="22"/>
                <w:szCs w:val="22"/>
              </w:rPr>
              <w:t>13072629900</w:t>
            </w:r>
          </w:p>
        </w:tc>
      </w:tr>
    </w:tbl>
    <w:p w14:paraId="5FF384A0">
      <w:pPr>
        <w:ind w:firstLine="600"/>
        <w:jc w:val="left"/>
        <w:outlineLvl w:val="9"/>
        <w:rPr>
          <w:rFonts w:hint="eastAsia" w:ascii="仿宋" w:hAnsi="仿宋" w:eastAsia="仿宋" w:cs="仿宋"/>
          <w:sz w:val="22"/>
          <w:szCs w:val="22"/>
        </w:rPr>
      </w:pPr>
      <w:bookmarkStart w:id="193" w:name="_Toc8996"/>
      <w:r>
        <w:rPr>
          <w:rFonts w:hint="eastAsia" w:ascii="仿宋" w:hAnsi="仿宋" w:eastAsia="仿宋" w:cs="仿宋"/>
          <w:sz w:val="22"/>
          <w:szCs w:val="22"/>
        </w:rPr>
        <w:t>二、融资产品介绍：</w:t>
      </w:r>
      <w:bookmarkEnd w:id="193"/>
    </w:p>
    <w:p w14:paraId="2B6F92E5">
      <w:pPr>
        <w:ind w:firstLine="600"/>
        <w:jc w:val="left"/>
        <w:rPr>
          <w:rFonts w:hint="eastAsia" w:ascii="仿宋" w:hAnsi="仿宋" w:eastAsia="仿宋" w:cs="仿宋"/>
          <w:sz w:val="22"/>
          <w:szCs w:val="22"/>
        </w:rPr>
      </w:pPr>
      <w:r>
        <w:rPr>
          <w:rFonts w:hint="eastAsia" w:ascii="仿宋" w:hAnsi="仿宋" w:eastAsia="仿宋" w:cs="仿宋"/>
          <w:sz w:val="22"/>
          <w:szCs w:val="22"/>
        </w:rPr>
        <w:t>“E采贷”是郑州银行作为参与政府采购的中小企业量身定制的用于政府采购合同履约，并以政府回款为还款来源的贷款产品。该产品主要解决政府采购商中标垫资的痛点，帮助中标企业快速、高效、便捷获取银行资金。告别采购融资难，政府中标即可贷。优先支持纳入省市级财政预算的服务贸易类行业企业。</w:t>
      </w:r>
    </w:p>
    <w:p w14:paraId="165569E3">
      <w:pPr>
        <w:ind w:firstLine="600"/>
        <w:jc w:val="left"/>
        <w:rPr>
          <w:rFonts w:hint="eastAsia" w:ascii="仿宋" w:hAnsi="仿宋" w:eastAsia="仿宋" w:cs="仿宋"/>
          <w:sz w:val="22"/>
          <w:szCs w:val="22"/>
        </w:rPr>
      </w:pPr>
      <w:r>
        <w:rPr>
          <w:rFonts w:hint="eastAsia" w:ascii="仿宋" w:hAnsi="仿宋" w:eastAsia="仿宋" w:cs="仿宋"/>
          <w:b/>
          <w:bCs/>
          <w:sz w:val="22"/>
          <w:szCs w:val="22"/>
        </w:rPr>
        <w:t>“E采贷”五大特点</w:t>
      </w:r>
      <w:r>
        <w:rPr>
          <w:rFonts w:hint="eastAsia" w:ascii="仿宋" w:hAnsi="仿宋" w:eastAsia="仿宋" w:cs="仿宋"/>
          <w:sz w:val="22"/>
          <w:szCs w:val="22"/>
        </w:rPr>
        <w:t>：1.纯信用：无需抵押、担保；2.更灵活：随借随还，按需支用；3.额度高：最高为上年度中标额的1.3倍，单笔最高1000万元；4.适用广：在河南省政府采购网（www.hngp.gov.cn）有备案信息即可准入；5.效率高：绿色通道，保证时效。</w:t>
      </w:r>
    </w:p>
    <w:p w14:paraId="27C3D1C1">
      <w:pPr>
        <w:ind w:firstLine="600"/>
        <w:jc w:val="left"/>
        <w:rPr>
          <w:rFonts w:hint="eastAsia" w:ascii="仿宋" w:hAnsi="仿宋" w:eastAsia="仿宋" w:cs="仿宋"/>
          <w:sz w:val="22"/>
          <w:szCs w:val="22"/>
        </w:rPr>
      </w:pPr>
      <w:r>
        <w:rPr>
          <w:rFonts w:hint="eastAsia" w:ascii="仿宋" w:hAnsi="仿宋" w:eastAsia="仿宋" w:cs="仿宋"/>
          <w:b/>
          <w:bCs/>
          <w:sz w:val="22"/>
          <w:szCs w:val="22"/>
        </w:rPr>
        <w:t>业务流程</w:t>
      </w:r>
      <w:r>
        <w:rPr>
          <w:rFonts w:hint="eastAsia" w:ascii="仿宋" w:hAnsi="仿宋" w:eastAsia="仿宋" w:cs="仿宋"/>
          <w:sz w:val="22"/>
          <w:szCs w:val="22"/>
        </w:rPr>
        <w:t>：</w:t>
      </w:r>
    </w:p>
    <w:p w14:paraId="69C812FB">
      <w:pPr>
        <w:ind w:firstLine="600"/>
        <w:jc w:val="left"/>
        <w:rPr>
          <w:rFonts w:hint="eastAsia" w:ascii="仿宋" w:hAnsi="仿宋" w:eastAsia="仿宋" w:cs="仿宋"/>
          <w:sz w:val="22"/>
          <w:szCs w:val="22"/>
        </w:rPr>
      </w:pPr>
      <w:r>
        <w:rPr>
          <w:rFonts w:hint="eastAsia" w:ascii="仿宋" w:hAnsi="仿宋" w:eastAsia="仿宋" w:cs="仿宋"/>
          <w:sz w:val="22"/>
          <w:szCs w:val="22"/>
        </w:rPr>
        <w:t>1.企业申请：凭政府采购中标通知书，向郑州银行提出授信申请。</w:t>
      </w:r>
    </w:p>
    <w:p w14:paraId="3D513F6A">
      <w:pPr>
        <w:ind w:firstLine="600"/>
        <w:jc w:val="left"/>
        <w:rPr>
          <w:rFonts w:hint="eastAsia" w:ascii="仿宋" w:hAnsi="仿宋" w:eastAsia="仿宋" w:cs="仿宋"/>
          <w:sz w:val="22"/>
          <w:szCs w:val="22"/>
        </w:rPr>
      </w:pPr>
      <w:r>
        <w:rPr>
          <w:rFonts w:hint="eastAsia" w:ascii="仿宋" w:hAnsi="仿宋" w:eastAsia="仿宋" w:cs="仿宋"/>
          <w:sz w:val="22"/>
          <w:szCs w:val="22"/>
        </w:rPr>
        <w:t>2.银行审批：客户经理现场调查，3个工作日反馈审批结果。</w:t>
      </w:r>
    </w:p>
    <w:p w14:paraId="608834CB">
      <w:pPr>
        <w:ind w:firstLine="600"/>
        <w:jc w:val="left"/>
        <w:rPr>
          <w:rFonts w:hint="eastAsia" w:ascii="仿宋" w:hAnsi="仿宋" w:eastAsia="仿宋" w:cs="仿宋"/>
          <w:sz w:val="22"/>
          <w:szCs w:val="22"/>
        </w:rPr>
      </w:pPr>
      <w:r>
        <w:rPr>
          <w:rFonts w:hint="eastAsia" w:ascii="仿宋" w:hAnsi="仿宋" w:eastAsia="仿宋" w:cs="仿宋"/>
          <w:sz w:val="22"/>
          <w:szCs w:val="22"/>
        </w:rPr>
        <w:t>3.企业提款：凭政府采购合同、购销合同等即可提款使用。</w:t>
      </w:r>
    </w:p>
    <w:p w14:paraId="579787E8">
      <w:pPr>
        <w:ind w:firstLine="600"/>
        <w:jc w:val="left"/>
        <w:rPr>
          <w:rFonts w:hint="eastAsia" w:ascii="仿宋" w:hAnsi="仿宋" w:eastAsia="仿宋" w:cs="仿宋"/>
          <w:sz w:val="22"/>
          <w:szCs w:val="22"/>
        </w:rPr>
      </w:pPr>
      <w:r>
        <w:rPr>
          <w:rFonts w:hint="eastAsia" w:ascii="仿宋" w:hAnsi="仿宋" w:eastAsia="仿宋" w:cs="仿宋"/>
          <w:b/>
          <w:bCs/>
          <w:sz w:val="22"/>
          <w:szCs w:val="22"/>
        </w:rPr>
        <w:t>利率及优惠政策</w:t>
      </w:r>
      <w:r>
        <w:rPr>
          <w:rFonts w:hint="eastAsia" w:ascii="仿宋" w:hAnsi="仿宋" w:eastAsia="仿宋" w:cs="仿宋"/>
          <w:sz w:val="22"/>
          <w:szCs w:val="22"/>
        </w:rPr>
        <w:t>：</w:t>
      </w:r>
    </w:p>
    <w:p w14:paraId="10C988FF">
      <w:pPr>
        <w:ind w:firstLine="600"/>
        <w:jc w:val="left"/>
        <w:rPr>
          <w:rFonts w:hint="eastAsia" w:ascii="仿宋" w:hAnsi="仿宋" w:eastAsia="仿宋" w:cs="仿宋"/>
          <w:sz w:val="22"/>
          <w:szCs w:val="22"/>
        </w:rPr>
      </w:pPr>
      <w:r>
        <w:rPr>
          <w:rFonts w:hint="eastAsia" w:ascii="仿宋" w:hAnsi="仿宋" w:eastAsia="仿宋" w:cs="仿宋"/>
          <w:sz w:val="22"/>
          <w:szCs w:val="22"/>
        </w:rPr>
        <w:t>原则上年利率不低于7%，对符合条件的小微企业实行减费让利政策，减少客户融资成本（不存在与贷款捆绑强制收费；只收费不服务；超范围、超标准收费；转嫁成本收费；不执行政府指导价、政府定价等提升企业贷款成本的现象）着力解决小微企业“融资难”、“融资贵”的问题帮助客户更好成长。分行所有收费项目均严格根据监管部门和总行要求执行，我行对银行账户一律免收账户管理费。</w:t>
      </w:r>
    </w:p>
    <w:p w14:paraId="25BE2CAB">
      <w:pPr>
        <w:ind w:firstLine="600"/>
        <w:jc w:val="center"/>
        <w:rPr>
          <w:rFonts w:hint="eastAsia" w:ascii="仿宋" w:hAnsi="仿宋" w:eastAsia="仿宋" w:cs="仿宋"/>
          <w:b/>
          <w:bCs/>
          <w:i w:val="0"/>
          <w:iCs w:val="0"/>
          <w:sz w:val="28"/>
          <w:szCs w:val="28"/>
          <w:lang w:eastAsia="zh-CN"/>
        </w:rPr>
      </w:pPr>
      <w:r>
        <w:rPr>
          <w:rFonts w:hint="eastAsia" w:ascii="仿宋" w:hAnsi="仿宋" w:eastAsia="仿宋" w:cs="仿宋"/>
          <w:b/>
          <w:bCs/>
          <w:i w:val="0"/>
          <w:iCs w:val="0"/>
          <w:sz w:val="28"/>
          <w:szCs w:val="28"/>
          <w:lang w:eastAsia="zh-CN"/>
        </w:rPr>
        <w:t>中原银行洛阳分行政府采购融资贷</w:t>
      </w:r>
    </w:p>
    <w:p w14:paraId="05CD438C">
      <w:pPr>
        <w:ind w:firstLine="600"/>
        <w:jc w:val="center"/>
        <w:rPr>
          <w:rFonts w:hint="eastAsia" w:ascii="仿宋" w:hAnsi="仿宋" w:eastAsia="仿宋" w:cs="仿宋"/>
          <w:b/>
          <w:bCs/>
          <w:i w:val="0"/>
          <w:iCs w:val="0"/>
          <w:sz w:val="28"/>
          <w:szCs w:val="28"/>
          <w:lang w:eastAsia="zh-CN"/>
        </w:rPr>
      </w:pPr>
      <w:r>
        <w:rPr>
          <w:rFonts w:hint="eastAsia" w:ascii="仿宋" w:hAnsi="仿宋" w:eastAsia="仿宋" w:cs="仿宋"/>
          <w:b/>
          <w:bCs/>
          <w:i w:val="0"/>
          <w:iCs w:val="0"/>
          <w:sz w:val="28"/>
          <w:szCs w:val="28"/>
          <w:lang w:eastAsia="zh-CN"/>
        </w:rPr>
        <w:t>联系方式及融资产品介绍</w:t>
      </w:r>
    </w:p>
    <w:p w14:paraId="31D8F113">
      <w:pPr>
        <w:ind w:firstLine="600"/>
        <w:jc w:val="left"/>
        <w:rPr>
          <w:rFonts w:hint="eastAsia" w:ascii="仿宋" w:hAnsi="仿宋" w:eastAsia="仿宋" w:cs="仿宋"/>
          <w:sz w:val="22"/>
          <w:szCs w:val="22"/>
          <w:lang w:eastAsia="zh-CN"/>
        </w:rPr>
      </w:pPr>
      <w:r>
        <w:rPr>
          <w:rFonts w:hint="eastAsia" w:ascii="仿宋" w:hAnsi="仿宋" w:eastAsia="仿宋" w:cs="仿宋"/>
          <w:sz w:val="22"/>
          <w:szCs w:val="22"/>
          <w:lang w:eastAsia="zh-CN"/>
        </w:rPr>
        <w:t>一、联系方式：</w:t>
      </w:r>
    </w:p>
    <w:tbl>
      <w:tblPr>
        <w:tblStyle w:val="6"/>
        <w:tblW w:w="8253" w:type="dxa"/>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9"/>
        <w:gridCol w:w="1542"/>
        <w:gridCol w:w="3420"/>
        <w:gridCol w:w="1842"/>
      </w:tblGrid>
      <w:tr w14:paraId="4A7A5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9" w:type="dxa"/>
            <w:noWrap w:val="0"/>
            <w:vAlign w:val="center"/>
          </w:tcPr>
          <w:p w14:paraId="0C21E759">
            <w:pPr>
              <w:ind w:firstLine="189" w:firstLineChars="100"/>
              <w:rPr>
                <w:rFonts w:hint="eastAsia" w:ascii="仿宋" w:hAnsi="仿宋" w:eastAsia="仿宋" w:cs="仿宋"/>
                <w:color w:val="000000"/>
                <w:sz w:val="22"/>
                <w:szCs w:val="22"/>
              </w:rPr>
            </w:pPr>
            <w:r>
              <w:rPr>
                <w:rFonts w:hint="eastAsia" w:ascii="仿宋" w:hAnsi="仿宋" w:eastAsia="仿宋" w:cs="仿宋"/>
                <w:color w:val="000000"/>
                <w:sz w:val="22"/>
                <w:szCs w:val="22"/>
              </w:rPr>
              <w:t>联系人</w:t>
            </w:r>
          </w:p>
        </w:tc>
        <w:tc>
          <w:tcPr>
            <w:tcW w:w="1542" w:type="dxa"/>
            <w:noWrap w:val="0"/>
            <w:vAlign w:val="center"/>
          </w:tcPr>
          <w:p w14:paraId="3C08E2A8">
            <w:pPr>
              <w:ind w:firstLine="284" w:firstLineChars="150"/>
              <w:rPr>
                <w:rFonts w:hint="eastAsia" w:ascii="仿宋" w:hAnsi="仿宋" w:eastAsia="仿宋" w:cs="仿宋"/>
                <w:color w:val="000000"/>
                <w:sz w:val="22"/>
                <w:szCs w:val="22"/>
              </w:rPr>
            </w:pPr>
            <w:r>
              <w:rPr>
                <w:rFonts w:hint="eastAsia" w:ascii="仿宋" w:hAnsi="仿宋" w:eastAsia="仿宋" w:cs="仿宋"/>
                <w:color w:val="000000"/>
                <w:sz w:val="22"/>
                <w:szCs w:val="22"/>
              </w:rPr>
              <w:t>职务</w:t>
            </w:r>
          </w:p>
        </w:tc>
        <w:tc>
          <w:tcPr>
            <w:tcW w:w="3420" w:type="dxa"/>
            <w:noWrap w:val="0"/>
            <w:vAlign w:val="center"/>
          </w:tcPr>
          <w:p w14:paraId="0D1CF681">
            <w:pPr>
              <w:ind w:firstLine="567" w:firstLineChars="300"/>
              <w:rPr>
                <w:rFonts w:hint="eastAsia" w:ascii="仿宋" w:hAnsi="仿宋" w:eastAsia="仿宋" w:cs="仿宋"/>
                <w:color w:val="000000"/>
                <w:sz w:val="22"/>
                <w:szCs w:val="22"/>
              </w:rPr>
            </w:pPr>
            <w:r>
              <w:rPr>
                <w:rFonts w:hint="eastAsia" w:ascii="仿宋" w:hAnsi="仿宋" w:eastAsia="仿宋" w:cs="仿宋"/>
                <w:color w:val="000000"/>
                <w:sz w:val="22"/>
                <w:szCs w:val="22"/>
              </w:rPr>
              <w:t>地址</w:t>
            </w:r>
          </w:p>
        </w:tc>
        <w:tc>
          <w:tcPr>
            <w:tcW w:w="1842" w:type="dxa"/>
            <w:noWrap w:val="0"/>
            <w:vAlign w:val="center"/>
          </w:tcPr>
          <w:p w14:paraId="4903BFB6">
            <w:pPr>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电话</w:t>
            </w:r>
          </w:p>
        </w:tc>
      </w:tr>
      <w:tr w14:paraId="4D2AF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9" w:type="dxa"/>
            <w:noWrap w:val="0"/>
            <w:vAlign w:val="top"/>
          </w:tcPr>
          <w:p w14:paraId="0AA82321">
            <w:pPr>
              <w:rPr>
                <w:rFonts w:hint="eastAsia" w:ascii="仿宋" w:hAnsi="仿宋" w:eastAsia="仿宋" w:cs="仿宋"/>
                <w:sz w:val="22"/>
                <w:szCs w:val="22"/>
              </w:rPr>
            </w:pPr>
            <w:r>
              <w:rPr>
                <w:rFonts w:hint="eastAsia" w:ascii="仿宋" w:hAnsi="仿宋" w:eastAsia="仿宋" w:cs="仿宋"/>
                <w:sz w:val="22"/>
                <w:szCs w:val="22"/>
              </w:rPr>
              <w:t>刘严</w:t>
            </w:r>
          </w:p>
        </w:tc>
        <w:tc>
          <w:tcPr>
            <w:tcW w:w="1542" w:type="dxa"/>
            <w:noWrap w:val="0"/>
            <w:vAlign w:val="center"/>
          </w:tcPr>
          <w:p w14:paraId="1941B9D2">
            <w:pPr>
              <w:rPr>
                <w:rFonts w:hint="eastAsia" w:ascii="仿宋" w:hAnsi="仿宋" w:eastAsia="仿宋" w:cs="仿宋"/>
                <w:sz w:val="22"/>
                <w:szCs w:val="22"/>
              </w:rPr>
            </w:pPr>
            <w:r>
              <w:rPr>
                <w:rFonts w:hint="eastAsia" w:ascii="仿宋" w:hAnsi="仿宋" w:eastAsia="仿宋" w:cs="仿宋"/>
                <w:sz w:val="22"/>
                <w:szCs w:val="22"/>
              </w:rPr>
              <w:t>业务主管</w:t>
            </w:r>
          </w:p>
        </w:tc>
        <w:tc>
          <w:tcPr>
            <w:tcW w:w="3420" w:type="dxa"/>
            <w:noWrap w:val="0"/>
            <w:vAlign w:val="top"/>
          </w:tcPr>
          <w:p w14:paraId="26D473FB">
            <w:pPr>
              <w:rPr>
                <w:rFonts w:hint="eastAsia" w:ascii="仿宋" w:hAnsi="仿宋" w:eastAsia="仿宋" w:cs="仿宋"/>
                <w:sz w:val="22"/>
                <w:szCs w:val="22"/>
              </w:rPr>
            </w:pPr>
            <w:r>
              <w:rPr>
                <w:rFonts w:hint="eastAsia" w:ascii="仿宋" w:hAnsi="仿宋" w:eastAsia="仿宋" w:cs="仿宋"/>
                <w:sz w:val="22"/>
                <w:szCs w:val="22"/>
              </w:rPr>
              <w:t>洛阳市洛龙区长兴街66号</w:t>
            </w:r>
          </w:p>
        </w:tc>
        <w:tc>
          <w:tcPr>
            <w:tcW w:w="1842" w:type="dxa"/>
            <w:noWrap w:val="0"/>
            <w:vAlign w:val="top"/>
          </w:tcPr>
          <w:p w14:paraId="7476B080">
            <w:pPr>
              <w:rPr>
                <w:rFonts w:hint="eastAsia" w:ascii="仿宋" w:hAnsi="仿宋" w:eastAsia="仿宋" w:cs="仿宋"/>
                <w:sz w:val="22"/>
                <w:szCs w:val="22"/>
              </w:rPr>
            </w:pPr>
            <w:r>
              <w:rPr>
                <w:rFonts w:hint="eastAsia" w:ascii="仿宋" w:hAnsi="仿宋" w:eastAsia="仿宋" w:cs="仿宋"/>
                <w:sz w:val="22"/>
                <w:szCs w:val="22"/>
              </w:rPr>
              <w:t>17737997995</w:t>
            </w:r>
          </w:p>
        </w:tc>
      </w:tr>
      <w:tr w14:paraId="69BD8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9" w:type="dxa"/>
            <w:noWrap w:val="0"/>
            <w:vAlign w:val="top"/>
          </w:tcPr>
          <w:p w14:paraId="6A436674">
            <w:pPr>
              <w:rPr>
                <w:rFonts w:hint="eastAsia" w:ascii="仿宋" w:hAnsi="仿宋" w:eastAsia="仿宋" w:cs="仿宋"/>
                <w:sz w:val="22"/>
                <w:szCs w:val="22"/>
              </w:rPr>
            </w:pPr>
            <w:r>
              <w:rPr>
                <w:rFonts w:hint="eastAsia" w:ascii="仿宋" w:hAnsi="仿宋" w:eastAsia="仿宋" w:cs="仿宋"/>
                <w:sz w:val="22"/>
                <w:szCs w:val="22"/>
              </w:rPr>
              <w:t>许然涛</w:t>
            </w:r>
          </w:p>
        </w:tc>
        <w:tc>
          <w:tcPr>
            <w:tcW w:w="1542" w:type="dxa"/>
            <w:noWrap w:val="0"/>
            <w:vAlign w:val="center"/>
          </w:tcPr>
          <w:p w14:paraId="20621C28">
            <w:pPr>
              <w:rPr>
                <w:rFonts w:hint="eastAsia" w:ascii="仿宋" w:hAnsi="仿宋" w:eastAsia="仿宋" w:cs="仿宋"/>
                <w:sz w:val="22"/>
                <w:szCs w:val="22"/>
              </w:rPr>
            </w:pPr>
            <w:r>
              <w:rPr>
                <w:rFonts w:hint="eastAsia" w:ascii="仿宋" w:hAnsi="仿宋" w:eastAsia="仿宋" w:cs="仿宋"/>
                <w:sz w:val="22"/>
                <w:szCs w:val="22"/>
              </w:rPr>
              <w:t>业务经理</w:t>
            </w:r>
          </w:p>
        </w:tc>
        <w:tc>
          <w:tcPr>
            <w:tcW w:w="3420" w:type="dxa"/>
            <w:noWrap w:val="0"/>
            <w:vAlign w:val="top"/>
          </w:tcPr>
          <w:p w14:paraId="19C1F0B6">
            <w:pPr>
              <w:rPr>
                <w:rFonts w:hint="eastAsia" w:ascii="仿宋" w:hAnsi="仿宋" w:eastAsia="仿宋" w:cs="仿宋"/>
                <w:sz w:val="22"/>
                <w:szCs w:val="22"/>
              </w:rPr>
            </w:pPr>
            <w:r>
              <w:rPr>
                <w:rFonts w:hint="eastAsia" w:ascii="仿宋" w:hAnsi="仿宋" w:eastAsia="仿宋" w:cs="仿宋"/>
                <w:sz w:val="22"/>
                <w:szCs w:val="22"/>
              </w:rPr>
              <w:t>洛阳市洛龙区长兴街66号</w:t>
            </w:r>
          </w:p>
        </w:tc>
        <w:tc>
          <w:tcPr>
            <w:tcW w:w="1842" w:type="dxa"/>
            <w:noWrap w:val="0"/>
            <w:vAlign w:val="top"/>
          </w:tcPr>
          <w:p w14:paraId="209A7386">
            <w:pPr>
              <w:rPr>
                <w:rFonts w:hint="eastAsia" w:ascii="仿宋" w:hAnsi="仿宋" w:eastAsia="仿宋" w:cs="仿宋"/>
                <w:sz w:val="22"/>
                <w:szCs w:val="22"/>
              </w:rPr>
            </w:pPr>
            <w:r>
              <w:rPr>
                <w:rFonts w:hint="eastAsia" w:ascii="仿宋" w:hAnsi="仿宋" w:eastAsia="仿宋" w:cs="仿宋"/>
                <w:sz w:val="22"/>
                <w:szCs w:val="22"/>
              </w:rPr>
              <w:t>19903896628</w:t>
            </w:r>
          </w:p>
        </w:tc>
      </w:tr>
      <w:tr w14:paraId="04877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9" w:type="dxa"/>
            <w:noWrap w:val="0"/>
            <w:vAlign w:val="top"/>
          </w:tcPr>
          <w:p w14:paraId="45CDC473">
            <w:pPr>
              <w:rPr>
                <w:rFonts w:hint="eastAsia" w:ascii="仿宋" w:hAnsi="仿宋" w:eastAsia="仿宋" w:cs="仿宋"/>
                <w:sz w:val="22"/>
                <w:szCs w:val="22"/>
              </w:rPr>
            </w:pPr>
            <w:r>
              <w:rPr>
                <w:rFonts w:hint="eastAsia" w:ascii="仿宋" w:hAnsi="仿宋" w:eastAsia="仿宋" w:cs="仿宋"/>
                <w:sz w:val="22"/>
                <w:szCs w:val="22"/>
              </w:rPr>
              <w:t>张奇浩</w:t>
            </w:r>
          </w:p>
        </w:tc>
        <w:tc>
          <w:tcPr>
            <w:tcW w:w="1542" w:type="dxa"/>
            <w:noWrap w:val="0"/>
            <w:vAlign w:val="center"/>
          </w:tcPr>
          <w:p w14:paraId="4DB846F8">
            <w:pPr>
              <w:rPr>
                <w:rFonts w:hint="eastAsia" w:ascii="仿宋" w:hAnsi="仿宋" w:eastAsia="仿宋" w:cs="仿宋"/>
                <w:sz w:val="22"/>
                <w:szCs w:val="22"/>
              </w:rPr>
            </w:pPr>
            <w:r>
              <w:rPr>
                <w:rFonts w:hint="eastAsia" w:ascii="仿宋" w:hAnsi="仿宋" w:eastAsia="仿宋" w:cs="仿宋"/>
                <w:sz w:val="22"/>
                <w:szCs w:val="22"/>
              </w:rPr>
              <w:t>业务经理</w:t>
            </w:r>
          </w:p>
        </w:tc>
        <w:tc>
          <w:tcPr>
            <w:tcW w:w="3420" w:type="dxa"/>
            <w:noWrap w:val="0"/>
            <w:vAlign w:val="top"/>
          </w:tcPr>
          <w:p w14:paraId="59952650">
            <w:pPr>
              <w:rPr>
                <w:rFonts w:hint="eastAsia" w:ascii="仿宋" w:hAnsi="仿宋" w:eastAsia="仿宋" w:cs="仿宋"/>
                <w:sz w:val="22"/>
                <w:szCs w:val="22"/>
              </w:rPr>
            </w:pPr>
            <w:r>
              <w:rPr>
                <w:rFonts w:hint="eastAsia" w:ascii="仿宋" w:hAnsi="仿宋" w:eastAsia="仿宋" w:cs="仿宋"/>
                <w:sz w:val="22"/>
                <w:szCs w:val="22"/>
              </w:rPr>
              <w:t>洛阳市洛龙区长兴街66号</w:t>
            </w:r>
          </w:p>
        </w:tc>
        <w:tc>
          <w:tcPr>
            <w:tcW w:w="1842" w:type="dxa"/>
            <w:noWrap w:val="0"/>
            <w:vAlign w:val="top"/>
          </w:tcPr>
          <w:p w14:paraId="5650DB74">
            <w:pPr>
              <w:rPr>
                <w:rFonts w:hint="eastAsia" w:ascii="仿宋" w:hAnsi="仿宋" w:eastAsia="仿宋" w:cs="仿宋"/>
                <w:sz w:val="22"/>
                <w:szCs w:val="22"/>
              </w:rPr>
            </w:pPr>
            <w:r>
              <w:rPr>
                <w:rFonts w:hint="eastAsia" w:ascii="仿宋" w:hAnsi="仿宋" w:eastAsia="仿宋" w:cs="仿宋"/>
                <w:sz w:val="22"/>
                <w:szCs w:val="22"/>
              </w:rPr>
              <w:t>17737997993</w:t>
            </w:r>
          </w:p>
        </w:tc>
      </w:tr>
    </w:tbl>
    <w:p w14:paraId="7E9D7B4E">
      <w:pPr>
        <w:ind w:firstLine="378" w:firstLineChars="200"/>
        <w:outlineLvl w:val="9"/>
        <w:rPr>
          <w:rFonts w:hint="eastAsia" w:ascii="仿宋" w:hAnsi="仿宋" w:eastAsia="仿宋" w:cs="仿宋"/>
          <w:sz w:val="22"/>
          <w:szCs w:val="22"/>
          <w:lang w:val="zh-TW" w:eastAsia="zh-TW" w:bidi="zh-TW"/>
        </w:rPr>
      </w:pPr>
      <w:bookmarkStart w:id="194" w:name="_Toc2642"/>
      <w:r>
        <w:rPr>
          <w:rFonts w:hint="eastAsia" w:ascii="仿宋" w:hAnsi="仿宋" w:eastAsia="仿宋" w:cs="仿宋"/>
          <w:sz w:val="22"/>
          <w:szCs w:val="22"/>
          <w:lang w:val="zh-TW" w:eastAsia="zh-TW" w:bidi="zh-TW"/>
        </w:rPr>
        <w:t>二、融资方案及融资产品</w:t>
      </w:r>
      <w:bookmarkEnd w:id="194"/>
    </w:p>
    <w:p w14:paraId="49307F7F">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我行推出的政府采购融资产品为信用贷款产品“政采贷”。中原银行小微企业政府采购贷款是指在政府采购招标方式下，根据政府采购中标通知书或合同，以政府财政支付资金为主要还款来源，通过封闭回款路径等方式，为小微企业提供融资服务的业务。</w:t>
      </w:r>
    </w:p>
    <w:p w14:paraId="7CAB2BB7">
      <w:pPr>
        <w:ind w:firstLine="378" w:firstLineChars="200"/>
        <w:outlineLvl w:val="9"/>
        <w:rPr>
          <w:rFonts w:hint="eastAsia" w:ascii="仿宋" w:hAnsi="仿宋" w:eastAsia="仿宋" w:cs="仿宋"/>
          <w:sz w:val="22"/>
          <w:szCs w:val="22"/>
          <w:lang w:val="zh-TW" w:eastAsia="zh-TW" w:bidi="zh-TW"/>
        </w:rPr>
      </w:pPr>
      <w:bookmarkStart w:id="195" w:name="_Toc20512"/>
      <w:r>
        <w:rPr>
          <w:rFonts w:hint="eastAsia" w:ascii="仿宋" w:hAnsi="仿宋" w:eastAsia="仿宋" w:cs="仿宋"/>
          <w:sz w:val="22"/>
          <w:szCs w:val="22"/>
          <w:lang w:val="zh-TW" w:eastAsia="zh-TW" w:bidi="zh-TW"/>
        </w:rPr>
        <w:t>三、融资流程及各环节办结时间</w:t>
      </w:r>
      <w:bookmarkEnd w:id="195"/>
    </w:p>
    <w:p w14:paraId="3603F292">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客户通过“中原银行公司金融公众号”、“中原银行小微金融公众号”或“中原银行官方网站”等渠道申请即可办理。对于申报资料齐全，符合标准的业务，5个工作日即可完成审查审批。</w:t>
      </w:r>
    </w:p>
    <w:p w14:paraId="5AD828E6">
      <w:pPr>
        <w:ind w:firstLine="378" w:firstLineChars="200"/>
        <w:outlineLvl w:val="9"/>
        <w:rPr>
          <w:rFonts w:hint="eastAsia" w:ascii="仿宋" w:hAnsi="仿宋" w:eastAsia="仿宋" w:cs="仿宋"/>
          <w:sz w:val="22"/>
          <w:szCs w:val="22"/>
          <w:lang w:val="zh-TW" w:eastAsia="zh-TW" w:bidi="zh-TW"/>
        </w:rPr>
      </w:pPr>
      <w:bookmarkStart w:id="196" w:name="_Toc20601"/>
      <w:r>
        <w:rPr>
          <w:rFonts w:hint="eastAsia" w:ascii="仿宋" w:hAnsi="仿宋" w:eastAsia="仿宋" w:cs="仿宋"/>
          <w:sz w:val="22"/>
          <w:szCs w:val="22"/>
          <w:lang w:val="zh-TW" w:eastAsia="zh-TW" w:bidi="zh-TW"/>
        </w:rPr>
        <w:t>四、项目风险防控的主要措施</w:t>
      </w:r>
      <w:bookmarkEnd w:id="196"/>
    </w:p>
    <w:p w14:paraId="4F449186">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客户在与政府签订的采购合同中，约定回款账户为我行保证金账户，可实现封闭项目回款路径。同时，根据借款企业基本情况、资金周转情况、中标情况、履约情况，借款企业的实际控制人及其配偶、法定代表人需承担连带保证责任，在放款前需完成应收账款质押登记手续。同时, 我行可根据第一还款来源情况要求借款企业提供其他附加担保以缓释风险，如第三方企业连带责任保证、房产抵押等。</w:t>
      </w:r>
    </w:p>
    <w:p w14:paraId="558BEBDA">
      <w:pPr>
        <w:ind w:firstLine="378" w:firstLineChars="200"/>
        <w:outlineLvl w:val="9"/>
        <w:rPr>
          <w:rFonts w:hint="eastAsia" w:ascii="仿宋" w:hAnsi="仿宋" w:eastAsia="仿宋" w:cs="仿宋"/>
          <w:sz w:val="22"/>
          <w:szCs w:val="22"/>
          <w:lang w:val="zh-TW" w:eastAsia="zh-TW" w:bidi="zh-TW"/>
        </w:rPr>
      </w:pPr>
      <w:bookmarkStart w:id="197" w:name="_Toc18452"/>
      <w:r>
        <w:rPr>
          <w:rFonts w:hint="eastAsia" w:ascii="仿宋" w:hAnsi="仿宋" w:eastAsia="仿宋" w:cs="仿宋"/>
          <w:sz w:val="22"/>
          <w:szCs w:val="22"/>
          <w:lang w:val="zh-TW" w:eastAsia="zh-TW" w:bidi="zh-TW"/>
        </w:rPr>
        <w:t>五、其他小微产品</w:t>
      </w:r>
      <w:bookmarkEnd w:id="197"/>
    </w:p>
    <w:p w14:paraId="5E7BC10D">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科技贷是我行以河南省科技厅设立的信贷准备金为损失补偿机制，为符合条件的科技型中小企业发放的用于其短期生产经营周转的人民币贷款业务。该产品仅需作为担保措施的实物资产抵押不高于贷款本金的30%，进一步降低了对客户抵押物方面的要求。</w:t>
      </w:r>
    </w:p>
    <w:p w14:paraId="6791BB7A">
      <w:pPr>
        <w:ind w:firstLine="378" w:firstLineChars="200"/>
        <w:outlineLvl w:val="9"/>
        <w:rPr>
          <w:rFonts w:hint="eastAsia" w:ascii="仿宋" w:hAnsi="仿宋" w:eastAsia="仿宋" w:cs="仿宋"/>
          <w:sz w:val="22"/>
          <w:szCs w:val="22"/>
          <w:lang w:val="zh-TW" w:eastAsia="zh-TW" w:bidi="zh-TW"/>
        </w:rPr>
      </w:pPr>
      <w:bookmarkStart w:id="198" w:name="_Toc28028"/>
      <w:r>
        <w:rPr>
          <w:rFonts w:hint="eastAsia" w:ascii="仿宋" w:hAnsi="仿宋" w:eastAsia="仿宋" w:cs="仿宋"/>
          <w:sz w:val="22"/>
          <w:szCs w:val="22"/>
          <w:lang w:val="zh-TW" w:eastAsia="zh-TW" w:bidi="zh-TW"/>
        </w:rPr>
        <w:t>六、贷款利率及优惠措施</w:t>
      </w:r>
      <w:bookmarkEnd w:id="198"/>
    </w:p>
    <w:p w14:paraId="7D9B1D5F">
      <w:pPr>
        <w:ind w:firstLine="378" w:firstLineChars="200"/>
        <w:rPr>
          <w:rFonts w:hint="eastAsia" w:ascii="仿宋" w:hAnsi="仿宋" w:eastAsia="仿宋" w:cs="仿宋"/>
          <w:b/>
          <w:bCs/>
          <w:color w:val="000000"/>
          <w:sz w:val="28"/>
          <w:szCs w:val="36"/>
          <w:lang w:val="zh-TW" w:bidi="zh-TW"/>
        </w:rPr>
      </w:pPr>
      <w:r>
        <w:rPr>
          <w:rFonts w:hint="eastAsia" w:ascii="仿宋" w:hAnsi="仿宋" w:eastAsia="仿宋" w:cs="仿宋"/>
          <w:sz w:val="22"/>
          <w:szCs w:val="22"/>
          <w:lang w:val="zh-TW" w:eastAsia="zh-TW" w:bidi="zh-TW"/>
        </w:rPr>
        <w:t>在利率定价方面，我行积极贯彻落实降低小微企业融资成本的相关政策指示精神，不断完善小微企业定价机制，参照当地同业平均水平，依据客户风险水平，实施差异化的定价。另一方面，我行对小企业贷款FTP利率较大中型企业低30BP，从源头上降低了企业的融资成本。同时，我行拥有小企业专营团队，并配备有政采贷专职市场营销人员，能够为小微企业客户提供专业服</w:t>
      </w:r>
      <w:r>
        <w:rPr>
          <w:rFonts w:hint="eastAsia" w:ascii="仿宋" w:hAnsi="仿宋" w:eastAsia="仿宋" w:cs="仿宋"/>
          <w:sz w:val="24"/>
          <w:szCs w:val="24"/>
          <w:lang w:val="zh-TW" w:eastAsia="zh-TW" w:bidi="zh-TW"/>
        </w:rPr>
        <w:t>务。</w:t>
      </w:r>
    </w:p>
    <w:p w14:paraId="3858DBA3">
      <w:pPr>
        <w:spacing w:line="240" w:lineRule="auto"/>
        <w:jc w:val="center"/>
        <w:outlineLvl w:val="9"/>
        <w:rPr>
          <w:rFonts w:hint="eastAsia" w:ascii="仿宋" w:hAnsi="仿宋" w:eastAsia="仿宋" w:cs="仿宋"/>
          <w:b/>
          <w:bCs/>
          <w:color w:val="000000"/>
          <w:sz w:val="28"/>
          <w:szCs w:val="36"/>
          <w:lang w:val="zh-TW" w:bidi="zh-TW"/>
        </w:rPr>
      </w:pPr>
      <w:bookmarkStart w:id="199" w:name="_Toc13836"/>
      <w:r>
        <w:rPr>
          <w:rFonts w:hint="eastAsia" w:ascii="仿宋" w:hAnsi="仿宋" w:eastAsia="仿宋" w:cs="仿宋"/>
          <w:b/>
          <w:bCs/>
          <w:color w:val="000000"/>
          <w:sz w:val="28"/>
          <w:szCs w:val="36"/>
          <w:lang w:val="zh-TW" w:bidi="zh-TW"/>
        </w:rPr>
        <w:t>交通银行政府采购融资贷款联系方式</w:t>
      </w:r>
      <w:bookmarkEnd w:id="199"/>
    </w:p>
    <w:p w14:paraId="64E05320">
      <w:pPr>
        <w:spacing w:line="240" w:lineRule="auto"/>
        <w:jc w:val="center"/>
        <w:outlineLvl w:val="9"/>
        <w:rPr>
          <w:rFonts w:hint="eastAsia" w:ascii="仿宋" w:hAnsi="仿宋" w:eastAsia="仿宋" w:cs="仿宋"/>
          <w:b/>
          <w:bCs/>
          <w:color w:val="000000"/>
          <w:sz w:val="28"/>
          <w:szCs w:val="36"/>
          <w:lang w:val="zh-TW" w:bidi="zh-TW"/>
        </w:rPr>
      </w:pPr>
      <w:bookmarkStart w:id="200" w:name="_Toc22968"/>
      <w:r>
        <w:rPr>
          <w:rFonts w:hint="eastAsia" w:ascii="仿宋" w:hAnsi="仿宋" w:eastAsia="仿宋" w:cs="仿宋"/>
          <w:b/>
          <w:bCs/>
          <w:color w:val="000000"/>
          <w:sz w:val="28"/>
          <w:szCs w:val="36"/>
          <w:lang w:val="zh-TW" w:bidi="zh-TW"/>
        </w:rPr>
        <w:t>及融资产品介绍</w:t>
      </w:r>
      <w:bookmarkEnd w:id="200"/>
    </w:p>
    <w:p w14:paraId="3A7ABB63">
      <w:pPr>
        <w:ind w:firstLine="378" w:firstLineChars="200"/>
        <w:outlineLvl w:val="9"/>
        <w:rPr>
          <w:rFonts w:hint="eastAsia" w:ascii="仿宋" w:hAnsi="仿宋" w:eastAsia="仿宋" w:cs="仿宋"/>
          <w:sz w:val="22"/>
          <w:szCs w:val="22"/>
          <w:lang w:val="zh-TW" w:eastAsia="zh-TW" w:bidi="zh-TW"/>
        </w:rPr>
      </w:pPr>
      <w:bookmarkStart w:id="201" w:name="_Toc16267"/>
      <w:r>
        <w:rPr>
          <w:rFonts w:hint="eastAsia" w:ascii="仿宋" w:hAnsi="仿宋" w:eastAsia="仿宋" w:cs="仿宋"/>
          <w:sz w:val="22"/>
          <w:szCs w:val="22"/>
          <w:lang w:val="zh-TW" w:eastAsia="zh-TW" w:bidi="zh-TW"/>
        </w:rPr>
        <w:t>一、联系方式：</w:t>
      </w:r>
      <w:bookmarkEnd w:id="201"/>
    </w:p>
    <w:tbl>
      <w:tblPr>
        <w:tblStyle w:val="6"/>
        <w:tblW w:w="86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417"/>
        <w:gridCol w:w="2228"/>
        <w:gridCol w:w="3044"/>
        <w:gridCol w:w="825"/>
      </w:tblGrid>
      <w:tr w14:paraId="67FDA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noWrap w:val="0"/>
            <w:vAlign w:val="center"/>
          </w:tcPr>
          <w:p w14:paraId="06DF7F28">
            <w:pP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联系人</w:t>
            </w:r>
          </w:p>
        </w:tc>
        <w:tc>
          <w:tcPr>
            <w:tcW w:w="1417" w:type="dxa"/>
            <w:noWrap w:val="0"/>
            <w:vAlign w:val="center"/>
          </w:tcPr>
          <w:p w14:paraId="1763D513">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职务</w:t>
            </w:r>
          </w:p>
        </w:tc>
        <w:tc>
          <w:tcPr>
            <w:tcW w:w="2228" w:type="dxa"/>
            <w:noWrap w:val="0"/>
            <w:vAlign w:val="center"/>
          </w:tcPr>
          <w:p w14:paraId="4FA918BA">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地址</w:t>
            </w:r>
          </w:p>
        </w:tc>
        <w:tc>
          <w:tcPr>
            <w:tcW w:w="3044" w:type="dxa"/>
            <w:noWrap w:val="0"/>
            <w:vAlign w:val="center"/>
          </w:tcPr>
          <w:p w14:paraId="22D7ADF6">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电话</w:t>
            </w:r>
          </w:p>
        </w:tc>
        <w:tc>
          <w:tcPr>
            <w:tcW w:w="825" w:type="dxa"/>
            <w:noWrap w:val="0"/>
            <w:vAlign w:val="center"/>
          </w:tcPr>
          <w:p w14:paraId="2E8635FC">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备注</w:t>
            </w:r>
          </w:p>
        </w:tc>
      </w:tr>
      <w:tr w14:paraId="6F0C8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noWrap w:val="0"/>
            <w:vAlign w:val="center"/>
          </w:tcPr>
          <w:p w14:paraId="44FED4D8">
            <w:pP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杨静</w:t>
            </w:r>
          </w:p>
        </w:tc>
        <w:tc>
          <w:tcPr>
            <w:tcW w:w="1417" w:type="dxa"/>
            <w:noWrap w:val="0"/>
            <w:vAlign w:val="center"/>
          </w:tcPr>
          <w:p w14:paraId="5C6016F9">
            <w:pP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客户经理</w:t>
            </w:r>
          </w:p>
        </w:tc>
        <w:tc>
          <w:tcPr>
            <w:tcW w:w="2228" w:type="dxa"/>
            <w:noWrap w:val="0"/>
            <w:vAlign w:val="center"/>
          </w:tcPr>
          <w:p w14:paraId="17EB2995">
            <w:pP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开元大道226号</w:t>
            </w:r>
          </w:p>
        </w:tc>
        <w:tc>
          <w:tcPr>
            <w:tcW w:w="3044" w:type="dxa"/>
            <w:noWrap w:val="0"/>
            <w:vAlign w:val="center"/>
          </w:tcPr>
          <w:p w14:paraId="751A7077">
            <w:pP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63272215/13592088356</w:t>
            </w:r>
          </w:p>
        </w:tc>
        <w:tc>
          <w:tcPr>
            <w:tcW w:w="825" w:type="dxa"/>
            <w:noWrap w:val="0"/>
            <w:vAlign w:val="center"/>
          </w:tcPr>
          <w:p w14:paraId="55B0F8AF">
            <w:pPr>
              <w:ind w:firstLine="378" w:firstLineChars="200"/>
              <w:rPr>
                <w:rFonts w:hint="eastAsia" w:ascii="仿宋" w:hAnsi="仿宋" w:eastAsia="仿宋" w:cs="仿宋"/>
                <w:sz w:val="22"/>
                <w:szCs w:val="22"/>
                <w:lang w:val="zh-TW" w:eastAsia="zh-TW" w:bidi="zh-TW"/>
              </w:rPr>
            </w:pPr>
          </w:p>
        </w:tc>
      </w:tr>
      <w:tr w14:paraId="71A79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noWrap w:val="0"/>
            <w:vAlign w:val="center"/>
          </w:tcPr>
          <w:p w14:paraId="0E6F8C27">
            <w:pP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魏柴扉</w:t>
            </w:r>
          </w:p>
        </w:tc>
        <w:tc>
          <w:tcPr>
            <w:tcW w:w="1417" w:type="dxa"/>
            <w:noWrap w:val="0"/>
            <w:vAlign w:val="center"/>
          </w:tcPr>
          <w:p w14:paraId="0210AEC2">
            <w:pP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客户经理</w:t>
            </w:r>
          </w:p>
        </w:tc>
        <w:tc>
          <w:tcPr>
            <w:tcW w:w="2228" w:type="dxa"/>
            <w:noWrap w:val="0"/>
            <w:vAlign w:val="center"/>
          </w:tcPr>
          <w:p w14:paraId="52251CA7">
            <w:pP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开元大道226号</w:t>
            </w:r>
          </w:p>
        </w:tc>
        <w:tc>
          <w:tcPr>
            <w:tcW w:w="3044" w:type="dxa"/>
            <w:noWrap w:val="0"/>
            <w:vAlign w:val="center"/>
          </w:tcPr>
          <w:p w14:paraId="454160DA">
            <w:pP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63272105/18837923035</w:t>
            </w:r>
          </w:p>
        </w:tc>
        <w:tc>
          <w:tcPr>
            <w:tcW w:w="825" w:type="dxa"/>
            <w:noWrap w:val="0"/>
            <w:vAlign w:val="center"/>
          </w:tcPr>
          <w:p w14:paraId="2EE6943C">
            <w:pPr>
              <w:ind w:firstLine="378" w:firstLineChars="200"/>
              <w:rPr>
                <w:rFonts w:hint="eastAsia" w:ascii="仿宋" w:hAnsi="仿宋" w:eastAsia="仿宋" w:cs="仿宋"/>
                <w:sz w:val="22"/>
                <w:szCs w:val="22"/>
                <w:lang w:val="zh-TW" w:eastAsia="zh-TW" w:bidi="zh-TW"/>
              </w:rPr>
            </w:pPr>
          </w:p>
        </w:tc>
      </w:tr>
    </w:tbl>
    <w:p w14:paraId="08A9F7B4">
      <w:pPr>
        <w:ind w:firstLine="378" w:firstLineChars="200"/>
        <w:outlineLvl w:val="9"/>
        <w:rPr>
          <w:rFonts w:hint="eastAsia" w:ascii="仿宋" w:hAnsi="仿宋" w:eastAsia="仿宋" w:cs="仿宋"/>
          <w:sz w:val="22"/>
          <w:szCs w:val="22"/>
          <w:lang w:val="zh-TW" w:eastAsia="zh-TW" w:bidi="zh-TW"/>
        </w:rPr>
      </w:pPr>
      <w:bookmarkStart w:id="202" w:name="_Toc189"/>
      <w:r>
        <w:rPr>
          <w:rFonts w:hint="eastAsia" w:ascii="仿宋" w:hAnsi="仿宋" w:eastAsia="仿宋" w:cs="仿宋"/>
          <w:sz w:val="22"/>
          <w:szCs w:val="22"/>
          <w:lang w:val="zh-TW" w:eastAsia="zh-TW" w:bidi="zh-TW"/>
        </w:rPr>
        <w:t>二、融资产品介绍</w:t>
      </w:r>
      <w:bookmarkEnd w:id="202"/>
    </w:p>
    <w:p w14:paraId="7736A29F">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1、产品介绍</w:t>
      </w:r>
    </w:p>
    <w:p w14:paraId="661C4D59">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“政府采购贷款”是指交通银行为洛阳地区政府采购提供货物、服务的小微企业提供的，以财政性资金作为还款来源的订单融资。是供应商中标即可申请的一种简易融资业务。授信期限一般为一年。</w:t>
      </w:r>
    </w:p>
    <w:p w14:paraId="36BBA7FA">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2、申请路径</w:t>
      </w:r>
    </w:p>
    <w:p w14:paraId="40DA87A0">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客户中标后即可向我行联系人申请，由我行专业团队上门拜访调查、收集授信资料（参考小企业授信资料清单）及协助开立银行账户，同时做好后续的审批跟进、放款及贷后管理流程。</w:t>
      </w:r>
    </w:p>
    <w:p w14:paraId="245FB33E">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3、利率</w:t>
      </w:r>
    </w:p>
    <w:p w14:paraId="7B81249F">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执行普惠小微企业贷款利率。</w:t>
      </w:r>
    </w:p>
    <w:p w14:paraId="44FB8AB4">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4、优惠政策</w:t>
      </w:r>
    </w:p>
    <w:p w14:paraId="2AD39FAA">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（1）在利率水平上，对于优质客户给予利率优惠。</w:t>
      </w:r>
    </w:p>
    <w:p w14:paraId="7E7E4EC4">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（2）建立授信审批专用通道，3日内完成放款，优化各项流程。对疫情防控关键领域倾斜信贷资源，保障信贷投放。</w:t>
      </w:r>
    </w:p>
    <w:p w14:paraId="6C9D5791">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（4）一般户及监管账户免开户手续费、免U盾使用费。</w:t>
      </w:r>
    </w:p>
    <w:p w14:paraId="6234CCD6">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（5）开户流程上给予绿色通道，保证办理时效。</w:t>
      </w:r>
    </w:p>
    <w:p w14:paraId="6E888626">
      <w:pPr>
        <w:ind w:firstLine="378" w:firstLineChars="200"/>
        <w:rPr>
          <w:rFonts w:hint="eastAsia" w:ascii="仿宋" w:hAnsi="仿宋" w:eastAsia="仿宋" w:cs="仿宋"/>
          <w:b/>
          <w:bCs/>
          <w:color w:val="000000"/>
          <w:sz w:val="28"/>
          <w:szCs w:val="36"/>
          <w:lang w:val="zh-TW" w:bidi="zh-TW"/>
        </w:rPr>
      </w:pPr>
      <w:r>
        <w:rPr>
          <w:rFonts w:hint="eastAsia" w:ascii="仿宋" w:hAnsi="仿宋" w:eastAsia="仿宋" w:cs="仿宋"/>
          <w:sz w:val="22"/>
          <w:szCs w:val="22"/>
          <w:lang w:val="zh-TW" w:eastAsia="zh-TW" w:bidi="zh-TW"/>
        </w:rPr>
        <w:t>（6）专业团队对产品进行对接，保证业务全流程优质服务。</w:t>
      </w:r>
    </w:p>
    <w:p w14:paraId="53A4550D">
      <w:pPr>
        <w:spacing w:line="240" w:lineRule="auto"/>
        <w:jc w:val="center"/>
        <w:outlineLvl w:val="9"/>
        <w:rPr>
          <w:rFonts w:hint="eastAsia" w:ascii="仿宋" w:hAnsi="仿宋" w:eastAsia="仿宋" w:cs="仿宋"/>
          <w:b/>
          <w:bCs/>
          <w:color w:val="000000"/>
          <w:sz w:val="28"/>
          <w:szCs w:val="36"/>
          <w:lang w:val="zh-TW" w:bidi="zh-TW"/>
        </w:rPr>
      </w:pPr>
      <w:bookmarkStart w:id="203" w:name="_Toc30107"/>
      <w:r>
        <w:rPr>
          <w:rFonts w:hint="eastAsia" w:ascii="仿宋" w:hAnsi="仿宋" w:eastAsia="仿宋" w:cs="仿宋"/>
          <w:b/>
          <w:bCs/>
          <w:color w:val="000000"/>
          <w:sz w:val="28"/>
          <w:szCs w:val="36"/>
          <w:lang w:val="zh-TW" w:bidi="zh-TW"/>
        </w:rPr>
        <w:t>浦发银行洛阳分行政府采购融资贷联系方式</w:t>
      </w:r>
      <w:bookmarkEnd w:id="203"/>
    </w:p>
    <w:p w14:paraId="2129A431">
      <w:pPr>
        <w:spacing w:line="240" w:lineRule="auto"/>
        <w:jc w:val="center"/>
        <w:outlineLvl w:val="9"/>
        <w:rPr>
          <w:rFonts w:hint="eastAsia" w:ascii="仿宋" w:hAnsi="仿宋" w:eastAsia="仿宋" w:cs="仿宋"/>
          <w:b/>
          <w:bCs/>
          <w:color w:val="000000"/>
          <w:sz w:val="28"/>
          <w:szCs w:val="36"/>
          <w:lang w:val="zh-TW" w:bidi="zh-TW"/>
        </w:rPr>
      </w:pPr>
      <w:bookmarkStart w:id="204" w:name="_Toc31828"/>
      <w:r>
        <w:rPr>
          <w:rFonts w:hint="eastAsia" w:ascii="仿宋" w:hAnsi="仿宋" w:eastAsia="仿宋" w:cs="仿宋"/>
          <w:b/>
          <w:bCs/>
          <w:color w:val="000000"/>
          <w:sz w:val="28"/>
          <w:szCs w:val="36"/>
          <w:lang w:val="zh-TW" w:bidi="zh-TW"/>
        </w:rPr>
        <w:t>及融资产品介绍</w:t>
      </w:r>
      <w:bookmarkEnd w:id="204"/>
    </w:p>
    <w:p w14:paraId="0D87E5C1">
      <w:pPr>
        <w:ind w:firstLine="378" w:firstLineChars="200"/>
        <w:outlineLvl w:val="9"/>
        <w:rPr>
          <w:rFonts w:hint="eastAsia" w:ascii="仿宋" w:hAnsi="仿宋" w:eastAsia="仿宋" w:cs="仿宋"/>
          <w:sz w:val="22"/>
          <w:szCs w:val="22"/>
          <w:lang w:val="zh-TW" w:bidi="zh-TW"/>
        </w:rPr>
      </w:pPr>
      <w:bookmarkStart w:id="205" w:name="_Toc19484"/>
      <w:r>
        <w:rPr>
          <w:rFonts w:hint="eastAsia" w:ascii="仿宋" w:hAnsi="仿宋" w:eastAsia="仿宋" w:cs="仿宋"/>
          <w:sz w:val="22"/>
          <w:szCs w:val="22"/>
          <w:lang w:val="zh-TW" w:eastAsia="zh-TW" w:bidi="zh-TW"/>
        </w:rPr>
        <w:t>一、联系方式</w:t>
      </w:r>
      <w:bookmarkEnd w:id="205"/>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14:paraId="758FD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top"/>
          </w:tcPr>
          <w:p w14:paraId="74C8AF55">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联系人</w:t>
            </w:r>
          </w:p>
        </w:tc>
        <w:tc>
          <w:tcPr>
            <w:tcW w:w="1704" w:type="dxa"/>
            <w:noWrap w:val="0"/>
            <w:vAlign w:val="top"/>
          </w:tcPr>
          <w:p w14:paraId="4939DDA8">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职务</w:t>
            </w:r>
          </w:p>
        </w:tc>
        <w:tc>
          <w:tcPr>
            <w:tcW w:w="1704" w:type="dxa"/>
            <w:noWrap w:val="0"/>
            <w:vAlign w:val="top"/>
          </w:tcPr>
          <w:p w14:paraId="5E5CFB8C">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地址</w:t>
            </w:r>
          </w:p>
        </w:tc>
        <w:tc>
          <w:tcPr>
            <w:tcW w:w="1705" w:type="dxa"/>
            <w:noWrap w:val="0"/>
            <w:vAlign w:val="top"/>
          </w:tcPr>
          <w:p w14:paraId="69F164B3">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电话</w:t>
            </w:r>
          </w:p>
        </w:tc>
        <w:tc>
          <w:tcPr>
            <w:tcW w:w="1705" w:type="dxa"/>
            <w:noWrap w:val="0"/>
            <w:vAlign w:val="top"/>
          </w:tcPr>
          <w:p w14:paraId="43967479">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备注</w:t>
            </w:r>
          </w:p>
        </w:tc>
      </w:tr>
      <w:tr w14:paraId="17DC8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top"/>
          </w:tcPr>
          <w:p w14:paraId="7E140776">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苏冰</w:t>
            </w:r>
          </w:p>
        </w:tc>
        <w:tc>
          <w:tcPr>
            <w:tcW w:w="1704" w:type="dxa"/>
            <w:noWrap w:val="0"/>
            <w:vAlign w:val="top"/>
          </w:tcPr>
          <w:p w14:paraId="0AEE9BA7">
            <w:pP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高级产品经理</w:t>
            </w:r>
          </w:p>
        </w:tc>
        <w:tc>
          <w:tcPr>
            <w:tcW w:w="1704" w:type="dxa"/>
            <w:noWrap w:val="0"/>
            <w:vAlign w:val="top"/>
          </w:tcPr>
          <w:p w14:paraId="64EED1A0">
            <w:pP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洛阳市洛龙区展览路211号</w:t>
            </w:r>
          </w:p>
        </w:tc>
        <w:tc>
          <w:tcPr>
            <w:tcW w:w="1705" w:type="dxa"/>
            <w:noWrap w:val="0"/>
            <w:vAlign w:val="top"/>
          </w:tcPr>
          <w:p w14:paraId="67C63027">
            <w:pP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18623790623；0379-63037517</w:t>
            </w:r>
          </w:p>
        </w:tc>
        <w:tc>
          <w:tcPr>
            <w:tcW w:w="1705" w:type="dxa"/>
            <w:noWrap w:val="0"/>
            <w:vAlign w:val="top"/>
          </w:tcPr>
          <w:p w14:paraId="6396E635">
            <w:pP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微信同手机号</w:t>
            </w:r>
          </w:p>
        </w:tc>
      </w:tr>
      <w:tr w14:paraId="00C47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top"/>
          </w:tcPr>
          <w:p w14:paraId="5339D2A8">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汪乐阳</w:t>
            </w:r>
          </w:p>
        </w:tc>
        <w:tc>
          <w:tcPr>
            <w:tcW w:w="1704" w:type="dxa"/>
            <w:noWrap w:val="0"/>
            <w:vAlign w:val="top"/>
          </w:tcPr>
          <w:p w14:paraId="304AC777">
            <w:pP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普惠金融部总经理</w:t>
            </w:r>
          </w:p>
        </w:tc>
        <w:tc>
          <w:tcPr>
            <w:tcW w:w="1704" w:type="dxa"/>
            <w:noWrap w:val="0"/>
            <w:vAlign w:val="top"/>
          </w:tcPr>
          <w:p w14:paraId="39951B60">
            <w:pP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洛阳市洛龙区展览路211号</w:t>
            </w:r>
          </w:p>
        </w:tc>
        <w:tc>
          <w:tcPr>
            <w:tcW w:w="1705" w:type="dxa"/>
            <w:noWrap w:val="0"/>
            <w:vAlign w:val="top"/>
          </w:tcPr>
          <w:p w14:paraId="1178B9AE">
            <w:pP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13698889966</w:t>
            </w:r>
          </w:p>
          <w:p w14:paraId="7A0FFEEE">
            <w:pP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63037526</w:t>
            </w:r>
          </w:p>
        </w:tc>
        <w:tc>
          <w:tcPr>
            <w:tcW w:w="1705" w:type="dxa"/>
            <w:noWrap w:val="0"/>
            <w:vAlign w:val="top"/>
          </w:tcPr>
          <w:p w14:paraId="0E66D4D3">
            <w:pP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微信同手机号</w:t>
            </w:r>
          </w:p>
        </w:tc>
      </w:tr>
    </w:tbl>
    <w:p w14:paraId="4628687B">
      <w:pPr>
        <w:ind w:firstLine="378" w:firstLineChars="200"/>
        <w:outlineLvl w:val="9"/>
        <w:rPr>
          <w:rFonts w:hint="eastAsia" w:ascii="仿宋" w:hAnsi="仿宋" w:eastAsia="仿宋" w:cs="仿宋"/>
          <w:sz w:val="22"/>
          <w:szCs w:val="22"/>
          <w:lang w:val="zh-TW" w:eastAsia="zh-TW" w:bidi="zh-TW"/>
        </w:rPr>
      </w:pPr>
      <w:bookmarkStart w:id="206" w:name="_Toc13593"/>
      <w:r>
        <w:rPr>
          <w:rFonts w:hint="eastAsia" w:ascii="仿宋" w:hAnsi="仿宋" w:eastAsia="仿宋" w:cs="仿宋"/>
          <w:sz w:val="22"/>
          <w:szCs w:val="22"/>
          <w:lang w:val="zh-TW" w:eastAsia="zh-TW" w:bidi="zh-TW"/>
        </w:rPr>
        <w:t>二、融资产品介绍</w:t>
      </w:r>
      <w:bookmarkEnd w:id="206"/>
    </w:p>
    <w:p w14:paraId="4A586F85">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（一）产品介绍：</w:t>
      </w:r>
    </w:p>
    <w:p w14:paraId="17671C65">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“政采e贷”是由洛阳市财政局与浦发银行共同开发，基于政府采购合同，为供应商提供的信用贷款。</w:t>
      </w:r>
    </w:p>
    <w:p w14:paraId="73ACB980">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（二）产品优势：</w:t>
      </w:r>
    </w:p>
    <w:p w14:paraId="1AD37345">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1、融资期限最长可达1年。</w:t>
      </w:r>
    </w:p>
    <w:p w14:paraId="0A0976D1">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2、货物、服务类最高1000万元，工程类最高1500万元。</w:t>
      </w:r>
    </w:p>
    <w:p w14:paraId="56658799">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3、信用贷款，低门槛，循环额度，随借随还。</w:t>
      </w:r>
    </w:p>
    <w:p w14:paraId="3037CDBA">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4、业务流程简单，在线秒级放款，尊享快捷体验。</w:t>
      </w:r>
    </w:p>
    <w:p w14:paraId="18949F03">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5、总行补贴，融资利率有优惠。</w:t>
      </w:r>
    </w:p>
    <w:p w14:paraId="290A4FDB">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（三）适用客户：</w:t>
      </w:r>
    </w:p>
    <w:p w14:paraId="7F880F2E">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1、在河南省境内注册的供应商，未列入河南省政府采购供应商黑名单。</w:t>
      </w:r>
    </w:p>
    <w:p w14:paraId="0D89C4EE">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2、人民银行征信系统无逾期、垫款等情况，且无其他不良信用记录。</w:t>
      </w:r>
    </w:p>
    <w:p w14:paraId="50040E22">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3、政府采购中标区域：</w:t>
      </w:r>
    </w:p>
    <w:p w14:paraId="58E09AA9">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（1）河南省省直、郑州市（含市内各区）项目</w:t>
      </w:r>
    </w:p>
    <w:p w14:paraId="5B58D6C8">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（2）洛阳市市直项目</w:t>
      </w:r>
    </w:p>
    <w:p w14:paraId="262E79DB">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（3）河南其他地市市直项目</w:t>
      </w:r>
    </w:p>
    <w:p w14:paraId="31D10F96">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（4）林州、长垣、新郑、禹州中标项目。</w:t>
      </w:r>
    </w:p>
    <w:p w14:paraId="173C6F14">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（四）申请路径</w:t>
      </w:r>
    </w:p>
    <w:p w14:paraId="729C1F00">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1、供应商首先与联系人联系，提供企业基本证件、征信报告、中标合同、采购合同等进行客户准入和额度测算。</w:t>
      </w:r>
    </w:p>
    <w:p w14:paraId="690920A3">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2、供应商来浦发银行开户，在政府采购合同中填写浦发银行账号。（若客户已签署其他银行账号，则需要联系浦发银行进行备案银行账号变更）</w:t>
      </w:r>
    </w:p>
    <w:p w14:paraId="3BBF0011">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3、授信审查和放款（一周时间）</w:t>
      </w:r>
    </w:p>
    <w:p w14:paraId="1C4D8F65">
      <w:pPr>
        <w:ind w:firstLine="378" w:firstLineChars="200"/>
        <w:rPr>
          <w:rFonts w:hint="eastAsia" w:ascii="仿宋" w:hAnsi="仿宋" w:eastAsia="仿宋" w:cs="仿宋"/>
          <w:sz w:val="22"/>
          <w:szCs w:val="22"/>
          <w:lang w:val="zh-TW" w:eastAsia="zh-TW" w:bidi="zh-TW"/>
        </w:rPr>
      </w:pPr>
    </w:p>
    <w:p w14:paraId="7F4FC032">
      <w:pPr>
        <w:spacing w:line="360" w:lineRule="auto"/>
        <w:jc w:val="center"/>
        <w:outlineLvl w:val="9"/>
        <w:rPr>
          <w:rFonts w:hint="eastAsia" w:ascii="仿宋" w:hAnsi="仿宋" w:eastAsia="仿宋" w:cs="仿宋"/>
          <w:b/>
          <w:bCs/>
          <w:color w:val="000000"/>
          <w:sz w:val="28"/>
          <w:szCs w:val="36"/>
          <w:lang w:val="zh-TW" w:bidi="zh-TW"/>
        </w:rPr>
      </w:pPr>
      <w:bookmarkStart w:id="207" w:name="_Toc9361"/>
      <w:r>
        <w:rPr>
          <w:rFonts w:hint="eastAsia" w:ascii="仿宋" w:hAnsi="仿宋" w:eastAsia="仿宋" w:cs="仿宋"/>
          <w:b/>
          <w:bCs/>
          <w:color w:val="000000"/>
          <w:sz w:val="28"/>
          <w:szCs w:val="36"/>
          <w:lang w:val="zh-TW" w:bidi="zh-TW"/>
        </w:rPr>
        <w:t>邮储银行政府采购融资贷联系方式</w:t>
      </w:r>
      <w:bookmarkEnd w:id="207"/>
    </w:p>
    <w:p w14:paraId="1060C8A1">
      <w:pPr>
        <w:spacing w:line="360" w:lineRule="auto"/>
        <w:jc w:val="center"/>
        <w:outlineLvl w:val="9"/>
        <w:rPr>
          <w:rFonts w:hint="eastAsia" w:ascii="仿宋" w:hAnsi="仿宋" w:eastAsia="仿宋" w:cs="仿宋"/>
          <w:b/>
          <w:bCs/>
          <w:color w:val="000000"/>
          <w:sz w:val="28"/>
          <w:szCs w:val="36"/>
          <w:lang w:val="zh-TW" w:bidi="zh-TW"/>
        </w:rPr>
      </w:pPr>
      <w:bookmarkStart w:id="208" w:name="_Toc31888"/>
      <w:r>
        <w:rPr>
          <w:rFonts w:hint="eastAsia" w:ascii="仿宋" w:hAnsi="仿宋" w:eastAsia="仿宋" w:cs="仿宋"/>
          <w:b/>
          <w:bCs/>
          <w:color w:val="000000"/>
          <w:sz w:val="28"/>
          <w:szCs w:val="36"/>
          <w:lang w:val="zh-TW" w:bidi="zh-TW"/>
        </w:rPr>
        <w:t>及融资产品介绍</w:t>
      </w:r>
      <w:bookmarkEnd w:id="208"/>
    </w:p>
    <w:p w14:paraId="54724C6B">
      <w:pPr>
        <w:numPr>
          <w:ilvl w:val="0"/>
          <w:numId w:val="3"/>
        </w:numPr>
        <w:outlineLvl w:val="9"/>
        <w:rPr>
          <w:rFonts w:hint="eastAsia" w:ascii="仿宋" w:hAnsi="仿宋" w:eastAsia="仿宋" w:cs="仿宋"/>
          <w:sz w:val="22"/>
          <w:szCs w:val="22"/>
          <w:lang w:val="zh-TW" w:eastAsia="zh-TW" w:bidi="zh-TW"/>
        </w:rPr>
      </w:pPr>
      <w:bookmarkStart w:id="209" w:name="_Toc20559"/>
      <w:r>
        <w:rPr>
          <w:rFonts w:hint="eastAsia" w:ascii="仿宋" w:hAnsi="仿宋" w:eastAsia="仿宋" w:cs="仿宋"/>
          <w:sz w:val="22"/>
          <w:szCs w:val="22"/>
          <w:lang w:val="zh-TW" w:eastAsia="zh-TW" w:bidi="zh-TW"/>
        </w:rPr>
        <w:t>联系方式：</w:t>
      </w:r>
      <w:bookmarkEnd w:id="209"/>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4"/>
        <w:gridCol w:w="1624"/>
        <w:gridCol w:w="1775"/>
        <w:gridCol w:w="2025"/>
        <w:gridCol w:w="1474"/>
      </w:tblGrid>
      <w:tr w14:paraId="49264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624" w:type="dxa"/>
            <w:noWrap w:val="0"/>
            <w:vAlign w:val="top"/>
          </w:tcPr>
          <w:p w14:paraId="13057560">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联系人</w:t>
            </w:r>
          </w:p>
        </w:tc>
        <w:tc>
          <w:tcPr>
            <w:tcW w:w="1624" w:type="dxa"/>
            <w:noWrap w:val="0"/>
            <w:vAlign w:val="top"/>
          </w:tcPr>
          <w:p w14:paraId="00C359E3">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职务</w:t>
            </w:r>
          </w:p>
        </w:tc>
        <w:tc>
          <w:tcPr>
            <w:tcW w:w="1775" w:type="dxa"/>
            <w:noWrap w:val="0"/>
            <w:vAlign w:val="top"/>
          </w:tcPr>
          <w:p w14:paraId="6AA88BD1">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地址</w:t>
            </w:r>
          </w:p>
        </w:tc>
        <w:tc>
          <w:tcPr>
            <w:tcW w:w="2025" w:type="dxa"/>
            <w:noWrap w:val="0"/>
            <w:vAlign w:val="top"/>
          </w:tcPr>
          <w:p w14:paraId="565DB29D">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电话</w:t>
            </w:r>
          </w:p>
        </w:tc>
        <w:tc>
          <w:tcPr>
            <w:tcW w:w="1474" w:type="dxa"/>
            <w:noWrap w:val="0"/>
            <w:vAlign w:val="top"/>
          </w:tcPr>
          <w:p w14:paraId="380760A5">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备注</w:t>
            </w:r>
          </w:p>
        </w:tc>
      </w:tr>
      <w:tr w14:paraId="182CB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7" w:hRule="atLeast"/>
        </w:trPr>
        <w:tc>
          <w:tcPr>
            <w:tcW w:w="1624" w:type="dxa"/>
            <w:noWrap w:val="0"/>
            <w:vAlign w:val="top"/>
          </w:tcPr>
          <w:p w14:paraId="5BBBE989">
            <w:pPr>
              <w:jc w:val="left"/>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李幸丽</w:t>
            </w:r>
          </w:p>
        </w:tc>
        <w:tc>
          <w:tcPr>
            <w:tcW w:w="1624" w:type="dxa"/>
            <w:noWrap w:val="0"/>
            <w:vAlign w:val="top"/>
          </w:tcPr>
          <w:p w14:paraId="01F539D5">
            <w:pPr>
              <w:jc w:val="left"/>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总经理</w:t>
            </w:r>
          </w:p>
        </w:tc>
        <w:tc>
          <w:tcPr>
            <w:tcW w:w="1775" w:type="dxa"/>
            <w:noWrap w:val="0"/>
            <w:vAlign w:val="top"/>
          </w:tcPr>
          <w:p w14:paraId="679290F2">
            <w:pPr>
              <w:jc w:val="left"/>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西工区中州中路216号邮政大厦</w:t>
            </w:r>
          </w:p>
        </w:tc>
        <w:tc>
          <w:tcPr>
            <w:tcW w:w="2025" w:type="dxa"/>
            <w:noWrap w:val="0"/>
            <w:vAlign w:val="top"/>
          </w:tcPr>
          <w:p w14:paraId="7AA82C22">
            <w:pPr>
              <w:jc w:val="left"/>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13838836699/</w:t>
            </w:r>
          </w:p>
          <w:p w14:paraId="2C43795F">
            <w:pPr>
              <w:jc w:val="left"/>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63290358</w:t>
            </w:r>
          </w:p>
        </w:tc>
        <w:tc>
          <w:tcPr>
            <w:tcW w:w="1474" w:type="dxa"/>
            <w:noWrap w:val="0"/>
            <w:vAlign w:val="top"/>
          </w:tcPr>
          <w:p w14:paraId="7E92DEB3">
            <w:pPr>
              <w:jc w:val="center"/>
              <w:rPr>
                <w:rFonts w:hint="eastAsia" w:ascii="仿宋" w:hAnsi="仿宋" w:eastAsia="仿宋" w:cs="仿宋"/>
                <w:sz w:val="22"/>
                <w:szCs w:val="22"/>
                <w:lang w:val="zh-TW" w:eastAsia="zh-TW" w:bidi="zh-TW"/>
              </w:rPr>
            </w:pPr>
          </w:p>
        </w:tc>
      </w:tr>
      <w:tr w14:paraId="18C7C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4" w:type="dxa"/>
            <w:noWrap w:val="0"/>
            <w:vAlign w:val="top"/>
          </w:tcPr>
          <w:p w14:paraId="5807694B">
            <w:pPr>
              <w:jc w:val="left"/>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杨晓滢</w:t>
            </w:r>
          </w:p>
        </w:tc>
        <w:tc>
          <w:tcPr>
            <w:tcW w:w="1624" w:type="dxa"/>
            <w:noWrap w:val="0"/>
            <w:vAlign w:val="top"/>
          </w:tcPr>
          <w:p w14:paraId="50DBE868">
            <w:pPr>
              <w:jc w:val="left"/>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产品经理</w:t>
            </w:r>
          </w:p>
        </w:tc>
        <w:tc>
          <w:tcPr>
            <w:tcW w:w="1775" w:type="dxa"/>
            <w:noWrap w:val="0"/>
            <w:vAlign w:val="top"/>
          </w:tcPr>
          <w:p w14:paraId="595449FD">
            <w:pPr>
              <w:jc w:val="left"/>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西工区中州中路216号邮政大厦</w:t>
            </w:r>
          </w:p>
        </w:tc>
        <w:tc>
          <w:tcPr>
            <w:tcW w:w="2025" w:type="dxa"/>
            <w:noWrap w:val="0"/>
            <w:vAlign w:val="top"/>
          </w:tcPr>
          <w:p w14:paraId="2BFF1A4D">
            <w:pPr>
              <w:jc w:val="left"/>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13523600357/</w:t>
            </w:r>
          </w:p>
          <w:p w14:paraId="1F66339E">
            <w:pPr>
              <w:jc w:val="left"/>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63290358</w:t>
            </w:r>
          </w:p>
        </w:tc>
        <w:tc>
          <w:tcPr>
            <w:tcW w:w="1474" w:type="dxa"/>
            <w:noWrap w:val="0"/>
            <w:vAlign w:val="top"/>
          </w:tcPr>
          <w:p w14:paraId="56FB25A9">
            <w:pPr>
              <w:jc w:val="center"/>
              <w:rPr>
                <w:rFonts w:hint="eastAsia" w:ascii="仿宋" w:hAnsi="仿宋" w:eastAsia="仿宋" w:cs="仿宋"/>
                <w:sz w:val="22"/>
                <w:szCs w:val="22"/>
                <w:lang w:val="zh-TW" w:eastAsia="zh-TW" w:bidi="zh-TW"/>
              </w:rPr>
            </w:pPr>
          </w:p>
        </w:tc>
      </w:tr>
    </w:tbl>
    <w:p w14:paraId="4A8D97EB">
      <w:pPr>
        <w:numPr>
          <w:ilvl w:val="0"/>
          <w:numId w:val="3"/>
        </w:numPr>
        <w:outlineLvl w:val="9"/>
        <w:rPr>
          <w:rFonts w:hint="eastAsia" w:ascii="仿宋" w:hAnsi="仿宋" w:eastAsia="仿宋" w:cs="仿宋"/>
          <w:sz w:val="22"/>
          <w:szCs w:val="22"/>
          <w:lang w:val="zh-TW" w:eastAsia="zh-TW" w:bidi="zh-TW"/>
        </w:rPr>
      </w:pPr>
      <w:bookmarkStart w:id="210" w:name="_Toc5393"/>
      <w:r>
        <w:rPr>
          <w:rFonts w:hint="eastAsia" w:ascii="仿宋" w:hAnsi="仿宋" w:eastAsia="仿宋" w:cs="仿宋"/>
          <w:sz w:val="22"/>
          <w:szCs w:val="22"/>
          <w:lang w:val="zh-TW" w:eastAsia="zh-TW" w:bidi="zh-TW"/>
        </w:rPr>
        <w:t>融资产品介绍：</w:t>
      </w:r>
      <w:bookmarkEnd w:id="210"/>
    </w:p>
    <w:p w14:paraId="6BAFF3FD">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政采贷是指我行向符合我行授信条件的、在政府采购活动中中标的企业或自然人发放的，用于中标企业合法生产经营活动的短期人民币流动资金贷款。</w:t>
      </w:r>
    </w:p>
    <w:p w14:paraId="4B7493DC">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该产品以借款人在我行开立并质押给我行的政府采购收款账户回款作为主要还款来源，授信额度最高500万，额度期限2年，单笔期限最长不超过18个月，还款方式包括等额本息，按月还息、到期一次性还本，固定周期结息、按还款计划表还本等，贷款利率执行普惠金融贷款利率。</w:t>
      </w:r>
    </w:p>
    <w:p w14:paraId="7EF8F417">
      <w:pPr>
        <w:ind w:firstLine="378" w:firstLineChars="200"/>
        <w:rPr>
          <w:rFonts w:hint="eastAsia" w:ascii="仿宋" w:hAnsi="仿宋" w:eastAsia="仿宋" w:cs="仿宋"/>
          <w:b/>
          <w:bCs/>
          <w:color w:val="000000"/>
          <w:sz w:val="28"/>
          <w:szCs w:val="36"/>
          <w:lang w:val="zh-TW" w:bidi="zh-TW"/>
        </w:rPr>
      </w:pPr>
      <w:r>
        <w:rPr>
          <w:rFonts w:hint="eastAsia" w:ascii="仿宋" w:hAnsi="仿宋" w:eastAsia="仿宋" w:cs="仿宋"/>
          <w:sz w:val="22"/>
          <w:szCs w:val="22"/>
          <w:lang w:val="zh-TW" w:eastAsia="zh-TW" w:bidi="zh-TW"/>
        </w:rPr>
        <w:t>邮储银行各分支机构均可以申请。</w:t>
      </w:r>
      <w:bookmarkStart w:id="211" w:name="_Toc414893486"/>
      <w:bookmarkStart w:id="212" w:name="_Toc413317259"/>
    </w:p>
    <w:p w14:paraId="3261B106">
      <w:pPr>
        <w:jc w:val="center"/>
        <w:outlineLvl w:val="9"/>
        <w:rPr>
          <w:rFonts w:hint="eastAsia" w:ascii="仿宋" w:hAnsi="仿宋" w:eastAsia="仿宋" w:cs="仿宋"/>
          <w:b/>
          <w:bCs/>
          <w:color w:val="000000"/>
          <w:sz w:val="28"/>
          <w:szCs w:val="36"/>
          <w:lang w:val="zh-TW" w:bidi="zh-TW"/>
        </w:rPr>
      </w:pPr>
      <w:bookmarkStart w:id="213" w:name="_Toc19773"/>
      <w:r>
        <w:rPr>
          <w:rFonts w:hint="eastAsia" w:ascii="仿宋" w:hAnsi="仿宋" w:eastAsia="仿宋" w:cs="仿宋"/>
          <w:b/>
          <w:bCs/>
          <w:color w:val="000000"/>
          <w:sz w:val="28"/>
          <w:szCs w:val="36"/>
          <w:lang w:val="zh-TW" w:bidi="zh-TW"/>
        </w:rPr>
        <w:t>光大银行洛阳分行政府采购融资贷款</w:t>
      </w:r>
      <w:bookmarkEnd w:id="213"/>
    </w:p>
    <w:p w14:paraId="23C18816">
      <w:pPr>
        <w:jc w:val="center"/>
        <w:outlineLvl w:val="9"/>
        <w:rPr>
          <w:rFonts w:hint="eastAsia" w:ascii="仿宋" w:hAnsi="仿宋" w:eastAsia="仿宋" w:cs="仿宋"/>
          <w:b/>
          <w:bCs/>
          <w:color w:val="000000"/>
          <w:sz w:val="28"/>
          <w:szCs w:val="36"/>
          <w:lang w:val="zh-TW" w:bidi="zh-TW"/>
        </w:rPr>
      </w:pPr>
      <w:bookmarkStart w:id="214" w:name="_Toc32270"/>
      <w:r>
        <w:rPr>
          <w:rFonts w:hint="eastAsia" w:ascii="仿宋" w:hAnsi="仿宋" w:eastAsia="仿宋" w:cs="仿宋"/>
          <w:b/>
          <w:bCs/>
          <w:color w:val="000000"/>
          <w:sz w:val="28"/>
          <w:szCs w:val="36"/>
          <w:lang w:val="zh-TW" w:bidi="zh-TW"/>
        </w:rPr>
        <w:t>产品介绍</w:t>
      </w:r>
      <w:bookmarkEnd w:id="214"/>
    </w:p>
    <w:p w14:paraId="07A8C4B0">
      <w:pPr>
        <w:ind w:firstLine="378" w:firstLineChars="200"/>
        <w:outlineLvl w:val="9"/>
        <w:rPr>
          <w:rFonts w:hint="eastAsia" w:ascii="仿宋" w:hAnsi="仿宋" w:eastAsia="仿宋" w:cs="仿宋"/>
          <w:sz w:val="22"/>
          <w:szCs w:val="22"/>
          <w:lang w:val="zh-TW" w:eastAsia="zh-TW" w:bidi="zh-TW"/>
        </w:rPr>
      </w:pPr>
      <w:bookmarkStart w:id="215" w:name="_Toc22924"/>
      <w:r>
        <w:rPr>
          <w:rFonts w:hint="eastAsia" w:ascii="仿宋" w:hAnsi="仿宋" w:eastAsia="仿宋" w:cs="仿宋"/>
          <w:sz w:val="22"/>
          <w:szCs w:val="22"/>
          <w:lang w:val="zh-TW" w:eastAsia="zh-TW" w:bidi="zh-TW"/>
        </w:rPr>
        <w:t>一、联系方式</w:t>
      </w:r>
      <w:bookmarkEnd w:id="215"/>
    </w:p>
    <w:bookmarkEnd w:id="211"/>
    <w:bookmarkEnd w:id="212"/>
    <w:tbl>
      <w:tblPr>
        <w:tblStyle w:val="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926"/>
        <w:gridCol w:w="2520"/>
        <w:gridCol w:w="1890"/>
        <w:gridCol w:w="1091"/>
      </w:tblGrid>
      <w:tr w14:paraId="7AF08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top"/>
          </w:tcPr>
          <w:p w14:paraId="6077F82E">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联系人</w:t>
            </w:r>
          </w:p>
        </w:tc>
        <w:tc>
          <w:tcPr>
            <w:tcW w:w="1926" w:type="dxa"/>
            <w:noWrap w:val="0"/>
            <w:vAlign w:val="top"/>
          </w:tcPr>
          <w:p w14:paraId="4D6C4E5C">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职务</w:t>
            </w:r>
          </w:p>
        </w:tc>
        <w:tc>
          <w:tcPr>
            <w:tcW w:w="2520" w:type="dxa"/>
            <w:noWrap w:val="0"/>
            <w:vAlign w:val="top"/>
          </w:tcPr>
          <w:p w14:paraId="7938A1B9">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地址</w:t>
            </w:r>
          </w:p>
        </w:tc>
        <w:tc>
          <w:tcPr>
            <w:tcW w:w="1890" w:type="dxa"/>
            <w:noWrap w:val="0"/>
            <w:vAlign w:val="top"/>
          </w:tcPr>
          <w:p w14:paraId="2EB40F1D">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电话</w:t>
            </w:r>
          </w:p>
        </w:tc>
        <w:tc>
          <w:tcPr>
            <w:tcW w:w="1091" w:type="dxa"/>
            <w:noWrap w:val="0"/>
            <w:vAlign w:val="top"/>
          </w:tcPr>
          <w:p w14:paraId="354834AB">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备注</w:t>
            </w:r>
          </w:p>
        </w:tc>
      </w:tr>
      <w:tr w14:paraId="10971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top"/>
          </w:tcPr>
          <w:p w14:paraId="0591E927">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王冲</w:t>
            </w:r>
          </w:p>
        </w:tc>
        <w:tc>
          <w:tcPr>
            <w:tcW w:w="1926" w:type="dxa"/>
            <w:noWrap w:val="0"/>
            <w:vAlign w:val="top"/>
          </w:tcPr>
          <w:p w14:paraId="40B27232">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产品经理</w:t>
            </w:r>
          </w:p>
        </w:tc>
        <w:tc>
          <w:tcPr>
            <w:tcW w:w="2520" w:type="dxa"/>
            <w:vMerge w:val="restart"/>
            <w:noWrap w:val="0"/>
            <w:vAlign w:val="top"/>
          </w:tcPr>
          <w:p w14:paraId="5C5E4D74">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洛龙区开元大道五洲大厦楼一、二层</w:t>
            </w:r>
          </w:p>
        </w:tc>
        <w:tc>
          <w:tcPr>
            <w:tcW w:w="1890" w:type="dxa"/>
            <w:vMerge w:val="restart"/>
            <w:noWrap w:val="0"/>
            <w:vAlign w:val="top"/>
          </w:tcPr>
          <w:p w14:paraId="6058AC42">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62222007</w:t>
            </w:r>
          </w:p>
          <w:p w14:paraId="3EBB0073">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18569936293</w:t>
            </w:r>
          </w:p>
        </w:tc>
        <w:tc>
          <w:tcPr>
            <w:tcW w:w="1091" w:type="dxa"/>
            <w:vMerge w:val="restart"/>
            <w:noWrap w:val="0"/>
            <w:vAlign w:val="top"/>
          </w:tcPr>
          <w:p w14:paraId="5AA9960A">
            <w:pPr>
              <w:jc w:val="center"/>
              <w:rPr>
                <w:rFonts w:hint="eastAsia" w:ascii="仿宋" w:hAnsi="仿宋" w:eastAsia="仿宋" w:cs="仿宋"/>
                <w:sz w:val="22"/>
                <w:szCs w:val="22"/>
                <w:lang w:val="zh-TW" w:eastAsia="zh-TW" w:bidi="zh-TW"/>
              </w:rPr>
            </w:pPr>
          </w:p>
        </w:tc>
      </w:tr>
      <w:tr w14:paraId="25E38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top"/>
          </w:tcPr>
          <w:p w14:paraId="0771B4C7">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石磊</w:t>
            </w:r>
          </w:p>
        </w:tc>
        <w:tc>
          <w:tcPr>
            <w:tcW w:w="1926" w:type="dxa"/>
            <w:noWrap w:val="0"/>
            <w:vAlign w:val="top"/>
          </w:tcPr>
          <w:p w14:paraId="03639AF7">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副总经理</w:t>
            </w:r>
          </w:p>
        </w:tc>
        <w:tc>
          <w:tcPr>
            <w:tcW w:w="2520" w:type="dxa"/>
            <w:vMerge w:val="continue"/>
            <w:noWrap w:val="0"/>
            <w:vAlign w:val="top"/>
          </w:tcPr>
          <w:p w14:paraId="1950390D">
            <w:pPr>
              <w:jc w:val="center"/>
              <w:rPr>
                <w:rFonts w:hint="eastAsia" w:ascii="仿宋" w:hAnsi="仿宋" w:eastAsia="仿宋" w:cs="仿宋"/>
                <w:sz w:val="22"/>
                <w:szCs w:val="22"/>
                <w:lang w:val="zh-TW" w:eastAsia="zh-TW" w:bidi="zh-TW"/>
              </w:rPr>
            </w:pPr>
          </w:p>
        </w:tc>
        <w:tc>
          <w:tcPr>
            <w:tcW w:w="1890" w:type="dxa"/>
            <w:vMerge w:val="continue"/>
            <w:noWrap w:val="0"/>
            <w:vAlign w:val="top"/>
          </w:tcPr>
          <w:p w14:paraId="2DE4EDAF">
            <w:pPr>
              <w:jc w:val="center"/>
              <w:rPr>
                <w:rFonts w:hint="eastAsia" w:ascii="仿宋" w:hAnsi="仿宋" w:eastAsia="仿宋" w:cs="仿宋"/>
                <w:sz w:val="22"/>
                <w:szCs w:val="22"/>
                <w:lang w:val="zh-TW" w:eastAsia="zh-TW" w:bidi="zh-TW"/>
              </w:rPr>
            </w:pPr>
          </w:p>
        </w:tc>
        <w:tc>
          <w:tcPr>
            <w:tcW w:w="1091" w:type="dxa"/>
            <w:vMerge w:val="continue"/>
            <w:noWrap w:val="0"/>
            <w:vAlign w:val="top"/>
          </w:tcPr>
          <w:p w14:paraId="45AB992A">
            <w:pPr>
              <w:jc w:val="center"/>
              <w:rPr>
                <w:rFonts w:hint="eastAsia" w:ascii="仿宋" w:hAnsi="仿宋" w:eastAsia="仿宋" w:cs="仿宋"/>
                <w:sz w:val="22"/>
                <w:szCs w:val="22"/>
                <w:lang w:val="zh-TW" w:eastAsia="zh-TW" w:bidi="zh-TW"/>
              </w:rPr>
            </w:pPr>
          </w:p>
        </w:tc>
      </w:tr>
    </w:tbl>
    <w:p w14:paraId="731FCD3F">
      <w:pPr>
        <w:ind w:firstLine="378" w:firstLineChars="200"/>
        <w:outlineLvl w:val="9"/>
        <w:rPr>
          <w:rFonts w:hint="eastAsia" w:ascii="仿宋" w:hAnsi="仿宋" w:eastAsia="仿宋" w:cs="仿宋"/>
          <w:sz w:val="22"/>
          <w:szCs w:val="22"/>
          <w:lang w:val="zh-TW" w:eastAsia="zh-TW" w:bidi="zh-TW"/>
        </w:rPr>
      </w:pPr>
      <w:bookmarkStart w:id="216" w:name="_Toc20341"/>
      <w:r>
        <w:rPr>
          <w:rFonts w:hint="eastAsia" w:ascii="仿宋" w:hAnsi="仿宋" w:eastAsia="仿宋" w:cs="仿宋"/>
          <w:sz w:val="22"/>
          <w:szCs w:val="22"/>
          <w:lang w:val="zh-TW" w:eastAsia="zh-TW" w:bidi="zh-TW"/>
        </w:rPr>
        <w:t>二、融资产品介绍</w:t>
      </w:r>
      <w:bookmarkEnd w:id="216"/>
    </w:p>
    <w:p w14:paraId="3B2EE365">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1、产品介绍</w:t>
      </w:r>
    </w:p>
    <w:p w14:paraId="1F6280DE">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我行开展的政府采购融资贷款名称为政采融易贷，指我行根据政府采购中标通知书，以政府财政支付资金为主要还款来源，通过封闭回款路径等方式，为中标供应商提供授信额度。中标供应商可根据需要办理短期流动资金贷款、开立银行承兑汇票、信用证、保理等业务。</w:t>
      </w:r>
    </w:p>
    <w:p w14:paraId="61250C83">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2、申请路径</w:t>
      </w:r>
    </w:p>
    <w:p w14:paraId="3909C5CC">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中标供应商持政府采购中标通知书即可向我行各营业网点申请政采融易贷。授信申请企业材料齐全完备的,我行可在7个工作日内完成审批。审批通过后,对具备放款条件的企业,在5个工作日内完成放款。后附我行各营业网点地址电话及申请业务所需材料清单。</w:t>
      </w:r>
    </w:p>
    <w:p w14:paraId="6194A4B0">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3、授信金额及期限</w:t>
      </w:r>
    </w:p>
    <w:p w14:paraId="3C77DBF2">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单笔授信金额最高可达政府采购中标合同金额的百分之八十，贷款期限与政府采购合同中约定的结算周期、付款方式相匹配，最长为合同约定付款日期后两个月。</w:t>
      </w:r>
    </w:p>
    <w:p w14:paraId="5BCF83EB">
      <w:pPr>
        <w:numPr>
          <w:ilvl w:val="0"/>
          <w:numId w:val="4"/>
        </w:num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利率</w:t>
      </w:r>
      <w:r>
        <w:rPr>
          <w:rFonts w:hint="eastAsia" w:ascii="仿宋" w:hAnsi="仿宋" w:eastAsia="仿宋" w:cs="仿宋"/>
          <w:sz w:val="22"/>
          <w:szCs w:val="22"/>
          <w:lang w:val="zh-TW" w:bidi="zh-TW"/>
        </w:rPr>
        <w:t>：</w:t>
      </w:r>
      <w:r>
        <w:rPr>
          <w:rFonts w:hint="eastAsia" w:ascii="仿宋" w:hAnsi="仿宋" w:eastAsia="仿宋" w:cs="仿宋"/>
          <w:sz w:val="22"/>
          <w:szCs w:val="22"/>
          <w:lang w:val="zh-TW" w:eastAsia="zh-TW" w:bidi="zh-TW"/>
        </w:rPr>
        <w:t>参照放款时当地市场利率执行。</w:t>
      </w:r>
    </w:p>
    <w:p w14:paraId="7F633F66">
      <w:pPr>
        <w:outlineLvl w:val="9"/>
        <w:rPr>
          <w:rFonts w:hint="eastAsia" w:ascii="仿宋" w:hAnsi="仿宋" w:eastAsia="仿宋" w:cs="仿宋"/>
          <w:sz w:val="22"/>
          <w:szCs w:val="22"/>
          <w:lang w:val="zh-TW" w:eastAsia="zh-TW" w:bidi="zh-TW"/>
        </w:rPr>
      </w:pPr>
      <w:bookmarkStart w:id="217" w:name="_Toc7679"/>
      <w:r>
        <w:rPr>
          <w:rFonts w:hint="eastAsia" w:ascii="仿宋" w:hAnsi="仿宋" w:eastAsia="仿宋" w:cs="仿宋"/>
          <w:sz w:val="22"/>
          <w:szCs w:val="22"/>
          <w:lang w:val="zh-TW" w:eastAsia="zh-TW" w:bidi="zh-TW"/>
        </w:rPr>
        <w:t>附件一：光大银行洛阳分行各营业网点</w:t>
      </w:r>
      <w:bookmarkEnd w:id="217"/>
    </w:p>
    <w:tbl>
      <w:tblPr>
        <w:tblStyle w:val="6"/>
        <w:tblW w:w="8197" w:type="dxa"/>
        <w:jc w:val="center"/>
        <w:tblLayout w:type="fixed"/>
        <w:tblCellMar>
          <w:top w:w="0" w:type="dxa"/>
          <w:left w:w="108" w:type="dxa"/>
          <w:bottom w:w="0" w:type="dxa"/>
          <w:right w:w="108" w:type="dxa"/>
        </w:tblCellMar>
      </w:tblPr>
      <w:tblGrid>
        <w:gridCol w:w="1701"/>
        <w:gridCol w:w="4051"/>
        <w:gridCol w:w="2445"/>
      </w:tblGrid>
      <w:tr w14:paraId="1852F870">
        <w:tblPrEx>
          <w:tblCellMar>
            <w:top w:w="0" w:type="dxa"/>
            <w:left w:w="108" w:type="dxa"/>
            <w:bottom w:w="0" w:type="dxa"/>
            <w:right w:w="108" w:type="dxa"/>
          </w:tblCellMar>
        </w:tblPrEx>
        <w:trPr>
          <w:trHeight w:val="567" w:hRule="atLeast"/>
          <w:jc w:val="center"/>
        </w:trPr>
        <w:tc>
          <w:tcPr>
            <w:tcW w:w="1701" w:type="dxa"/>
            <w:tcBorders>
              <w:top w:val="single" w:color="auto" w:sz="4" w:space="0"/>
              <w:left w:val="single" w:color="auto" w:sz="4" w:space="0"/>
              <w:bottom w:val="single" w:color="auto" w:sz="4" w:space="0"/>
              <w:right w:val="single" w:color="auto" w:sz="4" w:space="0"/>
            </w:tcBorders>
            <w:noWrap w:val="0"/>
            <w:vAlign w:val="center"/>
          </w:tcPr>
          <w:p w14:paraId="563F4EC5">
            <w:pPr>
              <w:widowControl/>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营业网点</w:t>
            </w:r>
          </w:p>
        </w:tc>
        <w:tc>
          <w:tcPr>
            <w:tcW w:w="4051" w:type="dxa"/>
            <w:tcBorders>
              <w:top w:val="single" w:color="auto" w:sz="4" w:space="0"/>
              <w:left w:val="nil"/>
              <w:bottom w:val="single" w:color="auto" w:sz="4" w:space="0"/>
              <w:right w:val="single" w:color="auto" w:sz="4" w:space="0"/>
            </w:tcBorders>
            <w:noWrap w:val="0"/>
            <w:vAlign w:val="center"/>
          </w:tcPr>
          <w:p w14:paraId="4D38E9E2">
            <w:pPr>
              <w:widowControl/>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地址</w:t>
            </w:r>
          </w:p>
        </w:tc>
        <w:tc>
          <w:tcPr>
            <w:tcW w:w="2445" w:type="dxa"/>
            <w:tcBorders>
              <w:top w:val="single" w:color="auto" w:sz="4" w:space="0"/>
              <w:left w:val="nil"/>
              <w:bottom w:val="single" w:color="auto" w:sz="4" w:space="0"/>
              <w:right w:val="single" w:color="auto" w:sz="4" w:space="0"/>
            </w:tcBorders>
            <w:noWrap w:val="0"/>
            <w:vAlign w:val="center"/>
          </w:tcPr>
          <w:p w14:paraId="306D23F2">
            <w:pPr>
              <w:widowControl/>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联系电话</w:t>
            </w:r>
          </w:p>
        </w:tc>
      </w:tr>
      <w:tr w14:paraId="6A3A8974">
        <w:tblPrEx>
          <w:tblCellMar>
            <w:top w:w="0" w:type="dxa"/>
            <w:left w:w="108" w:type="dxa"/>
            <w:bottom w:w="0" w:type="dxa"/>
            <w:right w:w="108" w:type="dxa"/>
          </w:tblCellMar>
        </w:tblPrEx>
        <w:trPr>
          <w:trHeight w:val="567" w:hRule="atLeast"/>
          <w:jc w:val="center"/>
        </w:trPr>
        <w:tc>
          <w:tcPr>
            <w:tcW w:w="1701" w:type="dxa"/>
            <w:tcBorders>
              <w:top w:val="single" w:color="auto" w:sz="4" w:space="0"/>
              <w:left w:val="single" w:color="auto" w:sz="4" w:space="0"/>
              <w:bottom w:val="single" w:color="auto" w:sz="4" w:space="0"/>
              <w:right w:val="single" w:color="auto" w:sz="4" w:space="0"/>
            </w:tcBorders>
            <w:noWrap w:val="0"/>
            <w:vAlign w:val="center"/>
          </w:tcPr>
          <w:p w14:paraId="25B6F070">
            <w:pPr>
              <w:widowControl/>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分行营业部</w:t>
            </w:r>
          </w:p>
        </w:tc>
        <w:tc>
          <w:tcPr>
            <w:tcW w:w="4051" w:type="dxa"/>
            <w:tcBorders>
              <w:top w:val="single" w:color="auto" w:sz="4" w:space="0"/>
              <w:left w:val="nil"/>
              <w:bottom w:val="single" w:color="auto" w:sz="4" w:space="0"/>
              <w:right w:val="single" w:color="auto" w:sz="4" w:space="0"/>
            </w:tcBorders>
            <w:noWrap w:val="0"/>
            <w:vAlign w:val="center"/>
          </w:tcPr>
          <w:p w14:paraId="64FECE5A">
            <w:pPr>
              <w:widowControl/>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洛龙区通济街开元大道交叉口五洲大厦裙楼</w:t>
            </w:r>
          </w:p>
        </w:tc>
        <w:tc>
          <w:tcPr>
            <w:tcW w:w="2445" w:type="dxa"/>
            <w:tcBorders>
              <w:top w:val="single" w:color="auto" w:sz="4" w:space="0"/>
              <w:left w:val="nil"/>
              <w:bottom w:val="single" w:color="auto" w:sz="4" w:space="0"/>
              <w:right w:val="single" w:color="auto" w:sz="4" w:space="0"/>
            </w:tcBorders>
            <w:noWrap w:val="0"/>
            <w:vAlign w:val="center"/>
          </w:tcPr>
          <w:p w14:paraId="1FF3309E">
            <w:pPr>
              <w:widowControl/>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0379-62222126</w:t>
            </w:r>
          </w:p>
        </w:tc>
      </w:tr>
      <w:tr w14:paraId="79C1FC65">
        <w:tblPrEx>
          <w:tblCellMar>
            <w:top w:w="0" w:type="dxa"/>
            <w:left w:w="108" w:type="dxa"/>
            <w:bottom w:w="0" w:type="dxa"/>
            <w:right w:w="108" w:type="dxa"/>
          </w:tblCellMar>
        </w:tblPrEx>
        <w:trPr>
          <w:trHeight w:val="567" w:hRule="atLeast"/>
          <w:jc w:val="center"/>
        </w:trPr>
        <w:tc>
          <w:tcPr>
            <w:tcW w:w="1701" w:type="dxa"/>
            <w:tcBorders>
              <w:top w:val="single" w:color="auto" w:sz="4" w:space="0"/>
              <w:left w:val="single" w:color="auto" w:sz="4" w:space="0"/>
              <w:bottom w:val="single" w:color="auto" w:sz="4" w:space="0"/>
              <w:right w:val="single" w:color="auto" w:sz="4" w:space="0"/>
            </w:tcBorders>
            <w:noWrap w:val="0"/>
            <w:vAlign w:val="center"/>
          </w:tcPr>
          <w:p w14:paraId="2E194C17">
            <w:pPr>
              <w:widowControl/>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王城路支行</w:t>
            </w:r>
          </w:p>
        </w:tc>
        <w:tc>
          <w:tcPr>
            <w:tcW w:w="4051" w:type="dxa"/>
            <w:tcBorders>
              <w:top w:val="single" w:color="auto" w:sz="4" w:space="0"/>
              <w:left w:val="nil"/>
              <w:bottom w:val="single" w:color="auto" w:sz="4" w:space="0"/>
              <w:right w:val="single" w:color="auto" w:sz="4" w:space="0"/>
            </w:tcBorders>
            <w:noWrap w:val="0"/>
            <w:vAlign w:val="center"/>
          </w:tcPr>
          <w:p w14:paraId="7D2F178F">
            <w:pPr>
              <w:widowControl/>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西工区王城大道221号</w:t>
            </w:r>
          </w:p>
        </w:tc>
        <w:tc>
          <w:tcPr>
            <w:tcW w:w="2445" w:type="dxa"/>
            <w:tcBorders>
              <w:top w:val="single" w:color="auto" w:sz="4" w:space="0"/>
              <w:left w:val="nil"/>
              <w:bottom w:val="single" w:color="auto" w:sz="4" w:space="0"/>
              <w:right w:val="single" w:color="auto" w:sz="4" w:space="0"/>
            </w:tcBorders>
            <w:noWrap w:val="0"/>
            <w:vAlign w:val="center"/>
          </w:tcPr>
          <w:p w14:paraId="5F6E4B79">
            <w:pPr>
              <w:widowControl/>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0379-62222022</w:t>
            </w:r>
          </w:p>
        </w:tc>
      </w:tr>
      <w:tr w14:paraId="032E18DB">
        <w:tblPrEx>
          <w:tblCellMar>
            <w:top w:w="0" w:type="dxa"/>
            <w:left w:w="108" w:type="dxa"/>
            <w:bottom w:w="0" w:type="dxa"/>
            <w:right w:w="108" w:type="dxa"/>
          </w:tblCellMar>
        </w:tblPrEx>
        <w:trPr>
          <w:trHeight w:val="1130" w:hRule="atLeast"/>
          <w:jc w:val="center"/>
        </w:trPr>
        <w:tc>
          <w:tcPr>
            <w:tcW w:w="1701" w:type="dxa"/>
            <w:tcBorders>
              <w:top w:val="single" w:color="auto" w:sz="4" w:space="0"/>
              <w:left w:val="single" w:color="auto" w:sz="4" w:space="0"/>
              <w:bottom w:val="single" w:color="auto" w:sz="4" w:space="0"/>
              <w:right w:val="single" w:color="auto" w:sz="4" w:space="0"/>
            </w:tcBorders>
            <w:noWrap w:val="0"/>
            <w:vAlign w:val="center"/>
          </w:tcPr>
          <w:p w14:paraId="0F7DA5BF">
            <w:pPr>
              <w:widowControl/>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西苑路支行</w:t>
            </w:r>
          </w:p>
        </w:tc>
        <w:tc>
          <w:tcPr>
            <w:tcW w:w="4051" w:type="dxa"/>
            <w:tcBorders>
              <w:top w:val="single" w:color="auto" w:sz="4" w:space="0"/>
              <w:left w:val="nil"/>
              <w:bottom w:val="single" w:color="auto" w:sz="4" w:space="0"/>
              <w:right w:val="single" w:color="auto" w:sz="4" w:space="0"/>
            </w:tcBorders>
            <w:noWrap w:val="0"/>
            <w:vAlign w:val="center"/>
          </w:tcPr>
          <w:p w14:paraId="78BE6DD9">
            <w:pPr>
              <w:widowControl/>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涧西区西苑路与青岛路交叉口西南角</w:t>
            </w:r>
          </w:p>
        </w:tc>
        <w:tc>
          <w:tcPr>
            <w:tcW w:w="2445" w:type="dxa"/>
            <w:tcBorders>
              <w:top w:val="single" w:color="auto" w:sz="4" w:space="0"/>
              <w:left w:val="nil"/>
              <w:bottom w:val="single" w:color="auto" w:sz="4" w:space="0"/>
              <w:right w:val="single" w:color="auto" w:sz="4" w:space="0"/>
            </w:tcBorders>
            <w:noWrap w:val="0"/>
            <w:vAlign w:val="center"/>
          </w:tcPr>
          <w:p w14:paraId="6CCC2184">
            <w:pPr>
              <w:widowControl/>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0379-62222056</w:t>
            </w:r>
          </w:p>
        </w:tc>
      </w:tr>
      <w:tr w14:paraId="507E8AF7">
        <w:tblPrEx>
          <w:tblCellMar>
            <w:top w:w="0" w:type="dxa"/>
            <w:left w:w="108" w:type="dxa"/>
            <w:bottom w:w="0" w:type="dxa"/>
            <w:right w:w="108" w:type="dxa"/>
          </w:tblCellMar>
        </w:tblPrEx>
        <w:trPr>
          <w:trHeight w:val="567" w:hRule="atLeast"/>
          <w:jc w:val="center"/>
        </w:trPr>
        <w:tc>
          <w:tcPr>
            <w:tcW w:w="1701" w:type="dxa"/>
            <w:tcBorders>
              <w:top w:val="single" w:color="auto" w:sz="4" w:space="0"/>
              <w:left w:val="single" w:color="auto" w:sz="4" w:space="0"/>
              <w:bottom w:val="single" w:color="auto" w:sz="4" w:space="0"/>
              <w:right w:val="single" w:color="auto" w:sz="4" w:space="0"/>
            </w:tcBorders>
            <w:noWrap w:val="0"/>
            <w:vAlign w:val="center"/>
          </w:tcPr>
          <w:p w14:paraId="1D61EDF8">
            <w:pPr>
              <w:widowControl/>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华阳支行</w:t>
            </w:r>
          </w:p>
        </w:tc>
        <w:tc>
          <w:tcPr>
            <w:tcW w:w="4051" w:type="dxa"/>
            <w:tcBorders>
              <w:top w:val="single" w:color="auto" w:sz="4" w:space="0"/>
              <w:left w:val="nil"/>
              <w:bottom w:val="single" w:color="auto" w:sz="4" w:space="0"/>
              <w:right w:val="single" w:color="auto" w:sz="4" w:space="0"/>
            </w:tcBorders>
            <w:noWrap w:val="0"/>
            <w:vAlign w:val="center"/>
          </w:tcPr>
          <w:p w14:paraId="1E26562E">
            <w:pPr>
              <w:widowControl/>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辽宁路与丽新路交叉口西100米路北</w:t>
            </w:r>
          </w:p>
        </w:tc>
        <w:tc>
          <w:tcPr>
            <w:tcW w:w="2445" w:type="dxa"/>
            <w:tcBorders>
              <w:top w:val="single" w:color="auto" w:sz="4" w:space="0"/>
              <w:left w:val="nil"/>
              <w:bottom w:val="single" w:color="auto" w:sz="4" w:space="0"/>
              <w:right w:val="single" w:color="auto" w:sz="4" w:space="0"/>
            </w:tcBorders>
            <w:noWrap w:val="0"/>
            <w:vAlign w:val="center"/>
          </w:tcPr>
          <w:p w14:paraId="0D0E87CE">
            <w:pPr>
              <w:widowControl/>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0379-60650338</w:t>
            </w:r>
          </w:p>
        </w:tc>
      </w:tr>
      <w:tr w14:paraId="286F36DC">
        <w:tblPrEx>
          <w:tblCellMar>
            <w:top w:w="0" w:type="dxa"/>
            <w:left w:w="108" w:type="dxa"/>
            <w:bottom w:w="0" w:type="dxa"/>
            <w:right w:w="108" w:type="dxa"/>
          </w:tblCellMar>
        </w:tblPrEx>
        <w:trPr>
          <w:trHeight w:val="567" w:hRule="atLeast"/>
          <w:jc w:val="center"/>
        </w:trPr>
        <w:tc>
          <w:tcPr>
            <w:tcW w:w="1701" w:type="dxa"/>
            <w:tcBorders>
              <w:top w:val="single" w:color="auto" w:sz="4" w:space="0"/>
              <w:left w:val="single" w:color="auto" w:sz="4" w:space="0"/>
              <w:bottom w:val="single" w:color="auto" w:sz="4" w:space="0"/>
              <w:right w:val="single" w:color="auto" w:sz="4" w:space="0"/>
            </w:tcBorders>
            <w:noWrap w:val="0"/>
            <w:vAlign w:val="center"/>
          </w:tcPr>
          <w:p w14:paraId="6DC45D98">
            <w:pPr>
              <w:widowControl/>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珠江路支行</w:t>
            </w:r>
          </w:p>
        </w:tc>
        <w:tc>
          <w:tcPr>
            <w:tcW w:w="4051" w:type="dxa"/>
            <w:tcBorders>
              <w:top w:val="single" w:color="auto" w:sz="4" w:space="0"/>
              <w:left w:val="nil"/>
              <w:bottom w:val="single" w:color="auto" w:sz="4" w:space="0"/>
              <w:right w:val="single" w:color="auto" w:sz="4" w:space="0"/>
            </w:tcBorders>
            <w:noWrap w:val="0"/>
            <w:vAlign w:val="center"/>
          </w:tcPr>
          <w:p w14:paraId="2C604FB7">
            <w:pPr>
              <w:widowControl/>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涧西区珠江路与寨南路交叉口西南角美景家园底层一二层</w:t>
            </w:r>
          </w:p>
        </w:tc>
        <w:tc>
          <w:tcPr>
            <w:tcW w:w="2445" w:type="dxa"/>
            <w:tcBorders>
              <w:top w:val="single" w:color="auto" w:sz="4" w:space="0"/>
              <w:left w:val="nil"/>
              <w:bottom w:val="single" w:color="auto" w:sz="4" w:space="0"/>
              <w:right w:val="single" w:color="auto" w:sz="4" w:space="0"/>
            </w:tcBorders>
            <w:noWrap w:val="0"/>
            <w:vAlign w:val="center"/>
          </w:tcPr>
          <w:p w14:paraId="1F0D7629">
            <w:pPr>
              <w:widowControl/>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0379-62222071</w:t>
            </w:r>
          </w:p>
        </w:tc>
      </w:tr>
      <w:tr w14:paraId="730341B0">
        <w:tblPrEx>
          <w:tblCellMar>
            <w:top w:w="0" w:type="dxa"/>
            <w:left w:w="108" w:type="dxa"/>
            <w:bottom w:w="0" w:type="dxa"/>
            <w:right w:w="108" w:type="dxa"/>
          </w:tblCellMar>
        </w:tblPrEx>
        <w:trPr>
          <w:trHeight w:val="567" w:hRule="atLeast"/>
          <w:jc w:val="center"/>
        </w:trPr>
        <w:tc>
          <w:tcPr>
            <w:tcW w:w="1701" w:type="dxa"/>
            <w:tcBorders>
              <w:top w:val="single" w:color="auto" w:sz="4" w:space="0"/>
              <w:left w:val="single" w:color="auto" w:sz="4" w:space="0"/>
              <w:bottom w:val="single" w:color="auto" w:sz="4" w:space="0"/>
              <w:right w:val="single" w:color="auto" w:sz="4" w:space="0"/>
            </w:tcBorders>
            <w:noWrap w:val="0"/>
            <w:vAlign w:val="center"/>
          </w:tcPr>
          <w:p w14:paraId="70454C8D">
            <w:pPr>
              <w:widowControl/>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英才路支行</w:t>
            </w:r>
          </w:p>
        </w:tc>
        <w:tc>
          <w:tcPr>
            <w:tcW w:w="4051" w:type="dxa"/>
            <w:tcBorders>
              <w:top w:val="single" w:color="auto" w:sz="4" w:space="0"/>
              <w:left w:val="nil"/>
              <w:bottom w:val="single" w:color="auto" w:sz="4" w:space="0"/>
              <w:right w:val="single" w:color="auto" w:sz="4" w:space="0"/>
            </w:tcBorders>
            <w:noWrap w:val="0"/>
            <w:vAlign w:val="center"/>
          </w:tcPr>
          <w:p w14:paraId="3C2B10C5">
            <w:pPr>
              <w:widowControl/>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洛龙区英才路与美茵街交叉口</w:t>
            </w:r>
          </w:p>
        </w:tc>
        <w:tc>
          <w:tcPr>
            <w:tcW w:w="2445" w:type="dxa"/>
            <w:tcBorders>
              <w:top w:val="single" w:color="auto" w:sz="4" w:space="0"/>
              <w:left w:val="nil"/>
              <w:bottom w:val="single" w:color="auto" w:sz="4" w:space="0"/>
              <w:right w:val="single" w:color="auto" w:sz="4" w:space="0"/>
            </w:tcBorders>
            <w:noWrap w:val="0"/>
            <w:vAlign w:val="center"/>
          </w:tcPr>
          <w:p w14:paraId="09F2EAD7">
            <w:pPr>
              <w:widowControl/>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0379-62222217</w:t>
            </w:r>
          </w:p>
        </w:tc>
      </w:tr>
    </w:tbl>
    <w:p w14:paraId="02E4FC3A">
      <w:pPr>
        <w:outlineLvl w:val="9"/>
        <w:rPr>
          <w:rFonts w:hint="eastAsia" w:ascii="仿宋" w:hAnsi="仿宋" w:eastAsia="仿宋" w:cs="仿宋"/>
          <w:sz w:val="22"/>
          <w:szCs w:val="22"/>
          <w:lang w:val="zh-TW" w:eastAsia="zh-TW" w:bidi="zh-TW"/>
        </w:rPr>
      </w:pPr>
      <w:bookmarkStart w:id="218" w:name="_Toc1346"/>
      <w:r>
        <w:rPr>
          <w:rFonts w:hint="eastAsia" w:ascii="仿宋" w:hAnsi="仿宋" w:eastAsia="仿宋" w:cs="仿宋"/>
          <w:sz w:val="22"/>
          <w:szCs w:val="22"/>
          <w:lang w:val="zh-TW" w:eastAsia="zh-TW" w:bidi="zh-TW"/>
        </w:rPr>
        <w:t>附件二：申请材料清单</w:t>
      </w:r>
      <w:bookmarkEnd w:id="218"/>
    </w:p>
    <w:p w14:paraId="394CD6A5">
      <w:pPr>
        <w:numPr>
          <w:ilvl w:val="0"/>
          <w:numId w:val="5"/>
        </w:numPr>
        <w:spacing w:line="360" w:lineRule="auto"/>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营业执照正副本复印件</w:t>
      </w:r>
    </w:p>
    <w:p w14:paraId="2422B121">
      <w:pPr>
        <w:numPr>
          <w:ilvl w:val="0"/>
          <w:numId w:val="5"/>
        </w:numPr>
        <w:spacing w:line="360" w:lineRule="auto"/>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法人身份证复印件</w:t>
      </w:r>
    </w:p>
    <w:p w14:paraId="3F021A5A">
      <w:pPr>
        <w:numPr>
          <w:ilvl w:val="0"/>
          <w:numId w:val="5"/>
        </w:numPr>
        <w:spacing w:line="360" w:lineRule="auto"/>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公司章程</w:t>
      </w:r>
    </w:p>
    <w:p w14:paraId="4786576B">
      <w:pPr>
        <w:numPr>
          <w:ilvl w:val="0"/>
          <w:numId w:val="5"/>
        </w:numPr>
        <w:spacing w:line="360" w:lineRule="auto"/>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开户许可证复印件</w:t>
      </w:r>
    </w:p>
    <w:p w14:paraId="53B36BCC">
      <w:pPr>
        <w:numPr>
          <w:ilvl w:val="0"/>
          <w:numId w:val="5"/>
        </w:numPr>
        <w:spacing w:line="360" w:lineRule="auto"/>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近三年及最近一期财务报表</w:t>
      </w:r>
    </w:p>
    <w:p w14:paraId="4F636060">
      <w:pPr>
        <w:numPr>
          <w:ilvl w:val="0"/>
          <w:numId w:val="5"/>
        </w:numPr>
        <w:spacing w:line="360" w:lineRule="auto"/>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授信申请书</w:t>
      </w:r>
    </w:p>
    <w:p w14:paraId="26AFDEB4">
      <w:pPr>
        <w:numPr>
          <w:ilvl w:val="0"/>
          <w:numId w:val="5"/>
        </w:numPr>
        <w:spacing w:line="360" w:lineRule="auto"/>
        <w:rPr>
          <w:rFonts w:hint="eastAsia" w:ascii="仿宋" w:hAnsi="仿宋" w:eastAsia="仿宋" w:cs="仿宋"/>
          <w:sz w:val="22"/>
          <w:szCs w:val="22"/>
          <w:lang w:val="zh-TW" w:bidi="zh-TW"/>
        </w:rPr>
      </w:pPr>
      <w:r>
        <w:rPr>
          <w:rFonts w:hint="eastAsia" w:ascii="仿宋" w:hAnsi="仿宋" w:eastAsia="仿宋" w:cs="仿宋"/>
          <w:sz w:val="22"/>
          <w:szCs w:val="22"/>
          <w:lang w:val="zh-TW" w:eastAsia="zh-TW" w:bidi="zh-TW"/>
        </w:rPr>
        <w:t>政府采购中标通知书</w:t>
      </w:r>
      <w:r>
        <w:rPr>
          <w:rFonts w:hint="eastAsia" w:ascii="仿宋" w:hAnsi="仿宋" w:eastAsia="仿宋" w:cs="仿宋"/>
          <w:sz w:val="22"/>
          <w:szCs w:val="22"/>
          <w:lang w:val="zh-TW" w:bidi="zh-TW"/>
        </w:rPr>
        <w:t>及</w:t>
      </w:r>
      <w:r>
        <w:rPr>
          <w:rFonts w:hint="eastAsia" w:ascii="仿宋" w:hAnsi="仿宋" w:eastAsia="仿宋" w:cs="仿宋"/>
          <w:sz w:val="22"/>
          <w:szCs w:val="22"/>
          <w:lang w:val="zh-TW" w:eastAsia="zh-TW" w:bidi="zh-TW"/>
        </w:rPr>
        <w:t>其他相关资料</w:t>
      </w:r>
    </w:p>
    <w:p w14:paraId="23C58957">
      <w:pPr>
        <w:jc w:val="center"/>
        <w:outlineLvl w:val="9"/>
        <w:rPr>
          <w:rFonts w:hint="eastAsia" w:ascii="仿宋" w:hAnsi="仿宋" w:eastAsia="仿宋" w:cs="仿宋"/>
          <w:b/>
          <w:bCs/>
          <w:sz w:val="28"/>
          <w:szCs w:val="36"/>
        </w:rPr>
      </w:pPr>
      <w:bookmarkStart w:id="219" w:name="_Toc27592"/>
      <w:r>
        <w:rPr>
          <w:rFonts w:hint="eastAsia" w:ascii="仿宋" w:hAnsi="仿宋" w:eastAsia="仿宋" w:cs="仿宋"/>
          <w:b/>
          <w:bCs/>
          <w:sz w:val="28"/>
          <w:szCs w:val="36"/>
        </w:rPr>
        <w:t>中信银行政府采购贷联系方式及产品介绍</w:t>
      </w:r>
      <w:bookmarkEnd w:id="219"/>
    </w:p>
    <w:p w14:paraId="16767531">
      <w:pPr>
        <w:numPr>
          <w:ilvl w:val="0"/>
          <w:numId w:val="6"/>
        </w:numPr>
        <w:outlineLvl w:val="9"/>
        <w:rPr>
          <w:rFonts w:hint="eastAsia" w:ascii="仿宋" w:hAnsi="仿宋" w:eastAsia="仿宋" w:cs="仿宋"/>
          <w:sz w:val="22"/>
          <w:szCs w:val="22"/>
          <w:lang w:val="zh-TW" w:eastAsia="zh-TW" w:bidi="zh-TW"/>
        </w:rPr>
      </w:pPr>
      <w:bookmarkStart w:id="220" w:name="_Toc25722"/>
      <w:r>
        <w:rPr>
          <w:rFonts w:hint="eastAsia" w:ascii="仿宋" w:hAnsi="仿宋" w:eastAsia="仿宋" w:cs="仿宋"/>
          <w:sz w:val="22"/>
          <w:szCs w:val="22"/>
          <w:lang w:val="zh-TW" w:eastAsia="zh-TW" w:bidi="zh-TW"/>
        </w:rPr>
        <w:t>联系方式</w:t>
      </w:r>
      <w:bookmarkEnd w:id="220"/>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14:paraId="0D64E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0918C92B">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联系人</w:t>
            </w:r>
          </w:p>
        </w:tc>
        <w:tc>
          <w:tcPr>
            <w:tcW w:w="2130" w:type="dxa"/>
            <w:noWrap w:val="0"/>
            <w:vAlign w:val="top"/>
          </w:tcPr>
          <w:p w14:paraId="33FE2951">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职务</w:t>
            </w:r>
          </w:p>
        </w:tc>
        <w:tc>
          <w:tcPr>
            <w:tcW w:w="2131" w:type="dxa"/>
            <w:noWrap w:val="0"/>
            <w:vAlign w:val="top"/>
          </w:tcPr>
          <w:p w14:paraId="17954AC0">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地址</w:t>
            </w:r>
          </w:p>
        </w:tc>
        <w:tc>
          <w:tcPr>
            <w:tcW w:w="2131" w:type="dxa"/>
            <w:noWrap w:val="0"/>
            <w:vAlign w:val="top"/>
          </w:tcPr>
          <w:p w14:paraId="467D2EA9">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电话</w:t>
            </w:r>
          </w:p>
        </w:tc>
      </w:tr>
      <w:tr w14:paraId="199C7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709EB731">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闫恺</w:t>
            </w:r>
          </w:p>
        </w:tc>
        <w:tc>
          <w:tcPr>
            <w:tcW w:w="2130" w:type="dxa"/>
            <w:noWrap w:val="0"/>
            <w:vAlign w:val="top"/>
          </w:tcPr>
          <w:p w14:paraId="25573F50">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中信银行洛阳分行普惠金融部总经理</w:t>
            </w:r>
          </w:p>
        </w:tc>
        <w:tc>
          <w:tcPr>
            <w:tcW w:w="2131" w:type="dxa"/>
            <w:noWrap w:val="0"/>
            <w:vAlign w:val="top"/>
          </w:tcPr>
          <w:p w14:paraId="3587898F">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洛阳市西工区中州中路405号中信银行大厦1803室</w:t>
            </w:r>
          </w:p>
        </w:tc>
        <w:tc>
          <w:tcPr>
            <w:tcW w:w="2131" w:type="dxa"/>
            <w:noWrap w:val="0"/>
            <w:vAlign w:val="top"/>
          </w:tcPr>
          <w:p w14:paraId="40C54829">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15837959999</w:t>
            </w:r>
          </w:p>
        </w:tc>
      </w:tr>
      <w:tr w14:paraId="50075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09399283">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齐笑沛</w:t>
            </w:r>
          </w:p>
        </w:tc>
        <w:tc>
          <w:tcPr>
            <w:tcW w:w="2130" w:type="dxa"/>
            <w:noWrap w:val="0"/>
            <w:vAlign w:val="top"/>
          </w:tcPr>
          <w:p w14:paraId="5A0030FF">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中信银行洛阳分行普惠金融部客户经理</w:t>
            </w:r>
          </w:p>
        </w:tc>
        <w:tc>
          <w:tcPr>
            <w:tcW w:w="2131" w:type="dxa"/>
            <w:noWrap w:val="0"/>
            <w:vAlign w:val="top"/>
          </w:tcPr>
          <w:p w14:paraId="06A757C1">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洛阳市西工区中州中路405号中信银行大厦</w:t>
            </w:r>
          </w:p>
        </w:tc>
        <w:tc>
          <w:tcPr>
            <w:tcW w:w="2131" w:type="dxa"/>
            <w:noWrap w:val="0"/>
            <w:vAlign w:val="top"/>
          </w:tcPr>
          <w:p w14:paraId="25BC5E66">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13938852129</w:t>
            </w:r>
          </w:p>
        </w:tc>
      </w:tr>
    </w:tbl>
    <w:p w14:paraId="2F0BACB1">
      <w:pPr>
        <w:numPr>
          <w:ilvl w:val="0"/>
          <w:numId w:val="6"/>
        </w:numPr>
        <w:outlineLvl w:val="9"/>
        <w:rPr>
          <w:rFonts w:hint="eastAsia" w:ascii="仿宋" w:hAnsi="仿宋" w:eastAsia="仿宋" w:cs="仿宋"/>
          <w:sz w:val="22"/>
          <w:szCs w:val="22"/>
          <w:lang w:val="zh-TW" w:eastAsia="zh-TW" w:bidi="zh-TW"/>
        </w:rPr>
      </w:pPr>
      <w:bookmarkStart w:id="221" w:name="_Toc12807"/>
      <w:r>
        <w:rPr>
          <w:rFonts w:hint="eastAsia" w:ascii="仿宋" w:hAnsi="仿宋" w:eastAsia="仿宋" w:cs="仿宋"/>
          <w:sz w:val="22"/>
          <w:szCs w:val="22"/>
          <w:lang w:val="zh-TW" w:eastAsia="zh-TW" w:bidi="zh-TW"/>
        </w:rPr>
        <w:t>融资产品介绍：</w:t>
      </w:r>
      <w:bookmarkEnd w:id="221"/>
    </w:p>
    <w:p w14:paraId="2A565528">
      <w:pPr>
        <w:numPr>
          <w:ilvl w:val="0"/>
          <w:numId w:val="7"/>
        </w:numP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中信银行政府采购贷是在政府采购公开招标采购方式下，中信银行根据采购中标通知书或合同，为小微企业提供的流动资金贷款业务。</w:t>
      </w:r>
    </w:p>
    <w:p w14:paraId="0FA1F857">
      <w:pPr>
        <w:numPr>
          <w:ilvl w:val="0"/>
          <w:numId w:val="7"/>
        </w:numP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产品适用范围：中标河南省政府采购项目和洛阳市政府采购项目的全省所有小微企业。</w:t>
      </w:r>
    </w:p>
    <w:p w14:paraId="722EEBC0">
      <w:pPr>
        <w:numPr>
          <w:ilvl w:val="0"/>
          <w:numId w:val="7"/>
        </w:numP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贷款额度：额度为中标合同金额的90%，最高1000万元。</w:t>
      </w:r>
    </w:p>
    <w:p w14:paraId="2A311913">
      <w:pPr>
        <w:numPr>
          <w:ilvl w:val="0"/>
          <w:numId w:val="7"/>
        </w:numP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申请路径：联系中信银行洛阳分行普惠金融部，提供企业基础资料及中标相关资料，资料齐全1个工作日即可审批完结。</w:t>
      </w:r>
    </w:p>
    <w:p w14:paraId="18751863">
      <w:pPr>
        <w:numPr>
          <w:ilvl w:val="0"/>
          <w:numId w:val="7"/>
        </w:numPr>
        <w:rPr>
          <w:rFonts w:hint="eastAsia" w:ascii="仿宋" w:hAnsi="仿宋" w:eastAsia="仿宋" w:cs="仿宋"/>
          <w:b/>
          <w:bCs/>
          <w:sz w:val="28"/>
          <w:szCs w:val="36"/>
        </w:rPr>
      </w:pPr>
      <w:r>
        <w:rPr>
          <w:rFonts w:hint="eastAsia" w:ascii="仿宋" w:hAnsi="仿宋" w:eastAsia="仿宋" w:cs="仿宋"/>
          <w:sz w:val="22"/>
          <w:szCs w:val="22"/>
          <w:lang w:val="zh-TW" w:eastAsia="zh-TW" w:bidi="zh-TW"/>
        </w:rPr>
        <w:t>优惠政策：中标政府采购贷款的小微企业可在中信银行普惠金融享受优质客户的最优惠利率、减免相关费用、提供小微企业专属金融服务方案。</w:t>
      </w:r>
    </w:p>
    <w:p w14:paraId="2F7DA2F7">
      <w:pPr>
        <w:ind w:firstLine="488" w:firstLineChars="196"/>
        <w:jc w:val="center"/>
        <w:outlineLvl w:val="9"/>
        <w:rPr>
          <w:rFonts w:hint="eastAsia" w:ascii="仿宋" w:hAnsi="仿宋" w:eastAsia="仿宋" w:cs="仿宋"/>
          <w:b/>
          <w:bCs/>
          <w:sz w:val="28"/>
          <w:szCs w:val="36"/>
        </w:rPr>
      </w:pPr>
      <w:bookmarkStart w:id="222" w:name="_Toc11558"/>
      <w:r>
        <w:rPr>
          <w:rFonts w:hint="eastAsia" w:ascii="仿宋" w:hAnsi="仿宋" w:eastAsia="仿宋" w:cs="仿宋"/>
          <w:b/>
          <w:bCs/>
          <w:sz w:val="28"/>
          <w:szCs w:val="36"/>
        </w:rPr>
        <w:t>招商银行政府采购融资贷联系方式</w:t>
      </w:r>
      <w:bookmarkEnd w:id="222"/>
    </w:p>
    <w:p w14:paraId="0144EB89">
      <w:pPr>
        <w:ind w:firstLine="488" w:firstLineChars="196"/>
        <w:jc w:val="center"/>
        <w:outlineLvl w:val="9"/>
        <w:rPr>
          <w:rFonts w:hint="eastAsia" w:ascii="仿宋" w:hAnsi="仿宋" w:eastAsia="仿宋" w:cs="仿宋"/>
          <w:b/>
          <w:bCs/>
          <w:sz w:val="28"/>
          <w:szCs w:val="36"/>
        </w:rPr>
      </w:pPr>
      <w:bookmarkStart w:id="223" w:name="_Toc12388"/>
      <w:r>
        <w:rPr>
          <w:rFonts w:hint="eastAsia" w:ascii="仿宋" w:hAnsi="仿宋" w:eastAsia="仿宋" w:cs="仿宋"/>
          <w:b/>
          <w:bCs/>
          <w:sz w:val="28"/>
          <w:szCs w:val="36"/>
        </w:rPr>
        <w:t>及融资产品介绍</w:t>
      </w:r>
      <w:bookmarkEnd w:id="223"/>
    </w:p>
    <w:p w14:paraId="63A06861">
      <w:pPr>
        <w:pStyle w:val="85"/>
        <w:numPr>
          <w:ilvl w:val="0"/>
          <w:numId w:val="8"/>
        </w:numPr>
        <w:spacing w:line="480" w:lineRule="auto"/>
        <w:ind w:firstLineChars="0"/>
        <w:outlineLvl w:val="9"/>
        <w:rPr>
          <w:rFonts w:hint="eastAsia" w:ascii="仿宋" w:hAnsi="仿宋" w:eastAsia="仿宋" w:cs="仿宋"/>
          <w:sz w:val="22"/>
          <w:szCs w:val="22"/>
          <w:lang w:val="zh-TW" w:eastAsia="zh-TW" w:bidi="zh-TW"/>
        </w:rPr>
      </w:pPr>
      <w:bookmarkStart w:id="224" w:name="_Toc10508"/>
      <w:r>
        <w:rPr>
          <w:rFonts w:hint="eastAsia" w:ascii="仿宋" w:hAnsi="仿宋" w:eastAsia="仿宋" w:cs="仿宋"/>
          <w:sz w:val="22"/>
          <w:szCs w:val="22"/>
          <w:lang w:val="zh-TW" w:eastAsia="zh-TW" w:bidi="zh-TW"/>
        </w:rPr>
        <w:t>联系方式：</w:t>
      </w:r>
      <w:bookmarkEnd w:id="224"/>
    </w:p>
    <w:tbl>
      <w:tblPr>
        <w:tblStyle w:val="6"/>
        <w:tblW w:w="9782" w:type="dxa"/>
        <w:tblInd w:w="-176" w:type="dxa"/>
        <w:tblLayout w:type="fixed"/>
        <w:tblCellMar>
          <w:top w:w="0" w:type="dxa"/>
          <w:left w:w="108" w:type="dxa"/>
          <w:bottom w:w="0" w:type="dxa"/>
          <w:right w:w="108" w:type="dxa"/>
        </w:tblCellMar>
      </w:tblPr>
      <w:tblGrid>
        <w:gridCol w:w="1135"/>
        <w:gridCol w:w="1417"/>
        <w:gridCol w:w="3261"/>
        <w:gridCol w:w="3118"/>
        <w:gridCol w:w="851"/>
      </w:tblGrid>
      <w:tr w14:paraId="50EB7C12">
        <w:tblPrEx>
          <w:tblCellMar>
            <w:top w:w="0" w:type="dxa"/>
            <w:left w:w="108" w:type="dxa"/>
            <w:bottom w:w="0" w:type="dxa"/>
            <w:right w:w="108" w:type="dxa"/>
          </w:tblCellMar>
        </w:tblPrEx>
        <w:trPr>
          <w:trHeight w:val="270" w:hRule="atLeast"/>
        </w:trPr>
        <w:tc>
          <w:tcPr>
            <w:tcW w:w="1135" w:type="dxa"/>
            <w:tcBorders>
              <w:top w:val="single" w:color="auto" w:sz="4" w:space="0"/>
              <w:left w:val="single" w:color="auto" w:sz="4" w:space="0"/>
              <w:bottom w:val="single" w:color="auto" w:sz="4" w:space="0"/>
              <w:right w:val="single" w:color="auto" w:sz="4" w:space="0"/>
            </w:tcBorders>
            <w:noWrap w:val="0"/>
            <w:vAlign w:val="center"/>
          </w:tcPr>
          <w:p w14:paraId="2BAF907B">
            <w:pPr>
              <w:widowControl/>
              <w:spacing w:line="276" w:lineRule="auto"/>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联系人</w:t>
            </w:r>
          </w:p>
        </w:tc>
        <w:tc>
          <w:tcPr>
            <w:tcW w:w="1417" w:type="dxa"/>
            <w:tcBorders>
              <w:top w:val="single" w:color="auto" w:sz="4" w:space="0"/>
              <w:left w:val="nil"/>
              <w:bottom w:val="single" w:color="auto" w:sz="4" w:space="0"/>
              <w:right w:val="single" w:color="auto" w:sz="4" w:space="0"/>
            </w:tcBorders>
            <w:noWrap w:val="0"/>
            <w:vAlign w:val="center"/>
          </w:tcPr>
          <w:p w14:paraId="7E546966">
            <w:pPr>
              <w:widowControl/>
              <w:spacing w:line="276" w:lineRule="auto"/>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职务</w:t>
            </w:r>
          </w:p>
        </w:tc>
        <w:tc>
          <w:tcPr>
            <w:tcW w:w="3261" w:type="dxa"/>
            <w:tcBorders>
              <w:top w:val="single" w:color="auto" w:sz="4" w:space="0"/>
              <w:left w:val="nil"/>
              <w:bottom w:val="single" w:color="auto" w:sz="4" w:space="0"/>
              <w:right w:val="single" w:color="auto" w:sz="4" w:space="0"/>
            </w:tcBorders>
            <w:noWrap w:val="0"/>
            <w:vAlign w:val="center"/>
          </w:tcPr>
          <w:p w14:paraId="3CD2E58B">
            <w:pPr>
              <w:widowControl/>
              <w:spacing w:line="276" w:lineRule="auto"/>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地址</w:t>
            </w:r>
          </w:p>
        </w:tc>
        <w:tc>
          <w:tcPr>
            <w:tcW w:w="3118" w:type="dxa"/>
            <w:tcBorders>
              <w:top w:val="single" w:color="auto" w:sz="4" w:space="0"/>
              <w:left w:val="nil"/>
              <w:bottom w:val="single" w:color="auto" w:sz="4" w:space="0"/>
              <w:right w:val="single" w:color="auto" w:sz="4" w:space="0"/>
            </w:tcBorders>
            <w:noWrap w:val="0"/>
            <w:vAlign w:val="center"/>
          </w:tcPr>
          <w:p w14:paraId="72947648">
            <w:pPr>
              <w:widowControl/>
              <w:spacing w:line="276" w:lineRule="auto"/>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电话</w:t>
            </w:r>
          </w:p>
        </w:tc>
        <w:tc>
          <w:tcPr>
            <w:tcW w:w="851" w:type="dxa"/>
            <w:tcBorders>
              <w:top w:val="single" w:color="auto" w:sz="4" w:space="0"/>
              <w:left w:val="nil"/>
              <w:bottom w:val="single" w:color="auto" w:sz="4" w:space="0"/>
              <w:right w:val="single" w:color="auto" w:sz="4" w:space="0"/>
            </w:tcBorders>
            <w:noWrap w:val="0"/>
            <w:vAlign w:val="center"/>
          </w:tcPr>
          <w:p w14:paraId="5CDB278F">
            <w:pPr>
              <w:widowControl/>
              <w:spacing w:line="480" w:lineRule="auto"/>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备注</w:t>
            </w:r>
          </w:p>
        </w:tc>
      </w:tr>
      <w:tr w14:paraId="5A2A8D18">
        <w:tblPrEx>
          <w:tblCellMar>
            <w:top w:w="0" w:type="dxa"/>
            <w:left w:w="108" w:type="dxa"/>
            <w:bottom w:w="0" w:type="dxa"/>
            <w:right w:w="108" w:type="dxa"/>
          </w:tblCellMar>
        </w:tblPrEx>
        <w:trPr>
          <w:trHeight w:val="270" w:hRule="atLeast"/>
        </w:trPr>
        <w:tc>
          <w:tcPr>
            <w:tcW w:w="1135" w:type="dxa"/>
            <w:tcBorders>
              <w:top w:val="nil"/>
              <w:left w:val="single" w:color="auto" w:sz="4" w:space="0"/>
              <w:bottom w:val="single" w:color="auto" w:sz="4" w:space="0"/>
              <w:right w:val="single" w:color="auto" w:sz="4" w:space="0"/>
            </w:tcBorders>
            <w:noWrap w:val="0"/>
            <w:vAlign w:val="center"/>
          </w:tcPr>
          <w:p w14:paraId="5C534069">
            <w:pPr>
              <w:widowControl/>
              <w:spacing w:line="276" w:lineRule="auto"/>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平凡</w:t>
            </w:r>
          </w:p>
        </w:tc>
        <w:tc>
          <w:tcPr>
            <w:tcW w:w="1417" w:type="dxa"/>
            <w:tcBorders>
              <w:top w:val="nil"/>
              <w:left w:val="nil"/>
              <w:bottom w:val="single" w:color="auto" w:sz="4" w:space="0"/>
              <w:right w:val="single" w:color="auto" w:sz="4" w:space="0"/>
            </w:tcBorders>
            <w:noWrap w:val="0"/>
            <w:vAlign w:val="center"/>
          </w:tcPr>
          <w:p w14:paraId="78AAB54D">
            <w:pPr>
              <w:widowControl/>
              <w:spacing w:line="276" w:lineRule="auto"/>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产品经理</w:t>
            </w:r>
          </w:p>
        </w:tc>
        <w:tc>
          <w:tcPr>
            <w:tcW w:w="3261" w:type="dxa"/>
            <w:tcBorders>
              <w:top w:val="nil"/>
              <w:left w:val="nil"/>
              <w:bottom w:val="single" w:color="auto" w:sz="4" w:space="0"/>
              <w:right w:val="single" w:color="auto" w:sz="4" w:space="0"/>
            </w:tcBorders>
            <w:noWrap w:val="0"/>
            <w:vAlign w:val="center"/>
          </w:tcPr>
          <w:p w14:paraId="602C2661">
            <w:pPr>
              <w:widowControl/>
              <w:spacing w:line="276" w:lineRule="auto"/>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洛阳市涧西区南昌路7号西苑大厦</w:t>
            </w:r>
          </w:p>
        </w:tc>
        <w:tc>
          <w:tcPr>
            <w:tcW w:w="3118" w:type="dxa"/>
            <w:tcBorders>
              <w:top w:val="nil"/>
              <w:left w:val="nil"/>
              <w:bottom w:val="single" w:color="auto" w:sz="4" w:space="0"/>
              <w:right w:val="single" w:color="auto" w:sz="4" w:space="0"/>
            </w:tcBorders>
            <w:noWrap w:val="0"/>
            <w:vAlign w:val="center"/>
          </w:tcPr>
          <w:p w14:paraId="33735640">
            <w:pPr>
              <w:widowControl/>
              <w:spacing w:line="276" w:lineRule="auto"/>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0379-65119671 13461051216</w:t>
            </w:r>
          </w:p>
        </w:tc>
        <w:tc>
          <w:tcPr>
            <w:tcW w:w="851" w:type="dxa"/>
            <w:tcBorders>
              <w:top w:val="nil"/>
              <w:left w:val="nil"/>
              <w:bottom w:val="single" w:color="auto" w:sz="4" w:space="0"/>
              <w:right w:val="single" w:color="auto" w:sz="4" w:space="0"/>
            </w:tcBorders>
            <w:noWrap w:val="0"/>
            <w:vAlign w:val="center"/>
          </w:tcPr>
          <w:p w14:paraId="3FD1817E">
            <w:pPr>
              <w:widowControl/>
              <w:spacing w:line="480" w:lineRule="auto"/>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　</w:t>
            </w:r>
          </w:p>
        </w:tc>
      </w:tr>
      <w:tr w14:paraId="23C1C92C">
        <w:tblPrEx>
          <w:tblCellMar>
            <w:top w:w="0" w:type="dxa"/>
            <w:left w:w="108" w:type="dxa"/>
            <w:bottom w:w="0" w:type="dxa"/>
            <w:right w:w="108" w:type="dxa"/>
          </w:tblCellMar>
        </w:tblPrEx>
        <w:trPr>
          <w:trHeight w:val="270" w:hRule="atLeast"/>
        </w:trPr>
        <w:tc>
          <w:tcPr>
            <w:tcW w:w="1135" w:type="dxa"/>
            <w:tcBorders>
              <w:top w:val="nil"/>
              <w:left w:val="single" w:color="auto" w:sz="4" w:space="0"/>
              <w:bottom w:val="single" w:color="auto" w:sz="4" w:space="0"/>
              <w:right w:val="single" w:color="auto" w:sz="4" w:space="0"/>
            </w:tcBorders>
            <w:noWrap w:val="0"/>
            <w:vAlign w:val="center"/>
          </w:tcPr>
          <w:p w14:paraId="3289FA31">
            <w:pPr>
              <w:widowControl/>
              <w:spacing w:line="276" w:lineRule="auto"/>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王伊宁</w:t>
            </w:r>
          </w:p>
        </w:tc>
        <w:tc>
          <w:tcPr>
            <w:tcW w:w="1417" w:type="dxa"/>
            <w:tcBorders>
              <w:top w:val="nil"/>
              <w:left w:val="nil"/>
              <w:bottom w:val="single" w:color="auto" w:sz="4" w:space="0"/>
              <w:right w:val="single" w:color="auto" w:sz="4" w:space="0"/>
            </w:tcBorders>
            <w:noWrap w:val="0"/>
            <w:vAlign w:val="center"/>
          </w:tcPr>
          <w:p w14:paraId="5AC45774">
            <w:pPr>
              <w:widowControl/>
              <w:spacing w:line="276" w:lineRule="auto"/>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客户经理</w:t>
            </w:r>
          </w:p>
        </w:tc>
        <w:tc>
          <w:tcPr>
            <w:tcW w:w="3261" w:type="dxa"/>
            <w:tcBorders>
              <w:top w:val="nil"/>
              <w:left w:val="nil"/>
              <w:bottom w:val="single" w:color="auto" w:sz="4" w:space="0"/>
              <w:right w:val="single" w:color="auto" w:sz="4" w:space="0"/>
            </w:tcBorders>
            <w:noWrap w:val="0"/>
            <w:vAlign w:val="center"/>
          </w:tcPr>
          <w:p w14:paraId="74288113">
            <w:pPr>
              <w:widowControl/>
              <w:spacing w:line="276" w:lineRule="auto"/>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洛阳市涧西区南昌路7号西苑大厦</w:t>
            </w:r>
          </w:p>
        </w:tc>
        <w:tc>
          <w:tcPr>
            <w:tcW w:w="3118" w:type="dxa"/>
            <w:tcBorders>
              <w:top w:val="nil"/>
              <w:left w:val="nil"/>
              <w:bottom w:val="single" w:color="auto" w:sz="4" w:space="0"/>
              <w:right w:val="single" w:color="auto" w:sz="4" w:space="0"/>
            </w:tcBorders>
            <w:noWrap w:val="0"/>
            <w:vAlign w:val="center"/>
          </w:tcPr>
          <w:p w14:paraId="22DBFE21">
            <w:pPr>
              <w:widowControl/>
              <w:spacing w:line="276" w:lineRule="auto"/>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0379-65119711 13683861133</w:t>
            </w:r>
          </w:p>
        </w:tc>
        <w:tc>
          <w:tcPr>
            <w:tcW w:w="851" w:type="dxa"/>
            <w:tcBorders>
              <w:top w:val="nil"/>
              <w:left w:val="nil"/>
              <w:bottom w:val="single" w:color="auto" w:sz="4" w:space="0"/>
              <w:right w:val="single" w:color="auto" w:sz="4" w:space="0"/>
            </w:tcBorders>
            <w:noWrap w:val="0"/>
            <w:vAlign w:val="center"/>
          </w:tcPr>
          <w:p w14:paraId="4BA76B64">
            <w:pPr>
              <w:widowControl/>
              <w:spacing w:line="480" w:lineRule="auto"/>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　</w:t>
            </w:r>
          </w:p>
        </w:tc>
      </w:tr>
    </w:tbl>
    <w:p w14:paraId="3D1C9964">
      <w:pPr>
        <w:pStyle w:val="85"/>
        <w:numPr>
          <w:ilvl w:val="0"/>
          <w:numId w:val="8"/>
        </w:numPr>
        <w:spacing w:line="480" w:lineRule="auto"/>
        <w:ind w:firstLineChars="0"/>
        <w:outlineLvl w:val="9"/>
        <w:rPr>
          <w:rFonts w:hint="eastAsia" w:ascii="仿宋" w:hAnsi="仿宋" w:eastAsia="仿宋" w:cs="仿宋"/>
          <w:sz w:val="22"/>
          <w:szCs w:val="22"/>
          <w:lang w:val="zh-TW" w:eastAsia="zh-TW" w:bidi="zh-TW"/>
        </w:rPr>
      </w:pPr>
      <w:bookmarkStart w:id="225" w:name="_Toc22367"/>
      <w:r>
        <w:rPr>
          <w:rFonts w:hint="eastAsia" w:ascii="仿宋" w:hAnsi="仿宋" w:eastAsia="仿宋" w:cs="仿宋"/>
          <w:sz w:val="22"/>
          <w:szCs w:val="22"/>
          <w:lang w:val="zh-TW" w:eastAsia="zh-TW" w:bidi="zh-TW"/>
        </w:rPr>
        <w:t>融资产品介绍：</w:t>
      </w:r>
      <w:bookmarkEnd w:id="225"/>
    </w:p>
    <w:p w14:paraId="7A208E90">
      <w:pPr>
        <w:ind w:firstLine="371" w:firstLineChars="196"/>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1、产品介绍：我行针对政府采购合同融资的产品为“政采贷”，是指我行针对政府采购招投标中标供应商，结合其中标项目、采购合同、综合履约能力提供用于履行政府采购合同、并以该合同项下未来应收账款为第一还款来源的综合授信，授信品种包括流动资金贷款、银行承兑汇票、国内信用证等，目前我行该产品主要有线上及线下两种模式；</w:t>
      </w:r>
    </w:p>
    <w:p w14:paraId="5D7305D8">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我行郑州分行机构内已设置专业团队负责政府采购合同融资业务办理，已于2018年成功对接河南省财政厅实现政府采购系统的数据互通，开展线上模式的政府采购融资业务；</w:t>
      </w:r>
    </w:p>
    <w:p w14:paraId="5BAEDED2">
      <w:pPr>
        <w:numPr>
          <w:ilvl w:val="0"/>
          <w:numId w:val="9"/>
        </w:numPr>
        <w:ind w:firstLine="371" w:firstLineChars="196"/>
        <w:jc w:val="left"/>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申请路径：政采网直接发起融资意向申请或招行小程序/APP等多维度线上、线下渠道申请</w:t>
      </w:r>
    </w:p>
    <w:p w14:paraId="1A83EB43">
      <w:pPr>
        <w:jc w:val="center"/>
        <w:rPr>
          <w:rFonts w:hint="eastAsia" w:ascii="仿宋" w:hAnsi="仿宋" w:eastAsia="仿宋" w:cs="仿宋"/>
          <w:sz w:val="22"/>
          <w:szCs w:val="22"/>
          <w:lang w:val="zh-TW" w:bidi="zh-TW"/>
        </w:rPr>
      </w:pPr>
      <w:r>
        <w:rPr>
          <w:rFonts w:hint="eastAsia" w:ascii="仿宋" w:hAnsi="仿宋" w:eastAsia="仿宋" w:cs="仿宋"/>
          <w:sz w:val="22"/>
          <w:szCs w:val="22"/>
        </w:rPr>
        <w:drawing>
          <wp:inline distT="0" distB="0" distL="114300" distR="114300">
            <wp:extent cx="2448560" cy="1397000"/>
            <wp:effectExtent l="0" t="0" r="8890" b="12700"/>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22"/>
                    <a:stretch>
                      <a:fillRect/>
                    </a:stretch>
                  </pic:blipFill>
                  <pic:spPr>
                    <a:xfrm>
                      <a:off x="0" y="0"/>
                      <a:ext cx="2448560" cy="1397000"/>
                    </a:xfrm>
                    <a:prstGeom prst="rect">
                      <a:avLst/>
                    </a:prstGeom>
                    <a:noFill/>
                    <a:ln>
                      <a:noFill/>
                    </a:ln>
                  </pic:spPr>
                </pic:pic>
              </a:graphicData>
            </a:graphic>
          </wp:inline>
        </w:drawing>
      </w:r>
    </w:p>
    <w:p w14:paraId="13BDF09D">
      <w:pPr>
        <w:spacing w:line="500" w:lineRule="exact"/>
        <w:ind w:firstLine="378" w:firstLineChars="200"/>
        <w:jc w:val="left"/>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3、利率：为切实降低中小微企业融资成本，我行严格执行普惠金融利率政策，对符合标准的普惠小微贷款业务一定补贴优惠；</w:t>
      </w:r>
    </w:p>
    <w:p w14:paraId="5697DBD6">
      <w:pPr>
        <w:spacing w:line="500" w:lineRule="exact"/>
        <w:ind w:firstLine="371" w:firstLineChars="196"/>
        <w:jc w:val="left"/>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4、业务流程：对有融资意向的中小微企业申报材料齐全完备---授信审批（7工作日内）---合同备案---放款（合同备案完成之后5工作日内）；</w:t>
      </w:r>
    </w:p>
    <w:p w14:paraId="4D19DC88">
      <w:pPr>
        <w:spacing w:line="500" w:lineRule="exact"/>
        <w:ind w:firstLine="371" w:firstLineChars="196"/>
        <w:jc w:val="left"/>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5、风控措施：回款锁定——保证融资申请人在我行进行融资的政府采购商务合同所对应回款的账户唯一性；选择已备案的采购合同放款；</w:t>
      </w:r>
    </w:p>
    <w:p w14:paraId="5278BF5E">
      <w:pPr>
        <w:spacing w:line="500" w:lineRule="exact"/>
        <w:ind w:firstLine="371" w:firstLineChars="196"/>
        <w:jc w:val="left"/>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6、客户准入：</w:t>
      </w:r>
    </w:p>
    <w:p w14:paraId="3DA9BD99">
      <w:pPr>
        <w:spacing w:line="500" w:lineRule="exact"/>
        <w:ind w:firstLine="371" w:firstLineChars="196"/>
        <w:jc w:val="left"/>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 xml:space="preserve">采购单位 </w:t>
      </w:r>
    </w:p>
    <w:p w14:paraId="5C967D35">
      <w:pPr>
        <w:numPr>
          <w:ilvl w:val="0"/>
          <w:numId w:val="10"/>
        </w:numPr>
        <w:spacing w:line="500" w:lineRule="exact"/>
        <w:jc w:val="left"/>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 xml:space="preserve">区县及以上政府机构；由上述政府统筹付款的二甲以上公立医院、学校、科研机构等事业单位； </w:t>
      </w:r>
    </w:p>
    <w:p w14:paraId="60C31CD4">
      <w:pPr>
        <w:numPr>
          <w:ilvl w:val="0"/>
          <w:numId w:val="10"/>
        </w:numPr>
        <w:spacing w:line="500" w:lineRule="exact"/>
        <w:jc w:val="left"/>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付款记录良好，无拖欠大额工程款、采购款、逃废银行债务等不良记录；</w:t>
      </w:r>
    </w:p>
    <w:p w14:paraId="26B3015F">
      <w:pPr>
        <w:spacing w:line="500" w:lineRule="exact"/>
        <w:ind w:firstLine="555" w:firstLineChars="294"/>
        <w:jc w:val="left"/>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 xml:space="preserve">采购项目 </w:t>
      </w:r>
    </w:p>
    <w:p w14:paraId="6D5A9C43">
      <w:pPr>
        <w:numPr>
          <w:ilvl w:val="0"/>
          <w:numId w:val="11"/>
        </w:numPr>
        <w:spacing w:line="500" w:lineRule="exact"/>
        <w:jc w:val="left"/>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 xml:space="preserve">优先支持货物、服务类采购，稳妥介入建设工程类采购； </w:t>
      </w:r>
    </w:p>
    <w:p w14:paraId="2C003F4F">
      <w:pPr>
        <w:numPr>
          <w:ilvl w:val="0"/>
          <w:numId w:val="11"/>
        </w:numPr>
        <w:spacing w:line="500" w:lineRule="exact"/>
        <w:jc w:val="left"/>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上一年履行或本年中标采购合同金额占企业销售收入达到一定比例；</w:t>
      </w:r>
    </w:p>
    <w:p w14:paraId="03978BBA">
      <w:pPr>
        <w:numPr>
          <w:ilvl w:val="0"/>
          <w:numId w:val="11"/>
        </w:numPr>
        <w:spacing w:line="500" w:lineRule="exact"/>
        <w:jc w:val="left"/>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 xml:space="preserve">未在他行办理以同一采购合同为贸易背景的融资业务； </w:t>
      </w:r>
    </w:p>
    <w:p w14:paraId="7235F053">
      <w:pPr>
        <w:numPr>
          <w:ilvl w:val="0"/>
          <w:numId w:val="11"/>
        </w:numPr>
        <w:spacing w:line="500" w:lineRule="exact"/>
        <w:jc w:val="left"/>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 xml:space="preserve">基于政府采购中标总额和实际采购合同办理融资,额度最高可达到2000万，期限最长1年； </w:t>
      </w:r>
    </w:p>
    <w:p w14:paraId="6A7C15AE">
      <w:pPr>
        <w:pStyle w:val="13"/>
        <w:ind w:firstLine="0"/>
        <w:rPr>
          <w:rFonts w:hint="eastAsia" w:ascii="仿宋" w:hAnsi="仿宋" w:eastAsia="仿宋" w:cs="仿宋"/>
          <w:spacing w:val="14"/>
          <w:szCs w:val="21"/>
          <w:lang w:eastAsia="zh-CN"/>
        </w:rPr>
      </w:pPr>
      <w:r>
        <w:rPr>
          <w:rFonts w:hint="eastAsia" w:ascii="仿宋" w:hAnsi="仿宋" w:eastAsia="仿宋" w:cs="仿宋"/>
          <w:sz w:val="22"/>
          <w:szCs w:val="22"/>
          <w:lang w:val="zh-TW" w:eastAsia="zh-TW" w:bidi="zh-TW"/>
        </w:rPr>
        <w:t>线上+线下用款模式结合，线上随借随还，资金支付灵活。</w:t>
      </w:r>
    </w:p>
    <w:p w14:paraId="7682AE8B">
      <w:pPr>
        <w:jc w:val="center"/>
        <w:outlineLvl w:val="0"/>
        <w:rPr>
          <w:rFonts w:hint="eastAsia" w:ascii="仿宋" w:hAnsi="仿宋" w:eastAsia="仿宋" w:cs="宋体"/>
          <w:b/>
          <w:bCs/>
          <w:sz w:val="32"/>
          <w:szCs w:val="32"/>
        </w:rPr>
      </w:pPr>
      <w:r>
        <w:rPr>
          <w:rFonts w:hint="eastAsia" w:ascii="仿宋" w:hAnsi="仿宋" w:eastAsia="仿宋" w:cs="宋体"/>
          <w:szCs w:val="21"/>
        </w:rPr>
        <w:br w:type="page"/>
      </w:r>
      <w:bookmarkStart w:id="226" w:name="_Toc504741948"/>
      <w:bookmarkEnd w:id="226"/>
      <w:bookmarkStart w:id="227" w:name="_Toc14057"/>
      <w:bookmarkEnd w:id="227"/>
      <w:bookmarkStart w:id="228" w:name="_Toc1662646"/>
      <w:bookmarkEnd w:id="228"/>
      <w:bookmarkStart w:id="229" w:name="_Toc9101"/>
      <w:bookmarkEnd w:id="229"/>
      <w:bookmarkStart w:id="230" w:name="_Toc256000049"/>
      <w:bookmarkEnd w:id="230"/>
      <w:bookmarkStart w:id="231" w:name="_Toc256000020"/>
      <w:bookmarkEnd w:id="231"/>
      <w:bookmarkStart w:id="232" w:name="_Toc256000073"/>
      <w:bookmarkEnd w:id="232"/>
      <w:bookmarkStart w:id="233" w:name="_Toc16266"/>
      <w:bookmarkStart w:id="234" w:name="_Toc256000069"/>
      <w:bookmarkStart w:id="235" w:name="_Toc14109"/>
      <w:bookmarkStart w:id="236" w:name="_Toc130305941"/>
      <w:r>
        <w:rPr>
          <w:rFonts w:hint="eastAsia" w:ascii="仿宋" w:hAnsi="仿宋" w:eastAsia="仿宋" w:cs="宋体"/>
          <w:b/>
          <w:bCs/>
          <w:sz w:val="32"/>
          <w:szCs w:val="32"/>
        </w:rPr>
        <w:t xml:space="preserve">第五章  </w:t>
      </w:r>
      <w:bookmarkEnd w:id="233"/>
      <w:r>
        <w:rPr>
          <w:rFonts w:hint="eastAsia" w:ascii="仿宋" w:hAnsi="仿宋" w:eastAsia="仿宋" w:cs="宋体"/>
          <w:b/>
          <w:bCs/>
          <w:sz w:val="32"/>
          <w:szCs w:val="32"/>
        </w:rPr>
        <w:t>资格审查与评审办法</w:t>
      </w:r>
      <w:bookmarkEnd w:id="234"/>
      <w:bookmarkEnd w:id="235"/>
      <w:bookmarkEnd w:id="236"/>
    </w:p>
    <w:p w14:paraId="039E12E9">
      <w:pPr>
        <w:keepNext/>
        <w:keepLines/>
        <w:spacing w:before="260" w:after="260" w:line="400" w:lineRule="exact"/>
        <w:outlineLvl w:val="2"/>
        <w:rPr>
          <w:rFonts w:hint="eastAsia" w:ascii="仿宋" w:hAnsi="仿宋" w:eastAsia="仿宋"/>
          <w:b/>
          <w:bCs/>
          <w:sz w:val="28"/>
          <w:szCs w:val="28"/>
        </w:rPr>
      </w:pPr>
      <w:bookmarkStart w:id="237" w:name="_Toc1662647"/>
      <w:bookmarkEnd w:id="237"/>
      <w:bookmarkStart w:id="238" w:name="_Toc31778"/>
      <w:bookmarkEnd w:id="238"/>
      <w:bookmarkStart w:id="239" w:name="_Toc256000074"/>
      <w:bookmarkEnd w:id="239"/>
      <w:bookmarkStart w:id="240" w:name="_Toc256000050"/>
      <w:bookmarkEnd w:id="240"/>
      <w:bookmarkStart w:id="241" w:name="_Toc256000021"/>
      <w:bookmarkEnd w:id="241"/>
      <w:bookmarkStart w:id="242" w:name="_Toc130305942"/>
      <w:bookmarkStart w:id="243" w:name="_Toc4080"/>
      <w:bookmarkStart w:id="244" w:name="_Toc25682"/>
      <w:bookmarkStart w:id="245" w:name="_Toc14280"/>
      <w:bookmarkStart w:id="246" w:name="_Toc256000070"/>
      <w:bookmarkStart w:id="247" w:name="_Toc31937"/>
      <w:r>
        <w:rPr>
          <w:rFonts w:hint="eastAsia" w:ascii="仿宋" w:hAnsi="仿宋" w:eastAsia="仿宋"/>
          <w:b/>
          <w:bCs/>
          <w:sz w:val="28"/>
          <w:szCs w:val="28"/>
        </w:rPr>
        <w:t>1、评审方法</w:t>
      </w:r>
      <w:bookmarkEnd w:id="242"/>
      <w:bookmarkEnd w:id="243"/>
      <w:bookmarkEnd w:id="244"/>
      <w:bookmarkEnd w:id="245"/>
      <w:bookmarkEnd w:id="246"/>
      <w:bookmarkEnd w:id="247"/>
    </w:p>
    <w:p w14:paraId="2A087C6C">
      <w:pPr>
        <w:pStyle w:val="13"/>
        <w:spacing w:line="40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本次资格审查和符合性审查采用合格制，评审方法采用综合评分法。磋商小组对满足磋商文件实质性要求的响应文件，按照本章2.2 款规定的评分标准进行打分，按得分由高到低顺序推荐成交候选人，根据采购人授权直接确定成交人，但最后报价明显低于其他通过符合性审查的报价，且低于成本价的，有可能影响产品质量或者不能诚信履约的，磋商小组有权否决其投标。评审得分相同的，按最终报价由低到高顺序排列。得分且最终报价相同的，按技术标得分由高到低的顺序排列。得分、报价、技术标均相等，则由磋商小组投票决定成交人及成交候选人排名。</w:t>
      </w:r>
    </w:p>
    <w:p w14:paraId="67EB7539">
      <w:pPr>
        <w:keepNext/>
        <w:keepLines/>
        <w:spacing w:before="260" w:after="260" w:line="400" w:lineRule="exact"/>
        <w:outlineLvl w:val="2"/>
        <w:rPr>
          <w:rFonts w:hint="eastAsia" w:ascii="仿宋" w:hAnsi="仿宋" w:eastAsia="仿宋"/>
          <w:b/>
          <w:bCs/>
          <w:sz w:val="28"/>
          <w:szCs w:val="28"/>
        </w:rPr>
      </w:pPr>
      <w:bookmarkStart w:id="248" w:name="_Toc2220"/>
      <w:bookmarkEnd w:id="248"/>
      <w:bookmarkStart w:id="249" w:name="_Toc256000051"/>
      <w:bookmarkEnd w:id="249"/>
      <w:bookmarkStart w:id="250" w:name="_Toc26670"/>
      <w:bookmarkEnd w:id="250"/>
      <w:bookmarkStart w:id="251" w:name="_Toc256000075"/>
      <w:bookmarkEnd w:id="251"/>
      <w:bookmarkStart w:id="252" w:name="_Toc1662648"/>
      <w:bookmarkEnd w:id="252"/>
      <w:bookmarkStart w:id="253" w:name="_Toc256000022"/>
      <w:bookmarkStart w:id="254" w:name="_Toc32566"/>
      <w:bookmarkStart w:id="255" w:name="_Toc22303"/>
      <w:bookmarkStart w:id="256" w:name="_Toc256000071"/>
      <w:bookmarkStart w:id="257" w:name="_Toc9272"/>
      <w:bookmarkStart w:id="258" w:name="_Toc130305943"/>
      <w:r>
        <w:rPr>
          <w:rFonts w:hint="eastAsia" w:ascii="仿宋" w:hAnsi="仿宋" w:eastAsia="仿宋"/>
          <w:b/>
          <w:bCs/>
          <w:sz w:val="28"/>
          <w:szCs w:val="28"/>
        </w:rPr>
        <w:t>2、评审标准</w:t>
      </w:r>
      <w:bookmarkEnd w:id="253"/>
      <w:bookmarkEnd w:id="254"/>
      <w:bookmarkEnd w:id="255"/>
      <w:bookmarkEnd w:id="256"/>
      <w:bookmarkEnd w:id="257"/>
      <w:bookmarkEnd w:id="258"/>
    </w:p>
    <w:p w14:paraId="17F3953F">
      <w:pPr>
        <w:keepNext/>
        <w:keepLines/>
        <w:spacing w:line="400" w:lineRule="exact"/>
        <w:outlineLvl w:val="3"/>
        <w:rPr>
          <w:rFonts w:hint="eastAsia" w:ascii="仿宋" w:hAnsi="仿宋" w:eastAsia="仿宋" w:cs="Arial"/>
          <w:b/>
          <w:bCs/>
          <w:sz w:val="28"/>
          <w:szCs w:val="28"/>
        </w:rPr>
      </w:pPr>
      <w:bookmarkStart w:id="259" w:name="_Toc1662649"/>
      <w:bookmarkEnd w:id="259"/>
      <w:r>
        <w:rPr>
          <w:rFonts w:hint="eastAsia" w:ascii="仿宋" w:hAnsi="仿宋" w:eastAsia="仿宋" w:cs="Arial"/>
          <w:b/>
          <w:bCs/>
          <w:sz w:val="28"/>
          <w:szCs w:val="28"/>
        </w:rPr>
        <w:t>2.1 资格性审查与符合性审查标准</w:t>
      </w:r>
    </w:p>
    <w:p w14:paraId="056D9CE3">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2.1.1 资格性审查标准：见第六章。</w:t>
      </w:r>
    </w:p>
    <w:p w14:paraId="6D402E71">
      <w:pPr>
        <w:pStyle w:val="13"/>
        <w:spacing w:line="40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2.1.2 符合性审查标准：见第六章。</w:t>
      </w:r>
    </w:p>
    <w:p w14:paraId="2EA45E89">
      <w:pPr>
        <w:keepNext/>
        <w:keepLines/>
        <w:spacing w:line="400" w:lineRule="exact"/>
        <w:outlineLvl w:val="3"/>
        <w:rPr>
          <w:rFonts w:hint="eastAsia" w:ascii="仿宋" w:hAnsi="仿宋" w:eastAsia="仿宋" w:cs="Arial"/>
          <w:b/>
          <w:bCs/>
          <w:sz w:val="28"/>
          <w:szCs w:val="28"/>
        </w:rPr>
      </w:pPr>
      <w:bookmarkStart w:id="260" w:name="_Toc1662650"/>
      <w:bookmarkEnd w:id="260"/>
      <w:r>
        <w:rPr>
          <w:rFonts w:hint="eastAsia" w:ascii="仿宋" w:hAnsi="仿宋" w:eastAsia="仿宋" w:cs="Arial"/>
          <w:b/>
          <w:bCs/>
          <w:sz w:val="28"/>
          <w:szCs w:val="28"/>
        </w:rPr>
        <w:t>2.2 分值构成与评分标准</w:t>
      </w:r>
    </w:p>
    <w:p w14:paraId="1ED173A7">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2.2.1 分值构成见评分标准。</w:t>
      </w:r>
    </w:p>
    <w:p w14:paraId="7617B6F0">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2.2.2 评分标准：具体评分标准见第六章。</w:t>
      </w:r>
    </w:p>
    <w:p w14:paraId="12B1B86A">
      <w:pPr>
        <w:rPr>
          <w:rFonts w:hint="eastAsia" w:ascii="仿宋" w:hAnsi="仿宋" w:eastAsia="仿宋"/>
          <w:b/>
          <w:bCs/>
          <w:color w:val="auto"/>
          <w:spacing w:val="14"/>
          <w:sz w:val="28"/>
          <w:szCs w:val="32"/>
          <w:lang w:val="en-US" w:eastAsia="zh-CN"/>
        </w:rPr>
      </w:pPr>
      <w:r>
        <w:rPr>
          <w:rFonts w:hint="eastAsia" w:ascii="仿宋" w:hAnsi="仿宋" w:eastAsia="仿宋"/>
          <w:b/>
          <w:bCs/>
          <w:color w:val="auto"/>
          <w:spacing w:val="14"/>
          <w:sz w:val="28"/>
          <w:szCs w:val="32"/>
          <w:lang w:val="en-US" w:eastAsia="zh-CN"/>
        </w:rPr>
        <w:t xml:space="preserve">2.3暗标评审 </w:t>
      </w:r>
    </w:p>
    <w:p w14:paraId="2345EDDC">
      <w:pPr>
        <w:ind w:firstLine="474" w:firstLineChars="200"/>
        <w:rPr>
          <w:rFonts w:hint="eastAsia" w:ascii="仿宋" w:hAnsi="仿宋" w:eastAsia="仿宋" w:cs="Times New Roman"/>
          <w:b/>
          <w:bCs/>
          <w:spacing w:val="14"/>
          <w:kern w:val="0"/>
          <w:sz w:val="24"/>
          <w:szCs w:val="22"/>
        </w:rPr>
      </w:pPr>
      <w:r>
        <w:rPr>
          <w:rFonts w:hint="eastAsia" w:ascii="仿宋" w:hAnsi="仿宋" w:eastAsia="仿宋" w:cs="Times New Roman"/>
          <w:b/>
          <w:bCs/>
          <w:spacing w:val="14"/>
          <w:kern w:val="0"/>
          <w:sz w:val="24"/>
          <w:szCs w:val="22"/>
        </w:rPr>
        <w:t>2.</w:t>
      </w:r>
      <w:r>
        <w:rPr>
          <w:rFonts w:hint="eastAsia" w:ascii="仿宋" w:hAnsi="仿宋" w:eastAsia="仿宋" w:cs="Times New Roman"/>
          <w:b/>
          <w:bCs/>
          <w:spacing w:val="14"/>
          <w:kern w:val="0"/>
          <w:sz w:val="24"/>
          <w:szCs w:val="22"/>
          <w:lang w:val="en-US" w:eastAsia="zh-CN"/>
        </w:rPr>
        <w:t>3.</w:t>
      </w:r>
      <w:r>
        <w:rPr>
          <w:rFonts w:hint="eastAsia" w:ascii="仿宋" w:hAnsi="仿宋" w:eastAsia="仿宋" w:cs="Times New Roman"/>
          <w:b/>
          <w:bCs/>
          <w:spacing w:val="14"/>
          <w:kern w:val="0"/>
          <w:sz w:val="24"/>
          <w:szCs w:val="22"/>
        </w:rPr>
        <w:t>1</w:t>
      </w:r>
      <w:r>
        <w:rPr>
          <w:rFonts w:hint="eastAsia" w:ascii="仿宋" w:hAnsi="仿宋" w:eastAsia="仿宋" w:cs="Times New Roman"/>
          <w:b/>
          <w:bCs/>
          <w:spacing w:val="14"/>
          <w:kern w:val="0"/>
          <w:sz w:val="24"/>
          <w:szCs w:val="24"/>
          <w:highlight w:val="none"/>
        </w:rPr>
        <w:t>本次</w:t>
      </w:r>
      <w:r>
        <w:rPr>
          <w:rFonts w:hint="eastAsia" w:ascii="仿宋" w:hAnsi="仿宋" w:eastAsia="仿宋" w:cs="Times New Roman"/>
          <w:b/>
          <w:bCs/>
          <w:spacing w:val="14"/>
          <w:kern w:val="0"/>
          <w:sz w:val="24"/>
          <w:szCs w:val="24"/>
          <w:highlight w:val="none"/>
          <w:lang w:eastAsia="zh-CN"/>
        </w:rPr>
        <w:t>综合标</w:t>
      </w:r>
      <w:r>
        <w:rPr>
          <w:rFonts w:hint="eastAsia" w:ascii="仿宋" w:hAnsi="仿宋" w:eastAsia="仿宋" w:cs="Times New Roman"/>
          <w:b/>
          <w:bCs/>
          <w:spacing w:val="14"/>
          <w:kern w:val="0"/>
          <w:sz w:val="24"/>
          <w:szCs w:val="24"/>
          <w:highlight w:val="none"/>
        </w:rPr>
        <w:t>采用暗标评审。</w:t>
      </w:r>
      <w:r>
        <w:rPr>
          <w:rFonts w:hint="eastAsia" w:ascii="仿宋" w:hAnsi="仿宋" w:eastAsia="仿宋" w:cs="Times New Roman"/>
          <w:b/>
          <w:bCs/>
          <w:spacing w:val="14"/>
          <w:kern w:val="0"/>
          <w:sz w:val="24"/>
          <w:szCs w:val="22"/>
        </w:rPr>
        <w:t xml:space="preserve"> </w:t>
      </w:r>
    </w:p>
    <w:p w14:paraId="534CA571">
      <w:pPr>
        <w:ind w:firstLine="474" w:firstLineChars="200"/>
        <w:rPr>
          <w:rFonts w:hint="eastAsia" w:ascii="仿宋" w:hAnsi="仿宋" w:eastAsia="仿宋" w:cs="Times New Roman"/>
          <w:b/>
          <w:bCs/>
          <w:spacing w:val="14"/>
          <w:kern w:val="0"/>
          <w:sz w:val="24"/>
          <w:szCs w:val="22"/>
          <w:lang w:val="en-US" w:eastAsia="zh-CN"/>
        </w:rPr>
      </w:pPr>
      <w:r>
        <w:rPr>
          <w:rFonts w:hint="eastAsia" w:ascii="仿宋" w:hAnsi="仿宋" w:eastAsia="仿宋" w:cs="Times New Roman"/>
          <w:b/>
          <w:bCs/>
          <w:spacing w:val="14"/>
          <w:kern w:val="0"/>
          <w:sz w:val="24"/>
          <w:szCs w:val="22"/>
        </w:rPr>
        <w:t>2.</w:t>
      </w:r>
      <w:r>
        <w:rPr>
          <w:rFonts w:hint="eastAsia" w:ascii="仿宋" w:hAnsi="仿宋" w:eastAsia="仿宋" w:cs="Times New Roman"/>
          <w:b/>
          <w:bCs/>
          <w:spacing w:val="14"/>
          <w:kern w:val="0"/>
          <w:sz w:val="24"/>
          <w:szCs w:val="22"/>
          <w:lang w:val="en-US" w:eastAsia="zh-CN"/>
        </w:rPr>
        <w:t>3.</w:t>
      </w:r>
      <w:r>
        <w:rPr>
          <w:rFonts w:hint="eastAsia" w:ascii="仿宋" w:hAnsi="仿宋" w:eastAsia="仿宋" w:cs="Times New Roman"/>
          <w:b/>
          <w:bCs/>
          <w:spacing w:val="14"/>
          <w:kern w:val="0"/>
          <w:sz w:val="24"/>
          <w:szCs w:val="22"/>
        </w:rPr>
        <w:t>2</w:t>
      </w:r>
      <w:r>
        <w:rPr>
          <w:rFonts w:hint="eastAsia" w:ascii="仿宋" w:hAnsi="仿宋" w:eastAsia="仿宋" w:cs="Times New Roman"/>
          <w:b/>
          <w:bCs/>
          <w:spacing w:val="14"/>
          <w:kern w:val="0"/>
          <w:sz w:val="24"/>
          <w:szCs w:val="24"/>
          <w:highlight w:val="none"/>
        </w:rPr>
        <w:t>本项目综合标为暗标内容，投标文件中暗标部分不符合要求的，其暗标部分整体得零分：</w:t>
      </w:r>
    </w:p>
    <w:p w14:paraId="7E1AABF8">
      <w:pPr>
        <w:ind w:firstLine="474" w:firstLineChars="200"/>
        <w:jc w:val="left"/>
        <w:rPr>
          <w:rFonts w:hint="eastAsia" w:ascii="仿宋" w:hAnsi="仿宋" w:eastAsia="仿宋" w:cs="Times New Roman"/>
          <w:b/>
          <w:bCs/>
          <w:spacing w:val="14"/>
          <w:kern w:val="0"/>
          <w:sz w:val="24"/>
          <w:szCs w:val="24"/>
          <w:lang w:eastAsia="zh-CN"/>
        </w:rPr>
      </w:pPr>
      <w:r>
        <w:rPr>
          <w:rFonts w:hint="eastAsia" w:ascii="仿宋" w:hAnsi="仿宋" w:eastAsia="仿宋" w:cs="Times New Roman"/>
          <w:b/>
          <w:bCs/>
          <w:spacing w:val="14"/>
          <w:kern w:val="0"/>
          <w:sz w:val="24"/>
          <w:szCs w:val="24"/>
          <w:highlight w:val="none"/>
          <w:lang w:val="en-US" w:eastAsia="zh-CN"/>
        </w:rPr>
        <w:t>2.3.2.1签章要求：不得对暗标部分进行电子签</w:t>
      </w:r>
      <w:r>
        <w:rPr>
          <w:rFonts w:hint="eastAsia" w:ascii="仿宋" w:hAnsi="仿宋" w:eastAsia="仿宋" w:cs="Times New Roman"/>
          <w:b/>
          <w:bCs/>
          <w:spacing w:val="14"/>
          <w:kern w:val="0"/>
          <w:sz w:val="24"/>
          <w:szCs w:val="24"/>
          <w:lang w:val="en-US" w:eastAsia="zh-CN"/>
        </w:rPr>
        <w:t>章</w:t>
      </w:r>
      <w:r>
        <w:rPr>
          <w:rFonts w:hint="eastAsia" w:ascii="仿宋" w:hAnsi="仿宋" w:eastAsia="仿宋" w:cs="Times New Roman"/>
          <w:b/>
          <w:bCs/>
          <w:spacing w:val="14"/>
          <w:kern w:val="0"/>
          <w:sz w:val="24"/>
          <w:szCs w:val="24"/>
          <w:lang w:eastAsia="zh-CN"/>
        </w:rPr>
        <w:t>。</w:t>
      </w:r>
    </w:p>
    <w:p w14:paraId="05AE173B">
      <w:pPr>
        <w:ind w:firstLine="474" w:firstLineChars="200"/>
        <w:jc w:val="left"/>
        <w:rPr>
          <w:rFonts w:hint="eastAsia" w:ascii="仿宋" w:hAnsi="仿宋" w:eastAsia="仿宋" w:cs="Times New Roman"/>
          <w:b/>
          <w:bCs/>
          <w:spacing w:val="14"/>
          <w:kern w:val="0"/>
          <w:sz w:val="24"/>
          <w:szCs w:val="24"/>
          <w:lang w:eastAsia="zh-CN"/>
        </w:rPr>
      </w:pPr>
      <w:r>
        <w:rPr>
          <w:rFonts w:hint="eastAsia" w:ascii="仿宋" w:hAnsi="仿宋" w:eastAsia="仿宋" w:cs="Times New Roman"/>
          <w:b/>
          <w:bCs/>
          <w:spacing w:val="14"/>
          <w:kern w:val="0"/>
          <w:sz w:val="24"/>
          <w:szCs w:val="24"/>
          <w:lang w:val="en-US" w:eastAsia="zh-CN"/>
        </w:rPr>
        <w:t>2.3.2.2排版要求：全文采用A4大小，不允许插入空白页，页边距均为2.5厘米，不得出现页眉、页脚、页码，全文均为白底黑字，字体为宋体四号字，不允许倾斜和下划线，行间距采用固定值28磅，段前段后间距为0</w:t>
      </w:r>
      <w:r>
        <w:rPr>
          <w:rFonts w:hint="eastAsia" w:ascii="仿宋" w:hAnsi="仿宋" w:eastAsia="仿宋" w:cs="Times New Roman"/>
          <w:b/>
          <w:bCs/>
          <w:spacing w:val="14"/>
          <w:kern w:val="0"/>
          <w:sz w:val="24"/>
          <w:szCs w:val="24"/>
          <w:lang w:eastAsia="zh-CN"/>
        </w:rPr>
        <w:t>。</w:t>
      </w:r>
    </w:p>
    <w:p w14:paraId="23C28B45">
      <w:pPr>
        <w:ind w:firstLine="474" w:firstLineChars="200"/>
        <w:jc w:val="left"/>
        <w:rPr>
          <w:rFonts w:hint="eastAsia" w:ascii="仿宋" w:hAnsi="仿宋" w:eastAsia="仿宋" w:cs="Times New Roman"/>
          <w:b/>
          <w:bCs/>
          <w:spacing w:val="14"/>
          <w:kern w:val="0"/>
          <w:sz w:val="24"/>
          <w:szCs w:val="24"/>
          <w:lang w:val="en-US" w:eastAsia="zh-CN"/>
        </w:rPr>
      </w:pPr>
      <w:r>
        <w:rPr>
          <w:rFonts w:hint="eastAsia" w:ascii="仿宋" w:hAnsi="仿宋" w:eastAsia="仿宋" w:cs="Times New Roman"/>
          <w:b/>
          <w:bCs/>
          <w:spacing w:val="14"/>
          <w:kern w:val="0"/>
          <w:sz w:val="24"/>
          <w:szCs w:val="24"/>
          <w:lang w:val="en-US" w:eastAsia="zh-CN"/>
        </w:rPr>
        <w:t>2.3.2.3标题编号要求：标题序号最多设置7级，每一个暗标部分的标题都要重新开始编号，编号格式为：</w:t>
      </w:r>
    </w:p>
    <w:p w14:paraId="55859338">
      <w:pPr>
        <w:ind w:firstLine="237" w:firstLineChars="100"/>
        <w:jc w:val="left"/>
        <w:rPr>
          <w:rFonts w:hint="eastAsia" w:ascii="仿宋" w:hAnsi="仿宋" w:eastAsia="仿宋" w:cs="Times New Roman"/>
          <w:b/>
          <w:bCs/>
          <w:spacing w:val="14"/>
          <w:kern w:val="0"/>
          <w:sz w:val="24"/>
          <w:szCs w:val="24"/>
          <w:lang w:val="en-US" w:eastAsia="zh-CN"/>
        </w:rPr>
      </w:pPr>
      <w:r>
        <w:rPr>
          <w:rFonts w:hint="eastAsia" w:ascii="仿宋" w:hAnsi="仿宋" w:eastAsia="仿宋" w:cs="Times New Roman"/>
          <w:b/>
          <w:bCs/>
          <w:spacing w:val="14"/>
          <w:kern w:val="0"/>
          <w:sz w:val="24"/>
          <w:szCs w:val="24"/>
          <w:lang w:val="en-US" w:eastAsia="zh-CN"/>
        </w:rPr>
        <w:t xml:space="preserve">一级为“一、”、“二、”......，  </w:t>
      </w:r>
    </w:p>
    <w:p w14:paraId="3DDDAF10">
      <w:pPr>
        <w:ind w:firstLine="237" w:firstLineChars="100"/>
        <w:jc w:val="left"/>
        <w:rPr>
          <w:rFonts w:hint="eastAsia" w:ascii="仿宋" w:hAnsi="仿宋" w:eastAsia="仿宋" w:cs="Times New Roman"/>
          <w:b/>
          <w:bCs/>
          <w:spacing w:val="14"/>
          <w:kern w:val="0"/>
          <w:sz w:val="24"/>
          <w:szCs w:val="24"/>
          <w:lang w:val="en-US" w:eastAsia="zh-CN"/>
        </w:rPr>
      </w:pPr>
      <w:r>
        <w:rPr>
          <w:rFonts w:hint="eastAsia" w:ascii="仿宋" w:hAnsi="仿宋" w:eastAsia="仿宋" w:cs="Times New Roman"/>
          <w:b/>
          <w:bCs/>
          <w:spacing w:val="14"/>
          <w:kern w:val="0"/>
          <w:sz w:val="24"/>
          <w:szCs w:val="24"/>
          <w:lang w:val="en-US" w:eastAsia="zh-CN"/>
        </w:rPr>
        <w:t xml:space="preserve">二级为“（一）”、“（二）”......，  </w:t>
      </w:r>
    </w:p>
    <w:p w14:paraId="2F763E54">
      <w:pPr>
        <w:ind w:firstLine="237" w:firstLineChars="100"/>
        <w:jc w:val="left"/>
        <w:rPr>
          <w:rFonts w:hint="eastAsia" w:ascii="仿宋" w:hAnsi="仿宋" w:eastAsia="仿宋" w:cs="Times New Roman"/>
          <w:b/>
          <w:bCs/>
          <w:spacing w:val="14"/>
          <w:kern w:val="0"/>
          <w:sz w:val="24"/>
          <w:szCs w:val="24"/>
          <w:lang w:val="en-US" w:eastAsia="zh-CN"/>
        </w:rPr>
      </w:pPr>
      <w:r>
        <w:rPr>
          <w:rFonts w:hint="eastAsia" w:ascii="仿宋" w:hAnsi="仿宋" w:eastAsia="仿宋" w:cs="Times New Roman"/>
          <w:b/>
          <w:bCs/>
          <w:spacing w:val="14"/>
          <w:kern w:val="0"/>
          <w:sz w:val="24"/>
          <w:szCs w:val="24"/>
          <w:lang w:val="en-US" w:eastAsia="zh-CN"/>
        </w:rPr>
        <w:t xml:space="preserve">三级为“1.”、“2.”......，  </w:t>
      </w:r>
    </w:p>
    <w:p w14:paraId="3C2CDF3C">
      <w:pPr>
        <w:ind w:firstLine="237" w:firstLineChars="100"/>
        <w:jc w:val="left"/>
        <w:rPr>
          <w:rFonts w:hint="eastAsia" w:ascii="仿宋" w:hAnsi="仿宋" w:eastAsia="仿宋" w:cs="Times New Roman"/>
          <w:b/>
          <w:bCs/>
          <w:spacing w:val="14"/>
          <w:kern w:val="0"/>
          <w:sz w:val="24"/>
          <w:szCs w:val="24"/>
          <w:lang w:val="en-US" w:eastAsia="zh-CN"/>
        </w:rPr>
      </w:pPr>
      <w:r>
        <w:rPr>
          <w:rFonts w:hint="eastAsia" w:ascii="仿宋" w:hAnsi="仿宋" w:eastAsia="仿宋" w:cs="Times New Roman"/>
          <w:b/>
          <w:bCs/>
          <w:spacing w:val="14"/>
          <w:kern w:val="0"/>
          <w:sz w:val="24"/>
          <w:szCs w:val="24"/>
          <w:lang w:val="en-US" w:eastAsia="zh-CN"/>
        </w:rPr>
        <w:t xml:space="preserve">四级为“（1）”、“（2）”......，  </w:t>
      </w:r>
    </w:p>
    <w:p w14:paraId="4D3673E1">
      <w:pPr>
        <w:ind w:firstLine="237" w:firstLineChars="100"/>
        <w:jc w:val="left"/>
        <w:rPr>
          <w:rFonts w:hint="eastAsia" w:ascii="仿宋" w:hAnsi="仿宋" w:eastAsia="仿宋" w:cs="Times New Roman"/>
          <w:b/>
          <w:bCs/>
          <w:spacing w:val="14"/>
          <w:kern w:val="0"/>
          <w:sz w:val="24"/>
          <w:szCs w:val="24"/>
          <w:lang w:val="en-US" w:eastAsia="zh-CN"/>
        </w:rPr>
      </w:pPr>
      <w:r>
        <w:rPr>
          <w:rFonts w:hint="eastAsia" w:ascii="仿宋" w:hAnsi="仿宋" w:eastAsia="仿宋" w:cs="Times New Roman"/>
          <w:b/>
          <w:bCs/>
          <w:spacing w:val="14"/>
          <w:kern w:val="0"/>
          <w:sz w:val="24"/>
          <w:szCs w:val="24"/>
          <w:lang w:val="en-US" w:eastAsia="zh-CN"/>
        </w:rPr>
        <w:t xml:space="preserve">五级为“1）”、“2）”......，  </w:t>
      </w:r>
    </w:p>
    <w:p w14:paraId="4FF94B7F">
      <w:pPr>
        <w:ind w:firstLine="237" w:firstLineChars="100"/>
        <w:jc w:val="left"/>
        <w:rPr>
          <w:rFonts w:hint="eastAsia" w:ascii="仿宋" w:hAnsi="仿宋" w:eastAsia="仿宋" w:cs="Times New Roman"/>
          <w:b/>
          <w:bCs/>
          <w:spacing w:val="14"/>
          <w:kern w:val="0"/>
          <w:sz w:val="24"/>
          <w:szCs w:val="24"/>
          <w:lang w:val="en-US" w:eastAsia="zh-CN"/>
        </w:rPr>
      </w:pPr>
      <w:r>
        <w:rPr>
          <w:rFonts w:hint="eastAsia" w:ascii="仿宋" w:hAnsi="仿宋" w:eastAsia="仿宋" w:cs="Times New Roman"/>
          <w:b/>
          <w:bCs/>
          <w:spacing w:val="14"/>
          <w:kern w:val="0"/>
          <w:sz w:val="24"/>
          <w:szCs w:val="24"/>
          <w:lang w:val="en-US" w:eastAsia="zh-CN"/>
        </w:rPr>
        <w:t xml:space="preserve">六级为“a.”、“b.”......，  </w:t>
      </w:r>
    </w:p>
    <w:p w14:paraId="2B5CE203">
      <w:pPr>
        <w:ind w:firstLine="237" w:firstLineChars="100"/>
        <w:jc w:val="left"/>
        <w:rPr>
          <w:rFonts w:hint="eastAsia" w:ascii="仿宋" w:hAnsi="仿宋" w:eastAsia="仿宋" w:cs="Times New Roman"/>
          <w:b/>
          <w:bCs/>
          <w:spacing w:val="14"/>
          <w:kern w:val="0"/>
          <w:sz w:val="24"/>
          <w:szCs w:val="24"/>
          <w:lang w:val="en-US" w:eastAsia="zh-CN"/>
        </w:rPr>
      </w:pPr>
      <w:r>
        <w:rPr>
          <w:rFonts w:hint="eastAsia" w:ascii="仿宋" w:hAnsi="仿宋" w:eastAsia="仿宋" w:cs="Times New Roman"/>
          <w:b/>
          <w:bCs/>
          <w:spacing w:val="14"/>
          <w:kern w:val="0"/>
          <w:sz w:val="24"/>
          <w:szCs w:val="24"/>
          <w:lang w:val="en-US" w:eastAsia="zh-CN"/>
        </w:rPr>
        <w:t>七级为“a）”、“b）”......。</w:t>
      </w:r>
    </w:p>
    <w:p w14:paraId="5342A1A3">
      <w:pPr>
        <w:ind w:firstLine="237" w:firstLineChars="100"/>
        <w:jc w:val="left"/>
        <w:rPr>
          <w:rFonts w:hint="eastAsia" w:ascii="仿宋" w:hAnsi="仿宋" w:eastAsia="仿宋" w:cs="Times New Roman"/>
          <w:b/>
          <w:bCs/>
          <w:spacing w:val="14"/>
          <w:kern w:val="0"/>
          <w:sz w:val="24"/>
          <w:szCs w:val="24"/>
          <w:lang w:val="en-US" w:eastAsia="zh-CN"/>
        </w:rPr>
      </w:pPr>
      <w:r>
        <w:rPr>
          <w:rFonts w:hint="eastAsia" w:ascii="仿宋" w:hAnsi="仿宋" w:eastAsia="仿宋" w:cs="Times New Roman"/>
          <w:b/>
          <w:bCs/>
          <w:spacing w:val="14"/>
          <w:kern w:val="0"/>
          <w:sz w:val="24"/>
          <w:szCs w:val="24"/>
          <w:lang w:val="en-US" w:eastAsia="zh-CN"/>
        </w:rPr>
        <w:t>2.3.2.4图表要求：电脑绘制（不得手绘），白底黑字。宋体四号字，字体不允许倾斜和下划线。</w:t>
      </w:r>
    </w:p>
    <w:p w14:paraId="2CDDBB7F">
      <w:pPr>
        <w:ind w:firstLine="237" w:firstLineChars="100"/>
        <w:jc w:val="left"/>
        <w:rPr>
          <w:rFonts w:hint="eastAsia" w:ascii="仿宋" w:hAnsi="仿宋" w:eastAsia="仿宋" w:cs="Times New Roman"/>
          <w:b/>
          <w:bCs/>
          <w:spacing w:val="14"/>
          <w:kern w:val="0"/>
          <w:sz w:val="24"/>
          <w:szCs w:val="24"/>
          <w:lang w:val="en-US" w:eastAsia="zh-CN"/>
        </w:rPr>
      </w:pPr>
      <w:r>
        <w:rPr>
          <w:rFonts w:hint="eastAsia" w:ascii="仿宋" w:hAnsi="仿宋" w:eastAsia="仿宋" w:cs="Times New Roman"/>
          <w:b/>
          <w:bCs/>
          <w:spacing w:val="14"/>
          <w:kern w:val="0"/>
          <w:sz w:val="24"/>
          <w:szCs w:val="24"/>
          <w:lang w:val="en-US" w:eastAsia="zh-CN"/>
        </w:rPr>
        <w:t>2.3.2.5内容中不得出现投标人名称和其他可识别投标人身份的字符、徽标、人员名称以及其他特殊标记等。</w:t>
      </w:r>
    </w:p>
    <w:p w14:paraId="2A0F9A2D">
      <w:pPr>
        <w:ind w:firstLine="237" w:firstLineChars="100"/>
        <w:jc w:val="left"/>
        <w:rPr>
          <w:rFonts w:hint="eastAsia" w:ascii="仿宋" w:hAnsi="仿宋" w:eastAsia="仿宋" w:cs="Times New Roman"/>
          <w:b/>
          <w:bCs/>
          <w:spacing w:val="14"/>
          <w:kern w:val="0"/>
          <w:sz w:val="24"/>
          <w:szCs w:val="24"/>
          <w:lang w:val="en-US" w:eastAsia="zh-CN"/>
        </w:rPr>
      </w:pPr>
      <w:r>
        <w:rPr>
          <w:rFonts w:hint="eastAsia" w:ascii="仿宋" w:hAnsi="仿宋" w:eastAsia="仿宋" w:cs="Times New Roman"/>
          <w:b/>
          <w:bCs/>
          <w:spacing w:val="14"/>
          <w:kern w:val="0"/>
          <w:sz w:val="24"/>
          <w:szCs w:val="24"/>
          <w:lang w:val="en-US" w:eastAsia="zh-CN"/>
        </w:rPr>
        <w:t>2.3.2.6不得插入图片（招标文件要求有图片除外）。</w:t>
      </w:r>
    </w:p>
    <w:p w14:paraId="0B68F6FD">
      <w:pPr>
        <w:ind w:firstLine="237" w:firstLineChars="100"/>
        <w:jc w:val="left"/>
        <w:rPr>
          <w:rFonts w:hint="eastAsia" w:ascii="仿宋" w:hAnsi="仿宋" w:eastAsia="仿宋" w:cs="仿宋"/>
          <w:b/>
          <w:bCs/>
          <w:color w:val="auto"/>
          <w:sz w:val="24"/>
          <w:szCs w:val="24"/>
          <w:highlight w:val="none"/>
          <w:lang w:eastAsia="zh-CN"/>
        </w:rPr>
      </w:pPr>
      <w:r>
        <w:rPr>
          <w:rFonts w:hint="eastAsia" w:ascii="仿宋" w:hAnsi="仿宋" w:eastAsia="仿宋" w:cs="Times New Roman"/>
          <w:b/>
          <w:bCs/>
          <w:spacing w:val="14"/>
          <w:kern w:val="0"/>
          <w:sz w:val="24"/>
          <w:szCs w:val="24"/>
          <w:lang w:val="en-US" w:eastAsia="zh-CN"/>
        </w:rPr>
        <w:t>2.3.2.7</w:t>
      </w:r>
      <w:r>
        <w:rPr>
          <w:rFonts w:hint="eastAsia" w:ascii="仿宋" w:hAnsi="仿宋" w:eastAsia="仿宋" w:cs="仿宋"/>
          <w:b/>
          <w:bCs/>
          <w:color w:val="auto"/>
          <w:sz w:val="24"/>
          <w:szCs w:val="24"/>
          <w:highlight w:val="none"/>
          <w:lang w:eastAsia="zh-CN"/>
        </w:rPr>
        <w:t>黑字必须为标准黑色字体，颜色为RGB（0,0,0）。</w:t>
      </w:r>
    </w:p>
    <w:p w14:paraId="47520F95">
      <w:pPr>
        <w:ind w:firstLine="237" w:firstLineChars="100"/>
        <w:jc w:val="left"/>
        <w:rPr>
          <w:rFonts w:hint="eastAsia" w:ascii="仿宋" w:hAnsi="仿宋" w:eastAsia="仿宋" w:cs="仿宋"/>
          <w:b/>
          <w:bCs/>
          <w:color w:val="auto"/>
          <w:sz w:val="24"/>
          <w:szCs w:val="24"/>
          <w:highlight w:val="none"/>
          <w:lang w:eastAsia="zh-CN"/>
        </w:rPr>
      </w:pPr>
      <w:r>
        <w:rPr>
          <w:rFonts w:hint="eastAsia" w:ascii="仿宋" w:hAnsi="仿宋" w:eastAsia="仿宋" w:cs="Times New Roman"/>
          <w:b/>
          <w:bCs/>
          <w:spacing w:val="14"/>
          <w:kern w:val="0"/>
          <w:sz w:val="24"/>
          <w:szCs w:val="24"/>
          <w:lang w:val="en-US" w:eastAsia="zh-CN"/>
        </w:rPr>
        <w:t>2.3.2.8</w:t>
      </w:r>
      <w:r>
        <w:rPr>
          <w:rFonts w:hint="eastAsia" w:ascii="仿宋" w:hAnsi="仿宋" w:eastAsia="仿宋" w:cs="仿宋"/>
          <w:b/>
          <w:bCs/>
          <w:color w:val="auto"/>
          <w:sz w:val="24"/>
          <w:szCs w:val="24"/>
          <w:highlight w:val="none"/>
          <w:lang w:eastAsia="zh-CN"/>
        </w:rPr>
        <w:t>每个暗标评审点的文档都要重新开始标题编号。</w:t>
      </w:r>
    </w:p>
    <w:p w14:paraId="6184B17C">
      <w:pPr>
        <w:ind w:firstLine="237" w:firstLineChars="100"/>
        <w:jc w:val="left"/>
        <w:rPr>
          <w:rFonts w:hint="eastAsia" w:ascii="仿宋" w:hAnsi="仿宋" w:eastAsia="仿宋" w:cs="仿宋"/>
          <w:b/>
          <w:bCs/>
          <w:color w:val="auto"/>
          <w:sz w:val="24"/>
          <w:szCs w:val="24"/>
          <w:highlight w:val="none"/>
          <w:lang w:eastAsia="zh-CN"/>
        </w:rPr>
      </w:pPr>
      <w:r>
        <w:rPr>
          <w:rFonts w:hint="eastAsia" w:ascii="仿宋" w:hAnsi="仿宋" w:eastAsia="仿宋" w:cs="Times New Roman"/>
          <w:b/>
          <w:bCs/>
          <w:spacing w:val="14"/>
          <w:kern w:val="0"/>
          <w:sz w:val="24"/>
          <w:szCs w:val="24"/>
          <w:lang w:val="en-US" w:eastAsia="zh-CN"/>
        </w:rPr>
        <w:t>2.3.2.9</w:t>
      </w:r>
      <w:r>
        <w:rPr>
          <w:rFonts w:hint="eastAsia" w:ascii="仿宋" w:hAnsi="仿宋" w:eastAsia="仿宋" w:cs="仿宋"/>
          <w:b/>
          <w:bCs/>
          <w:color w:val="auto"/>
          <w:sz w:val="24"/>
          <w:szCs w:val="24"/>
          <w:highlight w:val="none"/>
          <w:lang w:eastAsia="zh-CN"/>
        </w:rPr>
        <w:t>不允许出现能透露</w:t>
      </w:r>
      <w:r>
        <w:rPr>
          <w:rFonts w:hint="eastAsia" w:ascii="仿宋" w:hAnsi="仿宋" w:eastAsia="仿宋" w:cs="仿宋"/>
          <w:b/>
          <w:bCs/>
          <w:color w:val="auto"/>
          <w:sz w:val="24"/>
          <w:szCs w:val="24"/>
          <w:highlight w:val="none"/>
          <w:lang w:val="en-US" w:eastAsia="zh-CN"/>
        </w:rPr>
        <w:t>供应商</w:t>
      </w:r>
      <w:r>
        <w:rPr>
          <w:rFonts w:hint="eastAsia" w:ascii="仿宋" w:hAnsi="仿宋" w:eastAsia="仿宋" w:cs="仿宋"/>
          <w:b/>
          <w:bCs/>
          <w:color w:val="auto"/>
          <w:sz w:val="24"/>
          <w:szCs w:val="24"/>
          <w:highlight w:val="none"/>
          <w:lang w:eastAsia="zh-CN"/>
        </w:rPr>
        <w:t>信息的内容。不能出现涉及投标供应商信息、投标产品信息、产品厂家信息及其他能够识别到投标供应商的任何信息（暗标部分信息处理：单位名称必须隐去，一律采用本公司、我公司来表示；暗标中如有相关证明材料、企业制度等，必须遮盖投标</w:t>
      </w:r>
      <w:r>
        <w:rPr>
          <w:rFonts w:hint="eastAsia" w:ascii="仿宋" w:hAnsi="仿宋" w:eastAsia="仿宋" w:cs="仿宋"/>
          <w:b/>
          <w:bCs/>
          <w:color w:val="auto"/>
          <w:sz w:val="24"/>
          <w:szCs w:val="24"/>
          <w:highlight w:val="none"/>
          <w:lang w:val="en-US" w:eastAsia="zh-CN"/>
        </w:rPr>
        <w:t>供应商</w:t>
      </w:r>
      <w:r>
        <w:rPr>
          <w:rFonts w:hint="eastAsia" w:ascii="仿宋" w:hAnsi="仿宋" w:eastAsia="仿宋" w:cs="仿宋"/>
          <w:b/>
          <w:bCs/>
          <w:color w:val="auto"/>
          <w:sz w:val="24"/>
          <w:szCs w:val="24"/>
          <w:highlight w:val="none"/>
          <w:lang w:eastAsia="zh-CN"/>
        </w:rPr>
        <w:t>的名称、标志及相关可识别信息）。</w:t>
      </w:r>
    </w:p>
    <w:p w14:paraId="24AEF1BC">
      <w:pPr>
        <w:keepNext/>
        <w:keepLines/>
        <w:spacing w:before="260" w:after="260" w:line="400" w:lineRule="exact"/>
        <w:outlineLvl w:val="2"/>
        <w:rPr>
          <w:rFonts w:hint="eastAsia" w:ascii="仿宋" w:hAnsi="仿宋" w:eastAsia="仿宋"/>
          <w:b/>
          <w:bCs/>
          <w:sz w:val="28"/>
          <w:szCs w:val="28"/>
        </w:rPr>
      </w:pPr>
      <w:bookmarkStart w:id="261" w:name="_Toc256000023"/>
      <w:bookmarkEnd w:id="261"/>
      <w:bookmarkStart w:id="262" w:name="_Toc26381"/>
      <w:bookmarkEnd w:id="262"/>
      <w:bookmarkStart w:id="263" w:name="_Toc13851"/>
      <w:bookmarkEnd w:id="263"/>
      <w:bookmarkStart w:id="264" w:name="_Toc256000076"/>
      <w:bookmarkEnd w:id="264"/>
      <w:bookmarkStart w:id="265" w:name="_Toc256000052"/>
      <w:bookmarkEnd w:id="265"/>
      <w:bookmarkStart w:id="266" w:name="_Toc130305944"/>
      <w:bookmarkStart w:id="267" w:name="_Toc2396"/>
      <w:bookmarkStart w:id="268" w:name="_Toc256000072"/>
      <w:bookmarkStart w:id="269" w:name="_Toc2221"/>
      <w:bookmarkStart w:id="270" w:name="_Toc1662651"/>
      <w:bookmarkStart w:id="271" w:name="_Toc24864"/>
      <w:r>
        <w:rPr>
          <w:rFonts w:hint="eastAsia" w:ascii="仿宋" w:hAnsi="仿宋" w:eastAsia="仿宋"/>
          <w:b/>
          <w:bCs/>
          <w:sz w:val="28"/>
          <w:szCs w:val="28"/>
        </w:rPr>
        <w:t>3、评审程序</w:t>
      </w:r>
      <w:bookmarkEnd w:id="266"/>
      <w:bookmarkEnd w:id="267"/>
      <w:bookmarkEnd w:id="268"/>
      <w:bookmarkEnd w:id="269"/>
      <w:bookmarkEnd w:id="270"/>
      <w:bookmarkEnd w:id="271"/>
    </w:p>
    <w:p w14:paraId="79CE7624">
      <w:pPr>
        <w:keepNext/>
        <w:keepLines/>
        <w:spacing w:line="400" w:lineRule="exact"/>
        <w:outlineLvl w:val="3"/>
        <w:rPr>
          <w:rFonts w:hint="eastAsia" w:ascii="仿宋" w:hAnsi="仿宋" w:eastAsia="仿宋" w:cs="Arial"/>
          <w:b/>
          <w:bCs/>
          <w:sz w:val="28"/>
          <w:szCs w:val="28"/>
        </w:rPr>
      </w:pPr>
      <w:bookmarkStart w:id="272" w:name="_Toc1662652"/>
      <w:bookmarkEnd w:id="272"/>
      <w:r>
        <w:rPr>
          <w:rFonts w:hint="eastAsia" w:ascii="仿宋" w:hAnsi="仿宋" w:eastAsia="仿宋" w:cs="Arial"/>
          <w:b/>
          <w:bCs/>
          <w:sz w:val="28"/>
          <w:szCs w:val="28"/>
        </w:rPr>
        <w:t>3.1 资格性审查与符合性审查</w:t>
      </w:r>
    </w:p>
    <w:p w14:paraId="24F6A7AE">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3.1.1磋商小组依据本章第2.1.1款和第 2.1.2款规定的标准对响应文件进行审查。有一项不符合审查标准的，应当否决其响应文件。</w:t>
      </w:r>
    </w:p>
    <w:p w14:paraId="6B32718A">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3.1.2 有以下情形之一的，磋商小组应当否决其响应文件：</w:t>
      </w:r>
    </w:p>
    <w:p w14:paraId="7716336A">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（1）响应文件没有对磋商文件的实质性要求和条件作出响应，或者对磋商文件的偏差超出磋商文件规定的偏差范围或最高项数；</w:t>
      </w:r>
    </w:p>
    <w:p w14:paraId="01A4FC92">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（2）有串通、弄虚作假、行贿等违法行为。</w:t>
      </w:r>
    </w:p>
    <w:p w14:paraId="67108F09">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3.1.3有下列情形之一的，视为串通，其响应文件无效：</w:t>
      </w:r>
    </w:p>
    <w:p w14:paraId="7658513F">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（1）不同供应商的响应文件由同一单位或者个人编制；</w:t>
      </w:r>
    </w:p>
    <w:p w14:paraId="6963B488">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（2）不同供应商委托同一单位或者个人办理磋商事宜；</w:t>
      </w:r>
    </w:p>
    <w:p w14:paraId="2D4E1C34">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（3）不同供应商的响应文件载明的项目管理成员或者联系人员为同一人；</w:t>
      </w:r>
    </w:p>
    <w:p w14:paraId="385368F8">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（4）不同供应商的响应文件异常一致或者报价呈规律性差异；</w:t>
      </w:r>
    </w:p>
    <w:p w14:paraId="1CAD722A">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（5）不同供应商的响应文件相互混装；</w:t>
      </w:r>
    </w:p>
    <w:p w14:paraId="06FAA6BC">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3.1.4响应文件报价出现前后不一致的，磋商小组按以下原则要求对报价进行修正，并要求书面澄清确认。拒不澄清确认的，磋商小组应当否决其响应文件：</w:t>
      </w:r>
    </w:p>
    <w:p w14:paraId="6AFB8A86">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（1）响应文件中报价一览表内容与响应文件中相应内容不一致的，以报价一览表为准；</w:t>
      </w:r>
    </w:p>
    <w:p w14:paraId="072438AD">
      <w:pPr>
        <w:pStyle w:val="13"/>
        <w:rPr>
          <w:rFonts w:hint="eastAsia" w:ascii="仿宋" w:hAnsi="仿宋" w:eastAsia="仿宋" w:cs="宋体"/>
          <w:color w:val="auto"/>
          <w:spacing w:val="14"/>
          <w:sz w:val="24"/>
          <w:szCs w:val="24"/>
        </w:rPr>
      </w:pPr>
      <w:r>
        <w:rPr>
          <w:rFonts w:hint="eastAsia" w:ascii="仿宋" w:hAnsi="仿宋" w:eastAsia="仿宋" w:cs="宋体"/>
          <w:color w:val="auto"/>
          <w:spacing w:val="14"/>
          <w:sz w:val="24"/>
          <w:szCs w:val="24"/>
        </w:rPr>
        <w:t>（2）大写金额和小写金额不一致的，以大写金额为准；</w:t>
      </w:r>
    </w:p>
    <w:p w14:paraId="7A03F826">
      <w:pPr>
        <w:pStyle w:val="13"/>
        <w:rPr>
          <w:rFonts w:hint="eastAsia" w:ascii="仿宋" w:hAnsi="仿宋" w:eastAsia="仿宋" w:cs="宋体"/>
          <w:color w:val="auto"/>
          <w:spacing w:val="14"/>
          <w:sz w:val="24"/>
          <w:szCs w:val="24"/>
        </w:rPr>
      </w:pPr>
      <w:r>
        <w:rPr>
          <w:rFonts w:hint="eastAsia" w:ascii="仿宋" w:hAnsi="仿宋" w:eastAsia="仿宋" w:cs="宋体"/>
          <w:color w:val="auto"/>
          <w:spacing w:val="14"/>
          <w:sz w:val="24"/>
          <w:szCs w:val="24"/>
        </w:rPr>
        <w:t>（3）单价金额小数点或者百分比有明显错位的，以报价一览表的总价为准，并修改单价；</w:t>
      </w:r>
    </w:p>
    <w:p w14:paraId="41110C21">
      <w:pPr>
        <w:pStyle w:val="13"/>
        <w:rPr>
          <w:rFonts w:hint="eastAsia" w:ascii="仿宋" w:hAnsi="仿宋" w:eastAsia="仿宋" w:cs="宋体"/>
          <w:color w:val="auto"/>
          <w:spacing w:val="14"/>
          <w:sz w:val="24"/>
          <w:szCs w:val="24"/>
        </w:rPr>
      </w:pPr>
      <w:r>
        <w:rPr>
          <w:rFonts w:hint="eastAsia" w:ascii="仿宋" w:hAnsi="仿宋" w:eastAsia="仿宋" w:cs="宋体"/>
          <w:color w:val="auto"/>
          <w:spacing w:val="14"/>
          <w:sz w:val="24"/>
          <w:szCs w:val="24"/>
        </w:rPr>
        <w:t>（4）总价金额与按单价汇总金额不一致的，以单价金额计算结果为准。</w:t>
      </w:r>
    </w:p>
    <w:p w14:paraId="3A59AF4C">
      <w:pPr>
        <w:pStyle w:val="13"/>
        <w:rPr>
          <w:rFonts w:hint="eastAsia" w:ascii="仿宋" w:hAnsi="仿宋" w:eastAsia="仿宋" w:cs="宋体"/>
          <w:color w:val="auto"/>
          <w:spacing w:val="14"/>
          <w:sz w:val="24"/>
          <w:szCs w:val="24"/>
        </w:rPr>
      </w:pPr>
      <w:r>
        <w:rPr>
          <w:rFonts w:hint="eastAsia" w:ascii="仿宋" w:hAnsi="仿宋" w:eastAsia="仿宋" w:cs="宋体"/>
          <w:color w:val="auto"/>
          <w:spacing w:val="14"/>
          <w:sz w:val="24"/>
          <w:szCs w:val="24"/>
        </w:rPr>
        <w:t>同时出现两种以上不一致的，按照前款规定的顺序修正。</w:t>
      </w:r>
    </w:p>
    <w:p w14:paraId="205893FA">
      <w:pPr>
        <w:pStyle w:val="13"/>
        <w:rPr>
          <w:rFonts w:hint="eastAsia" w:ascii="仿宋" w:hAnsi="仿宋" w:eastAsia="仿宋" w:cs="宋体"/>
          <w:b/>
          <w:bCs/>
          <w:color w:val="auto"/>
          <w:spacing w:val="14"/>
          <w:sz w:val="28"/>
          <w:szCs w:val="28"/>
        </w:rPr>
      </w:pPr>
      <w:bookmarkStart w:id="273" w:name="_Toc1662653"/>
      <w:bookmarkEnd w:id="273"/>
      <w:r>
        <w:rPr>
          <w:rFonts w:hint="eastAsia" w:ascii="仿宋" w:hAnsi="仿宋" w:eastAsia="仿宋" w:cs="宋体"/>
          <w:b/>
          <w:bCs/>
          <w:color w:val="auto"/>
          <w:spacing w:val="14"/>
          <w:sz w:val="28"/>
          <w:szCs w:val="28"/>
        </w:rPr>
        <w:t>3.2 详细评审</w:t>
      </w:r>
    </w:p>
    <w:p w14:paraId="62CC07F1">
      <w:pPr>
        <w:pStyle w:val="13"/>
        <w:rPr>
          <w:rFonts w:hint="eastAsia" w:ascii="仿宋" w:hAnsi="仿宋" w:eastAsia="仿宋" w:cs="宋体"/>
          <w:color w:val="auto"/>
          <w:spacing w:val="14"/>
          <w:sz w:val="24"/>
          <w:szCs w:val="24"/>
        </w:rPr>
      </w:pPr>
      <w:r>
        <w:rPr>
          <w:rFonts w:hint="eastAsia" w:ascii="仿宋" w:hAnsi="仿宋" w:eastAsia="仿宋" w:cs="宋体"/>
          <w:color w:val="auto"/>
          <w:spacing w:val="14"/>
          <w:sz w:val="24"/>
          <w:szCs w:val="24"/>
        </w:rPr>
        <w:t>3.2.1磋商小组按本章第 2.2 款规定的量化因素和分值进行打分，取所有评委打分分数的算术平均值作为该的各项得分。</w:t>
      </w:r>
    </w:p>
    <w:p w14:paraId="677C44B1">
      <w:pPr>
        <w:pStyle w:val="13"/>
        <w:rPr>
          <w:rFonts w:hint="eastAsia" w:ascii="仿宋" w:hAnsi="仿宋" w:eastAsia="仿宋" w:cs="宋体"/>
          <w:color w:val="auto"/>
          <w:spacing w:val="14"/>
          <w:sz w:val="24"/>
          <w:szCs w:val="24"/>
        </w:rPr>
      </w:pPr>
      <w:r>
        <w:rPr>
          <w:rFonts w:hint="eastAsia" w:ascii="仿宋" w:hAnsi="仿宋" w:eastAsia="仿宋" w:cs="宋体"/>
          <w:color w:val="auto"/>
          <w:spacing w:val="14"/>
          <w:sz w:val="24"/>
          <w:szCs w:val="24"/>
        </w:rPr>
        <w:t>3.2.2 评分分值计算保留小数点后两位，小数点后第三位“四舍五入”。</w:t>
      </w:r>
    </w:p>
    <w:p w14:paraId="1759D98A">
      <w:pPr>
        <w:pStyle w:val="13"/>
        <w:rPr>
          <w:rFonts w:hint="eastAsia" w:ascii="仿宋" w:hAnsi="仿宋" w:eastAsia="仿宋" w:cs="宋体"/>
          <w:color w:val="auto"/>
          <w:spacing w:val="14"/>
          <w:sz w:val="24"/>
          <w:szCs w:val="24"/>
        </w:rPr>
      </w:pPr>
      <w:r>
        <w:rPr>
          <w:rFonts w:hint="eastAsia" w:ascii="仿宋" w:hAnsi="仿宋" w:eastAsia="仿宋" w:cs="宋体"/>
          <w:color w:val="auto"/>
          <w:spacing w:val="14"/>
          <w:sz w:val="24"/>
          <w:szCs w:val="24"/>
        </w:rPr>
        <w:t>3.2.3磋商小组汇总的各项得分，相加后为最终得分。</w:t>
      </w:r>
    </w:p>
    <w:p w14:paraId="035FC61E">
      <w:pPr>
        <w:pStyle w:val="13"/>
        <w:rPr>
          <w:rFonts w:hint="eastAsia" w:ascii="仿宋" w:hAnsi="仿宋" w:eastAsia="仿宋" w:cs="宋体"/>
          <w:color w:val="auto"/>
          <w:spacing w:val="14"/>
          <w:sz w:val="24"/>
          <w:szCs w:val="24"/>
        </w:rPr>
      </w:pPr>
      <w:r>
        <w:rPr>
          <w:rFonts w:hint="eastAsia" w:ascii="仿宋" w:hAnsi="仿宋" w:eastAsia="仿宋" w:cs="宋体"/>
          <w:color w:val="auto"/>
          <w:spacing w:val="14"/>
          <w:sz w:val="24"/>
          <w:szCs w:val="24"/>
        </w:rPr>
        <w:t>3.2.4若磋商小组认为的报价明显低于其他通过符合性审查的报价，有可能影响产品质量或者不能诚信履约的，应当要求其在评审现场合理的时间内提供书面说明，必要时提交相关证明材料；不能证明其报价合理性的，磋商小组应当将其作为无效响应文件处理。</w:t>
      </w:r>
    </w:p>
    <w:p w14:paraId="56356131">
      <w:pPr>
        <w:pStyle w:val="13"/>
        <w:rPr>
          <w:rFonts w:hint="eastAsia" w:ascii="仿宋" w:hAnsi="仿宋" w:eastAsia="仿宋" w:cs="宋体"/>
          <w:b/>
          <w:bCs/>
          <w:color w:val="auto"/>
          <w:spacing w:val="14"/>
          <w:sz w:val="28"/>
          <w:szCs w:val="28"/>
        </w:rPr>
      </w:pPr>
      <w:bookmarkStart w:id="274" w:name="_Toc1662654"/>
      <w:bookmarkEnd w:id="274"/>
      <w:r>
        <w:rPr>
          <w:rFonts w:hint="eastAsia" w:ascii="仿宋" w:hAnsi="仿宋" w:eastAsia="仿宋" w:cs="宋体"/>
          <w:b/>
          <w:bCs/>
          <w:color w:val="auto"/>
          <w:spacing w:val="14"/>
          <w:sz w:val="28"/>
          <w:szCs w:val="28"/>
        </w:rPr>
        <w:t>3.3 响应文件的澄清</w:t>
      </w:r>
    </w:p>
    <w:p w14:paraId="05B3403C">
      <w:pPr>
        <w:pStyle w:val="13"/>
        <w:rPr>
          <w:rFonts w:hint="eastAsia" w:ascii="仿宋" w:hAnsi="仿宋" w:eastAsia="仿宋" w:cs="宋体"/>
          <w:color w:val="auto"/>
          <w:spacing w:val="14"/>
          <w:sz w:val="24"/>
          <w:szCs w:val="24"/>
        </w:rPr>
      </w:pPr>
      <w:r>
        <w:rPr>
          <w:rFonts w:hint="eastAsia" w:ascii="仿宋" w:hAnsi="仿宋" w:eastAsia="仿宋" w:cs="宋体"/>
          <w:color w:val="auto"/>
          <w:spacing w:val="14"/>
          <w:sz w:val="24"/>
          <w:szCs w:val="24"/>
        </w:rPr>
        <w:t>3.3.1 在评审过程中，磋商小组可以书面形式要求对响应文件中含义不明确、对同类问题表述不一致或者有明显文字和计算错误的内容作必要的澄清、说明或补正。澄清、说明或补正应以书面方式进行。磋商小组不接受主动提出的澄清、说明或补正。</w:t>
      </w:r>
    </w:p>
    <w:p w14:paraId="3FAB43E6">
      <w:pPr>
        <w:pStyle w:val="13"/>
        <w:rPr>
          <w:rFonts w:hint="eastAsia" w:ascii="仿宋" w:hAnsi="仿宋" w:eastAsia="仿宋" w:cs="宋体"/>
          <w:color w:val="auto"/>
          <w:spacing w:val="14"/>
          <w:sz w:val="24"/>
          <w:szCs w:val="24"/>
        </w:rPr>
      </w:pPr>
      <w:r>
        <w:rPr>
          <w:rFonts w:hint="eastAsia" w:ascii="仿宋" w:hAnsi="仿宋" w:eastAsia="仿宋" w:cs="宋体"/>
          <w:color w:val="auto"/>
          <w:spacing w:val="14"/>
          <w:sz w:val="24"/>
          <w:szCs w:val="24"/>
        </w:rPr>
        <w:t>3.3.2 澄清、说明或补正不得超出响应文件的范围且不得改变响应文件的实质性内容，并构成响应文件的组成部分。</w:t>
      </w:r>
    </w:p>
    <w:p w14:paraId="1695E9A2">
      <w:pPr>
        <w:pStyle w:val="13"/>
        <w:rPr>
          <w:rFonts w:hint="eastAsia" w:ascii="仿宋" w:hAnsi="仿宋" w:eastAsia="仿宋" w:cs="宋体"/>
          <w:color w:val="auto"/>
          <w:spacing w:val="14"/>
          <w:sz w:val="24"/>
          <w:szCs w:val="24"/>
        </w:rPr>
      </w:pPr>
      <w:r>
        <w:rPr>
          <w:rFonts w:hint="eastAsia" w:ascii="仿宋" w:hAnsi="仿宋" w:eastAsia="仿宋" w:cs="宋体"/>
          <w:color w:val="auto"/>
          <w:spacing w:val="14"/>
          <w:sz w:val="24"/>
          <w:szCs w:val="24"/>
        </w:rPr>
        <w:t>3.3.3 磋商小组对提交的澄清、说明或补正有疑问的，可以要求进一步澄清、说明或补正，直至满足磋商小组的要求。</w:t>
      </w:r>
    </w:p>
    <w:p w14:paraId="41B59E67">
      <w:pPr>
        <w:keepNext/>
        <w:keepLines/>
        <w:spacing w:line="400" w:lineRule="exact"/>
        <w:outlineLvl w:val="3"/>
        <w:rPr>
          <w:rFonts w:hint="eastAsia" w:ascii="仿宋" w:hAnsi="仿宋" w:eastAsia="仿宋" w:cs="Arial"/>
          <w:b/>
          <w:bCs/>
          <w:sz w:val="28"/>
          <w:szCs w:val="28"/>
        </w:rPr>
      </w:pPr>
      <w:bookmarkStart w:id="275" w:name="_Toc1662655"/>
      <w:bookmarkEnd w:id="275"/>
      <w:r>
        <w:rPr>
          <w:rFonts w:hint="eastAsia" w:ascii="仿宋" w:hAnsi="仿宋" w:eastAsia="仿宋" w:cs="Arial"/>
          <w:b/>
          <w:bCs/>
          <w:sz w:val="28"/>
          <w:szCs w:val="28"/>
        </w:rPr>
        <w:t>3.4 评审结果</w:t>
      </w:r>
    </w:p>
    <w:p w14:paraId="2FAA9739">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3.4.1磋商小组严格按照磋商文件的要求和条件进行评审和打分，评审结果按评审后得分由高到低的顺序排列。评审得分相同的，按最终报价由低到高顺序排列。得分且最终报价相同的，按技术标得分由高到低的顺序排列。得分、报价、技术标均相等，则由磋商小组投票决定成交人及成交候选人排名。</w:t>
      </w:r>
    </w:p>
    <w:p w14:paraId="5A16FBFB">
      <w:pPr>
        <w:pStyle w:val="13"/>
        <w:spacing w:line="40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3.4.2磋商小组完成评审后，应当向采购人提交书面评审报告和成交候选人名单。</w:t>
      </w:r>
    </w:p>
    <w:p w14:paraId="014BD7F8">
      <w:pPr>
        <w:keepNext/>
        <w:keepLines/>
        <w:spacing w:before="260" w:after="260" w:line="400" w:lineRule="exact"/>
        <w:outlineLvl w:val="2"/>
        <w:rPr>
          <w:rFonts w:hint="eastAsia" w:ascii="仿宋" w:hAnsi="仿宋" w:eastAsia="仿宋"/>
          <w:b/>
          <w:bCs/>
          <w:sz w:val="28"/>
          <w:szCs w:val="28"/>
        </w:rPr>
      </w:pPr>
      <w:bookmarkStart w:id="276" w:name="_Toc256000077"/>
      <w:bookmarkEnd w:id="276"/>
      <w:bookmarkStart w:id="277" w:name="_Toc15765"/>
      <w:bookmarkEnd w:id="277"/>
      <w:bookmarkStart w:id="278" w:name="_Toc256000053"/>
      <w:bookmarkEnd w:id="278"/>
      <w:bookmarkStart w:id="279" w:name="_Toc256000024"/>
      <w:bookmarkEnd w:id="279"/>
      <w:bookmarkStart w:id="280" w:name="_Toc1662656"/>
      <w:bookmarkEnd w:id="280"/>
      <w:bookmarkStart w:id="281" w:name="_Toc26608"/>
      <w:bookmarkStart w:id="282" w:name="_Toc22469"/>
      <w:bookmarkStart w:id="283" w:name="_Toc256000079"/>
      <w:bookmarkStart w:id="284" w:name="_Toc7591"/>
      <w:bookmarkStart w:id="285" w:name="_Toc22739"/>
      <w:bookmarkStart w:id="286" w:name="_Toc130305945"/>
      <w:r>
        <w:rPr>
          <w:rFonts w:hint="eastAsia" w:ascii="仿宋" w:hAnsi="仿宋" w:eastAsia="仿宋"/>
          <w:b/>
          <w:bCs/>
          <w:sz w:val="28"/>
          <w:szCs w:val="28"/>
        </w:rPr>
        <w:t>4、评分标准说明</w:t>
      </w:r>
      <w:bookmarkEnd w:id="281"/>
      <w:bookmarkEnd w:id="282"/>
      <w:bookmarkEnd w:id="283"/>
      <w:bookmarkEnd w:id="284"/>
      <w:bookmarkEnd w:id="285"/>
      <w:bookmarkEnd w:id="286"/>
    </w:p>
    <w:p w14:paraId="6359AF5D">
      <w:pPr>
        <w:keepNext/>
        <w:keepLines/>
        <w:spacing w:line="400" w:lineRule="exact"/>
        <w:outlineLvl w:val="3"/>
        <w:rPr>
          <w:rFonts w:hint="eastAsia" w:ascii="仿宋" w:hAnsi="仿宋" w:eastAsia="仿宋" w:cs="Arial"/>
          <w:b/>
          <w:bCs/>
          <w:sz w:val="24"/>
          <w:szCs w:val="24"/>
        </w:rPr>
      </w:pPr>
      <w:bookmarkStart w:id="287" w:name="_Toc1662657"/>
      <w:bookmarkEnd w:id="287"/>
      <w:r>
        <w:rPr>
          <w:rFonts w:hint="eastAsia" w:ascii="仿宋" w:hAnsi="仿宋" w:eastAsia="仿宋" w:cs="Arial"/>
          <w:b/>
          <w:bCs/>
          <w:sz w:val="24"/>
          <w:szCs w:val="24"/>
        </w:rPr>
        <w:t xml:space="preserve">4.1关于价格扣除和评审报价的说明 </w:t>
      </w:r>
    </w:p>
    <w:p w14:paraId="3BAFF78C">
      <w:pPr>
        <w:pStyle w:val="13"/>
        <w:rPr>
          <w:rFonts w:hint="eastAsia" w:ascii="仿宋" w:hAnsi="仿宋" w:eastAsia="仿宋"/>
          <w:b/>
          <w:bCs/>
          <w:color w:val="auto"/>
          <w:spacing w:val="14"/>
          <w:sz w:val="24"/>
          <w:szCs w:val="24"/>
        </w:rPr>
      </w:pPr>
      <w:bookmarkStart w:id="288" w:name="_Toc256000099"/>
      <w:bookmarkEnd w:id="288"/>
      <w:bookmarkStart w:id="289" w:name="_Toc1662658"/>
      <w:bookmarkEnd w:id="289"/>
      <w:bookmarkStart w:id="290" w:name="_Toc256000059"/>
      <w:r>
        <w:rPr>
          <w:rFonts w:hint="eastAsia" w:ascii="仿宋" w:hAnsi="仿宋" w:eastAsia="仿宋"/>
          <w:b/>
          <w:bCs/>
          <w:color w:val="auto"/>
          <w:spacing w:val="14"/>
          <w:sz w:val="24"/>
          <w:szCs w:val="24"/>
        </w:rPr>
        <w:t>本项目</w:t>
      </w:r>
      <w:bookmarkEnd w:id="290"/>
      <w:r>
        <w:rPr>
          <w:rFonts w:hint="eastAsia" w:ascii="仿宋" w:hAnsi="仿宋" w:eastAsia="仿宋"/>
          <w:b/>
          <w:bCs/>
          <w:color w:val="auto"/>
          <w:spacing w:val="14"/>
          <w:sz w:val="24"/>
          <w:szCs w:val="24"/>
        </w:rPr>
        <w:t>本项目专门面向中小微（含监狱、残疾人福利性单位）企业采购，评审中价格将均不予扣除。</w:t>
      </w:r>
    </w:p>
    <w:p w14:paraId="6EEDF077">
      <w:pPr>
        <w:keepNext/>
        <w:keepLines/>
        <w:spacing w:before="260" w:after="260" w:line="400" w:lineRule="exact"/>
        <w:outlineLvl w:val="2"/>
        <w:rPr>
          <w:rFonts w:hint="eastAsia" w:ascii="仿宋" w:hAnsi="仿宋" w:eastAsia="仿宋"/>
          <w:b/>
          <w:bCs/>
          <w:sz w:val="28"/>
          <w:szCs w:val="28"/>
        </w:rPr>
      </w:pPr>
      <w:bookmarkStart w:id="291" w:name="_Toc256000078"/>
      <w:bookmarkEnd w:id="291"/>
      <w:bookmarkStart w:id="292" w:name="_Toc9138"/>
      <w:bookmarkEnd w:id="292"/>
      <w:bookmarkStart w:id="293" w:name="_Toc256000054"/>
      <w:bookmarkEnd w:id="293"/>
      <w:bookmarkStart w:id="294" w:name="_Toc130305946"/>
      <w:bookmarkStart w:id="295" w:name="_Toc256000080"/>
      <w:bookmarkStart w:id="296" w:name="_Toc446"/>
      <w:bookmarkStart w:id="297" w:name="_Toc11490"/>
      <w:bookmarkStart w:id="298" w:name="_Toc7426"/>
      <w:bookmarkStart w:id="299" w:name="_Toc29170"/>
      <w:r>
        <w:rPr>
          <w:rFonts w:hint="eastAsia" w:ascii="仿宋" w:hAnsi="仿宋" w:eastAsia="仿宋"/>
          <w:b/>
          <w:bCs/>
          <w:sz w:val="28"/>
          <w:szCs w:val="28"/>
        </w:rPr>
        <w:t>5、定标办法</w:t>
      </w:r>
      <w:bookmarkEnd w:id="294"/>
      <w:bookmarkEnd w:id="295"/>
      <w:bookmarkEnd w:id="296"/>
      <w:bookmarkEnd w:id="297"/>
      <w:bookmarkEnd w:id="298"/>
      <w:bookmarkEnd w:id="299"/>
    </w:p>
    <w:p w14:paraId="52DCCF6B">
      <w:pPr>
        <w:pStyle w:val="42"/>
        <w:widowControl/>
        <w:ind w:firstLine="581" w:firstLineChars="245"/>
        <w:rPr>
          <w:rFonts w:hint="eastAsia" w:ascii="仿宋" w:hAnsi="仿宋" w:eastAsia="仿宋"/>
          <w:color w:val="auto"/>
          <w:spacing w:val="14"/>
          <w:sz w:val="24"/>
          <w:szCs w:val="24"/>
        </w:rPr>
      </w:pPr>
      <w:r>
        <w:rPr>
          <w:rFonts w:hint="eastAsia" w:ascii="仿宋" w:hAnsi="仿宋" w:eastAsia="仿宋"/>
          <w:color w:val="auto"/>
          <w:spacing w:val="14"/>
          <w:sz w:val="24"/>
          <w:szCs w:val="24"/>
        </w:rPr>
        <w:t>1、本项目由采购人授权磋商小组推荐3名成交候选人，并确定第一名为成交人。</w:t>
      </w:r>
    </w:p>
    <w:p w14:paraId="5ED10076">
      <w:pPr>
        <w:pStyle w:val="42"/>
        <w:widowControl/>
        <w:ind w:firstLine="581" w:firstLineChars="245"/>
        <w:rPr>
          <w:rFonts w:hint="eastAsia" w:ascii="仿宋" w:hAnsi="仿宋" w:eastAsia="仿宋"/>
          <w:color w:val="auto"/>
          <w:sz w:val="24"/>
          <w:szCs w:val="24"/>
        </w:rPr>
      </w:pPr>
      <w:r>
        <w:rPr>
          <w:rFonts w:hint="eastAsia" w:ascii="仿宋" w:hAnsi="仿宋" w:eastAsia="仿宋"/>
          <w:color w:val="auto"/>
          <w:spacing w:val="14"/>
          <w:sz w:val="24"/>
          <w:szCs w:val="24"/>
        </w:rPr>
        <w:t>2、磋商小组严格按照采购文件的要求和条件进行评标和打分，按得分由高到低的顺序推荐前3名为成交候选人。如评审得分相同的，按最终报价由低到高顺序排列。得分且最终报价相同的，按技术标得分由高到低的顺序排列。得分、报价、技术标均相等，则由磋商小组投票决定成交人及成交候选人排名。</w:t>
      </w:r>
    </w:p>
    <w:bookmarkEnd w:id="2"/>
    <w:p w14:paraId="6E71AC94">
      <w:pPr>
        <w:rPr>
          <w:rFonts w:hint="eastAsia"/>
          <w:color w:val="000080"/>
          <w:sz w:val="20"/>
          <w:highlight w:val="white"/>
        </w:rPr>
      </w:pPr>
    </w:p>
    <w:p w14:paraId="673E0456">
      <w:pPr>
        <w:pStyle w:val="40"/>
        <w:rPr>
          <w:rFonts w:hint="eastAsia"/>
          <w:color w:val="000080"/>
          <w:sz w:val="20"/>
          <w:highlight w:val="white"/>
        </w:rPr>
      </w:pPr>
    </w:p>
    <w:p w14:paraId="79F00EF3">
      <w:pPr>
        <w:rPr>
          <w:rFonts w:hint="eastAsia"/>
          <w:color w:val="000080"/>
          <w:sz w:val="20"/>
          <w:highlight w:val="white"/>
        </w:rPr>
      </w:pPr>
    </w:p>
    <w:p w14:paraId="7AC56FAB">
      <w:pPr>
        <w:pStyle w:val="40"/>
        <w:rPr>
          <w:rFonts w:hint="eastAsia"/>
          <w:color w:val="000080"/>
          <w:sz w:val="20"/>
          <w:highlight w:val="white"/>
        </w:rPr>
      </w:pPr>
    </w:p>
    <w:p w14:paraId="125003BE">
      <w:pPr>
        <w:rPr>
          <w:rFonts w:hint="eastAsia"/>
          <w:color w:val="000080"/>
          <w:sz w:val="20"/>
          <w:highlight w:val="white"/>
        </w:rPr>
      </w:pPr>
    </w:p>
    <w:p w14:paraId="10796BB1">
      <w:pPr>
        <w:pStyle w:val="40"/>
        <w:rPr>
          <w:rFonts w:hint="eastAsia"/>
          <w:color w:val="000080"/>
          <w:sz w:val="20"/>
          <w:highlight w:val="white"/>
        </w:rPr>
      </w:pPr>
    </w:p>
    <w:p w14:paraId="5604D153">
      <w:pPr>
        <w:rPr>
          <w:rFonts w:hint="eastAsia"/>
          <w:color w:val="000080"/>
          <w:sz w:val="20"/>
          <w:highlight w:val="white"/>
        </w:rPr>
      </w:pPr>
    </w:p>
    <w:p w14:paraId="44D9590C">
      <w:pPr>
        <w:pStyle w:val="40"/>
        <w:rPr>
          <w:rFonts w:hint="eastAsia"/>
          <w:color w:val="000080"/>
          <w:sz w:val="20"/>
          <w:highlight w:val="white"/>
        </w:rPr>
      </w:pPr>
    </w:p>
    <w:p w14:paraId="21454649">
      <w:pPr>
        <w:rPr>
          <w:rFonts w:hint="eastAsia"/>
          <w:color w:val="000080"/>
          <w:sz w:val="20"/>
          <w:highlight w:val="white"/>
        </w:rPr>
      </w:pPr>
    </w:p>
    <w:p w14:paraId="630448CA">
      <w:pPr>
        <w:pStyle w:val="40"/>
        <w:rPr>
          <w:rFonts w:hint="eastAsia"/>
          <w:color w:val="000080"/>
          <w:sz w:val="20"/>
          <w:highlight w:val="white"/>
        </w:rPr>
      </w:pPr>
    </w:p>
    <w:p w14:paraId="12D8EB57">
      <w:pPr>
        <w:rPr>
          <w:rFonts w:hint="eastAsia"/>
          <w:color w:val="000080"/>
          <w:sz w:val="20"/>
          <w:highlight w:val="white"/>
        </w:rPr>
      </w:pPr>
    </w:p>
    <w:p w14:paraId="0DC900C9">
      <w:pPr>
        <w:pStyle w:val="40"/>
        <w:rPr>
          <w:rFonts w:hint="eastAsia"/>
          <w:color w:val="000080"/>
          <w:sz w:val="20"/>
          <w:highlight w:val="white"/>
        </w:rPr>
      </w:pPr>
    </w:p>
    <w:p w14:paraId="48403826">
      <w:pPr>
        <w:rPr>
          <w:rFonts w:hint="eastAsia"/>
          <w:color w:val="000080"/>
          <w:sz w:val="20"/>
          <w:highlight w:val="white"/>
        </w:rPr>
      </w:pPr>
    </w:p>
    <w:p w14:paraId="16EF3CA8">
      <w:pPr>
        <w:pStyle w:val="40"/>
        <w:rPr>
          <w:rFonts w:hint="eastAsia"/>
          <w:color w:val="000080"/>
          <w:sz w:val="20"/>
          <w:highlight w:val="white"/>
        </w:rPr>
      </w:pPr>
    </w:p>
    <w:p w14:paraId="5661A9A6">
      <w:pPr>
        <w:rPr>
          <w:rFonts w:hint="eastAsia"/>
          <w:color w:val="000080"/>
          <w:sz w:val="20"/>
          <w:highlight w:val="white"/>
        </w:rPr>
      </w:pPr>
    </w:p>
    <w:p w14:paraId="412E0EE4">
      <w:pPr>
        <w:pStyle w:val="40"/>
        <w:rPr>
          <w:rFonts w:hint="eastAsia"/>
        </w:rPr>
      </w:pPr>
    </w:p>
    <w:p w14:paraId="157D314E">
      <w:pPr>
        <w:pStyle w:val="5"/>
        <w:jc w:val="center"/>
        <w:rPr>
          <w:rFonts w:hint="eastAsia" w:ascii="仿宋" w:hAnsi="仿宋" w:eastAsia="仿宋"/>
          <w:color w:val="000000"/>
        </w:rPr>
      </w:pPr>
      <w:bookmarkStart w:id="300" w:name="_Toc22565"/>
      <w:r>
        <w:rPr>
          <w:rFonts w:hint="eastAsia" w:ascii="仿宋" w:hAnsi="仿宋" w:eastAsia="仿宋"/>
          <w:color w:val="000000"/>
        </w:rPr>
        <w:t>第六章   资格审查与评审标准</w:t>
      </w:r>
      <w:bookmarkEnd w:id="300"/>
    </w:p>
    <w:p w14:paraId="7AB74FA3">
      <w:pPr>
        <w:rPr>
          <w:rFonts w:hint="eastAsia"/>
          <w:color w:val="000080"/>
          <w:sz w:val="20"/>
          <w:highlight w:val="red"/>
        </w:rPr>
      </w:pPr>
      <w:bookmarkStart w:id="301" w:name="EBd6608c40daa648908bc3124326cc0b85"/>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8"/>
        <w:gridCol w:w="3005"/>
        <w:gridCol w:w="4974"/>
      </w:tblGrid>
      <w:tr w14:paraId="3325B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50176399">
            <w:pPr>
              <w:widowControl/>
              <w:jc w:val="center"/>
              <w:rPr>
                <w:rFonts w:hint="eastAsia" w:ascii="仿宋" w:hAnsi="仿宋" w:eastAsia="仿宋" w:cs="仿宋"/>
                <w:kern w:val="0"/>
                <w:sz w:val="24"/>
                <w:szCs w:val="32"/>
                <w:lang w:val="en-US" w:eastAsia="en-US" w:bidi="ar-SA"/>
              </w:rPr>
            </w:pPr>
            <w:r>
              <w:rPr>
                <w:rFonts w:hint="eastAsia" w:ascii="仿宋" w:hAnsi="仿宋" w:eastAsia="仿宋" w:cs="仿宋"/>
                <w:kern w:val="0"/>
                <w:sz w:val="24"/>
                <w:szCs w:val="32"/>
                <w:lang w:val="en-US" w:eastAsia="en-US" w:bidi="ar-SA"/>
              </w:rPr>
              <w:t>初步条款</w:t>
            </w:r>
          </w:p>
        </w:tc>
        <w:tc>
          <w:tcPr>
            <w:tcW w:w="3005"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00E7102C">
            <w:pPr>
              <w:widowControl/>
              <w:jc w:val="center"/>
              <w:rPr>
                <w:rFonts w:hint="eastAsia" w:ascii="仿宋" w:hAnsi="仿宋" w:eastAsia="仿宋" w:cs="仿宋"/>
                <w:kern w:val="0"/>
                <w:sz w:val="24"/>
                <w:szCs w:val="32"/>
                <w:lang w:val="en-US" w:eastAsia="en-US" w:bidi="ar-SA"/>
              </w:rPr>
            </w:pPr>
            <w:r>
              <w:rPr>
                <w:rFonts w:hint="eastAsia" w:ascii="仿宋" w:hAnsi="仿宋" w:eastAsia="仿宋" w:cs="仿宋"/>
                <w:kern w:val="0"/>
                <w:sz w:val="24"/>
                <w:szCs w:val="32"/>
                <w:lang w:val="en-US" w:eastAsia="en-US" w:bidi="ar-SA"/>
              </w:rPr>
              <w:t>评分点名称</w:t>
            </w:r>
          </w:p>
        </w:tc>
        <w:tc>
          <w:tcPr>
            <w:tcW w:w="497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4E53E603">
            <w:pPr>
              <w:widowControl/>
              <w:jc w:val="center"/>
              <w:rPr>
                <w:rFonts w:hint="eastAsia" w:ascii="仿宋" w:hAnsi="仿宋" w:eastAsia="仿宋" w:cs="仿宋"/>
                <w:kern w:val="0"/>
                <w:sz w:val="24"/>
                <w:szCs w:val="32"/>
                <w:lang w:val="en-US" w:eastAsia="en-US" w:bidi="ar-SA"/>
              </w:rPr>
            </w:pPr>
            <w:r>
              <w:rPr>
                <w:rFonts w:hint="eastAsia" w:ascii="仿宋" w:hAnsi="仿宋" w:eastAsia="仿宋" w:cs="仿宋"/>
                <w:kern w:val="0"/>
                <w:sz w:val="24"/>
                <w:szCs w:val="32"/>
                <w:lang w:val="en-US" w:eastAsia="en-US" w:bidi="ar-SA"/>
              </w:rPr>
              <w:t>评审标准</w:t>
            </w:r>
          </w:p>
        </w:tc>
      </w:tr>
      <w:tr w14:paraId="16E65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vMerge w:val="restart"/>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0599EC6A">
            <w:pPr>
              <w:widowControl/>
              <w:jc w:val="center"/>
              <w:rPr>
                <w:rFonts w:hint="eastAsia" w:ascii="仿宋" w:hAnsi="仿宋" w:eastAsia="仿宋" w:cs="仿宋"/>
                <w:kern w:val="0"/>
                <w:sz w:val="24"/>
                <w:szCs w:val="32"/>
                <w:lang w:val="en-US" w:eastAsia="en-US" w:bidi="ar-SA"/>
              </w:rPr>
            </w:pPr>
            <w:r>
              <w:rPr>
                <w:rFonts w:hint="eastAsia" w:ascii="仿宋" w:hAnsi="仿宋" w:eastAsia="仿宋" w:cs="仿宋"/>
                <w:kern w:val="0"/>
                <w:sz w:val="24"/>
                <w:szCs w:val="32"/>
                <w:lang w:val="en-US" w:eastAsia="en-US" w:bidi="ar-SA"/>
              </w:rPr>
              <w:t>符合性评审</w:t>
            </w:r>
          </w:p>
        </w:tc>
        <w:tc>
          <w:tcPr>
            <w:tcW w:w="3005"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190D38BD">
            <w:pPr>
              <w:widowControl/>
              <w:jc w:val="left"/>
              <w:rPr>
                <w:rFonts w:hint="eastAsia" w:ascii="仿宋" w:hAnsi="仿宋" w:eastAsia="仿宋" w:cs="仿宋"/>
                <w:kern w:val="0"/>
                <w:sz w:val="24"/>
                <w:szCs w:val="32"/>
                <w:lang w:val="en-US" w:eastAsia="en-US" w:bidi="ar-SA"/>
              </w:rPr>
            </w:pPr>
            <w:r>
              <w:rPr>
                <w:rFonts w:hint="eastAsia" w:ascii="仿宋" w:hAnsi="仿宋" w:eastAsia="仿宋" w:cs="仿宋"/>
                <w:kern w:val="0"/>
                <w:sz w:val="24"/>
                <w:szCs w:val="32"/>
                <w:lang w:val="en-US" w:eastAsia="en-US" w:bidi="ar-SA"/>
              </w:rPr>
              <w:t>供应商名称</w:t>
            </w:r>
          </w:p>
        </w:tc>
        <w:tc>
          <w:tcPr>
            <w:tcW w:w="497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10D43FE2">
            <w:pPr>
              <w:widowControl/>
              <w:jc w:val="left"/>
              <w:rPr>
                <w:rFonts w:hint="eastAsia" w:ascii="仿宋" w:hAnsi="仿宋" w:eastAsia="仿宋" w:cs="仿宋"/>
                <w:kern w:val="0"/>
                <w:sz w:val="24"/>
                <w:szCs w:val="32"/>
                <w:lang w:val="en-US" w:eastAsia="en-US" w:bidi="ar-SA"/>
              </w:rPr>
            </w:pPr>
            <w:r>
              <w:rPr>
                <w:rFonts w:hint="eastAsia" w:ascii="仿宋" w:hAnsi="仿宋" w:eastAsia="仿宋" w:cs="仿宋"/>
                <w:kern w:val="0"/>
                <w:sz w:val="24"/>
                <w:szCs w:val="32"/>
                <w:lang w:val="en-US" w:eastAsia="en-US" w:bidi="ar-SA"/>
              </w:rPr>
              <w:t>与营业执照或事业单位法人证书一致</w:t>
            </w:r>
          </w:p>
        </w:tc>
      </w:tr>
      <w:tr w14:paraId="74BAC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vMerge w:val="continue"/>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6F9FA17E">
            <w:pPr>
              <w:widowControl/>
              <w:jc w:val="center"/>
              <w:rPr>
                <w:rFonts w:hint="eastAsia" w:ascii="仿宋" w:hAnsi="仿宋" w:eastAsia="仿宋" w:cs="仿宋"/>
                <w:kern w:val="0"/>
                <w:sz w:val="24"/>
                <w:szCs w:val="32"/>
                <w:lang w:val="en-US" w:eastAsia="en-US" w:bidi="ar-SA"/>
              </w:rPr>
            </w:pPr>
          </w:p>
        </w:tc>
        <w:tc>
          <w:tcPr>
            <w:tcW w:w="3005"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50031615">
            <w:pPr>
              <w:widowControl/>
              <w:jc w:val="left"/>
              <w:rPr>
                <w:rFonts w:hint="eastAsia" w:ascii="仿宋" w:hAnsi="仿宋" w:eastAsia="仿宋" w:cs="仿宋"/>
                <w:kern w:val="0"/>
                <w:sz w:val="24"/>
                <w:szCs w:val="32"/>
                <w:lang w:val="en-US" w:eastAsia="en-US" w:bidi="ar-SA"/>
              </w:rPr>
            </w:pPr>
            <w:r>
              <w:rPr>
                <w:rFonts w:hint="eastAsia" w:ascii="仿宋" w:hAnsi="仿宋" w:eastAsia="仿宋" w:cs="仿宋"/>
                <w:kern w:val="0"/>
                <w:sz w:val="24"/>
                <w:szCs w:val="32"/>
                <w:lang w:val="en-US" w:eastAsia="en-US" w:bidi="ar-SA"/>
              </w:rPr>
              <w:t>响应文件签字盖章</w:t>
            </w:r>
          </w:p>
        </w:tc>
        <w:tc>
          <w:tcPr>
            <w:tcW w:w="497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06A6A6BF">
            <w:pPr>
              <w:widowControl/>
              <w:jc w:val="left"/>
              <w:rPr>
                <w:rFonts w:hint="eastAsia" w:ascii="仿宋" w:hAnsi="仿宋" w:eastAsia="仿宋" w:cs="仿宋"/>
                <w:kern w:val="0"/>
                <w:sz w:val="24"/>
                <w:szCs w:val="32"/>
                <w:lang w:val="en-US" w:eastAsia="en-US" w:bidi="ar-SA"/>
              </w:rPr>
            </w:pPr>
            <w:r>
              <w:rPr>
                <w:rFonts w:hint="eastAsia" w:ascii="仿宋" w:hAnsi="仿宋" w:eastAsia="仿宋" w:cs="仿宋"/>
                <w:kern w:val="0"/>
                <w:sz w:val="24"/>
                <w:szCs w:val="32"/>
                <w:lang w:val="en-US" w:eastAsia="en-US" w:bidi="ar-SA"/>
              </w:rPr>
              <w:t>符合磋商文件要求</w:t>
            </w:r>
          </w:p>
        </w:tc>
      </w:tr>
      <w:tr w14:paraId="67AA8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vMerge w:val="continue"/>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1667D7E0">
            <w:pPr>
              <w:widowControl/>
              <w:jc w:val="center"/>
              <w:rPr>
                <w:rFonts w:hint="eastAsia" w:ascii="仿宋" w:hAnsi="仿宋" w:eastAsia="仿宋" w:cs="仿宋"/>
                <w:kern w:val="0"/>
                <w:sz w:val="24"/>
                <w:szCs w:val="32"/>
                <w:lang w:val="en-US" w:eastAsia="en-US" w:bidi="ar-SA"/>
              </w:rPr>
            </w:pPr>
          </w:p>
        </w:tc>
        <w:tc>
          <w:tcPr>
            <w:tcW w:w="3005"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3D526B82">
            <w:pPr>
              <w:widowControl/>
              <w:jc w:val="left"/>
              <w:rPr>
                <w:rFonts w:hint="eastAsia" w:ascii="仿宋" w:hAnsi="仿宋" w:eastAsia="仿宋" w:cs="仿宋"/>
                <w:kern w:val="0"/>
                <w:sz w:val="24"/>
                <w:szCs w:val="32"/>
                <w:lang w:val="en-US" w:eastAsia="en-US" w:bidi="ar-SA"/>
              </w:rPr>
            </w:pPr>
            <w:r>
              <w:rPr>
                <w:rFonts w:hint="eastAsia" w:ascii="仿宋" w:hAnsi="仿宋" w:eastAsia="仿宋" w:cs="仿宋"/>
                <w:kern w:val="0"/>
                <w:sz w:val="24"/>
                <w:szCs w:val="32"/>
                <w:lang w:val="en-US" w:eastAsia="en-US" w:bidi="ar-SA"/>
              </w:rPr>
              <w:t>报价</w:t>
            </w:r>
          </w:p>
        </w:tc>
        <w:tc>
          <w:tcPr>
            <w:tcW w:w="497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1201892E">
            <w:pPr>
              <w:widowControl/>
              <w:jc w:val="left"/>
              <w:rPr>
                <w:rFonts w:hint="eastAsia" w:ascii="仿宋" w:hAnsi="仿宋" w:eastAsia="仿宋" w:cs="仿宋"/>
                <w:kern w:val="0"/>
                <w:sz w:val="24"/>
                <w:szCs w:val="32"/>
                <w:lang w:val="en-US" w:eastAsia="en-US" w:bidi="ar-SA"/>
              </w:rPr>
            </w:pPr>
            <w:r>
              <w:rPr>
                <w:rFonts w:hint="eastAsia" w:ascii="仿宋" w:hAnsi="仿宋" w:eastAsia="仿宋" w:cs="仿宋"/>
                <w:kern w:val="0"/>
                <w:sz w:val="24"/>
                <w:szCs w:val="32"/>
                <w:lang w:val="en-US" w:eastAsia="en-US" w:bidi="ar-SA"/>
              </w:rPr>
              <w:t>只能有一个有效报价，且报价未超过预算控制价，并按规定填报报价表一览表、报价明细表</w:t>
            </w:r>
          </w:p>
        </w:tc>
      </w:tr>
      <w:tr w14:paraId="0C27D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vMerge w:val="continue"/>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200DAD3F">
            <w:pPr>
              <w:widowControl/>
              <w:jc w:val="center"/>
              <w:rPr>
                <w:rFonts w:hint="eastAsia" w:ascii="仿宋" w:hAnsi="仿宋" w:eastAsia="仿宋" w:cs="仿宋"/>
                <w:kern w:val="0"/>
                <w:sz w:val="24"/>
                <w:szCs w:val="32"/>
                <w:lang w:val="en-US" w:eastAsia="en-US" w:bidi="ar-SA"/>
              </w:rPr>
            </w:pPr>
          </w:p>
        </w:tc>
        <w:tc>
          <w:tcPr>
            <w:tcW w:w="3005"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11E36F6D">
            <w:pPr>
              <w:widowControl/>
              <w:jc w:val="left"/>
              <w:rPr>
                <w:rFonts w:hint="eastAsia" w:ascii="仿宋" w:hAnsi="仿宋" w:eastAsia="仿宋" w:cs="仿宋"/>
                <w:kern w:val="0"/>
                <w:sz w:val="24"/>
                <w:szCs w:val="32"/>
                <w:lang w:val="en-US" w:eastAsia="en-US" w:bidi="ar-SA"/>
              </w:rPr>
            </w:pPr>
            <w:r>
              <w:rPr>
                <w:rFonts w:hint="eastAsia" w:ascii="仿宋" w:hAnsi="仿宋" w:eastAsia="仿宋" w:cs="仿宋"/>
                <w:kern w:val="0"/>
                <w:sz w:val="24"/>
                <w:szCs w:val="32"/>
                <w:lang w:val="en-US" w:eastAsia="en-US" w:bidi="ar-SA"/>
              </w:rPr>
              <w:t>响应文件有效期</w:t>
            </w:r>
          </w:p>
        </w:tc>
        <w:tc>
          <w:tcPr>
            <w:tcW w:w="497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79E1F8B6">
            <w:pPr>
              <w:widowControl/>
              <w:jc w:val="left"/>
              <w:rPr>
                <w:rFonts w:hint="eastAsia" w:ascii="仿宋" w:hAnsi="仿宋" w:eastAsia="仿宋" w:cs="仿宋"/>
                <w:kern w:val="0"/>
                <w:sz w:val="24"/>
                <w:szCs w:val="32"/>
                <w:lang w:val="en-US" w:eastAsia="en-US" w:bidi="ar-SA"/>
              </w:rPr>
            </w:pPr>
            <w:r>
              <w:rPr>
                <w:rFonts w:hint="eastAsia" w:ascii="仿宋" w:hAnsi="仿宋" w:eastAsia="仿宋" w:cs="仿宋"/>
                <w:kern w:val="0"/>
                <w:sz w:val="24"/>
                <w:szCs w:val="32"/>
                <w:lang w:val="en-US" w:eastAsia="en-US" w:bidi="ar-SA"/>
              </w:rPr>
              <w:t>符合供应商须知前附表的规定</w:t>
            </w:r>
          </w:p>
        </w:tc>
      </w:tr>
      <w:tr w14:paraId="07922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vMerge w:val="continue"/>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3A69FBC7">
            <w:pPr>
              <w:widowControl/>
              <w:jc w:val="center"/>
              <w:rPr>
                <w:rFonts w:hint="eastAsia" w:ascii="仿宋" w:hAnsi="仿宋" w:eastAsia="仿宋" w:cs="仿宋"/>
                <w:kern w:val="0"/>
                <w:sz w:val="24"/>
                <w:szCs w:val="32"/>
                <w:lang w:val="en-US" w:eastAsia="en-US" w:bidi="ar-SA"/>
              </w:rPr>
            </w:pPr>
          </w:p>
        </w:tc>
        <w:tc>
          <w:tcPr>
            <w:tcW w:w="3005"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444C9F2B">
            <w:pPr>
              <w:widowControl/>
              <w:jc w:val="left"/>
              <w:rPr>
                <w:rFonts w:hint="eastAsia" w:ascii="仿宋" w:hAnsi="仿宋" w:eastAsia="仿宋" w:cs="仿宋"/>
                <w:kern w:val="0"/>
                <w:sz w:val="24"/>
                <w:szCs w:val="32"/>
                <w:lang w:val="en-US" w:eastAsia="en-US" w:bidi="ar-SA"/>
              </w:rPr>
            </w:pPr>
            <w:r>
              <w:rPr>
                <w:rFonts w:hint="eastAsia" w:ascii="仿宋" w:hAnsi="仿宋" w:eastAsia="仿宋" w:cs="仿宋"/>
                <w:kern w:val="0"/>
                <w:sz w:val="24"/>
                <w:szCs w:val="32"/>
                <w:lang w:val="en-US" w:eastAsia="en-US" w:bidi="ar-SA"/>
              </w:rPr>
              <w:t>实质性要求和条件</w:t>
            </w:r>
          </w:p>
        </w:tc>
        <w:tc>
          <w:tcPr>
            <w:tcW w:w="497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712AAD48">
            <w:pPr>
              <w:widowControl/>
              <w:jc w:val="left"/>
              <w:rPr>
                <w:rFonts w:hint="eastAsia" w:ascii="仿宋" w:hAnsi="仿宋" w:eastAsia="仿宋" w:cs="仿宋"/>
                <w:kern w:val="0"/>
                <w:sz w:val="24"/>
                <w:szCs w:val="32"/>
                <w:lang w:val="en-US" w:eastAsia="en-US" w:bidi="ar-SA"/>
              </w:rPr>
            </w:pPr>
            <w:r>
              <w:rPr>
                <w:rFonts w:hint="eastAsia" w:ascii="仿宋" w:hAnsi="仿宋" w:eastAsia="仿宋" w:cs="仿宋"/>
                <w:kern w:val="0"/>
                <w:sz w:val="24"/>
                <w:szCs w:val="32"/>
                <w:lang w:val="en-US" w:eastAsia="en-US" w:bidi="ar-SA"/>
              </w:rPr>
              <w:t>符合供应商须知前附表的规定</w:t>
            </w:r>
          </w:p>
        </w:tc>
      </w:tr>
      <w:tr w14:paraId="47B2F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vMerge w:val="restart"/>
            <w:tcBorders>
              <w:top w:val="single" w:color="000000" w:sz="2" w:space="0"/>
              <w:left w:val="single" w:color="000000" w:sz="2" w:space="0"/>
              <w:right w:val="single" w:color="000000" w:sz="2" w:space="0"/>
            </w:tcBorders>
            <w:noWrap/>
            <w:tcMar>
              <w:top w:w="100" w:type="dxa"/>
              <w:bottom w:w="100" w:type="dxa"/>
            </w:tcMar>
            <w:vAlign w:val="center"/>
          </w:tcPr>
          <w:p w14:paraId="647CAAE2">
            <w:pPr>
              <w:widowControl/>
              <w:jc w:val="center"/>
              <w:rPr>
                <w:rFonts w:hint="eastAsia" w:ascii="仿宋" w:hAnsi="仿宋" w:eastAsia="仿宋" w:cs="仿宋"/>
                <w:kern w:val="0"/>
                <w:sz w:val="24"/>
                <w:szCs w:val="32"/>
                <w:lang w:val="en-US" w:eastAsia="en-US" w:bidi="ar-SA"/>
              </w:rPr>
            </w:pPr>
            <w:r>
              <w:rPr>
                <w:rFonts w:hint="eastAsia" w:ascii="仿宋" w:hAnsi="仿宋" w:eastAsia="仿宋" w:cs="仿宋"/>
                <w:kern w:val="0"/>
                <w:sz w:val="24"/>
                <w:szCs w:val="32"/>
                <w:lang w:val="en-US" w:eastAsia="en-US" w:bidi="ar-SA"/>
              </w:rPr>
              <w:t>资格评审</w:t>
            </w:r>
          </w:p>
        </w:tc>
        <w:tc>
          <w:tcPr>
            <w:tcW w:w="3005"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3FF6B23C">
            <w:pPr>
              <w:widowControl/>
              <w:jc w:val="left"/>
              <w:rPr>
                <w:rFonts w:hint="eastAsia" w:ascii="仿宋" w:hAnsi="仿宋" w:eastAsia="仿宋" w:cs="仿宋"/>
                <w:kern w:val="0"/>
                <w:sz w:val="24"/>
                <w:szCs w:val="32"/>
                <w:lang w:val="en-US" w:eastAsia="en-US" w:bidi="ar-SA"/>
              </w:rPr>
            </w:pPr>
            <w:r>
              <w:rPr>
                <w:rFonts w:hint="eastAsia" w:ascii="仿宋" w:hAnsi="仿宋" w:eastAsia="仿宋" w:cs="仿宋"/>
                <w:kern w:val="0"/>
                <w:sz w:val="24"/>
                <w:szCs w:val="32"/>
                <w:lang w:val="en-US" w:eastAsia="en-US" w:bidi="ar-SA"/>
              </w:rPr>
              <w:t>营业执照或</w:t>
            </w:r>
          </w:p>
          <w:p w14:paraId="406BD546">
            <w:pPr>
              <w:widowControl/>
              <w:jc w:val="left"/>
              <w:rPr>
                <w:rFonts w:hint="eastAsia" w:ascii="仿宋" w:hAnsi="仿宋" w:eastAsia="仿宋" w:cs="仿宋"/>
                <w:kern w:val="0"/>
                <w:sz w:val="24"/>
                <w:szCs w:val="32"/>
                <w:lang w:val="en-US" w:eastAsia="en-US" w:bidi="ar-SA"/>
              </w:rPr>
            </w:pPr>
            <w:r>
              <w:rPr>
                <w:rFonts w:hint="eastAsia" w:ascii="仿宋" w:hAnsi="仿宋" w:eastAsia="仿宋" w:cs="仿宋"/>
                <w:kern w:val="0"/>
                <w:sz w:val="24"/>
                <w:szCs w:val="32"/>
                <w:lang w:val="en-US" w:eastAsia="en-US" w:bidi="ar-SA"/>
              </w:rPr>
              <w:t>事业单位法人证书</w:t>
            </w:r>
          </w:p>
        </w:tc>
        <w:tc>
          <w:tcPr>
            <w:tcW w:w="497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7346DF32">
            <w:pPr>
              <w:widowControl/>
              <w:jc w:val="left"/>
              <w:rPr>
                <w:rFonts w:hint="eastAsia" w:ascii="仿宋" w:hAnsi="仿宋" w:eastAsia="仿宋" w:cs="仿宋"/>
                <w:kern w:val="0"/>
                <w:sz w:val="24"/>
                <w:szCs w:val="32"/>
                <w:lang w:val="en-US" w:eastAsia="en-US" w:bidi="ar-SA"/>
              </w:rPr>
            </w:pPr>
            <w:r>
              <w:rPr>
                <w:rFonts w:hint="eastAsia" w:ascii="仿宋" w:hAnsi="仿宋" w:eastAsia="仿宋" w:cs="仿宋"/>
                <w:kern w:val="0"/>
                <w:sz w:val="24"/>
                <w:szCs w:val="32"/>
                <w:lang w:val="en-US" w:eastAsia="en-US" w:bidi="ar-SA"/>
              </w:rPr>
              <w:t>具有有效的营业执照或事业单位法人证书</w:t>
            </w:r>
          </w:p>
        </w:tc>
      </w:tr>
      <w:tr w14:paraId="39F6A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vMerge w:val="continue"/>
            <w:tcBorders>
              <w:left w:val="single" w:color="000000" w:sz="2" w:space="0"/>
              <w:right w:val="single" w:color="000000" w:sz="2" w:space="0"/>
            </w:tcBorders>
            <w:noWrap/>
            <w:tcMar>
              <w:top w:w="100" w:type="dxa"/>
              <w:bottom w:w="100" w:type="dxa"/>
            </w:tcMar>
            <w:vAlign w:val="center"/>
          </w:tcPr>
          <w:p w14:paraId="55F6F12D">
            <w:pPr>
              <w:widowControl/>
              <w:jc w:val="center"/>
              <w:rPr>
                <w:rFonts w:hint="eastAsia" w:ascii="仿宋" w:hAnsi="仿宋" w:eastAsia="仿宋" w:cs="仿宋"/>
                <w:kern w:val="0"/>
                <w:sz w:val="24"/>
                <w:szCs w:val="32"/>
                <w:lang w:val="en-US" w:eastAsia="en-US" w:bidi="ar-SA"/>
              </w:rPr>
            </w:pPr>
          </w:p>
        </w:tc>
        <w:tc>
          <w:tcPr>
            <w:tcW w:w="3005"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33F3C25B">
            <w:pPr>
              <w:widowControl/>
              <w:jc w:val="left"/>
              <w:rPr>
                <w:rFonts w:hint="eastAsia" w:ascii="仿宋" w:hAnsi="仿宋" w:eastAsia="仿宋" w:cs="仿宋"/>
                <w:kern w:val="0"/>
                <w:sz w:val="24"/>
                <w:szCs w:val="32"/>
                <w:lang w:val="en-US" w:eastAsia="en-US" w:bidi="ar-SA"/>
              </w:rPr>
            </w:pPr>
            <w:r>
              <w:rPr>
                <w:rFonts w:hint="eastAsia" w:ascii="仿宋" w:hAnsi="仿宋" w:eastAsia="仿宋" w:cs="仿宋"/>
                <w:kern w:val="0"/>
                <w:sz w:val="24"/>
                <w:szCs w:val="32"/>
                <w:lang w:val="en-US" w:eastAsia="en-US" w:bidi="ar-SA"/>
              </w:rPr>
              <w:t>信用承诺函</w:t>
            </w:r>
          </w:p>
        </w:tc>
        <w:tc>
          <w:tcPr>
            <w:tcW w:w="497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665AF06A">
            <w:pPr>
              <w:widowControl/>
              <w:jc w:val="left"/>
              <w:rPr>
                <w:rFonts w:hint="eastAsia" w:ascii="仿宋" w:hAnsi="仿宋" w:eastAsia="仿宋" w:cs="仿宋"/>
                <w:kern w:val="0"/>
                <w:sz w:val="24"/>
                <w:szCs w:val="32"/>
                <w:lang w:val="en-US" w:eastAsia="en-US" w:bidi="ar-SA"/>
              </w:rPr>
            </w:pPr>
            <w:r>
              <w:rPr>
                <w:rFonts w:hint="eastAsia" w:ascii="仿宋" w:hAnsi="仿宋" w:eastAsia="仿宋" w:cs="仿宋"/>
                <w:kern w:val="0"/>
                <w:sz w:val="24"/>
                <w:szCs w:val="32"/>
                <w:lang w:val="en-US" w:eastAsia="en-US" w:bidi="ar-SA"/>
              </w:rPr>
              <w:t>符合供应商须知前附表的规定</w:t>
            </w:r>
          </w:p>
        </w:tc>
      </w:tr>
      <w:tr w14:paraId="4B2EF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vMerge w:val="continue"/>
            <w:tcBorders>
              <w:left w:val="single" w:color="000000" w:sz="2" w:space="0"/>
              <w:right w:val="single" w:color="000000" w:sz="2" w:space="0"/>
            </w:tcBorders>
            <w:noWrap/>
            <w:tcMar>
              <w:top w:w="100" w:type="dxa"/>
              <w:bottom w:w="100" w:type="dxa"/>
            </w:tcMar>
            <w:vAlign w:val="center"/>
          </w:tcPr>
          <w:p w14:paraId="0D8A8FD1">
            <w:pPr>
              <w:widowControl/>
              <w:jc w:val="center"/>
              <w:rPr>
                <w:rFonts w:hint="eastAsia" w:ascii="仿宋" w:hAnsi="仿宋" w:eastAsia="仿宋" w:cs="仿宋"/>
                <w:kern w:val="0"/>
                <w:sz w:val="24"/>
                <w:szCs w:val="32"/>
                <w:lang w:val="en-US" w:eastAsia="en-US" w:bidi="ar-SA"/>
              </w:rPr>
            </w:pPr>
          </w:p>
        </w:tc>
        <w:tc>
          <w:tcPr>
            <w:tcW w:w="3005"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02588D2F">
            <w:pPr>
              <w:widowControl/>
              <w:jc w:val="left"/>
              <w:rPr>
                <w:rFonts w:hint="eastAsia" w:ascii="仿宋" w:hAnsi="仿宋" w:eastAsia="仿宋" w:cs="仿宋"/>
                <w:kern w:val="0"/>
                <w:sz w:val="24"/>
                <w:szCs w:val="32"/>
                <w:lang w:val="en-US" w:eastAsia="en-US" w:bidi="ar-SA"/>
              </w:rPr>
            </w:pPr>
            <w:r>
              <w:rPr>
                <w:rFonts w:hint="eastAsia" w:ascii="仿宋" w:hAnsi="仿宋" w:eastAsia="仿宋" w:cs="仿宋"/>
                <w:kern w:val="0"/>
                <w:sz w:val="24"/>
                <w:szCs w:val="32"/>
                <w:lang w:val="en-US" w:eastAsia="en-US" w:bidi="ar-SA"/>
              </w:rPr>
              <w:t>联合体投标</w:t>
            </w:r>
          </w:p>
        </w:tc>
        <w:tc>
          <w:tcPr>
            <w:tcW w:w="497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03D71D8B">
            <w:pPr>
              <w:widowControl/>
              <w:jc w:val="left"/>
              <w:rPr>
                <w:rFonts w:hint="eastAsia" w:ascii="仿宋" w:hAnsi="仿宋" w:eastAsia="仿宋" w:cs="仿宋"/>
                <w:kern w:val="0"/>
                <w:sz w:val="24"/>
                <w:szCs w:val="32"/>
                <w:lang w:val="en-US" w:eastAsia="en-US" w:bidi="ar-SA"/>
              </w:rPr>
            </w:pPr>
            <w:r>
              <w:rPr>
                <w:rFonts w:hint="eastAsia" w:ascii="仿宋" w:hAnsi="仿宋" w:eastAsia="仿宋" w:cs="仿宋"/>
                <w:kern w:val="0"/>
                <w:sz w:val="24"/>
                <w:szCs w:val="32"/>
                <w:lang w:val="en-US" w:eastAsia="en-US" w:bidi="ar-SA"/>
              </w:rPr>
              <w:t>符合供应商须知前附表的规定</w:t>
            </w:r>
          </w:p>
        </w:tc>
      </w:tr>
      <w:tr w14:paraId="2EEF4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vMerge w:val="continue"/>
            <w:tcBorders>
              <w:left w:val="single" w:color="000000" w:sz="2" w:space="0"/>
              <w:bottom w:val="single" w:color="000000" w:sz="2" w:space="0"/>
              <w:right w:val="single" w:color="000000" w:sz="2" w:space="0"/>
            </w:tcBorders>
            <w:noWrap/>
            <w:tcMar>
              <w:top w:w="100" w:type="dxa"/>
              <w:bottom w:w="100" w:type="dxa"/>
            </w:tcMar>
            <w:vAlign w:val="center"/>
          </w:tcPr>
          <w:p w14:paraId="421BF38F">
            <w:pPr>
              <w:widowControl/>
              <w:jc w:val="center"/>
              <w:rPr>
                <w:rFonts w:hint="eastAsia" w:ascii="仿宋" w:hAnsi="仿宋" w:eastAsia="仿宋" w:cs="仿宋"/>
                <w:kern w:val="0"/>
                <w:sz w:val="24"/>
                <w:szCs w:val="32"/>
                <w:lang w:val="en-US" w:eastAsia="en-US" w:bidi="ar-SA"/>
              </w:rPr>
            </w:pPr>
            <w:bookmarkStart w:id="302" w:name="EB63a4bd099da54daaaed279f566efd0e1"/>
          </w:p>
        </w:tc>
        <w:tc>
          <w:tcPr>
            <w:tcW w:w="3005"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2A527ED4">
            <w:pPr>
              <w:widowControl/>
              <w:jc w:val="left"/>
              <w:rPr>
                <w:rFonts w:hint="eastAsia" w:ascii="仿宋" w:hAnsi="仿宋" w:eastAsia="仿宋" w:cs="仿宋"/>
                <w:kern w:val="0"/>
                <w:sz w:val="24"/>
                <w:szCs w:val="32"/>
                <w:lang w:val="en-US" w:eastAsia="en-US" w:bidi="ar-SA"/>
              </w:rPr>
            </w:pPr>
            <w:r>
              <w:rPr>
                <w:rFonts w:hint="eastAsia" w:ascii="仿宋" w:hAnsi="仿宋" w:eastAsia="仿宋" w:cs="仿宋"/>
                <w:kern w:val="0"/>
                <w:sz w:val="24"/>
                <w:szCs w:val="32"/>
                <w:lang w:val="en-US" w:eastAsia="en-US" w:bidi="ar-SA"/>
              </w:rPr>
              <w:t>不存在禁止投标的情形</w:t>
            </w:r>
          </w:p>
        </w:tc>
        <w:tc>
          <w:tcPr>
            <w:tcW w:w="497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7B22155A">
            <w:pPr>
              <w:widowControl/>
              <w:jc w:val="left"/>
              <w:rPr>
                <w:rFonts w:hint="eastAsia" w:ascii="仿宋" w:hAnsi="仿宋" w:eastAsia="仿宋" w:cs="仿宋"/>
                <w:kern w:val="0"/>
                <w:sz w:val="24"/>
                <w:szCs w:val="32"/>
                <w:lang w:val="en-US" w:eastAsia="en-US" w:bidi="ar-SA"/>
              </w:rPr>
            </w:pPr>
            <w:r>
              <w:rPr>
                <w:rFonts w:hint="eastAsia" w:ascii="仿宋" w:hAnsi="仿宋" w:eastAsia="仿宋" w:cs="仿宋"/>
                <w:kern w:val="0"/>
                <w:sz w:val="24"/>
                <w:szCs w:val="32"/>
                <w:lang w:val="en-US" w:eastAsia="en-US" w:bidi="ar-SA"/>
              </w:rPr>
              <w:t>不存在第二章“供应商须知”第 1.4.3 项规定的任何一种情形</w:t>
            </w:r>
          </w:p>
        </w:tc>
      </w:tr>
      <w:bookmarkEnd w:id="301"/>
    </w:tbl>
    <w:p w14:paraId="1185BB73">
      <w:pPr>
        <w:rPr>
          <w:rFonts w:hint="eastAsia"/>
          <w:highlight w:val="red"/>
        </w:rPr>
      </w:pPr>
    </w:p>
    <w:p w14:paraId="06BB2E3F">
      <w:pPr>
        <w:rPr>
          <w:rFonts w:hint="eastAsia"/>
          <w:highlight w:val="red"/>
        </w:rPr>
      </w:pPr>
    </w:p>
    <w:p w14:paraId="7E757223">
      <w:pPr>
        <w:rPr>
          <w:rFonts w:hint="eastAsia"/>
          <w:highlight w:val="red"/>
        </w:rPr>
      </w:pPr>
    </w:p>
    <w:p w14:paraId="79E66E38">
      <w:pPr>
        <w:rPr>
          <w:rFonts w:hint="eastAsia"/>
          <w:highlight w:val="red"/>
        </w:rPr>
      </w:pPr>
    </w:p>
    <w:p w14:paraId="401CF381">
      <w:pPr>
        <w:rPr>
          <w:rFonts w:hint="eastAsia"/>
          <w:highlight w:val="red"/>
        </w:rPr>
      </w:pPr>
    </w:p>
    <w:p w14:paraId="41ABAF53">
      <w:pPr>
        <w:rPr>
          <w:rFonts w:hint="eastAsia"/>
          <w:highlight w:val="red"/>
        </w:rPr>
      </w:pPr>
    </w:p>
    <w:p w14:paraId="206F7713">
      <w:pPr>
        <w:rPr>
          <w:rFonts w:hint="eastAsia"/>
          <w:highlight w:val="red"/>
        </w:rPr>
      </w:pPr>
    </w:p>
    <w:p w14:paraId="78EFD625">
      <w:pPr>
        <w:rPr>
          <w:rFonts w:hint="eastAsia"/>
          <w:highlight w:val="red"/>
        </w:rPr>
      </w:pPr>
    </w:p>
    <w:p w14:paraId="459DD7C9">
      <w:pPr>
        <w:rPr>
          <w:rFonts w:hint="eastAsia"/>
          <w:highlight w:val="red"/>
        </w:rPr>
      </w:pPr>
    </w:p>
    <w:p w14:paraId="47F2A1E4">
      <w:pPr>
        <w:rPr>
          <w:rFonts w:hint="eastAsia"/>
          <w:highlight w:val="red"/>
        </w:rPr>
      </w:pP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6"/>
        <w:gridCol w:w="924"/>
        <w:gridCol w:w="998"/>
        <w:gridCol w:w="1685"/>
        <w:gridCol w:w="4524"/>
      </w:tblGrid>
      <w:tr w14:paraId="20224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6"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2DEDD543">
            <w:pPr>
              <w:widowControl/>
              <w:jc w:val="center"/>
              <w:rPr>
                <w:rFonts w:hint="eastAsia" w:ascii="仿宋" w:hAnsi="仿宋" w:eastAsia="仿宋" w:cs="仿宋"/>
                <w:kern w:val="0"/>
                <w:sz w:val="24"/>
                <w:szCs w:val="24"/>
                <w:lang w:val="en-US" w:eastAsia="en-US" w:bidi="ar-SA"/>
              </w:rPr>
            </w:pPr>
            <w:r>
              <w:rPr>
                <w:rFonts w:hint="eastAsia" w:ascii="仿宋" w:hAnsi="仿宋" w:eastAsia="仿宋" w:cs="仿宋"/>
                <w:kern w:val="0"/>
                <w:sz w:val="24"/>
                <w:szCs w:val="24"/>
                <w:lang w:val="en-US" w:eastAsia="en-US" w:bidi="ar-SA"/>
              </w:rPr>
              <w:t>详细条款</w:t>
            </w:r>
          </w:p>
        </w:tc>
        <w:tc>
          <w:tcPr>
            <w:tcW w:w="92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35863821">
            <w:pPr>
              <w:widowControl/>
              <w:jc w:val="center"/>
              <w:rPr>
                <w:rFonts w:hint="eastAsia" w:ascii="仿宋" w:hAnsi="仿宋" w:eastAsia="仿宋" w:cs="仿宋"/>
                <w:kern w:val="0"/>
                <w:sz w:val="24"/>
                <w:szCs w:val="24"/>
                <w:lang w:val="en-US" w:eastAsia="en-US" w:bidi="ar-SA"/>
              </w:rPr>
            </w:pPr>
            <w:r>
              <w:rPr>
                <w:rFonts w:hint="eastAsia" w:ascii="仿宋" w:hAnsi="仿宋" w:eastAsia="仿宋" w:cs="仿宋"/>
                <w:kern w:val="0"/>
                <w:sz w:val="24"/>
                <w:szCs w:val="24"/>
                <w:lang w:val="en-US" w:eastAsia="en-US" w:bidi="ar-SA"/>
              </w:rPr>
              <w:t>最低分</w:t>
            </w:r>
          </w:p>
        </w:tc>
        <w:tc>
          <w:tcPr>
            <w:tcW w:w="998"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74F8B93F">
            <w:pPr>
              <w:widowControl/>
              <w:jc w:val="center"/>
              <w:rPr>
                <w:rFonts w:hint="eastAsia" w:ascii="仿宋" w:hAnsi="仿宋" w:eastAsia="仿宋" w:cs="仿宋"/>
                <w:kern w:val="0"/>
                <w:sz w:val="24"/>
                <w:szCs w:val="24"/>
                <w:lang w:val="en-US" w:eastAsia="en-US" w:bidi="ar-SA"/>
              </w:rPr>
            </w:pPr>
            <w:r>
              <w:rPr>
                <w:rFonts w:hint="eastAsia" w:ascii="仿宋" w:hAnsi="仿宋" w:eastAsia="仿宋" w:cs="仿宋"/>
                <w:kern w:val="0"/>
                <w:sz w:val="24"/>
                <w:szCs w:val="24"/>
                <w:lang w:val="en-US" w:eastAsia="en-US" w:bidi="ar-SA"/>
              </w:rPr>
              <w:t>最高分</w:t>
            </w:r>
          </w:p>
        </w:tc>
        <w:tc>
          <w:tcPr>
            <w:tcW w:w="1685"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0D1D65A3">
            <w:pPr>
              <w:widowControl/>
              <w:jc w:val="center"/>
              <w:rPr>
                <w:rFonts w:hint="eastAsia" w:ascii="仿宋" w:hAnsi="仿宋" w:eastAsia="仿宋" w:cs="仿宋"/>
                <w:kern w:val="0"/>
                <w:sz w:val="24"/>
                <w:szCs w:val="24"/>
                <w:lang w:val="en-US" w:eastAsia="en-US" w:bidi="ar-SA"/>
              </w:rPr>
            </w:pPr>
            <w:r>
              <w:rPr>
                <w:rFonts w:hint="eastAsia" w:ascii="仿宋" w:hAnsi="仿宋" w:eastAsia="仿宋" w:cs="仿宋"/>
                <w:kern w:val="0"/>
                <w:sz w:val="24"/>
                <w:szCs w:val="24"/>
                <w:lang w:val="en-US" w:eastAsia="en-US" w:bidi="ar-SA"/>
              </w:rPr>
              <w:t>评分点名称</w:t>
            </w:r>
          </w:p>
        </w:tc>
        <w:tc>
          <w:tcPr>
            <w:tcW w:w="452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282C6B59">
            <w:pPr>
              <w:widowControl/>
              <w:jc w:val="center"/>
              <w:rPr>
                <w:rFonts w:hint="eastAsia" w:ascii="仿宋" w:hAnsi="仿宋" w:eastAsia="仿宋" w:cs="仿宋"/>
                <w:kern w:val="0"/>
                <w:sz w:val="24"/>
                <w:szCs w:val="24"/>
                <w:lang w:val="en-US" w:eastAsia="en-US" w:bidi="ar-SA"/>
              </w:rPr>
            </w:pPr>
            <w:r>
              <w:rPr>
                <w:rFonts w:hint="eastAsia" w:ascii="仿宋" w:hAnsi="仿宋" w:eastAsia="仿宋" w:cs="仿宋"/>
                <w:kern w:val="0"/>
                <w:sz w:val="24"/>
                <w:szCs w:val="24"/>
                <w:lang w:val="en-US" w:eastAsia="en-US" w:bidi="ar-SA"/>
              </w:rPr>
              <w:t>评审标准</w:t>
            </w:r>
          </w:p>
        </w:tc>
      </w:tr>
      <w:tr w14:paraId="4B076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6"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3D6A4CC6">
            <w:pPr>
              <w:jc w:val="center"/>
              <w:rPr>
                <w:rFonts w:hint="eastAsia" w:ascii="仿宋" w:hAnsi="仿宋" w:eastAsia="仿宋" w:cs="仿宋"/>
                <w:b w:val="0"/>
                <w:bCs w:val="0"/>
                <w:spacing w:val="30"/>
                <w:sz w:val="24"/>
                <w:szCs w:val="24"/>
                <w:lang w:val="en-US" w:eastAsia="zh-CN"/>
              </w:rPr>
            </w:pPr>
            <w:r>
              <w:rPr>
                <w:rFonts w:hint="eastAsia" w:ascii="仿宋" w:hAnsi="仿宋" w:eastAsia="仿宋" w:cs="仿宋"/>
                <w:b w:val="0"/>
                <w:bCs w:val="0"/>
                <w:spacing w:val="30"/>
                <w:sz w:val="24"/>
                <w:szCs w:val="24"/>
                <w:lang w:val="en-US" w:eastAsia="en-US"/>
              </w:rPr>
              <w:t>经济标评分参数</w:t>
            </w:r>
            <w:r>
              <w:rPr>
                <w:rFonts w:hint="eastAsia" w:ascii="仿宋" w:hAnsi="仿宋" w:eastAsia="仿宋" w:cs="仿宋"/>
                <w:b w:val="0"/>
                <w:bCs w:val="0"/>
                <w:spacing w:val="30"/>
                <w:sz w:val="24"/>
                <w:szCs w:val="24"/>
                <w:lang w:val="en-US" w:eastAsia="zh-CN"/>
              </w:rPr>
              <w:t>（30）</w:t>
            </w:r>
          </w:p>
        </w:tc>
        <w:tc>
          <w:tcPr>
            <w:tcW w:w="92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4871CC04">
            <w:pPr>
              <w:jc w:val="center"/>
              <w:rPr>
                <w:rFonts w:hint="default" w:ascii="仿宋" w:hAnsi="仿宋" w:eastAsia="仿宋" w:cs="仿宋"/>
                <w:b w:val="0"/>
                <w:bCs w:val="0"/>
                <w:spacing w:val="30"/>
                <w:sz w:val="24"/>
                <w:szCs w:val="24"/>
                <w:lang w:val="en-US" w:eastAsia="zh-CN"/>
              </w:rPr>
            </w:pPr>
            <w:r>
              <w:rPr>
                <w:rFonts w:hint="eastAsia" w:ascii="仿宋" w:hAnsi="仿宋" w:eastAsia="仿宋" w:cs="仿宋"/>
                <w:b w:val="0"/>
                <w:bCs w:val="0"/>
                <w:spacing w:val="30"/>
                <w:sz w:val="24"/>
                <w:szCs w:val="24"/>
                <w:lang w:val="en-US" w:eastAsia="zh-CN"/>
              </w:rPr>
              <w:t>0.00</w:t>
            </w:r>
          </w:p>
        </w:tc>
        <w:tc>
          <w:tcPr>
            <w:tcW w:w="998"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5885AE14">
            <w:pPr>
              <w:jc w:val="center"/>
              <w:rPr>
                <w:rFonts w:hint="eastAsia" w:ascii="仿宋" w:hAnsi="仿宋" w:eastAsia="仿宋" w:cs="仿宋"/>
                <w:b w:val="0"/>
                <w:bCs w:val="0"/>
                <w:spacing w:val="30"/>
                <w:sz w:val="24"/>
                <w:szCs w:val="24"/>
                <w:lang w:val="en-US" w:eastAsia="zh-CN"/>
              </w:rPr>
            </w:pPr>
            <w:r>
              <w:rPr>
                <w:rFonts w:hint="eastAsia" w:ascii="仿宋" w:hAnsi="仿宋" w:eastAsia="仿宋" w:cs="仿宋"/>
                <w:b w:val="0"/>
                <w:bCs w:val="0"/>
                <w:spacing w:val="30"/>
                <w:sz w:val="24"/>
                <w:szCs w:val="24"/>
                <w:lang w:val="en-US" w:eastAsia="zh-CN"/>
              </w:rPr>
              <w:t>30</w:t>
            </w:r>
            <w:r>
              <w:rPr>
                <w:rFonts w:hint="eastAsia" w:ascii="仿宋" w:hAnsi="仿宋" w:eastAsia="仿宋" w:cs="仿宋"/>
                <w:b w:val="0"/>
                <w:bCs w:val="0"/>
                <w:spacing w:val="30"/>
                <w:sz w:val="24"/>
                <w:szCs w:val="24"/>
                <w:lang w:val="en-US" w:eastAsia="en-US"/>
              </w:rPr>
              <w:t>.0</w:t>
            </w:r>
            <w:r>
              <w:rPr>
                <w:rFonts w:hint="eastAsia" w:ascii="仿宋" w:hAnsi="仿宋" w:eastAsia="仿宋" w:cs="仿宋"/>
                <w:b w:val="0"/>
                <w:bCs w:val="0"/>
                <w:spacing w:val="30"/>
                <w:sz w:val="24"/>
                <w:szCs w:val="24"/>
                <w:lang w:val="en-US" w:eastAsia="zh-CN"/>
              </w:rPr>
              <w:t>0</w:t>
            </w:r>
          </w:p>
        </w:tc>
        <w:tc>
          <w:tcPr>
            <w:tcW w:w="1685"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766EEF64">
            <w:pPr>
              <w:jc w:val="center"/>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en-US"/>
              </w:rPr>
              <w:t>投标报价</w:t>
            </w:r>
          </w:p>
        </w:tc>
        <w:tc>
          <w:tcPr>
            <w:tcW w:w="452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4AF3A4FB">
            <w:pPr>
              <w:jc w:val="left"/>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en-US"/>
              </w:rPr>
              <w:t>价格分采用低价优先法计算，即满足磋商文件要求且评标报价最低的评标报价为评标基准价，其价格分为满分。其他供应商的价格分统一按照下列公式计算：报价得分=(评标基准价／评标报价)×报价权重</w:t>
            </w:r>
          </w:p>
        </w:tc>
      </w:tr>
      <w:tr w14:paraId="7D2A6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6" w:type="dxa"/>
            <w:vMerge w:val="restart"/>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6F48642B">
            <w:pPr>
              <w:jc w:val="center"/>
              <w:rPr>
                <w:rFonts w:hint="eastAsia" w:ascii="仿宋" w:hAnsi="仿宋" w:eastAsia="仿宋" w:cs="仿宋"/>
                <w:b w:val="0"/>
                <w:bCs w:val="0"/>
                <w:spacing w:val="30"/>
                <w:sz w:val="24"/>
                <w:szCs w:val="24"/>
                <w:highlight w:val="none"/>
                <w:lang w:val="en-US" w:eastAsia="zh-CN"/>
              </w:rPr>
            </w:pPr>
            <w:r>
              <w:rPr>
                <w:rFonts w:hint="eastAsia" w:ascii="仿宋" w:hAnsi="仿宋" w:eastAsia="仿宋" w:cs="仿宋"/>
                <w:b w:val="0"/>
                <w:bCs w:val="0"/>
                <w:spacing w:val="30"/>
                <w:sz w:val="24"/>
                <w:szCs w:val="24"/>
                <w:highlight w:val="none"/>
                <w:lang w:val="en-US" w:eastAsia="en-US"/>
              </w:rPr>
              <w:t>技术标评分参数</w:t>
            </w:r>
            <w:r>
              <w:rPr>
                <w:rFonts w:hint="eastAsia" w:ascii="仿宋" w:hAnsi="仿宋" w:eastAsia="仿宋" w:cs="仿宋"/>
                <w:b w:val="0"/>
                <w:bCs w:val="0"/>
                <w:spacing w:val="30"/>
                <w:sz w:val="24"/>
                <w:szCs w:val="24"/>
                <w:highlight w:val="none"/>
                <w:lang w:val="en-US" w:eastAsia="zh-CN"/>
              </w:rPr>
              <w:t>（40）</w:t>
            </w:r>
          </w:p>
        </w:tc>
        <w:tc>
          <w:tcPr>
            <w:tcW w:w="92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0894ADAF">
            <w:pPr>
              <w:jc w:val="center"/>
              <w:rPr>
                <w:rFonts w:hint="eastAsia" w:ascii="仿宋" w:hAnsi="仿宋" w:eastAsia="仿宋" w:cs="仿宋"/>
                <w:b w:val="0"/>
                <w:bCs w:val="0"/>
                <w:spacing w:val="30"/>
                <w:sz w:val="24"/>
                <w:szCs w:val="24"/>
                <w:highlight w:val="none"/>
                <w:lang w:val="en-US" w:eastAsia="en-US"/>
              </w:rPr>
            </w:pPr>
            <w:r>
              <w:rPr>
                <w:rFonts w:hint="eastAsia" w:ascii="仿宋" w:hAnsi="仿宋" w:eastAsia="仿宋" w:cs="仿宋"/>
                <w:b w:val="0"/>
                <w:bCs w:val="0"/>
                <w:spacing w:val="30"/>
                <w:sz w:val="24"/>
                <w:szCs w:val="24"/>
                <w:highlight w:val="none"/>
                <w:lang w:val="en-US" w:eastAsia="zh-CN"/>
              </w:rPr>
              <w:t>0.00</w:t>
            </w:r>
          </w:p>
        </w:tc>
        <w:tc>
          <w:tcPr>
            <w:tcW w:w="998"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16477750">
            <w:pPr>
              <w:jc w:val="center"/>
              <w:rPr>
                <w:rFonts w:hint="eastAsia" w:ascii="仿宋" w:hAnsi="仿宋" w:eastAsia="仿宋" w:cs="仿宋"/>
                <w:b w:val="0"/>
                <w:bCs w:val="0"/>
                <w:spacing w:val="30"/>
                <w:sz w:val="24"/>
                <w:szCs w:val="24"/>
                <w:highlight w:val="none"/>
                <w:lang w:val="en-US" w:eastAsia="en-US"/>
              </w:rPr>
            </w:pPr>
            <w:r>
              <w:rPr>
                <w:rFonts w:hint="eastAsia" w:ascii="仿宋" w:hAnsi="仿宋" w:eastAsia="仿宋" w:cs="仿宋"/>
                <w:b w:val="0"/>
                <w:bCs w:val="0"/>
                <w:spacing w:val="30"/>
                <w:sz w:val="24"/>
                <w:szCs w:val="24"/>
                <w:highlight w:val="none"/>
                <w:lang w:val="en-US" w:eastAsia="zh-CN"/>
              </w:rPr>
              <w:t>35.00</w:t>
            </w:r>
          </w:p>
        </w:tc>
        <w:tc>
          <w:tcPr>
            <w:tcW w:w="1685"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50B07F49">
            <w:pPr>
              <w:jc w:val="center"/>
              <w:rPr>
                <w:rFonts w:hint="eastAsia" w:ascii="仿宋" w:hAnsi="仿宋" w:eastAsia="仿宋" w:cs="仿宋"/>
                <w:b w:val="0"/>
                <w:bCs w:val="0"/>
                <w:color w:val="auto"/>
                <w:spacing w:val="30"/>
                <w:sz w:val="24"/>
                <w:szCs w:val="24"/>
                <w:highlight w:val="none"/>
                <w:lang w:val="en-US" w:eastAsia="en-US"/>
              </w:rPr>
            </w:pPr>
            <w:r>
              <w:rPr>
                <w:rFonts w:hint="eastAsia" w:ascii="仿宋" w:hAnsi="仿宋" w:eastAsia="仿宋" w:cs="仿宋"/>
                <w:b w:val="0"/>
                <w:bCs w:val="0"/>
                <w:color w:val="auto"/>
                <w:spacing w:val="30"/>
                <w:sz w:val="24"/>
                <w:szCs w:val="24"/>
                <w:highlight w:val="none"/>
                <w:lang w:val="en-US" w:eastAsia="zh-CN"/>
              </w:rPr>
              <w:t>技术参数</w:t>
            </w:r>
          </w:p>
        </w:tc>
        <w:tc>
          <w:tcPr>
            <w:tcW w:w="452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6E8EF3AF">
            <w:pPr>
              <w:jc w:val="left"/>
              <w:rPr>
                <w:rFonts w:hint="eastAsia" w:ascii="仿宋" w:hAnsi="仿宋" w:eastAsia="仿宋" w:cs="仿宋"/>
                <w:b w:val="0"/>
                <w:bCs w:val="0"/>
                <w:color w:val="auto"/>
                <w:spacing w:val="30"/>
                <w:sz w:val="24"/>
                <w:szCs w:val="24"/>
                <w:highlight w:val="none"/>
                <w:lang w:val="en-US" w:eastAsia="en-US"/>
              </w:rPr>
            </w:pPr>
            <w:r>
              <w:rPr>
                <w:rFonts w:hint="eastAsia" w:ascii="仿宋" w:hAnsi="仿宋" w:eastAsia="仿宋" w:cs="仿宋"/>
                <w:b w:val="0"/>
                <w:bCs w:val="0"/>
                <w:color w:val="auto"/>
                <w:spacing w:val="30"/>
                <w:sz w:val="24"/>
                <w:szCs w:val="24"/>
                <w:highlight w:val="none"/>
                <w:lang w:val="en-US" w:eastAsia="en-US"/>
              </w:rPr>
              <w:t>所供货物的技术参数、技术性能等均能满足招标文件文件要求得满分</w:t>
            </w:r>
            <w:r>
              <w:rPr>
                <w:rFonts w:hint="eastAsia" w:ascii="仿宋" w:hAnsi="仿宋" w:eastAsia="仿宋" w:cs="仿宋"/>
                <w:b w:val="0"/>
                <w:bCs w:val="0"/>
                <w:color w:val="auto"/>
                <w:spacing w:val="30"/>
                <w:sz w:val="24"/>
                <w:szCs w:val="24"/>
                <w:highlight w:val="none"/>
                <w:lang w:val="en-US" w:eastAsia="zh-CN"/>
              </w:rPr>
              <w:t>35</w:t>
            </w:r>
            <w:r>
              <w:rPr>
                <w:rFonts w:hint="eastAsia" w:ascii="仿宋" w:hAnsi="仿宋" w:eastAsia="仿宋" w:cs="仿宋"/>
                <w:b w:val="0"/>
                <w:bCs w:val="0"/>
                <w:color w:val="auto"/>
                <w:spacing w:val="30"/>
                <w:sz w:val="24"/>
                <w:szCs w:val="24"/>
                <w:highlight w:val="none"/>
                <w:lang w:val="en-US" w:eastAsia="en-US"/>
              </w:rPr>
              <w:t>分；加“▲”技术参数每有一项不满足扣2分，非加“▲”项技术参数每有一项不满足的扣1分，扣完为止。</w:t>
            </w:r>
          </w:p>
          <w:p w14:paraId="4E40F437">
            <w:pPr>
              <w:rPr>
                <w:rFonts w:hint="eastAsia" w:ascii="仿宋" w:hAnsi="仿宋" w:eastAsia="仿宋" w:cs="仿宋"/>
                <w:color w:val="auto"/>
                <w:spacing w:val="30"/>
                <w:sz w:val="24"/>
                <w:szCs w:val="24"/>
                <w:highlight w:val="none"/>
                <w:lang w:val="en-US" w:eastAsia="en-US"/>
              </w:rPr>
            </w:pPr>
            <w:r>
              <w:rPr>
                <w:rFonts w:hint="eastAsia" w:ascii="仿宋" w:hAnsi="仿宋" w:eastAsia="仿宋" w:cs="仿宋"/>
                <w:color w:val="auto"/>
                <w:spacing w:val="30"/>
                <w:sz w:val="24"/>
                <w:szCs w:val="24"/>
                <w:highlight w:val="none"/>
                <w:lang w:val="en-US" w:eastAsia="en-US"/>
              </w:rPr>
              <w:t>注：</w:t>
            </w:r>
          </w:p>
          <w:p w14:paraId="499135BB">
            <w:pPr>
              <w:rPr>
                <w:rFonts w:hint="eastAsia" w:ascii="仿宋" w:hAnsi="仿宋" w:eastAsia="仿宋" w:cs="仿宋"/>
                <w:color w:val="auto"/>
                <w:spacing w:val="30"/>
                <w:sz w:val="24"/>
                <w:szCs w:val="24"/>
                <w:highlight w:val="none"/>
                <w:lang w:val="en-US" w:eastAsia="en-US"/>
              </w:rPr>
            </w:pPr>
            <w:r>
              <w:rPr>
                <w:rFonts w:hint="eastAsia" w:ascii="仿宋" w:hAnsi="仿宋" w:eastAsia="仿宋" w:cs="仿宋"/>
                <w:color w:val="auto"/>
                <w:spacing w:val="30"/>
                <w:sz w:val="24"/>
                <w:szCs w:val="24"/>
                <w:highlight w:val="none"/>
                <w:lang w:val="en-US" w:eastAsia="zh-CN"/>
              </w:rPr>
              <w:t>1</w:t>
            </w:r>
            <w:r>
              <w:rPr>
                <w:rFonts w:hint="eastAsia" w:ascii="仿宋" w:hAnsi="仿宋" w:eastAsia="仿宋" w:cs="仿宋"/>
                <w:color w:val="auto"/>
                <w:spacing w:val="30"/>
                <w:sz w:val="24"/>
                <w:szCs w:val="24"/>
                <w:highlight w:val="none"/>
                <w:lang w:val="en-US" w:eastAsia="en-US"/>
              </w:rPr>
              <w:t>、建议各供应商投标文件中标注加</w:t>
            </w:r>
            <w:r>
              <w:rPr>
                <w:rFonts w:hint="eastAsia" w:ascii="仿宋" w:hAnsi="仿宋" w:eastAsia="仿宋" w:cs="仿宋"/>
                <w:b w:val="0"/>
                <w:bCs w:val="0"/>
                <w:color w:val="auto"/>
                <w:spacing w:val="30"/>
                <w:sz w:val="24"/>
                <w:szCs w:val="24"/>
                <w:highlight w:val="none"/>
                <w:lang w:val="en-US" w:eastAsia="en-US"/>
              </w:rPr>
              <w:t>“▲”</w:t>
            </w:r>
            <w:r>
              <w:rPr>
                <w:rFonts w:hint="eastAsia" w:ascii="仿宋" w:hAnsi="仿宋" w:eastAsia="仿宋" w:cs="仿宋"/>
                <w:color w:val="auto"/>
                <w:spacing w:val="30"/>
                <w:sz w:val="24"/>
                <w:szCs w:val="24"/>
                <w:highlight w:val="none"/>
                <w:lang w:val="en-US" w:eastAsia="en-US"/>
              </w:rPr>
              <w:t>技术参数及其他所需提供证明材料的页码，否则因此导致评委无法判断偏离情况的，后果投标人自负。</w:t>
            </w:r>
          </w:p>
          <w:p w14:paraId="60C2297D">
            <w:pPr>
              <w:rPr>
                <w:rFonts w:hint="eastAsia"/>
                <w:highlight w:val="none"/>
                <w:lang w:val="en-US" w:eastAsia="en-US"/>
              </w:rPr>
            </w:pPr>
            <w:r>
              <w:rPr>
                <w:rFonts w:hint="eastAsia" w:ascii="仿宋" w:hAnsi="仿宋" w:eastAsia="仿宋" w:cs="仿宋"/>
                <w:color w:val="auto"/>
                <w:spacing w:val="30"/>
                <w:sz w:val="24"/>
                <w:szCs w:val="24"/>
                <w:highlight w:val="none"/>
                <w:lang w:val="en-US" w:eastAsia="zh-CN"/>
              </w:rPr>
              <w:t>2</w:t>
            </w:r>
            <w:r>
              <w:rPr>
                <w:rFonts w:hint="eastAsia" w:ascii="仿宋" w:hAnsi="仿宋" w:eastAsia="仿宋" w:cs="仿宋"/>
                <w:color w:val="auto"/>
                <w:spacing w:val="30"/>
                <w:sz w:val="24"/>
                <w:szCs w:val="24"/>
                <w:highlight w:val="none"/>
                <w:lang w:val="en-US" w:eastAsia="en-US"/>
              </w:rPr>
              <w:t>、投标人应保证其资料的真实性、有效性，一经发现有虚假资料，招标人有权取消其中标资格，并上报监管部门处理，由此产生的损失，由投标人承担。</w:t>
            </w:r>
          </w:p>
        </w:tc>
      </w:tr>
      <w:tr w14:paraId="789F2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6" w:type="dxa"/>
            <w:vMerge w:val="continue"/>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7785B6C7">
            <w:pPr>
              <w:jc w:val="left"/>
              <w:rPr>
                <w:rFonts w:hint="eastAsia" w:ascii="仿宋" w:hAnsi="仿宋" w:eastAsia="仿宋" w:cs="仿宋"/>
                <w:b w:val="0"/>
                <w:bCs w:val="0"/>
                <w:spacing w:val="30"/>
                <w:sz w:val="24"/>
                <w:szCs w:val="24"/>
                <w:lang w:val="en-US" w:eastAsia="en-US"/>
              </w:rPr>
            </w:pPr>
          </w:p>
        </w:tc>
        <w:tc>
          <w:tcPr>
            <w:tcW w:w="92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6160003E">
            <w:pPr>
              <w:jc w:val="center"/>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zh-CN"/>
              </w:rPr>
              <w:t>0.00</w:t>
            </w:r>
          </w:p>
        </w:tc>
        <w:tc>
          <w:tcPr>
            <w:tcW w:w="998"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517A8851">
            <w:pPr>
              <w:jc w:val="center"/>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zh-CN"/>
              </w:rPr>
              <w:t>1.00</w:t>
            </w:r>
          </w:p>
        </w:tc>
        <w:tc>
          <w:tcPr>
            <w:tcW w:w="1685"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2E4D79F9">
            <w:pPr>
              <w:jc w:val="center"/>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zh-CN"/>
              </w:rPr>
              <w:t>节能环保</w:t>
            </w:r>
          </w:p>
        </w:tc>
        <w:tc>
          <w:tcPr>
            <w:tcW w:w="452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7F94C2C3">
            <w:pPr>
              <w:jc w:val="left"/>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en-US"/>
              </w:rPr>
              <w:t>1、节能产品:所投产品（除政府强制采购节能产品外）</w:t>
            </w:r>
            <w:r>
              <w:rPr>
                <w:rFonts w:hint="eastAsia" w:ascii="仿宋" w:hAnsi="仿宋" w:eastAsia="仿宋" w:cs="仿宋"/>
                <w:b w:val="0"/>
                <w:bCs w:val="0"/>
                <w:spacing w:val="30"/>
                <w:sz w:val="24"/>
                <w:szCs w:val="24"/>
                <w:lang w:val="en-US" w:eastAsia="zh-CN"/>
              </w:rPr>
              <w:t>有</w:t>
            </w:r>
            <w:r>
              <w:rPr>
                <w:rFonts w:hint="eastAsia" w:ascii="仿宋" w:hAnsi="仿宋" w:eastAsia="仿宋" w:cs="仿宋"/>
                <w:b w:val="0"/>
                <w:bCs w:val="0"/>
                <w:spacing w:val="30"/>
                <w:sz w:val="24"/>
                <w:szCs w:val="24"/>
                <w:lang w:val="en-US" w:eastAsia="en-US"/>
              </w:rPr>
              <w:t>《中国节能产品认证证书》的加0.5分（以所投货物的《中国节能产品认证证书》扫描件为依据；证书不显示规格型号的，还须同时提供证书配套附件；证书应是由《市场监管总局关于发布参与实施政府采购节能产品、环境标志产品认证机构名录的公告》的认证机构出具的、处于有效期之内的）。</w:t>
            </w:r>
          </w:p>
          <w:p w14:paraId="62CC7795">
            <w:pPr>
              <w:jc w:val="left"/>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en-US"/>
              </w:rPr>
              <w:t>2、环境标志产品：所投产品为《中国环境标志产品认证证书》（有效期内）的加0.5分（以所投货物的《中国环境标志产品认证证书》扫描件为依据；证书不显示规格型号的，还须同时提供证书配套附件；证书应是由《市场监管总局关于发布参与实施政府采购节能产品、环境标志产品认证机构名录的公告》的认证机构出具的、处于有效期之内的）。</w:t>
            </w:r>
          </w:p>
          <w:p w14:paraId="074CEBAB">
            <w:pPr>
              <w:jc w:val="left"/>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en-US"/>
              </w:rPr>
              <w:t>注:响应文件中附扫描件，否则不得分。</w:t>
            </w:r>
          </w:p>
        </w:tc>
      </w:tr>
      <w:tr w14:paraId="0F51B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6" w:type="dxa"/>
            <w:vMerge w:val="continue"/>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57C2502B">
            <w:pPr>
              <w:jc w:val="left"/>
              <w:rPr>
                <w:rFonts w:hint="eastAsia" w:ascii="仿宋" w:hAnsi="仿宋" w:eastAsia="仿宋" w:cs="仿宋"/>
                <w:b w:val="0"/>
                <w:bCs w:val="0"/>
                <w:spacing w:val="30"/>
                <w:sz w:val="24"/>
                <w:szCs w:val="24"/>
                <w:lang w:val="en-US" w:eastAsia="en-US"/>
              </w:rPr>
            </w:pPr>
          </w:p>
        </w:tc>
        <w:tc>
          <w:tcPr>
            <w:tcW w:w="92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7C7AD9E1">
            <w:pPr>
              <w:jc w:val="center"/>
              <w:rPr>
                <w:rFonts w:hint="eastAsia" w:ascii="仿宋" w:hAnsi="仿宋" w:eastAsia="仿宋" w:cs="仿宋"/>
                <w:b w:val="0"/>
                <w:bCs w:val="0"/>
                <w:spacing w:val="30"/>
                <w:sz w:val="24"/>
                <w:szCs w:val="24"/>
                <w:lang w:val="en-US" w:eastAsia="zh-CN"/>
              </w:rPr>
            </w:pPr>
            <w:r>
              <w:rPr>
                <w:rFonts w:hint="eastAsia" w:ascii="仿宋" w:hAnsi="仿宋" w:eastAsia="仿宋" w:cs="仿宋"/>
                <w:b w:val="0"/>
                <w:bCs w:val="0"/>
                <w:spacing w:val="30"/>
                <w:sz w:val="24"/>
                <w:szCs w:val="24"/>
                <w:lang w:val="en-US" w:eastAsia="zh-CN"/>
              </w:rPr>
              <w:t>0.00</w:t>
            </w:r>
          </w:p>
        </w:tc>
        <w:tc>
          <w:tcPr>
            <w:tcW w:w="998"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0B10FB24">
            <w:pPr>
              <w:jc w:val="center"/>
              <w:rPr>
                <w:rFonts w:hint="eastAsia" w:ascii="仿宋" w:hAnsi="仿宋" w:eastAsia="仿宋" w:cs="仿宋"/>
                <w:b w:val="0"/>
                <w:bCs w:val="0"/>
                <w:spacing w:val="30"/>
                <w:sz w:val="24"/>
                <w:szCs w:val="24"/>
                <w:highlight w:val="none"/>
                <w:lang w:val="en-US" w:eastAsia="zh-CN"/>
              </w:rPr>
            </w:pPr>
            <w:r>
              <w:rPr>
                <w:rFonts w:hint="eastAsia" w:ascii="仿宋" w:hAnsi="仿宋" w:eastAsia="仿宋" w:cs="仿宋"/>
                <w:b w:val="0"/>
                <w:bCs w:val="0"/>
                <w:spacing w:val="30"/>
                <w:sz w:val="24"/>
                <w:szCs w:val="24"/>
                <w:highlight w:val="none"/>
                <w:lang w:val="en-US" w:eastAsia="zh-CN"/>
              </w:rPr>
              <w:t>2.00</w:t>
            </w:r>
          </w:p>
        </w:tc>
        <w:tc>
          <w:tcPr>
            <w:tcW w:w="1685"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3021D28D">
            <w:pPr>
              <w:jc w:val="center"/>
              <w:rPr>
                <w:rFonts w:hint="eastAsia" w:ascii="仿宋" w:hAnsi="仿宋" w:eastAsia="仿宋" w:cs="仿宋"/>
                <w:b w:val="0"/>
                <w:bCs w:val="0"/>
                <w:spacing w:val="30"/>
                <w:sz w:val="24"/>
                <w:szCs w:val="24"/>
                <w:highlight w:val="none"/>
                <w:lang w:val="en-US" w:eastAsia="zh-CN"/>
              </w:rPr>
            </w:pPr>
            <w:r>
              <w:rPr>
                <w:rFonts w:hint="eastAsia" w:ascii="仿宋" w:hAnsi="仿宋" w:eastAsia="仿宋" w:cs="仿宋"/>
                <w:b w:val="0"/>
                <w:bCs w:val="0"/>
                <w:spacing w:val="30"/>
                <w:sz w:val="24"/>
                <w:szCs w:val="24"/>
                <w:highlight w:val="none"/>
                <w:lang w:val="en-US" w:eastAsia="zh-CN"/>
              </w:rPr>
              <w:t>供应商提供备品备件、易损件</w:t>
            </w:r>
          </w:p>
        </w:tc>
        <w:tc>
          <w:tcPr>
            <w:tcW w:w="452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6859816E">
            <w:pPr>
              <w:jc w:val="left"/>
              <w:rPr>
                <w:rFonts w:hint="eastAsia" w:ascii="仿宋" w:hAnsi="仿宋" w:eastAsia="仿宋" w:cs="仿宋"/>
                <w:b w:val="0"/>
                <w:bCs w:val="0"/>
                <w:spacing w:val="30"/>
                <w:sz w:val="24"/>
                <w:szCs w:val="24"/>
                <w:highlight w:val="none"/>
                <w:lang w:val="en-US" w:eastAsia="zh-CN"/>
              </w:rPr>
            </w:pPr>
            <w:r>
              <w:rPr>
                <w:rFonts w:hint="eastAsia" w:ascii="仿宋" w:hAnsi="仿宋" w:eastAsia="仿宋" w:cs="仿宋"/>
                <w:b w:val="0"/>
                <w:bCs w:val="0"/>
                <w:spacing w:val="30"/>
                <w:sz w:val="24"/>
                <w:szCs w:val="24"/>
                <w:highlight w:val="none"/>
                <w:lang w:val="en-US" w:eastAsia="zh-CN"/>
              </w:rPr>
              <w:t>供应商承诺针对本项目提供原厂标准的备品备件、易损件，得2分；</w:t>
            </w:r>
          </w:p>
          <w:p w14:paraId="222069BE">
            <w:pPr>
              <w:jc w:val="left"/>
              <w:rPr>
                <w:rFonts w:hint="eastAsia" w:ascii="仿宋" w:hAnsi="仿宋" w:eastAsia="仿宋" w:cs="仿宋"/>
                <w:b w:val="0"/>
                <w:bCs w:val="0"/>
                <w:spacing w:val="30"/>
                <w:sz w:val="24"/>
                <w:szCs w:val="24"/>
                <w:highlight w:val="none"/>
                <w:lang w:val="en-US" w:eastAsia="zh-CN"/>
              </w:rPr>
            </w:pPr>
            <w:r>
              <w:rPr>
                <w:rFonts w:hint="eastAsia" w:ascii="仿宋" w:hAnsi="仿宋" w:eastAsia="仿宋" w:cs="仿宋"/>
                <w:b w:val="0"/>
                <w:bCs w:val="0"/>
                <w:spacing w:val="30"/>
                <w:sz w:val="24"/>
                <w:szCs w:val="24"/>
                <w:highlight w:val="none"/>
                <w:lang w:val="en-US" w:eastAsia="zh-CN"/>
              </w:rPr>
              <w:t>未提供不得分。</w:t>
            </w:r>
          </w:p>
        </w:tc>
      </w:tr>
      <w:tr w14:paraId="124A5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1326" w:type="dxa"/>
            <w:vMerge w:val="continue"/>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623C740C">
            <w:pPr>
              <w:jc w:val="left"/>
              <w:rPr>
                <w:rFonts w:hint="eastAsia" w:ascii="仿宋" w:hAnsi="仿宋" w:eastAsia="仿宋" w:cs="仿宋"/>
                <w:b w:val="0"/>
                <w:bCs w:val="0"/>
                <w:spacing w:val="30"/>
                <w:sz w:val="24"/>
                <w:szCs w:val="24"/>
                <w:lang w:val="en-US" w:eastAsia="en-US"/>
              </w:rPr>
            </w:pPr>
          </w:p>
        </w:tc>
        <w:tc>
          <w:tcPr>
            <w:tcW w:w="92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57937097">
            <w:pPr>
              <w:jc w:val="center"/>
              <w:rPr>
                <w:rFonts w:hint="eastAsia" w:ascii="仿宋" w:hAnsi="仿宋" w:eastAsia="仿宋" w:cs="仿宋"/>
                <w:b w:val="0"/>
                <w:bCs w:val="0"/>
                <w:spacing w:val="30"/>
                <w:sz w:val="24"/>
                <w:szCs w:val="24"/>
                <w:lang w:val="en-US" w:eastAsia="zh-CN"/>
              </w:rPr>
            </w:pPr>
            <w:r>
              <w:rPr>
                <w:rFonts w:hint="eastAsia" w:ascii="仿宋" w:hAnsi="仿宋" w:eastAsia="仿宋" w:cs="仿宋"/>
                <w:b w:val="0"/>
                <w:bCs w:val="0"/>
                <w:spacing w:val="30"/>
                <w:sz w:val="24"/>
                <w:szCs w:val="24"/>
                <w:lang w:val="en-US" w:eastAsia="zh-CN"/>
              </w:rPr>
              <w:t>0.00</w:t>
            </w:r>
          </w:p>
        </w:tc>
        <w:tc>
          <w:tcPr>
            <w:tcW w:w="998"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52745C22">
            <w:pPr>
              <w:jc w:val="center"/>
              <w:rPr>
                <w:rFonts w:hint="eastAsia" w:ascii="仿宋" w:hAnsi="仿宋" w:eastAsia="仿宋" w:cs="仿宋"/>
                <w:b w:val="0"/>
                <w:bCs w:val="0"/>
                <w:spacing w:val="30"/>
                <w:sz w:val="24"/>
                <w:szCs w:val="24"/>
                <w:lang w:val="en-US" w:eastAsia="zh-CN"/>
              </w:rPr>
            </w:pPr>
            <w:r>
              <w:rPr>
                <w:rFonts w:hint="eastAsia" w:ascii="仿宋" w:hAnsi="仿宋" w:eastAsia="仿宋" w:cs="仿宋"/>
                <w:b w:val="0"/>
                <w:bCs w:val="0"/>
                <w:spacing w:val="30"/>
                <w:sz w:val="24"/>
                <w:szCs w:val="24"/>
                <w:lang w:val="en-US" w:eastAsia="zh-CN"/>
              </w:rPr>
              <w:t>2.00</w:t>
            </w:r>
          </w:p>
        </w:tc>
        <w:tc>
          <w:tcPr>
            <w:tcW w:w="1685"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353C4D33">
            <w:pPr>
              <w:jc w:val="center"/>
              <w:rPr>
                <w:rFonts w:hint="eastAsia" w:ascii="仿宋" w:hAnsi="仿宋" w:eastAsia="仿宋" w:cs="仿宋"/>
                <w:b w:val="0"/>
                <w:bCs w:val="0"/>
                <w:spacing w:val="30"/>
                <w:sz w:val="24"/>
                <w:szCs w:val="24"/>
                <w:highlight w:val="none"/>
                <w:lang w:val="en-US" w:eastAsia="en-US"/>
              </w:rPr>
            </w:pPr>
            <w:r>
              <w:rPr>
                <w:rFonts w:hint="eastAsia" w:ascii="仿宋" w:hAnsi="仿宋" w:eastAsia="仿宋" w:cs="仿宋"/>
                <w:b w:val="0"/>
                <w:bCs w:val="0"/>
                <w:spacing w:val="30"/>
                <w:sz w:val="24"/>
                <w:szCs w:val="24"/>
                <w:highlight w:val="none"/>
                <w:lang w:val="en-US" w:eastAsia="zh-CN"/>
              </w:rPr>
              <w:t>质保期</w:t>
            </w:r>
          </w:p>
        </w:tc>
        <w:tc>
          <w:tcPr>
            <w:tcW w:w="452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4548FFC0">
            <w:pPr>
              <w:jc w:val="left"/>
              <w:rPr>
                <w:rFonts w:hint="eastAsia" w:ascii="仿宋" w:hAnsi="仿宋" w:eastAsia="仿宋" w:cs="仿宋"/>
                <w:b w:val="0"/>
                <w:bCs w:val="0"/>
                <w:spacing w:val="30"/>
                <w:sz w:val="24"/>
                <w:szCs w:val="24"/>
                <w:highlight w:val="none"/>
                <w:lang w:val="en-US" w:eastAsia="zh-CN"/>
              </w:rPr>
            </w:pPr>
            <w:r>
              <w:rPr>
                <w:rFonts w:hint="eastAsia" w:ascii="仿宋" w:hAnsi="仿宋" w:eastAsia="仿宋" w:cs="仿宋"/>
                <w:b w:val="0"/>
                <w:bCs w:val="0"/>
                <w:spacing w:val="30"/>
                <w:sz w:val="24"/>
                <w:szCs w:val="24"/>
                <w:highlight w:val="none"/>
                <w:lang w:val="en-US" w:eastAsia="zh-CN"/>
              </w:rPr>
              <w:t>质保期在招标文件要求的基础上，所有产品每增加一年质保期得1分，最多得2分;</w:t>
            </w:r>
          </w:p>
          <w:p w14:paraId="7D586864">
            <w:pPr>
              <w:jc w:val="left"/>
              <w:rPr>
                <w:rFonts w:hint="eastAsia" w:ascii="仿宋" w:hAnsi="仿宋" w:eastAsia="仿宋" w:cs="仿宋"/>
                <w:b w:val="0"/>
                <w:bCs w:val="0"/>
                <w:spacing w:val="30"/>
                <w:sz w:val="24"/>
                <w:szCs w:val="24"/>
                <w:highlight w:val="none"/>
                <w:lang w:val="en-US" w:eastAsia="en-US"/>
              </w:rPr>
            </w:pPr>
            <w:r>
              <w:rPr>
                <w:rFonts w:hint="eastAsia" w:ascii="仿宋" w:hAnsi="仿宋" w:eastAsia="仿宋" w:cs="仿宋"/>
                <w:b w:val="0"/>
                <w:bCs w:val="0"/>
                <w:spacing w:val="30"/>
                <w:sz w:val="24"/>
                <w:szCs w:val="24"/>
                <w:highlight w:val="none"/>
                <w:lang w:val="en-US" w:eastAsia="zh-CN"/>
              </w:rPr>
              <w:t>未提供不得分。（须提供承诺函，格式自拟）</w:t>
            </w:r>
          </w:p>
        </w:tc>
      </w:tr>
      <w:tr w14:paraId="4B0D2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8" w:hRule="atLeast"/>
        </w:trPr>
        <w:tc>
          <w:tcPr>
            <w:tcW w:w="1326" w:type="dxa"/>
            <w:vMerge w:val="restart"/>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36B941AA">
            <w:pPr>
              <w:jc w:val="center"/>
              <w:rPr>
                <w:rFonts w:hint="eastAsia" w:ascii="仿宋" w:hAnsi="仿宋" w:eastAsia="仿宋" w:cs="仿宋"/>
                <w:b w:val="0"/>
                <w:bCs w:val="0"/>
                <w:spacing w:val="30"/>
                <w:sz w:val="24"/>
                <w:szCs w:val="24"/>
                <w:lang w:val="en-US" w:eastAsia="zh-CN"/>
              </w:rPr>
            </w:pPr>
            <w:r>
              <w:rPr>
                <w:rFonts w:hint="eastAsia" w:ascii="仿宋" w:hAnsi="仿宋" w:eastAsia="仿宋" w:cs="仿宋"/>
                <w:b w:val="0"/>
                <w:bCs w:val="0"/>
                <w:spacing w:val="30"/>
                <w:sz w:val="24"/>
                <w:szCs w:val="24"/>
                <w:lang w:val="en-US" w:eastAsia="en-US"/>
              </w:rPr>
              <w:t>综合标评分参数</w:t>
            </w:r>
            <w:r>
              <w:rPr>
                <w:rFonts w:hint="eastAsia" w:ascii="仿宋" w:hAnsi="仿宋" w:eastAsia="仿宋" w:cs="仿宋"/>
                <w:b w:val="0"/>
                <w:bCs w:val="0"/>
                <w:spacing w:val="30"/>
                <w:sz w:val="24"/>
                <w:szCs w:val="24"/>
                <w:lang w:val="en-US" w:eastAsia="zh-CN"/>
              </w:rPr>
              <w:t>（22）</w:t>
            </w:r>
          </w:p>
        </w:tc>
        <w:tc>
          <w:tcPr>
            <w:tcW w:w="92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3E14CCC0">
            <w:pPr>
              <w:jc w:val="center"/>
              <w:rPr>
                <w:rFonts w:hint="eastAsia" w:ascii="仿宋" w:hAnsi="仿宋" w:eastAsia="仿宋" w:cs="仿宋"/>
                <w:b w:val="0"/>
                <w:bCs w:val="0"/>
                <w:spacing w:val="30"/>
                <w:sz w:val="24"/>
                <w:szCs w:val="24"/>
                <w:lang w:val="en-US" w:eastAsia="zh-CN"/>
              </w:rPr>
            </w:pPr>
            <w:r>
              <w:rPr>
                <w:rFonts w:hint="eastAsia" w:ascii="仿宋" w:hAnsi="仿宋" w:eastAsia="仿宋" w:cs="仿宋"/>
                <w:b w:val="0"/>
                <w:bCs w:val="0"/>
                <w:spacing w:val="30"/>
                <w:sz w:val="24"/>
                <w:szCs w:val="24"/>
                <w:lang w:val="en-US" w:eastAsia="en-US"/>
              </w:rPr>
              <w:t>0.0</w:t>
            </w:r>
            <w:r>
              <w:rPr>
                <w:rFonts w:hint="eastAsia" w:ascii="仿宋" w:hAnsi="仿宋" w:eastAsia="仿宋" w:cs="仿宋"/>
                <w:b w:val="0"/>
                <w:bCs w:val="0"/>
                <w:spacing w:val="30"/>
                <w:sz w:val="24"/>
                <w:szCs w:val="24"/>
                <w:lang w:val="en-US" w:eastAsia="zh-CN"/>
              </w:rPr>
              <w:t>0</w:t>
            </w:r>
          </w:p>
        </w:tc>
        <w:tc>
          <w:tcPr>
            <w:tcW w:w="998"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7BB2B61E">
            <w:pPr>
              <w:jc w:val="center"/>
              <w:rPr>
                <w:rFonts w:hint="eastAsia" w:ascii="仿宋" w:hAnsi="仿宋" w:eastAsia="仿宋" w:cs="仿宋"/>
                <w:b w:val="0"/>
                <w:bCs w:val="0"/>
                <w:spacing w:val="30"/>
                <w:sz w:val="24"/>
                <w:szCs w:val="24"/>
                <w:lang w:val="en-US" w:eastAsia="zh-CN"/>
              </w:rPr>
            </w:pPr>
            <w:r>
              <w:rPr>
                <w:rFonts w:hint="eastAsia" w:ascii="仿宋" w:hAnsi="仿宋" w:eastAsia="仿宋" w:cs="仿宋"/>
                <w:b w:val="0"/>
                <w:bCs w:val="0"/>
                <w:spacing w:val="30"/>
                <w:sz w:val="24"/>
                <w:szCs w:val="24"/>
                <w:lang w:val="en-US" w:eastAsia="zh-CN"/>
              </w:rPr>
              <w:t>6</w:t>
            </w:r>
            <w:r>
              <w:rPr>
                <w:rFonts w:hint="eastAsia" w:ascii="仿宋" w:hAnsi="仿宋" w:eastAsia="仿宋" w:cs="仿宋"/>
                <w:b w:val="0"/>
                <w:bCs w:val="0"/>
                <w:spacing w:val="30"/>
                <w:sz w:val="24"/>
                <w:szCs w:val="24"/>
                <w:lang w:val="en-US" w:eastAsia="en-US"/>
              </w:rPr>
              <w:t>.0</w:t>
            </w:r>
            <w:r>
              <w:rPr>
                <w:rFonts w:hint="eastAsia" w:ascii="仿宋" w:hAnsi="仿宋" w:eastAsia="仿宋" w:cs="仿宋"/>
                <w:b w:val="0"/>
                <w:bCs w:val="0"/>
                <w:spacing w:val="30"/>
                <w:sz w:val="24"/>
                <w:szCs w:val="24"/>
                <w:lang w:val="en-US" w:eastAsia="zh-CN"/>
              </w:rPr>
              <w:t>0</w:t>
            </w:r>
          </w:p>
        </w:tc>
        <w:tc>
          <w:tcPr>
            <w:tcW w:w="1685"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2E1CEB42">
            <w:pPr>
              <w:jc w:val="center"/>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en-US"/>
              </w:rPr>
              <w:t>安装调试及培训方案</w:t>
            </w:r>
          </w:p>
        </w:tc>
        <w:tc>
          <w:tcPr>
            <w:tcW w:w="452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14181EE1">
            <w:pPr>
              <w:jc w:val="left"/>
              <w:rPr>
                <w:rFonts w:hint="eastAsia" w:ascii="仿宋" w:hAnsi="仿宋" w:eastAsia="仿宋" w:cs="仿宋"/>
                <w:b w:val="0"/>
                <w:bCs w:val="0"/>
                <w:spacing w:val="30"/>
                <w:sz w:val="24"/>
                <w:szCs w:val="24"/>
                <w:lang w:val="en-US" w:eastAsia="zh-CN"/>
              </w:rPr>
            </w:pPr>
            <w:r>
              <w:rPr>
                <w:rFonts w:hint="eastAsia" w:ascii="仿宋" w:hAnsi="仿宋" w:eastAsia="仿宋" w:cs="仿宋"/>
                <w:b w:val="0"/>
                <w:bCs w:val="0"/>
                <w:spacing w:val="30"/>
                <w:sz w:val="24"/>
                <w:szCs w:val="24"/>
                <w:lang w:val="en-US" w:eastAsia="en-US"/>
              </w:rPr>
              <w:t>针对本项目提供的安装调试及培训方案，内容全面完整、符合项目需求，得</w:t>
            </w:r>
            <w:r>
              <w:rPr>
                <w:rFonts w:hint="eastAsia" w:ascii="仿宋" w:hAnsi="仿宋" w:eastAsia="仿宋" w:cs="仿宋"/>
                <w:b w:val="0"/>
                <w:bCs w:val="0"/>
                <w:spacing w:val="30"/>
                <w:sz w:val="24"/>
                <w:szCs w:val="24"/>
                <w:lang w:val="en-US" w:eastAsia="zh-CN"/>
              </w:rPr>
              <w:t>6</w:t>
            </w:r>
            <w:r>
              <w:rPr>
                <w:rFonts w:hint="eastAsia" w:ascii="仿宋" w:hAnsi="仿宋" w:eastAsia="仿宋" w:cs="仿宋"/>
                <w:b w:val="0"/>
                <w:bCs w:val="0"/>
                <w:spacing w:val="30"/>
                <w:sz w:val="24"/>
                <w:szCs w:val="24"/>
                <w:lang w:val="en-US" w:eastAsia="en-US"/>
              </w:rPr>
              <w:t>分</w:t>
            </w:r>
            <w:r>
              <w:rPr>
                <w:rFonts w:hint="eastAsia" w:ascii="仿宋" w:hAnsi="仿宋" w:eastAsia="仿宋" w:cs="仿宋"/>
                <w:b w:val="0"/>
                <w:bCs w:val="0"/>
                <w:spacing w:val="30"/>
                <w:sz w:val="24"/>
                <w:szCs w:val="24"/>
                <w:lang w:val="en-US" w:eastAsia="zh-CN"/>
              </w:rPr>
              <w:t>；</w:t>
            </w:r>
          </w:p>
          <w:p w14:paraId="6526136F">
            <w:pPr>
              <w:jc w:val="left"/>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en-US"/>
              </w:rPr>
              <w:t>内容较为全面、比较切合项目需求，得</w:t>
            </w:r>
            <w:r>
              <w:rPr>
                <w:rFonts w:hint="eastAsia" w:ascii="仿宋" w:hAnsi="仿宋" w:eastAsia="仿宋" w:cs="仿宋"/>
                <w:b w:val="0"/>
                <w:bCs w:val="0"/>
                <w:spacing w:val="30"/>
                <w:sz w:val="24"/>
                <w:szCs w:val="24"/>
                <w:lang w:val="en-US" w:eastAsia="zh-CN"/>
              </w:rPr>
              <w:t>4</w:t>
            </w:r>
            <w:r>
              <w:rPr>
                <w:rFonts w:hint="eastAsia" w:ascii="仿宋" w:hAnsi="仿宋" w:eastAsia="仿宋" w:cs="仿宋"/>
                <w:b w:val="0"/>
                <w:bCs w:val="0"/>
                <w:spacing w:val="30"/>
                <w:sz w:val="24"/>
                <w:szCs w:val="24"/>
                <w:lang w:val="en-US" w:eastAsia="en-US"/>
              </w:rPr>
              <w:t>分；</w:t>
            </w:r>
          </w:p>
          <w:p w14:paraId="3B062F99">
            <w:pPr>
              <w:jc w:val="left"/>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en-US"/>
              </w:rPr>
              <w:t>内容基本切合项目需求的，得</w:t>
            </w:r>
            <w:r>
              <w:rPr>
                <w:rFonts w:hint="eastAsia" w:ascii="仿宋" w:hAnsi="仿宋" w:eastAsia="仿宋" w:cs="仿宋"/>
                <w:b w:val="0"/>
                <w:bCs w:val="0"/>
                <w:spacing w:val="30"/>
                <w:sz w:val="24"/>
                <w:szCs w:val="24"/>
                <w:lang w:val="en-US" w:eastAsia="zh-CN"/>
              </w:rPr>
              <w:t>2</w:t>
            </w:r>
            <w:r>
              <w:rPr>
                <w:rFonts w:hint="eastAsia" w:ascii="仿宋" w:hAnsi="仿宋" w:eastAsia="仿宋" w:cs="仿宋"/>
                <w:b w:val="0"/>
                <w:bCs w:val="0"/>
                <w:spacing w:val="30"/>
                <w:sz w:val="24"/>
                <w:szCs w:val="24"/>
                <w:lang w:val="en-US" w:eastAsia="en-US"/>
              </w:rPr>
              <w:t>分；</w:t>
            </w:r>
          </w:p>
          <w:p w14:paraId="3A145933">
            <w:pPr>
              <w:jc w:val="left"/>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en-US"/>
              </w:rPr>
              <w:t>内容笼统、不符合项目需求的，得</w:t>
            </w:r>
            <w:r>
              <w:rPr>
                <w:rFonts w:hint="eastAsia" w:ascii="仿宋" w:hAnsi="仿宋" w:eastAsia="仿宋" w:cs="仿宋"/>
                <w:b w:val="0"/>
                <w:bCs w:val="0"/>
                <w:spacing w:val="30"/>
                <w:sz w:val="24"/>
                <w:szCs w:val="24"/>
                <w:lang w:val="en-US" w:eastAsia="zh-CN"/>
              </w:rPr>
              <w:t>1</w:t>
            </w:r>
            <w:r>
              <w:rPr>
                <w:rFonts w:hint="eastAsia" w:ascii="仿宋" w:hAnsi="仿宋" w:eastAsia="仿宋" w:cs="仿宋"/>
                <w:b w:val="0"/>
                <w:bCs w:val="0"/>
                <w:spacing w:val="30"/>
                <w:sz w:val="24"/>
                <w:szCs w:val="24"/>
                <w:lang w:val="en-US" w:eastAsia="en-US"/>
              </w:rPr>
              <w:t>分；</w:t>
            </w:r>
          </w:p>
          <w:p w14:paraId="17E19C99">
            <w:pPr>
              <w:jc w:val="left"/>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en-US"/>
              </w:rPr>
              <w:t>未提供不得分。</w:t>
            </w:r>
          </w:p>
        </w:tc>
      </w:tr>
      <w:tr w14:paraId="18880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1326" w:type="dxa"/>
            <w:vMerge w:val="continue"/>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0EB3832F">
            <w:pPr>
              <w:jc w:val="center"/>
              <w:rPr>
                <w:rFonts w:hint="eastAsia" w:ascii="仿宋" w:hAnsi="仿宋" w:eastAsia="仿宋" w:cs="仿宋"/>
                <w:b w:val="0"/>
                <w:bCs w:val="0"/>
                <w:spacing w:val="30"/>
                <w:sz w:val="24"/>
                <w:szCs w:val="24"/>
                <w:lang w:val="en-US" w:eastAsia="en-US"/>
              </w:rPr>
            </w:pPr>
          </w:p>
        </w:tc>
        <w:tc>
          <w:tcPr>
            <w:tcW w:w="92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7E73F81D">
            <w:pPr>
              <w:jc w:val="center"/>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zh-CN"/>
              </w:rPr>
              <w:t>0.00</w:t>
            </w:r>
          </w:p>
        </w:tc>
        <w:tc>
          <w:tcPr>
            <w:tcW w:w="998"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5222DA46">
            <w:pPr>
              <w:jc w:val="center"/>
              <w:rPr>
                <w:rFonts w:hint="eastAsia" w:ascii="仿宋" w:hAnsi="仿宋" w:eastAsia="仿宋" w:cs="仿宋"/>
                <w:b w:val="0"/>
                <w:bCs w:val="0"/>
                <w:spacing w:val="30"/>
                <w:sz w:val="24"/>
                <w:szCs w:val="24"/>
                <w:lang w:val="en-US" w:eastAsia="zh-CN"/>
              </w:rPr>
            </w:pPr>
            <w:r>
              <w:rPr>
                <w:rFonts w:hint="eastAsia" w:ascii="仿宋" w:hAnsi="仿宋" w:eastAsia="仿宋" w:cs="仿宋"/>
                <w:b w:val="0"/>
                <w:bCs w:val="0"/>
                <w:spacing w:val="30"/>
                <w:sz w:val="24"/>
                <w:szCs w:val="24"/>
                <w:lang w:val="en-US" w:eastAsia="zh-CN"/>
              </w:rPr>
              <w:t>6.00</w:t>
            </w:r>
          </w:p>
        </w:tc>
        <w:tc>
          <w:tcPr>
            <w:tcW w:w="1685"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610626C9">
            <w:pPr>
              <w:jc w:val="center"/>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en-US"/>
              </w:rPr>
              <w:t>售后服务方案</w:t>
            </w:r>
          </w:p>
        </w:tc>
        <w:tc>
          <w:tcPr>
            <w:tcW w:w="452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216D3C0C">
            <w:pPr>
              <w:jc w:val="left"/>
              <w:rPr>
                <w:rFonts w:hint="eastAsia" w:ascii="仿宋" w:hAnsi="仿宋" w:eastAsia="仿宋" w:cs="仿宋"/>
                <w:b w:val="0"/>
                <w:bCs w:val="0"/>
                <w:spacing w:val="30"/>
                <w:sz w:val="24"/>
                <w:szCs w:val="24"/>
                <w:lang w:val="en-US" w:eastAsia="zh-CN"/>
              </w:rPr>
            </w:pPr>
            <w:r>
              <w:rPr>
                <w:rFonts w:hint="eastAsia" w:ascii="仿宋" w:hAnsi="仿宋" w:eastAsia="仿宋" w:cs="仿宋"/>
                <w:b w:val="0"/>
                <w:bCs w:val="0"/>
                <w:spacing w:val="30"/>
                <w:sz w:val="24"/>
                <w:szCs w:val="24"/>
                <w:lang w:val="en-US" w:eastAsia="zh-CN"/>
              </w:rPr>
              <w:t>针对本项目的</w:t>
            </w:r>
            <w:r>
              <w:rPr>
                <w:rFonts w:hint="eastAsia" w:ascii="仿宋" w:hAnsi="仿宋" w:eastAsia="仿宋" w:cs="仿宋"/>
                <w:b w:val="0"/>
                <w:bCs w:val="0"/>
                <w:spacing w:val="30"/>
                <w:sz w:val="24"/>
                <w:szCs w:val="24"/>
                <w:lang w:val="en-US" w:eastAsia="en-US"/>
              </w:rPr>
              <w:t>售后服务方案</w:t>
            </w:r>
            <w:r>
              <w:rPr>
                <w:rFonts w:hint="eastAsia" w:ascii="仿宋" w:hAnsi="仿宋" w:eastAsia="仿宋" w:cs="仿宋"/>
                <w:b w:val="0"/>
                <w:bCs w:val="0"/>
                <w:spacing w:val="30"/>
                <w:sz w:val="24"/>
                <w:szCs w:val="24"/>
                <w:lang w:val="en-US" w:eastAsia="zh-CN"/>
              </w:rPr>
              <w:t>明确，内容完整、符合采购人需求，得6分；</w:t>
            </w:r>
          </w:p>
          <w:p w14:paraId="6F74C252">
            <w:pPr>
              <w:jc w:val="left"/>
              <w:rPr>
                <w:rFonts w:hint="eastAsia" w:ascii="仿宋" w:hAnsi="仿宋" w:eastAsia="仿宋" w:cs="仿宋"/>
                <w:b w:val="0"/>
                <w:bCs w:val="0"/>
                <w:spacing w:val="30"/>
                <w:sz w:val="24"/>
                <w:szCs w:val="24"/>
                <w:lang w:val="en-US" w:eastAsia="zh-CN"/>
              </w:rPr>
            </w:pPr>
            <w:r>
              <w:rPr>
                <w:rFonts w:hint="eastAsia" w:ascii="仿宋" w:hAnsi="仿宋" w:eastAsia="仿宋" w:cs="仿宋"/>
                <w:b w:val="0"/>
                <w:bCs w:val="0"/>
                <w:spacing w:val="30"/>
                <w:sz w:val="24"/>
                <w:szCs w:val="24"/>
                <w:lang w:val="en-US" w:eastAsia="zh-CN"/>
              </w:rPr>
              <w:t>方案内容较为全面、比较切合项目需求，得4分；</w:t>
            </w:r>
          </w:p>
          <w:p w14:paraId="6134E205">
            <w:pPr>
              <w:jc w:val="left"/>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zh-CN"/>
              </w:rPr>
              <w:t>方案</w:t>
            </w:r>
            <w:r>
              <w:rPr>
                <w:rFonts w:hint="eastAsia" w:ascii="仿宋" w:hAnsi="仿宋" w:eastAsia="仿宋" w:cs="仿宋"/>
                <w:b w:val="0"/>
                <w:bCs w:val="0"/>
                <w:spacing w:val="30"/>
                <w:sz w:val="24"/>
                <w:szCs w:val="24"/>
                <w:lang w:val="en-US" w:eastAsia="en-US"/>
              </w:rPr>
              <w:t>内容基本切合项目需求的，得</w:t>
            </w:r>
            <w:r>
              <w:rPr>
                <w:rFonts w:hint="eastAsia" w:ascii="仿宋" w:hAnsi="仿宋" w:eastAsia="仿宋" w:cs="仿宋"/>
                <w:b w:val="0"/>
                <w:bCs w:val="0"/>
                <w:spacing w:val="30"/>
                <w:sz w:val="24"/>
                <w:szCs w:val="24"/>
                <w:lang w:val="en-US" w:eastAsia="zh-CN"/>
              </w:rPr>
              <w:t>2</w:t>
            </w:r>
            <w:r>
              <w:rPr>
                <w:rFonts w:hint="eastAsia" w:ascii="仿宋" w:hAnsi="仿宋" w:eastAsia="仿宋" w:cs="仿宋"/>
                <w:b w:val="0"/>
                <w:bCs w:val="0"/>
                <w:spacing w:val="30"/>
                <w:sz w:val="24"/>
                <w:szCs w:val="24"/>
                <w:lang w:val="en-US" w:eastAsia="en-US"/>
              </w:rPr>
              <w:t>分；</w:t>
            </w:r>
          </w:p>
          <w:p w14:paraId="1AB42B0D">
            <w:pPr>
              <w:jc w:val="left"/>
              <w:rPr>
                <w:rFonts w:hint="eastAsia" w:ascii="仿宋" w:hAnsi="仿宋" w:eastAsia="仿宋" w:cs="仿宋"/>
                <w:b w:val="0"/>
                <w:bCs w:val="0"/>
                <w:spacing w:val="30"/>
                <w:sz w:val="24"/>
                <w:szCs w:val="24"/>
                <w:lang w:val="en-US" w:eastAsia="zh-CN"/>
              </w:rPr>
            </w:pPr>
            <w:r>
              <w:rPr>
                <w:rFonts w:hint="eastAsia" w:ascii="仿宋" w:hAnsi="仿宋" w:eastAsia="仿宋" w:cs="仿宋"/>
                <w:b w:val="0"/>
                <w:bCs w:val="0"/>
                <w:spacing w:val="30"/>
                <w:sz w:val="24"/>
                <w:szCs w:val="24"/>
                <w:lang w:val="en-US" w:eastAsia="zh-CN"/>
              </w:rPr>
              <w:t>方案内容笼统、不符合项目需求，得1分;</w:t>
            </w:r>
          </w:p>
          <w:p w14:paraId="4EEB8738">
            <w:pPr>
              <w:jc w:val="left"/>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zh-CN"/>
              </w:rPr>
              <w:t xml:space="preserve">未提供不得分。 </w:t>
            </w:r>
          </w:p>
        </w:tc>
      </w:tr>
      <w:tr w14:paraId="36E90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1326" w:type="dxa"/>
            <w:vMerge w:val="continue"/>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6E5EAF08">
            <w:pPr>
              <w:jc w:val="left"/>
              <w:rPr>
                <w:rFonts w:hint="eastAsia" w:ascii="仿宋" w:hAnsi="仿宋" w:eastAsia="仿宋" w:cs="仿宋"/>
                <w:b w:val="0"/>
                <w:bCs w:val="0"/>
                <w:spacing w:val="30"/>
                <w:sz w:val="24"/>
                <w:szCs w:val="24"/>
                <w:lang w:val="en-US" w:eastAsia="en-US"/>
              </w:rPr>
            </w:pPr>
          </w:p>
        </w:tc>
        <w:tc>
          <w:tcPr>
            <w:tcW w:w="92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341F7355">
            <w:pPr>
              <w:jc w:val="center"/>
              <w:rPr>
                <w:rFonts w:hint="eastAsia" w:ascii="仿宋" w:hAnsi="仿宋" w:eastAsia="仿宋" w:cs="仿宋"/>
                <w:b w:val="0"/>
                <w:bCs w:val="0"/>
                <w:spacing w:val="30"/>
                <w:sz w:val="24"/>
                <w:szCs w:val="24"/>
                <w:lang w:val="en-US" w:eastAsia="zh-CN"/>
              </w:rPr>
            </w:pPr>
            <w:r>
              <w:rPr>
                <w:rFonts w:hint="eastAsia" w:ascii="仿宋" w:hAnsi="仿宋" w:eastAsia="仿宋" w:cs="仿宋"/>
                <w:b w:val="0"/>
                <w:bCs w:val="0"/>
                <w:spacing w:val="30"/>
                <w:sz w:val="24"/>
                <w:szCs w:val="24"/>
                <w:lang w:val="en-US" w:eastAsia="en-US"/>
              </w:rPr>
              <w:t>0.0</w:t>
            </w:r>
            <w:r>
              <w:rPr>
                <w:rFonts w:hint="eastAsia" w:ascii="仿宋" w:hAnsi="仿宋" w:eastAsia="仿宋" w:cs="仿宋"/>
                <w:b w:val="0"/>
                <w:bCs w:val="0"/>
                <w:spacing w:val="30"/>
                <w:sz w:val="24"/>
                <w:szCs w:val="24"/>
                <w:lang w:val="en-US" w:eastAsia="zh-CN"/>
              </w:rPr>
              <w:t>0</w:t>
            </w:r>
          </w:p>
        </w:tc>
        <w:tc>
          <w:tcPr>
            <w:tcW w:w="998"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404BF50E">
            <w:pPr>
              <w:jc w:val="center"/>
              <w:rPr>
                <w:rFonts w:hint="eastAsia" w:ascii="仿宋" w:hAnsi="仿宋" w:eastAsia="仿宋" w:cs="仿宋"/>
                <w:b w:val="0"/>
                <w:bCs w:val="0"/>
                <w:spacing w:val="30"/>
                <w:sz w:val="24"/>
                <w:szCs w:val="24"/>
                <w:lang w:val="en-US" w:eastAsia="zh-CN"/>
              </w:rPr>
            </w:pPr>
            <w:r>
              <w:rPr>
                <w:rFonts w:hint="eastAsia" w:ascii="仿宋" w:hAnsi="仿宋" w:eastAsia="仿宋" w:cs="仿宋"/>
                <w:b w:val="0"/>
                <w:bCs w:val="0"/>
                <w:spacing w:val="30"/>
                <w:sz w:val="24"/>
                <w:szCs w:val="24"/>
                <w:lang w:val="en-US" w:eastAsia="zh-CN"/>
              </w:rPr>
              <w:t>5</w:t>
            </w:r>
            <w:r>
              <w:rPr>
                <w:rFonts w:hint="eastAsia" w:ascii="仿宋" w:hAnsi="仿宋" w:eastAsia="仿宋" w:cs="仿宋"/>
                <w:b w:val="0"/>
                <w:bCs w:val="0"/>
                <w:spacing w:val="30"/>
                <w:sz w:val="24"/>
                <w:szCs w:val="24"/>
                <w:lang w:val="en-US" w:eastAsia="en-US"/>
              </w:rPr>
              <w:t>.0</w:t>
            </w:r>
            <w:r>
              <w:rPr>
                <w:rFonts w:hint="eastAsia" w:ascii="仿宋" w:hAnsi="仿宋" w:eastAsia="仿宋" w:cs="仿宋"/>
                <w:b w:val="0"/>
                <w:bCs w:val="0"/>
                <w:spacing w:val="30"/>
                <w:sz w:val="24"/>
                <w:szCs w:val="24"/>
                <w:lang w:val="en-US" w:eastAsia="zh-CN"/>
              </w:rPr>
              <w:t>0</w:t>
            </w:r>
          </w:p>
        </w:tc>
        <w:tc>
          <w:tcPr>
            <w:tcW w:w="1685"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63716921">
            <w:pPr>
              <w:jc w:val="center"/>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en-US"/>
              </w:rPr>
              <w:t>质量保证措施</w:t>
            </w:r>
          </w:p>
        </w:tc>
        <w:tc>
          <w:tcPr>
            <w:tcW w:w="452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1AB98802">
            <w:pPr>
              <w:jc w:val="left"/>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en-US"/>
              </w:rPr>
              <w:t>针对本项目提供的</w:t>
            </w:r>
            <w:r>
              <w:rPr>
                <w:rFonts w:hint="eastAsia" w:ascii="仿宋" w:hAnsi="仿宋" w:eastAsia="仿宋" w:cs="仿宋"/>
                <w:b w:val="0"/>
                <w:bCs w:val="0"/>
                <w:spacing w:val="30"/>
                <w:sz w:val="24"/>
                <w:szCs w:val="24"/>
                <w:lang w:val="en-US" w:eastAsia="zh-CN"/>
              </w:rPr>
              <w:t>质量</w:t>
            </w:r>
            <w:r>
              <w:rPr>
                <w:rFonts w:hint="eastAsia" w:ascii="仿宋" w:hAnsi="仿宋" w:eastAsia="仿宋" w:cs="仿宋"/>
                <w:b w:val="0"/>
                <w:bCs w:val="0"/>
                <w:spacing w:val="30"/>
                <w:sz w:val="24"/>
                <w:szCs w:val="24"/>
                <w:lang w:val="en-US" w:eastAsia="en-US"/>
              </w:rPr>
              <w:t>保证措施内容完整、清晰明确、合理得当的，得</w:t>
            </w:r>
            <w:r>
              <w:rPr>
                <w:rFonts w:hint="eastAsia" w:ascii="仿宋" w:hAnsi="仿宋" w:eastAsia="仿宋" w:cs="仿宋"/>
                <w:b w:val="0"/>
                <w:bCs w:val="0"/>
                <w:spacing w:val="30"/>
                <w:sz w:val="24"/>
                <w:szCs w:val="24"/>
                <w:lang w:val="en-US" w:eastAsia="zh-CN"/>
              </w:rPr>
              <w:t>5</w:t>
            </w:r>
            <w:r>
              <w:rPr>
                <w:rFonts w:hint="eastAsia" w:ascii="仿宋" w:hAnsi="仿宋" w:eastAsia="仿宋" w:cs="仿宋"/>
                <w:b w:val="0"/>
                <w:bCs w:val="0"/>
                <w:spacing w:val="30"/>
                <w:sz w:val="24"/>
                <w:szCs w:val="24"/>
                <w:lang w:val="en-US" w:eastAsia="en-US"/>
              </w:rPr>
              <w:t>分；</w:t>
            </w:r>
          </w:p>
          <w:p w14:paraId="1E13467B">
            <w:pPr>
              <w:jc w:val="left"/>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en-US"/>
              </w:rPr>
              <w:t>措施内容完整、基本清晰明确、基本合理的，得</w:t>
            </w:r>
            <w:r>
              <w:rPr>
                <w:rFonts w:hint="eastAsia" w:ascii="仿宋" w:hAnsi="仿宋" w:eastAsia="仿宋" w:cs="仿宋"/>
                <w:b w:val="0"/>
                <w:bCs w:val="0"/>
                <w:spacing w:val="30"/>
                <w:sz w:val="24"/>
                <w:szCs w:val="24"/>
                <w:lang w:val="en-US" w:eastAsia="zh-CN"/>
              </w:rPr>
              <w:t>3</w:t>
            </w:r>
            <w:r>
              <w:rPr>
                <w:rFonts w:hint="eastAsia" w:ascii="仿宋" w:hAnsi="仿宋" w:eastAsia="仿宋" w:cs="仿宋"/>
                <w:b w:val="0"/>
                <w:bCs w:val="0"/>
                <w:spacing w:val="30"/>
                <w:sz w:val="24"/>
                <w:szCs w:val="24"/>
                <w:lang w:val="en-US" w:eastAsia="en-US"/>
              </w:rPr>
              <w:t>分；措施内容基本完整、基本合理的，得</w:t>
            </w:r>
            <w:r>
              <w:rPr>
                <w:rFonts w:hint="eastAsia" w:ascii="仿宋" w:hAnsi="仿宋" w:eastAsia="仿宋" w:cs="仿宋"/>
                <w:b w:val="0"/>
                <w:bCs w:val="0"/>
                <w:spacing w:val="30"/>
                <w:sz w:val="24"/>
                <w:szCs w:val="24"/>
                <w:lang w:val="en-US" w:eastAsia="zh-CN"/>
              </w:rPr>
              <w:t>1</w:t>
            </w:r>
            <w:r>
              <w:rPr>
                <w:rFonts w:hint="eastAsia" w:ascii="仿宋" w:hAnsi="仿宋" w:eastAsia="仿宋" w:cs="仿宋"/>
                <w:b w:val="0"/>
                <w:bCs w:val="0"/>
                <w:spacing w:val="30"/>
                <w:sz w:val="24"/>
                <w:szCs w:val="24"/>
                <w:lang w:val="en-US" w:eastAsia="en-US"/>
              </w:rPr>
              <w:t xml:space="preserve">分； </w:t>
            </w:r>
          </w:p>
          <w:p w14:paraId="3E96D71B">
            <w:pPr>
              <w:jc w:val="left"/>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en-US"/>
              </w:rPr>
              <w:t>未提供不得分。</w:t>
            </w:r>
          </w:p>
        </w:tc>
      </w:tr>
      <w:tr w14:paraId="4FAFF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6" w:hRule="atLeast"/>
        </w:trPr>
        <w:tc>
          <w:tcPr>
            <w:tcW w:w="1326" w:type="dxa"/>
            <w:vMerge w:val="continue"/>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02E23B06">
            <w:pPr>
              <w:jc w:val="left"/>
              <w:rPr>
                <w:rFonts w:hint="eastAsia" w:ascii="仿宋" w:hAnsi="仿宋" w:eastAsia="仿宋" w:cs="仿宋"/>
                <w:b w:val="0"/>
                <w:bCs w:val="0"/>
                <w:spacing w:val="30"/>
                <w:sz w:val="24"/>
                <w:szCs w:val="24"/>
                <w:lang w:val="en-US" w:eastAsia="en-US"/>
              </w:rPr>
            </w:pPr>
          </w:p>
        </w:tc>
        <w:tc>
          <w:tcPr>
            <w:tcW w:w="92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5A559D67">
            <w:pPr>
              <w:jc w:val="center"/>
              <w:rPr>
                <w:rFonts w:hint="eastAsia" w:ascii="仿宋" w:hAnsi="仿宋" w:eastAsia="仿宋" w:cs="仿宋"/>
                <w:b w:val="0"/>
                <w:bCs w:val="0"/>
                <w:spacing w:val="30"/>
                <w:sz w:val="24"/>
                <w:szCs w:val="24"/>
                <w:lang w:val="en-US" w:eastAsia="zh-CN"/>
              </w:rPr>
            </w:pPr>
            <w:r>
              <w:rPr>
                <w:rFonts w:hint="eastAsia" w:ascii="仿宋" w:hAnsi="仿宋" w:eastAsia="仿宋" w:cs="仿宋"/>
                <w:b w:val="0"/>
                <w:bCs w:val="0"/>
                <w:spacing w:val="30"/>
                <w:sz w:val="24"/>
                <w:szCs w:val="24"/>
                <w:lang w:val="en-US" w:eastAsia="en-US"/>
              </w:rPr>
              <w:t>0.0</w:t>
            </w:r>
            <w:r>
              <w:rPr>
                <w:rFonts w:hint="eastAsia" w:ascii="仿宋" w:hAnsi="仿宋" w:eastAsia="仿宋" w:cs="仿宋"/>
                <w:b w:val="0"/>
                <w:bCs w:val="0"/>
                <w:spacing w:val="30"/>
                <w:sz w:val="24"/>
                <w:szCs w:val="24"/>
                <w:lang w:val="en-US" w:eastAsia="zh-CN"/>
              </w:rPr>
              <w:t>0</w:t>
            </w:r>
          </w:p>
        </w:tc>
        <w:tc>
          <w:tcPr>
            <w:tcW w:w="998"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62CF92AA">
            <w:pPr>
              <w:jc w:val="center"/>
              <w:rPr>
                <w:rFonts w:hint="eastAsia" w:ascii="仿宋" w:hAnsi="仿宋" w:eastAsia="仿宋" w:cs="仿宋"/>
                <w:b w:val="0"/>
                <w:bCs w:val="0"/>
                <w:spacing w:val="30"/>
                <w:sz w:val="24"/>
                <w:szCs w:val="24"/>
                <w:lang w:val="en-US" w:eastAsia="zh-CN"/>
              </w:rPr>
            </w:pPr>
            <w:r>
              <w:rPr>
                <w:rFonts w:hint="eastAsia" w:ascii="仿宋" w:hAnsi="仿宋" w:eastAsia="仿宋" w:cs="仿宋"/>
                <w:b w:val="0"/>
                <w:bCs w:val="0"/>
                <w:spacing w:val="30"/>
                <w:sz w:val="24"/>
                <w:szCs w:val="24"/>
                <w:lang w:val="en-US" w:eastAsia="zh-CN"/>
              </w:rPr>
              <w:t>5</w:t>
            </w:r>
            <w:r>
              <w:rPr>
                <w:rFonts w:hint="eastAsia" w:ascii="仿宋" w:hAnsi="仿宋" w:eastAsia="仿宋" w:cs="仿宋"/>
                <w:b w:val="0"/>
                <w:bCs w:val="0"/>
                <w:spacing w:val="30"/>
                <w:sz w:val="24"/>
                <w:szCs w:val="24"/>
                <w:lang w:val="en-US" w:eastAsia="en-US"/>
              </w:rPr>
              <w:t>.0</w:t>
            </w:r>
            <w:r>
              <w:rPr>
                <w:rFonts w:hint="eastAsia" w:ascii="仿宋" w:hAnsi="仿宋" w:eastAsia="仿宋" w:cs="仿宋"/>
                <w:b w:val="0"/>
                <w:bCs w:val="0"/>
                <w:spacing w:val="30"/>
                <w:sz w:val="24"/>
                <w:szCs w:val="24"/>
                <w:lang w:val="en-US" w:eastAsia="zh-CN"/>
              </w:rPr>
              <w:t>0</w:t>
            </w:r>
          </w:p>
        </w:tc>
        <w:tc>
          <w:tcPr>
            <w:tcW w:w="1685"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5181E50B">
            <w:pPr>
              <w:jc w:val="center"/>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en-US"/>
              </w:rPr>
              <w:t>突发性故障处理及问题解决</w:t>
            </w:r>
          </w:p>
        </w:tc>
        <w:tc>
          <w:tcPr>
            <w:tcW w:w="452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3CE16CFC">
            <w:pPr>
              <w:jc w:val="left"/>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en-US"/>
              </w:rPr>
              <w:t>针对本项目提供的突发性故障处理及问题解决内容完整、清晰明确、合理得当的，得</w:t>
            </w:r>
            <w:r>
              <w:rPr>
                <w:rFonts w:hint="eastAsia" w:ascii="仿宋" w:hAnsi="仿宋" w:eastAsia="仿宋" w:cs="仿宋"/>
                <w:b w:val="0"/>
                <w:bCs w:val="0"/>
                <w:spacing w:val="30"/>
                <w:sz w:val="24"/>
                <w:szCs w:val="24"/>
                <w:lang w:val="en-US" w:eastAsia="zh-CN"/>
              </w:rPr>
              <w:t>5</w:t>
            </w:r>
            <w:r>
              <w:rPr>
                <w:rFonts w:hint="eastAsia" w:ascii="仿宋" w:hAnsi="仿宋" w:eastAsia="仿宋" w:cs="仿宋"/>
                <w:b w:val="0"/>
                <w:bCs w:val="0"/>
                <w:spacing w:val="30"/>
                <w:sz w:val="24"/>
                <w:szCs w:val="24"/>
                <w:lang w:val="en-US" w:eastAsia="en-US"/>
              </w:rPr>
              <w:t>分；</w:t>
            </w:r>
          </w:p>
          <w:p w14:paraId="423FC0BA">
            <w:pPr>
              <w:jc w:val="left"/>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en-US"/>
              </w:rPr>
              <w:t>措施内容完整、基本清晰明确、基本合理的，得</w:t>
            </w:r>
            <w:r>
              <w:rPr>
                <w:rFonts w:hint="eastAsia" w:ascii="仿宋" w:hAnsi="仿宋" w:eastAsia="仿宋" w:cs="仿宋"/>
                <w:b w:val="0"/>
                <w:bCs w:val="0"/>
                <w:spacing w:val="30"/>
                <w:sz w:val="24"/>
                <w:szCs w:val="24"/>
                <w:lang w:val="en-US" w:eastAsia="zh-CN"/>
              </w:rPr>
              <w:t>3</w:t>
            </w:r>
            <w:r>
              <w:rPr>
                <w:rFonts w:hint="eastAsia" w:ascii="仿宋" w:hAnsi="仿宋" w:eastAsia="仿宋" w:cs="仿宋"/>
                <w:b w:val="0"/>
                <w:bCs w:val="0"/>
                <w:spacing w:val="30"/>
                <w:sz w:val="24"/>
                <w:szCs w:val="24"/>
                <w:lang w:val="en-US" w:eastAsia="en-US"/>
              </w:rPr>
              <w:t>分；</w:t>
            </w:r>
          </w:p>
          <w:p w14:paraId="2B61F3C9">
            <w:pPr>
              <w:jc w:val="left"/>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en-US"/>
              </w:rPr>
              <w:t>措施内容基本完整、基本合理的，得</w:t>
            </w:r>
            <w:r>
              <w:rPr>
                <w:rFonts w:hint="eastAsia" w:ascii="仿宋" w:hAnsi="仿宋" w:eastAsia="仿宋" w:cs="仿宋"/>
                <w:b w:val="0"/>
                <w:bCs w:val="0"/>
                <w:spacing w:val="30"/>
                <w:sz w:val="24"/>
                <w:szCs w:val="24"/>
                <w:lang w:val="en-US" w:eastAsia="zh-CN"/>
              </w:rPr>
              <w:t>1</w:t>
            </w:r>
            <w:r>
              <w:rPr>
                <w:rFonts w:hint="eastAsia" w:ascii="仿宋" w:hAnsi="仿宋" w:eastAsia="仿宋" w:cs="仿宋"/>
                <w:b w:val="0"/>
                <w:bCs w:val="0"/>
                <w:spacing w:val="30"/>
                <w:sz w:val="24"/>
                <w:szCs w:val="24"/>
                <w:lang w:val="en-US" w:eastAsia="en-US"/>
              </w:rPr>
              <w:t xml:space="preserve">分； </w:t>
            </w:r>
          </w:p>
          <w:p w14:paraId="0B2C4A1B">
            <w:pPr>
              <w:jc w:val="left"/>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en-US"/>
              </w:rPr>
              <w:t>未提供不得分。</w:t>
            </w:r>
          </w:p>
        </w:tc>
      </w:tr>
      <w:tr w14:paraId="71CF4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6"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0FF9AB86">
            <w:pPr>
              <w:jc w:val="center"/>
              <w:rPr>
                <w:rFonts w:hint="eastAsia" w:ascii="仿宋" w:hAnsi="仿宋" w:eastAsia="仿宋" w:cs="仿宋"/>
                <w:b w:val="0"/>
                <w:bCs w:val="0"/>
                <w:spacing w:val="30"/>
                <w:sz w:val="24"/>
                <w:szCs w:val="24"/>
                <w:lang w:val="en-US" w:eastAsia="zh-CN"/>
              </w:rPr>
            </w:pPr>
            <w:r>
              <w:rPr>
                <w:rFonts w:hint="eastAsia" w:ascii="仿宋" w:hAnsi="仿宋" w:eastAsia="仿宋" w:cs="仿宋"/>
                <w:b w:val="0"/>
                <w:bCs w:val="0"/>
                <w:spacing w:val="30"/>
                <w:sz w:val="24"/>
                <w:szCs w:val="24"/>
                <w:lang w:val="en-US" w:eastAsia="en-US"/>
              </w:rPr>
              <w:t>业绩信誉</w:t>
            </w:r>
            <w:r>
              <w:rPr>
                <w:rFonts w:hint="eastAsia" w:ascii="仿宋" w:hAnsi="仿宋" w:eastAsia="仿宋" w:cs="仿宋"/>
                <w:b w:val="0"/>
                <w:bCs w:val="0"/>
                <w:spacing w:val="30"/>
                <w:sz w:val="24"/>
                <w:szCs w:val="24"/>
                <w:lang w:val="en-US" w:eastAsia="zh-CN"/>
              </w:rPr>
              <w:t>（8）</w:t>
            </w:r>
          </w:p>
        </w:tc>
        <w:tc>
          <w:tcPr>
            <w:tcW w:w="92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172A0A51">
            <w:pPr>
              <w:jc w:val="center"/>
              <w:rPr>
                <w:rFonts w:hint="eastAsia" w:ascii="仿宋" w:hAnsi="仿宋" w:eastAsia="仿宋" w:cs="仿宋"/>
                <w:b w:val="0"/>
                <w:bCs w:val="0"/>
                <w:spacing w:val="30"/>
                <w:sz w:val="24"/>
                <w:szCs w:val="24"/>
                <w:lang w:val="en-US" w:eastAsia="zh-CN"/>
              </w:rPr>
            </w:pPr>
            <w:r>
              <w:rPr>
                <w:rFonts w:hint="eastAsia" w:ascii="仿宋" w:hAnsi="仿宋" w:eastAsia="仿宋" w:cs="仿宋"/>
                <w:b w:val="0"/>
                <w:bCs w:val="0"/>
                <w:spacing w:val="30"/>
                <w:sz w:val="24"/>
                <w:szCs w:val="24"/>
                <w:lang w:val="en-US" w:eastAsia="en-US"/>
              </w:rPr>
              <w:t>0.0</w:t>
            </w:r>
            <w:r>
              <w:rPr>
                <w:rFonts w:hint="eastAsia" w:ascii="仿宋" w:hAnsi="仿宋" w:eastAsia="仿宋" w:cs="仿宋"/>
                <w:b w:val="0"/>
                <w:bCs w:val="0"/>
                <w:spacing w:val="30"/>
                <w:sz w:val="24"/>
                <w:szCs w:val="24"/>
                <w:lang w:val="en-US" w:eastAsia="zh-CN"/>
              </w:rPr>
              <w:t>0</w:t>
            </w:r>
          </w:p>
        </w:tc>
        <w:tc>
          <w:tcPr>
            <w:tcW w:w="998"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08C2BAD8">
            <w:pPr>
              <w:jc w:val="center"/>
              <w:rPr>
                <w:rFonts w:hint="eastAsia" w:ascii="仿宋" w:hAnsi="仿宋" w:eastAsia="仿宋" w:cs="仿宋"/>
                <w:b w:val="0"/>
                <w:bCs w:val="0"/>
                <w:spacing w:val="30"/>
                <w:sz w:val="24"/>
                <w:szCs w:val="24"/>
                <w:lang w:val="en-US" w:eastAsia="zh-CN"/>
              </w:rPr>
            </w:pPr>
            <w:r>
              <w:rPr>
                <w:rFonts w:hint="eastAsia" w:ascii="仿宋" w:hAnsi="仿宋" w:eastAsia="仿宋" w:cs="仿宋"/>
                <w:b w:val="0"/>
                <w:bCs w:val="0"/>
                <w:spacing w:val="30"/>
                <w:sz w:val="24"/>
                <w:szCs w:val="24"/>
                <w:lang w:val="en-US" w:eastAsia="zh-CN"/>
              </w:rPr>
              <w:t>8</w:t>
            </w:r>
            <w:r>
              <w:rPr>
                <w:rFonts w:hint="eastAsia" w:ascii="仿宋" w:hAnsi="仿宋" w:eastAsia="仿宋" w:cs="仿宋"/>
                <w:b w:val="0"/>
                <w:bCs w:val="0"/>
                <w:spacing w:val="30"/>
                <w:sz w:val="24"/>
                <w:szCs w:val="24"/>
                <w:lang w:val="en-US" w:eastAsia="en-US"/>
              </w:rPr>
              <w:t>.0</w:t>
            </w:r>
            <w:r>
              <w:rPr>
                <w:rFonts w:hint="eastAsia" w:ascii="仿宋" w:hAnsi="仿宋" w:eastAsia="仿宋" w:cs="仿宋"/>
                <w:b w:val="0"/>
                <w:bCs w:val="0"/>
                <w:spacing w:val="30"/>
                <w:sz w:val="24"/>
                <w:szCs w:val="24"/>
                <w:lang w:val="en-US" w:eastAsia="zh-CN"/>
              </w:rPr>
              <w:t>0</w:t>
            </w:r>
          </w:p>
        </w:tc>
        <w:tc>
          <w:tcPr>
            <w:tcW w:w="1685"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40C024D2">
            <w:pPr>
              <w:jc w:val="center"/>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en-US"/>
              </w:rPr>
              <w:t>企业类似项目</w:t>
            </w:r>
          </w:p>
        </w:tc>
        <w:tc>
          <w:tcPr>
            <w:tcW w:w="452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2F22164C">
            <w:pPr>
              <w:jc w:val="left"/>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en-US"/>
              </w:rPr>
              <w:t>供应商提供2021年1月以来（以合同签订时间为准）类似业绩，每提供一份得2分，最多得</w:t>
            </w:r>
            <w:r>
              <w:rPr>
                <w:rFonts w:hint="eastAsia" w:ascii="仿宋" w:hAnsi="仿宋" w:eastAsia="仿宋" w:cs="仿宋"/>
                <w:b w:val="0"/>
                <w:bCs w:val="0"/>
                <w:spacing w:val="30"/>
                <w:sz w:val="24"/>
                <w:szCs w:val="24"/>
                <w:lang w:val="en-US" w:eastAsia="zh-CN"/>
              </w:rPr>
              <w:t>8</w:t>
            </w:r>
            <w:r>
              <w:rPr>
                <w:rFonts w:hint="eastAsia" w:ascii="仿宋" w:hAnsi="仿宋" w:eastAsia="仿宋" w:cs="仿宋"/>
                <w:b w:val="0"/>
                <w:bCs w:val="0"/>
                <w:spacing w:val="30"/>
                <w:sz w:val="24"/>
                <w:szCs w:val="24"/>
                <w:lang w:val="en-US" w:eastAsia="en-US"/>
              </w:rPr>
              <w:t>分。（响应文件中附合同的扫描件、中标通知书否则不得分）。</w:t>
            </w:r>
          </w:p>
        </w:tc>
      </w:tr>
      <w:bookmarkEnd w:id="302"/>
    </w:tbl>
    <w:p w14:paraId="32C18A39">
      <w:pPr>
        <w:rPr>
          <w:rFonts w:ascii="仿宋" w:hAnsi="仿宋" w:eastAsia="仿宋"/>
          <w:color w:val="000000"/>
        </w:rPr>
      </w:pPr>
    </w:p>
    <w:p w14:paraId="362A33C6">
      <w:pPr>
        <w:jc w:val="center"/>
        <w:outlineLvl w:val="9"/>
        <w:rPr>
          <w:rFonts w:hint="eastAsia" w:ascii="仿宋" w:hAnsi="仿宋" w:eastAsia="仿宋"/>
          <w:b/>
          <w:bCs/>
          <w:color w:val="000000"/>
          <w:sz w:val="32"/>
          <w:szCs w:val="36"/>
        </w:rPr>
      </w:pPr>
      <w:bookmarkStart w:id="303" w:name="_Toc23591"/>
    </w:p>
    <w:p w14:paraId="0A88730D">
      <w:pPr>
        <w:jc w:val="center"/>
        <w:outlineLvl w:val="9"/>
        <w:rPr>
          <w:rFonts w:hint="eastAsia" w:ascii="仿宋" w:hAnsi="仿宋" w:eastAsia="仿宋"/>
          <w:b/>
          <w:bCs/>
          <w:color w:val="000000"/>
          <w:sz w:val="32"/>
          <w:szCs w:val="36"/>
        </w:rPr>
      </w:pPr>
    </w:p>
    <w:p w14:paraId="460B79A3">
      <w:pPr>
        <w:jc w:val="center"/>
        <w:outlineLvl w:val="9"/>
        <w:rPr>
          <w:rFonts w:hint="eastAsia" w:ascii="仿宋" w:hAnsi="仿宋" w:eastAsia="仿宋"/>
          <w:b/>
          <w:bCs/>
          <w:color w:val="000000"/>
          <w:sz w:val="32"/>
          <w:szCs w:val="36"/>
        </w:rPr>
      </w:pPr>
    </w:p>
    <w:p w14:paraId="003C02BA">
      <w:pPr>
        <w:pStyle w:val="2"/>
        <w:rPr>
          <w:rFonts w:hint="eastAsia"/>
        </w:rPr>
      </w:pPr>
    </w:p>
    <w:p w14:paraId="6BD16F20">
      <w:pPr>
        <w:pStyle w:val="2"/>
        <w:rPr>
          <w:rFonts w:hint="eastAsia"/>
        </w:rPr>
      </w:pPr>
    </w:p>
    <w:p w14:paraId="4832E4DB">
      <w:pPr>
        <w:pStyle w:val="2"/>
        <w:rPr>
          <w:rFonts w:hint="eastAsia"/>
        </w:rPr>
      </w:pPr>
    </w:p>
    <w:p w14:paraId="7C99267F">
      <w:pPr>
        <w:pStyle w:val="2"/>
        <w:rPr>
          <w:rFonts w:hint="eastAsia"/>
        </w:rPr>
      </w:pPr>
    </w:p>
    <w:p w14:paraId="1FDDAE2B">
      <w:pPr>
        <w:pStyle w:val="2"/>
        <w:rPr>
          <w:rFonts w:hint="eastAsia"/>
        </w:rPr>
      </w:pPr>
    </w:p>
    <w:p w14:paraId="00B859EC">
      <w:pPr>
        <w:pStyle w:val="2"/>
        <w:rPr>
          <w:rFonts w:hint="eastAsia"/>
        </w:rPr>
      </w:pPr>
    </w:p>
    <w:p w14:paraId="127BA160">
      <w:pPr>
        <w:pStyle w:val="2"/>
        <w:rPr>
          <w:rFonts w:hint="eastAsia"/>
        </w:rPr>
      </w:pPr>
    </w:p>
    <w:p w14:paraId="4D4E6E55">
      <w:pPr>
        <w:pStyle w:val="2"/>
        <w:rPr>
          <w:rFonts w:hint="eastAsia"/>
        </w:rPr>
      </w:pPr>
    </w:p>
    <w:p w14:paraId="20E7F246">
      <w:pPr>
        <w:pStyle w:val="2"/>
        <w:rPr>
          <w:rFonts w:hint="eastAsia"/>
        </w:rPr>
      </w:pPr>
    </w:p>
    <w:p w14:paraId="00B1FADA">
      <w:pPr>
        <w:pStyle w:val="2"/>
        <w:rPr>
          <w:rFonts w:hint="eastAsia"/>
        </w:rPr>
      </w:pPr>
    </w:p>
    <w:p w14:paraId="070054E4">
      <w:pPr>
        <w:pStyle w:val="2"/>
        <w:rPr>
          <w:rFonts w:hint="eastAsia"/>
        </w:rPr>
      </w:pPr>
    </w:p>
    <w:p w14:paraId="6504D54F">
      <w:pPr>
        <w:pStyle w:val="2"/>
        <w:rPr>
          <w:rFonts w:hint="eastAsia"/>
        </w:rPr>
      </w:pPr>
    </w:p>
    <w:p w14:paraId="70C3A779">
      <w:pPr>
        <w:pStyle w:val="2"/>
        <w:rPr>
          <w:rFonts w:hint="eastAsia"/>
        </w:rPr>
      </w:pPr>
    </w:p>
    <w:p w14:paraId="7420A032">
      <w:pPr>
        <w:pStyle w:val="2"/>
        <w:rPr>
          <w:rFonts w:hint="eastAsia"/>
        </w:rPr>
      </w:pPr>
    </w:p>
    <w:p w14:paraId="7F58426F">
      <w:pPr>
        <w:pStyle w:val="2"/>
        <w:rPr>
          <w:rFonts w:hint="eastAsia"/>
        </w:rPr>
      </w:pPr>
    </w:p>
    <w:p w14:paraId="6627B87D">
      <w:pPr>
        <w:pStyle w:val="2"/>
        <w:rPr>
          <w:rFonts w:hint="eastAsia"/>
        </w:rPr>
      </w:pPr>
    </w:p>
    <w:p w14:paraId="21DD7E3A">
      <w:pPr>
        <w:pStyle w:val="2"/>
        <w:rPr>
          <w:rFonts w:hint="eastAsia"/>
        </w:rPr>
      </w:pPr>
    </w:p>
    <w:p w14:paraId="27A0F5F4">
      <w:pPr>
        <w:pStyle w:val="2"/>
        <w:rPr>
          <w:rFonts w:hint="eastAsia"/>
        </w:rPr>
      </w:pPr>
    </w:p>
    <w:p w14:paraId="626BCA17">
      <w:pPr>
        <w:pStyle w:val="2"/>
        <w:rPr>
          <w:rFonts w:hint="eastAsia"/>
        </w:rPr>
      </w:pPr>
    </w:p>
    <w:p w14:paraId="730079C4">
      <w:pPr>
        <w:pStyle w:val="2"/>
        <w:rPr>
          <w:rFonts w:hint="eastAsia"/>
        </w:rPr>
      </w:pPr>
    </w:p>
    <w:p w14:paraId="6EA15438">
      <w:pPr>
        <w:pStyle w:val="2"/>
        <w:rPr>
          <w:rFonts w:hint="eastAsia"/>
        </w:rPr>
      </w:pPr>
    </w:p>
    <w:p w14:paraId="409018FF">
      <w:pPr>
        <w:pStyle w:val="2"/>
        <w:rPr>
          <w:rFonts w:hint="eastAsia"/>
        </w:rPr>
      </w:pPr>
    </w:p>
    <w:p w14:paraId="1ECB5E05">
      <w:pPr>
        <w:pStyle w:val="2"/>
        <w:rPr>
          <w:rFonts w:hint="eastAsia"/>
        </w:rPr>
      </w:pPr>
    </w:p>
    <w:p w14:paraId="41850AFA">
      <w:pPr>
        <w:pStyle w:val="2"/>
        <w:rPr>
          <w:rFonts w:hint="eastAsia"/>
        </w:rPr>
      </w:pPr>
    </w:p>
    <w:p w14:paraId="63302DF8">
      <w:pPr>
        <w:jc w:val="center"/>
        <w:outlineLvl w:val="9"/>
        <w:rPr>
          <w:rFonts w:hint="eastAsia" w:ascii="仿宋" w:hAnsi="仿宋" w:eastAsia="仿宋"/>
          <w:b/>
          <w:bCs/>
          <w:color w:val="000000"/>
          <w:sz w:val="32"/>
          <w:szCs w:val="36"/>
        </w:rPr>
      </w:pPr>
    </w:p>
    <w:p w14:paraId="39E51255">
      <w:pPr>
        <w:jc w:val="center"/>
        <w:outlineLvl w:val="0"/>
        <w:rPr>
          <w:rFonts w:ascii="仿宋" w:hAnsi="仿宋" w:eastAsia="仿宋"/>
          <w:b/>
          <w:bCs/>
          <w:color w:val="000000"/>
          <w:sz w:val="32"/>
          <w:szCs w:val="36"/>
        </w:rPr>
      </w:pPr>
      <w:r>
        <w:rPr>
          <w:rFonts w:hint="eastAsia" w:ascii="仿宋" w:hAnsi="仿宋" w:eastAsia="仿宋"/>
          <w:b/>
          <w:bCs/>
          <w:color w:val="000000"/>
          <w:sz w:val="32"/>
          <w:szCs w:val="36"/>
        </w:rPr>
        <w:t>第七章   投标文件格式</w:t>
      </w:r>
      <w:bookmarkEnd w:id="303"/>
    </w:p>
    <w:p w14:paraId="21F10860">
      <w:pPr>
        <w:rPr>
          <w:rFonts w:hint="eastAsia" w:ascii="仿宋" w:hAnsi="仿宋" w:eastAsia="仿宋"/>
          <w:color w:val="000000"/>
        </w:rPr>
      </w:pPr>
    </w:p>
    <w:p w14:paraId="574CCD5D">
      <w:pPr>
        <w:pStyle w:val="40"/>
        <w:rPr>
          <w:rFonts w:hint="eastAsia"/>
        </w:rPr>
      </w:pPr>
    </w:p>
    <w:p w14:paraId="620D9FE9">
      <w:pPr>
        <w:rPr>
          <w:rFonts w:hint="eastAsia" w:ascii="仿宋" w:hAnsi="仿宋" w:eastAsia="仿宋"/>
          <w:color w:val="000000"/>
        </w:rPr>
      </w:pPr>
    </w:p>
    <w:p w14:paraId="16420DB0">
      <w:pPr>
        <w:rPr>
          <w:rFonts w:hint="eastAsia"/>
          <w:highlight w:val="red"/>
        </w:rPr>
      </w:pPr>
      <w:r>
        <w:rPr>
          <w:highlight w:val="white"/>
        </w:rPr>
        <w:br w:type="page"/>
      </w:r>
      <w:bookmarkStart w:id="304" w:name="EBaf32a0e4ed3e42c6b16197a2eb8cfdef"/>
    </w:p>
    <w:p w14:paraId="3260D2AE">
      <w:pPr>
        <w:pStyle w:val="86"/>
        <w:rPr>
          <w:rFonts w:hint="eastAsia" w:ascii="仿宋" w:hAnsi="仿宋" w:eastAsia="仿宋"/>
          <w:color w:val="auto"/>
          <w:kern w:val="0"/>
          <w:sz w:val="20"/>
          <w:szCs w:val="20"/>
        </w:rPr>
      </w:pPr>
    </w:p>
    <w:p w14:paraId="7A9AE0E1">
      <w:pPr>
        <w:pStyle w:val="86"/>
        <w:widowControl/>
        <w:jc w:val="center"/>
        <w:rPr>
          <w:rFonts w:hint="eastAsia" w:ascii="仿宋" w:hAnsi="仿宋" w:eastAsia="仿宋"/>
          <w:b/>
          <w:color w:val="auto"/>
          <w:spacing w:val="14"/>
          <w:kern w:val="0"/>
          <w:sz w:val="84"/>
          <w:szCs w:val="84"/>
        </w:rPr>
      </w:pPr>
      <w:r>
        <w:rPr>
          <w:rFonts w:hint="eastAsia" w:ascii="仿宋" w:hAnsi="仿宋" w:eastAsia="仿宋"/>
          <w:b/>
          <w:color w:val="auto"/>
          <w:spacing w:val="14"/>
          <w:kern w:val="0"/>
          <w:sz w:val="84"/>
          <w:szCs w:val="84"/>
        </w:rPr>
        <w:t>响应文件</w:t>
      </w:r>
    </w:p>
    <w:p w14:paraId="36C0D209">
      <w:pPr>
        <w:pStyle w:val="86"/>
        <w:widowControl/>
        <w:jc w:val="center"/>
        <w:rPr>
          <w:rFonts w:hint="eastAsia" w:ascii="仿宋" w:hAnsi="仿宋" w:eastAsia="仿宋"/>
          <w:b/>
          <w:color w:val="auto"/>
          <w:spacing w:val="14"/>
          <w:kern w:val="0"/>
          <w:sz w:val="84"/>
          <w:szCs w:val="84"/>
        </w:rPr>
      </w:pPr>
    </w:p>
    <w:p w14:paraId="4B1E9763">
      <w:pPr>
        <w:pStyle w:val="86"/>
        <w:widowControl/>
        <w:ind w:firstLine="420"/>
        <w:rPr>
          <w:rFonts w:ascii="仿宋" w:hAnsi="仿宋" w:eastAsia="仿宋"/>
          <w:color w:val="auto"/>
          <w:spacing w:val="14"/>
          <w:kern w:val="0"/>
          <w:sz w:val="28"/>
          <w:szCs w:val="28"/>
        </w:rPr>
      </w:pPr>
      <w:r>
        <w:rPr>
          <w:rFonts w:hint="eastAsia" w:ascii="仿宋" w:hAnsi="仿宋" w:eastAsia="仿宋"/>
          <w:color w:val="auto"/>
          <w:spacing w:val="14"/>
          <w:kern w:val="0"/>
          <w:sz w:val="28"/>
          <w:szCs w:val="28"/>
        </w:rPr>
        <w:t>项目名称：</w:t>
      </w:r>
    </w:p>
    <w:p w14:paraId="21C6CC07">
      <w:pPr>
        <w:pStyle w:val="86"/>
        <w:widowControl/>
        <w:ind w:firstLine="420"/>
        <w:rPr>
          <w:rFonts w:ascii="仿宋" w:hAnsi="仿宋" w:eastAsia="仿宋"/>
          <w:color w:val="auto"/>
          <w:spacing w:val="14"/>
          <w:kern w:val="0"/>
          <w:sz w:val="28"/>
          <w:szCs w:val="28"/>
        </w:rPr>
      </w:pPr>
      <w:r>
        <w:rPr>
          <w:rFonts w:hint="eastAsia" w:ascii="仿宋" w:hAnsi="仿宋" w:eastAsia="仿宋"/>
          <w:color w:val="auto"/>
          <w:spacing w:val="14"/>
          <w:kern w:val="0"/>
          <w:sz w:val="28"/>
          <w:szCs w:val="28"/>
        </w:rPr>
        <w:t>项目编号：</w:t>
      </w:r>
    </w:p>
    <w:p w14:paraId="09641DCA">
      <w:pPr>
        <w:pStyle w:val="86"/>
        <w:widowControl/>
        <w:rPr>
          <w:rFonts w:ascii="仿宋" w:hAnsi="仿宋" w:eastAsia="仿宋"/>
          <w:color w:val="auto"/>
          <w:spacing w:val="14"/>
          <w:kern w:val="0"/>
          <w:sz w:val="28"/>
          <w:szCs w:val="28"/>
        </w:rPr>
      </w:pPr>
    </w:p>
    <w:p w14:paraId="3BBE7E45">
      <w:pPr>
        <w:pStyle w:val="86"/>
        <w:widowControl/>
        <w:rPr>
          <w:rFonts w:ascii="仿宋" w:hAnsi="仿宋" w:eastAsia="仿宋"/>
          <w:color w:val="auto"/>
          <w:spacing w:val="14"/>
          <w:kern w:val="0"/>
          <w:sz w:val="28"/>
          <w:szCs w:val="28"/>
        </w:rPr>
      </w:pPr>
    </w:p>
    <w:p w14:paraId="214F2259">
      <w:pPr>
        <w:pStyle w:val="86"/>
        <w:widowControl/>
        <w:rPr>
          <w:rFonts w:ascii="仿宋" w:hAnsi="仿宋" w:eastAsia="仿宋"/>
          <w:color w:val="auto"/>
          <w:spacing w:val="14"/>
          <w:kern w:val="0"/>
          <w:sz w:val="28"/>
          <w:szCs w:val="28"/>
        </w:rPr>
      </w:pPr>
    </w:p>
    <w:p w14:paraId="21A07127">
      <w:pPr>
        <w:pStyle w:val="86"/>
        <w:widowControl/>
        <w:rPr>
          <w:rFonts w:ascii="仿宋" w:hAnsi="仿宋" w:eastAsia="仿宋"/>
          <w:color w:val="auto"/>
          <w:spacing w:val="14"/>
          <w:kern w:val="0"/>
          <w:sz w:val="28"/>
          <w:szCs w:val="28"/>
        </w:rPr>
      </w:pPr>
    </w:p>
    <w:p w14:paraId="6F31EBF1">
      <w:pPr>
        <w:pStyle w:val="86"/>
        <w:widowControl/>
        <w:rPr>
          <w:rFonts w:ascii="仿宋" w:hAnsi="仿宋" w:eastAsia="仿宋"/>
          <w:color w:val="auto"/>
          <w:spacing w:val="14"/>
          <w:kern w:val="0"/>
          <w:sz w:val="28"/>
          <w:szCs w:val="28"/>
        </w:rPr>
      </w:pPr>
    </w:p>
    <w:p w14:paraId="27D0A708">
      <w:pPr>
        <w:pStyle w:val="86"/>
        <w:rPr>
          <w:rFonts w:ascii="仿宋" w:hAnsi="仿宋" w:eastAsia="仿宋"/>
          <w:color w:val="auto"/>
          <w:kern w:val="0"/>
          <w:sz w:val="28"/>
          <w:szCs w:val="28"/>
        </w:rPr>
      </w:pPr>
    </w:p>
    <w:p w14:paraId="5F90644B">
      <w:pPr>
        <w:pStyle w:val="86"/>
        <w:rPr>
          <w:rFonts w:ascii="仿宋" w:hAnsi="仿宋" w:eastAsia="仿宋"/>
          <w:color w:val="auto"/>
          <w:kern w:val="0"/>
          <w:sz w:val="28"/>
          <w:szCs w:val="28"/>
        </w:rPr>
      </w:pPr>
    </w:p>
    <w:p w14:paraId="0B2405C8">
      <w:pPr>
        <w:pStyle w:val="86"/>
        <w:widowControl/>
        <w:rPr>
          <w:rFonts w:ascii="仿宋" w:hAnsi="仿宋" w:eastAsia="仿宋"/>
          <w:color w:val="auto"/>
          <w:spacing w:val="14"/>
          <w:kern w:val="0"/>
          <w:sz w:val="28"/>
          <w:szCs w:val="28"/>
        </w:rPr>
      </w:pPr>
    </w:p>
    <w:p w14:paraId="354DDA01">
      <w:pPr>
        <w:pStyle w:val="86"/>
        <w:widowControl/>
        <w:rPr>
          <w:rFonts w:ascii="仿宋" w:hAnsi="仿宋" w:eastAsia="仿宋"/>
          <w:color w:val="auto"/>
          <w:spacing w:val="14"/>
          <w:kern w:val="0"/>
          <w:sz w:val="28"/>
          <w:szCs w:val="28"/>
        </w:rPr>
      </w:pPr>
    </w:p>
    <w:p w14:paraId="4F63FCF0">
      <w:pPr>
        <w:pStyle w:val="86"/>
        <w:widowControl/>
        <w:ind w:firstLine="420"/>
        <w:rPr>
          <w:rFonts w:hint="eastAsia" w:ascii="仿宋" w:hAnsi="仿宋" w:eastAsia="仿宋"/>
          <w:color w:val="auto"/>
          <w:spacing w:val="14"/>
          <w:kern w:val="0"/>
          <w:sz w:val="28"/>
          <w:szCs w:val="28"/>
        </w:rPr>
      </w:pPr>
      <w:r>
        <w:rPr>
          <w:rFonts w:hint="eastAsia" w:ascii="仿宋" w:hAnsi="仿宋" w:eastAsia="仿宋"/>
          <w:color w:val="auto"/>
          <w:spacing w:val="14"/>
          <w:kern w:val="0"/>
          <w:sz w:val="28"/>
          <w:szCs w:val="28"/>
        </w:rPr>
        <w:t>供应商名称：</w:t>
      </w:r>
    </w:p>
    <w:p w14:paraId="2C681AEB">
      <w:pPr>
        <w:pStyle w:val="86"/>
        <w:widowControl/>
        <w:ind w:right="2465" w:firstLine="420"/>
        <w:rPr>
          <w:rFonts w:ascii="仿宋" w:hAnsi="仿宋" w:eastAsia="仿宋"/>
          <w:color w:val="auto"/>
          <w:spacing w:val="14"/>
          <w:kern w:val="0"/>
          <w:sz w:val="28"/>
          <w:szCs w:val="28"/>
        </w:rPr>
      </w:pPr>
      <w:r>
        <w:rPr>
          <w:rFonts w:hint="eastAsia" w:ascii="仿宋" w:hAnsi="仿宋" w:eastAsia="仿宋"/>
          <w:color w:val="auto"/>
          <w:spacing w:val="14"/>
          <w:kern w:val="0"/>
          <w:sz w:val="28"/>
          <w:szCs w:val="28"/>
        </w:rPr>
        <w:t xml:space="preserve">日期：  </w:t>
      </w:r>
    </w:p>
    <w:p w14:paraId="24CB473C">
      <w:pPr>
        <w:pStyle w:val="86"/>
        <w:widowControl/>
        <w:ind w:right="2465" w:firstLine="420"/>
        <w:rPr>
          <w:rFonts w:ascii="仿宋" w:hAnsi="仿宋" w:eastAsia="仿宋"/>
          <w:color w:val="auto"/>
          <w:spacing w:val="14"/>
          <w:kern w:val="0"/>
          <w:sz w:val="28"/>
          <w:szCs w:val="28"/>
        </w:rPr>
      </w:pPr>
    </w:p>
    <w:p w14:paraId="40A30729">
      <w:pPr>
        <w:widowControl/>
        <w:ind w:firstLine="420"/>
        <w:rPr>
          <w:rFonts w:ascii="仿宋" w:hAnsi="仿宋" w:eastAsia="仿宋"/>
          <w:color w:val="000000"/>
          <w:spacing w:val="14"/>
          <w:sz w:val="30"/>
          <w:szCs w:val="30"/>
        </w:rPr>
      </w:pPr>
    </w:p>
    <w:p w14:paraId="23B44363">
      <w:pPr>
        <w:widowControl/>
        <w:jc w:val="left"/>
        <w:outlineLvl w:val="9"/>
        <w:rPr>
          <w:rFonts w:ascii="宋体" w:hAnsi="宋体" w:cs="宋体"/>
          <w:b/>
          <w:kern w:val="0"/>
          <w:sz w:val="28"/>
          <w:szCs w:val="24"/>
          <w:lang w:eastAsia="en-US"/>
        </w:rPr>
      </w:pPr>
      <w:r>
        <w:rPr>
          <w:rFonts w:ascii="Times New Roman" w:hAnsi="Times New Roman" w:eastAsia="Times New Roman"/>
          <w:kern w:val="0"/>
          <w:sz w:val="24"/>
          <w:szCs w:val="24"/>
          <w:lang w:eastAsia="en-US"/>
        </w:rPr>
        <w:br w:type="page"/>
      </w:r>
      <w:r>
        <w:rPr>
          <w:rFonts w:hint="eastAsia" w:ascii="仿宋" w:hAnsi="仿宋" w:eastAsia="仿宋" w:cs="仿宋"/>
          <w:b/>
          <w:kern w:val="0"/>
          <w:sz w:val="28"/>
          <w:szCs w:val="24"/>
          <w:lang w:eastAsia="en-US"/>
        </w:rPr>
        <w:t>附件1:投标函</w:t>
      </w:r>
    </w:p>
    <w:p w14:paraId="2F65E8E6">
      <w:pPr>
        <w:pStyle w:val="87"/>
        <w:ind w:firstLine="0"/>
        <w:jc w:val="center"/>
        <w:rPr>
          <w:rFonts w:ascii="仿宋" w:hAnsi="仿宋" w:eastAsia="仿宋"/>
          <w:color w:val="auto"/>
          <w:spacing w:val="14"/>
          <w:sz w:val="24"/>
          <w:szCs w:val="24"/>
        </w:rPr>
      </w:pPr>
      <w:r>
        <w:rPr>
          <w:rFonts w:hint="eastAsia" w:ascii="仿宋" w:hAnsi="仿宋" w:eastAsia="仿宋"/>
          <w:color w:val="auto"/>
          <w:spacing w:val="14"/>
          <w:sz w:val="24"/>
          <w:szCs w:val="24"/>
        </w:rPr>
        <w:t>响应函</w:t>
      </w:r>
    </w:p>
    <w:p w14:paraId="11370D77">
      <w:pPr>
        <w:pStyle w:val="87"/>
        <w:rPr>
          <w:rFonts w:hint="eastAsia" w:ascii="仿宋" w:hAnsi="仿宋" w:eastAsia="仿宋"/>
          <w:color w:val="auto"/>
          <w:spacing w:val="14"/>
          <w:sz w:val="24"/>
          <w:szCs w:val="24"/>
        </w:rPr>
      </w:pPr>
      <w:r>
        <w:rPr>
          <w:rFonts w:hint="eastAsia" w:ascii="仿宋" w:hAnsi="仿宋" w:eastAsia="仿宋"/>
          <w:color w:val="auto"/>
          <w:spacing w:val="14"/>
          <w:sz w:val="24"/>
          <w:szCs w:val="24"/>
        </w:rPr>
        <w:t>致：</w:t>
      </w:r>
      <w:r>
        <w:rPr>
          <w:rFonts w:hint="eastAsia" w:ascii="仿宋" w:hAnsi="仿宋" w:eastAsia="仿宋"/>
          <w:color w:val="auto"/>
          <w:spacing w:val="14"/>
          <w:sz w:val="24"/>
          <w:szCs w:val="24"/>
          <w:u w:val="single"/>
        </w:rPr>
        <w:t xml:space="preserve">      </w:t>
      </w:r>
      <w:r>
        <w:rPr>
          <w:rFonts w:hint="eastAsia" w:ascii="仿宋" w:hAnsi="仿宋" w:eastAsia="仿宋"/>
          <w:color w:val="auto"/>
          <w:spacing w:val="14"/>
          <w:sz w:val="24"/>
          <w:szCs w:val="24"/>
          <w:u w:val="single" w:color="000000"/>
        </w:rPr>
        <w:t xml:space="preserve">（采购人）       </w:t>
      </w:r>
    </w:p>
    <w:p w14:paraId="0AA4499C">
      <w:pPr>
        <w:pStyle w:val="87"/>
        <w:rPr>
          <w:rFonts w:hint="eastAsia" w:ascii="仿宋" w:hAnsi="仿宋" w:eastAsia="仿宋"/>
          <w:color w:val="auto"/>
          <w:spacing w:val="14"/>
          <w:sz w:val="24"/>
          <w:szCs w:val="24"/>
        </w:rPr>
      </w:pPr>
      <w:r>
        <w:rPr>
          <w:rFonts w:hint="eastAsia" w:ascii="仿宋" w:hAnsi="仿宋" w:eastAsia="仿宋"/>
          <w:color w:val="auto"/>
          <w:spacing w:val="14"/>
          <w:sz w:val="24"/>
          <w:szCs w:val="24"/>
        </w:rPr>
        <w:t>根据贵方项目编号为</w:t>
      </w:r>
      <w:r>
        <w:rPr>
          <w:rFonts w:hint="eastAsia" w:ascii="仿宋" w:hAnsi="仿宋" w:eastAsia="仿宋"/>
          <w:color w:val="auto"/>
          <w:spacing w:val="14"/>
          <w:sz w:val="24"/>
          <w:szCs w:val="24"/>
          <w:u w:val="single" w:color="000000"/>
        </w:rPr>
        <w:t xml:space="preserve">                </w:t>
      </w:r>
      <w:r>
        <w:rPr>
          <w:rFonts w:hint="eastAsia" w:ascii="仿宋" w:hAnsi="仿宋" w:eastAsia="仿宋"/>
          <w:color w:val="auto"/>
          <w:spacing w:val="14"/>
          <w:sz w:val="24"/>
          <w:szCs w:val="24"/>
        </w:rPr>
        <w:t>的采购公告，我方签字代表经正式授权并代表供应商提交响应文件及相关资料，并对之负法律责任。</w:t>
      </w:r>
    </w:p>
    <w:p w14:paraId="65899391">
      <w:pPr>
        <w:pStyle w:val="87"/>
        <w:rPr>
          <w:rFonts w:hint="eastAsia" w:ascii="仿宋" w:hAnsi="仿宋" w:eastAsia="仿宋"/>
          <w:color w:val="auto"/>
          <w:spacing w:val="14"/>
          <w:sz w:val="24"/>
          <w:szCs w:val="24"/>
        </w:rPr>
      </w:pPr>
      <w:r>
        <w:rPr>
          <w:rFonts w:hint="eastAsia" w:ascii="仿宋" w:hAnsi="仿宋" w:eastAsia="仿宋"/>
          <w:color w:val="auto"/>
          <w:spacing w:val="14"/>
          <w:sz w:val="24"/>
          <w:szCs w:val="24"/>
        </w:rPr>
        <w:t>据此函，签字代表宣布同意如下：</w:t>
      </w:r>
    </w:p>
    <w:p w14:paraId="1C9DBDF6">
      <w:pPr>
        <w:pStyle w:val="87"/>
        <w:rPr>
          <w:rFonts w:hint="eastAsia" w:ascii="仿宋" w:hAnsi="仿宋" w:eastAsia="仿宋"/>
          <w:color w:val="auto"/>
          <w:spacing w:val="14"/>
          <w:sz w:val="24"/>
          <w:szCs w:val="24"/>
        </w:rPr>
      </w:pPr>
      <w:r>
        <w:rPr>
          <w:rFonts w:hint="eastAsia" w:ascii="仿宋" w:hAnsi="仿宋" w:eastAsia="仿宋"/>
          <w:color w:val="auto"/>
          <w:spacing w:val="14"/>
          <w:sz w:val="24"/>
          <w:szCs w:val="24"/>
        </w:rPr>
        <w:t>1、依法依规、诚实守信、公平竞争参加本次采购活动。</w:t>
      </w:r>
    </w:p>
    <w:p w14:paraId="28AC1550">
      <w:pPr>
        <w:pStyle w:val="87"/>
        <w:rPr>
          <w:rFonts w:hint="eastAsia" w:ascii="仿宋" w:hAnsi="仿宋" w:eastAsia="仿宋"/>
          <w:color w:val="auto"/>
          <w:spacing w:val="14"/>
          <w:sz w:val="24"/>
          <w:szCs w:val="24"/>
        </w:rPr>
      </w:pPr>
      <w:r>
        <w:rPr>
          <w:rFonts w:hint="eastAsia" w:ascii="仿宋" w:hAnsi="仿宋" w:eastAsia="仿宋"/>
          <w:color w:val="auto"/>
          <w:spacing w:val="14"/>
          <w:sz w:val="24"/>
          <w:szCs w:val="24"/>
        </w:rPr>
        <w:t>2、我方保证响应文件中的所有资料均为真实、准确、完整、有效的，且不具有任何误导性，否则，我方承诺响应文件无效并自愿承担一切法律责任。</w:t>
      </w:r>
    </w:p>
    <w:p w14:paraId="2437899E">
      <w:pPr>
        <w:pStyle w:val="87"/>
        <w:rPr>
          <w:rFonts w:hint="eastAsia" w:ascii="仿宋" w:hAnsi="仿宋" w:eastAsia="仿宋"/>
          <w:color w:val="auto"/>
          <w:spacing w:val="14"/>
          <w:sz w:val="24"/>
          <w:szCs w:val="24"/>
        </w:rPr>
      </w:pPr>
      <w:r>
        <w:rPr>
          <w:rFonts w:hint="eastAsia" w:ascii="仿宋" w:hAnsi="仿宋" w:eastAsia="仿宋"/>
          <w:color w:val="auto"/>
          <w:spacing w:val="14"/>
          <w:sz w:val="24"/>
          <w:szCs w:val="24"/>
        </w:rPr>
        <w:t>3、我方的报价详见报价一览表。</w:t>
      </w:r>
    </w:p>
    <w:p w14:paraId="607B1E43">
      <w:pPr>
        <w:pStyle w:val="87"/>
        <w:rPr>
          <w:rFonts w:hint="eastAsia" w:ascii="仿宋" w:hAnsi="仿宋" w:eastAsia="仿宋"/>
          <w:color w:val="auto"/>
          <w:spacing w:val="14"/>
          <w:sz w:val="24"/>
          <w:szCs w:val="24"/>
        </w:rPr>
      </w:pPr>
      <w:r>
        <w:rPr>
          <w:rFonts w:hint="eastAsia" w:ascii="仿宋" w:hAnsi="仿宋" w:eastAsia="仿宋"/>
          <w:color w:val="auto"/>
          <w:spacing w:val="14"/>
          <w:sz w:val="24"/>
          <w:szCs w:val="24"/>
        </w:rPr>
        <w:t>4、我方承诺除服务要求响应与偏差表、商务要求响应与偏差表列出的偏差外，我方响应磋商文件的全部要求。</w:t>
      </w:r>
    </w:p>
    <w:p w14:paraId="35FE9C9A">
      <w:pPr>
        <w:pStyle w:val="87"/>
        <w:rPr>
          <w:rFonts w:hint="eastAsia" w:ascii="仿宋" w:hAnsi="仿宋" w:eastAsia="仿宋"/>
          <w:color w:val="auto"/>
          <w:spacing w:val="14"/>
          <w:sz w:val="24"/>
          <w:szCs w:val="24"/>
        </w:rPr>
      </w:pPr>
      <w:r>
        <w:rPr>
          <w:rFonts w:hint="eastAsia" w:ascii="仿宋" w:hAnsi="仿宋" w:eastAsia="仿宋"/>
          <w:color w:val="auto"/>
          <w:spacing w:val="14"/>
          <w:sz w:val="24"/>
          <w:szCs w:val="24"/>
        </w:rPr>
        <w:t>5、我方愿遵守《中华人民共和国政府采购法》及相关的政府采购法律法规，按《中华人民共和国民法典》履行我方的全部责任。</w:t>
      </w:r>
    </w:p>
    <w:p w14:paraId="78213897">
      <w:pPr>
        <w:pStyle w:val="87"/>
        <w:rPr>
          <w:rFonts w:hint="eastAsia" w:ascii="仿宋" w:hAnsi="仿宋" w:eastAsia="仿宋"/>
          <w:color w:val="auto"/>
          <w:spacing w:val="14"/>
          <w:kern w:val="2"/>
          <w:sz w:val="24"/>
          <w:szCs w:val="24"/>
        </w:rPr>
      </w:pPr>
      <w:r>
        <w:rPr>
          <w:rFonts w:hint="eastAsia" w:ascii="仿宋" w:hAnsi="仿宋" w:eastAsia="仿宋"/>
          <w:color w:val="auto"/>
          <w:spacing w:val="14"/>
          <w:kern w:val="2"/>
          <w:sz w:val="24"/>
          <w:szCs w:val="24"/>
        </w:rPr>
        <w:t>6、我方已认真仔细研究磋商文件全部内容，包括修改文件以及全部参考资料和有关附件。我们完全理解并同意放弃对这方面有不明及误解的权力。</w:t>
      </w:r>
    </w:p>
    <w:p w14:paraId="36BA95D2">
      <w:pPr>
        <w:pStyle w:val="87"/>
        <w:rPr>
          <w:rFonts w:hint="eastAsia" w:ascii="仿宋" w:hAnsi="仿宋" w:eastAsia="仿宋"/>
          <w:color w:val="auto"/>
          <w:spacing w:val="14"/>
          <w:sz w:val="24"/>
          <w:szCs w:val="24"/>
        </w:rPr>
      </w:pPr>
      <w:r>
        <w:rPr>
          <w:rFonts w:hint="eastAsia" w:ascii="仿宋" w:hAnsi="仿宋" w:eastAsia="仿宋"/>
          <w:color w:val="auto"/>
          <w:spacing w:val="14"/>
          <w:sz w:val="24"/>
          <w:szCs w:val="24"/>
        </w:rPr>
        <w:t>7、我方承诺响应文件有效期为提交响应文件截止时间后90天，并在磋商文件规定的有效期内不撤销响应文件。</w:t>
      </w:r>
    </w:p>
    <w:p w14:paraId="57CD4A9A">
      <w:pPr>
        <w:pStyle w:val="87"/>
        <w:rPr>
          <w:rFonts w:hint="eastAsia" w:ascii="仿宋" w:hAnsi="仿宋" w:eastAsia="仿宋"/>
          <w:color w:val="auto"/>
          <w:spacing w:val="14"/>
          <w:sz w:val="24"/>
          <w:szCs w:val="24"/>
        </w:rPr>
      </w:pPr>
      <w:r>
        <w:rPr>
          <w:rFonts w:hint="eastAsia" w:ascii="仿宋" w:hAnsi="仿宋" w:eastAsia="仿宋"/>
          <w:color w:val="auto"/>
          <w:spacing w:val="14"/>
          <w:sz w:val="24"/>
          <w:szCs w:val="24"/>
        </w:rPr>
        <w:t>8、如果我方的行为符合本磋商文件规定的磋商保证金不予退还情形的，我方同意不退还我方提交的磋商保证金。</w:t>
      </w:r>
    </w:p>
    <w:p w14:paraId="1051001E">
      <w:pPr>
        <w:pStyle w:val="87"/>
        <w:rPr>
          <w:rFonts w:hint="eastAsia" w:ascii="仿宋" w:hAnsi="仿宋" w:eastAsia="仿宋"/>
          <w:color w:val="auto"/>
          <w:spacing w:val="14"/>
          <w:sz w:val="24"/>
          <w:szCs w:val="24"/>
        </w:rPr>
      </w:pPr>
      <w:r>
        <w:rPr>
          <w:rFonts w:hint="eastAsia" w:ascii="仿宋" w:hAnsi="仿宋" w:eastAsia="仿宋"/>
          <w:color w:val="auto"/>
          <w:spacing w:val="14"/>
          <w:sz w:val="24"/>
          <w:szCs w:val="24"/>
        </w:rPr>
        <w:t>9、我方同意按照贵方的要求提供与采购活动有关的一切数据或资料，理解贵方不一定接受最低报价的响应文件或收到的任何响应文件。</w:t>
      </w:r>
    </w:p>
    <w:p w14:paraId="54C27DE6">
      <w:pPr>
        <w:pStyle w:val="87"/>
        <w:rPr>
          <w:rFonts w:hint="eastAsia" w:ascii="仿宋" w:hAnsi="仿宋" w:eastAsia="仿宋"/>
          <w:color w:val="auto"/>
          <w:spacing w:val="14"/>
          <w:sz w:val="24"/>
          <w:szCs w:val="24"/>
        </w:rPr>
      </w:pPr>
      <w:r>
        <w:rPr>
          <w:rFonts w:hint="eastAsia" w:ascii="仿宋" w:hAnsi="仿宋" w:eastAsia="仿宋"/>
          <w:color w:val="auto"/>
          <w:spacing w:val="14"/>
          <w:sz w:val="24"/>
          <w:szCs w:val="24"/>
        </w:rPr>
        <w:t>10、我方在此声明，所提交的响应文件及有关资料内容完整、真实和准确，且不存在第二章“供应商须知”第 1.4.3 项规定的任何一种情形。</w:t>
      </w:r>
    </w:p>
    <w:p w14:paraId="476E9B50">
      <w:pPr>
        <w:pStyle w:val="87"/>
        <w:rPr>
          <w:rFonts w:hint="eastAsia" w:ascii="仿宋" w:hAnsi="仿宋" w:eastAsia="仿宋"/>
          <w:bCs/>
          <w:color w:val="auto"/>
          <w:spacing w:val="14"/>
          <w:sz w:val="24"/>
          <w:szCs w:val="24"/>
        </w:rPr>
      </w:pPr>
      <w:r>
        <w:rPr>
          <w:rFonts w:hint="eastAsia" w:ascii="仿宋" w:hAnsi="仿宋" w:eastAsia="仿宋"/>
          <w:bCs/>
          <w:color w:val="auto"/>
          <w:spacing w:val="14"/>
          <w:sz w:val="24"/>
          <w:szCs w:val="24"/>
        </w:rPr>
        <w:t>11、如果我方被确定为成交供应商，我方愿意按磋商文件的规定交纳履约保证金。我方如无不可抗力，放弃成交资格，或者未履行磋商文件、响应文件和合同条款的，一经查实，我方愿意赔偿由此而造成的一切损失，并同意接受按相关法律法规和磋商文件的相关要求对我方进行的处罚。</w:t>
      </w:r>
    </w:p>
    <w:p w14:paraId="60543FB1">
      <w:pPr>
        <w:pStyle w:val="87"/>
        <w:rPr>
          <w:rFonts w:hint="eastAsia" w:ascii="仿宋" w:hAnsi="仿宋" w:eastAsia="仿宋"/>
          <w:bCs/>
          <w:color w:val="auto"/>
          <w:spacing w:val="14"/>
          <w:sz w:val="24"/>
          <w:szCs w:val="24"/>
        </w:rPr>
      </w:pPr>
      <w:r>
        <w:rPr>
          <w:rFonts w:hint="eastAsia" w:ascii="仿宋" w:hAnsi="仿宋" w:eastAsia="仿宋"/>
          <w:bCs/>
          <w:color w:val="auto"/>
          <w:spacing w:val="14"/>
          <w:sz w:val="24"/>
          <w:szCs w:val="24"/>
        </w:rPr>
        <w:t>12、采购人若需追加采购本项目磋商文件所列货物及相关伴随服务的，在不改变合同其他实质性条款的前提下，我方将按相同或更优惠的折扣率保证供货。</w:t>
      </w:r>
    </w:p>
    <w:p w14:paraId="06C3F6C8">
      <w:pPr>
        <w:pStyle w:val="87"/>
        <w:rPr>
          <w:rFonts w:hint="eastAsia" w:ascii="仿宋" w:hAnsi="仿宋" w:eastAsia="仿宋"/>
          <w:bCs/>
          <w:color w:val="auto"/>
          <w:spacing w:val="14"/>
          <w:sz w:val="24"/>
          <w:szCs w:val="24"/>
        </w:rPr>
      </w:pPr>
      <w:r>
        <w:rPr>
          <w:rFonts w:hint="eastAsia" w:ascii="仿宋" w:hAnsi="仿宋" w:eastAsia="仿宋"/>
          <w:bCs/>
          <w:color w:val="auto"/>
          <w:spacing w:val="14"/>
          <w:sz w:val="24"/>
          <w:szCs w:val="24"/>
        </w:rPr>
        <w:t>13、我公司保证所报产品来自合法的供货渠道，若成交，则有义务向采购人提供其要求的有效书面证明资料。如果提供非法渠道的商品，视为欺诈，并承担相关责任。</w:t>
      </w:r>
    </w:p>
    <w:p w14:paraId="7DCD04BF">
      <w:pPr>
        <w:pStyle w:val="87"/>
        <w:rPr>
          <w:rFonts w:hint="eastAsia" w:ascii="仿宋" w:hAnsi="仿宋" w:eastAsia="仿宋"/>
          <w:bCs/>
          <w:color w:val="auto"/>
          <w:spacing w:val="14"/>
          <w:sz w:val="24"/>
          <w:szCs w:val="24"/>
        </w:rPr>
      </w:pPr>
      <w:r>
        <w:rPr>
          <w:rFonts w:hint="eastAsia" w:ascii="仿宋" w:hAnsi="仿宋" w:eastAsia="仿宋"/>
          <w:bCs/>
          <w:color w:val="auto"/>
          <w:spacing w:val="14"/>
          <w:sz w:val="24"/>
          <w:szCs w:val="24"/>
        </w:rPr>
        <w:t>14、我方决不提供虚假资料谋取成交，决不采取不正当手段诋毁、排挤其他供应商，决不与采购人、采购代理机构或者其它供应商恶意串通，决不向采购人、代理机构工作人员和评委进行商业贿赂，决不拒绝相关监管部门的监督检查，不向相关监管部门提供虚假情况，如有违反政府采购法律法规的行为，无条件接受贵方及相关监管部门的依法依规处罚。</w:t>
      </w:r>
    </w:p>
    <w:p w14:paraId="76CFFD48">
      <w:pPr>
        <w:pStyle w:val="87"/>
        <w:rPr>
          <w:rFonts w:hint="eastAsia" w:ascii="仿宋" w:hAnsi="仿宋" w:eastAsia="仿宋"/>
          <w:color w:val="auto"/>
          <w:spacing w:val="14"/>
          <w:sz w:val="24"/>
          <w:szCs w:val="24"/>
        </w:rPr>
      </w:pPr>
      <w:r>
        <w:rPr>
          <w:rFonts w:hint="eastAsia" w:ascii="仿宋" w:hAnsi="仿宋" w:eastAsia="仿宋"/>
          <w:color w:val="auto"/>
          <w:spacing w:val="14"/>
          <w:sz w:val="24"/>
          <w:szCs w:val="24"/>
        </w:rPr>
        <w:t>15、与本采购活动有关的一切正式函件往来请寄：</w:t>
      </w:r>
    </w:p>
    <w:p w14:paraId="3BE76C2E">
      <w:pPr>
        <w:pStyle w:val="87"/>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    地址：                邮政编码：</w:t>
      </w:r>
    </w:p>
    <w:p w14:paraId="05CD4B70">
      <w:pPr>
        <w:pStyle w:val="87"/>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    电话：                传真：             电子信箱：</w:t>
      </w:r>
    </w:p>
    <w:p w14:paraId="68263780">
      <w:pPr>
        <w:pStyle w:val="87"/>
        <w:ind w:firstLine="0"/>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 </w:t>
      </w:r>
    </w:p>
    <w:p w14:paraId="5D4F929F">
      <w:pPr>
        <w:pStyle w:val="87"/>
        <w:ind w:firstLine="0"/>
        <w:rPr>
          <w:rFonts w:hint="eastAsia" w:ascii="仿宋" w:hAnsi="仿宋" w:eastAsia="仿宋"/>
          <w:color w:val="auto"/>
          <w:spacing w:val="14"/>
          <w:sz w:val="24"/>
          <w:szCs w:val="24"/>
        </w:rPr>
      </w:pPr>
      <w:r>
        <w:rPr>
          <w:rFonts w:hint="eastAsia" w:ascii="仿宋" w:hAnsi="仿宋" w:eastAsia="仿宋"/>
          <w:color w:val="auto"/>
          <w:spacing w:val="14"/>
          <w:sz w:val="24"/>
          <w:szCs w:val="24"/>
        </w:rPr>
        <w:t>供应商（企业电子章）：</w:t>
      </w:r>
    </w:p>
    <w:p w14:paraId="3126A9B7">
      <w:pPr>
        <w:pStyle w:val="87"/>
        <w:ind w:firstLine="0"/>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 </w:t>
      </w:r>
    </w:p>
    <w:p w14:paraId="5435B2FF">
      <w:pPr>
        <w:pStyle w:val="87"/>
        <w:ind w:firstLine="0"/>
        <w:rPr>
          <w:rFonts w:hint="eastAsia" w:ascii="仿宋" w:hAnsi="仿宋" w:eastAsia="仿宋"/>
          <w:color w:val="auto"/>
          <w:spacing w:val="14"/>
          <w:sz w:val="24"/>
          <w:szCs w:val="24"/>
        </w:rPr>
      </w:pPr>
      <w:r>
        <w:rPr>
          <w:rFonts w:hint="eastAsia" w:ascii="仿宋" w:hAnsi="仿宋" w:eastAsia="仿宋"/>
          <w:color w:val="auto"/>
          <w:spacing w:val="14"/>
          <w:sz w:val="24"/>
          <w:szCs w:val="24"/>
        </w:rPr>
        <w:t>法定代表人（签字或电子签章）：</w:t>
      </w:r>
    </w:p>
    <w:p w14:paraId="37905C91">
      <w:pPr>
        <w:pStyle w:val="87"/>
        <w:ind w:firstLine="0"/>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 </w:t>
      </w:r>
    </w:p>
    <w:p w14:paraId="3D473018">
      <w:pPr>
        <w:pStyle w:val="87"/>
        <w:ind w:firstLine="0"/>
        <w:rPr>
          <w:rFonts w:hint="eastAsia" w:ascii="仿宋" w:hAnsi="仿宋" w:eastAsia="仿宋"/>
          <w:color w:val="auto"/>
          <w:spacing w:val="14"/>
          <w:sz w:val="24"/>
          <w:szCs w:val="24"/>
        </w:rPr>
      </w:pPr>
      <w:r>
        <w:rPr>
          <w:rFonts w:hint="eastAsia" w:ascii="仿宋" w:hAnsi="仿宋" w:eastAsia="仿宋"/>
          <w:color w:val="auto"/>
          <w:spacing w:val="14"/>
          <w:sz w:val="24"/>
          <w:szCs w:val="24"/>
        </w:rPr>
        <w:t>日期：</w:t>
      </w:r>
    </w:p>
    <w:p w14:paraId="19D1DA3B">
      <w:pPr>
        <w:pStyle w:val="87"/>
        <w:rPr>
          <w:rFonts w:hint="eastAsia" w:ascii="仿宋" w:hAnsi="仿宋" w:eastAsia="仿宋"/>
          <w:color w:val="auto"/>
          <w:spacing w:val="14"/>
          <w:sz w:val="24"/>
          <w:szCs w:val="24"/>
        </w:rPr>
      </w:pPr>
      <w:r>
        <w:rPr>
          <w:rFonts w:hint="eastAsia" w:ascii="仿宋" w:hAnsi="仿宋" w:eastAsia="仿宋"/>
          <w:color w:val="auto"/>
          <w:spacing w:val="14"/>
          <w:sz w:val="24"/>
          <w:szCs w:val="24"/>
        </w:rPr>
        <w:t>本供应商承诺：以上地址等信息为邮寄函件的真实有效准确信息，收件人为法定代表人或供应商代表。如我方对往来函件拒收，邮寄方可视为已送达，由此造成的一切后果由本供应商承担。</w:t>
      </w:r>
    </w:p>
    <w:p w14:paraId="73C95395">
      <w:pPr>
        <w:pStyle w:val="87"/>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 </w:t>
      </w:r>
    </w:p>
    <w:p w14:paraId="39AE388D">
      <w:pPr>
        <w:pStyle w:val="89"/>
        <w:spacing w:line="360" w:lineRule="auto"/>
        <w:ind w:left="360"/>
        <w:jc w:val="left"/>
        <w:rPr>
          <w:rFonts w:ascii="Times New Roman" w:hAnsi="Times New Roman"/>
          <w:color w:val="auto"/>
          <w:sz w:val="24"/>
          <w:szCs w:val="24"/>
        </w:rPr>
      </w:pPr>
      <w:r>
        <w:rPr>
          <w:rFonts w:hint="eastAsia" w:ascii="仿宋" w:hAnsi="仿宋" w:eastAsia="仿宋"/>
          <w:color w:val="auto"/>
          <w:spacing w:val="14"/>
          <w:sz w:val="24"/>
          <w:szCs w:val="24"/>
        </w:rPr>
        <w:t>注：除可填报内容外，对本响应函内容的任何实质性修改将被视为非实质性响应，从而导致该响应文件被拒绝。</w:t>
      </w:r>
    </w:p>
    <w:p w14:paraId="24DBE802">
      <w:pPr>
        <w:widowControl/>
        <w:jc w:val="left"/>
        <w:outlineLvl w:val="9"/>
        <w:rPr>
          <w:rFonts w:ascii="宋体" w:hAnsi="宋体" w:cs="宋体"/>
          <w:b/>
          <w:kern w:val="0"/>
          <w:sz w:val="28"/>
          <w:szCs w:val="24"/>
          <w:lang w:eastAsia="en-US"/>
        </w:rPr>
      </w:pPr>
      <w:r>
        <w:rPr>
          <w:rFonts w:ascii="Times New Roman" w:hAnsi="Times New Roman" w:eastAsia="Times New Roman"/>
          <w:kern w:val="0"/>
          <w:sz w:val="24"/>
          <w:szCs w:val="24"/>
          <w:lang w:eastAsia="en-US"/>
        </w:rPr>
        <w:br w:type="page"/>
      </w:r>
      <w:r>
        <w:rPr>
          <w:rFonts w:hint="eastAsia" w:ascii="仿宋" w:hAnsi="仿宋" w:eastAsia="仿宋" w:cs="仿宋"/>
          <w:b/>
          <w:kern w:val="0"/>
          <w:sz w:val="28"/>
          <w:szCs w:val="24"/>
          <w:lang w:eastAsia="en-US"/>
        </w:rPr>
        <w:t>附件2:法定代表人授权书</w:t>
      </w:r>
    </w:p>
    <w:p w14:paraId="58E6140E">
      <w:pPr>
        <w:pStyle w:val="90"/>
        <w:ind w:firstLine="0"/>
        <w:jc w:val="center"/>
        <w:rPr>
          <w:rFonts w:ascii="仿宋" w:hAnsi="仿宋" w:eastAsia="仿宋"/>
          <w:color w:val="auto"/>
          <w:spacing w:val="14"/>
          <w:sz w:val="24"/>
          <w:szCs w:val="24"/>
        </w:rPr>
      </w:pPr>
      <w:r>
        <w:rPr>
          <w:rFonts w:hint="eastAsia" w:ascii="仿宋" w:hAnsi="仿宋" w:eastAsia="仿宋"/>
          <w:color w:val="auto"/>
          <w:spacing w:val="14"/>
          <w:sz w:val="24"/>
          <w:szCs w:val="24"/>
        </w:rPr>
        <w:t>法定代表人授权书</w:t>
      </w:r>
    </w:p>
    <w:p w14:paraId="79124926">
      <w:pPr>
        <w:pStyle w:val="90"/>
        <w:rPr>
          <w:rFonts w:hint="eastAsia" w:ascii="仿宋" w:hAnsi="仿宋" w:eastAsia="仿宋"/>
          <w:color w:val="auto"/>
          <w:spacing w:val="14"/>
          <w:sz w:val="24"/>
          <w:szCs w:val="24"/>
        </w:rPr>
      </w:pPr>
      <w:r>
        <w:rPr>
          <w:rFonts w:hint="eastAsia" w:ascii="仿宋" w:hAnsi="仿宋" w:eastAsia="仿宋"/>
          <w:color w:val="auto"/>
          <w:spacing w:val="14"/>
          <w:sz w:val="24"/>
          <w:szCs w:val="24"/>
        </w:rPr>
        <w:t>本人</w:t>
      </w:r>
      <w:r>
        <w:rPr>
          <w:rFonts w:hint="eastAsia" w:ascii="仿宋" w:hAnsi="仿宋" w:eastAsia="仿宋"/>
          <w:color w:val="auto"/>
          <w:spacing w:val="14"/>
          <w:sz w:val="24"/>
          <w:szCs w:val="24"/>
          <w:u w:val="single"/>
        </w:rPr>
        <w:t xml:space="preserve">         </w:t>
      </w:r>
      <w:r>
        <w:rPr>
          <w:rFonts w:hint="eastAsia" w:ascii="仿宋" w:hAnsi="仿宋" w:eastAsia="仿宋"/>
          <w:color w:val="auto"/>
          <w:spacing w:val="14"/>
          <w:sz w:val="24"/>
          <w:szCs w:val="24"/>
        </w:rPr>
        <w:t>（姓名）系</w:t>
      </w:r>
      <w:r>
        <w:rPr>
          <w:rFonts w:hint="eastAsia" w:ascii="仿宋" w:hAnsi="仿宋" w:eastAsia="仿宋"/>
          <w:color w:val="auto"/>
          <w:spacing w:val="14"/>
          <w:sz w:val="24"/>
          <w:szCs w:val="24"/>
          <w:u w:val="single"/>
        </w:rPr>
        <w:t xml:space="preserve">            </w:t>
      </w:r>
      <w:r>
        <w:rPr>
          <w:rFonts w:hint="eastAsia" w:ascii="仿宋" w:hAnsi="仿宋" w:eastAsia="仿宋"/>
          <w:color w:val="auto"/>
          <w:spacing w:val="14"/>
          <w:sz w:val="24"/>
          <w:szCs w:val="24"/>
        </w:rPr>
        <w:t>（供应商名称）的法定代表人，现授权委托本单位在职员工</w:t>
      </w:r>
      <w:r>
        <w:rPr>
          <w:rFonts w:hint="eastAsia" w:ascii="仿宋" w:hAnsi="仿宋" w:eastAsia="仿宋"/>
          <w:color w:val="auto"/>
          <w:spacing w:val="14"/>
          <w:sz w:val="24"/>
          <w:szCs w:val="24"/>
          <w:u w:val="single"/>
        </w:rPr>
        <w:t xml:space="preserve">       </w:t>
      </w:r>
      <w:r>
        <w:rPr>
          <w:rFonts w:hint="eastAsia" w:ascii="仿宋" w:hAnsi="仿宋" w:eastAsia="仿宋"/>
          <w:color w:val="auto"/>
          <w:spacing w:val="14"/>
          <w:sz w:val="24"/>
          <w:szCs w:val="24"/>
        </w:rPr>
        <w:t>（姓名，职务）（身份证号码：</w:t>
      </w:r>
      <w:r>
        <w:rPr>
          <w:rFonts w:hint="eastAsia" w:ascii="仿宋" w:hAnsi="仿宋" w:eastAsia="仿宋"/>
          <w:color w:val="auto"/>
          <w:spacing w:val="14"/>
          <w:sz w:val="24"/>
          <w:szCs w:val="24"/>
          <w:u w:val="single"/>
        </w:rPr>
        <w:t xml:space="preserve">             </w:t>
      </w:r>
      <w:r>
        <w:rPr>
          <w:rFonts w:hint="eastAsia" w:ascii="仿宋" w:hAnsi="仿宋" w:eastAsia="仿宋"/>
          <w:color w:val="auto"/>
          <w:spacing w:val="14"/>
          <w:sz w:val="24"/>
          <w:szCs w:val="24"/>
        </w:rPr>
        <w:t>、手机号码：</w:t>
      </w:r>
      <w:r>
        <w:rPr>
          <w:rFonts w:hint="eastAsia" w:ascii="仿宋" w:hAnsi="仿宋" w:eastAsia="仿宋"/>
          <w:color w:val="auto"/>
          <w:spacing w:val="14"/>
          <w:sz w:val="24"/>
          <w:szCs w:val="24"/>
          <w:u w:val="single"/>
        </w:rPr>
        <w:t xml:space="preserve">           </w:t>
      </w:r>
      <w:r>
        <w:rPr>
          <w:rFonts w:hint="eastAsia" w:ascii="仿宋" w:hAnsi="仿宋" w:eastAsia="仿宋"/>
          <w:color w:val="auto"/>
          <w:spacing w:val="14"/>
          <w:sz w:val="24"/>
          <w:szCs w:val="24"/>
        </w:rPr>
        <w:t>）作为供应商代表以我方的名义参加贵单位组织的</w:t>
      </w:r>
      <w:r>
        <w:rPr>
          <w:rFonts w:hint="eastAsia" w:ascii="仿宋" w:hAnsi="仿宋" w:eastAsia="仿宋"/>
          <w:color w:val="auto"/>
          <w:spacing w:val="14"/>
          <w:sz w:val="24"/>
          <w:szCs w:val="24"/>
          <w:u w:val="single"/>
        </w:rPr>
        <w:t xml:space="preserve">                  </w:t>
      </w:r>
      <w:r>
        <w:rPr>
          <w:rFonts w:hint="eastAsia" w:ascii="仿宋" w:hAnsi="仿宋" w:eastAsia="仿宋"/>
          <w:color w:val="auto"/>
          <w:spacing w:val="14"/>
          <w:sz w:val="24"/>
          <w:szCs w:val="24"/>
        </w:rPr>
        <w:t>项目（项目编号：</w:t>
      </w:r>
      <w:r>
        <w:rPr>
          <w:rFonts w:hint="eastAsia" w:ascii="仿宋" w:hAnsi="仿宋" w:eastAsia="仿宋"/>
          <w:color w:val="auto"/>
          <w:spacing w:val="14"/>
          <w:sz w:val="24"/>
          <w:szCs w:val="24"/>
          <w:u w:val="single"/>
        </w:rPr>
        <w:t xml:space="preserve">           </w:t>
      </w:r>
      <w:r>
        <w:rPr>
          <w:rFonts w:hint="eastAsia" w:ascii="仿宋" w:hAnsi="仿宋" w:eastAsia="仿宋"/>
          <w:color w:val="auto"/>
          <w:spacing w:val="14"/>
          <w:sz w:val="24"/>
          <w:szCs w:val="24"/>
        </w:rPr>
        <w:t>）的采购活动，并代表我方全权处理一切与之有关的具体事务和签署相关文件，我均予以承认。</w:t>
      </w:r>
    </w:p>
    <w:p w14:paraId="6AE8672F">
      <w:pPr>
        <w:pStyle w:val="90"/>
        <w:rPr>
          <w:rFonts w:hint="eastAsia" w:ascii="仿宋" w:hAnsi="仿宋" w:eastAsia="仿宋"/>
          <w:color w:val="auto"/>
          <w:spacing w:val="14"/>
          <w:sz w:val="24"/>
          <w:szCs w:val="24"/>
        </w:rPr>
      </w:pPr>
      <w:r>
        <w:rPr>
          <w:rFonts w:hint="eastAsia" w:ascii="仿宋" w:hAnsi="仿宋" w:eastAsia="仿宋"/>
          <w:color w:val="auto"/>
          <w:spacing w:val="14"/>
          <w:sz w:val="24"/>
          <w:szCs w:val="24"/>
        </w:rPr>
        <w:t>代理人无权转让委托权。</w:t>
      </w:r>
    </w:p>
    <w:p w14:paraId="2DDAD1C9">
      <w:pPr>
        <w:pStyle w:val="90"/>
        <w:rPr>
          <w:rFonts w:hint="eastAsia" w:ascii="仿宋" w:hAnsi="仿宋" w:eastAsia="仿宋"/>
          <w:color w:val="auto"/>
          <w:spacing w:val="14"/>
          <w:sz w:val="24"/>
          <w:szCs w:val="24"/>
        </w:rPr>
      </w:pPr>
      <w:r>
        <w:rPr>
          <w:rFonts w:hint="eastAsia" w:ascii="仿宋" w:hAnsi="仿宋" w:eastAsia="仿宋"/>
          <w:color w:val="auto"/>
          <w:spacing w:val="14"/>
          <w:sz w:val="24"/>
          <w:szCs w:val="24"/>
        </w:rPr>
        <w:t>本授权书至响应文件有效期结束前始终有效。</w:t>
      </w:r>
    </w:p>
    <w:p w14:paraId="0DF751B8">
      <w:pPr>
        <w:pStyle w:val="90"/>
        <w:rPr>
          <w:rFonts w:hint="eastAsia" w:ascii="仿宋" w:hAnsi="仿宋" w:eastAsia="仿宋"/>
          <w:color w:val="auto"/>
          <w:spacing w:val="14"/>
          <w:sz w:val="24"/>
          <w:szCs w:val="24"/>
        </w:rPr>
      </w:pPr>
      <w:r>
        <w:rPr>
          <w:rFonts w:hint="eastAsia" w:ascii="仿宋" w:hAnsi="仿宋" w:eastAsia="仿宋"/>
          <w:color w:val="auto"/>
          <w:spacing w:val="14"/>
          <w:sz w:val="24"/>
          <w:szCs w:val="24"/>
        </w:rPr>
        <w:t>特此声明。</w:t>
      </w:r>
    </w:p>
    <w:p w14:paraId="02A69B23">
      <w:pPr>
        <w:pStyle w:val="90"/>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 </w:t>
      </w:r>
    </w:p>
    <w:p w14:paraId="1DE44C8C">
      <w:pPr>
        <w:pStyle w:val="90"/>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 </w:t>
      </w:r>
    </w:p>
    <w:p w14:paraId="6CE19A33">
      <w:pPr>
        <w:pStyle w:val="90"/>
        <w:rPr>
          <w:rFonts w:hint="eastAsia" w:ascii="仿宋" w:hAnsi="仿宋" w:eastAsia="仿宋"/>
          <w:color w:val="auto"/>
          <w:spacing w:val="14"/>
          <w:sz w:val="24"/>
          <w:szCs w:val="24"/>
        </w:rPr>
      </w:pPr>
      <w:r>
        <w:rPr>
          <w:rFonts w:hint="eastAsia" w:ascii="仿宋" w:hAnsi="仿宋" w:eastAsia="仿宋"/>
          <w:color w:val="auto"/>
          <w:spacing w:val="14"/>
          <w:sz w:val="24"/>
          <w:szCs w:val="24"/>
        </w:rPr>
        <w:t>供应商（企业电子章）：</w:t>
      </w:r>
    </w:p>
    <w:p w14:paraId="19EC70A9">
      <w:pPr>
        <w:pStyle w:val="90"/>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 </w:t>
      </w:r>
    </w:p>
    <w:p w14:paraId="6C935057">
      <w:pPr>
        <w:pStyle w:val="90"/>
        <w:rPr>
          <w:rFonts w:hint="eastAsia" w:ascii="仿宋" w:hAnsi="仿宋" w:eastAsia="仿宋"/>
          <w:color w:val="auto"/>
          <w:spacing w:val="14"/>
          <w:sz w:val="24"/>
          <w:szCs w:val="24"/>
        </w:rPr>
      </w:pPr>
      <w:r>
        <w:rPr>
          <w:rFonts w:hint="eastAsia" w:ascii="仿宋" w:hAnsi="仿宋" w:eastAsia="仿宋"/>
          <w:color w:val="auto"/>
          <w:spacing w:val="14"/>
          <w:sz w:val="24"/>
          <w:szCs w:val="24"/>
        </w:rPr>
        <w:t>法定代表人（签字或电子签章）：</w:t>
      </w:r>
    </w:p>
    <w:p w14:paraId="604B2EEE">
      <w:pPr>
        <w:pStyle w:val="90"/>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 </w:t>
      </w:r>
    </w:p>
    <w:p w14:paraId="5910BF47">
      <w:pPr>
        <w:pStyle w:val="90"/>
        <w:rPr>
          <w:rFonts w:hint="eastAsia" w:ascii="仿宋" w:hAnsi="仿宋" w:eastAsia="仿宋"/>
          <w:color w:val="auto"/>
          <w:sz w:val="24"/>
          <w:szCs w:val="24"/>
        </w:rPr>
      </w:pPr>
      <w:r>
        <w:rPr>
          <w:rFonts w:hint="eastAsia" w:ascii="仿宋" w:hAnsi="仿宋" w:eastAsia="仿宋"/>
          <w:color w:val="auto"/>
          <w:spacing w:val="14"/>
          <w:sz w:val="24"/>
          <w:szCs w:val="24"/>
        </w:rPr>
        <w:t>日期：</w:t>
      </w:r>
    </w:p>
    <w:p w14:paraId="041493B4">
      <w:pPr>
        <w:widowControl/>
        <w:jc w:val="left"/>
        <w:outlineLvl w:val="9"/>
        <w:rPr>
          <w:rFonts w:ascii="宋体" w:hAnsi="宋体" w:cs="宋体"/>
          <w:b/>
          <w:kern w:val="0"/>
          <w:sz w:val="28"/>
          <w:szCs w:val="24"/>
          <w:lang w:eastAsia="en-US"/>
        </w:rPr>
      </w:pPr>
      <w:r>
        <w:rPr>
          <w:rFonts w:ascii="Times New Roman" w:hAnsi="Times New Roman" w:eastAsia="Times New Roman"/>
          <w:kern w:val="0"/>
          <w:sz w:val="24"/>
          <w:szCs w:val="24"/>
          <w:lang w:eastAsia="en-US"/>
        </w:rPr>
        <w:br w:type="page"/>
      </w:r>
      <w:r>
        <w:rPr>
          <w:rFonts w:hint="eastAsia" w:ascii="仿宋" w:hAnsi="仿宋" w:eastAsia="仿宋" w:cs="仿宋"/>
          <w:b/>
          <w:kern w:val="0"/>
          <w:sz w:val="28"/>
          <w:szCs w:val="24"/>
          <w:lang w:eastAsia="en-US"/>
        </w:rPr>
        <w:t>附件3:法人被授权人身份证扫描件</w:t>
      </w:r>
    </w:p>
    <w:p w14:paraId="5BAB5989">
      <w:pPr>
        <w:widowControl/>
        <w:ind w:firstLine="0"/>
        <w:jc w:val="center"/>
        <w:rPr>
          <w:rFonts w:ascii="仿宋" w:hAnsi="仿宋" w:eastAsia="仿宋" w:cs="黑体"/>
          <w:color w:val="000000"/>
          <w:spacing w:val="14"/>
          <w:sz w:val="30"/>
          <w:szCs w:val="21"/>
        </w:rPr>
      </w:pPr>
    </w:p>
    <w:p w14:paraId="10E4692E">
      <w:pPr>
        <w:widowControl/>
        <w:ind w:firstLine="0"/>
        <w:rPr>
          <w:rFonts w:ascii="仿宋" w:hAnsi="仿宋" w:eastAsia="仿宋" w:cs="黑体"/>
          <w:color w:val="000000"/>
          <w:spacing w:val="14"/>
          <w:sz w:val="24"/>
          <w:szCs w:val="24"/>
        </w:rPr>
      </w:pPr>
      <w:r>
        <w:rPr>
          <w:rFonts w:hint="eastAsia" w:ascii="仿宋" w:hAnsi="仿宋" w:eastAsia="仿宋" w:cs="黑体"/>
          <w:color w:val="000000"/>
          <w:spacing w:val="14"/>
          <w:sz w:val="24"/>
          <w:szCs w:val="24"/>
        </w:rPr>
        <w:t>1、法定代表人身份证正面和反面扫描件</w:t>
      </w:r>
    </w:p>
    <w:p w14:paraId="568C8DF7">
      <w:pPr>
        <w:widowControl/>
        <w:ind w:firstLine="482"/>
        <w:rPr>
          <w:rFonts w:ascii="仿宋" w:hAnsi="仿宋" w:eastAsia="仿宋" w:cs="黑体"/>
          <w:color w:val="000000"/>
          <w:spacing w:val="14"/>
          <w:sz w:val="24"/>
          <w:szCs w:val="24"/>
        </w:rPr>
      </w:pPr>
    </w:p>
    <w:p w14:paraId="15984062">
      <w:pPr>
        <w:widowControl/>
        <w:ind w:firstLine="482"/>
        <w:rPr>
          <w:rFonts w:ascii="仿宋" w:hAnsi="仿宋" w:eastAsia="仿宋" w:cs="黑体"/>
          <w:color w:val="000000"/>
          <w:spacing w:val="14"/>
          <w:sz w:val="24"/>
          <w:szCs w:val="24"/>
        </w:rPr>
      </w:pPr>
    </w:p>
    <w:p w14:paraId="72E45B34">
      <w:pPr>
        <w:widowControl/>
        <w:ind w:firstLine="482"/>
        <w:rPr>
          <w:rFonts w:ascii="仿宋" w:hAnsi="仿宋" w:eastAsia="仿宋" w:cs="黑体"/>
          <w:color w:val="000000"/>
          <w:spacing w:val="14"/>
          <w:sz w:val="24"/>
          <w:szCs w:val="24"/>
        </w:rPr>
      </w:pPr>
    </w:p>
    <w:p w14:paraId="1BB1D4D2">
      <w:pPr>
        <w:widowControl/>
        <w:ind w:firstLine="482"/>
        <w:rPr>
          <w:rFonts w:ascii="仿宋" w:hAnsi="仿宋" w:eastAsia="仿宋" w:cs="黑体"/>
          <w:color w:val="000000"/>
          <w:spacing w:val="14"/>
          <w:sz w:val="24"/>
          <w:szCs w:val="24"/>
        </w:rPr>
      </w:pPr>
    </w:p>
    <w:p w14:paraId="7D577545">
      <w:pPr>
        <w:widowControl/>
        <w:ind w:firstLine="482"/>
        <w:rPr>
          <w:rFonts w:ascii="仿宋" w:hAnsi="仿宋" w:eastAsia="仿宋" w:cs="黑体"/>
          <w:color w:val="000000"/>
          <w:spacing w:val="14"/>
          <w:sz w:val="24"/>
          <w:szCs w:val="24"/>
        </w:rPr>
      </w:pPr>
    </w:p>
    <w:p w14:paraId="202476AF">
      <w:pPr>
        <w:widowControl/>
        <w:ind w:firstLine="482"/>
        <w:rPr>
          <w:rFonts w:ascii="仿宋" w:hAnsi="仿宋" w:eastAsia="仿宋" w:cs="黑体"/>
          <w:color w:val="000000"/>
          <w:spacing w:val="14"/>
          <w:sz w:val="24"/>
          <w:szCs w:val="24"/>
        </w:rPr>
      </w:pPr>
    </w:p>
    <w:p w14:paraId="3B1803E8">
      <w:pPr>
        <w:widowControl/>
        <w:ind w:firstLine="0"/>
        <w:rPr>
          <w:rFonts w:ascii="仿宋" w:hAnsi="仿宋" w:eastAsia="仿宋" w:cs="黑体"/>
          <w:color w:val="000000"/>
          <w:spacing w:val="14"/>
          <w:sz w:val="24"/>
          <w:szCs w:val="24"/>
        </w:rPr>
      </w:pPr>
      <w:r>
        <w:rPr>
          <w:rFonts w:hint="eastAsia" w:ascii="仿宋" w:hAnsi="仿宋" w:eastAsia="仿宋" w:cs="黑体"/>
          <w:color w:val="000000"/>
          <w:spacing w:val="14"/>
          <w:sz w:val="24"/>
          <w:szCs w:val="24"/>
        </w:rPr>
        <w:t>2、投标人代表（被授权人）身份证正面和反面扫描件</w:t>
      </w:r>
    </w:p>
    <w:p w14:paraId="1939B41C">
      <w:pPr>
        <w:widowControl/>
        <w:jc w:val="left"/>
        <w:outlineLvl w:val="1"/>
        <w:rPr>
          <w:rFonts w:ascii="宋体" w:hAnsi="宋体" w:cs="宋体"/>
          <w:b/>
          <w:kern w:val="0"/>
          <w:sz w:val="28"/>
          <w:szCs w:val="24"/>
          <w:lang w:eastAsia="en-US"/>
        </w:rPr>
      </w:pPr>
      <w:r>
        <w:rPr>
          <w:rFonts w:ascii="Times New Roman" w:hAnsi="Times New Roman" w:eastAsia="Times New Roman"/>
          <w:kern w:val="0"/>
          <w:sz w:val="24"/>
          <w:szCs w:val="24"/>
          <w:lang w:eastAsia="en-US"/>
        </w:rPr>
        <w:br w:type="page"/>
      </w:r>
      <w:bookmarkStart w:id="305" w:name="_Toc28143"/>
      <w:r>
        <w:rPr>
          <w:rFonts w:hint="eastAsia" w:ascii="仿宋" w:hAnsi="仿宋" w:eastAsia="仿宋" w:cs="仿宋"/>
          <w:b/>
          <w:kern w:val="0"/>
          <w:sz w:val="28"/>
          <w:szCs w:val="24"/>
          <w:lang w:eastAsia="en-US"/>
        </w:rPr>
        <w:t>附件4:资格证明材料</w:t>
      </w:r>
      <w:bookmarkEnd w:id="305"/>
    </w:p>
    <w:p w14:paraId="1FA953F1">
      <w:pPr>
        <w:pStyle w:val="91"/>
        <w:rPr>
          <w:rFonts w:hint="eastAsia" w:ascii="仿宋" w:hAnsi="仿宋" w:eastAsia="仿宋"/>
          <w:color w:val="auto"/>
        </w:rPr>
      </w:pPr>
    </w:p>
    <w:p w14:paraId="32192B7E">
      <w:pPr>
        <w:pStyle w:val="91"/>
        <w:rPr>
          <w:rFonts w:hint="eastAsia" w:ascii="仿宋" w:hAnsi="仿宋" w:eastAsia="仿宋"/>
          <w:color w:val="auto"/>
          <w:sz w:val="24"/>
          <w:szCs w:val="24"/>
        </w:rPr>
      </w:pPr>
      <w:r>
        <w:rPr>
          <w:rFonts w:hint="eastAsia" w:ascii="仿宋" w:hAnsi="仿宋" w:eastAsia="仿宋"/>
          <w:color w:val="auto"/>
          <w:sz w:val="24"/>
          <w:szCs w:val="24"/>
        </w:rPr>
        <w:t>包括但不限于营业执照等供应商身份证明材料等相关信息。</w:t>
      </w:r>
    </w:p>
    <w:p w14:paraId="6465FCCC">
      <w:pPr>
        <w:pStyle w:val="91"/>
        <w:rPr>
          <w:rFonts w:hint="eastAsia" w:ascii="仿宋" w:hAnsi="仿宋" w:eastAsia="仿宋"/>
          <w:color w:val="auto"/>
          <w:sz w:val="24"/>
          <w:szCs w:val="24"/>
        </w:rPr>
      </w:pPr>
      <w:r>
        <w:rPr>
          <w:rFonts w:hint="eastAsia" w:ascii="仿宋" w:hAnsi="仿宋" w:eastAsia="仿宋"/>
          <w:color w:val="auto"/>
          <w:sz w:val="24"/>
          <w:szCs w:val="24"/>
        </w:rPr>
        <w:t xml:space="preserve"> </w:t>
      </w:r>
    </w:p>
    <w:p w14:paraId="4F27BE5A">
      <w:pPr>
        <w:pStyle w:val="91"/>
        <w:rPr>
          <w:rFonts w:hint="eastAsia" w:ascii="仿宋" w:hAnsi="仿宋" w:eastAsia="仿宋"/>
          <w:color w:val="auto"/>
          <w:sz w:val="24"/>
          <w:szCs w:val="24"/>
        </w:rPr>
      </w:pPr>
      <w:r>
        <w:rPr>
          <w:rFonts w:hint="eastAsia" w:ascii="仿宋" w:hAnsi="仿宋" w:eastAsia="仿宋"/>
          <w:color w:val="auto"/>
          <w:sz w:val="24"/>
          <w:szCs w:val="24"/>
        </w:rPr>
        <w:t xml:space="preserve"> </w:t>
      </w:r>
    </w:p>
    <w:p w14:paraId="2115C895">
      <w:pPr>
        <w:pStyle w:val="91"/>
        <w:rPr>
          <w:rFonts w:hint="eastAsia" w:ascii="仿宋" w:hAnsi="仿宋" w:eastAsia="仿宋"/>
          <w:color w:val="auto"/>
          <w:sz w:val="24"/>
          <w:szCs w:val="24"/>
        </w:rPr>
      </w:pPr>
      <w:r>
        <w:rPr>
          <w:rFonts w:hint="eastAsia" w:ascii="仿宋" w:hAnsi="仿宋" w:eastAsia="仿宋"/>
          <w:color w:val="auto"/>
          <w:sz w:val="24"/>
          <w:szCs w:val="24"/>
        </w:rPr>
        <w:t>注：在响应文件中附扫描件</w:t>
      </w:r>
    </w:p>
    <w:p w14:paraId="51CC62FD">
      <w:pPr>
        <w:pStyle w:val="93"/>
        <w:adjustRightInd w:val="0"/>
        <w:snapToGrid w:val="0"/>
        <w:spacing w:before="233" w:beforeLines="50" w:line="360" w:lineRule="auto"/>
        <w:rPr>
          <w:rFonts w:hint="eastAsia" w:ascii="仿宋" w:hAnsi="仿宋" w:eastAsia="仿宋" w:cs="宋体"/>
          <w:color w:val="auto"/>
          <w:kern w:val="0"/>
          <w:sz w:val="24"/>
          <w:szCs w:val="24"/>
          <w:lang w:val="en-US" w:eastAsia="zh-CN"/>
        </w:rPr>
      </w:pPr>
      <w:r>
        <w:rPr>
          <w:color w:val="auto"/>
        </w:rPr>
        <w:br w:type="page"/>
      </w:r>
      <w:r>
        <w:rPr>
          <w:rFonts w:hint="eastAsia" w:ascii="仿宋" w:hAnsi="仿宋" w:eastAsia="仿宋" w:cs="宋体"/>
          <w:color w:val="auto"/>
          <w:kern w:val="0"/>
          <w:sz w:val="24"/>
          <w:szCs w:val="24"/>
          <w:lang w:val="en-US" w:eastAsia="zh-CN"/>
        </w:rPr>
        <w:t>附：洛阳市政府采购供应商信用承诺函</w:t>
      </w:r>
    </w:p>
    <w:p w14:paraId="5CD5D13D">
      <w:pPr>
        <w:pStyle w:val="93"/>
        <w:adjustRightInd w:val="0"/>
        <w:snapToGrid w:val="0"/>
        <w:spacing w:before="233" w:beforeLines="50" w:line="360" w:lineRule="auto"/>
        <w:rPr>
          <w:rFonts w:ascii="仿宋" w:hAnsi="仿宋" w:eastAsia="仿宋"/>
          <w:color w:val="auto"/>
          <w:sz w:val="24"/>
          <w:szCs w:val="24"/>
        </w:rPr>
      </w:pPr>
      <w:r>
        <w:rPr>
          <w:rFonts w:hint="eastAsia" w:ascii="仿宋" w:hAnsi="仿宋" w:eastAsia="仿宋"/>
          <w:color w:val="auto"/>
          <w:sz w:val="24"/>
          <w:szCs w:val="24"/>
        </w:rPr>
        <w:t>致</w:t>
      </w:r>
      <w:r>
        <w:rPr>
          <w:rFonts w:hint="eastAsia" w:ascii="仿宋" w:hAnsi="仿宋" w:eastAsia="仿宋"/>
          <w:color w:val="auto"/>
          <w:sz w:val="24"/>
          <w:szCs w:val="24"/>
          <w:u w:val="single"/>
        </w:rPr>
        <w:t xml:space="preserve">  （采购人或采购代理机构）  </w:t>
      </w:r>
      <w:r>
        <w:rPr>
          <w:rFonts w:hint="eastAsia" w:ascii="仿宋" w:hAnsi="仿宋" w:eastAsia="仿宋"/>
          <w:color w:val="auto"/>
          <w:sz w:val="24"/>
          <w:szCs w:val="24"/>
        </w:rPr>
        <w:t>：</w:t>
      </w:r>
    </w:p>
    <w:p w14:paraId="34658861">
      <w:pPr>
        <w:pStyle w:val="93"/>
        <w:adjustRightInd w:val="0"/>
        <w:snapToGrid w:val="0"/>
        <w:spacing w:before="233" w:beforeLines="50" w:line="360" w:lineRule="auto"/>
        <w:ind w:firstLine="418" w:firstLineChars="200"/>
        <w:rPr>
          <w:rFonts w:hint="eastAsia" w:ascii="仿宋" w:hAnsi="仿宋" w:eastAsia="仿宋"/>
          <w:color w:val="auto"/>
          <w:sz w:val="24"/>
          <w:szCs w:val="24"/>
          <w:u w:val="single"/>
        </w:rPr>
      </w:pPr>
      <w:r>
        <w:rPr>
          <w:rFonts w:hint="eastAsia" w:ascii="仿宋" w:hAnsi="仿宋" w:eastAsia="仿宋"/>
          <w:color w:val="auto"/>
          <w:sz w:val="24"/>
          <w:szCs w:val="24"/>
        </w:rPr>
        <w:t>单位名称（自然人姓名）：</w:t>
      </w:r>
      <w:r>
        <w:rPr>
          <w:rFonts w:hint="eastAsia" w:ascii="仿宋" w:hAnsi="仿宋" w:eastAsia="仿宋"/>
          <w:color w:val="auto"/>
          <w:sz w:val="24"/>
          <w:szCs w:val="24"/>
          <w:u w:val="single"/>
        </w:rPr>
        <w:t xml:space="preserve">                                  </w:t>
      </w:r>
    </w:p>
    <w:p w14:paraId="1E611C34">
      <w:pPr>
        <w:pStyle w:val="93"/>
        <w:adjustRightInd w:val="0"/>
        <w:snapToGrid w:val="0"/>
        <w:spacing w:before="233" w:beforeLines="50" w:line="360" w:lineRule="auto"/>
        <w:ind w:firstLine="418" w:firstLineChars="200"/>
        <w:rPr>
          <w:rFonts w:hint="eastAsia" w:ascii="仿宋" w:hAnsi="仿宋" w:eastAsia="仿宋"/>
          <w:color w:val="auto"/>
          <w:sz w:val="24"/>
          <w:szCs w:val="24"/>
        </w:rPr>
      </w:pPr>
      <w:r>
        <w:rPr>
          <w:rFonts w:hint="eastAsia" w:ascii="仿宋" w:hAnsi="仿宋" w:eastAsia="仿宋"/>
          <w:color w:val="auto"/>
          <w:sz w:val="24"/>
          <w:szCs w:val="24"/>
        </w:rPr>
        <w:t>统一社会信用代码（身份证号码）：</w:t>
      </w:r>
      <w:r>
        <w:rPr>
          <w:rFonts w:hint="eastAsia" w:ascii="仿宋" w:hAnsi="仿宋" w:eastAsia="仿宋"/>
          <w:color w:val="auto"/>
          <w:sz w:val="24"/>
          <w:szCs w:val="24"/>
          <w:u w:val="single"/>
        </w:rPr>
        <w:t xml:space="preserve">                          </w:t>
      </w:r>
    </w:p>
    <w:p w14:paraId="684CF8A1">
      <w:pPr>
        <w:pStyle w:val="93"/>
        <w:adjustRightInd w:val="0"/>
        <w:snapToGrid w:val="0"/>
        <w:spacing w:before="233" w:beforeLines="50" w:line="360" w:lineRule="auto"/>
        <w:ind w:firstLine="418" w:firstLineChars="200"/>
        <w:rPr>
          <w:rFonts w:hint="eastAsia" w:ascii="仿宋" w:hAnsi="仿宋" w:eastAsia="仿宋"/>
          <w:color w:val="auto"/>
          <w:sz w:val="24"/>
          <w:szCs w:val="24"/>
        </w:rPr>
      </w:pPr>
      <w:r>
        <w:rPr>
          <w:rFonts w:hint="eastAsia" w:ascii="仿宋" w:hAnsi="仿宋" w:eastAsia="仿宋"/>
          <w:color w:val="auto"/>
          <w:sz w:val="24"/>
          <w:szCs w:val="24"/>
        </w:rPr>
        <w:t>法定代表人（负责人）：</w:t>
      </w:r>
      <w:r>
        <w:rPr>
          <w:rFonts w:hint="eastAsia" w:ascii="仿宋" w:hAnsi="仿宋" w:eastAsia="仿宋"/>
          <w:color w:val="auto"/>
          <w:sz w:val="24"/>
          <w:szCs w:val="24"/>
          <w:u w:val="single"/>
        </w:rPr>
        <w:t xml:space="preserve">                                    </w:t>
      </w:r>
    </w:p>
    <w:p w14:paraId="5E436522">
      <w:pPr>
        <w:pStyle w:val="93"/>
        <w:adjustRightInd w:val="0"/>
        <w:snapToGrid w:val="0"/>
        <w:spacing w:before="233" w:beforeLines="50" w:line="360" w:lineRule="auto"/>
        <w:ind w:firstLine="418" w:firstLineChars="200"/>
        <w:rPr>
          <w:rFonts w:hint="eastAsia" w:ascii="仿宋" w:hAnsi="仿宋" w:eastAsia="仿宋"/>
          <w:color w:val="auto"/>
          <w:sz w:val="24"/>
          <w:szCs w:val="24"/>
        </w:rPr>
      </w:pPr>
      <w:r>
        <w:rPr>
          <w:rFonts w:hint="eastAsia" w:ascii="仿宋" w:hAnsi="仿宋" w:eastAsia="仿宋"/>
          <w:color w:val="auto"/>
          <w:sz w:val="24"/>
          <w:szCs w:val="24"/>
        </w:rPr>
        <w:t>联系地址和电话：</w:t>
      </w:r>
      <w:r>
        <w:rPr>
          <w:rFonts w:hint="eastAsia" w:ascii="仿宋" w:hAnsi="仿宋" w:eastAsia="仿宋"/>
          <w:color w:val="auto"/>
          <w:sz w:val="24"/>
          <w:szCs w:val="24"/>
          <w:u w:val="single"/>
        </w:rPr>
        <w:t xml:space="preserve">                                          </w:t>
      </w:r>
    </w:p>
    <w:p w14:paraId="6D776C60">
      <w:pPr>
        <w:pStyle w:val="93"/>
        <w:widowControl/>
        <w:spacing w:line="360" w:lineRule="auto"/>
        <w:ind w:firstLine="418" w:firstLineChars="200"/>
        <w:jc w:val="left"/>
        <w:rPr>
          <w:rFonts w:hint="eastAsia" w:ascii="仿宋" w:hAnsi="仿宋" w:eastAsia="仿宋"/>
          <w:color w:val="auto"/>
          <w:sz w:val="24"/>
          <w:szCs w:val="24"/>
        </w:rPr>
      </w:pPr>
      <w:r>
        <w:rPr>
          <w:rFonts w:hint="eastAsia" w:ascii="仿宋" w:hAnsi="仿宋" w:eastAsia="仿宋"/>
          <w:color w:val="auto"/>
          <w:kern w:val="0"/>
          <w:sz w:val="24"/>
          <w:szCs w:val="24"/>
        </w:rPr>
        <w:t xml:space="preserve">为维护公平、公正、公开的政府采购市场秩序，树立诚实守信的政府采购供应商形象，我单位（本人）自愿作出以下承诺： </w:t>
      </w:r>
    </w:p>
    <w:p w14:paraId="3F005128">
      <w:pPr>
        <w:pStyle w:val="93"/>
        <w:widowControl/>
        <w:spacing w:line="360" w:lineRule="auto"/>
        <w:jc w:val="left"/>
        <w:rPr>
          <w:rFonts w:hint="eastAsia" w:ascii="仿宋" w:hAnsi="仿宋" w:eastAsia="仿宋"/>
          <w:color w:val="auto"/>
          <w:sz w:val="24"/>
          <w:szCs w:val="24"/>
        </w:rPr>
      </w:pPr>
      <w:r>
        <w:rPr>
          <w:rFonts w:hint="eastAsia" w:ascii="仿宋" w:hAnsi="仿宋" w:eastAsia="仿宋"/>
          <w:color w:val="auto"/>
          <w:kern w:val="0"/>
          <w:sz w:val="24"/>
          <w:szCs w:val="24"/>
        </w:rPr>
        <w:t xml:space="preserve">一、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采购文件、本承诺书的条件： </w:t>
      </w:r>
    </w:p>
    <w:p w14:paraId="2C27031A">
      <w:pPr>
        <w:pStyle w:val="93"/>
        <w:widowControl/>
        <w:spacing w:line="360" w:lineRule="auto"/>
        <w:ind w:firstLine="209" w:firstLineChars="100"/>
        <w:jc w:val="left"/>
        <w:rPr>
          <w:rFonts w:hint="eastAsia" w:ascii="仿宋" w:hAnsi="仿宋" w:eastAsia="仿宋"/>
          <w:color w:val="auto"/>
          <w:sz w:val="24"/>
          <w:szCs w:val="24"/>
        </w:rPr>
      </w:pPr>
      <w:r>
        <w:rPr>
          <w:rFonts w:hint="eastAsia" w:ascii="仿宋" w:hAnsi="仿宋" w:eastAsia="仿宋"/>
          <w:color w:val="auto"/>
          <w:kern w:val="0"/>
          <w:sz w:val="24"/>
          <w:szCs w:val="24"/>
        </w:rPr>
        <w:t xml:space="preserve">（一）具有独立承担民事责任的能力； </w:t>
      </w:r>
    </w:p>
    <w:p w14:paraId="5433AE60">
      <w:pPr>
        <w:pStyle w:val="93"/>
        <w:widowControl/>
        <w:spacing w:line="360" w:lineRule="auto"/>
        <w:ind w:firstLine="209" w:firstLineChars="100"/>
        <w:jc w:val="left"/>
        <w:rPr>
          <w:rFonts w:hint="eastAsia" w:ascii="仿宋" w:hAnsi="仿宋" w:eastAsia="仿宋"/>
          <w:color w:val="auto"/>
          <w:sz w:val="24"/>
          <w:szCs w:val="24"/>
        </w:rPr>
      </w:pPr>
      <w:r>
        <w:rPr>
          <w:rFonts w:hint="eastAsia" w:ascii="仿宋" w:hAnsi="仿宋" w:eastAsia="仿宋"/>
          <w:color w:val="auto"/>
          <w:kern w:val="0"/>
          <w:sz w:val="24"/>
          <w:szCs w:val="24"/>
        </w:rPr>
        <w:t xml:space="preserve">（二）具有良好的商业信誉和健全的财务会计制度； </w:t>
      </w:r>
    </w:p>
    <w:p w14:paraId="7F3336D0">
      <w:pPr>
        <w:pStyle w:val="93"/>
        <w:widowControl/>
        <w:spacing w:line="360" w:lineRule="auto"/>
        <w:ind w:firstLine="209" w:firstLineChars="100"/>
        <w:jc w:val="left"/>
        <w:rPr>
          <w:rFonts w:hint="eastAsia" w:ascii="仿宋" w:hAnsi="仿宋" w:eastAsia="仿宋"/>
          <w:color w:val="auto"/>
          <w:sz w:val="24"/>
          <w:szCs w:val="24"/>
        </w:rPr>
      </w:pPr>
      <w:r>
        <w:rPr>
          <w:rFonts w:hint="eastAsia" w:ascii="仿宋" w:hAnsi="仿宋" w:eastAsia="仿宋"/>
          <w:color w:val="auto"/>
          <w:kern w:val="0"/>
          <w:sz w:val="24"/>
          <w:szCs w:val="24"/>
        </w:rPr>
        <w:t xml:space="preserve">（三）具有履行合同所必需的设备和专业技术能力； </w:t>
      </w:r>
    </w:p>
    <w:p w14:paraId="15E883ED">
      <w:pPr>
        <w:pStyle w:val="93"/>
        <w:widowControl/>
        <w:spacing w:line="360" w:lineRule="auto"/>
        <w:ind w:firstLine="209" w:firstLineChars="100"/>
        <w:jc w:val="left"/>
        <w:rPr>
          <w:rFonts w:hint="eastAsia" w:ascii="仿宋" w:hAnsi="仿宋" w:eastAsia="仿宋"/>
          <w:color w:val="auto"/>
          <w:sz w:val="24"/>
          <w:szCs w:val="24"/>
        </w:rPr>
      </w:pPr>
      <w:r>
        <w:rPr>
          <w:rFonts w:hint="eastAsia" w:ascii="仿宋" w:hAnsi="仿宋" w:eastAsia="仿宋"/>
          <w:color w:val="auto"/>
          <w:kern w:val="0"/>
          <w:sz w:val="24"/>
          <w:szCs w:val="24"/>
        </w:rPr>
        <w:t xml:space="preserve">（四）有依法缴纳税收和社会保障资金的良好记录； </w:t>
      </w:r>
    </w:p>
    <w:p w14:paraId="768F9059">
      <w:pPr>
        <w:pStyle w:val="93"/>
        <w:widowControl/>
        <w:spacing w:line="360" w:lineRule="auto"/>
        <w:ind w:firstLine="209" w:firstLineChars="100"/>
        <w:jc w:val="left"/>
        <w:rPr>
          <w:rFonts w:hint="eastAsia" w:ascii="仿宋" w:hAnsi="仿宋" w:eastAsia="仿宋"/>
          <w:color w:val="auto"/>
          <w:sz w:val="24"/>
          <w:szCs w:val="24"/>
        </w:rPr>
      </w:pPr>
      <w:r>
        <w:rPr>
          <w:rFonts w:hint="eastAsia" w:ascii="仿宋" w:hAnsi="仿宋" w:eastAsia="仿宋"/>
          <w:color w:val="auto"/>
          <w:kern w:val="0"/>
          <w:sz w:val="24"/>
          <w:szCs w:val="24"/>
        </w:rPr>
        <w:t xml:space="preserve">（五）参加政府采购活动前三年内，在经营活动中没有重大违法记录； </w:t>
      </w:r>
    </w:p>
    <w:p w14:paraId="2992DBA6">
      <w:pPr>
        <w:pStyle w:val="93"/>
        <w:widowControl/>
        <w:spacing w:line="360" w:lineRule="auto"/>
        <w:ind w:firstLine="209" w:firstLineChars="100"/>
        <w:jc w:val="left"/>
        <w:rPr>
          <w:rFonts w:hint="eastAsia" w:ascii="仿宋" w:hAnsi="仿宋" w:eastAsia="仿宋"/>
          <w:color w:val="auto"/>
          <w:sz w:val="24"/>
          <w:szCs w:val="24"/>
        </w:rPr>
      </w:pPr>
      <w:r>
        <w:rPr>
          <w:rFonts w:hint="eastAsia" w:ascii="仿宋" w:hAnsi="仿宋" w:eastAsia="仿宋"/>
          <w:color w:val="auto"/>
          <w:kern w:val="0"/>
          <w:sz w:val="24"/>
          <w:szCs w:val="24"/>
        </w:rPr>
        <w:t xml:space="preserve">（六）未被列入经营异常名录或者严重违法失信名单、失信被执行人、重大税收违法案件当事人名单、政府采购严重违法失信行为记录名单； </w:t>
      </w:r>
    </w:p>
    <w:p w14:paraId="2D6D61CD">
      <w:pPr>
        <w:pStyle w:val="93"/>
        <w:widowControl/>
        <w:spacing w:line="360" w:lineRule="auto"/>
        <w:ind w:firstLine="209" w:firstLineChars="100"/>
        <w:jc w:val="left"/>
        <w:rPr>
          <w:rFonts w:hint="eastAsia" w:ascii="仿宋" w:hAnsi="仿宋" w:eastAsia="仿宋"/>
          <w:color w:val="auto"/>
          <w:sz w:val="24"/>
          <w:szCs w:val="24"/>
        </w:rPr>
      </w:pPr>
      <w:r>
        <w:rPr>
          <w:rFonts w:hint="eastAsia" w:ascii="仿宋" w:hAnsi="仿宋" w:eastAsia="仿宋"/>
          <w:color w:val="auto"/>
          <w:kern w:val="0"/>
          <w:sz w:val="24"/>
          <w:szCs w:val="24"/>
        </w:rPr>
        <w:t xml:space="preserve">（七）未被相关监管部门作出行政处罚且尚在处罚有效期内； </w:t>
      </w:r>
    </w:p>
    <w:p w14:paraId="6087034C">
      <w:pPr>
        <w:pStyle w:val="93"/>
        <w:widowControl/>
        <w:spacing w:line="360" w:lineRule="auto"/>
        <w:ind w:firstLine="209" w:firstLineChars="100"/>
        <w:jc w:val="left"/>
        <w:rPr>
          <w:rFonts w:hint="eastAsia" w:ascii="仿宋" w:hAnsi="仿宋" w:eastAsia="仿宋"/>
          <w:color w:val="auto"/>
          <w:sz w:val="24"/>
          <w:szCs w:val="24"/>
        </w:rPr>
      </w:pPr>
      <w:r>
        <w:rPr>
          <w:rFonts w:hint="eastAsia" w:ascii="仿宋" w:hAnsi="仿宋" w:eastAsia="仿宋"/>
          <w:color w:val="auto"/>
          <w:kern w:val="0"/>
          <w:sz w:val="24"/>
          <w:szCs w:val="24"/>
        </w:rPr>
        <w:t xml:space="preserve">（八）未曾作出虚假采购承诺； </w:t>
      </w:r>
    </w:p>
    <w:p w14:paraId="65CED1BD">
      <w:pPr>
        <w:pStyle w:val="93"/>
        <w:widowControl/>
        <w:spacing w:line="360" w:lineRule="auto"/>
        <w:ind w:firstLine="209" w:firstLineChars="100"/>
        <w:jc w:val="left"/>
        <w:rPr>
          <w:rFonts w:hint="eastAsia" w:ascii="仿宋" w:hAnsi="仿宋" w:eastAsia="仿宋"/>
          <w:color w:val="auto"/>
          <w:sz w:val="24"/>
          <w:szCs w:val="24"/>
        </w:rPr>
      </w:pPr>
      <w:r>
        <w:rPr>
          <w:rFonts w:hint="eastAsia" w:ascii="仿宋" w:hAnsi="仿宋" w:eastAsia="仿宋"/>
          <w:color w:val="auto"/>
          <w:kern w:val="0"/>
          <w:sz w:val="24"/>
          <w:szCs w:val="24"/>
        </w:rPr>
        <w:t xml:space="preserve">（九）符合法律、行政法规规定的其他条件。 </w:t>
      </w:r>
    </w:p>
    <w:p w14:paraId="4074C13F">
      <w:pPr>
        <w:pStyle w:val="93"/>
        <w:widowControl/>
        <w:spacing w:line="360" w:lineRule="auto"/>
        <w:jc w:val="left"/>
        <w:rPr>
          <w:rFonts w:hint="eastAsia" w:ascii="仿宋" w:hAnsi="仿宋" w:eastAsia="仿宋"/>
          <w:color w:val="auto"/>
          <w:sz w:val="24"/>
          <w:szCs w:val="24"/>
        </w:rPr>
      </w:pPr>
      <w:r>
        <w:rPr>
          <w:rFonts w:hint="eastAsia" w:ascii="仿宋" w:hAnsi="仿宋" w:eastAsia="仿宋"/>
          <w:color w:val="auto"/>
          <w:kern w:val="0"/>
          <w:sz w:val="24"/>
          <w:szCs w:val="24"/>
        </w:rPr>
        <w:t>二、我单位（本人）保证上述承诺事项的真实性。如有弄虚作假或其他违法违规行为，自愿按照规定将违背承诺行为作为失信行为记录到社会信用信息平台，并视同为“提供虚假材料谋取中标、成交”按照《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5C2B0B2D">
      <w:pPr>
        <w:pStyle w:val="93"/>
        <w:adjustRightInd w:val="0"/>
        <w:snapToGrid w:val="0"/>
        <w:spacing w:before="233" w:beforeLines="50" w:line="360" w:lineRule="auto"/>
        <w:ind w:firstLine="418" w:firstLineChars="200"/>
        <w:rPr>
          <w:rFonts w:hint="eastAsia" w:ascii="仿宋" w:hAnsi="仿宋" w:eastAsia="仿宋"/>
          <w:color w:val="auto"/>
          <w:sz w:val="24"/>
          <w:szCs w:val="24"/>
        </w:rPr>
      </w:pPr>
      <w:r>
        <w:rPr>
          <w:rFonts w:hint="eastAsia" w:ascii="仿宋" w:hAnsi="仿宋" w:eastAsia="仿宋"/>
          <w:color w:val="auto"/>
          <w:sz w:val="24"/>
          <w:szCs w:val="24"/>
        </w:rPr>
        <w:t xml:space="preserve"> </w:t>
      </w:r>
    </w:p>
    <w:p w14:paraId="15504304">
      <w:pPr>
        <w:pStyle w:val="93"/>
        <w:adjustRightInd w:val="0"/>
        <w:snapToGrid w:val="0"/>
        <w:spacing w:before="233" w:beforeLines="50" w:line="360" w:lineRule="auto"/>
        <w:rPr>
          <w:rFonts w:hint="eastAsia" w:ascii="仿宋" w:hAnsi="仿宋" w:eastAsia="仿宋"/>
          <w:color w:val="auto"/>
          <w:sz w:val="24"/>
          <w:szCs w:val="24"/>
        </w:rPr>
      </w:pPr>
      <w:r>
        <w:rPr>
          <w:rFonts w:hint="eastAsia" w:ascii="仿宋" w:hAnsi="仿宋" w:eastAsia="仿宋"/>
          <w:color w:val="auto"/>
          <w:sz w:val="24"/>
          <w:szCs w:val="24"/>
        </w:rPr>
        <w:t xml:space="preserve">供应商（企业电子章）： </w:t>
      </w:r>
    </w:p>
    <w:p w14:paraId="1FE1F625">
      <w:pPr>
        <w:pStyle w:val="93"/>
        <w:adjustRightInd w:val="0"/>
        <w:snapToGrid w:val="0"/>
        <w:spacing w:before="233" w:beforeLines="50" w:line="360" w:lineRule="auto"/>
        <w:rPr>
          <w:rFonts w:hint="eastAsia" w:ascii="仿宋" w:hAnsi="仿宋" w:eastAsia="仿宋"/>
          <w:color w:val="auto"/>
          <w:sz w:val="24"/>
          <w:szCs w:val="24"/>
        </w:rPr>
      </w:pPr>
      <w:r>
        <w:rPr>
          <w:rFonts w:hint="eastAsia" w:ascii="仿宋" w:hAnsi="仿宋" w:eastAsia="仿宋"/>
          <w:color w:val="auto"/>
          <w:sz w:val="24"/>
          <w:szCs w:val="24"/>
        </w:rPr>
        <w:t xml:space="preserve">法定代表人或授权代表(签字或电子印章)： </w:t>
      </w:r>
    </w:p>
    <w:p w14:paraId="38E4D9FA">
      <w:pPr>
        <w:pStyle w:val="93"/>
        <w:adjustRightInd w:val="0"/>
        <w:snapToGrid w:val="0"/>
        <w:spacing w:before="233" w:beforeLines="50" w:line="360" w:lineRule="auto"/>
        <w:rPr>
          <w:rFonts w:hint="eastAsia" w:ascii="仿宋" w:hAnsi="仿宋" w:eastAsia="仿宋"/>
          <w:color w:val="auto"/>
          <w:sz w:val="24"/>
          <w:szCs w:val="24"/>
        </w:rPr>
      </w:pPr>
      <w:r>
        <w:rPr>
          <w:rFonts w:hint="eastAsia" w:ascii="仿宋" w:hAnsi="仿宋" w:eastAsia="仿宋"/>
          <w:color w:val="auto"/>
          <w:sz w:val="24"/>
          <w:szCs w:val="24"/>
        </w:rPr>
        <w:t xml:space="preserve">日期：       年    月    日 </w:t>
      </w:r>
    </w:p>
    <w:p w14:paraId="267853B4">
      <w:pPr>
        <w:pStyle w:val="93"/>
        <w:adjustRightInd w:val="0"/>
        <w:snapToGrid w:val="0"/>
        <w:spacing w:before="233" w:beforeLines="50" w:line="360" w:lineRule="auto"/>
        <w:rPr>
          <w:rFonts w:hint="eastAsia" w:ascii="仿宋" w:hAnsi="仿宋" w:eastAsia="仿宋"/>
          <w:bCs/>
          <w:color w:val="auto"/>
          <w:sz w:val="24"/>
          <w:szCs w:val="24"/>
        </w:rPr>
      </w:pPr>
      <w:r>
        <w:rPr>
          <w:rFonts w:hint="eastAsia" w:ascii="仿宋" w:hAnsi="仿宋" w:eastAsia="仿宋"/>
          <w:bCs/>
          <w:color w:val="auto"/>
          <w:sz w:val="24"/>
          <w:szCs w:val="24"/>
        </w:rPr>
        <w:t>注：1.</w:t>
      </w:r>
      <w:r>
        <w:rPr>
          <w:rFonts w:hint="eastAsia" w:ascii="仿宋" w:hAnsi="仿宋" w:eastAsia="仿宋"/>
          <w:color w:val="auto"/>
          <w:sz w:val="24"/>
          <w:szCs w:val="24"/>
        </w:rPr>
        <w:t>供应商</w:t>
      </w:r>
      <w:r>
        <w:rPr>
          <w:rFonts w:hint="eastAsia" w:ascii="仿宋" w:hAnsi="仿宋" w:eastAsia="仿宋"/>
          <w:bCs/>
          <w:color w:val="auto"/>
          <w:sz w:val="24"/>
          <w:szCs w:val="24"/>
        </w:rPr>
        <w:t>须在响应文件中按此模板提供承诺函，未提供视为未实质性响应磋商文件要求，按无效投标处理。</w:t>
      </w:r>
    </w:p>
    <w:p w14:paraId="2150301C">
      <w:pPr>
        <w:pStyle w:val="93"/>
        <w:adjustRightInd w:val="0"/>
        <w:snapToGrid w:val="0"/>
        <w:spacing w:before="233" w:beforeLines="50" w:line="360" w:lineRule="auto"/>
        <w:ind w:firstLine="418" w:firstLineChars="200"/>
        <w:rPr>
          <w:rFonts w:ascii="仿宋" w:hAnsi="仿宋" w:eastAsia="仿宋"/>
          <w:color w:val="auto"/>
          <w:sz w:val="24"/>
          <w:szCs w:val="24"/>
        </w:rPr>
      </w:pPr>
      <w:r>
        <w:rPr>
          <w:rFonts w:hint="eastAsia" w:ascii="仿宋" w:hAnsi="仿宋" w:eastAsia="仿宋"/>
          <w:color w:val="auto"/>
          <w:sz w:val="24"/>
          <w:szCs w:val="24"/>
        </w:rPr>
        <w:t>2.供应商</w:t>
      </w:r>
      <w:r>
        <w:rPr>
          <w:rFonts w:hint="eastAsia" w:ascii="仿宋" w:hAnsi="仿宋" w:eastAsia="仿宋"/>
          <w:bCs/>
          <w:color w:val="auto"/>
          <w:sz w:val="24"/>
          <w:szCs w:val="24"/>
        </w:rPr>
        <w:t>的法定代表人或者授权代表的签字或盖章应真实、有效，如由授权代表签字或盖章的，应提供“法定代表人授权书”。</w:t>
      </w:r>
    </w:p>
    <w:p w14:paraId="686352D7">
      <w:pPr>
        <w:widowControl/>
        <w:jc w:val="left"/>
        <w:outlineLvl w:val="9"/>
        <w:rPr>
          <w:rFonts w:ascii="Times New Roman" w:hAnsi="Times New Roman" w:eastAsia="Times New Roman"/>
          <w:kern w:val="0"/>
          <w:sz w:val="24"/>
          <w:szCs w:val="24"/>
          <w:lang w:eastAsia="en-US"/>
        </w:rPr>
      </w:pPr>
      <w:r>
        <w:rPr>
          <w:rFonts w:ascii="Times New Roman" w:hAnsi="Times New Roman" w:eastAsia="Times New Roman"/>
          <w:kern w:val="0"/>
          <w:sz w:val="24"/>
          <w:szCs w:val="24"/>
          <w:lang w:eastAsia="en-US"/>
        </w:rPr>
        <w:br w:type="page"/>
      </w:r>
      <w:r>
        <w:rPr>
          <w:rFonts w:hint="eastAsia" w:ascii="仿宋" w:hAnsi="仿宋" w:eastAsia="仿宋" w:cs="仿宋"/>
          <w:b/>
          <w:kern w:val="0"/>
          <w:sz w:val="28"/>
          <w:szCs w:val="24"/>
          <w:lang w:eastAsia="en-US"/>
        </w:rPr>
        <w:t>附件5:开标一览表</w:t>
      </w:r>
    </w:p>
    <w:p w14:paraId="72AB7FF3">
      <w:pPr>
        <w:widowControl/>
        <w:spacing w:before="320" w:after="320"/>
        <w:jc w:val="center"/>
        <w:rPr>
          <w:rFonts w:hint="eastAsia" w:ascii="仿宋" w:hAnsi="仿宋" w:eastAsia="仿宋" w:cs="仿宋"/>
          <w:kern w:val="0"/>
          <w:sz w:val="24"/>
          <w:szCs w:val="24"/>
        </w:rPr>
      </w:pPr>
      <w:r>
        <w:rPr>
          <w:rFonts w:hint="eastAsia" w:ascii="仿宋" w:hAnsi="仿宋" w:eastAsia="仿宋" w:cs="仿宋"/>
          <w:b/>
          <w:bCs/>
          <w:kern w:val="0"/>
          <w:sz w:val="24"/>
          <w:szCs w:val="24"/>
        </w:rPr>
        <w:t>开  标 一 览  表</w:t>
      </w:r>
    </w:p>
    <w:p w14:paraId="66C4746A">
      <w:pPr>
        <w:widowControl/>
        <w:spacing w:before="240" w:after="240"/>
        <w:jc w:val="left"/>
        <w:rPr>
          <w:rFonts w:hint="eastAsia" w:ascii="仿宋" w:hAnsi="仿宋" w:eastAsia="仿宋" w:cs="仿宋"/>
          <w:kern w:val="0"/>
          <w:sz w:val="24"/>
          <w:szCs w:val="24"/>
        </w:rPr>
      </w:pPr>
      <w:r>
        <w:rPr>
          <w:rFonts w:hint="eastAsia" w:ascii="仿宋" w:hAnsi="仿宋" w:eastAsia="仿宋" w:cs="仿宋"/>
          <w:kern w:val="0"/>
          <w:sz w:val="24"/>
          <w:szCs w:val="24"/>
        </w:rPr>
        <w:t xml:space="preserve">        分包编号：    </w:t>
      </w:r>
    </w:p>
    <w:p w14:paraId="65ADF9E9">
      <w:pPr>
        <w:widowControl/>
        <w:spacing w:before="240" w:after="240"/>
        <w:jc w:val="left"/>
        <w:rPr>
          <w:rFonts w:hint="eastAsia" w:ascii="仿宋" w:hAnsi="仿宋" w:eastAsia="仿宋" w:cs="仿宋"/>
          <w:kern w:val="0"/>
          <w:sz w:val="24"/>
          <w:szCs w:val="24"/>
        </w:rPr>
      </w:pPr>
      <w:r>
        <w:rPr>
          <w:rFonts w:hint="eastAsia" w:ascii="仿宋" w:hAnsi="仿宋" w:eastAsia="仿宋" w:cs="仿宋"/>
          <w:kern w:val="0"/>
          <w:sz w:val="24"/>
          <w:szCs w:val="24"/>
        </w:rPr>
        <w:t xml:space="preserve">        项目名称：    </w:t>
      </w:r>
    </w:p>
    <w:tbl>
      <w:tblPr>
        <w:tblStyle w:val="6"/>
        <w:tblW w:w="888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043"/>
        <w:gridCol w:w="4839"/>
      </w:tblGrid>
      <w:tr w14:paraId="357811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0" w:hRule="atLeast"/>
          <w:jc w:val="center"/>
        </w:trPr>
        <w:tc>
          <w:tcPr>
            <w:tcW w:w="4043" w:type="dxa"/>
            <w:noWrap w:val="0"/>
            <w:vAlign w:val="center"/>
          </w:tcPr>
          <w:p w14:paraId="67C7DD09">
            <w:pPr>
              <w:pStyle w:val="95"/>
              <w:ind w:right="1610" w:firstLine="0" w:firstLineChars="0"/>
              <w:jc w:val="center"/>
              <w:rPr>
                <w:rFonts w:hint="eastAsia" w:ascii="仿宋" w:hAnsi="仿宋" w:eastAsia="仿宋" w:cs="仿宋"/>
                <w:sz w:val="24"/>
                <w:szCs w:val="24"/>
              </w:rPr>
            </w:pP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投标报价</w:t>
            </w:r>
          </w:p>
        </w:tc>
        <w:tc>
          <w:tcPr>
            <w:tcW w:w="4839" w:type="dxa"/>
            <w:noWrap w:val="0"/>
            <w:vAlign w:val="center"/>
          </w:tcPr>
          <w:p w14:paraId="1FD99DB2">
            <w:pPr>
              <w:pStyle w:val="95"/>
              <w:ind w:left="0" w:leftChars="0" w:firstLine="0" w:firstLineChars="0"/>
              <w:jc w:val="center"/>
              <w:rPr>
                <w:rFonts w:hint="eastAsia" w:ascii="仿宋" w:hAnsi="仿宋" w:eastAsia="仿宋" w:cs="仿宋"/>
                <w:sz w:val="24"/>
                <w:szCs w:val="24"/>
              </w:rPr>
            </w:pP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元</w:t>
            </w:r>
          </w:p>
        </w:tc>
      </w:tr>
      <w:tr w14:paraId="418D7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6" w:hRule="atLeast"/>
          <w:jc w:val="center"/>
        </w:trPr>
        <w:tc>
          <w:tcPr>
            <w:tcW w:w="4043" w:type="dxa"/>
            <w:noWrap w:val="0"/>
            <w:vAlign w:val="center"/>
          </w:tcPr>
          <w:p w14:paraId="4164C5D1">
            <w:pPr>
              <w:pStyle w:val="95"/>
              <w:ind w:left="0" w:leftChars="0" w:right="269" w:rightChars="0" w:firstLine="0" w:firstLineChars="0"/>
              <w:jc w:val="center"/>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合同履行期限（交货期）</w:t>
            </w:r>
          </w:p>
        </w:tc>
        <w:tc>
          <w:tcPr>
            <w:tcW w:w="4839" w:type="dxa"/>
            <w:noWrap w:val="0"/>
            <w:vAlign w:val="center"/>
          </w:tcPr>
          <w:p w14:paraId="41CBB549">
            <w:pPr>
              <w:pStyle w:val="95"/>
              <w:ind w:right="1610" w:firstLine="0" w:firstLineChars="0"/>
              <w:jc w:val="center"/>
              <w:rPr>
                <w:rFonts w:hint="eastAsia" w:ascii="仿宋" w:hAnsi="仿宋" w:eastAsia="仿宋" w:cs="仿宋"/>
                <w:sz w:val="24"/>
                <w:szCs w:val="24"/>
              </w:rPr>
            </w:pPr>
          </w:p>
        </w:tc>
      </w:tr>
      <w:tr w14:paraId="717372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0" w:hRule="atLeast"/>
          <w:jc w:val="center"/>
        </w:trPr>
        <w:tc>
          <w:tcPr>
            <w:tcW w:w="4043" w:type="dxa"/>
            <w:noWrap w:val="0"/>
            <w:vAlign w:val="center"/>
          </w:tcPr>
          <w:p w14:paraId="0CF83FA1">
            <w:pPr>
              <w:pStyle w:val="95"/>
              <w:ind w:left="0" w:leftChars="0" w:right="1610" w:firstLine="0" w:firstLineChars="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质量</w:t>
            </w:r>
            <w:r>
              <w:rPr>
                <w:rFonts w:hint="eastAsia" w:ascii="仿宋" w:hAnsi="仿宋" w:eastAsia="仿宋" w:cs="仿宋"/>
                <w:spacing w:val="14"/>
                <w:sz w:val="24"/>
                <w:szCs w:val="24"/>
                <w:lang w:eastAsia="zh-CN"/>
              </w:rPr>
              <w:t>要求</w:t>
            </w:r>
          </w:p>
        </w:tc>
        <w:tc>
          <w:tcPr>
            <w:tcW w:w="4839" w:type="dxa"/>
            <w:noWrap w:val="0"/>
            <w:vAlign w:val="center"/>
          </w:tcPr>
          <w:p w14:paraId="2E05E536">
            <w:pPr>
              <w:pStyle w:val="95"/>
              <w:ind w:firstLine="418"/>
              <w:jc w:val="center"/>
              <w:rPr>
                <w:rFonts w:hint="eastAsia" w:ascii="仿宋" w:hAnsi="仿宋" w:eastAsia="仿宋" w:cs="仿宋"/>
                <w:sz w:val="24"/>
                <w:szCs w:val="24"/>
              </w:rPr>
            </w:pPr>
          </w:p>
        </w:tc>
      </w:tr>
      <w:tr w14:paraId="3ACCF4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0" w:hRule="atLeast"/>
          <w:jc w:val="center"/>
        </w:trPr>
        <w:tc>
          <w:tcPr>
            <w:tcW w:w="4043" w:type="dxa"/>
            <w:noWrap w:val="0"/>
            <w:vAlign w:val="center"/>
          </w:tcPr>
          <w:p w14:paraId="5CAA0906">
            <w:pPr>
              <w:pStyle w:val="95"/>
              <w:ind w:left="0" w:leftChars="0" w:right="1610" w:firstLine="0" w:firstLineChars="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交货地点</w:t>
            </w:r>
          </w:p>
        </w:tc>
        <w:tc>
          <w:tcPr>
            <w:tcW w:w="4839" w:type="dxa"/>
            <w:noWrap w:val="0"/>
            <w:vAlign w:val="center"/>
          </w:tcPr>
          <w:p w14:paraId="07F96FA7">
            <w:pPr>
              <w:pStyle w:val="95"/>
              <w:ind w:firstLine="418"/>
              <w:jc w:val="center"/>
              <w:rPr>
                <w:rFonts w:hint="eastAsia" w:ascii="仿宋" w:hAnsi="仿宋" w:eastAsia="仿宋" w:cs="仿宋"/>
                <w:sz w:val="24"/>
                <w:szCs w:val="24"/>
              </w:rPr>
            </w:pPr>
          </w:p>
        </w:tc>
      </w:tr>
      <w:tr w14:paraId="576C1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0" w:hRule="atLeast"/>
          <w:jc w:val="center"/>
        </w:trPr>
        <w:tc>
          <w:tcPr>
            <w:tcW w:w="4043" w:type="dxa"/>
            <w:noWrap w:val="0"/>
            <w:vAlign w:val="center"/>
          </w:tcPr>
          <w:p w14:paraId="6BD303DB">
            <w:pPr>
              <w:pStyle w:val="95"/>
              <w:ind w:left="0" w:leftChars="0" w:right="1610" w:firstLine="0" w:firstLineChars="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质保期</w:t>
            </w:r>
          </w:p>
        </w:tc>
        <w:tc>
          <w:tcPr>
            <w:tcW w:w="4839" w:type="dxa"/>
            <w:noWrap w:val="0"/>
            <w:vAlign w:val="center"/>
          </w:tcPr>
          <w:p w14:paraId="2466217D">
            <w:pPr>
              <w:pStyle w:val="95"/>
              <w:ind w:firstLine="418"/>
              <w:jc w:val="center"/>
              <w:rPr>
                <w:rFonts w:hint="eastAsia" w:ascii="仿宋" w:hAnsi="仿宋" w:eastAsia="仿宋" w:cs="仿宋"/>
                <w:sz w:val="24"/>
                <w:szCs w:val="24"/>
              </w:rPr>
            </w:pPr>
          </w:p>
        </w:tc>
      </w:tr>
    </w:tbl>
    <w:p w14:paraId="648DCF38">
      <w:pPr>
        <w:widowControl/>
        <w:jc w:val="left"/>
        <w:outlineLvl w:val="9"/>
        <w:rPr>
          <w:rFonts w:ascii="宋体" w:hAnsi="宋体" w:cs="宋体"/>
          <w:b/>
          <w:kern w:val="0"/>
          <w:sz w:val="24"/>
          <w:szCs w:val="24"/>
          <w:lang w:eastAsia="en-US"/>
        </w:rPr>
      </w:pPr>
      <w:r>
        <w:rPr>
          <w:rFonts w:ascii="Times New Roman" w:hAnsi="Times New Roman" w:eastAsia="Times New Roman"/>
          <w:kern w:val="0"/>
          <w:sz w:val="24"/>
          <w:szCs w:val="24"/>
          <w:lang w:eastAsia="en-US"/>
        </w:rPr>
        <w:br w:type="page"/>
      </w:r>
      <w:r>
        <w:rPr>
          <w:rFonts w:hint="eastAsia" w:ascii="仿宋" w:hAnsi="仿宋" w:eastAsia="仿宋" w:cs="仿宋"/>
          <w:b/>
          <w:kern w:val="0"/>
          <w:sz w:val="28"/>
          <w:szCs w:val="24"/>
          <w:lang w:eastAsia="en-US"/>
        </w:rPr>
        <w:t>附件6:报价明细表</w:t>
      </w:r>
    </w:p>
    <w:p w14:paraId="32B845A5">
      <w:pPr>
        <w:pStyle w:val="96"/>
        <w:jc w:val="center"/>
        <w:rPr>
          <w:rFonts w:ascii="仿宋" w:hAnsi="仿宋" w:eastAsia="仿宋"/>
          <w:color w:val="auto"/>
          <w:spacing w:val="14"/>
          <w:sz w:val="24"/>
          <w:szCs w:val="24"/>
        </w:rPr>
      </w:pPr>
      <w:r>
        <w:rPr>
          <w:rFonts w:hint="eastAsia" w:ascii="仿宋" w:hAnsi="仿宋" w:eastAsia="仿宋"/>
          <w:color w:val="auto"/>
          <w:spacing w:val="14"/>
          <w:sz w:val="24"/>
          <w:szCs w:val="24"/>
        </w:rPr>
        <w:t>报价明细表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360"/>
        <w:gridCol w:w="1617"/>
        <w:gridCol w:w="1843"/>
        <w:gridCol w:w="1139"/>
        <w:gridCol w:w="845"/>
        <w:gridCol w:w="989"/>
        <w:gridCol w:w="989"/>
      </w:tblGrid>
      <w:tr w14:paraId="2018D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75" w:type="dxa"/>
            <w:noWrap w:val="0"/>
            <w:vAlign w:val="center"/>
          </w:tcPr>
          <w:p w14:paraId="15CD2539">
            <w:pPr>
              <w:pStyle w:val="98"/>
              <w:widowControl/>
              <w:jc w:val="center"/>
              <w:rPr>
                <w:rFonts w:hint="eastAsia" w:ascii="仿宋" w:hAnsi="仿宋" w:eastAsia="仿宋" w:cs="仿宋"/>
                <w:spacing w:val="14"/>
                <w:kern w:val="0"/>
                <w:sz w:val="24"/>
                <w:szCs w:val="24"/>
              </w:rPr>
            </w:pPr>
            <w:r>
              <w:rPr>
                <w:rFonts w:hint="eastAsia" w:ascii="仿宋" w:hAnsi="仿宋" w:eastAsia="仿宋" w:cs="仿宋"/>
                <w:spacing w:val="14"/>
                <w:kern w:val="0"/>
                <w:sz w:val="24"/>
                <w:szCs w:val="24"/>
              </w:rPr>
              <w:t>序号</w:t>
            </w:r>
          </w:p>
        </w:tc>
        <w:tc>
          <w:tcPr>
            <w:tcW w:w="1360" w:type="dxa"/>
            <w:noWrap w:val="0"/>
            <w:vAlign w:val="center"/>
          </w:tcPr>
          <w:p w14:paraId="1C8DB88B">
            <w:pPr>
              <w:pStyle w:val="98"/>
              <w:widowControl/>
              <w:jc w:val="center"/>
              <w:rPr>
                <w:rFonts w:hint="eastAsia" w:ascii="仿宋" w:hAnsi="仿宋" w:eastAsia="仿宋" w:cs="仿宋"/>
                <w:spacing w:val="14"/>
                <w:kern w:val="0"/>
                <w:sz w:val="24"/>
                <w:szCs w:val="24"/>
              </w:rPr>
            </w:pPr>
            <w:r>
              <w:rPr>
                <w:rFonts w:hint="eastAsia" w:ascii="仿宋" w:hAnsi="仿宋" w:eastAsia="仿宋" w:cs="仿宋"/>
                <w:spacing w:val="14"/>
                <w:kern w:val="0"/>
                <w:sz w:val="24"/>
                <w:szCs w:val="24"/>
              </w:rPr>
              <w:t>名称</w:t>
            </w:r>
          </w:p>
        </w:tc>
        <w:tc>
          <w:tcPr>
            <w:tcW w:w="1617" w:type="dxa"/>
            <w:noWrap w:val="0"/>
            <w:vAlign w:val="center"/>
          </w:tcPr>
          <w:p w14:paraId="09AEB657">
            <w:pPr>
              <w:pStyle w:val="98"/>
              <w:widowControl/>
              <w:rPr>
                <w:rFonts w:hint="eastAsia" w:ascii="仿宋" w:hAnsi="仿宋" w:eastAsia="仿宋" w:cs="仿宋"/>
                <w:spacing w:val="14"/>
                <w:kern w:val="0"/>
                <w:sz w:val="24"/>
                <w:szCs w:val="24"/>
              </w:rPr>
            </w:pPr>
            <w:r>
              <w:rPr>
                <w:rFonts w:hint="eastAsia" w:ascii="仿宋" w:hAnsi="仿宋" w:eastAsia="仿宋" w:cs="仿宋"/>
                <w:spacing w:val="14"/>
                <w:kern w:val="0"/>
                <w:sz w:val="24"/>
                <w:szCs w:val="24"/>
              </w:rPr>
              <w:t>品牌及制造商</w:t>
            </w:r>
          </w:p>
        </w:tc>
        <w:tc>
          <w:tcPr>
            <w:tcW w:w="1843" w:type="dxa"/>
            <w:noWrap w:val="0"/>
            <w:vAlign w:val="center"/>
          </w:tcPr>
          <w:p w14:paraId="6B496778">
            <w:pPr>
              <w:pStyle w:val="98"/>
              <w:widowControl/>
              <w:rPr>
                <w:rFonts w:hint="eastAsia" w:ascii="仿宋" w:hAnsi="仿宋" w:eastAsia="仿宋" w:cs="仿宋"/>
                <w:spacing w:val="14"/>
                <w:kern w:val="0"/>
                <w:sz w:val="24"/>
                <w:szCs w:val="24"/>
              </w:rPr>
            </w:pPr>
            <w:r>
              <w:rPr>
                <w:rFonts w:hint="eastAsia" w:ascii="仿宋" w:hAnsi="仿宋" w:eastAsia="仿宋" w:cs="仿宋"/>
                <w:spacing w:val="14"/>
                <w:kern w:val="0"/>
                <w:sz w:val="24"/>
                <w:szCs w:val="24"/>
              </w:rPr>
              <w:t>是否属于小型微型（监狱、残疾人福利性单位）企业生产的产品</w:t>
            </w:r>
          </w:p>
        </w:tc>
        <w:tc>
          <w:tcPr>
            <w:tcW w:w="1139" w:type="dxa"/>
            <w:noWrap w:val="0"/>
            <w:vAlign w:val="center"/>
          </w:tcPr>
          <w:p w14:paraId="13C60647">
            <w:pPr>
              <w:pStyle w:val="98"/>
              <w:widowControl/>
              <w:rPr>
                <w:rFonts w:hint="eastAsia" w:ascii="仿宋" w:hAnsi="仿宋" w:eastAsia="仿宋" w:cs="仿宋"/>
                <w:spacing w:val="14"/>
                <w:kern w:val="0"/>
                <w:sz w:val="24"/>
                <w:szCs w:val="24"/>
              </w:rPr>
            </w:pPr>
            <w:r>
              <w:rPr>
                <w:rFonts w:hint="eastAsia" w:ascii="仿宋" w:hAnsi="仿宋" w:eastAsia="仿宋" w:cs="仿宋"/>
                <w:spacing w:val="14"/>
                <w:kern w:val="0"/>
                <w:sz w:val="24"/>
                <w:szCs w:val="24"/>
              </w:rPr>
              <w:t>规格型号</w:t>
            </w:r>
          </w:p>
        </w:tc>
        <w:tc>
          <w:tcPr>
            <w:tcW w:w="845" w:type="dxa"/>
            <w:noWrap w:val="0"/>
            <w:vAlign w:val="center"/>
          </w:tcPr>
          <w:p w14:paraId="621D0DB5">
            <w:pPr>
              <w:pStyle w:val="98"/>
              <w:widowControl/>
              <w:rPr>
                <w:rFonts w:hint="eastAsia" w:ascii="仿宋" w:hAnsi="仿宋" w:eastAsia="仿宋" w:cs="仿宋"/>
                <w:spacing w:val="14"/>
                <w:kern w:val="0"/>
                <w:sz w:val="24"/>
                <w:szCs w:val="24"/>
              </w:rPr>
            </w:pPr>
            <w:r>
              <w:rPr>
                <w:rFonts w:hint="eastAsia" w:ascii="仿宋" w:hAnsi="仿宋" w:eastAsia="仿宋" w:cs="仿宋"/>
                <w:spacing w:val="14"/>
                <w:kern w:val="0"/>
                <w:sz w:val="24"/>
                <w:szCs w:val="24"/>
              </w:rPr>
              <w:t>数量</w:t>
            </w:r>
          </w:p>
        </w:tc>
        <w:tc>
          <w:tcPr>
            <w:tcW w:w="989" w:type="dxa"/>
            <w:noWrap w:val="0"/>
            <w:vAlign w:val="center"/>
          </w:tcPr>
          <w:p w14:paraId="45DAE11C">
            <w:pPr>
              <w:pStyle w:val="98"/>
              <w:widowControl/>
              <w:rPr>
                <w:rFonts w:hint="eastAsia" w:ascii="仿宋" w:hAnsi="仿宋" w:eastAsia="仿宋" w:cs="仿宋"/>
                <w:spacing w:val="14"/>
                <w:kern w:val="0"/>
                <w:sz w:val="24"/>
                <w:szCs w:val="24"/>
              </w:rPr>
            </w:pPr>
            <w:r>
              <w:rPr>
                <w:rFonts w:hint="eastAsia" w:ascii="仿宋" w:hAnsi="仿宋" w:eastAsia="仿宋" w:cs="仿宋"/>
                <w:spacing w:val="14"/>
                <w:kern w:val="0"/>
                <w:sz w:val="24"/>
                <w:szCs w:val="24"/>
              </w:rPr>
              <w:t>单价</w:t>
            </w:r>
          </w:p>
          <w:p w14:paraId="1A106B7B">
            <w:pPr>
              <w:pStyle w:val="98"/>
              <w:rPr>
                <w:rFonts w:hint="eastAsia" w:ascii="仿宋" w:hAnsi="仿宋" w:eastAsia="仿宋" w:cs="仿宋"/>
                <w:kern w:val="0"/>
                <w:sz w:val="24"/>
                <w:szCs w:val="24"/>
              </w:rPr>
            </w:pPr>
            <w:r>
              <w:rPr>
                <w:rFonts w:hint="eastAsia" w:ascii="仿宋" w:hAnsi="仿宋" w:eastAsia="仿宋" w:cs="仿宋"/>
                <w:kern w:val="0"/>
                <w:sz w:val="24"/>
                <w:szCs w:val="24"/>
              </w:rPr>
              <w:t>（元）</w:t>
            </w:r>
          </w:p>
        </w:tc>
        <w:tc>
          <w:tcPr>
            <w:tcW w:w="989" w:type="dxa"/>
            <w:noWrap w:val="0"/>
            <w:vAlign w:val="center"/>
          </w:tcPr>
          <w:p w14:paraId="34238275">
            <w:pPr>
              <w:pStyle w:val="98"/>
              <w:widowControl/>
              <w:rPr>
                <w:rFonts w:hint="eastAsia" w:ascii="仿宋" w:hAnsi="仿宋" w:eastAsia="仿宋" w:cs="仿宋"/>
                <w:spacing w:val="14"/>
                <w:kern w:val="0"/>
                <w:sz w:val="24"/>
                <w:szCs w:val="24"/>
              </w:rPr>
            </w:pPr>
            <w:r>
              <w:rPr>
                <w:rFonts w:hint="eastAsia" w:ascii="仿宋" w:hAnsi="仿宋" w:eastAsia="仿宋" w:cs="仿宋"/>
                <w:spacing w:val="14"/>
                <w:kern w:val="0"/>
                <w:sz w:val="24"/>
                <w:szCs w:val="24"/>
              </w:rPr>
              <w:t>总价</w:t>
            </w:r>
          </w:p>
          <w:p w14:paraId="58E633C2">
            <w:pPr>
              <w:pStyle w:val="98"/>
              <w:rPr>
                <w:rFonts w:hint="eastAsia" w:ascii="仿宋" w:hAnsi="仿宋" w:eastAsia="仿宋" w:cs="仿宋"/>
                <w:kern w:val="0"/>
                <w:sz w:val="24"/>
                <w:szCs w:val="24"/>
              </w:rPr>
            </w:pPr>
            <w:r>
              <w:rPr>
                <w:rFonts w:hint="eastAsia" w:ascii="仿宋" w:hAnsi="仿宋" w:eastAsia="仿宋" w:cs="仿宋"/>
                <w:kern w:val="0"/>
                <w:sz w:val="24"/>
                <w:szCs w:val="24"/>
              </w:rPr>
              <w:t>（元）</w:t>
            </w:r>
          </w:p>
        </w:tc>
      </w:tr>
      <w:tr w14:paraId="68B01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75" w:type="dxa"/>
            <w:noWrap w:val="0"/>
            <w:vAlign w:val="center"/>
          </w:tcPr>
          <w:p w14:paraId="68D5A9A3">
            <w:pPr>
              <w:pStyle w:val="98"/>
              <w:widowControl/>
              <w:ind w:firstLine="482"/>
              <w:rPr>
                <w:rFonts w:hint="eastAsia" w:ascii="仿宋" w:hAnsi="仿宋" w:eastAsia="仿宋" w:cs="仿宋"/>
                <w:spacing w:val="14"/>
                <w:kern w:val="0"/>
                <w:sz w:val="24"/>
                <w:szCs w:val="24"/>
              </w:rPr>
            </w:pPr>
          </w:p>
        </w:tc>
        <w:tc>
          <w:tcPr>
            <w:tcW w:w="1360" w:type="dxa"/>
            <w:noWrap w:val="0"/>
            <w:vAlign w:val="center"/>
          </w:tcPr>
          <w:p w14:paraId="68EA5031">
            <w:pPr>
              <w:pStyle w:val="98"/>
              <w:widowControl/>
              <w:ind w:firstLine="482"/>
              <w:rPr>
                <w:rFonts w:hint="eastAsia" w:ascii="仿宋" w:hAnsi="仿宋" w:eastAsia="仿宋" w:cs="仿宋"/>
                <w:spacing w:val="14"/>
                <w:kern w:val="0"/>
                <w:sz w:val="24"/>
                <w:szCs w:val="24"/>
              </w:rPr>
            </w:pPr>
          </w:p>
        </w:tc>
        <w:tc>
          <w:tcPr>
            <w:tcW w:w="1617" w:type="dxa"/>
            <w:noWrap w:val="0"/>
            <w:vAlign w:val="center"/>
          </w:tcPr>
          <w:p w14:paraId="37ED7016">
            <w:pPr>
              <w:pStyle w:val="98"/>
              <w:widowControl/>
              <w:ind w:firstLine="482"/>
              <w:rPr>
                <w:rFonts w:hint="eastAsia" w:ascii="仿宋" w:hAnsi="仿宋" w:eastAsia="仿宋" w:cs="仿宋"/>
                <w:spacing w:val="14"/>
                <w:kern w:val="0"/>
                <w:sz w:val="24"/>
                <w:szCs w:val="24"/>
              </w:rPr>
            </w:pPr>
          </w:p>
        </w:tc>
        <w:tc>
          <w:tcPr>
            <w:tcW w:w="1843" w:type="dxa"/>
            <w:noWrap w:val="0"/>
            <w:vAlign w:val="center"/>
          </w:tcPr>
          <w:p w14:paraId="5A8EDB09">
            <w:pPr>
              <w:pStyle w:val="98"/>
              <w:widowControl/>
              <w:ind w:firstLine="482"/>
              <w:rPr>
                <w:rFonts w:hint="eastAsia" w:ascii="仿宋" w:hAnsi="仿宋" w:eastAsia="仿宋" w:cs="仿宋"/>
                <w:spacing w:val="14"/>
                <w:kern w:val="0"/>
                <w:sz w:val="24"/>
                <w:szCs w:val="24"/>
              </w:rPr>
            </w:pPr>
          </w:p>
        </w:tc>
        <w:tc>
          <w:tcPr>
            <w:tcW w:w="1139" w:type="dxa"/>
            <w:noWrap w:val="0"/>
            <w:vAlign w:val="center"/>
          </w:tcPr>
          <w:p w14:paraId="7F3F16E5">
            <w:pPr>
              <w:pStyle w:val="98"/>
              <w:widowControl/>
              <w:ind w:firstLine="482"/>
              <w:rPr>
                <w:rFonts w:hint="eastAsia" w:ascii="仿宋" w:hAnsi="仿宋" w:eastAsia="仿宋" w:cs="仿宋"/>
                <w:spacing w:val="14"/>
                <w:kern w:val="0"/>
                <w:sz w:val="24"/>
                <w:szCs w:val="24"/>
              </w:rPr>
            </w:pPr>
          </w:p>
        </w:tc>
        <w:tc>
          <w:tcPr>
            <w:tcW w:w="845" w:type="dxa"/>
            <w:noWrap w:val="0"/>
            <w:vAlign w:val="center"/>
          </w:tcPr>
          <w:p w14:paraId="231909EB">
            <w:pPr>
              <w:pStyle w:val="98"/>
              <w:widowControl/>
              <w:ind w:firstLine="482"/>
              <w:rPr>
                <w:rFonts w:hint="eastAsia" w:ascii="仿宋" w:hAnsi="仿宋" w:eastAsia="仿宋" w:cs="仿宋"/>
                <w:spacing w:val="14"/>
                <w:kern w:val="0"/>
                <w:sz w:val="24"/>
                <w:szCs w:val="24"/>
              </w:rPr>
            </w:pPr>
          </w:p>
        </w:tc>
        <w:tc>
          <w:tcPr>
            <w:tcW w:w="989" w:type="dxa"/>
            <w:noWrap w:val="0"/>
            <w:vAlign w:val="center"/>
          </w:tcPr>
          <w:p w14:paraId="73622143">
            <w:pPr>
              <w:pStyle w:val="98"/>
              <w:widowControl/>
              <w:ind w:firstLine="482"/>
              <w:rPr>
                <w:rFonts w:hint="eastAsia" w:ascii="仿宋" w:hAnsi="仿宋" w:eastAsia="仿宋" w:cs="仿宋"/>
                <w:spacing w:val="14"/>
                <w:kern w:val="0"/>
                <w:sz w:val="24"/>
                <w:szCs w:val="24"/>
              </w:rPr>
            </w:pPr>
          </w:p>
        </w:tc>
        <w:tc>
          <w:tcPr>
            <w:tcW w:w="989" w:type="dxa"/>
            <w:noWrap w:val="0"/>
            <w:vAlign w:val="center"/>
          </w:tcPr>
          <w:p w14:paraId="7231728C">
            <w:pPr>
              <w:pStyle w:val="98"/>
              <w:widowControl/>
              <w:ind w:firstLine="482"/>
              <w:rPr>
                <w:rFonts w:hint="eastAsia" w:ascii="仿宋" w:hAnsi="仿宋" w:eastAsia="仿宋" w:cs="仿宋"/>
                <w:spacing w:val="14"/>
                <w:kern w:val="0"/>
                <w:sz w:val="24"/>
                <w:szCs w:val="24"/>
              </w:rPr>
            </w:pPr>
          </w:p>
        </w:tc>
      </w:tr>
      <w:tr w14:paraId="1130A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75" w:type="dxa"/>
            <w:noWrap w:val="0"/>
            <w:vAlign w:val="center"/>
          </w:tcPr>
          <w:p w14:paraId="3A472224">
            <w:pPr>
              <w:pStyle w:val="98"/>
              <w:widowControl/>
              <w:ind w:firstLine="482"/>
              <w:rPr>
                <w:rFonts w:hint="eastAsia" w:ascii="仿宋" w:hAnsi="仿宋" w:eastAsia="仿宋" w:cs="仿宋"/>
                <w:spacing w:val="14"/>
                <w:kern w:val="0"/>
                <w:sz w:val="24"/>
                <w:szCs w:val="24"/>
              </w:rPr>
            </w:pPr>
          </w:p>
        </w:tc>
        <w:tc>
          <w:tcPr>
            <w:tcW w:w="1360" w:type="dxa"/>
            <w:noWrap w:val="0"/>
            <w:vAlign w:val="center"/>
          </w:tcPr>
          <w:p w14:paraId="35D28F36">
            <w:pPr>
              <w:pStyle w:val="98"/>
              <w:widowControl/>
              <w:ind w:firstLine="482"/>
              <w:rPr>
                <w:rFonts w:hint="eastAsia" w:ascii="仿宋" w:hAnsi="仿宋" w:eastAsia="仿宋" w:cs="仿宋"/>
                <w:spacing w:val="14"/>
                <w:kern w:val="0"/>
                <w:sz w:val="24"/>
                <w:szCs w:val="24"/>
              </w:rPr>
            </w:pPr>
          </w:p>
        </w:tc>
        <w:tc>
          <w:tcPr>
            <w:tcW w:w="1617" w:type="dxa"/>
            <w:noWrap w:val="0"/>
            <w:vAlign w:val="center"/>
          </w:tcPr>
          <w:p w14:paraId="09DD21D2">
            <w:pPr>
              <w:pStyle w:val="98"/>
              <w:widowControl/>
              <w:ind w:firstLine="482"/>
              <w:rPr>
                <w:rFonts w:hint="eastAsia" w:ascii="仿宋" w:hAnsi="仿宋" w:eastAsia="仿宋" w:cs="仿宋"/>
                <w:spacing w:val="14"/>
                <w:kern w:val="0"/>
                <w:sz w:val="24"/>
                <w:szCs w:val="24"/>
              </w:rPr>
            </w:pPr>
          </w:p>
        </w:tc>
        <w:tc>
          <w:tcPr>
            <w:tcW w:w="1843" w:type="dxa"/>
            <w:noWrap w:val="0"/>
            <w:vAlign w:val="center"/>
          </w:tcPr>
          <w:p w14:paraId="22D7EF99">
            <w:pPr>
              <w:pStyle w:val="98"/>
              <w:widowControl/>
              <w:ind w:firstLine="482"/>
              <w:rPr>
                <w:rFonts w:hint="eastAsia" w:ascii="仿宋" w:hAnsi="仿宋" w:eastAsia="仿宋" w:cs="仿宋"/>
                <w:spacing w:val="14"/>
                <w:kern w:val="0"/>
                <w:sz w:val="24"/>
                <w:szCs w:val="24"/>
              </w:rPr>
            </w:pPr>
          </w:p>
        </w:tc>
        <w:tc>
          <w:tcPr>
            <w:tcW w:w="1139" w:type="dxa"/>
            <w:noWrap w:val="0"/>
            <w:vAlign w:val="center"/>
          </w:tcPr>
          <w:p w14:paraId="5548CC3D">
            <w:pPr>
              <w:pStyle w:val="98"/>
              <w:widowControl/>
              <w:ind w:firstLine="482"/>
              <w:rPr>
                <w:rFonts w:hint="eastAsia" w:ascii="仿宋" w:hAnsi="仿宋" w:eastAsia="仿宋" w:cs="仿宋"/>
                <w:spacing w:val="14"/>
                <w:kern w:val="0"/>
                <w:sz w:val="24"/>
                <w:szCs w:val="24"/>
              </w:rPr>
            </w:pPr>
          </w:p>
        </w:tc>
        <w:tc>
          <w:tcPr>
            <w:tcW w:w="845" w:type="dxa"/>
            <w:noWrap w:val="0"/>
            <w:vAlign w:val="center"/>
          </w:tcPr>
          <w:p w14:paraId="6BE27E21">
            <w:pPr>
              <w:pStyle w:val="98"/>
              <w:widowControl/>
              <w:ind w:firstLine="482"/>
              <w:rPr>
                <w:rFonts w:hint="eastAsia" w:ascii="仿宋" w:hAnsi="仿宋" w:eastAsia="仿宋" w:cs="仿宋"/>
                <w:spacing w:val="14"/>
                <w:kern w:val="0"/>
                <w:sz w:val="24"/>
                <w:szCs w:val="24"/>
              </w:rPr>
            </w:pPr>
          </w:p>
        </w:tc>
        <w:tc>
          <w:tcPr>
            <w:tcW w:w="989" w:type="dxa"/>
            <w:noWrap w:val="0"/>
            <w:vAlign w:val="center"/>
          </w:tcPr>
          <w:p w14:paraId="7411606E">
            <w:pPr>
              <w:pStyle w:val="98"/>
              <w:widowControl/>
              <w:ind w:firstLine="482"/>
              <w:rPr>
                <w:rFonts w:hint="eastAsia" w:ascii="仿宋" w:hAnsi="仿宋" w:eastAsia="仿宋" w:cs="仿宋"/>
                <w:spacing w:val="14"/>
                <w:kern w:val="0"/>
                <w:sz w:val="24"/>
                <w:szCs w:val="24"/>
              </w:rPr>
            </w:pPr>
          </w:p>
        </w:tc>
        <w:tc>
          <w:tcPr>
            <w:tcW w:w="989" w:type="dxa"/>
            <w:noWrap w:val="0"/>
            <w:vAlign w:val="center"/>
          </w:tcPr>
          <w:p w14:paraId="782DCE30">
            <w:pPr>
              <w:pStyle w:val="98"/>
              <w:widowControl/>
              <w:ind w:firstLine="482"/>
              <w:rPr>
                <w:rFonts w:hint="eastAsia" w:ascii="仿宋" w:hAnsi="仿宋" w:eastAsia="仿宋" w:cs="仿宋"/>
                <w:spacing w:val="14"/>
                <w:kern w:val="0"/>
                <w:sz w:val="24"/>
                <w:szCs w:val="24"/>
              </w:rPr>
            </w:pPr>
          </w:p>
        </w:tc>
      </w:tr>
      <w:tr w14:paraId="44628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75" w:type="dxa"/>
            <w:noWrap w:val="0"/>
            <w:vAlign w:val="center"/>
          </w:tcPr>
          <w:p w14:paraId="41E0069E">
            <w:pPr>
              <w:pStyle w:val="98"/>
              <w:widowControl/>
              <w:ind w:firstLine="482"/>
              <w:rPr>
                <w:rFonts w:hint="eastAsia" w:ascii="仿宋" w:hAnsi="仿宋" w:eastAsia="仿宋" w:cs="仿宋"/>
                <w:spacing w:val="14"/>
                <w:kern w:val="0"/>
                <w:sz w:val="24"/>
                <w:szCs w:val="24"/>
              </w:rPr>
            </w:pPr>
          </w:p>
        </w:tc>
        <w:tc>
          <w:tcPr>
            <w:tcW w:w="1360" w:type="dxa"/>
            <w:noWrap w:val="0"/>
            <w:vAlign w:val="center"/>
          </w:tcPr>
          <w:p w14:paraId="1C966E00">
            <w:pPr>
              <w:pStyle w:val="98"/>
              <w:widowControl/>
              <w:ind w:firstLine="482"/>
              <w:rPr>
                <w:rFonts w:hint="eastAsia" w:ascii="仿宋" w:hAnsi="仿宋" w:eastAsia="仿宋" w:cs="仿宋"/>
                <w:spacing w:val="14"/>
                <w:kern w:val="0"/>
                <w:sz w:val="24"/>
                <w:szCs w:val="24"/>
              </w:rPr>
            </w:pPr>
          </w:p>
        </w:tc>
        <w:tc>
          <w:tcPr>
            <w:tcW w:w="1617" w:type="dxa"/>
            <w:noWrap w:val="0"/>
            <w:vAlign w:val="center"/>
          </w:tcPr>
          <w:p w14:paraId="076DE9F6">
            <w:pPr>
              <w:pStyle w:val="98"/>
              <w:widowControl/>
              <w:ind w:firstLine="482"/>
              <w:rPr>
                <w:rFonts w:hint="eastAsia" w:ascii="仿宋" w:hAnsi="仿宋" w:eastAsia="仿宋" w:cs="仿宋"/>
                <w:spacing w:val="14"/>
                <w:kern w:val="0"/>
                <w:sz w:val="24"/>
                <w:szCs w:val="24"/>
              </w:rPr>
            </w:pPr>
          </w:p>
        </w:tc>
        <w:tc>
          <w:tcPr>
            <w:tcW w:w="1843" w:type="dxa"/>
            <w:noWrap w:val="0"/>
            <w:vAlign w:val="center"/>
          </w:tcPr>
          <w:p w14:paraId="32382CC1">
            <w:pPr>
              <w:pStyle w:val="98"/>
              <w:widowControl/>
              <w:ind w:firstLine="482"/>
              <w:rPr>
                <w:rFonts w:hint="eastAsia" w:ascii="仿宋" w:hAnsi="仿宋" w:eastAsia="仿宋" w:cs="仿宋"/>
                <w:spacing w:val="14"/>
                <w:kern w:val="0"/>
                <w:sz w:val="24"/>
                <w:szCs w:val="24"/>
              </w:rPr>
            </w:pPr>
          </w:p>
        </w:tc>
        <w:tc>
          <w:tcPr>
            <w:tcW w:w="1139" w:type="dxa"/>
            <w:noWrap w:val="0"/>
            <w:vAlign w:val="center"/>
          </w:tcPr>
          <w:p w14:paraId="472A5CA5">
            <w:pPr>
              <w:pStyle w:val="98"/>
              <w:widowControl/>
              <w:ind w:firstLine="482"/>
              <w:rPr>
                <w:rFonts w:hint="eastAsia" w:ascii="仿宋" w:hAnsi="仿宋" w:eastAsia="仿宋" w:cs="仿宋"/>
                <w:spacing w:val="14"/>
                <w:kern w:val="0"/>
                <w:sz w:val="24"/>
                <w:szCs w:val="24"/>
              </w:rPr>
            </w:pPr>
          </w:p>
        </w:tc>
        <w:tc>
          <w:tcPr>
            <w:tcW w:w="845" w:type="dxa"/>
            <w:noWrap w:val="0"/>
            <w:vAlign w:val="center"/>
          </w:tcPr>
          <w:p w14:paraId="2339D920">
            <w:pPr>
              <w:pStyle w:val="98"/>
              <w:widowControl/>
              <w:ind w:firstLine="482"/>
              <w:rPr>
                <w:rFonts w:hint="eastAsia" w:ascii="仿宋" w:hAnsi="仿宋" w:eastAsia="仿宋" w:cs="仿宋"/>
                <w:spacing w:val="14"/>
                <w:kern w:val="0"/>
                <w:sz w:val="24"/>
                <w:szCs w:val="24"/>
              </w:rPr>
            </w:pPr>
          </w:p>
        </w:tc>
        <w:tc>
          <w:tcPr>
            <w:tcW w:w="989" w:type="dxa"/>
            <w:noWrap w:val="0"/>
            <w:vAlign w:val="center"/>
          </w:tcPr>
          <w:p w14:paraId="6C286754">
            <w:pPr>
              <w:pStyle w:val="98"/>
              <w:widowControl/>
              <w:ind w:firstLine="482"/>
              <w:rPr>
                <w:rFonts w:hint="eastAsia" w:ascii="仿宋" w:hAnsi="仿宋" w:eastAsia="仿宋" w:cs="仿宋"/>
                <w:spacing w:val="14"/>
                <w:kern w:val="0"/>
                <w:sz w:val="24"/>
                <w:szCs w:val="24"/>
              </w:rPr>
            </w:pPr>
          </w:p>
        </w:tc>
        <w:tc>
          <w:tcPr>
            <w:tcW w:w="989" w:type="dxa"/>
            <w:noWrap w:val="0"/>
            <w:vAlign w:val="center"/>
          </w:tcPr>
          <w:p w14:paraId="0043B207">
            <w:pPr>
              <w:pStyle w:val="98"/>
              <w:widowControl/>
              <w:ind w:firstLine="482"/>
              <w:rPr>
                <w:rFonts w:hint="eastAsia" w:ascii="仿宋" w:hAnsi="仿宋" w:eastAsia="仿宋" w:cs="仿宋"/>
                <w:spacing w:val="14"/>
                <w:kern w:val="0"/>
                <w:sz w:val="24"/>
                <w:szCs w:val="24"/>
              </w:rPr>
            </w:pPr>
          </w:p>
        </w:tc>
      </w:tr>
      <w:tr w14:paraId="1877D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75" w:type="dxa"/>
            <w:noWrap w:val="0"/>
            <w:vAlign w:val="center"/>
          </w:tcPr>
          <w:p w14:paraId="340C8BED">
            <w:pPr>
              <w:pStyle w:val="98"/>
              <w:widowControl/>
              <w:ind w:firstLine="482"/>
              <w:rPr>
                <w:rFonts w:hint="eastAsia" w:ascii="仿宋" w:hAnsi="仿宋" w:eastAsia="仿宋" w:cs="仿宋"/>
                <w:spacing w:val="14"/>
                <w:kern w:val="0"/>
                <w:sz w:val="24"/>
                <w:szCs w:val="24"/>
              </w:rPr>
            </w:pPr>
          </w:p>
        </w:tc>
        <w:tc>
          <w:tcPr>
            <w:tcW w:w="1360" w:type="dxa"/>
            <w:noWrap w:val="0"/>
            <w:vAlign w:val="center"/>
          </w:tcPr>
          <w:p w14:paraId="5EAB83F2">
            <w:pPr>
              <w:pStyle w:val="98"/>
              <w:widowControl/>
              <w:ind w:firstLine="482"/>
              <w:rPr>
                <w:rFonts w:hint="eastAsia" w:ascii="仿宋" w:hAnsi="仿宋" w:eastAsia="仿宋" w:cs="仿宋"/>
                <w:spacing w:val="14"/>
                <w:kern w:val="0"/>
                <w:sz w:val="24"/>
                <w:szCs w:val="24"/>
              </w:rPr>
            </w:pPr>
          </w:p>
        </w:tc>
        <w:tc>
          <w:tcPr>
            <w:tcW w:w="1617" w:type="dxa"/>
            <w:noWrap w:val="0"/>
            <w:vAlign w:val="center"/>
          </w:tcPr>
          <w:p w14:paraId="026DEA07">
            <w:pPr>
              <w:pStyle w:val="98"/>
              <w:widowControl/>
              <w:ind w:firstLine="482"/>
              <w:rPr>
                <w:rFonts w:hint="eastAsia" w:ascii="仿宋" w:hAnsi="仿宋" w:eastAsia="仿宋" w:cs="仿宋"/>
                <w:spacing w:val="14"/>
                <w:kern w:val="0"/>
                <w:sz w:val="24"/>
                <w:szCs w:val="24"/>
              </w:rPr>
            </w:pPr>
          </w:p>
        </w:tc>
        <w:tc>
          <w:tcPr>
            <w:tcW w:w="1843" w:type="dxa"/>
            <w:noWrap w:val="0"/>
            <w:vAlign w:val="center"/>
          </w:tcPr>
          <w:p w14:paraId="45667DB9">
            <w:pPr>
              <w:pStyle w:val="98"/>
              <w:widowControl/>
              <w:ind w:firstLine="482"/>
              <w:rPr>
                <w:rFonts w:hint="eastAsia" w:ascii="仿宋" w:hAnsi="仿宋" w:eastAsia="仿宋" w:cs="仿宋"/>
                <w:spacing w:val="14"/>
                <w:kern w:val="0"/>
                <w:sz w:val="24"/>
                <w:szCs w:val="24"/>
              </w:rPr>
            </w:pPr>
          </w:p>
        </w:tc>
        <w:tc>
          <w:tcPr>
            <w:tcW w:w="1139" w:type="dxa"/>
            <w:noWrap w:val="0"/>
            <w:vAlign w:val="center"/>
          </w:tcPr>
          <w:p w14:paraId="7920E7DD">
            <w:pPr>
              <w:pStyle w:val="98"/>
              <w:widowControl/>
              <w:ind w:firstLine="482"/>
              <w:rPr>
                <w:rFonts w:hint="eastAsia" w:ascii="仿宋" w:hAnsi="仿宋" w:eastAsia="仿宋" w:cs="仿宋"/>
                <w:spacing w:val="14"/>
                <w:kern w:val="0"/>
                <w:sz w:val="24"/>
                <w:szCs w:val="24"/>
              </w:rPr>
            </w:pPr>
          </w:p>
        </w:tc>
        <w:tc>
          <w:tcPr>
            <w:tcW w:w="845" w:type="dxa"/>
            <w:noWrap w:val="0"/>
            <w:vAlign w:val="center"/>
          </w:tcPr>
          <w:p w14:paraId="3D99A1A2">
            <w:pPr>
              <w:pStyle w:val="98"/>
              <w:widowControl/>
              <w:ind w:firstLine="482"/>
              <w:rPr>
                <w:rFonts w:hint="eastAsia" w:ascii="仿宋" w:hAnsi="仿宋" w:eastAsia="仿宋" w:cs="仿宋"/>
                <w:spacing w:val="14"/>
                <w:kern w:val="0"/>
                <w:sz w:val="24"/>
                <w:szCs w:val="24"/>
              </w:rPr>
            </w:pPr>
          </w:p>
        </w:tc>
        <w:tc>
          <w:tcPr>
            <w:tcW w:w="989" w:type="dxa"/>
            <w:noWrap w:val="0"/>
            <w:vAlign w:val="center"/>
          </w:tcPr>
          <w:p w14:paraId="3631D07C">
            <w:pPr>
              <w:pStyle w:val="98"/>
              <w:widowControl/>
              <w:ind w:firstLine="482"/>
              <w:rPr>
                <w:rFonts w:hint="eastAsia" w:ascii="仿宋" w:hAnsi="仿宋" w:eastAsia="仿宋" w:cs="仿宋"/>
                <w:spacing w:val="14"/>
                <w:kern w:val="0"/>
                <w:sz w:val="24"/>
                <w:szCs w:val="24"/>
              </w:rPr>
            </w:pPr>
          </w:p>
        </w:tc>
        <w:tc>
          <w:tcPr>
            <w:tcW w:w="989" w:type="dxa"/>
            <w:noWrap w:val="0"/>
            <w:vAlign w:val="center"/>
          </w:tcPr>
          <w:p w14:paraId="3E9302BE">
            <w:pPr>
              <w:pStyle w:val="98"/>
              <w:widowControl/>
              <w:ind w:firstLine="482"/>
              <w:rPr>
                <w:rFonts w:hint="eastAsia" w:ascii="仿宋" w:hAnsi="仿宋" w:eastAsia="仿宋" w:cs="仿宋"/>
                <w:spacing w:val="14"/>
                <w:kern w:val="0"/>
                <w:sz w:val="24"/>
                <w:szCs w:val="24"/>
              </w:rPr>
            </w:pPr>
          </w:p>
        </w:tc>
      </w:tr>
      <w:tr w14:paraId="093FF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75" w:type="dxa"/>
            <w:noWrap w:val="0"/>
            <w:vAlign w:val="center"/>
          </w:tcPr>
          <w:p w14:paraId="7D012114">
            <w:pPr>
              <w:pStyle w:val="98"/>
              <w:widowControl/>
              <w:ind w:firstLine="482"/>
              <w:rPr>
                <w:rFonts w:hint="eastAsia" w:ascii="仿宋" w:hAnsi="仿宋" w:eastAsia="仿宋" w:cs="仿宋"/>
                <w:spacing w:val="14"/>
                <w:kern w:val="0"/>
                <w:sz w:val="24"/>
                <w:szCs w:val="24"/>
              </w:rPr>
            </w:pPr>
          </w:p>
        </w:tc>
        <w:tc>
          <w:tcPr>
            <w:tcW w:w="1360" w:type="dxa"/>
            <w:noWrap w:val="0"/>
            <w:vAlign w:val="center"/>
          </w:tcPr>
          <w:p w14:paraId="14D82929">
            <w:pPr>
              <w:pStyle w:val="98"/>
              <w:widowControl/>
              <w:ind w:firstLine="482"/>
              <w:rPr>
                <w:rFonts w:hint="eastAsia" w:ascii="仿宋" w:hAnsi="仿宋" w:eastAsia="仿宋" w:cs="仿宋"/>
                <w:spacing w:val="14"/>
                <w:kern w:val="0"/>
                <w:sz w:val="24"/>
                <w:szCs w:val="24"/>
              </w:rPr>
            </w:pPr>
          </w:p>
        </w:tc>
        <w:tc>
          <w:tcPr>
            <w:tcW w:w="1617" w:type="dxa"/>
            <w:noWrap w:val="0"/>
            <w:vAlign w:val="center"/>
          </w:tcPr>
          <w:p w14:paraId="56E8C0AD">
            <w:pPr>
              <w:pStyle w:val="98"/>
              <w:widowControl/>
              <w:ind w:firstLine="482"/>
              <w:rPr>
                <w:rFonts w:hint="eastAsia" w:ascii="仿宋" w:hAnsi="仿宋" w:eastAsia="仿宋" w:cs="仿宋"/>
                <w:spacing w:val="14"/>
                <w:kern w:val="0"/>
                <w:sz w:val="24"/>
                <w:szCs w:val="24"/>
              </w:rPr>
            </w:pPr>
          </w:p>
        </w:tc>
        <w:tc>
          <w:tcPr>
            <w:tcW w:w="1843" w:type="dxa"/>
            <w:noWrap w:val="0"/>
            <w:vAlign w:val="center"/>
          </w:tcPr>
          <w:p w14:paraId="1BB2CCFA">
            <w:pPr>
              <w:pStyle w:val="98"/>
              <w:widowControl/>
              <w:ind w:firstLine="482"/>
              <w:rPr>
                <w:rFonts w:hint="eastAsia" w:ascii="仿宋" w:hAnsi="仿宋" w:eastAsia="仿宋" w:cs="仿宋"/>
                <w:spacing w:val="14"/>
                <w:kern w:val="0"/>
                <w:sz w:val="24"/>
                <w:szCs w:val="24"/>
              </w:rPr>
            </w:pPr>
          </w:p>
        </w:tc>
        <w:tc>
          <w:tcPr>
            <w:tcW w:w="1139" w:type="dxa"/>
            <w:noWrap w:val="0"/>
            <w:vAlign w:val="center"/>
          </w:tcPr>
          <w:p w14:paraId="4F294D45">
            <w:pPr>
              <w:pStyle w:val="98"/>
              <w:widowControl/>
              <w:ind w:firstLine="482"/>
              <w:rPr>
                <w:rFonts w:hint="eastAsia" w:ascii="仿宋" w:hAnsi="仿宋" w:eastAsia="仿宋" w:cs="仿宋"/>
                <w:spacing w:val="14"/>
                <w:kern w:val="0"/>
                <w:sz w:val="24"/>
                <w:szCs w:val="24"/>
              </w:rPr>
            </w:pPr>
          </w:p>
        </w:tc>
        <w:tc>
          <w:tcPr>
            <w:tcW w:w="845" w:type="dxa"/>
            <w:noWrap w:val="0"/>
            <w:vAlign w:val="center"/>
          </w:tcPr>
          <w:p w14:paraId="7A2BA153">
            <w:pPr>
              <w:pStyle w:val="98"/>
              <w:widowControl/>
              <w:ind w:firstLine="482"/>
              <w:rPr>
                <w:rFonts w:hint="eastAsia" w:ascii="仿宋" w:hAnsi="仿宋" w:eastAsia="仿宋" w:cs="仿宋"/>
                <w:spacing w:val="14"/>
                <w:kern w:val="0"/>
                <w:sz w:val="24"/>
                <w:szCs w:val="24"/>
              </w:rPr>
            </w:pPr>
          </w:p>
        </w:tc>
        <w:tc>
          <w:tcPr>
            <w:tcW w:w="989" w:type="dxa"/>
            <w:noWrap w:val="0"/>
            <w:vAlign w:val="center"/>
          </w:tcPr>
          <w:p w14:paraId="05F4887D">
            <w:pPr>
              <w:pStyle w:val="98"/>
              <w:widowControl/>
              <w:ind w:firstLine="482"/>
              <w:rPr>
                <w:rFonts w:hint="eastAsia" w:ascii="仿宋" w:hAnsi="仿宋" w:eastAsia="仿宋" w:cs="仿宋"/>
                <w:spacing w:val="14"/>
                <w:kern w:val="0"/>
                <w:sz w:val="24"/>
                <w:szCs w:val="24"/>
              </w:rPr>
            </w:pPr>
          </w:p>
        </w:tc>
        <w:tc>
          <w:tcPr>
            <w:tcW w:w="989" w:type="dxa"/>
            <w:noWrap w:val="0"/>
            <w:vAlign w:val="center"/>
          </w:tcPr>
          <w:p w14:paraId="2C0243E6">
            <w:pPr>
              <w:pStyle w:val="98"/>
              <w:widowControl/>
              <w:ind w:firstLine="482"/>
              <w:rPr>
                <w:rFonts w:hint="eastAsia" w:ascii="仿宋" w:hAnsi="仿宋" w:eastAsia="仿宋" w:cs="仿宋"/>
                <w:spacing w:val="14"/>
                <w:kern w:val="0"/>
                <w:sz w:val="24"/>
                <w:szCs w:val="24"/>
              </w:rPr>
            </w:pPr>
          </w:p>
        </w:tc>
      </w:tr>
      <w:tr w14:paraId="6DB8B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75" w:type="dxa"/>
            <w:noWrap w:val="0"/>
            <w:vAlign w:val="center"/>
          </w:tcPr>
          <w:p w14:paraId="3CD6B321">
            <w:pPr>
              <w:pStyle w:val="98"/>
              <w:widowControl/>
              <w:ind w:firstLine="482"/>
              <w:rPr>
                <w:rFonts w:hint="eastAsia" w:ascii="仿宋" w:hAnsi="仿宋" w:eastAsia="仿宋" w:cs="仿宋"/>
                <w:spacing w:val="14"/>
                <w:kern w:val="0"/>
                <w:sz w:val="24"/>
                <w:szCs w:val="24"/>
              </w:rPr>
            </w:pPr>
          </w:p>
        </w:tc>
        <w:tc>
          <w:tcPr>
            <w:tcW w:w="1360" w:type="dxa"/>
            <w:noWrap w:val="0"/>
            <w:vAlign w:val="center"/>
          </w:tcPr>
          <w:p w14:paraId="1A293FB0">
            <w:pPr>
              <w:pStyle w:val="98"/>
              <w:widowControl/>
              <w:ind w:firstLine="482"/>
              <w:rPr>
                <w:rFonts w:hint="eastAsia" w:ascii="仿宋" w:hAnsi="仿宋" w:eastAsia="仿宋" w:cs="仿宋"/>
                <w:spacing w:val="14"/>
                <w:kern w:val="0"/>
                <w:sz w:val="24"/>
                <w:szCs w:val="24"/>
              </w:rPr>
            </w:pPr>
          </w:p>
        </w:tc>
        <w:tc>
          <w:tcPr>
            <w:tcW w:w="1617" w:type="dxa"/>
            <w:noWrap w:val="0"/>
            <w:vAlign w:val="center"/>
          </w:tcPr>
          <w:p w14:paraId="6325B3DB">
            <w:pPr>
              <w:pStyle w:val="98"/>
              <w:widowControl/>
              <w:ind w:firstLine="482"/>
              <w:rPr>
                <w:rFonts w:hint="eastAsia" w:ascii="仿宋" w:hAnsi="仿宋" w:eastAsia="仿宋" w:cs="仿宋"/>
                <w:spacing w:val="14"/>
                <w:kern w:val="0"/>
                <w:sz w:val="24"/>
                <w:szCs w:val="24"/>
              </w:rPr>
            </w:pPr>
          </w:p>
        </w:tc>
        <w:tc>
          <w:tcPr>
            <w:tcW w:w="1843" w:type="dxa"/>
            <w:noWrap w:val="0"/>
            <w:vAlign w:val="center"/>
          </w:tcPr>
          <w:p w14:paraId="334F1C3C">
            <w:pPr>
              <w:pStyle w:val="98"/>
              <w:widowControl/>
              <w:ind w:firstLine="482"/>
              <w:rPr>
                <w:rFonts w:hint="eastAsia" w:ascii="仿宋" w:hAnsi="仿宋" w:eastAsia="仿宋" w:cs="仿宋"/>
                <w:spacing w:val="14"/>
                <w:kern w:val="0"/>
                <w:sz w:val="24"/>
                <w:szCs w:val="24"/>
              </w:rPr>
            </w:pPr>
          </w:p>
        </w:tc>
        <w:tc>
          <w:tcPr>
            <w:tcW w:w="1139" w:type="dxa"/>
            <w:noWrap w:val="0"/>
            <w:vAlign w:val="center"/>
          </w:tcPr>
          <w:p w14:paraId="4E31EFA9">
            <w:pPr>
              <w:pStyle w:val="98"/>
              <w:widowControl/>
              <w:ind w:firstLine="482"/>
              <w:rPr>
                <w:rFonts w:hint="eastAsia" w:ascii="仿宋" w:hAnsi="仿宋" w:eastAsia="仿宋" w:cs="仿宋"/>
                <w:spacing w:val="14"/>
                <w:kern w:val="0"/>
                <w:sz w:val="24"/>
                <w:szCs w:val="24"/>
              </w:rPr>
            </w:pPr>
          </w:p>
        </w:tc>
        <w:tc>
          <w:tcPr>
            <w:tcW w:w="845" w:type="dxa"/>
            <w:noWrap w:val="0"/>
            <w:vAlign w:val="center"/>
          </w:tcPr>
          <w:p w14:paraId="7AF2BF4C">
            <w:pPr>
              <w:pStyle w:val="98"/>
              <w:widowControl/>
              <w:ind w:firstLine="482"/>
              <w:rPr>
                <w:rFonts w:hint="eastAsia" w:ascii="仿宋" w:hAnsi="仿宋" w:eastAsia="仿宋" w:cs="仿宋"/>
                <w:spacing w:val="14"/>
                <w:kern w:val="0"/>
                <w:sz w:val="24"/>
                <w:szCs w:val="24"/>
              </w:rPr>
            </w:pPr>
          </w:p>
        </w:tc>
        <w:tc>
          <w:tcPr>
            <w:tcW w:w="989" w:type="dxa"/>
            <w:noWrap w:val="0"/>
            <w:vAlign w:val="center"/>
          </w:tcPr>
          <w:p w14:paraId="17BDFFE3">
            <w:pPr>
              <w:pStyle w:val="98"/>
              <w:widowControl/>
              <w:ind w:firstLine="482"/>
              <w:rPr>
                <w:rFonts w:hint="eastAsia" w:ascii="仿宋" w:hAnsi="仿宋" w:eastAsia="仿宋" w:cs="仿宋"/>
                <w:spacing w:val="14"/>
                <w:kern w:val="0"/>
                <w:sz w:val="24"/>
                <w:szCs w:val="24"/>
              </w:rPr>
            </w:pPr>
          </w:p>
        </w:tc>
        <w:tc>
          <w:tcPr>
            <w:tcW w:w="989" w:type="dxa"/>
            <w:noWrap w:val="0"/>
            <w:vAlign w:val="center"/>
          </w:tcPr>
          <w:p w14:paraId="6DF9B6AA">
            <w:pPr>
              <w:pStyle w:val="98"/>
              <w:widowControl/>
              <w:ind w:firstLine="482"/>
              <w:rPr>
                <w:rFonts w:hint="eastAsia" w:ascii="仿宋" w:hAnsi="仿宋" w:eastAsia="仿宋" w:cs="仿宋"/>
                <w:spacing w:val="14"/>
                <w:kern w:val="0"/>
                <w:sz w:val="24"/>
                <w:szCs w:val="24"/>
              </w:rPr>
            </w:pPr>
          </w:p>
        </w:tc>
      </w:tr>
      <w:tr w14:paraId="51D12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75" w:type="dxa"/>
            <w:noWrap w:val="0"/>
            <w:vAlign w:val="center"/>
          </w:tcPr>
          <w:p w14:paraId="45D142B8">
            <w:pPr>
              <w:pStyle w:val="98"/>
              <w:widowControl/>
              <w:ind w:firstLine="482"/>
              <w:rPr>
                <w:rFonts w:hint="eastAsia" w:ascii="仿宋" w:hAnsi="仿宋" w:eastAsia="仿宋" w:cs="仿宋"/>
                <w:spacing w:val="14"/>
                <w:kern w:val="0"/>
                <w:sz w:val="24"/>
                <w:szCs w:val="24"/>
              </w:rPr>
            </w:pPr>
          </w:p>
        </w:tc>
        <w:tc>
          <w:tcPr>
            <w:tcW w:w="1360" w:type="dxa"/>
            <w:noWrap w:val="0"/>
            <w:vAlign w:val="center"/>
          </w:tcPr>
          <w:p w14:paraId="6176DE9D">
            <w:pPr>
              <w:pStyle w:val="98"/>
              <w:widowControl/>
              <w:ind w:firstLine="482"/>
              <w:rPr>
                <w:rFonts w:hint="eastAsia" w:ascii="仿宋" w:hAnsi="仿宋" w:eastAsia="仿宋" w:cs="仿宋"/>
                <w:spacing w:val="14"/>
                <w:kern w:val="0"/>
                <w:sz w:val="24"/>
                <w:szCs w:val="24"/>
              </w:rPr>
            </w:pPr>
          </w:p>
        </w:tc>
        <w:tc>
          <w:tcPr>
            <w:tcW w:w="1617" w:type="dxa"/>
            <w:noWrap w:val="0"/>
            <w:vAlign w:val="center"/>
          </w:tcPr>
          <w:p w14:paraId="693353D7">
            <w:pPr>
              <w:pStyle w:val="98"/>
              <w:widowControl/>
              <w:ind w:firstLine="482"/>
              <w:rPr>
                <w:rFonts w:hint="eastAsia" w:ascii="仿宋" w:hAnsi="仿宋" w:eastAsia="仿宋" w:cs="仿宋"/>
                <w:spacing w:val="14"/>
                <w:kern w:val="0"/>
                <w:sz w:val="24"/>
                <w:szCs w:val="24"/>
              </w:rPr>
            </w:pPr>
          </w:p>
        </w:tc>
        <w:tc>
          <w:tcPr>
            <w:tcW w:w="1843" w:type="dxa"/>
            <w:noWrap w:val="0"/>
            <w:vAlign w:val="center"/>
          </w:tcPr>
          <w:p w14:paraId="2C63849D">
            <w:pPr>
              <w:pStyle w:val="98"/>
              <w:widowControl/>
              <w:ind w:firstLine="482"/>
              <w:rPr>
                <w:rFonts w:hint="eastAsia" w:ascii="仿宋" w:hAnsi="仿宋" w:eastAsia="仿宋" w:cs="仿宋"/>
                <w:spacing w:val="14"/>
                <w:kern w:val="0"/>
                <w:sz w:val="24"/>
                <w:szCs w:val="24"/>
              </w:rPr>
            </w:pPr>
          </w:p>
        </w:tc>
        <w:tc>
          <w:tcPr>
            <w:tcW w:w="1139" w:type="dxa"/>
            <w:noWrap w:val="0"/>
            <w:vAlign w:val="center"/>
          </w:tcPr>
          <w:p w14:paraId="68239946">
            <w:pPr>
              <w:pStyle w:val="98"/>
              <w:widowControl/>
              <w:ind w:firstLine="482"/>
              <w:rPr>
                <w:rFonts w:hint="eastAsia" w:ascii="仿宋" w:hAnsi="仿宋" w:eastAsia="仿宋" w:cs="仿宋"/>
                <w:spacing w:val="14"/>
                <w:kern w:val="0"/>
                <w:sz w:val="24"/>
                <w:szCs w:val="24"/>
              </w:rPr>
            </w:pPr>
          </w:p>
        </w:tc>
        <w:tc>
          <w:tcPr>
            <w:tcW w:w="845" w:type="dxa"/>
            <w:noWrap w:val="0"/>
            <w:vAlign w:val="center"/>
          </w:tcPr>
          <w:p w14:paraId="67FFBF41">
            <w:pPr>
              <w:pStyle w:val="98"/>
              <w:widowControl/>
              <w:ind w:firstLine="482"/>
              <w:rPr>
                <w:rFonts w:hint="eastAsia" w:ascii="仿宋" w:hAnsi="仿宋" w:eastAsia="仿宋" w:cs="仿宋"/>
                <w:spacing w:val="14"/>
                <w:kern w:val="0"/>
                <w:sz w:val="24"/>
                <w:szCs w:val="24"/>
              </w:rPr>
            </w:pPr>
          </w:p>
        </w:tc>
        <w:tc>
          <w:tcPr>
            <w:tcW w:w="989" w:type="dxa"/>
            <w:noWrap w:val="0"/>
            <w:vAlign w:val="center"/>
          </w:tcPr>
          <w:p w14:paraId="59B92C63">
            <w:pPr>
              <w:pStyle w:val="98"/>
              <w:widowControl/>
              <w:ind w:firstLine="482"/>
              <w:rPr>
                <w:rFonts w:hint="eastAsia" w:ascii="仿宋" w:hAnsi="仿宋" w:eastAsia="仿宋" w:cs="仿宋"/>
                <w:spacing w:val="14"/>
                <w:kern w:val="0"/>
                <w:sz w:val="24"/>
                <w:szCs w:val="24"/>
              </w:rPr>
            </w:pPr>
          </w:p>
        </w:tc>
        <w:tc>
          <w:tcPr>
            <w:tcW w:w="989" w:type="dxa"/>
            <w:noWrap w:val="0"/>
            <w:vAlign w:val="center"/>
          </w:tcPr>
          <w:p w14:paraId="746D32B4">
            <w:pPr>
              <w:pStyle w:val="98"/>
              <w:widowControl/>
              <w:ind w:firstLine="482"/>
              <w:rPr>
                <w:rFonts w:hint="eastAsia" w:ascii="仿宋" w:hAnsi="仿宋" w:eastAsia="仿宋" w:cs="仿宋"/>
                <w:spacing w:val="14"/>
                <w:kern w:val="0"/>
                <w:sz w:val="24"/>
                <w:szCs w:val="24"/>
              </w:rPr>
            </w:pPr>
          </w:p>
        </w:tc>
      </w:tr>
      <w:tr w14:paraId="58306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75" w:type="dxa"/>
            <w:noWrap w:val="0"/>
            <w:vAlign w:val="center"/>
          </w:tcPr>
          <w:p w14:paraId="45E212BA">
            <w:pPr>
              <w:pStyle w:val="98"/>
              <w:widowControl/>
              <w:ind w:firstLine="482"/>
              <w:rPr>
                <w:rFonts w:hint="eastAsia" w:ascii="仿宋" w:hAnsi="仿宋" w:eastAsia="仿宋" w:cs="仿宋"/>
                <w:spacing w:val="14"/>
                <w:kern w:val="0"/>
                <w:sz w:val="24"/>
                <w:szCs w:val="24"/>
              </w:rPr>
            </w:pPr>
          </w:p>
        </w:tc>
        <w:tc>
          <w:tcPr>
            <w:tcW w:w="1360" w:type="dxa"/>
            <w:noWrap w:val="0"/>
            <w:vAlign w:val="center"/>
          </w:tcPr>
          <w:p w14:paraId="277B39A3">
            <w:pPr>
              <w:pStyle w:val="98"/>
              <w:widowControl/>
              <w:ind w:firstLine="482"/>
              <w:rPr>
                <w:rFonts w:hint="eastAsia" w:ascii="仿宋" w:hAnsi="仿宋" w:eastAsia="仿宋" w:cs="仿宋"/>
                <w:spacing w:val="14"/>
                <w:kern w:val="0"/>
                <w:sz w:val="24"/>
                <w:szCs w:val="24"/>
              </w:rPr>
            </w:pPr>
          </w:p>
        </w:tc>
        <w:tc>
          <w:tcPr>
            <w:tcW w:w="1617" w:type="dxa"/>
            <w:noWrap w:val="0"/>
            <w:vAlign w:val="center"/>
          </w:tcPr>
          <w:p w14:paraId="7517ABFA">
            <w:pPr>
              <w:pStyle w:val="98"/>
              <w:widowControl/>
              <w:ind w:firstLine="482"/>
              <w:rPr>
                <w:rFonts w:hint="eastAsia" w:ascii="仿宋" w:hAnsi="仿宋" w:eastAsia="仿宋" w:cs="仿宋"/>
                <w:spacing w:val="14"/>
                <w:kern w:val="0"/>
                <w:sz w:val="24"/>
                <w:szCs w:val="24"/>
              </w:rPr>
            </w:pPr>
          </w:p>
        </w:tc>
        <w:tc>
          <w:tcPr>
            <w:tcW w:w="1843" w:type="dxa"/>
            <w:noWrap w:val="0"/>
            <w:vAlign w:val="center"/>
          </w:tcPr>
          <w:p w14:paraId="51E93938">
            <w:pPr>
              <w:pStyle w:val="98"/>
              <w:widowControl/>
              <w:ind w:firstLine="482"/>
              <w:rPr>
                <w:rFonts w:hint="eastAsia" w:ascii="仿宋" w:hAnsi="仿宋" w:eastAsia="仿宋" w:cs="仿宋"/>
                <w:spacing w:val="14"/>
                <w:kern w:val="0"/>
                <w:sz w:val="24"/>
                <w:szCs w:val="24"/>
              </w:rPr>
            </w:pPr>
          </w:p>
        </w:tc>
        <w:tc>
          <w:tcPr>
            <w:tcW w:w="1139" w:type="dxa"/>
            <w:noWrap w:val="0"/>
            <w:vAlign w:val="center"/>
          </w:tcPr>
          <w:p w14:paraId="33469CA9">
            <w:pPr>
              <w:pStyle w:val="98"/>
              <w:widowControl/>
              <w:ind w:firstLine="482"/>
              <w:rPr>
                <w:rFonts w:hint="eastAsia" w:ascii="仿宋" w:hAnsi="仿宋" w:eastAsia="仿宋" w:cs="仿宋"/>
                <w:spacing w:val="14"/>
                <w:kern w:val="0"/>
                <w:sz w:val="24"/>
                <w:szCs w:val="24"/>
              </w:rPr>
            </w:pPr>
          </w:p>
        </w:tc>
        <w:tc>
          <w:tcPr>
            <w:tcW w:w="845" w:type="dxa"/>
            <w:noWrap w:val="0"/>
            <w:vAlign w:val="center"/>
          </w:tcPr>
          <w:p w14:paraId="135BD004">
            <w:pPr>
              <w:pStyle w:val="98"/>
              <w:widowControl/>
              <w:ind w:firstLine="482"/>
              <w:rPr>
                <w:rFonts w:hint="eastAsia" w:ascii="仿宋" w:hAnsi="仿宋" w:eastAsia="仿宋" w:cs="仿宋"/>
                <w:spacing w:val="14"/>
                <w:kern w:val="0"/>
                <w:sz w:val="24"/>
                <w:szCs w:val="24"/>
              </w:rPr>
            </w:pPr>
          </w:p>
        </w:tc>
        <w:tc>
          <w:tcPr>
            <w:tcW w:w="989" w:type="dxa"/>
            <w:noWrap w:val="0"/>
            <w:vAlign w:val="center"/>
          </w:tcPr>
          <w:p w14:paraId="46CFD8ED">
            <w:pPr>
              <w:pStyle w:val="98"/>
              <w:widowControl/>
              <w:ind w:firstLine="482"/>
              <w:rPr>
                <w:rFonts w:hint="eastAsia" w:ascii="仿宋" w:hAnsi="仿宋" w:eastAsia="仿宋" w:cs="仿宋"/>
                <w:spacing w:val="14"/>
                <w:kern w:val="0"/>
                <w:sz w:val="24"/>
                <w:szCs w:val="24"/>
              </w:rPr>
            </w:pPr>
          </w:p>
        </w:tc>
        <w:tc>
          <w:tcPr>
            <w:tcW w:w="989" w:type="dxa"/>
            <w:noWrap w:val="0"/>
            <w:vAlign w:val="center"/>
          </w:tcPr>
          <w:p w14:paraId="23BA93A1">
            <w:pPr>
              <w:pStyle w:val="98"/>
              <w:widowControl/>
              <w:ind w:firstLine="482"/>
              <w:rPr>
                <w:rFonts w:hint="eastAsia" w:ascii="仿宋" w:hAnsi="仿宋" w:eastAsia="仿宋" w:cs="仿宋"/>
                <w:spacing w:val="14"/>
                <w:kern w:val="0"/>
                <w:sz w:val="24"/>
                <w:szCs w:val="24"/>
              </w:rPr>
            </w:pPr>
          </w:p>
        </w:tc>
      </w:tr>
      <w:tr w14:paraId="06874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75" w:type="dxa"/>
            <w:noWrap w:val="0"/>
            <w:vAlign w:val="center"/>
          </w:tcPr>
          <w:p w14:paraId="7947CD15">
            <w:pPr>
              <w:pStyle w:val="98"/>
              <w:widowControl/>
              <w:ind w:firstLine="482"/>
              <w:rPr>
                <w:rFonts w:hint="eastAsia" w:ascii="仿宋" w:hAnsi="仿宋" w:eastAsia="仿宋" w:cs="仿宋"/>
                <w:spacing w:val="14"/>
                <w:kern w:val="0"/>
                <w:sz w:val="24"/>
                <w:szCs w:val="24"/>
              </w:rPr>
            </w:pPr>
          </w:p>
        </w:tc>
        <w:tc>
          <w:tcPr>
            <w:tcW w:w="1360" w:type="dxa"/>
            <w:noWrap w:val="0"/>
            <w:vAlign w:val="center"/>
          </w:tcPr>
          <w:p w14:paraId="326AA66E">
            <w:pPr>
              <w:pStyle w:val="98"/>
              <w:widowControl/>
              <w:ind w:firstLine="482"/>
              <w:rPr>
                <w:rFonts w:hint="eastAsia" w:ascii="仿宋" w:hAnsi="仿宋" w:eastAsia="仿宋" w:cs="仿宋"/>
                <w:spacing w:val="14"/>
                <w:kern w:val="0"/>
                <w:sz w:val="24"/>
                <w:szCs w:val="24"/>
                <w:highlight w:val="blue"/>
              </w:rPr>
            </w:pPr>
          </w:p>
        </w:tc>
        <w:tc>
          <w:tcPr>
            <w:tcW w:w="1617" w:type="dxa"/>
            <w:noWrap w:val="0"/>
            <w:vAlign w:val="center"/>
          </w:tcPr>
          <w:p w14:paraId="4DC80060">
            <w:pPr>
              <w:pStyle w:val="98"/>
              <w:widowControl/>
              <w:ind w:firstLine="482"/>
              <w:rPr>
                <w:rFonts w:hint="eastAsia" w:ascii="仿宋" w:hAnsi="仿宋" w:eastAsia="仿宋" w:cs="仿宋"/>
                <w:spacing w:val="14"/>
                <w:kern w:val="0"/>
                <w:sz w:val="24"/>
                <w:szCs w:val="24"/>
              </w:rPr>
            </w:pPr>
          </w:p>
        </w:tc>
        <w:tc>
          <w:tcPr>
            <w:tcW w:w="1843" w:type="dxa"/>
            <w:noWrap w:val="0"/>
            <w:vAlign w:val="center"/>
          </w:tcPr>
          <w:p w14:paraId="6F0E5B92">
            <w:pPr>
              <w:pStyle w:val="98"/>
              <w:widowControl/>
              <w:ind w:firstLine="482"/>
              <w:rPr>
                <w:rFonts w:hint="eastAsia" w:ascii="仿宋" w:hAnsi="仿宋" w:eastAsia="仿宋" w:cs="仿宋"/>
                <w:spacing w:val="14"/>
                <w:kern w:val="0"/>
                <w:sz w:val="24"/>
                <w:szCs w:val="24"/>
              </w:rPr>
            </w:pPr>
          </w:p>
        </w:tc>
        <w:tc>
          <w:tcPr>
            <w:tcW w:w="1139" w:type="dxa"/>
            <w:noWrap w:val="0"/>
            <w:vAlign w:val="center"/>
          </w:tcPr>
          <w:p w14:paraId="5D0342EC">
            <w:pPr>
              <w:pStyle w:val="98"/>
              <w:widowControl/>
              <w:ind w:firstLine="482"/>
              <w:rPr>
                <w:rFonts w:hint="eastAsia" w:ascii="仿宋" w:hAnsi="仿宋" w:eastAsia="仿宋" w:cs="仿宋"/>
                <w:spacing w:val="14"/>
                <w:kern w:val="0"/>
                <w:sz w:val="24"/>
                <w:szCs w:val="24"/>
              </w:rPr>
            </w:pPr>
          </w:p>
        </w:tc>
        <w:tc>
          <w:tcPr>
            <w:tcW w:w="845" w:type="dxa"/>
            <w:noWrap w:val="0"/>
            <w:vAlign w:val="center"/>
          </w:tcPr>
          <w:p w14:paraId="3AA9367D">
            <w:pPr>
              <w:pStyle w:val="98"/>
              <w:widowControl/>
              <w:ind w:firstLine="482"/>
              <w:rPr>
                <w:rFonts w:hint="eastAsia" w:ascii="仿宋" w:hAnsi="仿宋" w:eastAsia="仿宋" w:cs="仿宋"/>
                <w:spacing w:val="14"/>
                <w:kern w:val="0"/>
                <w:sz w:val="24"/>
                <w:szCs w:val="24"/>
              </w:rPr>
            </w:pPr>
          </w:p>
        </w:tc>
        <w:tc>
          <w:tcPr>
            <w:tcW w:w="989" w:type="dxa"/>
            <w:noWrap w:val="0"/>
            <w:vAlign w:val="center"/>
          </w:tcPr>
          <w:p w14:paraId="09BFE763">
            <w:pPr>
              <w:pStyle w:val="98"/>
              <w:widowControl/>
              <w:ind w:firstLine="482"/>
              <w:rPr>
                <w:rFonts w:hint="eastAsia" w:ascii="仿宋" w:hAnsi="仿宋" w:eastAsia="仿宋" w:cs="仿宋"/>
                <w:spacing w:val="14"/>
                <w:kern w:val="0"/>
                <w:sz w:val="24"/>
                <w:szCs w:val="24"/>
              </w:rPr>
            </w:pPr>
          </w:p>
        </w:tc>
        <w:tc>
          <w:tcPr>
            <w:tcW w:w="989" w:type="dxa"/>
            <w:noWrap w:val="0"/>
            <w:vAlign w:val="center"/>
          </w:tcPr>
          <w:p w14:paraId="44FA3FE9">
            <w:pPr>
              <w:pStyle w:val="98"/>
              <w:widowControl/>
              <w:ind w:firstLine="482"/>
              <w:rPr>
                <w:rFonts w:hint="eastAsia" w:ascii="仿宋" w:hAnsi="仿宋" w:eastAsia="仿宋" w:cs="仿宋"/>
                <w:spacing w:val="14"/>
                <w:kern w:val="0"/>
                <w:sz w:val="24"/>
                <w:szCs w:val="24"/>
              </w:rPr>
            </w:pPr>
          </w:p>
        </w:tc>
      </w:tr>
      <w:tr w14:paraId="29709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75" w:type="dxa"/>
            <w:noWrap w:val="0"/>
            <w:vAlign w:val="center"/>
          </w:tcPr>
          <w:p w14:paraId="6EBAFA9A">
            <w:pPr>
              <w:pStyle w:val="98"/>
              <w:widowControl/>
              <w:ind w:firstLine="482"/>
              <w:rPr>
                <w:rFonts w:hint="eastAsia" w:ascii="仿宋" w:hAnsi="仿宋" w:eastAsia="仿宋" w:cs="仿宋"/>
                <w:spacing w:val="14"/>
                <w:kern w:val="0"/>
                <w:sz w:val="24"/>
                <w:szCs w:val="24"/>
              </w:rPr>
            </w:pPr>
          </w:p>
        </w:tc>
        <w:tc>
          <w:tcPr>
            <w:tcW w:w="1360" w:type="dxa"/>
            <w:noWrap w:val="0"/>
            <w:vAlign w:val="center"/>
          </w:tcPr>
          <w:p w14:paraId="1B885598">
            <w:pPr>
              <w:pStyle w:val="98"/>
              <w:widowControl/>
              <w:ind w:firstLine="482"/>
              <w:rPr>
                <w:rFonts w:hint="eastAsia" w:ascii="仿宋" w:hAnsi="仿宋" w:eastAsia="仿宋" w:cs="仿宋"/>
                <w:spacing w:val="14"/>
                <w:kern w:val="0"/>
                <w:sz w:val="24"/>
                <w:szCs w:val="24"/>
                <w:highlight w:val="blue"/>
              </w:rPr>
            </w:pPr>
          </w:p>
        </w:tc>
        <w:tc>
          <w:tcPr>
            <w:tcW w:w="1617" w:type="dxa"/>
            <w:noWrap w:val="0"/>
            <w:vAlign w:val="center"/>
          </w:tcPr>
          <w:p w14:paraId="71E24DCE">
            <w:pPr>
              <w:pStyle w:val="98"/>
              <w:widowControl/>
              <w:ind w:firstLine="482"/>
              <w:rPr>
                <w:rFonts w:hint="eastAsia" w:ascii="仿宋" w:hAnsi="仿宋" w:eastAsia="仿宋" w:cs="仿宋"/>
                <w:spacing w:val="14"/>
                <w:kern w:val="0"/>
                <w:sz w:val="24"/>
                <w:szCs w:val="24"/>
              </w:rPr>
            </w:pPr>
          </w:p>
        </w:tc>
        <w:tc>
          <w:tcPr>
            <w:tcW w:w="1843" w:type="dxa"/>
            <w:noWrap w:val="0"/>
            <w:vAlign w:val="center"/>
          </w:tcPr>
          <w:p w14:paraId="2637FFBA">
            <w:pPr>
              <w:pStyle w:val="98"/>
              <w:widowControl/>
              <w:ind w:firstLine="482"/>
              <w:rPr>
                <w:rFonts w:hint="eastAsia" w:ascii="仿宋" w:hAnsi="仿宋" w:eastAsia="仿宋" w:cs="仿宋"/>
                <w:spacing w:val="14"/>
                <w:kern w:val="0"/>
                <w:sz w:val="24"/>
                <w:szCs w:val="24"/>
              </w:rPr>
            </w:pPr>
          </w:p>
        </w:tc>
        <w:tc>
          <w:tcPr>
            <w:tcW w:w="1139" w:type="dxa"/>
            <w:noWrap w:val="0"/>
            <w:vAlign w:val="center"/>
          </w:tcPr>
          <w:p w14:paraId="77947468">
            <w:pPr>
              <w:pStyle w:val="98"/>
              <w:widowControl/>
              <w:ind w:firstLine="482"/>
              <w:rPr>
                <w:rFonts w:hint="eastAsia" w:ascii="仿宋" w:hAnsi="仿宋" w:eastAsia="仿宋" w:cs="仿宋"/>
                <w:spacing w:val="14"/>
                <w:kern w:val="0"/>
                <w:sz w:val="24"/>
                <w:szCs w:val="24"/>
              </w:rPr>
            </w:pPr>
          </w:p>
        </w:tc>
        <w:tc>
          <w:tcPr>
            <w:tcW w:w="845" w:type="dxa"/>
            <w:noWrap w:val="0"/>
            <w:vAlign w:val="center"/>
          </w:tcPr>
          <w:p w14:paraId="23A8ECAB">
            <w:pPr>
              <w:pStyle w:val="98"/>
              <w:widowControl/>
              <w:ind w:firstLine="482"/>
              <w:rPr>
                <w:rFonts w:hint="eastAsia" w:ascii="仿宋" w:hAnsi="仿宋" w:eastAsia="仿宋" w:cs="仿宋"/>
                <w:spacing w:val="14"/>
                <w:kern w:val="0"/>
                <w:sz w:val="24"/>
                <w:szCs w:val="24"/>
              </w:rPr>
            </w:pPr>
          </w:p>
        </w:tc>
        <w:tc>
          <w:tcPr>
            <w:tcW w:w="989" w:type="dxa"/>
            <w:noWrap w:val="0"/>
            <w:vAlign w:val="center"/>
          </w:tcPr>
          <w:p w14:paraId="04C6FAE9">
            <w:pPr>
              <w:pStyle w:val="98"/>
              <w:widowControl/>
              <w:ind w:firstLine="482"/>
              <w:rPr>
                <w:rFonts w:hint="eastAsia" w:ascii="仿宋" w:hAnsi="仿宋" w:eastAsia="仿宋" w:cs="仿宋"/>
                <w:spacing w:val="14"/>
                <w:kern w:val="0"/>
                <w:sz w:val="24"/>
                <w:szCs w:val="24"/>
              </w:rPr>
            </w:pPr>
          </w:p>
        </w:tc>
        <w:tc>
          <w:tcPr>
            <w:tcW w:w="989" w:type="dxa"/>
            <w:noWrap w:val="0"/>
            <w:vAlign w:val="center"/>
          </w:tcPr>
          <w:p w14:paraId="19B27BDB">
            <w:pPr>
              <w:pStyle w:val="98"/>
              <w:widowControl/>
              <w:ind w:firstLine="482"/>
              <w:rPr>
                <w:rFonts w:hint="eastAsia" w:ascii="仿宋" w:hAnsi="仿宋" w:eastAsia="仿宋" w:cs="仿宋"/>
                <w:spacing w:val="14"/>
                <w:kern w:val="0"/>
                <w:sz w:val="24"/>
                <w:szCs w:val="24"/>
              </w:rPr>
            </w:pPr>
          </w:p>
        </w:tc>
      </w:tr>
      <w:tr w14:paraId="180DB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9457" w:type="dxa"/>
            <w:gridSpan w:val="8"/>
            <w:noWrap w:val="0"/>
            <w:vAlign w:val="top"/>
          </w:tcPr>
          <w:p w14:paraId="6841BF1A">
            <w:pPr>
              <w:pStyle w:val="98"/>
              <w:widowControl/>
              <w:ind w:firstLine="482"/>
              <w:rPr>
                <w:rFonts w:hint="eastAsia" w:ascii="仿宋" w:hAnsi="仿宋" w:eastAsia="仿宋" w:cs="仿宋"/>
                <w:spacing w:val="14"/>
                <w:kern w:val="0"/>
                <w:sz w:val="24"/>
                <w:szCs w:val="24"/>
              </w:rPr>
            </w:pPr>
            <w:r>
              <w:rPr>
                <w:rFonts w:hint="eastAsia" w:ascii="仿宋" w:hAnsi="仿宋" w:eastAsia="仿宋" w:cs="仿宋"/>
                <w:spacing w:val="14"/>
                <w:kern w:val="0"/>
                <w:sz w:val="24"/>
                <w:szCs w:val="24"/>
              </w:rPr>
              <w:t>投标报价人民币小写：</w:t>
            </w:r>
          </w:p>
          <w:p w14:paraId="5C3AD6BE">
            <w:pPr>
              <w:pStyle w:val="98"/>
              <w:widowControl/>
              <w:ind w:firstLine="482"/>
              <w:rPr>
                <w:rFonts w:hint="eastAsia" w:ascii="仿宋" w:hAnsi="仿宋" w:eastAsia="仿宋" w:cs="仿宋"/>
                <w:spacing w:val="14"/>
                <w:kern w:val="0"/>
                <w:sz w:val="24"/>
                <w:szCs w:val="24"/>
              </w:rPr>
            </w:pPr>
            <w:r>
              <w:rPr>
                <w:rFonts w:hint="eastAsia" w:ascii="仿宋" w:hAnsi="仿宋" w:eastAsia="仿宋" w:cs="仿宋"/>
                <w:spacing w:val="14"/>
                <w:kern w:val="0"/>
                <w:sz w:val="24"/>
                <w:szCs w:val="24"/>
              </w:rPr>
              <w:t>投标报价人民币大写：</w:t>
            </w:r>
          </w:p>
        </w:tc>
      </w:tr>
    </w:tbl>
    <w:p w14:paraId="1D4C30BA">
      <w:pPr>
        <w:pStyle w:val="96"/>
        <w:jc w:val="center"/>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 </w:t>
      </w:r>
    </w:p>
    <w:p w14:paraId="03FCBB38">
      <w:pPr>
        <w:pStyle w:val="99"/>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供应商（企业电子章）：                    </w:t>
      </w:r>
    </w:p>
    <w:p w14:paraId="78928B00">
      <w:pPr>
        <w:pStyle w:val="99"/>
        <w:rPr>
          <w:rFonts w:hint="eastAsia" w:ascii="仿宋" w:hAnsi="仿宋" w:eastAsia="仿宋"/>
          <w:color w:val="auto"/>
          <w:spacing w:val="14"/>
          <w:sz w:val="24"/>
          <w:szCs w:val="24"/>
        </w:rPr>
      </w:pPr>
      <w:r>
        <w:rPr>
          <w:rFonts w:hint="eastAsia" w:ascii="仿宋" w:hAnsi="仿宋" w:eastAsia="仿宋"/>
          <w:color w:val="auto"/>
          <w:spacing w:val="14"/>
          <w:sz w:val="24"/>
          <w:szCs w:val="24"/>
        </w:rPr>
        <w:t>注：</w:t>
      </w:r>
    </w:p>
    <w:p w14:paraId="36477092">
      <w:pPr>
        <w:pStyle w:val="99"/>
        <w:ind w:firstLine="474" w:firstLineChars="200"/>
        <w:rPr>
          <w:rFonts w:hint="eastAsia" w:ascii="仿宋" w:hAnsi="仿宋" w:eastAsia="仿宋"/>
          <w:color w:val="auto"/>
          <w:spacing w:val="14"/>
          <w:sz w:val="24"/>
          <w:szCs w:val="24"/>
        </w:rPr>
      </w:pPr>
      <w:r>
        <w:rPr>
          <w:rFonts w:hint="eastAsia" w:ascii="仿宋" w:hAnsi="仿宋" w:eastAsia="仿宋"/>
          <w:color w:val="auto"/>
          <w:spacing w:val="14"/>
          <w:sz w:val="24"/>
          <w:szCs w:val="24"/>
        </w:rPr>
        <w:t>1.除投标产品按上表规定格式列示外，供应商可根据本企业投标情况，在上表列示备品备件、专用工具、安装调试费、技术服务费、培训费、运输费和保险费等。</w:t>
      </w:r>
    </w:p>
    <w:p w14:paraId="4CC5929D">
      <w:pPr>
        <w:pStyle w:val="99"/>
        <w:ind w:firstLine="474" w:firstLineChars="200"/>
        <w:rPr>
          <w:rFonts w:hint="eastAsia" w:ascii="仿宋" w:hAnsi="仿宋" w:eastAsia="仿宋"/>
          <w:color w:val="auto"/>
          <w:spacing w:val="14"/>
          <w:sz w:val="24"/>
          <w:szCs w:val="24"/>
        </w:rPr>
      </w:pPr>
      <w:r>
        <w:rPr>
          <w:rFonts w:hint="eastAsia" w:ascii="仿宋" w:hAnsi="仿宋" w:eastAsia="仿宋"/>
          <w:color w:val="auto"/>
          <w:spacing w:val="14"/>
          <w:sz w:val="24"/>
          <w:szCs w:val="24"/>
          <w:lang w:val="en-US" w:eastAsia="zh-CN"/>
        </w:rPr>
        <w:t>2</w:t>
      </w:r>
      <w:r>
        <w:rPr>
          <w:rFonts w:hint="eastAsia" w:ascii="仿宋" w:hAnsi="仿宋" w:eastAsia="仿宋"/>
          <w:color w:val="auto"/>
          <w:spacing w:val="14"/>
          <w:sz w:val="24"/>
          <w:szCs w:val="24"/>
        </w:rPr>
        <w:t>、供应商可根据需要自行增减表格行数。</w:t>
      </w:r>
    </w:p>
    <w:p w14:paraId="3C347B96">
      <w:pPr>
        <w:pStyle w:val="99"/>
        <w:ind w:firstLine="474" w:firstLineChars="200"/>
        <w:rPr>
          <w:rFonts w:hint="eastAsia" w:ascii="仿宋" w:hAnsi="仿宋" w:eastAsia="仿宋"/>
          <w:color w:val="auto"/>
          <w:spacing w:val="14"/>
          <w:sz w:val="24"/>
          <w:szCs w:val="24"/>
        </w:rPr>
      </w:pPr>
      <w:r>
        <w:rPr>
          <w:rFonts w:hint="eastAsia" w:ascii="仿宋" w:hAnsi="仿宋" w:eastAsia="仿宋"/>
          <w:color w:val="auto"/>
          <w:spacing w:val="14"/>
          <w:sz w:val="24"/>
          <w:szCs w:val="24"/>
          <w:lang w:val="en-US" w:eastAsia="zh-CN"/>
        </w:rPr>
        <w:t>3</w:t>
      </w:r>
      <w:r>
        <w:rPr>
          <w:rFonts w:hint="eastAsia" w:ascii="仿宋" w:hAnsi="仿宋" w:eastAsia="仿宋"/>
          <w:color w:val="auto"/>
          <w:spacing w:val="14"/>
          <w:sz w:val="24"/>
          <w:szCs w:val="24"/>
        </w:rPr>
        <w:t>、供应商对所报相关内容的真实性负责，采购代理机构有权将相关内容进行公示，因弄虚作假导致的后果由供应商自行承担。</w:t>
      </w:r>
    </w:p>
    <w:p w14:paraId="722ACADC">
      <w:pPr>
        <w:pStyle w:val="99"/>
        <w:ind w:firstLine="474" w:firstLineChars="200"/>
        <w:rPr>
          <w:rFonts w:hint="eastAsia" w:ascii="仿宋" w:hAnsi="仿宋" w:eastAsia="仿宋"/>
          <w:color w:val="auto"/>
          <w:spacing w:val="14"/>
          <w:sz w:val="24"/>
          <w:szCs w:val="24"/>
        </w:rPr>
      </w:pPr>
    </w:p>
    <w:p w14:paraId="0A295A2D">
      <w:pPr>
        <w:pStyle w:val="99"/>
        <w:ind w:firstLine="0" w:firstLineChars="0"/>
        <w:rPr>
          <w:rFonts w:hint="eastAsia" w:ascii="仿宋" w:hAnsi="仿宋" w:eastAsia="仿宋" w:cs="仿宋"/>
          <w:b/>
          <w:bCs/>
          <w:sz w:val="28"/>
          <w:szCs w:val="28"/>
        </w:rPr>
      </w:pPr>
      <w:bookmarkStart w:id="306" w:name="_Toc256000165"/>
      <w:bookmarkStart w:id="307" w:name="_Toc1246"/>
      <w:bookmarkStart w:id="308" w:name="_Toc31815"/>
      <w:r>
        <w:rPr>
          <w:rFonts w:hint="eastAsia" w:ascii="仿宋" w:hAnsi="仿宋" w:eastAsia="仿宋" w:cs="仿宋"/>
          <w:b/>
          <w:bCs/>
          <w:sz w:val="28"/>
          <w:szCs w:val="28"/>
          <w:lang w:eastAsia="zh-CN"/>
        </w:rPr>
        <w:t>附件</w:t>
      </w:r>
      <w:r>
        <w:rPr>
          <w:rFonts w:hint="eastAsia" w:ascii="仿宋" w:hAnsi="仿宋" w:eastAsia="仿宋" w:cs="仿宋"/>
          <w:b/>
          <w:bCs/>
          <w:sz w:val="28"/>
          <w:szCs w:val="28"/>
          <w:lang w:val="en-US" w:eastAsia="zh-CN"/>
        </w:rPr>
        <w:t>6-1：</w:t>
      </w:r>
      <w:r>
        <w:rPr>
          <w:rFonts w:hint="eastAsia" w:ascii="仿宋" w:hAnsi="仿宋" w:eastAsia="仿宋" w:cs="仿宋"/>
          <w:b/>
          <w:bCs/>
          <w:sz w:val="28"/>
          <w:szCs w:val="28"/>
        </w:rPr>
        <w:t>中小微企业声明函</w:t>
      </w:r>
      <w:bookmarkEnd w:id="306"/>
      <w:bookmarkEnd w:id="307"/>
      <w:bookmarkEnd w:id="308"/>
    </w:p>
    <w:p w14:paraId="2ACC1719">
      <w:pPr>
        <w:pStyle w:val="98"/>
        <w:widowControl/>
        <w:ind w:firstLine="482"/>
        <w:jc w:val="center"/>
        <w:rPr>
          <w:rFonts w:hint="eastAsia" w:ascii="仿宋" w:hAnsi="仿宋" w:eastAsia="仿宋" w:cs="仿宋"/>
          <w:spacing w:val="14"/>
          <w:kern w:val="0"/>
          <w:sz w:val="24"/>
          <w:szCs w:val="24"/>
        </w:rPr>
      </w:pPr>
      <w:r>
        <w:rPr>
          <w:rFonts w:hint="eastAsia" w:ascii="仿宋" w:hAnsi="仿宋" w:eastAsia="仿宋" w:cs="仿宋"/>
          <w:spacing w:val="14"/>
          <w:kern w:val="0"/>
          <w:sz w:val="24"/>
          <w:szCs w:val="24"/>
        </w:rPr>
        <w:t>中小企业（监狱企业、残疾人福利性单位）说明</w:t>
      </w:r>
    </w:p>
    <w:p w14:paraId="0BE0E3BC">
      <w:pPr>
        <w:pStyle w:val="98"/>
        <w:widowControl/>
        <w:jc w:val="center"/>
        <w:rPr>
          <w:rFonts w:hint="eastAsia" w:ascii="仿宋" w:hAnsi="仿宋" w:eastAsia="仿宋" w:cs="仿宋"/>
          <w:spacing w:val="14"/>
          <w:kern w:val="0"/>
          <w:sz w:val="24"/>
          <w:szCs w:val="24"/>
        </w:rPr>
      </w:pPr>
    </w:p>
    <w:p w14:paraId="64106768">
      <w:pPr>
        <w:pStyle w:val="98"/>
        <w:widowControl/>
        <w:ind w:firstLine="482"/>
        <w:rPr>
          <w:rFonts w:hint="eastAsia" w:ascii="仿宋" w:hAnsi="仿宋" w:eastAsia="仿宋" w:cs="仿宋"/>
          <w:spacing w:val="14"/>
          <w:kern w:val="0"/>
          <w:sz w:val="24"/>
          <w:szCs w:val="24"/>
        </w:rPr>
      </w:pPr>
      <w:r>
        <w:rPr>
          <w:rFonts w:hint="eastAsia" w:ascii="仿宋" w:hAnsi="仿宋" w:eastAsia="仿宋" w:cs="仿宋"/>
          <w:spacing w:val="14"/>
          <w:kern w:val="0"/>
          <w:sz w:val="24"/>
          <w:szCs w:val="24"/>
        </w:rPr>
        <w:t>1、</w:t>
      </w:r>
      <w:r>
        <w:rPr>
          <w:rFonts w:hint="eastAsia" w:ascii="仿宋" w:hAnsi="仿宋" w:eastAsia="仿宋" w:cs="仿宋"/>
          <w:spacing w:val="14"/>
          <w:kern w:val="0"/>
          <w:sz w:val="24"/>
          <w:szCs w:val="24"/>
          <w:lang w:eastAsia="zh-CN"/>
        </w:rPr>
        <w:t>供应商</w:t>
      </w:r>
      <w:r>
        <w:rPr>
          <w:rFonts w:hint="eastAsia" w:ascii="仿宋" w:hAnsi="仿宋" w:eastAsia="仿宋" w:cs="仿宋"/>
          <w:spacing w:val="14"/>
          <w:kern w:val="0"/>
          <w:sz w:val="24"/>
          <w:szCs w:val="24"/>
        </w:rPr>
        <w:t>须在</w:t>
      </w:r>
      <w:r>
        <w:rPr>
          <w:rFonts w:hint="eastAsia" w:ascii="仿宋" w:hAnsi="仿宋" w:eastAsia="仿宋" w:cs="仿宋"/>
          <w:spacing w:val="14"/>
          <w:kern w:val="0"/>
          <w:sz w:val="24"/>
          <w:szCs w:val="24"/>
          <w:lang w:eastAsia="zh-CN"/>
        </w:rPr>
        <w:t>响应文件</w:t>
      </w:r>
      <w:r>
        <w:rPr>
          <w:rFonts w:hint="eastAsia" w:ascii="仿宋" w:hAnsi="仿宋" w:eastAsia="仿宋" w:cs="仿宋"/>
          <w:spacing w:val="14"/>
          <w:kern w:val="0"/>
          <w:sz w:val="24"/>
          <w:szCs w:val="24"/>
        </w:rPr>
        <w:t>中提供《中小企业声明函》；如未按要求提供或相关内容表述不清的或内容不全的，将不予认可。</w:t>
      </w:r>
    </w:p>
    <w:p w14:paraId="028328F7">
      <w:pPr>
        <w:pStyle w:val="98"/>
        <w:widowControl/>
        <w:ind w:firstLine="482"/>
        <w:rPr>
          <w:rFonts w:hint="eastAsia" w:ascii="仿宋" w:hAnsi="仿宋" w:eastAsia="仿宋" w:cs="仿宋"/>
          <w:spacing w:val="14"/>
          <w:kern w:val="0"/>
          <w:sz w:val="24"/>
          <w:szCs w:val="24"/>
        </w:rPr>
      </w:pPr>
      <w:r>
        <w:rPr>
          <w:rFonts w:hint="eastAsia" w:ascii="仿宋" w:hAnsi="仿宋" w:eastAsia="仿宋" w:cs="仿宋"/>
          <w:spacing w:val="14"/>
          <w:kern w:val="0"/>
          <w:sz w:val="24"/>
          <w:szCs w:val="24"/>
        </w:rPr>
        <w:t>2、根据财政部、司法部发布的《关于政府采购支持监狱企业发展有关问题的通知》（财库〔2014〕68号）规定，</w:t>
      </w:r>
      <w:r>
        <w:rPr>
          <w:rFonts w:hint="eastAsia" w:ascii="仿宋" w:hAnsi="仿宋" w:eastAsia="仿宋" w:cs="仿宋"/>
          <w:kern w:val="0"/>
          <w:sz w:val="24"/>
          <w:szCs w:val="24"/>
        </w:rPr>
        <w:t>本项目在评审中对监狱企业视同小型、微型企业，享受价格扣除政策</w:t>
      </w:r>
      <w:r>
        <w:rPr>
          <w:rFonts w:hint="eastAsia" w:ascii="仿宋" w:hAnsi="仿宋" w:eastAsia="仿宋" w:cs="仿宋"/>
          <w:spacing w:val="14"/>
          <w:kern w:val="0"/>
          <w:sz w:val="24"/>
          <w:szCs w:val="24"/>
        </w:rPr>
        <w:t>。监狱企业作为</w:t>
      </w:r>
      <w:r>
        <w:rPr>
          <w:rFonts w:hint="eastAsia" w:ascii="仿宋" w:hAnsi="仿宋" w:eastAsia="仿宋" w:cs="仿宋"/>
          <w:spacing w:val="14"/>
          <w:kern w:val="0"/>
          <w:sz w:val="24"/>
          <w:szCs w:val="24"/>
          <w:lang w:eastAsia="zh-CN"/>
        </w:rPr>
        <w:t>供应商</w:t>
      </w:r>
      <w:r>
        <w:rPr>
          <w:rFonts w:hint="eastAsia" w:ascii="仿宋" w:hAnsi="仿宋" w:eastAsia="仿宋" w:cs="仿宋"/>
          <w:spacing w:val="14"/>
          <w:kern w:val="0"/>
          <w:sz w:val="24"/>
          <w:szCs w:val="24"/>
        </w:rPr>
        <w:t>须提供由省级以上监狱管理局、戒毒管理局(含新疆生产建设兵团)出具的属于监狱企业的证明文件的扫描件，否则不予认定。</w:t>
      </w:r>
    </w:p>
    <w:p w14:paraId="0D343A9D">
      <w:pPr>
        <w:pStyle w:val="98"/>
        <w:widowControl/>
        <w:ind w:firstLine="482"/>
        <w:rPr>
          <w:rFonts w:hint="eastAsia" w:ascii="仿宋" w:hAnsi="仿宋" w:eastAsia="仿宋" w:cs="仿宋"/>
          <w:spacing w:val="14"/>
          <w:kern w:val="0"/>
          <w:sz w:val="24"/>
          <w:szCs w:val="24"/>
        </w:rPr>
      </w:pPr>
      <w:r>
        <w:rPr>
          <w:rFonts w:hint="eastAsia" w:ascii="仿宋" w:hAnsi="仿宋" w:eastAsia="仿宋" w:cs="仿宋"/>
          <w:spacing w:val="14"/>
          <w:kern w:val="0"/>
          <w:sz w:val="24"/>
          <w:szCs w:val="24"/>
        </w:rPr>
        <w:t>3、根据财政部、民政部、中国残疾人联合会《关于促进残疾人就业政府采购政策的通知》（财库〔2017〕141号）规定，</w:t>
      </w:r>
      <w:r>
        <w:rPr>
          <w:rFonts w:hint="eastAsia" w:ascii="仿宋" w:hAnsi="仿宋" w:eastAsia="仿宋" w:cs="仿宋"/>
          <w:kern w:val="0"/>
          <w:sz w:val="24"/>
          <w:szCs w:val="24"/>
        </w:rPr>
        <w:t>本项目在评审中对残疾人福利性单位视同小型、微型企业，享受价格扣除政策。</w:t>
      </w:r>
      <w:r>
        <w:rPr>
          <w:rFonts w:hint="eastAsia" w:ascii="仿宋" w:hAnsi="仿宋" w:eastAsia="仿宋" w:cs="仿宋"/>
          <w:spacing w:val="14"/>
          <w:kern w:val="0"/>
          <w:sz w:val="24"/>
          <w:szCs w:val="24"/>
        </w:rPr>
        <w:t>残疾人福利性单位作为</w:t>
      </w:r>
      <w:r>
        <w:rPr>
          <w:rFonts w:hint="eastAsia" w:ascii="仿宋" w:hAnsi="仿宋" w:eastAsia="仿宋" w:cs="仿宋"/>
          <w:spacing w:val="14"/>
          <w:kern w:val="0"/>
          <w:sz w:val="24"/>
          <w:szCs w:val="24"/>
          <w:lang w:eastAsia="zh-CN"/>
        </w:rPr>
        <w:t>供应商</w:t>
      </w:r>
      <w:r>
        <w:rPr>
          <w:rFonts w:hint="eastAsia" w:ascii="仿宋" w:hAnsi="仿宋" w:eastAsia="仿宋" w:cs="仿宋"/>
          <w:spacing w:val="14"/>
          <w:kern w:val="0"/>
          <w:sz w:val="24"/>
          <w:szCs w:val="24"/>
        </w:rPr>
        <w:t>须提供《残疾人福利性单位声明函》，否则不予认定。</w:t>
      </w:r>
    </w:p>
    <w:p w14:paraId="7837FC42">
      <w:pPr>
        <w:pStyle w:val="98"/>
        <w:widowControl/>
        <w:ind w:firstLine="482"/>
        <w:rPr>
          <w:rFonts w:hint="eastAsia" w:ascii="仿宋" w:hAnsi="仿宋" w:eastAsia="仿宋" w:cs="仿宋"/>
          <w:spacing w:val="14"/>
          <w:kern w:val="0"/>
          <w:sz w:val="24"/>
          <w:szCs w:val="24"/>
        </w:rPr>
      </w:pPr>
      <w:r>
        <w:rPr>
          <w:rFonts w:hint="eastAsia" w:ascii="仿宋" w:hAnsi="仿宋" w:eastAsia="仿宋" w:cs="仿宋"/>
          <w:spacing w:val="14"/>
          <w:kern w:val="0"/>
          <w:sz w:val="24"/>
          <w:szCs w:val="24"/>
        </w:rPr>
        <w:t>4、</w:t>
      </w:r>
      <w:r>
        <w:rPr>
          <w:rFonts w:hint="eastAsia" w:ascii="仿宋" w:hAnsi="仿宋" w:eastAsia="仿宋" w:cs="仿宋"/>
          <w:spacing w:val="14"/>
          <w:kern w:val="0"/>
          <w:sz w:val="24"/>
          <w:szCs w:val="24"/>
          <w:lang w:eastAsia="zh-CN"/>
        </w:rPr>
        <w:t>供应商</w:t>
      </w:r>
      <w:r>
        <w:rPr>
          <w:rFonts w:hint="eastAsia" w:ascii="仿宋" w:hAnsi="仿宋" w:eastAsia="仿宋" w:cs="仿宋"/>
          <w:spacing w:val="14"/>
          <w:kern w:val="0"/>
          <w:sz w:val="24"/>
          <w:szCs w:val="24"/>
        </w:rPr>
        <w:t>对所报相关内容的真实性负责，采购代理机构有权将相关内容进行公示，因弄虚作假导致的后果由</w:t>
      </w:r>
      <w:r>
        <w:rPr>
          <w:rFonts w:hint="eastAsia" w:ascii="仿宋" w:hAnsi="仿宋" w:eastAsia="仿宋" w:cs="仿宋"/>
          <w:spacing w:val="14"/>
          <w:kern w:val="0"/>
          <w:sz w:val="24"/>
          <w:szCs w:val="24"/>
          <w:lang w:eastAsia="zh-CN"/>
        </w:rPr>
        <w:t>供应商</w:t>
      </w:r>
      <w:r>
        <w:rPr>
          <w:rFonts w:hint="eastAsia" w:ascii="仿宋" w:hAnsi="仿宋" w:eastAsia="仿宋" w:cs="仿宋"/>
          <w:spacing w:val="14"/>
          <w:kern w:val="0"/>
          <w:sz w:val="24"/>
          <w:szCs w:val="24"/>
        </w:rPr>
        <w:t>自行承担。</w:t>
      </w:r>
    </w:p>
    <w:p w14:paraId="15CD4234">
      <w:pPr>
        <w:pStyle w:val="98"/>
        <w:widowControl/>
        <w:ind w:firstLine="482"/>
        <w:rPr>
          <w:rFonts w:hint="eastAsia" w:ascii="仿宋" w:hAnsi="仿宋" w:eastAsia="仿宋" w:cs="仿宋"/>
          <w:sz w:val="24"/>
          <w:szCs w:val="24"/>
        </w:rPr>
      </w:pPr>
      <w:r>
        <w:rPr>
          <w:rFonts w:hint="eastAsia" w:ascii="仿宋" w:hAnsi="仿宋" w:eastAsia="仿宋" w:cs="仿宋"/>
          <w:spacing w:val="14"/>
          <w:sz w:val="24"/>
          <w:szCs w:val="24"/>
        </w:rPr>
        <w:t>5、相关证明资料附后。</w:t>
      </w:r>
    </w:p>
    <w:p w14:paraId="060E2757">
      <w:pPr>
        <w:pStyle w:val="100"/>
        <w:outlineLvl w:val="9"/>
        <w:rPr>
          <w:rFonts w:hint="eastAsia" w:ascii="仿宋" w:hAnsi="仿宋" w:eastAsia="仿宋" w:cs="仿宋"/>
          <w:sz w:val="28"/>
          <w:szCs w:val="22"/>
        </w:rPr>
      </w:pPr>
    </w:p>
    <w:p w14:paraId="37C54011">
      <w:pPr>
        <w:pStyle w:val="100"/>
        <w:outlineLvl w:val="9"/>
        <w:rPr>
          <w:rFonts w:hint="eastAsia" w:ascii="仿宋" w:hAnsi="仿宋" w:eastAsia="仿宋" w:cs="仿宋"/>
          <w:sz w:val="28"/>
          <w:szCs w:val="22"/>
        </w:rPr>
      </w:pPr>
    </w:p>
    <w:p w14:paraId="3388B827">
      <w:pPr>
        <w:pStyle w:val="100"/>
        <w:outlineLvl w:val="9"/>
        <w:rPr>
          <w:rFonts w:hint="eastAsia" w:ascii="仿宋" w:hAnsi="仿宋" w:eastAsia="仿宋" w:cs="仿宋"/>
          <w:sz w:val="28"/>
          <w:szCs w:val="22"/>
        </w:rPr>
      </w:pPr>
    </w:p>
    <w:p w14:paraId="4AB8B78E">
      <w:pPr>
        <w:pStyle w:val="100"/>
        <w:outlineLvl w:val="9"/>
        <w:rPr>
          <w:rFonts w:hint="eastAsia" w:ascii="仿宋" w:hAnsi="仿宋" w:eastAsia="仿宋" w:cs="仿宋"/>
          <w:sz w:val="28"/>
          <w:szCs w:val="22"/>
        </w:rPr>
      </w:pPr>
    </w:p>
    <w:p w14:paraId="3335FC1D">
      <w:pPr>
        <w:pStyle w:val="100"/>
        <w:outlineLvl w:val="9"/>
        <w:rPr>
          <w:rFonts w:hint="eastAsia" w:ascii="仿宋" w:hAnsi="仿宋" w:eastAsia="仿宋" w:cs="仿宋"/>
          <w:sz w:val="28"/>
          <w:szCs w:val="22"/>
        </w:rPr>
      </w:pPr>
    </w:p>
    <w:p w14:paraId="041E843F">
      <w:pPr>
        <w:pStyle w:val="100"/>
        <w:outlineLvl w:val="9"/>
        <w:rPr>
          <w:rFonts w:hint="eastAsia" w:ascii="仿宋" w:hAnsi="仿宋" w:eastAsia="仿宋" w:cs="仿宋"/>
          <w:sz w:val="28"/>
          <w:szCs w:val="22"/>
        </w:rPr>
      </w:pPr>
    </w:p>
    <w:p w14:paraId="462F40FF">
      <w:pPr>
        <w:pStyle w:val="100"/>
        <w:outlineLvl w:val="9"/>
        <w:rPr>
          <w:rFonts w:hint="eastAsia" w:ascii="仿宋" w:hAnsi="仿宋" w:eastAsia="仿宋" w:cs="仿宋"/>
          <w:sz w:val="28"/>
          <w:szCs w:val="22"/>
        </w:rPr>
      </w:pPr>
    </w:p>
    <w:p w14:paraId="72C8FFC3">
      <w:pPr>
        <w:pStyle w:val="100"/>
        <w:outlineLvl w:val="9"/>
        <w:rPr>
          <w:rFonts w:hint="eastAsia" w:ascii="仿宋" w:hAnsi="仿宋" w:eastAsia="仿宋" w:cs="仿宋"/>
          <w:sz w:val="28"/>
          <w:szCs w:val="22"/>
        </w:rPr>
      </w:pPr>
    </w:p>
    <w:p w14:paraId="3B0422BD">
      <w:pPr>
        <w:pStyle w:val="100"/>
        <w:outlineLvl w:val="9"/>
        <w:rPr>
          <w:rFonts w:hint="eastAsia" w:ascii="仿宋" w:hAnsi="仿宋" w:eastAsia="仿宋" w:cs="仿宋"/>
          <w:sz w:val="28"/>
          <w:szCs w:val="22"/>
        </w:rPr>
      </w:pPr>
    </w:p>
    <w:p w14:paraId="450CDAD7">
      <w:pPr>
        <w:pStyle w:val="100"/>
        <w:outlineLvl w:val="9"/>
        <w:rPr>
          <w:rFonts w:hint="eastAsia" w:ascii="仿宋" w:hAnsi="仿宋" w:eastAsia="仿宋" w:cs="仿宋"/>
          <w:sz w:val="28"/>
          <w:szCs w:val="22"/>
        </w:rPr>
      </w:pPr>
    </w:p>
    <w:p w14:paraId="12313E02">
      <w:pPr>
        <w:pStyle w:val="100"/>
        <w:outlineLvl w:val="9"/>
        <w:rPr>
          <w:rFonts w:hint="eastAsia" w:ascii="仿宋" w:hAnsi="仿宋" w:eastAsia="仿宋" w:cs="仿宋"/>
          <w:sz w:val="28"/>
          <w:szCs w:val="22"/>
        </w:rPr>
      </w:pPr>
    </w:p>
    <w:p w14:paraId="5FF74EB1">
      <w:pPr>
        <w:pStyle w:val="100"/>
        <w:outlineLvl w:val="9"/>
        <w:rPr>
          <w:rFonts w:hint="eastAsia" w:ascii="仿宋" w:hAnsi="仿宋" w:eastAsia="仿宋" w:cs="仿宋"/>
          <w:sz w:val="28"/>
          <w:szCs w:val="22"/>
        </w:rPr>
      </w:pPr>
    </w:p>
    <w:p w14:paraId="3BACB49A">
      <w:pPr>
        <w:pStyle w:val="100"/>
        <w:outlineLvl w:val="9"/>
        <w:rPr>
          <w:rFonts w:hint="eastAsia" w:ascii="仿宋" w:hAnsi="仿宋" w:eastAsia="仿宋" w:cs="仿宋"/>
          <w:sz w:val="28"/>
          <w:szCs w:val="22"/>
        </w:rPr>
      </w:pPr>
    </w:p>
    <w:p w14:paraId="2DB6F638">
      <w:pPr>
        <w:pStyle w:val="100"/>
        <w:outlineLvl w:val="9"/>
        <w:rPr>
          <w:rFonts w:hint="eastAsia" w:ascii="仿宋" w:hAnsi="仿宋" w:eastAsia="仿宋" w:cs="仿宋"/>
          <w:sz w:val="28"/>
          <w:szCs w:val="22"/>
        </w:rPr>
      </w:pPr>
    </w:p>
    <w:p w14:paraId="6036049E">
      <w:pPr>
        <w:pStyle w:val="101"/>
        <w:jc w:val="center"/>
        <w:rPr>
          <w:rFonts w:hint="eastAsia" w:ascii="仿宋" w:hAnsi="仿宋" w:eastAsia="仿宋" w:cs="仿宋"/>
          <w:spacing w:val="14"/>
          <w:kern w:val="0"/>
          <w:sz w:val="24"/>
          <w:szCs w:val="24"/>
          <w:lang w:val="zh-CN"/>
        </w:rPr>
      </w:pPr>
      <w:r>
        <w:rPr>
          <w:rFonts w:hint="eastAsia" w:ascii="仿宋" w:hAnsi="仿宋" w:eastAsia="仿宋" w:cs="仿宋"/>
          <w:spacing w:val="14"/>
          <w:kern w:val="0"/>
          <w:sz w:val="24"/>
          <w:szCs w:val="24"/>
          <w:lang w:val="zh-CN"/>
        </w:rPr>
        <w:t>中小企业声明函（货物）</w:t>
      </w:r>
    </w:p>
    <w:p w14:paraId="26842DE6">
      <w:pPr>
        <w:pStyle w:val="101"/>
        <w:spacing w:line="240" w:lineRule="auto"/>
        <w:ind w:firstLine="495" w:firstLineChars="237"/>
        <w:rPr>
          <w:rFonts w:hint="eastAsia" w:ascii="仿宋" w:hAnsi="仿宋" w:eastAsia="仿宋" w:cs="仿宋"/>
          <w:sz w:val="24"/>
          <w:szCs w:val="24"/>
          <w:highlight w:val="none"/>
        </w:rPr>
      </w:pPr>
      <w:r>
        <w:rPr>
          <w:rFonts w:hint="eastAsia" w:ascii="仿宋" w:hAnsi="仿宋" w:eastAsia="仿宋" w:cs="仿宋"/>
          <w:sz w:val="24"/>
          <w:szCs w:val="24"/>
          <w:highlight w:val="none"/>
        </w:rPr>
        <w:t>本公司郑重声明，根据《政府采购促进中小企业发展管理办法》（财库﹝2020﹞46号）的规定，本公司参加</w:t>
      </w:r>
      <w:r>
        <w:rPr>
          <w:rFonts w:hint="eastAsia" w:ascii="仿宋" w:hAnsi="仿宋" w:eastAsia="仿宋" w:cs="仿宋"/>
          <w:sz w:val="24"/>
          <w:szCs w:val="24"/>
          <w:highlight w:val="none"/>
          <w:u w:val="single"/>
        </w:rPr>
        <w:t xml:space="preserve">     （采购人名称）</w:t>
      </w:r>
      <w:r>
        <w:rPr>
          <w:rFonts w:hint="eastAsia" w:ascii="仿宋" w:hAnsi="仿宋" w:eastAsia="仿宋" w:cs="仿宋"/>
          <w:sz w:val="24"/>
          <w:szCs w:val="24"/>
          <w:highlight w:val="none"/>
        </w:rPr>
        <w:t>的</w:t>
      </w:r>
      <w:r>
        <w:rPr>
          <w:rFonts w:hint="eastAsia" w:ascii="仿宋" w:hAnsi="仿宋" w:eastAsia="仿宋" w:cs="仿宋"/>
          <w:sz w:val="24"/>
          <w:szCs w:val="24"/>
          <w:highlight w:val="none"/>
          <w:u w:val="single"/>
        </w:rPr>
        <w:t xml:space="preserve">      （项目名称）</w:t>
      </w:r>
      <w:r>
        <w:rPr>
          <w:rFonts w:hint="eastAsia" w:ascii="仿宋" w:hAnsi="仿宋" w:eastAsia="仿宋" w:cs="仿宋"/>
          <w:sz w:val="24"/>
          <w:szCs w:val="24"/>
          <w:highlight w:val="none"/>
        </w:rPr>
        <w:t>采购活动，提供的货物全部由符合政策要求的中小企业</w:t>
      </w:r>
      <w:r>
        <w:rPr>
          <w:rFonts w:hint="eastAsia" w:ascii="仿宋" w:hAnsi="仿宋" w:eastAsia="仿宋" w:cs="仿宋"/>
          <w:sz w:val="24"/>
          <w:szCs w:val="24"/>
          <w:highlight w:val="none"/>
          <w:lang w:eastAsia="zh-CN"/>
        </w:rPr>
        <w:t>制造</w:t>
      </w:r>
      <w:r>
        <w:rPr>
          <w:rFonts w:hint="eastAsia" w:ascii="仿宋" w:hAnsi="仿宋" w:eastAsia="仿宋" w:cs="仿宋"/>
          <w:sz w:val="24"/>
          <w:szCs w:val="24"/>
          <w:highlight w:val="none"/>
        </w:rPr>
        <w:t>。相关企业的具体情况如下：</w:t>
      </w:r>
    </w:p>
    <w:p w14:paraId="23ADC11E">
      <w:pPr>
        <w:pStyle w:val="101"/>
        <w:spacing w:line="240" w:lineRule="auto"/>
        <w:ind w:left="89" w:firstLine="393" w:firstLineChars="188"/>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u w:val="single"/>
        </w:rPr>
        <w:t>（标的名称）</w:t>
      </w:r>
      <w:r>
        <w:rPr>
          <w:rFonts w:hint="eastAsia" w:ascii="仿宋" w:hAnsi="仿宋" w:eastAsia="仿宋" w:cs="仿宋"/>
          <w:sz w:val="24"/>
          <w:szCs w:val="24"/>
          <w:highlight w:val="none"/>
        </w:rPr>
        <w:t>，属于</w:t>
      </w:r>
      <w:r>
        <w:rPr>
          <w:rFonts w:hint="eastAsia" w:ascii="仿宋" w:hAnsi="仿宋" w:eastAsia="仿宋" w:cs="仿宋"/>
          <w:sz w:val="24"/>
          <w:szCs w:val="24"/>
          <w:highlight w:val="none"/>
          <w:u w:val="single"/>
        </w:rPr>
        <w:t xml:space="preserve"> </w:t>
      </w:r>
      <w:r>
        <w:rPr>
          <w:rFonts w:hint="eastAsia" w:ascii="仿宋" w:hAnsi="仿宋" w:eastAsia="仿宋" w:cs="仿宋"/>
          <w:spacing w:val="14"/>
          <w:kern w:val="0"/>
          <w:sz w:val="24"/>
          <w:szCs w:val="24"/>
          <w:highlight w:val="none"/>
          <w:u w:val="single"/>
        </w:rPr>
        <w:t>（采购文件中明确的所属行业）</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行业；</w:t>
      </w:r>
      <w:r>
        <w:rPr>
          <w:rFonts w:hint="eastAsia" w:ascii="仿宋" w:hAnsi="仿宋" w:eastAsia="仿宋" w:cs="仿宋"/>
          <w:sz w:val="24"/>
          <w:szCs w:val="24"/>
          <w:highlight w:val="none"/>
          <w:lang w:eastAsia="zh-CN"/>
        </w:rPr>
        <w:t>制造</w:t>
      </w:r>
      <w:r>
        <w:rPr>
          <w:rFonts w:hint="eastAsia" w:ascii="仿宋" w:hAnsi="仿宋" w:eastAsia="仿宋" w:cs="仿宋"/>
          <w:sz w:val="24"/>
          <w:szCs w:val="24"/>
          <w:highlight w:val="none"/>
        </w:rPr>
        <w:t>商为</w:t>
      </w:r>
      <w:r>
        <w:rPr>
          <w:rFonts w:hint="eastAsia" w:ascii="仿宋" w:hAnsi="仿宋" w:eastAsia="仿宋" w:cs="仿宋"/>
          <w:sz w:val="24"/>
          <w:szCs w:val="24"/>
          <w:highlight w:val="none"/>
          <w:u w:val="single"/>
        </w:rPr>
        <w:t xml:space="preserve"> （企业名称）</w:t>
      </w:r>
      <w:r>
        <w:rPr>
          <w:rFonts w:hint="eastAsia" w:ascii="仿宋" w:hAnsi="仿宋" w:eastAsia="仿宋" w:cs="仿宋"/>
          <w:sz w:val="24"/>
          <w:szCs w:val="24"/>
          <w:highlight w:val="none"/>
        </w:rPr>
        <w:t xml:space="preserve">，从业人员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人，营业收入为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万元，属于</w:t>
      </w:r>
      <w:r>
        <w:rPr>
          <w:rFonts w:hint="eastAsia" w:ascii="仿宋" w:hAnsi="仿宋" w:eastAsia="仿宋" w:cs="仿宋"/>
          <w:sz w:val="24"/>
          <w:szCs w:val="24"/>
          <w:highlight w:val="none"/>
          <w:u w:val="single"/>
        </w:rPr>
        <w:t>（中型企业、小型企业、微型企业）</w:t>
      </w:r>
      <w:r>
        <w:rPr>
          <w:rFonts w:hint="eastAsia" w:ascii="仿宋" w:hAnsi="仿宋" w:eastAsia="仿宋" w:cs="仿宋"/>
          <w:sz w:val="24"/>
          <w:szCs w:val="24"/>
          <w:highlight w:val="none"/>
        </w:rPr>
        <w:t>。</w:t>
      </w:r>
    </w:p>
    <w:p w14:paraId="05818BCD">
      <w:pPr>
        <w:pStyle w:val="101"/>
        <w:spacing w:line="240" w:lineRule="auto"/>
        <w:ind w:left="89" w:firstLine="393" w:firstLineChars="188"/>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2、</w:t>
      </w:r>
      <w:r>
        <w:rPr>
          <w:rFonts w:hint="eastAsia" w:ascii="仿宋" w:hAnsi="仿宋" w:eastAsia="仿宋" w:cs="仿宋"/>
          <w:sz w:val="24"/>
          <w:szCs w:val="24"/>
          <w:highlight w:val="none"/>
          <w:u w:val="single"/>
        </w:rPr>
        <w:t>（标的名称）</w:t>
      </w:r>
      <w:r>
        <w:rPr>
          <w:rFonts w:hint="eastAsia" w:ascii="仿宋" w:hAnsi="仿宋" w:eastAsia="仿宋" w:cs="仿宋"/>
          <w:sz w:val="24"/>
          <w:szCs w:val="24"/>
          <w:highlight w:val="none"/>
        </w:rPr>
        <w:t>，属于</w:t>
      </w:r>
      <w:r>
        <w:rPr>
          <w:rFonts w:hint="eastAsia" w:ascii="仿宋" w:hAnsi="仿宋" w:eastAsia="仿宋" w:cs="仿宋"/>
          <w:sz w:val="24"/>
          <w:szCs w:val="24"/>
          <w:highlight w:val="none"/>
          <w:u w:val="single"/>
        </w:rPr>
        <w:t xml:space="preserve"> </w:t>
      </w:r>
      <w:r>
        <w:rPr>
          <w:rFonts w:hint="eastAsia" w:ascii="仿宋" w:hAnsi="仿宋" w:eastAsia="仿宋" w:cs="仿宋"/>
          <w:spacing w:val="14"/>
          <w:kern w:val="0"/>
          <w:sz w:val="24"/>
          <w:szCs w:val="24"/>
          <w:highlight w:val="none"/>
          <w:u w:val="single"/>
        </w:rPr>
        <w:t>（采购文件中明确的所属行业）</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行业；</w:t>
      </w:r>
      <w:r>
        <w:rPr>
          <w:rFonts w:hint="eastAsia" w:ascii="仿宋" w:hAnsi="仿宋" w:eastAsia="仿宋" w:cs="仿宋"/>
          <w:sz w:val="24"/>
          <w:szCs w:val="24"/>
          <w:highlight w:val="none"/>
          <w:lang w:eastAsia="zh-CN"/>
        </w:rPr>
        <w:t>制造</w:t>
      </w:r>
      <w:r>
        <w:rPr>
          <w:rFonts w:hint="eastAsia" w:ascii="仿宋" w:hAnsi="仿宋" w:eastAsia="仿宋" w:cs="仿宋"/>
          <w:sz w:val="24"/>
          <w:szCs w:val="24"/>
          <w:highlight w:val="none"/>
        </w:rPr>
        <w:t>商为</w:t>
      </w:r>
      <w:r>
        <w:rPr>
          <w:rFonts w:hint="eastAsia" w:ascii="仿宋" w:hAnsi="仿宋" w:eastAsia="仿宋" w:cs="仿宋"/>
          <w:sz w:val="24"/>
          <w:szCs w:val="24"/>
          <w:highlight w:val="none"/>
          <w:u w:val="single"/>
        </w:rPr>
        <w:t>（企业名称）</w:t>
      </w:r>
      <w:r>
        <w:rPr>
          <w:rFonts w:hint="eastAsia" w:ascii="仿宋" w:hAnsi="仿宋" w:eastAsia="仿宋" w:cs="仿宋"/>
          <w:sz w:val="24"/>
          <w:szCs w:val="24"/>
          <w:highlight w:val="none"/>
        </w:rPr>
        <w:t xml:space="preserve">，从业人员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人，营业收入为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万元，属于</w:t>
      </w:r>
      <w:r>
        <w:rPr>
          <w:rFonts w:hint="eastAsia" w:ascii="仿宋" w:hAnsi="仿宋" w:eastAsia="仿宋" w:cs="仿宋"/>
          <w:sz w:val="24"/>
          <w:szCs w:val="24"/>
          <w:highlight w:val="none"/>
          <w:u w:val="single"/>
        </w:rPr>
        <w:t>（中型企业、小型企业、微型企业）</w:t>
      </w:r>
      <w:r>
        <w:rPr>
          <w:rFonts w:hint="eastAsia" w:ascii="仿宋" w:hAnsi="仿宋" w:eastAsia="仿宋" w:cs="仿宋"/>
          <w:sz w:val="24"/>
          <w:szCs w:val="24"/>
          <w:highlight w:val="none"/>
        </w:rPr>
        <w:t>。</w:t>
      </w:r>
    </w:p>
    <w:p w14:paraId="4C18F073">
      <w:pPr>
        <w:pStyle w:val="101"/>
        <w:spacing w:line="240" w:lineRule="auto"/>
        <w:ind w:right="-58" w:firstLine="406" w:firstLineChars="200"/>
        <w:rPr>
          <w:rFonts w:hint="eastAsia" w:ascii="仿宋" w:hAnsi="仿宋" w:eastAsia="仿宋" w:cs="仿宋"/>
          <w:spacing w:val="-3"/>
          <w:sz w:val="24"/>
          <w:szCs w:val="24"/>
          <w:highlight w:val="none"/>
        </w:rPr>
      </w:pPr>
      <w:r>
        <w:rPr>
          <w:rFonts w:hint="eastAsia" w:ascii="仿宋" w:hAnsi="仿宋" w:eastAsia="仿宋" w:cs="仿宋"/>
          <w:spacing w:val="-3"/>
          <w:sz w:val="24"/>
          <w:szCs w:val="24"/>
          <w:highlight w:val="none"/>
        </w:rPr>
        <w:t>……</w:t>
      </w:r>
    </w:p>
    <w:p w14:paraId="73D82137">
      <w:pPr>
        <w:pStyle w:val="101"/>
        <w:spacing w:line="240" w:lineRule="auto"/>
        <w:ind w:firstLine="420"/>
        <w:rPr>
          <w:rFonts w:hint="eastAsia" w:ascii="仿宋" w:hAnsi="仿宋" w:eastAsia="仿宋" w:cs="仿宋"/>
          <w:spacing w:val="14"/>
          <w:kern w:val="0"/>
          <w:sz w:val="24"/>
          <w:szCs w:val="24"/>
          <w:highlight w:val="none"/>
          <w:lang w:val="zh-CN"/>
        </w:rPr>
      </w:pPr>
      <w:r>
        <w:rPr>
          <w:rFonts w:hint="eastAsia" w:ascii="仿宋" w:hAnsi="仿宋" w:eastAsia="仿宋" w:cs="仿宋"/>
          <w:spacing w:val="14"/>
          <w:kern w:val="0"/>
          <w:sz w:val="24"/>
          <w:szCs w:val="24"/>
          <w:highlight w:val="none"/>
          <w:lang w:val="zh-CN"/>
        </w:rPr>
        <w:t>以上企业，不属于大企业的分支机构，不存在控股股东为大企业的情形，也不存在与大企业的负责人为同一人的情形。</w:t>
      </w:r>
    </w:p>
    <w:p w14:paraId="4624337A">
      <w:pPr>
        <w:pStyle w:val="101"/>
        <w:spacing w:line="240" w:lineRule="auto"/>
        <w:ind w:firstLine="420"/>
        <w:rPr>
          <w:rFonts w:hint="eastAsia" w:ascii="仿宋" w:hAnsi="仿宋" w:eastAsia="仿宋" w:cs="仿宋"/>
          <w:spacing w:val="14"/>
          <w:kern w:val="0"/>
          <w:sz w:val="24"/>
          <w:szCs w:val="24"/>
          <w:lang w:val="zh-CN"/>
        </w:rPr>
      </w:pPr>
      <w:r>
        <w:rPr>
          <w:rFonts w:hint="eastAsia" w:ascii="仿宋" w:hAnsi="仿宋" w:eastAsia="仿宋" w:cs="仿宋"/>
          <w:spacing w:val="14"/>
          <w:kern w:val="0"/>
          <w:sz w:val="24"/>
          <w:szCs w:val="24"/>
          <w:highlight w:val="none"/>
          <w:lang w:val="zh-CN"/>
        </w:rPr>
        <w:t>本企业对上述声明内容的真实性负责。如有虚假，将依法承担相应责任</w:t>
      </w:r>
      <w:r>
        <w:rPr>
          <w:rFonts w:hint="eastAsia" w:ascii="仿宋" w:hAnsi="仿宋" w:eastAsia="仿宋" w:cs="仿宋"/>
          <w:spacing w:val="14"/>
          <w:kern w:val="0"/>
          <w:sz w:val="24"/>
          <w:szCs w:val="24"/>
          <w:lang w:val="zh-CN"/>
        </w:rPr>
        <w:t>。</w:t>
      </w:r>
    </w:p>
    <w:p w14:paraId="18F31D52">
      <w:pPr>
        <w:pStyle w:val="101"/>
        <w:spacing w:line="240" w:lineRule="auto"/>
        <w:ind w:firstLine="474" w:firstLineChars="200"/>
        <w:rPr>
          <w:rFonts w:hint="eastAsia" w:ascii="仿宋" w:hAnsi="仿宋" w:eastAsia="仿宋" w:cs="仿宋"/>
          <w:spacing w:val="14"/>
          <w:sz w:val="24"/>
          <w:szCs w:val="24"/>
          <w:lang w:val="zh-CN"/>
        </w:rPr>
      </w:pPr>
    </w:p>
    <w:p w14:paraId="18E6FB60">
      <w:pPr>
        <w:pStyle w:val="101"/>
        <w:spacing w:line="240" w:lineRule="auto"/>
        <w:ind w:firstLine="474" w:firstLineChars="200"/>
        <w:rPr>
          <w:rFonts w:hint="eastAsia" w:ascii="仿宋" w:hAnsi="仿宋" w:eastAsia="仿宋" w:cs="仿宋"/>
          <w:spacing w:val="14"/>
          <w:sz w:val="24"/>
          <w:szCs w:val="24"/>
          <w:lang w:val="zh-CN"/>
        </w:rPr>
      </w:pPr>
      <w:r>
        <w:rPr>
          <w:rFonts w:hint="eastAsia" w:ascii="仿宋" w:hAnsi="仿宋" w:eastAsia="仿宋" w:cs="仿宋"/>
          <w:spacing w:val="14"/>
          <w:sz w:val="24"/>
          <w:szCs w:val="24"/>
          <w:lang w:val="zh-CN"/>
        </w:rPr>
        <w:t>供应商（企业电子章）：</w:t>
      </w:r>
    </w:p>
    <w:p w14:paraId="0E65CDDD">
      <w:pPr>
        <w:pStyle w:val="101"/>
        <w:spacing w:line="240" w:lineRule="auto"/>
        <w:ind w:firstLine="474" w:firstLineChars="200"/>
        <w:rPr>
          <w:rFonts w:hint="eastAsia" w:ascii="仿宋" w:hAnsi="仿宋" w:eastAsia="仿宋" w:cs="仿宋"/>
          <w:spacing w:val="14"/>
          <w:sz w:val="24"/>
          <w:szCs w:val="24"/>
          <w:lang w:val="zh-CN"/>
        </w:rPr>
      </w:pPr>
      <w:r>
        <w:rPr>
          <w:rFonts w:hint="eastAsia" w:ascii="仿宋" w:hAnsi="仿宋" w:eastAsia="仿宋" w:cs="仿宋"/>
          <w:spacing w:val="14"/>
          <w:sz w:val="24"/>
          <w:szCs w:val="24"/>
          <w:lang w:val="zh-CN"/>
        </w:rPr>
        <w:t>日期：</w:t>
      </w:r>
    </w:p>
    <w:p w14:paraId="4B24EB02">
      <w:pPr>
        <w:pStyle w:val="101"/>
        <w:spacing w:line="240" w:lineRule="auto"/>
        <w:ind w:firstLine="474" w:firstLineChars="200"/>
        <w:rPr>
          <w:rFonts w:hint="eastAsia" w:ascii="仿宋" w:hAnsi="仿宋" w:eastAsia="仿宋" w:cs="仿宋"/>
          <w:spacing w:val="14"/>
          <w:sz w:val="24"/>
          <w:szCs w:val="24"/>
          <w:lang w:val="zh-CN"/>
        </w:rPr>
      </w:pPr>
    </w:p>
    <w:p w14:paraId="21790FEF">
      <w:pPr>
        <w:pStyle w:val="101"/>
        <w:spacing w:line="240" w:lineRule="auto"/>
        <w:ind w:firstLine="474" w:firstLineChars="200"/>
        <w:rPr>
          <w:rFonts w:hint="eastAsia" w:ascii="仿宋" w:hAnsi="仿宋" w:eastAsia="仿宋" w:cs="仿宋"/>
          <w:spacing w:val="14"/>
          <w:sz w:val="24"/>
          <w:szCs w:val="24"/>
          <w:lang w:val="zh-CN"/>
        </w:rPr>
      </w:pPr>
    </w:p>
    <w:p w14:paraId="7DBF5AFA">
      <w:pPr>
        <w:pStyle w:val="101"/>
        <w:rPr>
          <w:rFonts w:hint="eastAsia" w:ascii="仿宋" w:hAnsi="仿宋" w:eastAsia="仿宋" w:cs="仿宋"/>
          <w:spacing w:val="14"/>
          <w:sz w:val="24"/>
          <w:szCs w:val="24"/>
          <w:lang w:val="zh-CN"/>
        </w:rPr>
      </w:pPr>
      <w:r>
        <w:rPr>
          <w:rFonts w:hint="eastAsia" w:ascii="仿宋" w:hAnsi="仿宋" w:eastAsia="仿宋" w:cs="仿宋"/>
          <w:spacing w:val="14"/>
          <w:sz w:val="24"/>
          <w:szCs w:val="24"/>
          <w:lang w:val="zh-CN"/>
        </w:rPr>
        <w:t>注：1、从业人员、营业收入、资产总额填报上一年度数据，无上一年度数据的新成立企业可不填报。</w:t>
      </w:r>
    </w:p>
    <w:p w14:paraId="2A6638C2">
      <w:pPr>
        <w:pStyle w:val="101"/>
        <w:ind w:firstLine="474" w:firstLineChars="200"/>
        <w:rPr>
          <w:rFonts w:hint="eastAsia" w:ascii="仿宋" w:hAnsi="仿宋" w:eastAsia="仿宋" w:cs="仿宋"/>
          <w:spacing w:val="14"/>
          <w:sz w:val="24"/>
          <w:szCs w:val="24"/>
          <w:lang w:val="zh-CN"/>
        </w:rPr>
      </w:pPr>
      <w:r>
        <w:rPr>
          <w:rFonts w:hint="eastAsia" w:ascii="仿宋" w:hAnsi="仿宋" w:eastAsia="仿宋" w:cs="仿宋"/>
          <w:spacing w:val="14"/>
          <w:sz w:val="24"/>
          <w:szCs w:val="24"/>
          <w:lang w:val="en-US" w:eastAsia="zh-CN"/>
        </w:rPr>
        <w:t>2、</w:t>
      </w:r>
      <w:r>
        <w:rPr>
          <w:rFonts w:hint="eastAsia" w:ascii="仿宋" w:hAnsi="仿宋" w:eastAsia="仿宋" w:cs="仿宋"/>
          <w:spacing w:val="14"/>
          <w:sz w:val="24"/>
          <w:szCs w:val="24"/>
          <w:lang w:val="zh-CN"/>
        </w:rPr>
        <w:t>中小企业划分标准见工业和信息化部国家统计局国家发展和改革委员财政部《关于印发中小企业划型标准规定的通知》（工信部联企业〔2011〕300号)。</w:t>
      </w:r>
    </w:p>
    <w:p w14:paraId="7A5532B4">
      <w:pPr>
        <w:pStyle w:val="101"/>
        <w:ind w:firstLine="474" w:firstLineChars="200"/>
        <w:rPr>
          <w:rFonts w:hint="eastAsia" w:ascii="仿宋" w:hAnsi="仿宋" w:eastAsia="仿宋" w:cs="仿宋"/>
          <w:spacing w:val="14"/>
          <w:sz w:val="24"/>
          <w:szCs w:val="24"/>
          <w:lang w:val="zh-CN"/>
        </w:rPr>
      </w:pPr>
      <w:r>
        <w:rPr>
          <w:rFonts w:hint="eastAsia" w:ascii="仿宋" w:hAnsi="仿宋" w:eastAsia="仿宋" w:cs="仿宋"/>
          <w:spacing w:val="14"/>
          <w:sz w:val="24"/>
          <w:szCs w:val="24"/>
          <w:lang w:val="zh-CN"/>
        </w:rPr>
        <w:t>3、供应商应按采购货物清单中所列标的名称逐一列明所属行业。如多个标的名称属于同一个行业且为同一制造商的，可合并到一条中列明，但必须将可合并的标的名称全部列明，不得进行省略或简写。未按要求填写的将不予认可。</w:t>
      </w:r>
    </w:p>
    <w:p w14:paraId="42CDC80E">
      <w:pPr>
        <w:widowControl/>
        <w:jc w:val="left"/>
        <w:outlineLvl w:val="9"/>
        <w:rPr>
          <w:rFonts w:hint="eastAsia" w:ascii="仿宋" w:hAnsi="仿宋" w:eastAsia="仿宋" w:cs="仿宋"/>
          <w:b/>
          <w:kern w:val="0"/>
          <w:sz w:val="28"/>
          <w:szCs w:val="24"/>
          <w:lang w:eastAsia="en-US"/>
        </w:rPr>
      </w:pPr>
    </w:p>
    <w:p w14:paraId="72DDB416">
      <w:pPr>
        <w:widowControl/>
        <w:jc w:val="left"/>
        <w:outlineLvl w:val="9"/>
        <w:rPr>
          <w:rFonts w:hint="eastAsia" w:ascii="仿宋" w:hAnsi="仿宋" w:eastAsia="仿宋" w:cs="仿宋"/>
          <w:b/>
          <w:kern w:val="0"/>
          <w:sz w:val="28"/>
          <w:szCs w:val="24"/>
          <w:lang w:eastAsia="en-US"/>
        </w:rPr>
      </w:pPr>
    </w:p>
    <w:p w14:paraId="08304E64">
      <w:pPr>
        <w:pStyle w:val="2"/>
        <w:rPr>
          <w:rFonts w:hint="eastAsia" w:ascii="仿宋" w:hAnsi="仿宋" w:eastAsia="仿宋" w:cs="仿宋"/>
          <w:b/>
          <w:kern w:val="0"/>
          <w:sz w:val="28"/>
          <w:szCs w:val="24"/>
          <w:lang w:eastAsia="en-US"/>
        </w:rPr>
      </w:pPr>
    </w:p>
    <w:p w14:paraId="3210B071">
      <w:pPr>
        <w:pStyle w:val="2"/>
        <w:rPr>
          <w:rFonts w:hint="eastAsia" w:ascii="仿宋" w:hAnsi="仿宋" w:eastAsia="仿宋" w:cs="仿宋"/>
          <w:b/>
          <w:kern w:val="0"/>
          <w:sz w:val="28"/>
          <w:szCs w:val="24"/>
          <w:lang w:eastAsia="en-US"/>
        </w:rPr>
      </w:pPr>
    </w:p>
    <w:p w14:paraId="498C36BE">
      <w:pPr>
        <w:widowControl/>
        <w:jc w:val="left"/>
        <w:outlineLvl w:val="9"/>
        <w:rPr>
          <w:rFonts w:ascii="宋体" w:hAnsi="宋体" w:cs="宋体"/>
          <w:b/>
          <w:color w:val="auto"/>
          <w:kern w:val="0"/>
          <w:sz w:val="28"/>
          <w:szCs w:val="24"/>
          <w:lang w:eastAsia="en-US"/>
        </w:rPr>
      </w:pPr>
      <w:r>
        <w:rPr>
          <w:rFonts w:hint="eastAsia" w:ascii="仿宋" w:hAnsi="仿宋" w:eastAsia="仿宋" w:cs="仿宋"/>
          <w:b/>
          <w:color w:val="auto"/>
          <w:kern w:val="0"/>
          <w:sz w:val="28"/>
          <w:szCs w:val="24"/>
          <w:lang w:eastAsia="en-US"/>
        </w:rPr>
        <w:t>附件</w:t>
      </w:r>
      <w:r>
        <w:rPr>
          <w:rFonts w:hint="eastAsia" w:ascii="仿宋" w:hAnsi="仿宋" w:eastAsia="仿宋" w:cs="仿宋"/>
          <w:b/>
          <w:color w:val="auto"/>
          <w:kern w:val="0"/>
          <w:sz w:val="28"/>
          <w:szCs w:val="24"/>
          <w:lang w:val="en-US" w:eastAsia="zh-CN"/>
        </w:rPr>
        <w:t>6-2</w:t>
      </w:r>
      <w:r>
        <w:rPr>
          <w:rFonts w:hint="eastAsia" w:ascii="仿宋" w:hAnsi="仿宋" w:eastAsia="仿宋" w:cs="仿宋"/>
          <w:b/>
          <w:color w:val="auto"/>
          <w:kern w:val="0"/>
          <w:sz w:val="28"/>
          <w:szCs w:val="24"/>
          <w:lang w:eastAsia="en-US"/>
        </w:rPr>
        <w:t>:残疾人福利性单位声明函</w:t>
      </w:r>
    </w:p>
    <w:p w14:paraId="35799348">
      <w:pPr>
        <w:jc w:val="center"/>
        <w:rPr>
          <w:rFonts w:ascii="仿宋" w:hAnsi="仿宋" w:eastAsia="仿宋" w:cs="宋体"/>
          <w:spacing w:val="14"/>
          <w:sz w:val="24"/>
          <w:szCs w:val="24"/>
        </w:rPr>
      </w:pPr>
      <w:r>
        <w:rPr>
          <w:rFonts w:hint="eastAsia" w:ascii="仿宋" w:hAnsi="仿宋" w:eastAsia="仿宋" w:cs="宋体"/>
          <w:spacing w:val="14"/>
          <w:sz w:val="24"/>
          <w:szCs w:val="24"/>
        </w:rPr>
        <w:t>残疾人福利性单位声明函</w:t>
      </w:r>
    </w:p>
    <w:p w14:paraId="41E8FC59">
      <w:pPr>
        <w:jc w:val="center"/>
        <w:rPr>
          <w:rFonts w:hint="eastAsia" w:ascii="仿宋" w:hAnsi="仿宋" w:eastAsia="仿宋" w:cs="宋体"/>
          <w:spacing w:val="14"/>
          <w:sz w:val="24"/>
          <w:szCs w:val="24"/>
        </w:rPr>
      </w:pPr>
      <w:r>
        <w:rPr>
          <w:rFonts w:hint="eastAsia" w:ascii="仿宋" w:hAnsi="仿宋" w:eastAsia="仿宋" w:cs="宋体"/>
          <w:spacing w:val="14"/>
          <w:sz w:val="24"/>
          <w:szCs w:val="24"/>
        </w:rPr>
        <w:t xml:space="preserve"> </w:t>
      </w:r>
    </w:p>
    <w:p w14:paraId="014218D1">
      <w:pPr>
        <w:ind w:firstLine="420"/>
        <w:rPr>
          <w:rFonts w:hint="eastAsia" w:ascii="仿宋" w:hAnsi="仿宋" w:eastAsia="仿宋" w:cs="宋体"/>
          <w:spacing w:val="14"/>
          <w:sz w:val="24"/>
          <w:szCs w:val="24"/>
        </w:rPr>
      </w:pPr>
      <w:r>
        <w:rPr>
          <w:rFonts w:hint="eastAsia" w:ascii="仿宋" w:hAnsi="仿宋" w:eastAsia="仿宋" w:cs="宋体"/>
          <w:spacing w:val="14"/>
          <w:sz w:val="24"/>
          <w:szCs w:val="24"/>
        </w:rPr>
        <w:t>本单位郑重声明，根据《财政部 民政部 中国残疾人联合会关于促进残疾人就业政府采购政策的通知》（财库〔2017〕 141号）的规定，本单位为</w:t>
      </w:r>
      <w:r>
        <w:rPr>
          <w:rFonts w:hint="eastAsia" w:ascii="仿宋" w:hAnsi="仿宋" w:eastAsia="仿宋" w:cs="宋体"/>
          <w:spacing w:val="14"/>
          <w:sz w:val="24"/>
          <w:szCs w:val="24"/>
          <w:u w:val="single"/>
          <w:lang w:val="en-US" w:eastAsia="zh-CN"/>
        </w:rPr>
        <w:t xml:space="preserve">     </w:t>
      </w:r>
      <w:r>
        <w:rPr>
          <w:rFonts w:hint="eastAsia" w:ascii="仿宋" w:hAnsi="仿宋" w:eastAsia="仿宋" w:cs="宋体"/>
          <w:spacing w:val="14"/>
          <w:sz w:val="24"/>
          <w:szCs w:val="24"/>
        </w:rPr>
        <w:t>条件的残疾人福利性单位，且本单位参加______单位的______项目采购活动提供本单位的服务。</w:t>
      </w:r>
    </w:p>
    <w:p w14:paraId="345F6E7A">
      <w:pPr>
        <w:ind w:firstLine="420"/>
        <w:rPr>
          <w:rFonts w:hint="eastAsia" w:ascii="仿宋" w:hAnsi="仿宋" w:eastAsia="仿宋" w:cs="宋体"/>
          <w:spacing w:val="14"/>
          <w:sz w:val="24"/>
          <w:szCs w:val="24"/>
        </w:rPr>
      </w:pPr>
      <w:r>
        <w:rPr>
          <w:rFonts w:hint="eastAsia" w:ascii="仿宋" w:hAnsi="仿宋" w:eastAsia="仿宋" w:cs="宋体"/>
          <w:spacing w:val="14"/>
          <w:sz w:val="24"/>
          <w:szCs w:val="24"/>
        </w:rPr>
        <w:t>本单位对上述声明的真实性负责。如有虚假，将依法承担相应责任。</w:t>
      </w:r>
    </w:p>
    <w:p w14:paraId="56720D97">
      <w:pPr>
        <w:rPr>
          <w:rFonts w:hint="eastAsia" w:ascii="仿宋" w:hAnsi="仿宋" w:eastAsia="仿宋" w:cs="宋体"/>
          <w:spacing w:val="14"/>
          <w:sz w:val="24"/>
          <w:szCs w:val="24"/>
        </w:rPr>
      </w:pPr>
      <w:r>
        <w:rPr>
          <w:rFonts w:hint="eastAsia" w:ascii="仿宋" w:hAnsi="仿宋" w:eastAsia="仿宋" w:cs="宋体"/>
          <w:spacing w:val="14"/>
          <w:sz w:val="24"/>
          <w:szCs w:val="24"/>
        </w:rPr>
        <w:t xml:space="preserve"> </w:t>
      </w:r>
    </w:p>
    <w:p w14:paraId="3E4286FC">
      <w:pPr>
        <w:rPr>
          <w:rFonts w:hint="eastAsia" w:ascii="仿宋" w:hAnsi="仿宋" w:eastAsia="仿宋"/>
          <w:spacing w:val="14"/>
          <w:sz w:val="24"/>
          <w:szCs w:val="24"/>
        </w:rPr>
      </w:pPr>
      <w:r>
        <w:rPr>
          <w:rFonts w:hint="eastAsia" w:ascii="仿宋" w:hAnsi="仿宋" w:eastAsia="仿宋"/>
          <w:spacing w:val="14"/>
          <w:sz w:val="24"/>
          <w:szCs w:val="24"/>
        </w:rPr>
        <w:t xml:space="preserve">                                      </w:t>
      </w:r>
    </w:p>
    <w:p w14:paraId="4787C287">
      <w:pPr>
        <w:jc w:val="right"/>
        <w:rPr>
          <w:rFonts w:hint="eastAsia"/>
          <w:sz w:val="24"/>
          <w:szCs w:val="24"/>
        </w:rPr>
      </w:pPr>
      <w:r>
        <w:rPr>
          <w:rFonts w:hint="eastAsia" w:ascii="仿宋" w:hAnsi="仿宋" w:eastAsia="仿宋"/>
          <w:spacing w:val="14"/>
          <w:sz w:val="24"/>
          <w:szCs w:val="24"/>
        </w:rPr>
        <w:t xml:space="preserve">       供应商（企业电子章）：</w:t>
      </w:r>
    </w:p>
    <w:p w14:paraId="3E2BB738">
      <w:pPr>
        <w:rPr>
          <w:rFonts w:hint="eastAsia" w:ascii="仿宋" w:hAnsi="仿宋" w:eastAsia="仿宋" w:cs="宋体"/>
          <w:spacing w:val="14"/>
          <w:sz w:val="24"/>
          <w:szCs w:val="24"/>
        </w:rPr>
      </w:pPr>
      <w:r>
        <w:rPr>
          <w:rFonts w:hint="eastAsia" w:ascii="仿宋" w:hAnsi="仿宋" w:eastAsia="仿宋" w:cs="宋体"/>
          <w:spacing w:val="14"/>
          <w:sz w:val="24"/>
          <w:szCs w:val="24"/>
        </w:rPr>
        <w:t xml:space="preserve"> </w:t>
      </w:r>
    </w:p>
    <w:p w14:paraId="1D6DC916">
      <w:pPr>
        <w:ind w:firstLine="237" w:firstLineChars="100"/>
        <w:rPr>
          <w:rFonts w:hint="eastAsia" w:ascii="仿宋" w:hAnsi="仿宋" w:eastAsia="仿宋" w:cs="宋体"/>
          <w:spacing w:val="14"/>
          <w:sz w:val="24"/>
          <w:szCs w:val="24"/>
          <w:lang w:eastAsia="zh-CN"/>
        </w:rPr>
      </w:pPr>
    </w:p>
    <w:p w14:paraId="24385B05">
      <w:pPr>
        <w:ind w:firstLine="237" w:firstLineChars="100"/>
        <w:rPr>
          <w:rFonts w:hint="eastAsia" w:ascii="仿宋" w:hAnsi="仿宋" w:eastAsia="仿宋" w:cs="宋体"/>
          <w:spacing w:val="14"/>
          <w:sz w:val="24"/>
          <w:szCs w:val="24"/>
          <w:lang w:eastAsia="zh-CN"/>
        </w:rPr>
      </w:pPr>
      <w:r>
        <w:rPr>
          <w:rFonts w:hint="eastAsia" w:ascii="仿宋" w:hAnsi="仿宋" w:eastAsia="仿宋" w:cs="宋体"/>
          <w:spacing w:val="14"/>
          <w:sz w:val="24"/>
          <w:szCs w:val="24"/>
          <w:lang w:eastAsia="zh-CN"/>
        </w:rPr>
        <w:t>（不符合可不填写）</w:t>
      </w:r>
    </w:p>
    <w:p w14:paraId="2ADCC97E">
      <w:pPr>
        <w:widowControl/>
        <w:jc w:val="left"/>
        <w:outlineLvl w:val="1"/>
        <w:rPr>
          <w:rFonts w:ascii="宋体" w:hAnsi="宋体" w:cs="宋体"/>
          <w:b/>
          <w:kern w:val="0"/>
          <w:sz w:val="28"/>
          <w:szCs w:val="24"/>
          <w:lang w:eastAsia="en-US"/>
        </w:rPr>
      </w:pPr>
      <w:r>
        <w:rPr>
          <w:rFonts w:ascii="Times New Roman" w:hAnsi="Times New Roman" w:eastAsia="Times New Roman"/>
          <w:kern w:val="0"/>
          <w:sz w:val="24"/>
          <w:szCs w:val="24"/>
          <w:lang w:eastAsia="en-US"/>
        </w:rPr>
        <w:br w:type="page"/>
      </w:r>
      <w:bookmarkStart w:id="309" w:name="_Toc10796"/>
      <w:r>
        <w:rPr>
          <w:rFonts w:hint="eastAsia" w:ascii="仿宋" w:hAnsi="仿宋" w:eastAsia="仿宋" w:cs="仿宋"/>
          <w:b/>
          <w:color w:val="auto"/>
          <w:kern w:val="0"/>
          <w:sz w:val="28"/>
          <w:szCs w:val="24"/>
          <w:lang w:eastAsia="en-US"/>
        </w:rPr>
        <w:t>附件</w:t>
      </w:r>
      <w:r>
        <w:rPr>
          <w:rFonts w:hint="eastAsia" w:ascii="仿宋" w:hAnsi="仿宋" w:eastAsia="仿宋" w:cs="仿宋"/>
          <w:b/>
          <w:color w:val="auto"/>
          <w:kern w:val="0"/>
          <w:sz w:val="28"/>
          <w:szCs w:val="24"/>
          <w:lang w:val="en-US" w:eastAsia="zh-CN"/>
        </w:rPr>
        <w:t>6-3</w:t>
      </w:r>
      <w:r>
        <w:rPr>
          <w:rFonts w:hint="eastAsia" w:ascii="仿宋" w:hAnsi="仿宋" w:eastAsia="仿宋" w:cs="仿宋"/>
          <w:b/>
          <w:color w:val="auto"/>
          <w:kern w:val="0"/>
          <w:sz w:val="28"/>
          <w:szCs w:val="24"/>
          <w:lang w:eastAsia="en-US"/>
        </w:rPr>
        <w:t>:监狱企业证明文件</w:t>
      </w:r>
      <w:bookmarkEnd w:id="309"/>
    </w:p>
    <w:p w14:paraId="6E3EEB9A">
      <w:pPr>
        <w:jc w:val="center"/>
        <w:rPr>
          <w:rFonts w:ascii="仿宋" w:hAnsi="仿宋" w:eastAsia="仿宋" w:cs="宋体"/>
          <w:spacing w:val="14"/>
          <w:sz w:val="24"/>
          <w:szCs w:val="24"/>
        </w:rPr>
      </w:pPr>
      <w:r>
        <w:rPr>
          <w:rFonts w:hint="eastAsia" w:ascii="仿宋" w:hAnsi="仿宋" w:eastAsia="仿宋" w:cs="宋体"/>
          <w:spacing w:val="14"/>
          <w:sz w:val="24"/>
          <w:szCs w:val="24"/>
        </w:rPr>
        <w:t>监狱企业证明文件</w:t>
      </w:r>
    </w:p>
    <w:p w14:paraId="12B508EA">
      <w:pPr>
        <w:jc w:val="center"/>
        <w:rPr>
          <w:rFonts w:hint="eastAsia" w:ascii="仿宋" w:hAnsi="仿宋" w:eastAsia="仿宋" w:cs="宋体"/>
          <w:spacing w:val="14"/>
          <w:sz w:val="24"/>
          <w:szCs w:val="24"/>
        </w:rPr>
      </w:pPr>
      <w:r>
        <w:rPr>
          <w:rFonts w:hint="eastAsia" w:ascii="仿宋" w:hAnsi="仿宋" w:eastAsia="仿宋" w:cs="宋体"/>
          <w:spacing w:val="14"/>
          <w:sz w:val="24"/>
          <w:szCs w:val="24"/>
        </w:rPr>
        <w:t xml:space="preserve"> </w:t>
      </w:r>
    </w:p>
    <w:p w14:paraId="228125CA">
      <w:pPr>
        <w:ind w:firstLine="420"/>
        <w:rPr>
          <w:rFonts w:hint="eastAsia" w:ascii="仿宋" w:hAnsi="仿宋" w:eastAsia="仿宋" w:cs="宋体"/>
          <w:spacing w:val="14"/>
          <w:sz w:val="24"/>
          <w:szCs w:val="24"/>
        </w:rPr>
      </w:pPr>
      <w:r>
        <w:rPr>
          <w:rFonts w:hint="eastAsia" w:ascii="仿宋" w:hAnsi="仿宋" w:eastAsia="仿宋" w:cs="宋体"/>
          <w:spacing w:val="14"/>
          <w:sz w:val="24"/>
          <w:szCs w:val="24"/>
        </w:rPr>
        <w:t>（监狱企业参加政府采购活动时，应当提供由省级以上监狱管理局、戒毒管理局(含新疆生产建设兵团)出具的属于监狱企业的证明文件。</w:t>
      </w:r>
    </w:p>
    <w:p w14:paraId="0FE7C80E">
      <w:pPr>
        <w:rPr>
          <w:rFonts w:hint="eastAsia" w:ascii="仿宋" w:hAnsi="仿宋" w:eastAsia="仿宋" w:cs="宋体"/>
          <w:spacing w:val="14"/>
          <w:sz w:val="24"/>
          <w:szCs w:val="24"/>
        </w:rPr>
      </w:pPr>
      <w:r>
        <w:rPr>
          <w:rFonts w:hint="eastAsia" w:ascii="仿宋" w:hAnsi="仿宋" w:eastAsia="仿宋" w:cs="宋体"/>
          <w:spacing w:val="14"/>
          <w:sz w:val="24"/>
          <w:szCs w:val="24"/>
        </w:rPr>
        <w:t xml:space="preserve"> </w:t>
      </w:r>
    </w:p>
    <w:p w14:paraId="77B256EF">
      <w:pPr>
        <w:rPr>
          <w:rFonts w:hint="eastAsia" w:ascii="仿宋" w:hAnsi="仿宋" w:eastAsia="仿宋" w:cs="宋体"/>
          <w:spacing w:val="14"/>
          <w:sz w:val="24"/>
          <w:szCs w:val="24"/>
        </w:rPr>
      </w:pPr>
    </w:p>
    <w:p w14:paraId="05E9D6F9">
      <w:pPr>
        <w:rPr>
          <w:rFonts w:hint="eastAsia" w:ascii="仿宋" w:hAnsi="仿宋" w:eastAsia="仿宋" w:cs="宋体"/>
          <w:spacing w:val="14"/>
          <w:sz w:val="24"/>
          <w:szCs w:val="24"/>
        </w:rPr>
      </w:pPr>
      <w:r>
        <w:rPr>
          <w:rFonts w:hint="eastAsia" w:ascii="仿宋" w:hAnsi="仿宋" w:eastAsia="仿宋" w:cs="宋体"/>
          <w:spacing w:val="14"/>
          <w:sz w:val="24"/>
          <w:szCs w:val="24"/>
        </w:rPr>
        <w:t>注：在响应文件中附扫描件</w:t>
      </w:r>
    </w:p>
    <w:p w14:paraId="4EDAECD8">
      <w:pPr>
        <w:rPr>
          <w:rFonts w:hint="eastAsia" w:ascii="仿宋" w:hAnsi="仿宋" w:eastAsia="仿宋" w:cs="宋体"/>
          <w:spacing w:val="14"/>
          <w:sz w:val="24"/>
          <w:szCs w:val="24"/>
        </w:rPr>
      </w:pPr>
    </w:p>
    <w:p w14:paraId="20D50A59">
      <w:pPr>
        <w:rPr>
          <w:rFonts w:hint="eastAsia" w:ascii="仿宋" w:hAnsi="仿宋" w:eastAsia="仿宋" w:cs="宋体"/>
          <w:spacing w:val="14"/>
          <w:sz w:val="24"/>
          <w:szCs w:val="24"/>
        </w:rPr>
      </w:pPr>
    </w:p>
    <w:p w14:paraId="4A449A5A">
      <w:pPr>
        <w:rPr>
          <w:rFonts w:hint="eastAsia" w:ascii="仿宋" w:hAnsi="仿宋" w:eastAsia="仿宋" w:cs="宋体"/>
          <w:spacing w:val="14"/>
          <w:sz w:val="24"/>
          <w:szCs w:val="24"/>
          <w:lang w:eastAsia="zh-CN"/>
        </w:rPr>
      </w:pPr>
      <w:r>
        <w:rPr>
          <w:rFonts w:hint="eastAsia" w:ascii="仿宋" w:hAnsi="仿宋" w:eastAsia="仿宋" w:cs="宋体"/>
          <w:spacing w:val="14"/>
          <w:sz w:val="24"/>
          <w:szCs w:val="24"/>
        </w:rPr>
        <w:t xml:space="preserve"> </w:t>
      </w:r>
      <w:r>
        <w:rPr>
          <w:rFonts w:hint="eastAsia" w:ascii="仿宋" w:hAnsi="仿宋" w:eastAsia="仿宋" w:cs="宋体"/>
          <w:spacing w:val="14"/>
          <w:sz w:val="24"/>
          <w:szCs w:val="24"/>
          <w:lang w:eastAsia="zh-CN"/>
        </w:rPr>
        <w:t>（不符合可不填写）</w:t>
      </w:r>
    </w:p>
    <w:p w14:paraId="4D67E538">
      <w:pPr>
        <w:pStyle w:val="103"/>
        <w:outlineLvl w:val="2"/>
        <w:rPr>
          <w:rFonts w:hint="eastAsia" w:ascii="仿宋" w:hAnsi="仿宋" w:eastAsia="仿宋" w:cs="仿宋"/>
        </w:rPr>
      </w:pPr>
      <w:r>
        <w:rPr>
          <w:rFonts w:ascii="Times New Roman" w:hAnsi="Times New Roman" w:eastAsia="Times New Roman"/>
          <w:kern w:val="0"/>
          <w:sz w:val="24"/>
          <w:szCs w:val="24"/>
          <w:lang w:eastAsia="en-US"/>
        </w:rPr>
        <w:br w:type="page"/>
      </w:r>
      <w:bookmarkStart w:id="310" w:name="_Toc256000168"/>
      <w:bookmarkStart w:id="311" w:name="_Toc20256"/>
      <w:bookmarkStart w:id="312" w:name="_Toc4963"/>
      <w:r>
        <w:rPr>
          <w:rFonts w:hint="eastAsia" w:ascii="仿宋" w:hAnsi="仿宋" w:eastAsia="仿宋" w:cs="仿宋"/>
          <w:sz w:val="28"/>
          <w:szCs w:val="22"/>
          <w:lang w:eastAsia="zh-CN"/>
        </w:rPr>
        <w:t>附件</w:t>
      </w:r>
      <w:r>
        <w:rPr>
          <w:rFonts w:hint="eastAsia" w:ascii="仿宋" w:hAnsi="仿宋" w:eastAsia="仿宋" w:cs="仿宋"/>
          <w:sz w:val="28"/>
          <w:szCs w:val="22"/>
          <w:lang w:val="en-US" w:eastAsia="zh-CN"/>
        </w:rPr>
        <w:t>7：</w:t>
      </w:r>
      <w:r>
        <w:rPr>
          <w:rFonts w:hint="eastAsia" w:ascii="仿宋" w:hAnsi="仿宋" w:eastAsia="仿宋" w:cs="仿宋"/>
          <w:sz w:val="28"/>
          <w:szCs w:val="22"/>
        </w:rPr>
        <w:t>技术要求响应与偏差表</w:t>
      </w:r>
      <w:bookmarkEnd w:id="310"/>
      <w:bookmarkEnd w:id="311"/>
      <w:bookmarkEnd w:id="312"/>
    </w:p>
    <w:p w14:paraId="66298036">
      <w:pPr>
        <w:pStyle w:val="104"/>
        <w:jc w:val="center"/>
        <w:rPr>
          <w:rFonts w:hint="eastAsia" w:ascii="仿宋" w:hAnsi="仿宋" w:eastAsia="仿宋" w:cs="仿宋"/>
          <w:spacing w:val="14"/>
          <w:kern w:val="0"/>
          <w:sz w:val="24"/>
          <w:szCs w:val="24"/>
        </w:rPr>
      </w:pPr>
      <w:r>
        <w:rPr>
          <w:rFonts w:hint="eastAsia" w:ascii="仿宋" w:hAnsi="仿宋" w:eastAsia="仿宋" w:cs="仿宋"/>
          <w:spacing w:val="14"/>
          <w:kern w:val="0"/>
          <w:sz w:val="24"/>
          <w:szCs w:val="24"/>
        </w:rPr>
        <w:t>技术要求响应与偏差表</w:t>
      </w:r>
    </w:p>
    <w:p w14:paraId="618B9BA9">
      <w:pPr>
        <w:pStyle w:val="104"/>
        <w:widowControl/>
        <w:jc w:val="center"/>
        <w:rPr>
          <w:rFonts w:hint="eastAsia" w:ascii="仿宋" w:hAnsi="仿宋" w:eastAsia="仿宋" w:cs="仿宋"/>
          <w:spacing w:val="14"/>
          <w:kern w:val="0"/>
          <w:sz w:val="24"/>
          <w:szCs w:val="24"/>
        </w:rPr>
      </w:pPr>
    </w:p>
    <w:tbl>
      <w:tblPr>
        <w:tblStyle w:val="6"/>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1174"/>
        <w:gridCol w:w="1134"/>
        <w:gridCol w:w="993"/>
        <w:gridCol w:w="850"/>
        <w:gridCol w:w="2126"/>
        <w:gridCol w:w="1418"/>
        <w:gridCol w:w="850"/>
      </w:tblGrid>
      <w:tr w14:paraId="16164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dxa"/>
            <w:vMerge w:val="restart"/>
            <w:noWrap w:val="0"/>
            <w:vAlign w:val="center"/>
          </w:tcPr>
          <w:p w14:paraId="08DEC6AF">
            <w:pPr>
              <w:pStyle w:val="104"/>
              <w:jc w:val="center"/>
              <w:rPr>
                <w:rFonts w:hint="eastAsia" w:ascii="仿宋" w:hAnsi="仿宋" w:eastAsia="仿宋" w:cs="仿宋"/>
                <w:kern w:val="0"/>
                <w:sz w:val="24"/>
                <w:szCs w:val="24"/>
              </w:rPr>
            </w:pPr>
            <w:r>
              <w:rPr>
                <w:rFonts w:hint="eastAsia" w:ascii="仿宋" w:hAnsi="仿宋" w:eastAsia="仿宋" w:cs="仿宋"/>
                <w:kern w:val="0"/>
                <w:sz w:val="24"/>
                <w:szCs w:val="24"/>
              </w:rPr>
              <w:t>序号</w:t>
            </w:r>
          </w:p>
        </w:tc>
        <w:tc>
          <w:tcPr>
            <w:tcW w:w="1174" w:type="dxa"/>
            <w:vMerge w:val="restart"/>
            <w:noWrap w:val="0"/>
            <w:vAlign w:val="center"/>
          </w:tcPr>
          <w:p w14:paraId="466D9C8A">
            <w:pPr>
              <w:pStyle w:val="104"/>
              <w:jc w:val="center"/>
              <w:rPr>
                <w:rFonts w:hint="eastAsia" w:ascii="仿宋" w:hAnsi="仿宋" w:eastAsia="仿宋" w:cs="仿宋"/>
                <w:kern w:val="0"/>
                <w:sz w:val="24"/>
                <w:szCs w:val="24"/>
              </w:rPr>
            </w:pPr>
            <w:r>
              <w:rPr>
                <w:rFonts w:hint="eastAsia" w:ascii="仿宋" w:hAnsi="仿宋" w:eastAsia="仿宋" w:cs="仿宋"/>
                <w:kern w:val="0"/>
                <w:sz w:val="24"/>
                <w:szCs w:val="24"/>
              </w:rPr>
              <w:t>名称</w:t>
            </w:r>
          </w:p>
        </w:tc>
        <w:tc>
          <w:tcPr>
            <w:tcW w:w="1134" w:type="dxa"/>
            <w:vMerge w:val="restart"/>
            <w:noWrap w:val="0"/>
            <w:vAlign w:val="center"/>
          </w:tcPr>
          <w:p w14:paraId="6063D33A">
            <w:pPr>
              <w:pStyle w:val="104"/>
              <w:jc w:val="center"/>
              <w:rPr>
                <w:rFonts w:hint="eastAsia" w:ascii="仿宋" w:hAnsi="仿宋" w:eastAsia="仿宋" w:cs="仿宋"/>
                <w:kern w:val="0"/>
                <w:sz w:val="24"/>
                <w:szCs w:val="24"/>
              </w:rPr>
            </w:pPr>
            <w:r>
              <w:rPr>
                <w:rFonts w:hint="eastAsia" w:ascii="仿宋" w:hAnsi="仿宋" w:eastAsia="仿宋" w:cs="仿宋"/>
                <w:kern w:val="0"/>
                <w:sz w:val="24"/>
                <w:szCs w:val="24"/>
              </w:rPr>
              <w:t>招标文件技术要求技术参数</w:t>
            </w:r>
          </w:p>
        </w:tc>
        <w:tc>
          <w:tcPr>
            <w:tcW w:w="3969" w:type="dxa"/>
            <w:gridSpan w:val="3"/>
            <w:noWrap w:val="0"/>
            <w:vAlign w:val="center"/>
          </w:tcPr>
          <w:p w14:paraId="60A37688">
            <w:pPr>
              <w:pStyle w:val="104"/>
              <w:jc w:val="center"/>
              <w:rPr>
                <w:rFonts w:hint="eastAsia" w:ascii="仿宋" w:hAnsi="仿宋" w:eastAsia="仿宋" w:cs="仿宋"/>
                <w:kern w:val="0"/>
                <w:sz w:val="24"/>
                <w:szCs w:val="24"/>
              </w:rPr>
            </w:pPr>
            <w:r>
              <w:rPr>
                <w:rFonts w:hint="eastAsia" w:ascii="仿宋" w:hAnsi="仿宋" w:eastAsia="仿宋" w:cs="仿宋"/>
                <w:kern w:val="0"/>
                <w:sz w:val="24"/>
                <w:szCs w:val="24"/>
              </w:rPr>
              <w:t>投标产品</w:t>
            </w:r>
          </w:p>
        </w:tc>
        <w:tc>
          <w:tcPr>
            <w:tcW w:w="1418" w:type="dxa"/>
            <w:vMerge w:val="restart"/>
            <w:noWrap w:val="0"/>
            <w:vAlign w:val="center"/>
          </w:tcPr>
          <w:p w14:paraId="1807504A">
            <w:pPr>
              <w:pStyle w:val="104"/>
              <w:jc w:val="center"/>
              <w:rPr>
                <w:rFonts w:hint="eastAsia" w:ascii="仿宋" w:hAnsi="仿宋" w:eastAsia="仿宋" w:cs="仿宋"/>
                <w:kern w:val="0"/>
                <w:sz w:val="24"/>
                <w:szCs w:val="24"/>
              </w:rPr>
            </w:pPr>
            <w:r>
              <w:rPr>
                <w:rFonts w:hint="eastAsia" w:ascii="仿宋" w:hAnsi="仿宋" w:eastAsia="仿宋" w:cs="仿宋"/>
                <w:kern w:val="0"/>
                <w:sz w:val="24"/>
                <w:szCs w:val="24"/>
              </w:rPr>
              <w:t>偏差描述</w:t>
            </w:r>
          </w:p>
        </w:tc>
        <w:tc>
          <w:tcPr>
            <w:tcW w:w="850" w:type="dxa"/>
            <w:vMerge w:val="restart"/>
            <w:noWrap w:val="0"/>
            <w:vAlign w:val="center"/>
          </w:tcPr>
          <w:p w14:paraId="459C9B7C">
            <w:pPr>
              <w:pStyle w:val="104"/>
              <w:jc w:val="center"/>
              <w:rPr>
                <w:rFonts w:hint="eastAsia" w:ascii="仿宋" w:hAnsi="仿宋" w:eastAsia="仿宋" w:cs="仿宋"/>
                <w:kern w:val="0"/>
                <w:sz w:val="24"/>
                <w:szCs w:val="24"/>
              </w:rPr>
            </w:pPr>
            <w:r>
              <w:rPr>
                <w:rFonts w:hint="eastAsia" w:ascii="仿宋" w:hAnsi="仿宋" w:eastAsia="仿宋" w:cs="仿宋"/>
                <w:kern w:val="0"/>
                <w:sz w:val="24"/>
                <w:szCs w:val="24"/>
              </w:rPr>
              <w:t>结论</w:t>
            </w:r>
          </w:p>
        </w:tc>
      </w:tr>
      <w:tr w14:paraId="46E2B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dxa"/>
            <w:vMerge w:val="continue"/>
            <w:noWrap w:val="0"/>
            <w:vAlign w:val="center"/>
          </w:tcPr>
          <w:p w14:paraId="64A51F37">
            <w:pPr>
              <w:pStyle w:val="104"/>
              <w:jc w:val="center"/>
              <w:rPr>
                <w:rFonts w:hint="eastAsia" w:ascii="仿宋" w:hAnsi="仿宋" w:eastAsia="仿宋" w:cs="仿宋"/>
                <w:kern w:val="0"/>
                <w:sz w:val="24"/>
                <w:szCs w:val="24"/>
              </w:rPr>
            </w:pPr>
          </w:p>
        </w:tc>
        <w:tc>
          <w:tcPr>
            <w:tcW w:w="1174" w:type="dxa"/>
            <w:vMerge w:val="continue"/>
            <w:noWrap w:val="0"/>
            <w:vAlign w:val="center"/>
          </w:tcPr>
          <w:p w14:paraId="7E087B1E">
            <w:pPr>
              <w:pStyle w:val="104"/>
              <w:jc w:val="center"/>
              <w:rPr>
                <w:rFonts w:hint="eastAsia" w:ascii="仿宋" w:hAnsi="仿宋" w:eastAsia="仿宋" w:cs="仿宋"/>
                <w:kern w:val="0"/>
                <w:sz w:val="24"/>
                <w:szCs w:val="24"/>
              </w:rPr>
            </w:pPr>
          </w:p>
        </w:tc>
        <w:tc>
          <w:tcPr>
            <w:tcW w:w="1134" w:type="dxa"/>
            <w:vMerge w:val="continue"/>
            <w:noWrap w:val="0"/>
            <w:vAlign w:val="center"/>
          </w:tcPr>
          <w:p w14:paraId="1792EAE2">
            <w:pPr>
              <w:pStyle w:val="104"/>
              <w:jc w:val="center"/>
              <w:rPr>
                <w:rFonts w:hint="eastAsia" w:ascii="仿宋" w:hAnsi="仿宋" w:eastAsia="仿宋" w:cs="仿宋"/>
                <w:kern w:val="0"/>
                <w:sz w:val="24"/>
                <w:szCs w:val="24"/>
              </w:rPr>
            </w:pPr>
          </w:p>
        </w:tc>
        <w:tc>
          <w:tcPr>
            <w:tcW w:w="993" w:type="dxa"/>
            <w:noWrap w:val="0"/>
            <w:vAlign w:val="center"/>
          </w:tcPr>
          <w:p w14:paraId="5084581C">
            <w:pPr>
              <w:pStyle w:val="104"/>
              <w:jc w:val="center"/>
              <w:rPr>
                <w:rFonts w:hint="eastAsia" w:ascii="仿宋" w:hAnsi="仿宋" w:eastAsia="仿宋" w:cs="仿宋"/>
                <w:kern w:val="0"/>
                <w:sz w:val="24"/>
                <w:szCs w:val="24"/>
              </w:rPr>
            </w:pPr>
            <w:r>
              <w:rPr>
                <w:rFonts w:hint="eastAsia" w:ascii="仿宋" w:hAnsi="仿宋" w:eastAsia="仿宋" w:cs="仿宋"/>
                <w:kern w:val="0"/>
                <w:sz w:val="24"/>
                <w:szCs w:val="24"/>
              </w:rPr>
              <w:t>制造商名称</w:t>
            </w:r>
          </w:p>
        </w:tc>
        <w:tc>
          <w:tcPr>
            <w:tcW w:w="850" w:type="dxa"/>
            <w:noWrap w:val="0"/>
            <w:vAlign w:val="center"/>
          </w:tcPr>
          <w:p w14:paraId="0E99DC00">
            <w:pPr>
              <w:pStyle w:val="104"/>
              <w:jc w:val="center"/>
              <w:rPr>
                <w:rFonts w:hint="eastAsia" w:ascii="仿宋" w:hAnsi="仿宋" w:eastAsia="仿宋" w:cs="仿宋"/>
                <w:kern w:val="0"/>
                <w:sz w:val="24"/>
                <w:szCs w:val="24"/>
              </w:rPr>
            </w:pPr>
            <w:r>
              <w:rPr>
                <w:rFonts w:hint="eastAsia" w:ascii="仿宋" w:hAnsi="仿宋" w:eastAsia="仿宋" w:cs="仿宋"/>
                <w:kern w:val="0"/>
                <w:sz w:val="24"/>
                <w:szCs w:val="24"/>
              </w:rPr>
              <w:t>品牌规格型号</w:t>
            </w:r>
          </w:p>
        </w:tc>
        <w:tc>
          <w:tcPr>
            <w:tcW w:w="2126" w:type="dxa"/>
            <w:noWrap w:val="0"/>
            <w:vAlign w:val="center"/>
          </w:tcPr>
          <w:p w14:paraId="131BDE9F">
            <w:pPr>
              <w:pStyle w:val="104"/>
              <w:jc w:val="center"/>
              <w:rPr>
                <w:rFonts w:hint="eastAsia" w:ascii="仿宋" w:hAnsi="仿宋" w:eastAsia="仿宋" w:cs="仿宋"/>
                <w:kern w:val="0"/>
                <w:sz w:val="24"/>
                <w:szCs w:val="24"/>
              </w:rPr>
            </w:pPr>
            <w:r>
              <w:rPr>
                <w:rFonts w:hint="eastAsia" w:ascii="仿宋" w:hAnsi="仿宋" w:eastAsia="仿宋" w:cs="仿宋"/>
                <w:kern w:val="0"/>
                <w:sz w:val="24"/>
                <w:szCs w:val="24"/>
              </w:rPr>
              <w:t>产品实际技术参数</w:t>
            </w:r>
          </w:p>
        </w:tc>
        <w:tc>
          <w:tcPr>
            <w:tcW w:w="1418" w:type="dxa"/>
            <w:vMerge w:val="continue"/>
            <w:noWrap w:val="0"/>
            <w:vAlign w:val="center"/>
          </w:tcPr>
          <w:p w14:paraId="5CBABFB1">
            <w:pPr>
              <w:pStyle w:val="104"/>
              <w:jc w:val="center"/>
              <w:rPr>
                <w:rFonts w:hint="eastAsia" w:ascii="仿宋" w:hAnsi="仿宋" w:eastAsia="仿宋" w:cs="仿宋"/>
                <w:kern w:val="0"/>
                <w:sz w:val="24"/>
                <w:szCs w:val="24"/>
              </w:rPr>
            </w:pPr>
          </w:p>
        </w:tc>
        <w:tc>
          <w:tcPr>
            <w:tcW w:w="850" w:type="dxa"/>
            <w:vMerge w:val="continue"/>
            <w:noWrap w:val="0"/>
            <w:vAlign w:val="center"/>
          </w:tcPr>
          <w:p w14:paraId="19C006DF">
            <w:pPr>
              <w:pStyle w:val="104"/>
              <w:jc w:val="center"/>
              <w:rPr>
                <w:rFonts w:hint="eastAsia" w:ascii="仿宋" w:hAnsi="仿宋" w:eastAsia="仿宋" w:cs="仿宋"/>
                <w:kern w:val="0"/>
                <w:sz w:val="24"/>
                <w:szCs w:val="24"/>
              </w:rPr>
            </w:pPr>
          </w:p>
        </w:tc>
      </w:tr>
      <w:tr w14:paraId="094CE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dxa"/>
            <w:noWrap w:val="0"/>
            <w:vAlign w:val="top"/>
          </w:tcPr>
          <w:p w14:paraId="6F85DE29">
            <w:pPr>
              <w:pStyle w:val="104"/>
              <w:rPr>
                <w:rFonts w:hint="eastAsia" w:ascii="仿宋" w:hAnsi="仿宋" w:eastAsia="仿宋" w:cs="仿宋"/>
                <w:kern w:val="0"/>
                <w:sz w:val="24"/>
                <w:szCs w:val="24"/>
              </w:rPr>
            </w:pPr>
          </w:p>
        </w:tc>
        <w:tc>
          <w:tcPr>
            <w:tcW w:w="1174" w:type="dxa"/>
            <w:noWrap w:val="0"/>
            <w:vAlign w:val="top"/>
          </w:tcPr>
          <w:p w14:paraId="0C61D9F9">
            <w:pPr>
              <w:pStyle w:val="104"/>
              <w:rPr>
                <w:rFonts w:hint="eastAsia" w:ascii="仿宋" w:hAnsi="仿宋" w:eastAsia="仿宋" w:cs="仿宋"/>
                <w:kern w:val="0"/>
                <w:sz w:val="24"/>
                <w:szCs w:val="24"/>
              </w:rPr>
            </w:pPr>
          </w:p>
        </w:tc>
        <w:tc>
          <w:tcPr>
            <w:tcW w:w="1134" w:type="dxa"/>
            <w:noWrap w:val="0"/>
            <w:vAlign w:val="top"/>
          </w:tcPr>
          <w:p w14:paraId="7E648D11">
            <w:pPr>
              <w:pStyle w:val="104"/>
              <w:rPr>
                <w:rFonts w:hint="eastAsia" w:ascii="仿宋" w:hAnsi="仿宋" w:eastAsia="仿宋" w:cs="仿宋"/>
                <w:kern w:val="0"/>
                <w:sz w:val="24"/>
                <w:szCs w:val="24"/>
              </w:rPr>
            </w:pPr>
          </w:p>
        </w:tc>
        <w:tc>
          <w:tcPr>
            <w:tcW w:w="993" w:type="dxa"/>
            <w:noWrap w:val="0"/>
            <w:vAlign w:val="top"/>
          </w:tcPr>
          <w:p w14:paraId="4123679B">
            <w:pPr>
              <w:pStyle w:val="104"/>
              <w:rPr>
                <w:rFonts w:hint="eastAsia" w:ascii="仿宋" w:hAnsi="仿宋" w:eastAsia="仿宋" w:cs="仿宋"/>
                <w:kern w:val="0"/>
                <w:sz w:val="24"/>
                <w:szCs w:val="24"/>
              </w:rPr>
            </w:pPr>
          </w:p>
        </w:tc>
        <w:tc>
          <w:tcPr>
            <w:tcW w:w="850" w:type="dxa"/>
            <w:noWrap w:val="0"/>
            <w:vAlign w:val="top"/>
          </w:tcPr>
          <w:p w14:paraId="4673C209">
            <w:pPr>
              <w:pStyle w:val="104"/>
              <w:rPr>
                <w:rFonts w:hint="eastAsia" w:ascii="仿宋" w:hAnsi="仿宋" w:eastAsia="仿宋" w:cs="仿宋"/>
                <w:kern w:val="0"/>
                <w:sz w:val="24"/>
                <w:szCs w:val="24"/>
              </w:rPr>
            </w:pPr>
          </w:p>
        </w:tc>
        <w:tc>
          <w:tcPr>
            <w:tcW w:w="2126" w:type="dxa"/>
            <w:noWrap w:val="0"/>
            <w:vAlign w:val="top"/>
          </w:tcPr>
          <w:p w14:paraId="26583DA2">
            <w:pPr>
              <w:pStyle w:val="104"/>
              <w:rPr>
                <w:rFonts w:hint="eastAsia" w:ascii="仿宋" w:hAnsi="仿宋" w:eastAsia="仿宋" w:cs="仿宋"/>
                <w:kern w:val="0"/>
                <w:sz w:val="24"/>
                <w:szCs w:val="24"/>
              </w:rPr>
            </w:pPr>
          </w:p>
        </w:tc>
        <w:tc>
          <w:tcPr>
            <w:tcW w:w="1418" w:type="dxa"/>
            <w:noWrap w:val="0"/>
            <w:vAlign w:val="top"/>
          </w:tcPr>
          <w:p w14:paraId="6CE64DFA">
            <w:pPr>
              <w:pStyle w:val="104"/>
              <w:rPr>
                <w:rFonts w:hint="eastAsia" w:ascii="仿宋" w:hAnsi="仿宋" w:eastAsia="仿宋" w:cs="仿宋"/>
                <w:kern w:val="0"/>
                <w:sz w:val="24"/>
                <w:szCs w:val="24"/>
              </w:rPr>
            </w:pPr>
          </w:p>
        </w:tc>
        <w:tc>
          <w:tcPr>
            <w:tcW w:w="850" w:type="dxa"/>
            <w:noWrap w:val="0"/>
            <w:vAlign w:val="top"/>
          </w:tcPr>
          <w:p w14:paraId="5F3EDFC4">
            <w:pPr>
              <w:pStyle w:val="104"/>
              <w:rPr>
                <w:rFonts w:hint="eastAsia" w:ascii="仿宋" w:hAnsi="仿宋" w:eastAsia="仿宋" w:cs="仿宋"/>
                <w:kern w:val="0"/>
                <w:sz w:val="24"/>
                <w:szCs w:val="24"/>
              </w:rPr>
            </w:pPr>
          </w:p>
        </w:tc>
      </w:tr>
      <w:tr w14:paraId="0B9BD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dxa"/>
            <w:noWrap w:val="0"/>
            <w:vAlign w:val="top"/>
          </w:tcPr>
          <w:p w14:paraId="12D402EE">
            <w:pPr>
              <w:pStyle w:val="104"/>
              <w:rPr>
                <w:rFonts w:hint="eastAsia" w:ascii="仿宋" w:hAnsi="仿宋" w:eastAsia="仿宋" w:cs="仿宋"/>
                <w:kern w:val="0"/>
                <w:sz w:val="24"/>
                <w:szCs w:val="24"/>
              </w:rPr>
            </w:pPr>
          </w:p>
        </w:tc>
        <w:tc>
          <w:tcPr>
            <w:tcW w:w="1174" w:type="dxa"/>
            <w:noWrap w:val="0"/>
            <w:vAlign w:val="top"/>
          </w:tcPr>
          <w:p w14:paraId="278CE0CB">
            <w:pPr>
              <w:pStyle w:val="104"/>
              <w:rPr>
                <w:rFonts w:hint="eastAsia" w:ascii="仿宋" w:hAnsi="仿宋" w:eastAsia="仿宋" w:cs="仿宋"/>
                <w:kern w:val="0"/>
                <w:sz w:val="24"/>
                <w:szCs w:val="24"/>
              </w:rPr>
            </w:pPr>
          </w:p>
        </w:tc>
        <w:tc>
          <w:tcPr>
            <w:tcW w:w="1134" w:type="dxa"/>
            <w:noWrap w:val="0"/>
            <w:vAlign w:val="top"/>
          </w:tcPr>
          <w:p w14:paraId="136D213D">
            <w:pPr>
              <w:pStyle w:val="104"/>
              <w:rPr>
                <w:rFonts w:hint="eastAsia" w:ascii="仿宋" w:hAnsi="仿宋" w:eastAsia="仿宋" w:cs="仿宋"/>
                <w:kern w:val="0"/>
                <w:sz w:val="24"/>
                <w:szCs w:val="24"/>
              </w:rPr>
            </w:pPr>
          </w:p>
        </w:tc>
        <w:tc>
          <w:tcPr>
            <w:tcW w:w="993" w:type="dxa"/>
            <w:noWrap w:val="0"/>
            <w:vAlign w:val="top"/>
          </w:tcPr>
          <w:p w14:paraId="595026CB">
            <w:pPr>
              <w:pStyle w:val="104"/>
              <w:rPr>
                <w:rFonts w:hint="eastAsia" w:ascii="仿宋" w:hAnsi="仿宋" w:eastAsia="仿宋" w:cs="仿宋"/>
                <w:kern w:val="0"/>
                <w:sz w:val="24"/>
                <w:szCs w:val="24"/>
              </w:rPr>
            </w:pPr>
          </w:p>
        </w:tc>
        <w:tc>
          <w:tcPr>
            <w:tcW w:w="850" w:type="dxa"/>
            <w:noWrap w:val="0"/>
            <w:vAlign w:val="top"/>
          </w:tcPr>
          <w:p w14:paraId="1A06CF8B">
            <w:pPr>
              <w:pStyle w:val="104"/>
              <w:rPr>
                <w:rFonts w:hint="eastAsia" w:ascii="仿宋" w:hAnsi="仿宋" w:eastAsia="仿宋" w:cs="仿宋"/>
                <w:kern w:val="0"/>
                <w:sz w:val="24"/>
                <w:szCs w:val="24"/>
              </w:rPr>
            </w:pPr>
          </w:p>
        </w:tc>
        <w:tc>
          <w:tcPr>
            <w:tcW w:w="2126" w:type="dxa"/>
            <w:noWrap w:val="0"/>
            <w:vAlign w:val="top"/>
          </w:tcPr>
          <w:p w14:paraId="7C67D8B6">
            <w:pPr>
              <w:pStyle w:val="104"/>
              <w:rPr>
                <w:rFonts w:hint="eastAsia" w:ascii="仿宋" w:hAnsi="仿宋" w:eastAsia="仿宋" w:cs="仿宋"/>
                <w:kern w:val="0"/>
                <w:sz w:val="24"/>
                <w:szCs w:val="24"/>
              </w:rPr>
            </w:pPr>
          </w:p>
        </w:tc>
        <w:tc>
          <w:tcPr>
            <w:tcW w:w="1418" w:type="dxa"/>
            <w:noWrap w:val="0"/>
            <w:vAlign w:val="top"/>
          </w:tcPr>
          <w:p w14:paraId="6A3B6B21">
            <w:pPr>
              <w:pStyle w:val="104"/>
              <w:rPr>
                <w:rFonts w:hint="eastAsia" w:ascii="仿宋" w:hAnsi="仿宋" w:eastAsia="仿宋" w:cs="仿宋"/>
                <w:kern w:val="0"/>
                <w:sz w:val="24"/>
                <w:szCs w:val="24"/>
              </w:rPr>
            </w:pPr>
          </w:p>
        </w:tc>
        <w:tc>
          <w:tcPr>
            <w:tcW w:w="850" w:type="dxa"/>
            <w:noWrap w:val="0"/>
            <w:vAlign w:val="top"/>
          </w:tcPr>
          <w:p w14:paraId="6E37D281">
            <w:pPr>
              <w:pStyle w:val="104"/>
              <w:rPr>
                <w:rFonts w:hint="eastAsia" w:ascii="仿宋" w:hAnsi="仿宋" w:eastAsia="仿宋" w:cs="仿宋"/>
                <w:kern w:val="0"/>
                <w:sz w:val="24"/>
                <w:szCs w:val="24"/>
              </w:rPr>
            </w:pPr>
          </w:p>
        </w:tc>
      </w:tr>
      <w:tr w14:paraId="6392F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dxa"/>
            <w:noWrap w:val="0"/>
            <w:vAlign w:val="top"/>
          </w:tcPr>
          <w:p w14:paraId="2BA36DDB">
            <w:pPr>
              <w:pStyle w:val="104"/>
              <w:rPr>
                <w:rFonts w:hint="eastAsia" w:ascii="仿宋" w:hAnsi="仿宋" w:eastAsia="仿宋" w:cs="仿宋"/>
                <w:kern w:val="0"/>
                <w:sz w:val="24"/>
                <w:szCs w:val="24"/>
              </w:rPr>
            </w:pPr>
          </w:p>
        </w:tc>
        <w:tc>
          <w:tcPr>
            <w:tcW w:w="1174" w:type="dxa"/>
            <w:noWrap w:val="0"/>
            <w:vAlign w:val="top"/>
          </w:tcPr>
          <w:p w14:paraId="79DF46AD">
            <w:pPr>
              <w:pStyle w:val="104"/>
              <w:rPr>
                <w:rFonts w:hint="eastAsia" w:ascii="仿宋" w:hAnsi="仿宋" w:eastAsia="仿宋" w:cs="仿宋"/>
                <w:kern w:val="0"/>
                <w:sz w:val="24"/>
                <w:szCs w:val="24"/>
              </w:rPr>
            </w:pPr>
          </w:p>
        </w:tc>
        <w:tc>
          <w:tcPr>
            <w:tcW w:w="1134" w:type="dxa"/>
            <w:noWrap w:val="0"/>
            <w:vAlign w:val="top"/>
          </w:tcPr>
          <w:p w14:paraId="2DEE910C">
            <w:pPr>
              <w:pStyle w:val="104"/>
              <w:rPr>
                <w:rFonts w:hint="eastAsia" w:ascii="仿宋" w:hAnsi="仿宋" w:eastAsia="仿宋" w:cs="仿宋"/>
                <w:kern w:val="0"/>
                <w:sz w:val="24"/>
                <w:szCs w:val="24"/>
              </w:rPr>
            </w:pPr>
          </w:p>
        </w:tc>
        <w:tc>
          <w:tcPr>
            <w:tcW w:w="993" w:type="dxa"/>
            <w:noWrap w:val="0"/>
            <w:vAlign w:val="top"/>
          </w:tcPr>
          <w:p w14:paraId="745FD9B1">
            <w:pPr>
              <w:pStyle w:val="104"/>
              <w:rPr>
                <w:rFonts w:hint="eastAsia" w:ascii="仿宋" w:hAnsi="仿宋" w:eastAsia="仿宋" w:cs="仿宋"/>
                <w:kern w:val="0"/>
                <w:sz w:val="24"/>
                <w:szCs w:val="24"/>
              </w:rPr>
            </w:pPr>
          </w:p>
        </w:tc>
        <w:tc>
          <w:tcPr>
            <w:tcW w:w="850" w:type="dxa"/>
            <w:noWrap w:val="0"/>
            <w:vAlign w:val="top"/>
          </w:tcPr>
          <w:p w14:paraId="2640A338">
            <w:pPr>
              <w:pStyle w:val="104"/>
              <w:rPr>
                <w:rFonts w:hint="eastAsia" w:ascii="仿宋" w:hAnsi="仿宋" w:eastAsia="仿宋" w:cs="仿宋"/>
                <w:kern w:val="0"/>
                <w:sz w:val="24"/>
                <w:szCs w:val="24"/>
              </w:rPr>
            </w:pPr>
          </w:p>
        </w:tc>
        <w:tc>
          <w:tcPr>
            <w:tcW w:w="2126" w:type="dxa"/>
            <w:noWrap w:val="0"/>
            <w:vAlign w:val="top"/>
          </w:tcPr>
          <w:p w14:paraId="6D53B0F7">
            <w:pPr>
              <w:pStyle w:val="104"/>
              <w:rPr>
                <w:rFonts w:hint="eastAsia" w:ascii="仿宋" w:hAnsi="仿宋" w:eastAsia="仿宋" w:cs="仿宋"/>
                <w:kern w:val="0"/>
                <w:sz w:val="24"/>
                <w:szCs w:val="24"/>
              </w:rPr>
            </w:pPr>
          </w:p>
        </w:tc>
        <w:tc>
          <w:tcPr>
            <w:tcW w:w="1418" w:type="dxa"/>
            <w:noWrap w:val="0"/>
            <w:vAlign w:val="top"/>
          </w:tcPr>
          <w:p w14:paraId="503ADC07">
            <w:pPr>
              <w:pStyle w:val="104"/>
              <w:rPr>
                <w:rFonts w:hint="eastAsia" w:ascii="仿宋" w:hAnsi="仿宋" w:eastAsia="仿宋" w:cs="仿宋"/>
                <w:kern w:val="0"/>
                <w:sz w:val="24"/>
                <w:szCs w:val="24"/>
              </w:rPr>
            </w:pPr>
          </w:p>
        </w:tc>
        <w:tc>
          <w:tcPr>
            <w:tcW w:w="850" w:type="dxa"/>
            <w:noWrap w:val="0"/>
            <w:vAlign w:val="top"/>
          </w:tcPr>
          <w:p w14:paraId="468C3E0E">
            <w:pPr>
              <w:pStyle w:val="104"/>
              <w:rPr>
                <w:rFonts w:hint="eastAsia" w:ascii="仿宋" w:hAnsi="仿宋" w:eastAsia="仿宋" w:cs="仿宋"/>
                <w:kern w:val="0"/>
                <w:sz w:val="24"/>
                <w:szCs w:val="24"/>
              </w:rPr>
            </w:pPr>
          </w:p>
        </w:tc>
      </w:tr>
      <w:tr w14:paraId="283E4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dxa"/>
            <w:noWrap w:val="0"/>
            <w:vAlign w:val="top"/>
          </w:tcPr>
          <w:p w14:paraId="15517911">
            <w:pPr>
              <w:pStyle w:val="104"/>
              <w:rPr>
                <w:rFonts w:hint="eastAsia" w:ascii="仿宋" w:hAnsi="仿宋" w:eastAsia="仿宋" w:cs="仿宋"/>
                <w:kern w:val="0"/>
                <w:sz w:val="24"/>
                <w:szCs w:val="24"/>
              </w:rPr>
            </w:pPr>
          </w:p>
        </w:tc>
        <w:tc>
          <w:tcPr>
            <w:tcW w:w="1174" w:type="dxa"/>
            <w:noWrap w:val="0"/>
            <w:vAlign w:val="top"/>
          </w:tcPr>
          <w:p w14:paraId="45181E94">
            <w:pPr>
              <w:pStyle w:val="104"/>
              <w:rPr>
                <w:rFonts w:hint="eastAsia" w:ascii="仿宋" w:hAnsi="仿宋" w:eastAsia="仿宋" w:cs="仿宋"/>
                <w:kern w:val="0"/>
                <w:sz w:val="24"/>
                <w:szCs w:val="24"/>
              </w:rPr>
            </w:pPr>
          </w:p>
        </w:tc>
        <w:tc>
          <w:tcPr>
            <w:tcW w:w="1134" w:type="dxa"/>
            <w:noWrap w:val="0"/>
            <w:vAlign w:val="top"/>
          </w:tcPr>
          <w:p w14:paraId="251561E6">
            <w:pPr>
              <w:pStyle w:val="104"/>
              <w:rPr>
                <w:rFonts w:hint="eastAsia" w:ascii="仿宋" w:hAnsi="仿宋" w:eastAsia="仿宋" w:cs="仿宋"/>
                <w:kern w:val="0"/>
                <w:sz w:val="24"/>
                <w:szCs w:val="24"/>
              </w:rPr>
            </w:pPr>
          </w:p>
        </w:tc>
        <w:tc>
          <w:tcPr>
            <w:tcW w:w="993" w:type="dxa"/>
            <w:noWrap w:val="0"/>
            <w:vAlign w:val="top"/>
          </w:tcPr>
          <w:p w14:paraId="572E583D">
            <w:pPr>
              <w:pStyle w:val="104"/>
              <w:rPr>
                <w:rFonts w:hint="eastAsia" w:ascii="仿宋" w:hAnsi="仿宋" w:eastAsia="仿宋" w:cs="仿宋"/>
                <w:kern w:val="0"/>
                <w:sz w:val="24"/>
                <w:szCs w:val="24"/>
              </w:rPr>
            </w:pPr>
          </w:p>
        </w:tc>
        <w:tc>
          <w:tcPr>
            <w:tcW w:w="850" w:type="dxa"/>
            <w:noWrap w:val="0"/>
            <w:vAlign w:val="top"/>
          </w:tcPr>
          <w:p w14:paraId="067CC877">
            <w:pPr>
              <w:pStyle w:val="104"/>
              <w:rPr>
                <w:rFonts w:hint="eastAsia" w:ascii="仿宋" w:hAnsi="仿宋" w:eastAsia="仿宋" w:cs="仿宋"/>
                <w:kern w:val="0"/>
                <w:sz w:val="24"/>
                <w:szCs w:val="24"/>
              </w:rPr>
            </w:pPr>
          </w:p>
        </w:tc>
        <w:tc>
          <w:tcPr>
            <w:tcW w:w="2126" w:type="dxa"/>
            <w:noWrap w:val="0"/>
            <w:vAlign w:val="top"/>
          </w:tcPr>
          <w:p w14:paraId="02FB5274">
            <w:pPr>
              <w:pStyle w:val="104"/>
              <w:rPr>
                <w:rFonts w:hint="eastAsia" w:ascii="仿宋" w:hAnsi="仿宋" w:eastAsia="仿宋" w:cs="仿宋"/>
                <w:kern w:val="0"/>
                <w:sz w:val="24"/>
                <w:szCs w:val="24"/>
              </w:rPr>
            </w:pPr>
          </w:p>
        </w:tc>
        <w:tc>
          <w:tcPr>
            <w:tcW w:w="1418" w:type="dxa"/>
            <w:noWrap w:val="0"/>
            <w:vAlign w:val="top"/>
          </w:tcPr>
          <w:p w14:paraId="1FD859B2">
            <w:pPr>
              <w:pStyle w:val="104"/>
              <w:rPr>
                <w:rFonts w:hint="eastAsia" w:ascii="仿宋" w:hAnsi="仿宋" w:eastAsia="仿宋" w:cs="仿宋"/>
                <w:kern w:val="0"/>
                <w:sz w:val="24"/>
                <w:szCs w:val="24"/>
              </w:rPr>
            </w:pPr>
          </w:p>
        </w:tc>
        <w:tc>
          <w:tcPr>
            <w:tcW w:w="850" w:type="dxa"/>
            <w:noWrap w:val="0"/>
            <w:vAlign w:val="top"/>
          </w:tcPr>
          <w:p w14:paraId="0C9BE036">
            <w:pPr>
              <w:pStyle w:val="104"/>
              <w:rPr>
                <w:rFonts w:hint="eastAsia" w:ascii="仿宋" w:hAnsi="仿宋" w:eastAsia="仿宋" w:cs="仿宋"/>
                <w:kern w:val="0"/>
                <w:sz w:val="24"/>
                <w:szCs w:val="24"/>
              </w:rPr>
            </w:pPr>
          </w:p>
        </w:tc>
      </w:tr>
    </w:tbl>
    <w:p w14:paraId="1DF53B94">
      <w:pPr>
        <w:pStyle w:val="104"/>
        <w:widowControl/>
        <w:rPr>
          <w:rFonts w:hint="eastAsia" w:ascii="仿宋" w:hAnsi="仿宋" w:eastAsia="仿宋" w:cs="仿宋"/>
          <w:spacing w:val="14"/>
          <w:kern w:val="0"/>
          <w:sz w:val="24"/>
          <w:szCs w:val="24"/>
        </w:rPr>
      </w:pPr>
      <w:r>
        <w:rPr>
          <w:rFonts w:hint="eastAsia" w:ascii="仿宋" w:hAnsi="仿宋" w:eastAsia="仿宋" w:cs="仿宋"/>
          <w:spacing w:val="14"/>
          <w:kern w:val="0"/>
          <w:sz w:val="24"/>
          <w:szCs w:val="24"/>
          <w:lang w:eastAsia="zh-CN"/>
        </w:rPr>
        <w:t>供应商</w:t>
      </w:r>
      <w:r>
        <w:rPr>
          <w:rFonts w:hint="eastAsia" w:ascii="仿宋" w:hAnsi="仿宋" w:eastAsia="仿宋" w:cs="仿宋"/>
          <w:spacing w:val="14"/>
          <w:kern w:val="0"/>
          <w:sz w:val="24"/>
          <w:szCs w:val="24"/>
        </w:rPr>
        <w:t xml:space="preserve">（企业电子章）：                                           </w:t>
      </w:r>
    </w:p>
    <w:p w14:paraId="296AF15C">
      <w:pPr>
        <w:pStyle w:val="104"/>
        <w:widowControl/>
        <w:rPr>
          <w:rFonts w:hint="eastAsia" w:ascii="仿宋" w:hAnsi="仿宋" w:eastAsia="仿宋" w:cs="仿宋"/>
          <w:spacing w:val="14"/>
          <w:kern w:val="0"/>
          <w:sz w:val="24"/>
          <w:szCs w:val="24"/>
        </w:rPr>
      </w:pPr>
    </w:p>
    <w:p w14:paraId="5BB4BE27">
      <w:pPr>
        <w:pStyle w:val="104"/>
        <w:widowControl/>
        <w:rPr>
          <w:rFonts w:hint="eastAsia" w:ascii="仿宋" w:hAnsi="仿宋" w:eastAsia="仿宋" w:cs="仿宋"/>
          <w:spacing w:val="14"/>
          <w:kern w:val="0"/>
          <w:sz w:val="24"/>
          <w:szCs w:val="24"/>
        </w:rPr>
      </w:pPr>
      <w:r>
        <w:rPr>
          <w:rFonts w:hint="eastAsia" w:ascii="仿宋" w:hAnsi="仿宋" w:eastAsia="仿宋" w:cs="仿宋"/>
          <w:spacing w:val="14"/>
          <w:kern w:val="0"/>
          <w:sz w:val="24"/>
          <w:szCs w:val="24"/>
        </w:rPr>
        <w:t>注：</w:t>
      </w:r>
    </w:p>
    <w:p w14:paraId="222B47BE">
      <w:pPr>
        <w:pStyle w:val="104"/>
        <w:widowControl/>
        <w:ind w:firstLine="482"/>
        <w:rPr>
          <w:rFonts w:hint="eastAsia" w:ascii="仿宋" w:hAnsi="仿宋" w:eastAsia="仿宋" w:cs="仿宋"/>
          <w:spacing w:val="14"/>
          <w:kern w:val="0"/>
          <w:sz w:val="24"/>
          <w:szCs w:val="24"/>
        </w:rPr>
      </w:pPr>
      <w:r>
        <w:rPr>
          <w:rFonts w:hint="eastAsia" w:ascii="仿宋" w:hAnsi="仿宋" w:eastAsia="仿宋" w:cs="仿宋"/>
          <w:spacing w:val="14"/>
          <w:kern w:val="0"/>
          <w:sz w:val="24"/>
          <w:szCs w:val="24"/>
        </w:rPr>
        <w:t>1、</w:t>
      </w:r>
      <w:r>
        <w:rPr>
          <w:rFonts w:hint="eastAsia" w:ascii="仿宋" w:hAnsi="仿宋" w:eastAsia="仿宋" w:cs="仿宋"/>
          <w:spacing w:val="14"/>
          <w:kern w:val="0"/>
          <w:sz w:val="24"/>
          <w:szCs w:val="24"/>
          <w:lang w:eastAsia="zh-CN"/>
        </w:rPr>
        <w:t>供应商</w:t>
      </w:r>
      <w:r>
        <w:rPr>
          <w:rFonts w:hint="eastAsia" w:ascii="仿宋" w:hAnsi="仿宋" w:eastAsia="仿宋" w:cs="仿宋"/>
          <w:spacing w:val="14"/>
          <w:kern w:val="0"/>
          <w:sz w:val="24"/>
          <w:szCs w:val="24"/>
        </w:rPr>
        <w:t>应根据招标要求逐条逐项表述说明投标响应情况。</w:t>
      </w:r>
    </w:p>
    <w:p w14:paraId="74619BC0">
      <w:pPr>
        <w:pStyle w:val="104"/>
        <w:widowControl/>
        <w:ind w:firstLine="482"/>
        <w:rPr>
          <w:rFonts w:hint="eastAsia" w:ascii="仿宋" w:hAnsi="仿宋" w:eastAsia="仿宋" w:cs="仿宋"/>
          <w:spacing w:val="14"/>
          <w:kern w:val="0"/>
          <w:sz w:val="24"/>
          <w:szCs w:val="24"/>
        </w:rPr>
      </w:pPr>
      <w:r>
        <w:rPr>
          <w:rFonts w:hint="eastAsia" w:ascii="仿宋" w:hAnsi="仿宋" w:eastAsia="仿宋" w:cs="仿宋"/>
          <w:spacing w:val="14"/>
          <w:kern w:val="0"/>
          <w:sz w:val="24"/>
          <w:szCs w:val="24"/>
        </w:rPr>
        <w:t>2、</w:t>
      </w:r>
      <w:r>
        <w:rPr>
          <w:rFonts w:hint="eastAsia" w:ascii="仿宋" w:hAnsi="仿宋" w:eastAsia="仿宋" w:cs="仿宋"/>
          <w:spacing w:val="14"/>
          <w:kern w:val="0"/>
          <w:sz w:val="24"/>
          <w:szCs w:val="24"/>
          <w:lang w:eastAsia="zh-CN"/>
        </w:rPr>
        <w:t>供应商</w:t>
      </w:r>
      <w:r>
        <w:rPr>
          <w:rFonts w:hint="eastAsia" w:ascii="仿宋" w:hAnsi="仿宋" w:eastAsia="仿宋" w:cs="仿宋"/>
          <w:spacing w:val="14"/>
          <w:kern w:val="0"/>
          <w:sz w:val="24"/>
          <w:szCs w:val="24"/>
        </w:rPr>
        <w:t>提交的</w:t>
      </w:r>
      <w:r>
        <w:rPr>
          <w:rFonts w:hint="eastAsia" w:ascii="仿宋" w:hAnsi="仿宋" w:eastAsia="仿宋" w:cs="仿宋"/>
          <w:spacing w:val="14"/>
          <w:kern w:val="0"/>
          <w:sz w:val="24"/>
          <w:szCs w:val="24"/>
          <w:lang w:eastAsia="zh-CN"/>
        </w:rPr>
        <w:t>响应文件</w:t>
      </w:r>
      <w:r>
        <w:rPr>
          <w:rFonts w:hint="eastAsia" w:ascii="仿宋" w:hAnsi="仿宋" w:eastAsia="仿宋" w:cs="仿宋"/>
          <w:spacing w:val="14"/>
          <w:kern w:val="0"/>
          <w:sz w:val="24"/>
          <w:szCs w:val="24"/>
        </w:rPr>
        <w:t>中的技术参数与招标文件的技术要求、技术参数不同时，应逐条逐项如实填列在偏离表中。</w:t>
      </w:r>
      <w:r>
        <w:rPr>
          <w:rFonts w:hint="eastAsia" w:ascii="仿宋" w:hAnsi="仿宋" w:eastAsia="仿宋" w:cs="仿宋"/>
          <w:spacing w:val="14"/>
          <w:kern w:val="0"/>
          <w:sz w:val="24"/>
          <w:szCs w:val="24"/>
          <w:lang w:eastAsia="zh-CN"/>
        </w:rPr>
        <w:t>供应商</w:t>
      </w:r>
      <w:r>
        <w:rPr>
          <w:rFonts w:hint="eastAsia" w:ascii="仿宋" w:hAnsi="仿宋" w:eastAsia="仿宋" w:cs="仿宋"/>
          <w:spacing w:val="14"/>
          <w:kern w:val="0"/>
          <w:sz w:val="24"/>
          <w:szCs w:val="24"/>
        </w:rPr>
        <w:t>不如实填写偏离情况、存在弄虚作假行为的，将依法承担相应的法律责任。</w:t>
      </w:r>
    </w:p>
    <w:p w14:paraId="461E327C">
      <w:pPr>
        <w:pStyle w:val="104"/>
        <w:widowControl/>
        <w:ind w:firstLine="482"/>
        <w:rPr>
          <w:rFonts w:hint="eastAsia" w:ascii="仿宋" w:hAnsi="仿宋" w:eastAsia="仿宋" w:cs="仿宋"/>
          <w:spacing w:val="14"/>
          <w:kern w:val="0"/>
          <w:sz w:val="24"/>
          <w:szCs w:val="24"/>
        </w:rPr>
      </w:pPr>
      <w:r>
        <w:rPr>
          <w:rFonts w:hint="eastAsia" w:ascii="仿宋" w:hAnsi="仿宋" w:eastAsia="仿宋" w:cs="仿宋"/>
          <w:spacing w:val="14"/>
          <w:kern w:val="0"/>
          <w:sz w:val="24"/>
          <w:szCs w:val="24"/>
        </w:rPr>
        <w:t>3、</w:t>
      </w:r>
      <w:r>
        <w:rPr>
          <w:rFonts w:hint="eastAsia" w:ascii="仿宋" w:hAnsi="仿宋" w:eastAsia="仿宋" w:cs="仿宋"/>
          <w:spacing w:val="14"/>
          <w:kern w:val="0"/>
          <w:sz w:val="24"/>
          <w:szCs w:val="24"/>
          <w:lang w:eastAsia="zh-CN"/>
        </w:rPr>
        <w:t>供应商</w:t>
      </w:r>
      <w:r>
        <w:rPr>
          <w:rFonts w:hint="eastAsia" w:ascii="仿宋" w:hAnsi="仿宋" w:eastAsia="仿宋" w:cs="仿宋"/>
          <w:spacing w:val="14"/>
          <w:kern w:val="0"/>
          <w:sz w:val="24"/>
          <w:szCs w:val="24"/>
        </w:rPr>
        <w:t>应结合所投产品说明或描述其实际技术参数和性能。如果完全复制粘贴本招标文件《招标货物清单及技术要求》之技术参数和性能描述，或者只注明“符合”、“满足”等类似无具体内容的表述，因此而产生的不利于</w:t>
      </w:r>
      <w:r>
        <w:rPr>
          <w:rFonts w:hint="eastAsia" w:ascii="仿宋" w:hAnsi="仿宋" w:eastAsia="仿宋" w:cs="仿宋"/>
          <w:spacing w:val="14"/>
          <w:kern w:val="0"/>
          <w:sz w:val="24"/>
          <w:szCs w:val="24"/>
          <w:lang w:eastAsia="zh-CN"/>
        </w:rPr>
        <w:t>供应商</w:t>
      </w:r>
      <w:r>
        <w:rPr>
          <w:rFonts w:hint="eastAsia" w:ascii="仿宋" w:hAnsi="仿宋" w:eastAsia="仿宋" w:cs="仿宋"/>
          <w:spacing w:val="14"/>
          <w:kern w:val="0"/>
          <w:sz w:val="24"/>
          <w:szCs w:val="24"/>
        </w:rPr>
        <w:t>的评审风险由</w:t>
      </w:r>
      <w:r>
        <w:rPr>
          <w:rFonts w:hint="eastAsia" w:ascii="仿宋" w:hAnsi="仿宋" w:eastAsia="仿宋" w:cs="仿宋"/>
          <w:spacing w:val="14"/>
          <w:kern w:val="0"/>
          <w:sz w:val="24"/>
          <w:szCs w:val="24"/>
          <w:lang w:eastAsia="zh-CN"/>
        </w:rPr>
        <w:t>供应商</w:t>
      </w:r>
      <w:r>
        <w:rPr>
          <w:rFonts w:hint="eastAsia" w:ascii="仿宋" w:hAnsi="仿宋" w:eastAsia="仿宋" w:cs="仿宋"/>
          <w:spacing w:val="14"/>
          <w:kern w:val="0"/>
          <w:sz w:val="24"/>
          <w:szCs w:val="24"/>
        </w:rPr>
        <w:t>自行承担。</w:t>
      </w:r>
    </w:p>
    <w:p w14:paraId="6375B943">
      <w:pPr>
        <w:pStyle w:val="104"/>
        <w:widowControl/>
        <w:ind w:firstLine="420"/>
        <w:rPr>
          <w:rFonts w:hint="eastAsia" w:ascii="仿宋" w:hAnsi="仿宋" w:eastAsia="仿宋" w:cs="仿宋"/>
          <w:b/>
          <w:bCs/>
          <w:kern w:val="0"/>
          <w:sz w:val="24"/>
          <w:szCs w:val="24"/>
        </w:rPr>
      </w:pPr>
      <w:r>
        <w:rPr>
          <w:rFonts w:hint="eastAsia" w:ascii="仿宋" w:hAnsi="仿宋" w:eastAsia="仿宋" w:cs="仿宋"/>
          <w:spacing w:val="14"/>
          <w:kern w:val="0"/>
          <w:sz w:val="24"/>
          <w:szCs w:val="24"/>
        </w:rPr>
        <w:t>4、</w:t>
      </w:r>
      <w:r>
        <w:rPr>
          <w:rFonts w:hint="eastAsia" w:ascii="仿宋" w:hAnsi="仿宋" w:eastAsia="仿宋" w:cs="仿宋"/>
          <w:spacing w:val="14"/>
          <w:kern w:val="0"/>
          <w:sz w:val="24"/>
          <w:szCs w:val="24"/>
          <w:lang w:eastAsia="zh-CN"/>
        </w:rPr>
        <w:t>供应商</w:t>
      </w:r>
      <w:r>
        <w:rPr>
          <w:rFonts w:hint="eastAsia" w:ascii="仿宋" w:hAnsi="仿宋" w:eastAsia="仿宋" w:cs="仿宋"/>
          <w:spacing w:val="14"/>
          <w:kern w:val="0"/>
          <w:sz w:val="24"/>
          <w:szCs w:val="24"/>
        </w:rPr>
        <w:t>可根据需要自行增减表格行数。</w:t>
      </w:r>
    </w:p>
    <w:p w14:paraId="3DCC3AE6">
      <w:pPr>
        <w:widowControl/>
        <w:ind w:firstLine="420"/>
        <w:rPr>
          <w:rFonts w:hint="eastAsia" w:ascii="仿宋" w:hAnsi="仿宋" w:eastAsia="仿宋" w:cs="宋体"/>
          <w:kern w:val="0"/>
          <w:szCs w:val="21"/>
        </w:rPr>
      </w:pPr>
    </w:p>
    <w:p w14:paraId="3764BF2F">
      <w:pPr>
        <w:widowControl/>
        <w:jc w:val="left"/>
        <w:outlineLvl w:val="1"/>
        <w:rPr>
          <w:rFonts w:ascii="宋体" w:hAnsi="宋体" w:cs="宋体"/>
          <w:b/>
          <w:kern w:val="0"/>
          <w:sz w:val="28"/>
          <w:szCs w:val="24"/>
          <w:lang w:eastAsia="en-US"/>
        </w:rPr>
      </w:pPr>
      <w:r>
        <w:rPr>
          <w:rFonts w:ascii="Times New Roman" w:hAnsi="Times New Roman" w:eastAsia="Times New Roman"/>
          <w:kern w:val="0"/>
          <w:sz w:val="24"/>
          <w:szCs w:val="24"/>
          <w:lang w:eastAsia="en-US"/>
        </w:rPr>
        <w:br w:type="page"/>
      </w:r>
      <w:bookmarkStart w:id="313" w:name="_Toc26650"/>
      <w:r>
        <w:rPr>
          <w:rFonts w:hint="eastAsia" w:ascii="仿宋" w:hAnsi="仿宋" w:eastAsia="仿宋" w:cs="仿宋"/>
          <w:b/>
          <w:kern w:val="0"/>
          <w:sz w:val="28"/>
          <w:szCs w:val="24"/>
          <w:lang w:eastAsia="en-US"/>
        </w:rPr>
        <w:t>附件</w:t>
      </w:r>
      <w:r>
        <w:rPr>
          <w:rFonts w:hint="eastAsia" w:ascii="仿宋" w:hAnsi="仿宋" w:eastAsia="仿宋" w:cs="仿宋"/>
          <w:b/>
          <w:kern w:val="0"/>
          <w:sz w:val="28"/>
          <w:szCs w:val="24"/>
          <w:lang w:val="en-US" w:eastAsia="zh-CN"/>
        </w:rPr>
        <w:t>8：</w:t>
      </w:r>
      <w:r>
        <w:rPr>
          <w:rFonts w:hint="eastAsia" w:ascii="仿宋" w:hAnsi="仿宋" w:eastAsia="仿宋" w:cs="仿宋"/>
          <w:b/>
          <w:kern w:val="0"/>
          <w:sz w:val="28"/>
          <w:szCs w:val="24"/>
          <w:lang w:eastAsia="en-US"/>
        </w:rPr>
        <w:t>商务要求响应与偏差表</w:t>
      </w:r>
      <w:bookmarkEnd w:id="313"/>
    </w:p>
    <w:p w14:paraId="49E7211D">
      <w:pPr>
        <w:pStyle w:val="105"/>
        <w:jc w:val="center"/>
        <w:rPr>
          <w:rFonts w:ascii="仿宋" w:hAnsi="仿宋" w:eastAsia="仿宋"/>
          <w:color w:val="auto"/>
          <w:spacing w:val="14"/>
          <w:sz w:val="24"/>
          <w:szCs w:val="24"/>
        </w:rPr>
      </w:pPr>
      <w:r>
        <w:rPr>
          <w:rFonts w:hint="eastAsia" w:ascii="仿宋" w:hAnsi="仿宋" w:eastAsia="仿宋"/>
          <w:color w:val="auto"/>
          <w:spacing w:val="14"/>
          <w:sz w:val="24"/>
          <w:szCs w:val="24"/>
        </w:rPr>
        <w:t>商务要求响应与偏差表</w:t>
      </w:r>
    </w:p>
    <w:p w14:paraId="037C4752">
      <w:pPr>
        <w:pStyle w:val="105"/>
        <w:jc w:val="center"/>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 </w:t>
      </w:r>
    </w:p>
    <w:tbl>
      <w:tblPr>
        <w:tblStyle w:val="6"/>
        <w:tblW w:w="9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3"/>
        <w:gridCol w:w="3742"/>
        <w:gridCol w:w="3260"/>
        <w:gridCol w:w="1199"/>
      </w:tblGrid>
      <w:tr w14:paraId="30A98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833" w:type="dxa"/>
            <w:tcBorders>
              <w:top w:val="single" w:color="auto" w:sz="4" w:space="0"/>
              <w:left w:val="single" w:color="auto" w:sz="4" w:space="0"/>
              <w:bottom w:val="single" w:color="auto" w:sz="4" w:space="0"/>
              <w:right w:val="single" w:color="auto" w:sz="4" w:space="0"/>
            </w:tcBorders>
            <w:noWrap w:val="0"/>
            <w:vAlign w:val="center"/>
          </w:tcPr>
          <w:p w14:paraId="1A63395D">
            <w:pPr>
              <w:pStyle w:val="107"/>
              <w:widowControl/>
              <w:ind w:firstLine="0"/>
              <w:jc w:val="left"/>
              <w:rPr>
                <w:rFonts w:ascii="仿宋" w:hAnsi="仿宋" w:eastAsia="仿宋" w:cs="宋体"/>
                <w:color w:val="auto"/>
                <w:kern w:val="0"/>
                <w:sz w:val="24"/>
                <w:szCs w:val="24"/>
                <w:lang w:val="en-US" w:eastAsia="zh-CN" w:bidi="ar-SA"/>
              </w:rPr>
            </w:pPr>
            <w:r>
              <w:rPr>
                <w:rFonts w:hint="eastAsia" w:ascii="仿宋" w:hAnsi="仿宋" w:eastAsia="仿宋" w:cs="宋体"/>
                <w:color w:val="auto"/>
                <w:kern w:val="0"/>
                <w:sz w:val="24"/>
                <w:szCs w:val="24"/>
                <w:lang w:val="en-US" w:eastAsia="zh-CN" w:bidi="ar-SA"/>
              </w:rPr>
              <w:t>序号</w:t>
            </w:r>
          </w:p>
        </w:tc>
        <w:tc>
          <w:tcPr>
            <w:tcW w:w="3742" w:type="dxa"/>
            <w:tcBorders>
              <w:top w:val="single" w:color="auto" w:sz="4" w:space="0"/>
              <w:left w:val="single" w:color="auto" w:sz="4" w:space="0"/>
              <w:bottom w:val="single" w:color="auto" w:sz="4" w:space="0"/>
              <w:right w:val="single" w:color="auto" w:sz="4" w:space="0"/>
            </w:tcBorders>
            <w:noWrap w:val="0"/>
            <w:vAlign w:val="center"/>
          </w:tcPr>
          <w:p w14:paraId="3461D3C2">
            <w:pPr>
              <w:pStyle w:val="107"/>
              <w:widowControl/>
              <w:ind w:firstLine="0"/>
              <w:jc w:val="left"/>
              <w:rPr>
                <w:rFonts w:ascii="仿宋" w:hAnsi="仿宋" w:eastAsia="仿宋" w:cs="宋体"/>
                <w:color w:val="auto"/>
                <w:kern w:val="0"/>
                <w:sz w:val="24"/>
                <w:szCs w:val="24"/>
                <w:lang w:val="en-US" w:eastAsia="zh-CN" w:bidi="ar-SA"/>
              </w:rPr>
            </w:pPr>
            <w:r>
              <w:rPr>
                <w:rFonts w:hint="eastAsia" w:ascii="仿宋" w:hAnsi="仿宋" w:eastAsia="仿宋" w:cs="宋体"/>
                <w:color w:val="auto"/>
                <w:kern w:val="0"/>
                <w:sz w:val="24"/>
                <w:szCs w:val="24"/>
                <w:lang w:val="en-US" w:eastAsia="zh-CN" w:bidi="ar-SA"/>
              </w:rPr>
              <w:t>磋商文件商务要求</w:t>
            </w:r>
          </w:p>
        </w:tc>
        <w:tc>
          <w:tcPr>
            <w:tcW w:w="3260" w:type="dxa"/>
            <w:tcBorders>
              <w:top w:val="single" w:color="auto" w:sz="4" w:space="0"/>
              <w:left w:val="single" w:color="auto" w:sz="4" w:space="0"/>
              <w:bottom w:val="single" w:color="auto" w:sz="4" w:space="0"/>
              <w:right w:val="single" w:color="auto" w:sz="4" w:space="0"/>
            </w:tcBorders>
            <w:noWrap w:val="0"/>
            <w:vAlign w:val="center"/>
          </w:tcPr>
          <w:p w14:paraId="131CB101">
            <w:pPr>
              <w:pStyle w:val="107"/>
              <w:widowControl/>
              <w:ind w:firstLine="0"/>
              <w:jc w:val="left"/>
              <w:rPr>
                <w:rFonts w:ascii="仿宋" w:hAnsi="仿宋" w:eastAsia="仿宋" w:cs="宋体"/>
                <w:color w:val="auto"/>
                <w:kern w:val="0"/>
                <w:sz w:val="24"/>
                <w:szCs w:val="24"/>
                <w:lang w:val="en-US" w:eastAsia="zh-CN" w:bidi="ar-SA"/>
              </w:rPr>
            </w:pPr>
            <w:r>
              <w:rPr>
                <w:rFonts w:hint="eastAsia" w:ascii="仿宋" w:hAnsi="仿宋" w:eastAsia="仿宋" w:cs="宋体"/>
                <w:color w:val="auto"/>
                <w:kern w:val="0"/>
                <w:sz w:val="24"/>
                <w:szCs w:val="24"/>
                <w:lang w:val="en-US" w:eastAsia="zh-CN" w:bidi="ar-SA"/>
              </w:rPr>
              <w:t>供应商响应具体内容</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2CE08288">
            <w:pPr>
              <w:pStyle w:val="107"/>
              <w:widowControl/>
              <w:ind w:firstLine="0"/>
              <w:jc w:val="left"/>
              <w:rPr>
                <w:rFonts w:ascii="仿宋" w:hAnsi="仿宋" w:eastAsia="仿宋" w:cs="宋体"/>
                <w:color w:val="auto"/>
                <w:kern w:val="0"/>
                <w:sz w:val="24"/>
                <w:szCs w:val="24"/>
                <w:lang w:val="en-US" w:eastAsia="zh-CN" w:bidi="ar-SA"/>
              </w:rPr>
            </w:pPr>
            <w:r>
              <w:rPr>
                <w:rFonts w:hint="eastAsia" w:ascii="仿宋" w:hAnsi="仿宋" w:eastAsia="仿宋" w:cs="宋体"/>
                <w:color w:val="auto"/>
                <w:kern w:val="0"/>
                <w:sz w:val="24"/>
                <w:szCs w:val="24"/>
                <w:lang w:val="en-US" w:eastAsia="zh-CN" w:bidi="ar-SA"/>
              </w:rPr>
              <w:t>偏差说明</w:t>
            </w:r>
          </w:p>
        </w:tc>
      </w:tr>
      <w:tr w14:paraId="0C6EF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833" w:type="dxa"/>
            <w:tcBorders>
              <w:top w:val="single" w:color="auto" w:sz="4" w:space="0"/>
              <w:left w:val="single" w:color="auto" w:sz="4" w:space="0"/>
              <w:bottom w:val="single" w:color="auto" w:sz="4" w:space="0"/>
              <w:right w:val="single" w:color="auto" w:sz="4" w:space="0"/>
            </w:tcBorders>
            <w:noWrap w:val="0"/>
            <w:vAlign w:val="center"/>
          </w:tcPr>
          <w:p w14:paraId="39055091">
            <w:pPr>
              <w:pStyle w:val="107"/>
              <w:widowControl/>
              <w:ind w:firstLine="0"/>
              <w:jc w:val="center"/>
              <w:rPr>
                <w:rFonts w:ascii="仿宋" w:hAnsi="仿宋" w:eastAsia="仿宋" w:cs="宋体"/>
                <w:color w:val="auto"/>
                <w:kern w:val="0"/>
                <w:sz w:val="24"/>
                <w:szCs w:val="24"/>
                <w:lang w:val="en-US" w:eastAsia="zh-CN" w:bidi="ar-SA"/>
              </w:rPr>
            </w:pPr>
          </w:p>
        </w:tc>
        <w:tc>
          <w:tcPr>
            <w:tcW w:w="3742" w:type="dxa"/>
            <w:tcBorders>
              <w:top w:val="single" w:color="auto" w:sz="4" w:space="0"/>
              <w:left w:val="single" w:color="auto" w:sz="4" w:space="0"/>
              <w:bottom w:val="single" w:color="auto" w:sz="4" w:space="0"/>
              <w:right w:val="single" w:color="auto" w:sz="4" w:space="0"/>
            </w:tcBorders>
            <w:noWrap w:val="0"/>
            <w:vAlign w:val="center"/>
          </w:tcPr>
          <w:p w14:paraId="5F93E075">
            <w:pPr>
              <w:pStyle w:val="107"/>
              <w:widowControl/>
              <w:ind w:firstLine="0"/>
              <w:jc w:val="left"/>
              <w:rPr>
                <w:rFonts w:ascii="仿宋" w:hAnsi="仿宋" w:eastAsia="仿宋" w:cs="宋体"/>
                <w:color w:val="auto"/>
                <w:kern w:val="0"/>
                <w:sz w:val="24"/>
                <w:szCs w:val="24"/>
                <w:lang w:val="en-US" w:eastAsia="zh-CN" w:bidi="ar-SA"/>
              </w:rPr>
            </w:pPr>
          </w:p>
        </w:tc>
        <w:tc>
          <w:tcPr>
            <w:tcW w:w="3260" w:type="dxa"/>
            <w:tcBorders>
              <w:top w:val="single" w:color="auto" w:sz="4" w:space="0"/>
              <w:left w:val="single" w:color="auto" w:sz="4" w:space="0"/>
              <w:bottom w:val="single" w:color="auto" w:sz="4" w:space="0"/>
              <w:right w:val="single" w:color="auto" w:sz="4" w:space="0"/>
            </w:tcBorders>
            <w:noWrap w:val="0"/>
            <w:vAlign w:val="center"/>
          </w:tcPr>
          <w:p w14:paraId="0BE052C2">
            <w:pPr>
              <w:pStyle w:val="107"/>
              <w:widowControl/>
              <w:ind w:firstLine="0"/>
              <w:jc w:val="left"/>
              <w:rPr>
                <w:rFonts w:ascii="仿宋" w:hAnsi="仿宋" w:eastAsia="仿宋" w:cs="宋体"/>
                <w:color w:val="auto"/>
                <w:kern w:val="0"/>
                <w:sz w:val="24"/>
                <w:szCs w:val="24"/>
                <w:lang w:val="en-US" w:eastAsia="zh-CN" w:bidi="ar-SA"/>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9959E74">
            <w:pPr>
              <w:pStyle w:val="107"/>
              <w:widowControl/>
              <w:ind w:firstLine="0"/>
              <w:jc w:val="left"/>
              <w:rPr>
                <w:rFonts w:ascii="仿宋" w:hAnsi="仿宋" w:eastAsia="仿宋" w:cs="宋体"/>
                <w:color w:val="auto"/>
                <w:kern w:val="0"/>
                <w:sz w:val="24"/>
                <w:szCs w:val="24"/>
                <w:lang w:val="en-US" w:eastAsia="zh-CN" w:bidi="ar-SA"/>
              </w:rPr>
            </w:pPr>
          </w:p>
        </w:tc>
      </w:tr>
      <w:tr w14:paraId="0CEF5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833" w:type="dxa"/>
            <w:tcBorders>
              <w:top w:val="single" w:color="auto" w:sz="4" w:space="0"/>
              <w:left w:val="single" w:color="auto" w:sz="4" w:space="0"/>
              <w:bottom w:val="single" w:color="auto" w:sz="4" w:space="0"/>
              <w:right w:val="single" w:color="auto" w:sz="4" w:space="0"/>
            </w:tcBorders>
            <w:noWrap w:val="0"/>
            <w:vAlign w:val="center"/>
          </w:tcPr>
          <w:p w14:paraId="3CAA5996">
            <w:pPr>
              <w:pStyle w:val="107"/>
              <w:widowControl/>
              <w:ind w:firstLine="0"/>
              <w:jc w:val="center"/>
              <w:rPr>
                <w:rFonts w:ascii="仿宋" w:hAnsi="仿宋" w:eastAsia="仿宋" w:cs="宋体"/>
                <w:color w:val="auto"/>
                <w:kern w:val="0"/>
                <w:sz w:val="24"/>
                <w:szCs w:val="24"/>
                <w:lang w:val="en-US" w:eastAsia="zh-CN" w:bidi="ar-SA"/>
              </w:rPr>
            </w:pPr>
          </w:p>
        </w:tc>
        <w:tc>
          <w:tcPr>
            <w:tcW w:w="3742" w:type="dxa"/>
            <w:tcBorders>
              <w:top w:val="single" w:color="auto" w:sz="4" w:space="0"/>
              <w:left w:val="single" w:color="auto" w:sz="4" w:space="0"/>
              <w:bottom w:val="single" w:color="auto" w:sz="4" w:space="0"/>
              <w:right w:val="single" w:color="auto" w:sz="4" w:space="0"/>
            </w:tcBorders>
            <w:noWrap w:val="0"/>
            <w:vAlign w:val="center"/>
          </w:tcPr>
          <w:p w14:paraId="65BC251B">
            <w:pPr>
              <w:pStyle w:val="107"/>
              <w:widowControl/>
              <w:ind w:firstLine="0"/>
              <w:jc w:val="left"/>
              <w:rPr>
                <w:rFonts w:ascii="仿宋" w:hAnsi="仿宋" w:eastAsia="仿宋" w:cs="宋体"/>
                <w:color w:val="auto"/>
                <w:kern w:val="0"/>
                <w:sz w:val="24"/>
                <w:szCs w:val="24"/>
                <w:lang w:val="en-US" w:eastAsia="zh-CN" w:bidi="ar-SA"/>
              </w:rPr>
            </w:pPr>
          </w:p>
        </w:tc>
        <w:tc>
          <w:tcPr>
            <w:tcW w:w="3260" w:type="dxa"/>
            <w:tcBorders>
              <w:top w:val="single" w:color="auto" w:sz="4" w:space="0"/>
              <w:left w:val="single" w:color="auto" w:sz="4" w:space="0"/>
              <w:bottom w:val="single" w:color="auto" w:sz="4" w:space="0"/>
              <w:right w:val="single" w:color="auto" w:sz="4" w:space="0"/>
            </w:tcBorders>
            <w:noWrap w:val="0"/>
            <w:vAlign w:val="center"/>
          </w:tcPr>
          <w:p w14:paraId="58BEAE11">
            <w:pPr>
              <w:pStyle w:val="107"/>
              <w:widowControl/>
              <w:ind w:firstLine="0"/>
              <w:jc w:val="left"/>
              <w:rPr>
                <w:rFonts w:ascii="仿宋" w:hAnsi="仿宋" w:eastAsia="仿宋" w:cs="宋体"/>
                <w:color w:val="auto"/>
                <w:kern w:val="0"/>
                <w:sz w:val="24"/>
                <w:szCs w:val="24"/>
                <w:lang w:val="en-US" w:eastAsia="zh-CN" w:bidi="ar-SA"/>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757A2AFB">
            <w:pPr>
              <w:pStyle w:val="107"/>
              <w:widowControl/>
              <w:ind w:firstLine="0"/>
              <w:jc w:val="left"/>
              <w:rPr>
                <w:rFonts w:ascii="仿宋" w:hAnsi="仿宋" w:eastAsia="仿宋" w:cs="宋体"/>
                <w:color w:val="auto"/>
                <w:kern w:val="0"/>
                <w:sz w:val="24"/>
                <w:szCs w:val="24"/>
                <w:lang w:val="en-US" w:eastAsia="zh-CN" w:bidi="ar-SA"/>
              </w:rPr>
            </w:pPr>
          </w:p>
        </w:tc>
      </w:tr>
      <w:tr w14:paraId="6E6B8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833" w:type="dxa"/>
            <w:tcBorders>
              <w:top w:val="single" w:color="auto" w:sz="4" w:space="0"/>
              <w:left w:val="single" w:color="auto" w:sz="4" w:space="0"/>
              <w:bottom w:val="single" w:color="auto" w:sz="4" w:space="0"/>
              <w:right w:val="single" w:color="auto" w:sz="4" w:space="0"/>
            </w:tcBorders>
            <w:noWrap w:val="0"/>
            <w:vAlign w:val="center"/>
          </w:tcPr>
          <w:p w14:paraId="1E5FE2BB">
            <w:pPr>
              <w:pStyle w:val="107"/>
              <w:widowControl/>
              <w:ind w:firstLine="0"/>
              <w:jc w:val="center"/>
              <w:rPr>
                <w:rFonts w:ascii="仿宋" w:hAnsi="仿宋" w:eastAsia="仿宋" w:cs="宋体"/>
                <w:color w:val="auto"/>
                <w:kern w:val="0"/>
                <w:sz w:val="24"/>
                <w:szCs w:val="24"/>
                <w:lang w:val="en-US" w:eastAsia="zh-CN" w:bidi="ar-SA"/>
              </w:rPr>
            </w:pPr>
          </w:p>
        </w:tc>
        <w:tc>
          <w:tcPr>
            <w:tcW w:w="3742" w:type="dxa"/>
            <w:tcBorders>
              <w:top w:val="single" w:color="auto" w:sz="4" w:space="0"/>
              <w:left w:val="single" w:color="auto" w:sz="4" w:space="0"/>
              <w:bottom w:val="single" w:color="auto" w:sz="4" w:space="0"/>
              <w:right w:val="single" w:color="auto" w:sz="4" w:space="0"/>
            </w:tcBorders>
            <w:noWrap w:val="0"/>
            <w:vAlign w:val="center"/>
          </w:tcPr>
          <w:p w14:paraId="0C388EC1">
            <w:pPr>
              <w:pStyle w:val="107"/>
              <w:widowControl/>
              <w:ind w:firstLine="0"/>
              <w:jc w:val="left"/>
              <w:rPr>
                <w:rFonts w:ascii="仿宋" w:hAnsi="仿宋" w:eastAsia="仿宋" w:cs="宋体"/>
                <w:color w:val="auto"/>
                <w:kern w:val="0"/>
                <w:sz w:val="24"/>
                <w:szCs w:val="24"/>
                <w:lang w:val="en-US" w:eastAsia="zh-CN" w:bidi="ar-SA"/>
              </w:rPr>
            </w:pPr>
          </w:p>
        </w:tc>
        <w:tc>
          <w:tcPr>
            <w:tcW w:w="3260" w:type="dxa"/>
            <w:tcBorders>
              <w:top w:val="single" w:color="auto" w:sz="4" w:space="0"/>
              <w:left w:val="single" w:color="auto" w:sz="4" w:space="0"/>
              <w:bottom w:val="single" w:color="auto" w:sz="4" w:space="0"/>
              <w:right w:val="single" w:color="auto" w:sz="4" w:space="0"/>
            </w:tcBorders>
            <w:noWrap w:val="0"/>
            <w:vAlign w:val="center"/>
          </w:tcPr>
          <w:p w14:paraId="7767CC6C">
            <w:pPr>
              <w:pStyle w:val="107"/>
              <w:widowControl/>
              <w:ind w:firstLine="0"/>
              <w:jc w:val="left"/>
              <w:rPr>
                <w:rFonts w:ascii="仿宋" w:hAnsi="仿宋" w:eastAsia="仿宋" w:cs="宋体"/>
                <w:color w:val="auto"/>
                <w:kern w:val="0"/>
                <w:sz w:val="24"/>
                <w:szCs w:val="24"/>
                <w:lang w:val="en-US" w:eastAsia="zh-CN" w:bidi="ar-SA"/>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2CFD5B91">
            <w:pPr>
              <w:pStyle w:val="107"/>
              <w:widowControl/>
              <w:ind w:firstLine="0"/>
              <w:jc w:val="left"/>
              <w:rPr>
                <w:rFonts w:ascii="仿宋" w:hAnsi="仿宋" w:eastAsia="仿宋" w:cs="宋体"/>
                <w:color w:val="auto"/>
                <w:kern w:val="0"/>
                <w:sz w:val="24"/>
                <w:szCs w:val="24"/>
                <w:lang w:val="en-US" w:eastAsia="zh-CN" w:bidi="ar-SA"/>
              </w:rPr>
            </w:pPr>
          </w:p>
        </w:tc>
      </w:tr>
      <w:tr w14:paraId="5D506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833" w:type="dxa"/>
            <w:tcBorders>
              <w:top w:val="single" w:color="auto" w:sz="4" w:space="0"/>
              <w:left w:val="single" w:color="auto" w:sz="4" w:space="0"/>
              <w:bottom w:val="single" w:color="auto" w:sz="4" w:space="0"/>
              <w:right w:val="single" w:color="auto" w:sz="4" w:space="0"/>
            </w:tcBorders>
            <w:noWrap w:val="0"/>
            <w:vAlign w:val="center"/>
          </w:tcPr>
          <w:p w14:paraId="502A0D35">
            <w:pPr>
              <w:pStyle w:val="107"/>
              <w:widowControl/>
              <w:ind w:firstLine="0"/>
              <w:jc w:val="center"/>
              <w:rPr>
                <w:rFonts w:ascii="仿宋" w:hAnsi="仿宋" w:eastAsia="仿宋" w:cs="宋体"/>
                <w:color w:val="auto"/>
                <w:kern w:val="0"/>
                <w:sz w:val="24"/>
                <w:szCs w:val="24"/>
                <w:lang w:val="en-US" w:eastAsia="zh-CN" w:bidi="ar-SA"/>
              </w:rPr>
            </w:pPr>
          </w:p>
        </w:tc>
        <w:tc>
          <w:tcPr>
            <w:tcW w:w="3742" w:type="dxa"/>
            <w:tcBorders>
              <w:top w:val="single" w:color="auto" w:sz="4" w:space="0"/>
              <w:left w:val="single" w:color="auto" w:sz="4" w:space="0"/>
              <w:bottom w:val="single" w:color="auto" w:sz="4" w:space="0"/>
              <w:right w:val="single" w:color="auto" w:sz="4" w:space="0"/>
            </w:tcBorders>
            <w:noWrap w:val="0"/>
            <w:vAlign w:val="center"/>
          </w:tcPr>
          <w:p w14:paraId="2F22FFC0">
            <w:pPr>
              <w:pStyle w:val="107"/>
              <w:widowControl/>
              <w:ind w:firstLine="0"/>
              <w:jc w:val="left"/>
              <w:rPr>
                <w:rFonts w:ascii="仿宋" w:hAnsi="仿宋" w:eastAsia="仿宋" w:cs="宋体"/>
                <w:color w:val="auto"/>
                <w:kern w:val="0"/>
                <w:sz w:val="24"/>
                <w:szCs w:val="24"/>
                <w:lang w:val="en-US" w:eastAsia="zh-CN" w:bidi="ar-SA"/>
              </w:rPr>
            </w:pPr>
          </w:p>
        </w:tc>
        <w:tc>
          <w:tcPr>
            <w:tcW w:w="3260" w:type="dxa"/>
            <w:tcBorders>
              <w:top w:val="single" w:color="auto" w:sz="4" w:space="0"/>
              <w:left w:val="single" w:color="auto" w:sz="4" w:space="0"/>
              <w:bottom w:val="single" w:color="auto" w:sz="4" w:space="0"/>
              <w:right w:val="single" w:color="auto" w:sz="4" w:space="0"/>
            </w:tcBorders>
            <w:noWrap w:val="0"/>
            <w:vAlign w:val="center"/>
          </w:tcPr>
          <w:p w14:paraId="388E570B">
            <w:pPr>
              <w:pStyle w:val="107"/>
              <w:widowControl/>
              <w:ind w:firstLine="0"/>
              <w:jc w:val="left"/>
              <w:rPr>
                <w:rFonts w:ascii="仿宋" w:hAnsi="仿宋" w:eastAsia="仿宋" w:cs="宋体"/>
                <w:color w:val="auto"/>
                <w:kern w:val="0"/>
                <w:sz w:val="24"/>
                <w:szCs w:val="24"/>
                <w:lang w:val="en-US" w:eastAsia="zh-CN" w:bidi="ar-SA"/>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430204B4">
            <w:pPr>
              <w:pStyle w:val="107"/>
              <w:widowControl/>
              <w:ind w:firstLine="0"/>
              <w:jc w:val="left"/>
              <w:rPr>
                <w:rFonts w:ascii="仿宋" w:hAnsi="仿宋" w:eastAsia="仿宋" w:cs="宋体"/>
                <w:color w:val="auto"/>
                <w:kern w:val="0"/>
                <w:sz w:val="24"/>
                <w:szCs w:val="24"/>
                <w:lang w:val="en-US" w:eastAsia="zh-CN" w:bidi="ar-SA"/>
              </w:rPr>
            </w:pPr>
          </w:p>
        </w:tc>
      </w:tr>
      <w:tr w14:paraId="5C6CA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833" w:type="dxa"/>
            <w:tcBorders>
              <w:top w:val="single" w:color="auto" w:sz="4" w:space="0"/>
              <w:left w:val="single" w:color="auto" w:sz="4" w:space="0"/>
              <w:bottom w:val="single" w:color="auto" w:sz="4" w:space="0"/>
              <w:right w:val="single" w:color="auto" w:sz="4" w:space="0"/>
            </w:tcBorders>
            <w:noWrap w:val="0"/>
            <w:vAlign w:val="center"/>
          </w:tcPr>
          <w:p w14:paraId="6F9B854B">
            <w:pPr>
              <w:pStyle w:val="107"/>
              <w:widowControl/>
              <w:ind w:firstLine="0"/>
              <w:jc w:val="center"/>
              <w:rPr>
                <w:rFonts w:ascii="仿宋" w:hAnsi="仿宋" w:eastAsia="仿宋" w:cs="宋体"/>
                <w:color w:val="auto"/>
                <w:kern w:val="0"/>
                <w:sz w:val="24"/>
                <w:szCs w:val="24"/>
                <w:lang w:val="en-US" w:eastAsia="zh-CN" w:bidi="ar-SA"/>
              </w:rPr>
            </w:pPr>
          </w:p>
        </w:tc>
        <w:tc>
          <w:tcPr>
            <w:tcW w:w="3742" w:type="dxa"/>
            <w:tcBorders>
              <w:top w:val="single" w:color="auto" w:sz="4" w:space="0"/>
              <w:left w:val="single" w:color="auto" w:sz="4" w:space="0"/>
              <w:bottom w:val="single" w:color="auto" w:sz="4" w:space="0"/>
              <w:right w:val="single" w:color="auto" w:sz="4" w:space="0"/>
            </w:tcBorders>
            <w:noWrap w:val="0"/>
            <w:vAlign w:val="center"/>
          </w:tcPr>
          <w:p w14:paraId="5E8178D3">
            <w:pPr>
              <w:pStyle w:val="107"/>
              <w:widowControl/>
              <w:ind w:firstLine="0"/>
              <w:jc w:val="left"/>
              <w:rPr>
                <w:rFonts w:ascii="仿宋" w:hAnsi="仿宋" w:eastAsia="仿宋" w:cs="宋体"/>
                <w:color w:val="auto"/>
                <w:kern w:val="0"/>
                <w:sz w:val="24"/>
                <w:szCs w:val="24"/>
                <w:lang w:val="en-US" w:eastAsia="zh-CN" w:bidi="ar-SA"/>
              </w:rPr>
            </w:pPr>
          </w:p>
        </w:tc>
        <w:tc>
          <w:tcPr>
            <w:tcW w:w="3260" w:type="dxa"/>
            <w:tcBorders>
              <w:top w:val="single" w:color="auto" w:sz="4" w:space="0"/>
              <w:left w:val="single" w:color="auto" w:sz="4" w:space="0"/>
              <w:bottom w:val="single" w:color="auto" w:sz="4" w:space="0"/>
              <w:right w:val="single" w:color="auto" w:sz="4" w:space="0"/>
            </w:tcBorders>
            <w:noWrap w:val="0"/>
            <w:vAlign w:val="center"/>
          </w:tcPr>
          <w:p w14:paraId="5818F85A">
            <w:pPr>
              <w:pStyle w:val="107"/>
              <w:widowControl/>
              <w:ind w:firstLine="0"/>
              <w:jc w:val="left"/>
              <w:rPr>
                <w:rFonts w:ascii="仿宋" w:hAnsi="仿宋" w:eastAsia="仿宋" w:cs="宋体"/>
                <w:color w:val="auto"/>
                <w:kern w:val="0"/>
                <w:sz w:val="24"/>
                <w:szCs w:val="24"/>
                <w:lang w:val="en-US" w:eastAsia="zh-CN" w:bidi="ar-SA"/>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5B15C2E9">
            <w:pPr>
              <w:pStyle w:val="107"/>
              <w:widowControl/>
              <w:ind w:firstLine="0"/>
              <w:jc w:val="left"/>
              <w:rPr>
                <w:rFonts w:ascii="仿宋" w:hAnsi="仿宋" w:eastAsia="仿宋" w:cs="宋体"/>
                <w:color w:val="auto"/>
                <w:kern w:val="0"/>
                <w:sz w:val="24"/>
                <w:szCs w:val="24"/>
                <w:lang w:val="en-US" w:eastAsia="zh-CN" w:bidi="ar-SA"/>
              </w:rPr>
            </w:pPr>
          </w:p>
        </w:tc>
      </w:tr>
    </w:tbl>
    <w:p w14:paraId="6E1EAA25">
      <w:pPr>
        <w:pStyle w:val="107"/>
        <w:ind w:firstLine="0"/>
        <w:rPr>
          <w:rFonts w:hint="eastAsia" w:ascii="仿宋" w:hAnsi="仿宋" w:eastAsia="仿宋"/>
          <w:color w:val="auto"/>
          <w:sz w:val="24"/>
          <w:szCs w:val="24"/>
        </w:rPr>
      </w:pPr>
      <w:r>
        <w:rPr>
          <w:rFonts w:hint="eastAsia" w:ascii="仿宋" w:hAnsi="仿宋" w:eastAsia="仿宋"/>
          <w:color w:val="auto"/>
          <w:sz w:val="24"/>
          <w:szCs w:val="24"/>
        </w:rPr>
        <w:t xml:space="preserve"> </w:t>
      </w:r>
    </w:p>
    <w:p w14:paraId="5FFA22FC">
      <w:pPr>
        <w:pStyle w:val="107"/>
        <w:ind w:firstLine="0"/>
        <w:rPr>
          <w:rFonts w:hint="eastAsia" w:ascii="仿宋" w:hAnsi="仿宋" w:eastAsia="仿宋"/>
          <w:color w:val="auto"/>
          <w:sz w:val="24"/>
          <w:szCs w:val="24"/>
        </w:rPr>
      </w:pPr>
      <w:r>
        <w:rPr>
          <w:rFonts w:hint="eastAsia" w:ascii="仿宋" w:hAnsi="仿宋" w:eastAsia="仿宋"/>
          <w:color w:val="auto"/>
          <w:sz w:val="24"/>
          <w:szCs w:val="24"/>
        </w:rPr>
        <w:t>供应商保证：除本表列出的商务偏差外，供应商响应磋商文件的全部商务要求。</w:t>
      </w:r>
    </w:p>
    <w:p w14:paraId="353FD6E0">
      <w:pPr>
        <w:pStyle w:val="107"/>
        <w:ind w:firstLine="0"/>
        <w:rPr>
          <w:rFonts w:hint="eastAsia" w:ascii="仿宋" w:hAnsi="仿宋" w:eastAsia="仿宋"/>
          <w:color w:val="auto"/>
          <w:sz w:val="24"/>
          <w:szCs w:val="24"/>
        </w:rPr>
      </w:pPr>
      <w:r>
        <w:rPr>
          <w:rFonts w:hint="eastAsia" w:ascii="仿宋" w:hAnsi="仿宋" w:eastAsia="仿宋"/>
          <w:color w:val="auto"/>
          <w:sz w:val="24"/>
          <w:szCs w:val="24"/>
        </w:rPr>
        <w:t xml:space="preserve"> </w:t>
      </w:r>
    </w:p>
    <w:p w14:paraId="0C82C71E">
      <w:pPr>
        <w:pStyle w:val="107"/>
        <w:ind w:firstLine="0"/>
        <w:rPr>
          <w:rFonts w:hint="eastAsia" w:ascii="仿宋" w:hAnsi="仿宋" w:eastAsia="仿宋"/>
          <w:color w:val="auto"/>
          <w:sz w:val="24"/>
          <w:szCs w:val="24"/>
        </w:rPr>
      </w:pPr>
      <w:r>
        <w:rPr>
          <w:rFonts w:hint="eastAsia" w:ascii="仿宋" w:hAnsi="仿宋" w:eastAsia="仿宋"/>
          <w:color w:val="auto"/>
          <w:sz w:val="24"/>
          <w:szCs w:val="24"/>
        </w:rPr>
        <w:t xml:space="preserve">供应商（企业电子章）：                                            </w:t>
      </w:r>
    </w:p>
    <w:p w14:paraId="0ACEE38A">
      <w:pPr>
        <w:pStyle w:val="107"/>
        <w:ind w:firstLine="0"/>
        <w:rPr>
          <w:rFonts w:hint="eastAsia" w:ascii="仿宋" w:hAnsi="仿宋" w:eastAsia="仿宋"/>
          <w:color w:val="auto"/>
          <w:sz w:val="24"/>
          <w:szCs w:val="24"/>
        </w:rPr>
      </w:pPr>
      <w:r>
        <w:rPr>
          <w:rFonts w:hint="eastAsia" w:ascii="仿宋" w:hAnsi="仿宋" w:eastAsia="仿宋"/>
          <w:color w:val="auto"/>
          <w:sz w:val="24"/>
          <w:szCs w:val="24"/>
        </w:rPr>
        <w:t xml:space="preserve"> </w:t>
      </w:r>
    </w:p>
    <w:p w14:paraId="121FD0BE">
      <w:pPr>
        <w:pStyle w:val="107"/>
        <w:ind w:firstLine="0"/>
        <w:rPr>
          <w:rFonts w:hint="eastAsia" w:ascii="仿宋" w:hAnsi="仿宋" w:eastAsia="仿宋"/>
          <w:color w:val="auto"/>
          <w:sz w:val="24"/>
          <w:szCs w:val="24"/>
        </w:rPr>
      </w:pPr>
      <w:r>
        <w:rPr>
          <w:rFonts w:hint="eastAsia" w:ascii="仿宋" w:hAnsi="仿宋" w:eastAsia="仿宋"/>
          <w:color w:val="auto"/>
          <w:sz w:val="24"/>
          <w:szCs w:val="24"/>
        </w:rPr>
        <w:t>注：供应商可根据需要自行增减表格行数。</w:t>
      </w:r>
    </w:p>
    <w:p w14:paraId="416006C4">
      <w:pPr>
        <w:pStyle w:val="108"/>
        <w:outlineLvl w:val="2"/>
        <w:rPr>
          <w:rFonts w:hint="eastAsia" w:ascii="仿宋" w:hAnsi="仿宋" w:eastAsia="仿宋" w:cs="仿宋"/>
        </w:rPr>
      </w:pPr>
      <w:r>
        <w:rPr>
          <w:rFonts w:ascii="Times New Roman" w:hAnsi="Times New Roman" w:eastAsia="Times New Roman"/>
          <w:kern w:val="0"/>
          <w:sz w:val="24"/>
          <w:szCs w:val="24"/>
          <w:lang w:eastAsia="en-US"/>
        </w:rPr>
        <w:br w:type="page"/>
      </w:r>
      <w:bookmarkStart w:id="314" w:name="_Toc31994"/>
      <w:bookmarkStart w:id="315" w:name="_Toc29281"/>
      <w:bookmarkStart w:id="316" w:name="_Toc256000170"/>
      <w:r>
        <w:rPr>
          <w:rFonts w:hint="eastAsia" w:ascii="仿宋" w:hAnsi="仿宋" w:eastAsia="仿宋" w:cs="仿宋"/>
          <w:sz w:val="28"/>
          <w:szCs w:val="22"/>
          <w:lang w:eastAsia="zh-CN"/>
        </w:rPr>
        <w:t>附件</w:t>
      </w:r>
      <w:r>
        <w:rPr>
          <w:rFonts w:hint="eastAsia" w:ascii="仿宋" w:hAnsi="仿宋" w:eastAsia="仿宋" w:cs="仿宋"/>
          <w:sz w:val="28"/>
          <w:szCs w:val="22"/>
          <w:lang w:val="en-US" w:eastAsia="zh-CN"/>
        </w:rPr>
        <w:t>9：</w:t>
      </w:r>
      <w:r>
        <w:rPr>
          <w:rFonts w:hint="eastAsia" w:ascii="仿宋" w:hAnsi="仿宋" w:eastAsia="仿宋" w:cs="仿宋"/>
          <w:sz w:val="28"/>
          <w:szCs w:val="22"/>
        </w:rPr>
        <w:t>节能产品、环境标志产品明细表</w:t>
      </w:r>
      <w:bookmarkEnd w:id="314"/>
      <w:bookmarkEnd w:id="315"/>
      <w:bookmarkEnd w:id="316"/>
    </w:p>
    <w:p w14:paraId="58146B51">
      <w:pPr>
        <w:pStyle w:val="109"/>
        <w:jc w:val="center"/>
        <w:rPr>
          <w:rFonts w:hint="eastAsia" w:ascii="仿宋" w:hAnsi="仿宋" w:eastAsia="仿宋" w:cs="仿宋"/>
          <w:sz w:val="24"/>
          <w:szCs w:val="24"/>
        </w:rPr>
      </w:pPr>
      <w:r>
        <w:rPr>
          <w:rFonts w:hint="eastAsia" w:ascii="仿宋" w:hAnsi="仿宋" w:eastAsia="仿宋" w:cs="仿宋"/>
          <w:spacing w:val="14"/>
          <w:sz w:val="24"/>
          <w:szCs w:val="24"/>
        </w:rPr>
        <w:t>节能产品、环境标志产品明细表</w:t>
      </w:r>
    </w:p>
    <w:tbl>
      <w:tblPr>
        <w:tblStyle w:val="6"/>
        <w:tblW w:w="8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
        <w:gridCol w:w="1250"/>
        <w:gridCol w:w="1602"/>
        <w:gridCol w:w="1874"/>
        <w:gridCol w:w="1749"/>
        <w:gridCol w:w="1721"/>
      </w:tblGrid>
      <w:tr w14:paraId="0704C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2" w:hRule="atLeast"/>
          <w:jc w:val="center"/>
        </w:trPr>
        <w:tc>
          <w:tcPr>
            <w:tcW w:w="442" w:type="dxa"/>
            <w:noWrap w:val="0"/>
            <w:vAlign w:val="center"/>
          </w:tcPr>
          <w:p w14:paraId="6EE7AF3B">
            <w:pPr>
              <w:pStyle w:val="109"/>
              <w:widowControl/>
              <w:jc w:val="center"/>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序号</w:t>
            </w:r>
          </w:p>
        </w:tc>
        <w:tc>
          <w:tcPr>
            <w:tcW w:w="1250" w:type="dxa"/>
            <w:noWrap w:val="0"/>
            <w:vAlign w:val="center"/>
          </w:tcPr>
          <w:p w14:paraId="66C36B12">
            <w:pPr>
              <w:pStyle w:val="109"/>
              <w:widowControl/>
              <w:jc w:val="center"/>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货物名称</w:t>
            </w:r>
          </w:p>
        </w:tc>
        <w:tc>
          <w:tcPr>
            <w:tcW w:w="1602" w:type="dxa"/>
            <w:noWrap w:val="0"/>
            <w:vAlign w:val="center"/>
          </w:tcPr>
          <w:p w14:paraId="77B0AC2C">
            <w:pPr>
              <w:pStyle w:val="109"/>
              <w:widowControl/>
              <w:jc w:val="center"/>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品牌及制造商</w:t>
            </w:r>
          </w:p>
        </w:tc>
        <w:tc>
          <w:tcPr>
            <w:tcW w:w="1874" w:type="dxa"/>
            <w:noWrap w:val="0"/>
            <w:vAlign w:val="center"/>
          </w:tcPr>
          <w:p w14:paraId="46356D3F">
            <w:pPr>
              <w:pStyle w:val="109"/>
              <w:widowControl/>
              <w:jc w:val="center"/>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规格型号</w:t>
            </w:r>
          </w:p>
        </w:tc>
        <w:tc>
          <w:tcPr>
            <w:tcW w:w="1749" w:type="dxa"/>
            <w:noWrap w:val="0"/>
            <w:vAlign w:val="center"/>
          </w:tcPr>
          <w:p w14:paraId="62986601">
            <w:pPr>
              <w:pStyle w:val="109"/>
              <w:jc w:val="center"/>
              <w:rPr>
                <w:rFonts w:hint="eastAsia" w:ascii="仿宋" w:hAnsi="仿宋" w:eastAsia="仿宋" w:cs="仿宋"/>
                <w:sz w:val="24"/>
                <w:szCs w:val="24"/>
              </w:rPr>
            </w:pPr>
            <w:r>
              <w:rPr>
                <w:rFonts w:hint="eastAsia" w:ascii="仿宋" w:hAnsi="仿宋" w:eastAsia="仿宋" w:cs="仿宋"/>
                <w:sz w:val="24"/>
                <w:szCs w:val="24"/>
              </w:rPr>
              <w:t>中国节能产品认证证书编号</w:t>
            </w:r>
          </w:p>
        </w:tc>
        <w:tc>
          <w:tcPr>
            <w:tcW w:w="1721" w:type="dxa"/>
            <w:noWrap w:val="0"/>
            <w:vAlign w:val="center"/>
          </w:tcPr>
          <w:p w14:paraId="239E18DA">
            <w:pPr>
              <w:pStyle w:val="109"/>
              <w:widowControl/>
              <w:jc w:val="center"/>
              <w:rPr>
                <w:rFonts w:hint="eastAsia" w:ascii="仿宋" w:hAnsi="仿宋" w:eastAsia="仿宋" w:cs="仿宋"/>
                <w:strike/>
                <w:kern w:val="0"/>
                <w:sz w:val="24"/>
                <w:szCs w:val="24"/>
                <w:lang w:val="zh-CN"/>
              </w:rPr>
            </w:pPr>
            <w:r>
              <w:rPr>
                <w:rFonts w:hint="eastAsia" w:ascii="仿宋" w:hAnsi="仿宋" w:eastAsia="仿宋" w:cs="仿宋"/>
                <w:kern w:val="0"/>
                <w:sz w:val="24"/>
                <w:szCs w:val="24"/>
                <w:lang w:val="zh-CN"/>
              </w:rPr>
              <w:t>中国节能产品认证证书有效截止日期</w:t>
            </w:r>
          </w:p>
        </w:tc>
      </w:tr>
      <w:tr w14:paraId="64C41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2" w:type="dxa"/>
            <w:noWrap w:val="0"/>
            <w:vAlign w:val="center"/>
          </w:tcPr>
          <w:p w14:paraId="4500E759">
            <w:pPr>
              <w:pStyle w:val="109"/>
              <w:widowControl/>
              <w:jc w:val="left"/>
              <w:rPr>
                <w:rFonts w:hint="eastAsia" w:ascii="仿宋" w:hAnsi="仿宋" w:eastAsia="仿宋" w:cs="仿宋"/>
                <w:kern w:val="0"/>
                <w:sz w:val="24"/>
                <w:szCs w:val="24"/>
                <w:lang w:val="zh-CN"/>
              </w:rPr>
            </w:pPr>
          </w:p>
        </w:tc>
        <w:tc>
          <w:tcPr>
            <w:tcW w:w="1250" w:type="dxa"/>
            <w:noWrap w:val="0"/>
            <w:vAlign w:val="center"/>
          </w:tcPr>
          <w:p w14:paraId="362039FB">
            <w:pPr>
              <w:pStyle w:val="109"/>
              <w:widowControl/>
              <w:ind w:firstLine="482"/>
              <w:jc w:val="left"/>
              <w:rPr>
                <w:rFonts w:hint="eastAsia" w:ascii="仿宋" w:hAnsi="仿宋" w:eastAsia="仿宋" w:cs="仿宋"/>
                <w:kern w:val="0"/>
                <w:sz w:val="24"/>
                <w:szCs w:val="24"/>
                <w:lang w:val="zh-CN"/>
              </w:rPr>
            </w:pPr>
          </w:p>
        </w:tc>
        <w:tc>
          <w:tcPr>
            <w:tcW w:w="1602" w:type="dxa"/>
            <w:noWrap w:val="0"/>
            <w:vAlign w:val="center"/>
          </w:tcPr>
          <w:p w14:paraId="13ECEA7E">
            <w:pPr>
              <w:pStyle w:val="109"/>
              <w:widowControl/>
              <w:ind w:firstLine="482"/>
              <w:jc w:val="left"/>
              <w:rPr>
                <w:rFonts w:hint="eastAsia" w:ascii="仿宋" w:hAnsi="仿宋" w:eastAsia="仿宋" w:cs="仿宋"/>
                <w:kern w:val="0"/>
                <w:sz w:val="24"/>
                <w:szCs w:val="24"/>
                <w:lang w:val="zh-CN"/>
              </w:rPr>
            </w:pPr>
          </w:p>
        </w:tc>
        <w:tc>
          <w:tcPr>
            <w:tcW w:w="1874" w:type="dxa"/>
            <w:noWrap w:val="0"/>
            <w:vAlign w:val="center"/>
          </w:tcPr>
          <w:p w14:paraId="694C4D9D">
            <w:pPr>
              <w:pStyle w:val="109"/>
              <w:widowControl/>
              <w:ind w:firstLine="482"/>
              <w:jc w:val="left"/>
              <w:rPr>
                <w:rFonts w:hint="eastAsia" w:ascii="仿宋" w:hAnsi="仿宋" w:eastAsia="仿宋" w:cs="仿宋"/>
                <w:kern w:val="0"/>
                <w:sz w:val="24"/>
                <w:szCs w:val="24"/>
                <w:lang w:val="zh-CN"/>
              </w:rPr>
            </w:pPr>
          </w:p>
        </w:tc>
        <w:tc>
          <w:tcPr>
            <w:tcW w:w="1749" w:type="dxa"/>
            <w:noWrap w:val="0"/>
            <w:vAlign w:val="center"/>
          </w:tcPr>
          <w:p w14:paraId="1142F527">
            <w:pPr>
              <w:pStyle w:val="109"/>
              <w:widowControl/>
              <w:ind w:firstLine="482"/>
              <w:jc w:val="left"/>
              <w:rPr>
                <w:rFonts w:hint="eastAsia" w:ascii="仿宋" w:hAnsi="仿宋" w:eastAsia="仿宋" w:cs="仿宋"/>
                <w:kern w:val="0"/>
                <w:sz w:val="24"/>
                <w:szCs w:val="24"/>
                <w:lang w:val="zh-CN"/>
              </w:rPr>
            </w:pPr>
          </w:p>
        </w:tc>
        <w:tc>
          <w:tcPr>
            <w:tcW w:w="1721" w:type="dxa"/>
            <w:noWrap w:val="0"/>
            <w:vAlign w:val="center"/>
          </w:tcPr>
          <w:p w14:paraId="61D78F5E">
            <w:pPr>
              <w:pStyle w:val="109"/>
              <w:widowControl/>
              <w:ind w:firstLine="482"/>
              <w:jc w:val="left"/>
              <w:rPr>
                <w:rFonts w:hint="eastAsia" w:ascii="仿宋" w:hAnsi="仿宋" w:eastAsia="仿宋" w:cs="仿宋"/>
                <w:kern w:val="0"/>
                <w:sz w:val="24"/>
                <w:szCs w:val="24"/>
                <w:lang w:val="zh-CN"/>
              </w:rPr>
            </w:pPr>
          </w:p>
        </w:tc>
      </w:tr>
      <w:tr w14:paraId="4FF60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42" w:type="dxa"/>
            <w:noWrap w:val="0"/>
            <w:vAlign w:val="top"/>
          </w:tcPr>
          <w:p w14:paraId="3C15181C">
            <w:pPr>
              <w:pStyle w:val="109"/>
              <w:widowControl/>
              <w:jc w:val="left"/>
              <w:rPr>
                <w:rFonts w:hint="eastAsia" w:ascii="仿宋" w:hAnsi="仿宋" w:eastAsia="仿宋" w:cs="仿宋"/>
                <w:kern w:val="0"/>
                <w:sz w:val="24"/>
                <w:szCs w:val="24"/>
                <w:lang w:val="zh-CN"/>
              </w:rPr>
            </w:pPr>
          </w:p>
        </w:tc>
        <w:tc>
          <w:tcPr>
            <w:tcW w:w="1250" w:type="dxa"/>
            <w:noWrap w:val="0"/>
            <w:vAlign w:val="top"/>
          </w:tcPr>
          <w:p w14:paraId="3E6B0A1F">
            <w:pPr>
              <w:pStyle w:val="109"/>
              <w:widowControl/>
              <w:ind w:firstLine="482"/>
              <w:jc w:val="left"/>
              <w:rPr>
                <w:rFonts w:hint="eastAsia" w:ascii="仿宋" w:hAnsi="仿宋" w:eastAsia="仿宋" w:cs="仿宋"/>
                <w:kern w:val="0"/>
                <w:sz w:val="24"/>
                <w:szCs w:val="24"/>
                <w:lang w:val="zh-CN"/>
              </w:rPr>
            </w:pPr>
          </w:p>
        </w:tc>
        <w:tc>
          <w:tcPr>
            <w:tcW w:w="1602" w:type="dxa"/>
            <w:noWrap w:val="0"/>
            <w:vAlign w:val="top"/>
          </w:tcPr>
          <w:p w14:paraId="42C8D12C">
            <w:pPr>
              <w:pStyle w:val="109"/>
              <w:widowControl/>
              <w:ind w:firstLine="482"/>
              <w:jc w:val="left"/>
              <w:rPr>
                <w:rFonts w:hint="eastAsia" w:ascii="仿宋" w:hAnsi="仿宋" w:eastAsia="仿宋" w:cs="仿宋"/>
                <w:kern w:val="0"/>
                <w:sz w:val="24"/>
                <w:szCs w:val="24"/>
                <w:lang w:val="zh-CN"/>
              </w:rPr>
            </w:pPr>
          </w:p>
        </w:tc>
        <w:tc>
          <w:tcPr>
            <w:tcW w:w="1874" w:type="dxa"/>
            <w:noWrap w:val="0"/>
            <w:vAlign w:val="top"/>
          </w:tcPr>
          <w:p w14:paraId="0C7FBCFD">
            <w:pPr>
              <w:pStyle w:val="109"/>
              <w:widowControl/>
              <w:ind w:firstLine="482"/>
              <w:jc w:val="left"/>
              <w:rPr>
                <w:rFonts w:hint="eastAsia" w:ascii="仿宋" w:hAnsi="仿宋" w:eastAsia="仿宋" w:cs="仿宋"/>
                <w:kern w:val="0"/>
                <w:sz w:val="24"/>
                <w:szCs w:val="24"/>
                <w:lang w:val="zh-CN"/>
              </w:rPr>
            </w:pPr>
          </w:p>
        </w:tc>
        <w:tc>
          <w:tcPr>
            <w:tcW w:w="1749" w:type="dxa"/>
            <w:noWrap w:val="0"/>
            <w:vAlign w:val="top"/>
          </w:tcPr>
          <w:p w14:paraId="0F33C79A">
            <w:pPr>
              <w:pStyle w:val="109"/>
              <w:widowControl/>
              <w:ind w:firstLine="482"/>
              <w:jc w:val="left"/>
              <w:rPr>
                <w:rFonts w:hint="eastAsia" w:ascii="仿宋" w:hAnsi="仿宋" w:eastAsia="仿宋" w:cs="仿宋"/>
                <w:kern w:val="0"/>
                <w:sz w:val="24"/>
                <w:szCs w:val="24"/>
                <w:lang w:val="zh-CN"/>
              </w:rPr>
            </w:pPr>
          </w:p>
        </w:tc>
        <w:tc>
          <w:tcPr>
            <w:tcW w:w="1721" w:type="dxa"/>
            <w:noWrap w:val="0"/>
            <w:vAlign w:val="top"/>
          </w:tcPr>
          <w:p w14:paraId="430037E1">
            <w:pPr>
              <w:pStyle w:val="109"/>
              <w:widowControl/>
              <w:ind w:firstLine="482"/>
              <w:jc w:val="left"/>
              <w:rPr>
                <w:rFonts w:hint="eastAsia" w:ascii="仿宋" w:hAnsi="仿宋" w:eastAsia="仿宋" w:cs="仿宋"/>
                <w:kern w:val="0"/>
                <w:sz w:val="24"/>
                <w:szCs w:val="24"/>
                <w:lang w:val="zh-CN"/>
              </w:rPr>
            </w:pPr>
          </w:p>
        </w:tc>
      </w:tr>
      <w:tr w14:paraId="15CB3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442" w:type="dxa"/>
            <w:noWrap w:val="0"/>
            <w:vAlign w:val="top"/>
          </w:tcPr>
          <w:p w14:paraId="77535A94">
            <w:pPr>
              <w:pStyle w:val="109"/>
              <w:widowControl/>
              <w:jc w:val="left"/>
              <w:rPr>
                <w:rFonts w:hint="eastAsia" w:ascii="仿宋" w:hAnsi="仿宋" w:eastAsia="仿宋" w:cs="仿宋"/>
                <w:kern w:val="0"/>
                <w:sz w:val="24"/>
                <w:szCs w:val="24"/>
                <w:lang w:val="zh-CN"/>
              </w:rPr>
            </w:pPr>
          </w:p>
        </w:tc>
        <w:tc>
          <w:tcPr>
            <w:tcW w:w="1250" w:type="dxa"/>
            <w:noWrap w:val="0"/>
            <w:vAlign w:val="top"/>
          </w:tcPr>
          <w:p w14:paraId="243E5FA9">
            <w:pPr>
              <w:pStyle w:val="109"/>
              <w:widowControl/>
              <w:ind w:firstLine="482"/>
              <w:jc w:val="left"/>
              <w:rPr>
                <w:rFonts w:hint="eastAsia" w:ascii="仿宋" w:hAnsi="仿宋" w:eastAsia="仿宋" w:cs="仿宋"/>
                <w:kern w:val="0"/>
                <w:sz w:val="24"/>
                <w:szCs w:val="24"/>
                <w:lang w:val="zh-CN"/>
              </w:rPr>
            </w:pPr>
          </w:p>
        </w:tc>
        <w:tc>
          <w:tcPr>
            <w:tcW w:w="1602" w:type="dxa"/>
            <w:noWrap w:val="0"/>
            <w:vAlign w:val="top"/>
          </w:tcPr>
          <w:p w14:paraId="31E304F2">
            <w:pPr>
              <w:pStyle w:val="109"/>
              <w:widowControl/>
              <w:ind w:firstLine="482"/>
              <w:jc w:val="left"/>
              <w:rPr>
                <w:rFonts w:hint="eastAsia" w:ascii="仿宋" w:hAnsi="仿宋" w:eastAsia="仿宋" w:cs="仿宋"/>
                <w:kern w:val="0"/>
                <w:sz w:val="24"/>
                <w:szCs w:val="24"/>
                <w:lang w:val="zh-CN"/>
              </w:rPr>
            </w:pPr>
          </w:p>
        </w:tc>
        <w:tc>
          <w:tcPr>
            <w:tcW w:w="1874" w:type="dxa"/>
            <w:noWrap w:val="0"/>
            <w:vAlign w:val="top"/>
          </w:tcPr>
          <w:p w14:paraId="1158A736">
            <w:pPr>
              <w:pStyle w:val="109"/>
              <w:widowControl/>
              <w:ind w:firstLine="482"/>
              <w:jc w:val="left"/>
              <w:rPr>
                <w:rFonts w:hint="eastAsia" w:ascii="仿宋" w:hAnsi="仿宋" w:eastAsia="仿宋" w:cs="仿宋"/>
                <w:kern w:val="0"/>
                <w:sz w:val="24"/>
                <w:szCs w:val="24"/>
                <w:lang w:val="zh-CN"/>
              </w:rPr>
            </w:pPr>
          </w:p>
        </w:tc>
        <w:tc>
          <w:tcPr>
            <w:tcW w:w="1749" w:type="dxa"/>
            <w:noWrap w:val="0"/>
            <w:vAlign w:val="top"/>
          </w:tcPr>
          <w:p w14:paraId="2872EB16">
            <w:pPr>
              <w:pStyle w:val="109"/>
              <w:widowControl/>
              <w:ind w:firstLine="482"/>
              <w:jc w:val="left"/>
              <w:rPr>
                <w:rFonts w:hint="eastAsia" w:ascii="仿宋" w:hAnsi="仿宋" w:eastAsia="仿宋" w:cs="仿宋"/>
                <w:kern w:val="0"/>
                <w:sz w:val="24"/>
                <w:szCs w:val="24"/>
                <w:lang w:val="zh-CN"/>
              </w:rPr>
            </w:pPr>
          </w:p>
        </w:tc>
        <w:tc>
          <w:tcPr>
            <w:tcW w:w="1721" w:type="dxa"/>
            <w:noWrap w:val="0"/>
            <w:vAlign w:val="top"/>
          </w:tcPr>
          <w:p w14:paraId="0BF35427">
            <w:pPr>
              <w:pStyle w:val="109"/>
              <w:widowControl/>
              <w:ind w:firstLine="482"/>
              <w:jc w:val="left"/>
              <w:rPr>
                <w:rFonts w:hint="eastAsia" w:ascii="仿宋" w:hAnsi="仿宋" w:eastAsia="仿宋" w:cs="仿宋"/>
                <w:kern w:val="0"/>
                <w:sz w:val="24"/>
                <w:szCs w:val="24"/>
                <w:lang w:val="zh-CN"/>
              </w:rPr>
            </w:pPr>
          </w:p>
        </w:tc>
      </w:tr>
    </w:tbl>
    <w:p w14:paraId="5BE26988">
      <w:pPr>
        <w:pStyle w:val="109"/>
        <w:widowControl/>
        <w:rPr>
          <w:rFonts w:hint="eastAsia" w:ascii="仿宋" w:hAnsi="仿宋" w:eastAsia="仿宋" w:cs="仿宋"/>
          <w:kern w:val="0"/>
          <w:sz w:val="24"/>
          <w:szCs w:val="24"/>
          <w:lang w:val="zh-CN"/>
        </w:rPr>
      </w:pPr>
    </w:p>
    <w:tbl>
      <w:tblPr>
        <w:tblStyle w:val="6"/>
        <w:tblW w:w="86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
        <w:gridCol w:w="1292"/>
        <w:gridCol w:w="1578"/>
        <w:gridCol w:w="1883"/>
        <w:gridCol w:w="1750"/>
        <w:gridCol w:w="1681"/>
      </w:tblGrid>
      <w:tr w14:paraId="50B33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447" w:type="dxa"/>
            <w:noWrap w:val="0"/>
            <w:vAlign w:val="center"/>
          </w:tcPr>
          <w:p w14:paraId="4B860B0C">
            <w:pPr>
              <w:pStyle w:val="109"/>
              <w:widowControl/>
              <w:jc w:val="center"/>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序号</w:t>
            </w:r>
          </w:p>
        </w:tc>
        <w:tc>
          <w:tcPr>
            <w:tcW w:w="1292" w:type="dxa"/>
            <w:noWrap w:val="0"/>
            <w:vAlign w:val="center"/>
          </w:tcPr>
          <w:p w14:paraId="34867AA4">
            <w:pPr>
              <w:pStyle w:val="109"/>
              <w:widowControl/>
              <w:jc w:val="center"/>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货物名称</w:t>
            </w:r>
          </w:p>
        </w:tc>
        <w:tc>
          <w:tcPr>
            <w:tcW w:w="1578" w:type="dxa"/>
            <w:noWrap w:val="0"/>
            <w:vAlign w:val="center"/>
          </w:tcPr>
          <w:p w14:paraId="2C9C9278">
            <w:pPr>
              <w:pStyle w:val="109"/>
              <w:widowControl/>
              <w:jc w:val="center"/>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品牌及制造商</w:t>
            </w:r>
          </w:p>
        </w:tc>
        <w:tc>
          <w:tcPr>
            <w:tcW w:w="1883" w:type="dxa"/>
            <w:noWrap w:val="0"/>
            <w:vAlign w:val="center"/>
          </w:tcPr>
          <w:p w14:paraId="0B92DC08">
            <w:pPr>
              <w:pStyle w:val="109"/>
              <w:widowControl/>
              <w:jc w:val="center"/>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规格型号</w:t>
            </w:r>
          </w:p>
        </w:tc>
        <w:tc>
          <w:tcPr>
            <w:tcW w:w="1750" w:type="dxa"/>
            <w:noWrap w:val="0"/>
            <w:vAlign w:val="center"/>
          </w:tcPr>
          <w:p w14:paraId="4A9B3B97">
            <w:pPr>
              <w:pStyle w:val="109"/>
              <w:jc w:val="center"/>
              <w:rPr>
                <w:rFonts w:hint="eastAsia" w:ascii="仿宋" w:hAnsi="仿宋" w:eastAsia="仿宋" w:cs="仿宋"/>
                <w:sz w:val="24"/>
                <w:szCs w:val="24"/>
              </w:rPr>
            </w:pPr>
            <w:r>
              <w:rPr>
                <w:rFonts w:hint="eastAsia" w:ascii="仿宋" w:hAnsi="仿宋" w:eastAsia="仿宋" w:cs="仿宋"/>
                <w:sz w:val="24"/>
                <w:szCs w:val="24"/>
              </w:rPr>
              <w:t>中国环境标志认证证书编号</w:t>
            </w:r>
          </w:p>
        </w:tc>
        <w:tc>
          <w:tcPr>
            <w:tcW w:w="1681" w:type="dxa"/>
            <w:noWrap w:val="0"/>
            <w:vAlign w:val="center"/>
          </w:tcPr>
          <w:p w14:paraId="2C0A09ED">
            <w:pPr>
              <w:pStyle w:val="109"/>
              <w:widowControl/>
              <w:jc w:val="center"/>
              <w:rPr>
                <w:rFonts w:hint="eastAsia" w:ascii="仿宋" w:hAnsi="仿宋" w:eastAsia="仿宋" w:cs="仿宋"/>
                <w:strike/>
                <w:kern w:val="0"/>
                <w:sz w:val="24"/>
                <w:szCs w:val="24"/>
                <w:lang w:val="zh-CN"/>
              </w:rPr>
            </w:pPr>
            <w:r>
              <w:rPr>
                <w:rFonts w:hint="eastAsia" w:ascii="仿宋" w:hAnsi="仿宋" w:eastAsia="仿宋" w:cs="仿宋"/>
                <w:kern w:val="0"/>
                <w:sz w:val="24"/>
                <w:szCs w:val="24"/>
                <w:lang w:val="zh-CN"/>
              </w:rPr>
              <w:t>中国环境标志认证证书有效截止日期</w:t>
            </w:r>
          </w:p>
        </w:tc>
      </w:tr>
      <w:tr w14:paraId="08AF8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447" w:type="dxa"/>
            <w:noWrap w:val="0"/>
            <w:vAlign w:val="center"/>
          </w:tcPr>
          <w:p w14:paraId="7D5D35D3">
            <w:pPr>
              <w:pStyle w:val="109"/>
              <w:widowControl/>
              <w:jc w:val="left"/>
              <w:rPr>
                <w:rFonts w:hint="eastAsia" w:ascii="仿宋" w:hAnsi="仿宋" w:eastAsia="仿宋" w:cs="仿宋"/>
                <w:kern w:val="0"/>
                <w:sz w:val="24"/>
                <w:szCs w:val="24"/>
                <w:lang w:val="zh-CN"/>
              </w:rPr>
            </w:pPr>
          </w:p>
        </w:tc>
        <w:tc>
          <w:tcPr>
            <w:tcW w:w="1292" w:type="dxa"/>
            <w:noWrap w:val="0"/>
            <w:vAlign w:val="center"/>
          </w:tcPr>
          <w:p w14:paraId="491132D2">
            <w:pPr>
              <w:pStyle w:val="109"/>
              <w:widowControl/>
              <w:ind w:firstLine="482"/>
              <w:jc w:val="left"/>
              <w:rPr>
                <w:rFonts w:hint="eastAsia" w:ascii="仿宋" w:hAnsi="仿宋" w:eastAsia="仿宋" w:cs="仿宋"/>
                <w:kern w:val="0"/>
                <w:sz w:val="24"/>
                <w:szCs w:val="24"/>
                <w:lang w:val="zh-CN"/>
              </w:rPr>
            </w:pPr>
          </w:p>
        </w:tc>
        <w:tc>
          <w:tcPr>
            <w:tcW w:w="1578" w:type="dxa"/>
            <w:noWrap w:val="0"/>
            <w:vAlign w:val="center"/>
          </w:tcPr>
          <w:p w14:paraId="3D6B96B8">
            <w:pPr>
              <w:pStyle w:val="109"/>
              <w:widowControl/>
              <w:ind w:firstLine="482"/>
              <w:jc w:val="left"/>
              <w:rPr>
                <w:rFonts w:hint="eastAsia" w:ascii="仿宋" w:hAnsi="仿宋" w:eastAsia="仿宋" w:cs="仿宋"/>
                <w:kern w:val="0"/>
                <w:sz w:val="24"/>
                <w:szCs w:val="24"/>
                <w:lang w:val="zh-CN"/>
              </w:rPr>
            </w:pPr>
          </w:p>
        </w:tc>
        <w:tc>
          <w:tcPr>
            <w:tcW w:w="1883" w:type="dxa"/>
            <w:noWrap w:val="0"/>
            <w:vAlign w:val="center"/>
          </w:tcPr>
          <w:p w14:paraId="4256DFFE">
            <w:pPr>
              <w:pStyle w:val="109"/>
              <w:widowControl/>
              <w:ind w:firstLine="482"/>
              <w:jc w:val="left"/>
              <w:rPr>
                <w:rFonts w:hint="eastAsia" w:ascii="仿宋" w:hAnsi="仿宋" w:eastAsia="仿宋" w:cs="仿宋"/>
                <w:kern w:val="0"/>
                <w:sz w:val="24"/>
                <w:szCs w:val="24"/>
                <w:lang w:val="zh-CN"/>
              </w:rPr>
            </w:pPr>
          </w:p>
        </w:tc>
        <w:tc>
          <w:tcPr>
            <w:tcW w:w="1750" w:type="dxa"/>
            <w:noWrap w:val="0"/>
            <w:vAlign w:val="center"/>
          </w:tcPr>
          <w:p w14:paraId="685AF64E">
            <w:pPr>
              <w:pStyle w:val="109"/>
              <w:widowControl/>
              <w:ind w:firstLine="482"/>
              <w:jc w:val="left"/>
              <w:rPr>
                <w:rFonts w:hint="eastAsia" w:ascii="仿宋" w:hAnsi="仿宋" w:eastAsia="仿宋" w:cs="仿宋"/>
                <w:kern w:val="0"/>
                <w:sz w:val="24"/>
                <w:szCs w:val="24"/>
                <w:lang w:val="zh-CN"/>
              </w:rPr>
            </w:pPr>
          </w:p>
        </w:tc>
        <w:tc>
          <w:tcPr>
            <w:tcW w:w="1681" w:type="dxa"/>
            <w:noWrap w:val="0"/>
            <w:vAlign w:val="center"/>
          </w:tcPr>
          <w:p w14:paraId="7F6A2831">
            <w:pPr>
              <w:pStyle w:val="109"/>
              <w:widowControl/>
              <w:ind w:firstLine="482"/>
              <w:jc w:val="left"/>
              <w:rPr>
                <w:rFonts w:hint="eastAsia" w:ascii="仿宋" w:hAnsi="仿宋" w:eastAsia="仿宋" w:cs="仿宋"/>
                <w:kern w:val="0"/>
                <w:sz w:val="24"/>
                <w:szCs w:val="24"/>
                <w:lang w:val="zh-CN"/>
              </w:rPr>
            </w:pPr>
          </w:p>
        </w:tc>
      </w:tr>
      <w:tr w14:paraId="62A2C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6" w:hRule="atLeast"/>
          <w:jc w:val="center"/>
        </w:trPr>
        <w:tc>
          <w:tcPr>
            <w:tcW w:w="447" w:type="dxa"/>
            <w:noWrap w:val="0"/>
            <w:vAlign w:val="center"/>
          </w:tcPr>
          <w:p w14:paraId="729FD24D">
            <w:pPr>
              <w:pStyle w:val="109"/>
              <w:widowControl/>
              <w:jc w:val="left"/>
              <w:rPr>
                <w:rFonts w:hint="eastAsia" w:ascii="仿宋" w:hAnsi="仿宋" w:eastAsia="仿宋" w:cs="仿宋"/>
                <w:kern w:val="0"/>
                <w:sz w:val="24"/>
                <w:szCs w:val="24"/>
                <w:lang w:val="zh-CN"/>
              </w:rPr>
            </w:pPr>
          </w:p>
        </w:tc>
        <w:tc>
          <w:tcPr>
            <w:tcW w:w="1292" w:type="dxa"/>
            <w:noWrap w:val="0"/>
            <w:vAlign w:val="center"/>
          </w:tcPr>
          <w:p w14:paraId="1CE94770">
            <w:pPr>
              <w:pStyle w:val="109"/>
              <w:widowControl/>
              <w:ind w:firstLine="482"/>
              <w:jc w:val="left"/>
              <w:rPr>
                <w:rFonts w:hint="eastAsia" w:ascii="仿宋" w:hAnsi="仿宋" w:eastAsia="仿宋" w:cs="仿宋"/>
                <w:kern w:val="0"/>
                <w:sz w:val="24"/>
                <w:szCs w:val="24"/>
                <w:lang w:val="zh-CN"/>
              </w:rPr>
            </w:pPr>
          </w:p>
        </w:tc>
        <w:tc>
          <w:tcPr>
            <w:tcW w:w="1578" w:type="dxa"/>
            <w:noWrap w:val="0"/>
            <w:vAlign w:val="center"/>
          </w:tcPr>
          <w:p w14:paraId="50046598">
            <w:pPr>
              <w:pStyle w:val="109"/>
              <w:widowControl/>
              <w:ind w:firstLine="482"/>
              <w:jc w:val="left"/>
              <w:rPr>
                <w:rFonts w:hint="eastAsia" w:ascii="仿宋" w:hAnsi="仿宋" w:eastAsia="仿宋" w:cs="仿宋"/>
                <w:kern w:val="0"/>
                <w:sz w:val="24"/>
                <w:szCs w:val="24"/>
                <w:lang w:val="zh-CN"/>
              </w:rPr>
            </w:pPr>
          </w:p>
        </w:tc>
        <w:tc>
          <w:tcPr>
            <w:tcW w:w="1883" w:type="dxa"/>
            <w:noWrap w:val="0"/>
            <w:vAlign w:val="center"/>
          </w:tcPr>
          <w:p w14:paraId="35725782">
            <w:pPr>
              <w:pStyle w:val="109"/>
              <w:widowControl/>
              <w:ind w:firstLine="482"/>
              <w:jc w:val="left"/>
              <w:rPr>
                <w:rFonts w:hint="eastAsia" w:ascii="仿宋" w:hAnsi="仿宋" w:eastAsia="仿宋" w:cs="仿宋"/>
                <w:kern w:val="0"/>
                <w:sz w:val="24"/>
                <w:szCs w:val="24"/>
                <w:lang w:val="zh-CN"/>
              </w:rPr>
            </w:pPr>
          </w:p>
        </w:tc>
        <w:tc>
          <w:tcPr>
            <w:tcW w:w="1750" w:type="dxa"/>
            <w:noWrap w:val="0"/>
            <w:vAlign w:val="center"/>
          </w:tcPr>
          <w:p w14:paraId="55C5372F">
            <w:pPr>
              <w:pStyle w:val="109"/>
              <w:widowControl/>
              <w:ind w:firstLine="482"/>
              <w:jc w:val="left"/>
              <w:rPr>
                <w:rFonts w:hint="eastAsia" w:ascii="仿宋" w:hAnsi="仿宋" w:eastAsia="仿宋" w:cs="仿宋"/>
                <w:kern w:val="0"/>
                <w:sz w:val="24"/>
                <w:szCs w:val="24"/>
                <w:lang w:val="zh-CN"/>
              </w:rPr>
            </w:pPr>
          </w:p>
        </w:tc>
        <w:tc>
          <w:tcPr>
            <w:tcW w:w="1681" w:type="dxa"/>
            <w:noWrap w:val="0"/>
            <w:vAlign w:val="center"/>
          </w:tcPr>
          <w:p w14:paraId="5F356F18">
            <w:pPr>
              <w:pStyle w:val="109"/>
              <w:widowControl/>
              <w:ind w:firstLine="482"/>
              <w:jc w:val="left"/>
              <w:rPr>
                <w:rFonts w:hint="eastAsia" w:ascii="仿宋" w:hAnsi="仿宋" w:eastAsia="仿宋" w:cs="仿宋"/>
                <w:kern w:val="0"/>
                <w:sz w:val="24"/>
                <w:szCs w:val="24"/>
                <w:lang w:val="zh-CN"/>
              </w:rPr>
            </w:pPr>
          </w:p>
        </w:tc>
      </w:tr>
      <w:tr w14:paraId="178F4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2" w:hRule="atLeast"/>
          <w:jc w:val="center"/>
        </w:trPr>
        <w:tc>
          <w:tcPr>
            <w:tcW w:w="447" w:type="dxa"/>
            <w:noWrap w:val="0"/>
            <w:vAlign w:val="center"/>
          </w:tcPr>
          <w:p w14:paraId="1AE27CEC">
            <w:pPr>
              <w:pStyle w:val="109"/>
              <w:widowControl/>
              <w:jc w:val="left"/>
              <w:rPr>
                <w:rFonts w:hint="eastAsia" w:ascii="仿宋" w:hAnsi="仿宋" w:eastAsia="仿宋" w:cs="仿宋"/>
                <w:kern w:val="0"/>
                <w:sz w:val="24"/>
                <w:szCs w:val="24"/>
                <w:lang w:val="zh-CN"/>
              </w:rPr>
            </w:pPr>
          </w:p>
        </w:tc>
        <w:tc>
          <w:tcPr>
            <w:tcW w:w="1292" w:type="dxa"/>
            <w:noWrap w:val="0"/>
            <w:vAlign w:val="center"/>
          </w:tcPr>
          <w:p w14:paraId="79FD4F4A">
            <w:pPr>
              <w:pStyle w:val="109"/>
              <w:widowControl/>
              <w:ind w:firstLine="482"/>
              <w:jc w:val="left"/>
              <w:rPr>
                <w:rFonts w:hint="eastAsia" w:ascii="仿宋" w:hAnsi="仿宋" w:eastAsia="仿宋" w:cs="仿宋"/>
                <w:kern w:val="0"/>
                <w:sz w:val="24"/>
                <w:szCs w:val="24"/>
                <w:lang w:val="zh-CN"/>
              </w:rPr>
            </w:pPr>
          </w:p>
        </w:tc>
        <w:tc>
          <w:tcPr>
            <w:tcW w:w="1578" w:type="dxa"/>
            <w:noWrap w:val="0"/>
            <w:vAlign w:val="center"/>
          </w:tcPr>
          <w:p w14:paraId="3F0961C6">
            <w:pPr>
              <w:pStyle w:val="109"/>
              <w:widowControl/>
              <w:ind w:firstLine="482"/>
              <w:jc w:val="left"/>
              <w:rPr>
                <w:rFonts w:hint="eastAsia" w:ascii="仿宋" w:hAnsi="仿宋" w:eastAsia="仿宋" w:cs="仿宋"/>
                <w:kern w:val="0"/>
                <w:sz w:val="24"/>
                <w:szCs w:val="24"/>
                <w:lang w:val="zh-CN"/>
              </w:rPr>
            </w:pPr>
          </w:p>
        </w:tc>
        <w:tc>
          <w:tcPr>
            <w:tcW w:w="1883" w:type="dxa"/>
            <w:noWrap w:val="0"/>
            <w:vAlign w:val="center"/>
          </w:tcPr>
          <w:p w14:paraId="0FF8784D">
            <w:pPr>
              <w:pStyle w:val="109"/>
              <w:widowControl/>
              <w:ind w:firstLine="482"/>
              <w:jc w:val="left"/>
              <w:rPr>
                <w:rFonts w:hint="eastAsia" w:ascii="仿宋" w:hAnsi="仿宋" w:eastAsia="仿宋" w:cs="仿宋"/>
                <w:kern w:val="0"/>
                <w:sz w:val="24"/>
                <w:szCs w:val="24"/>
                <w:lang w:val="zh-CN"/>
              </w:rPr>
            </w:pPr>
          </w:p>
        </w:tc>
        <w:tc>
          <w:tcPr>
            <w:tcW w:w="1750" w:type="dxa"/>
            <w:noWrap w:val="0"/>
            <w:vAlign w:val="center"/>
          </w:tcPr>
          <w:p w14:paraId="6F13B88C">
            <w:pPr>
              <w:pStyle w:val="109"/>
              <w:widowControl/>
              <w:ind w:firstLine="482"/>
              <w:jc w:val="left"/>
              <w:rPr>
                <w:rFonts w:hint="eastAsia" w:ascii="仿宋" w:hAnsi="仿宋" w:eastAsia="仿宋" w:cs="仿宋"/>
                <w:kern w:val="0"/>
                <w:sz w:val="24"/>
                <w:szCs w:val="24"/>
                <w:lang w:val="zh-CN"/>
              </w:rPr>
            </w:pPr>
          </w:p>
        </w:tc>
        <w:tc>
          <w:tcPr>
            <w:tcW w:w="1681" w:type="dxa"/>
            <w:noWrap w:val="0"/>
            <w:vAlign w:val="center"/>
          </w:tcPr>
          <w:p w14:paraId="0167184B">
            <w:pPr>
              <w:pStyle w:val="109"/>
              <w:widowControl/>
              <w:ind w:firstLine="482"/>
              <w:jc w:val="left"/>
              <w:rPr>
                <w:rFonts w:hint="eastAsia" w:ascii="仿宋" w:hAnsi="仿宋" w:eastAsia="仿宋" w:cs="仿宋"/>
                <w:kern w:val="0"/>
                <w:sz w:val="24"/>
                <w:szCs w:val="24"/>
                <w:lang w:val="zh-CN"/>
              </w:rPr>
            </w:pPr>
          </w:p>
        </w:tc>
      </w:tr>
    </w:tbl>
    <w:p w14:paraId="527143FC">
      <w:pPr>
        <w:pStyle w:val="109"/>
        <w:widowControl/>
        <w:jc w:val="left"/>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 xml:space="preserve">供应商（企业电子章）：                                      </w:t>
      </w:r>
    </w:p>
    <w:p w14:paraId="492836DA">
      <w:pPr>
        <w:pStyle w:val="109"/>
        <w:widowControl/>
        <w:jc w:val="left"/>
        <w:rPr>
          <w:rFonts w:hint="eastAsia" w:ascii="仿宋" w:hAnsi="仿宋" w:eastAsia="仿宋" w:cs="仿宋"/>
          <w:bCs/>
          <w:kern w:val="0"/>
          <w:sz w:val="24"/>
          <w:szCs w:val="24"/>
          <w:lang w:val="zh-CN"/>
        </w:rPr>
      </w:pPr>
      <w:r>
        <w:rPr>
          <w:rFonts w:hint="eastAsia" w:ascii="仿宋" w:hAnsi="仿宋" w:eastAsia="仿宋" w:cs="仿宋"/>
          <w:bCs/>
          <w:kern w:val="0"/>
          <w:sz w:val="24"/>
          <w:szCs w:val="24"/>
          <w:lang w:val="zh-CN"/>
        </w:rPr>
        <w:t>注：</w:t>
      </w:r>
    </w:p>
    <w:p w14:paraId="774791B0">
      <w:pPr>
        <w:pStyle w:val="109"/>
        <w:widowControl/>
        <w:jc w:val="left"/>
        <w:rPr>
          <w:rFonts w:hint="eastAsia" w:ascii="仿宋" w:hAnsi="仿宋" w:eastAsia="仿宋" w:cs="仿宋"/>
          <w:bCs/>
          <w:kern w:val="0"/>
          <w:sz w:val="24"/>
          <w:szCs w:val="24"/>
          <w:lang w:val="zh-CN"/>
        </w:rPr>
      </w:pPr>
      <w:r>
        <w:rPr>
          <w:rFonts w:hint="eastAsia" w:ascii="仿宋" w:hAnsi="仿宋" w:eastAsia="仿宋" w:cs="仿宋"/>
          <w:bCs/>
          <w:kern w:val="0"/>
          <w:sz w:val="24"/>
          <w:szCs w:val="24"/>
          <w:lang w:val="zh-CN"/>
        </w:rPr>
        <w:t>1、供应商提供的产品属于节能产品、环境标志产品的，应提供相关证明资料(上述节能产品、环境标志产品认证证书复印件)，并如实填写本表，未按此要求提供证明资料或填写本表的，评审时不予认可、不予加分。</w:t>
      </w:r>
    </w:p>
    <w:p w14:paraId="40A32560">
      <w:pPr>
        <w:pStyle w:val="109"/>
        <w:widowControl/>
        <w:jc w:val="left"/>
        <w:rPr>
          <w:rFonts w:hint="eastAsia" w:ascii="仿宋" w:hAnsi="仿宋" w:eastAsia="仿宋" w:cs="仿宋"/>
          <w:bCs/>
          <w:kern w:val="0"/>
          <w:sz w:val="24"/>
          <w:szCs w:val="24"/>
          <w:lang w:val="zh-CN"/>
        </w:rPr>
      </w:pPr>
      <w:r>
        <w:rPr>
          <w:rFonts w:hint="eastAsia" w:ascii="仿宋" w:hAnsi="仿宋" w:eastAsia="仿宋" w:cs="仿宋"/>
          <w:bCs/>
          <w:kern w:val="0"/>
          <w:sz w:val="24"/>
          <w:szCs w:val="24"/>
          <w:lang w:val="zh-CN"/>
        </w:rPr>
        <w:t>2、证书应是由《市场监管总局关于发布参与实施政府采购节能产品、环境标志产品认证机构名录的公告》的认证机构出具的、处于有效期之内的。</w:t>
      </w:r>
    </w:p>
    <w:p w14:paraId="42DA9820">
      <w:pPr>
        <w:pStyle w:val="109"/>
        <w:widowControl/>
        <w:jc w:val="left"/>
        <w:rPr>
          <w:rFonts w:hint="eastAsia" w:ascii="仿宋" w:hAnsi="仿宋" w:eastAsia="仿宋" w:cs="仿宋"/>
          <w:bCs/>
          <w:kern w:val="0"/>
          <w:sz w:val="24"/>
          <w:szCs w:val="24"/>
          <w:lang w:val="zh-CN"/>
        </w:rPr>
      </w:pPr>
      <w:r>
        <w:rPr>
          <w:rFonts w:hint="eastAsia" w:ascii="仿宋" w:hAnsi="仿宋" w:eastAsia="仿宋" w:cs="仿宋"/>
          <w:bCs/>
          <w:kern w:val="0"/>
          <w:sz w:val="24"/>
          <w:szCs w:val="24"/>
          <w:lang w:val="zh-CN"/>
        </w:rPr>
        <w:t>3、供应商可根据需要自行增减表格行数。</w:t>
      </w:r>
    </w:p>
    <w:p w14:paraId="172F8B8C">
      <w:pPr>
        <w:pStyle w:val="109"/>
        <w:widowControl/>
        <w:jc w:val="left"/>
        <w:rPr>
          <w:rFonts w:hint="eastAsia" w:ascii="仿宋" w:hAnsi="仿宋" w:eastAsia="仿宋" w:cs="仿宋"/>
          <w:bCs/>
          <w:kern w:val="0"/>
          <w:sz w:val="24"/>
          <w:szCs w:val="24"/>
          <w:lang w:val="zh-CN"/>
        </w:rPr>
      </w:pPr>
      <w:r>
        <w:rPr>
          <w:rFonts w:hint="eastAsia" w:ascii="仿宋" w:hAnsi="仿宋" w:eastAsia="仿宋" w:cs="仿宋"/>
          <w:bCs/>
          <w:kern w:val="0"/>
          <w:sz w:val="24"/>
          <w:szCs w:val="24"/>
          <w:lang w:val="zh-CN"/>
        </w:rPr>
        <w:t>4、相关证明资料附后。</w:t>
      </w:r>
    </w:p>
    <w:p w14:paraId="661F594A">
      <w:pPr>
        <w:pStyle w:val="109"/>
        <w:widowControl/>
        <w:jc w:val="left"/>
        <w:rPr>
          <w:rFonts w:hint="eastAsia" w:ascii="仿宋" w:hAnsi="仿宋" w:eastAsia="仿宋" w:cs="仿宋"/>
          <w:bCs/>
          <w:kern w:val="0"/>
          <w:sz w:val="24"/>
          <w:szCs w:val="24"/>
          <w:lang w:val="zh-CN"/>
        </w:rPr>
      </w:pPr>
    </w:p>
    <w:p w14:paraId="0C603417">
      <w:pPr>
        <w:pStyle w:val="109"/>
        <w:widowControl/>
        <w:jc w:val="left"/>
        <w:rPr>
          <w:rFonts w:hint="eastAsia" w:ascii="仿宋" w:hAnsi="仿宋" w:eastAsia="仿宋" w:cs="仿宋"/>
          <w:bCs/>
          <w:kern w:val="0"/>
          <w:sz w:val="24"/>
          <w:szCs w:val="24"/>
          <w:lang w:val="zh-CN"/>
        </w:rPr>
      </w:pPr>
      <w:r>
        <w:rPr>
          <w:rFonts w:hint="eastAsia" w:ascii="仿宋" w:hAnsi="仿宋" w:eastAsia="仿宋" w:cs="仿宋"/>
          <w:bCs/>
          <w:kern w:val="0"/>
          <w:sz w:val="24"/>
          <w:szCs w:val="24"/>
          <w:lang w:val="zh-CN"/>
        </w:rPr>
        <w:t>附：</w:t>
      </w:r>
    </w:p>
    <w:p w14:paraId="08C4034D">
      <w:pPr>
        <w:pStyle w:val="109"/>
        <w:widowControl/>
        <w:jc w:val="left"/>
        <w:rPr>
          <w:rFonts w:hint="eastAsia" w:ascii="仿宋" w:hAnsi="仿宋" w:eastAsia="仿宋" w:cs="仿宋"/>
          <w:spacing w:val="14"/>
          <w:kern w:val="0"/>
          <w:sz w:val="24"/>
          <w:szCs w:val="24"/>
          <w:lang w:val="zh-CN"/>
        </w:rPr>
      </w:pPr>
      <w:r>
        <w:rPr>
          <w:rFonts w:hint="eastAsia" w:ascii="仿宋" w:hAnsi="仿宋" w:eastAsia="仿宋" w:cs="仿宋"/>
          <w:bCs/>
          <w:kern w:val="0"/>
          <w:sz w:val="24"/>
          <w:szCs w:val="24"/>
          <w:lang w:val="zh-CN"/>
        </w:rPr>
        <w:t>1、投标产品的《中国节能产品认证证书》</w:t>
      </w:r>
      <w:r>
        <w:rPr>
          <w:rFonts w:hint="eastAsia" w:ascii="仿宋" w:hAnsi="仿宋" w:eastAsia="仿宋" w:cs="仿宋"/>
          <w:spacing w:val="14"/>
          <w:kern w:val="0"/>
          <w:sz w:val="24"/>
          <w:szCs w:val="24"/>
          <w:lang w:val="zh-CN"/>
        </w:rPr>
        <w:t>（应明显标画出对应的产品型号）</w:t>
      </w:r>
    </w:p>
    <w:p w14:paraId="050669F6">
      <w:pPr>
        <w:widowControl/>
        <w:jc w:val="left"/>
        <w:outlineLvl w:val="9"/>
        <w:rPr>
          <w:rFonts w:hint="eastAsia" w:ascii="仿宋" w:hAnsi="仿宋" w:eastAsia="仿宋" w:cs="仿宋"/>
          <w:bCs/>
          <w:sz w:val="24"/>
          <w:szCs w:val="24"/>
        </w:rPr>
      </w:pPr>
    </w:p>
    <w:p w14:paraId="10BFDB28">
      <w:pPr>
        <w:widowControl/>
        <w:jc w:val="left"/>
        <w:outlineLvl w:val="1"/>
        <w:rPr>
          <w:rFonts w:hint="eastAsia" w:ascii="仿宋" w:hAnsi="仿宋" w:eastAsia="仿宋" w:cs="仿宋"/>
          <w:kern w:val="0"/>
          <w:sz w:val="24"/>
          <w:szCs w:val="24"/>
          <w:lang w:eastAsia="en-US"/>
        </w:rPr>
        <w:sectPr>
          <w:pgSz w:w="11906" w:h="16838"/>
          <w:pgMar w:top="1418" w:right="1247" w:bottom="1418" w:left="1418" w:header="680" w:footer="680" w:gutter="0"/>
          <w:pgBorders>
            <w:top w:val="none" w:sz="0" w:space="0"/>
            <w:left w:val="none" w:sz="0" w:space="0"/>
            <w:bottom w:val="none" w:sz="0" w:space="0"/>
            <w:right w:val="none" w:sz="0" w:space="0"/>
          </w:pgBorders>
          <w:cols w:space="720" w:num="1"/>
          <w:docGrid w:type="linesAndChars" w:linePitch="466" w:charSpace="-6394"/>
        </w:sectPr>
      </w:pPr>
      <w:bookmarkStart w:id="317" w:name="_Toc19929"/>
      <w:r>
        <w:rPr>
          <w:rFonts w:hint="eastAsia" w:ascii="仿宋" w:hAnsi="仿宋" w:eastAsia="仿宋" w:cs="仿宋"/>
          <w:bCs/>
          <w:sz w:val="24"/>
          <w:szCs w:val="24"/>
        </w:rPr>
        <w:t>2、投标产品的《中国环境标志产品认证证书》</w:t>
      </w:r>
      <w:r>
        <w:rPr>
          <w:rFonts w:hint="eastAsia" w:ascii="仿宋" w:hAnsi="仿宋" w:eastAsia="仿宋" w:cs="仿宋"/>
          <w:spacing w:val="14"/>
          <w:sz w:val="24"/>
          <w:szCs w:val="24"/>
        </w:rPr>
        <w:t>（应明显标画出对应的产品型号）</w:t>
      </w:r>
      <w:bookmarkEnd w:id="317"/>
    </w:p>
    <w:p w14:paraId="7D15F644">
      <w:pPr>
        <w:widowControl/>
        <w:jc w:val="left"/>
        <w:outlineLvl w:val="1"/>
        <w:rPr>
          <w:rFonts w:hint="eastAsia" w:ascii="仿宋" w:hAnsi="仿宋" w:eastAsia="仿宋" w:cs="仿宋"/>
          <w:b/>
          <w:kern w:val="0"/>
          <w:sz w:val="28"/>
          <w:szCs w:val="24"/>
          <w:lang w:eastAsia="en-US"/>
        </w:rPr>
      </w:pPr>
      <w:bookmarkStart w:id="318" w:name="_Toc7862"/>
      <w:r>
        <w:rPr>
          <w:rFonts w:hint="eastAsia" w:ascii="仿宋" w:hAnsi="仿宋" w:eastAsia="仿宋" w:cs="仿宋"/>
          <w:b/>
          <w:kern w:val="0"/>
          <w:sz w:val="28"/>
          <w:szCs w:val="24"/>
          <w:lang w:eastAsia="en-US"/>
        </w:rPr>
        <w:t>附件10:实质性技术要求的支持资料</w:t>
      </w:r>
    </w:p>
    <w:p w14:paraId="716FE185">
      <w:pPr>
        <w:widowControl/>
        <w:jc w:val="center"/>
        <w:outlineLvl w:val="1"/>
        <w:rPr>
          <w:rFonts w:hint="eastAsia" w:ascii="仿宋" w:hAnsi="仿宋" w:eastAsia="仿宋" w:cs="仿宋"/>
          <w:bCs/>
          <w:kern w:val="0"/>
          <w:sz w:val="24"/>
          <w:szCs w:val="22"/>
          <w:lang w:eastAsia="en-US"/>
        </w:rPr>
      </w:pPr>
      <w:bookmarkStart w:id="319" w:name="_Toc256000393"/>
      <w:bookmarkStart w:id="320" w:name="_Toc27363"/>
      <w:r>
        <w:rPr>
          <w:rFonts w:hint="eastAsia" w:ascii="仿宋" w:hAnsi="仿宋" w:eastAsia="仿宋" w:cs="仿宋"/>
          <w:bCs/>
          <w:kern w:val="0"/>
          <w:sz w:val="24"/>
          <w:szCs w:val="22"/>
          <w:lang w:eastAsia="en-US"/>
        </w:rPr>
        <w:t>技术要求的支持资料</w:t>
      </w:r>
      <w:bookmarkEnd w:id="319"/>
      <w:bookmarkEnd w:id="320"/>
    </w:p>
    <w:p w14:paraId="6894CB1F">
      <w:pPr>
        <w:widowControl/>
        <w:rPr>
          <w:rFonts w:hint="eastAsia" w:ascii="仿宋" w:hAnsi="仿宋" w:eastAsia="仿宋" w:cs="仿宋"/>
          <w:kern w:val="0"/>
          <w:szCs w:val="21"/>
        </w:rPr>
      </w:pPr>
    </w:p>
    <w:p w14:paraId="413017BE">
      <w:pPr>
        <w:widowControl/>
        <w:jc w:val="center"/>
        <w:rPr>
          <w:rFonts w:hint="eastAsia" w:ascii="仿宋" w:hAnsi="仿宋" w:eastAsia="仿宋" w:cs="仿宋"/>
          <w:kern w:val="0"/>
          <w:szCs w:val="21"/>
        </w:rPr>
      </w:pPr>
    </w:p>
    <w:p w14:paraId="7C66A011">
      <w:pPr>
        <w:rPr>
          <w:rFonts w:hint="eastAsia" w:ascii="仿宋" w:hAnsi="仿宋" w:eastAsia="仿宋" w:cs="仿宋"/>
          <w:kern w:val="0"/>
          <w:sz w:val="24"/>
          <w:szCs w:val="20"/>
        </w:rPr>
      </w:pPr>
    </w:p>
    <w:p w14:paraId="4F228D25">
      <w:pPr>
        <w:widowControl/>
        <w:rPr>
          <w:rFonts w:hint="eastAsia" w:ascii="仿宋" w:hAnsi="仿宋" w:eastAsia="仿宋" w:cs="仿宋"/>
          <w:kern w:val="0"/>
          <w:szCs w:val="21"/>
        </w:rPr>
      </w:pPr>
    </w:p>
    <w:p w14:paraId="6633AFE7">
      <w:pPr>
        <w:widowControl/>
        <w:rPr>
          <w:rFonts w:hint="eastAsia" w:ascii="仿宋" w:hAnsi="仿宋" w:eastAsia="仿宋" w:cs="仿宋"/>
          <w:kern w:val="0"/>
          <w:szCs w:val="21"/>
        </w:rPr>
      </w:pPr>
    </w:p>
    <w:p w14:paraId="67FACB84">
      <w:pPr>
        <w:widowControl/>
        <w:rPr>
          <w:rFonts w:hint="eastAsia" w:ascii="仿宋" w:hAnsi="仿宋" w:eastAsia="仿宋" w:cs="仿宋"/>
          <w:kern w:val="0"/>
          <w:szCs w:val="21"/>
        </w:rPr>
      </w:pPr>
    </w:p>
    <w:p w14:paraId="7B8C3E7A">
      <w:pPr>
        <w:widowControl/>
        <w:rPr>
          <w:rFonts w:hint="eastAsia" w:ascii="仿宋" w:hAnsi="仿宋" w:eastAsia="仿宋" w:cs="仿宋"/>
          <w:kern w:val="0"/>
          <w:szCs w:val="21"/>
        </w:rPr>
      </w:pPr>
    </w:p>
    <w:p w14:paraId="162070E6">
      <w:pPr>
        <w:widowControl/>
        <w:rPr>
          <w:rFonts w:hint="eastAsia" w:ascii="仿宋" w:hAnsi="仿宋" w:eastAsia="仿宋" w:cs="仿宋"/>
          <w:kern w:val="0"/>
          <w:szCs w:val="21"/>
        </w:rPr>
      </w:pPr>
    </w:p>
    <w:p w14:paraId="6E0A610E">
      <w:pPr>
        <w:widowControl/>
        <w:rPr>
          <w:rFonts w:hint="eastAsia" w:ascii="仿宋" w:hAnsi="仿宋" w:eastAsia="仿宋" w:cs="仿宋"/>
          <w:kern w:val="0"/>
          <w:szCs w:val="21"/>
        </w:rPr>
      </w:pPr>
      <w:r>
        <w:rPr>
          <w:rFonts w:hint="eastAsia" w:ascii="仿宋" w:hAnsi="仿宋" w:eastAsia="仿宋" w:cs="仿宋"/>
          <w:kern w:val="0"/>
          <w:szCs w:val="21"/>
        </w:rPr>
        <w:t>注：在</w:t>
      </w:r>
      <w:r>
        <w:rPr>
          <w:rFonts w:hint="eastAsia" w:ascii="仿宋" w:hAnsi="仿宋" w:eastAsia="仿宋" w:cs="仿宋"/>
          <w:kern w:val="0"/>
          <w:szCs w:val="21"/>
          <w:lang w:eastAsia="zh-CN"/>
        </w:rPr>
        <w:t>响应</w:t>
      </w:r>
      <w:r>
        <w:rPr>
          <w:rFonts w:hint="eastAsia" w:ascii="仿宋" w:hAnsi="仿宋" w:eastAsia="仿宋" w:cs="仿宋"/>
          <w:kern w:val="0"/>
          <w:szCs w:val="21"/>
        </w:rPr>
        <w:t>文件中附扫描件</w:t>
      </w:r>
    </w:p>
    <w:p w14:paraId="3628016D">
      <w:pPr>
        <w:widowControl/>
        <w:jc w:val="left"/>
        <w:outlineLvl w:val="1"/>
        <w:rPr>
          <w:rFonts w:hint="eastAsia" w:ascii="仿宋" w:hAnsi="仿宋" w:eastAsia="仿宋" w:cs="仿宋"/>
          <w:b/>
          <w:kern w:val="0"/>
          <w:sz w:val="28"/>
          <w:szCs w:val="24"/>
          <w:lang w:eastAsia="en-US"/>
        </w:rPr>
        <w:sectPr>
          <w:pgSz w:w="11906" w:h="16838"/>
          <w:pgMar w:top="1418" w:right="1247" w:bottom="1418" w:left="1418" w:header="680" w:footer="680" w:gutter="0"/>
          <w:pgBorders>
            <w:top w:val="none" w:sz="0" w:space="0"/>
            <w:left w:val="none" w:sz="0" w:space="0"/>
            <w:bottom w:val="none" w:sz="0" w:space="0"/>
            <w:right w:val="none" w:sz="0" w:space="0"/>
          </w:pgBorders>
          <w:cols w:space="720" w:num="1"/>
          <w:docGrid w:type="linesAndChars" w:linePitch="466" w:charSpace="-6394"/>
        </w:sectPr>
      </w:pPr>
    </w:p>
    <w:p w14:paraId="1B11B4F1">
      <w:pPr>
        <w:widowControl/>
        <w:jc w:val="left"/>
        <w:outlineLvl w:val="1"/>
        <w:rPr>
          <w:rFonts w:hint="eastAsia" w:ascii="仿宋" w:hAnsi="仿宋" w:eastAsia="仿宋" w:cs="仿宋"/>
          <w:b/>
          <w:kern w:val="0"/>
          <w:sz w:val="28"/>
          <w:szCs w:val="24"/>
          <w:lang w:eastAsia="en-US"/>
        </w:rPr>
      </w:pPr>
      <w:r>
        <w:rPr>
          <w:rFonts w:hint="eastAsia" w:ascii="仿宋" w:hAnsi="仿宋" w:eastAsia="仿宋" w:cs="仿宋"/>
          <w:b/>
          <w:kern w:val="0"/>
          <w:sz w:val="28"/>
          <w:szCs w:val="24"/>
          <w:lang w:eastAsia="en-US"/>
        </w:rPr>
        <w:t>附件</w:t>
      </w:r>
      <w:r>
        <w:rPr>
          <w:rFonts w:hint="eastAsia" w:ascii="仿宋" w:hAnsi="仿宋" w:eastAsia="仿宋" w:cs="仿宋"/>
          <w:b/>
          <w:kern w:val="0"/>
          <w:sz w:val="28"/>
          <w:szCs w:val="24"/>
          <w:lang w:val="en-US" w:eastAsia="zh-CN"/>
        </w:rPr>
        <w:t>11：</w:t>
      </w:r>
      <w:r>
        <w:rPr>
          <w:rFonts w:hint="eastAsia" w:ascii="仿宋" w:hAnsi="仿宋" w:eastAsia="仿宋" w:cs="仿宋"/>
          <w:b/>
          <w:kern w:val="0"/>
          <w:sz w:val="28"/>
          <w:szCs w:val="24"/>
          <w:lang w:eastAsia="en-US"/>
        </w:rPr>
        <w:t>项目实施方案</w:t>
      </w:r>
      <w:bookmarkEnd w:id="318"/>
    </w:p>
    <w:p w14:paraId="14AE8AAB">
      <w:pPr>
        <w:jc w:val="center"/>
        <w:rPr>
          <w:rFonts w:ascii="仿宋" w:hAnsi="仿宋" w:eastAsia="仿宋"/>
          <w:bCs/>
          <w:color w:val="000000"/>
          <w:spacing w:val="10"/>
          <w:kern w:val="0"/>
          <w:sz w:val="20"/>
          <w:szCs w:val="20"/>
        </w:rPr>
      </w:pPr>
    </w:p>
    <w:p w14:paraId="58F2DABC">
      <w:pPr>
        <w:jc w:val="center"/>
        <w:rPr>
          <w:rFonts w:ascii="仿宋" w:hAnsi="仿宋" w:eastAsia="仿宋"/>
          <w:bCs/>
          <w:color w:val="000000"/>
          <w:spacing w:val="10"/>
          <w:kern w:val="0"/>
          <w:sz w:val="24"/>
          <w:szCs w:val="24"/>
        </w:rPr>
      </w:pPr>
      <w:r>
        <w:rPr>
          <w:rFonts w:hint="eastAsia" w:ascii="仿宋" w:hAnsi="仿宋" w:eastAsia="仿宋"/>
          <w:bCs/>
          <w:color w:val="000000"/>
          <w:spacing w:val="10"/>
          <w:kern w:val="0"/>
          <w:sz w:val="24"/>
          <w:szCs w:val="24"/>
        </w:rPr>
        <w:t>项目实施方案</w:t>
      </w:r>
    </w:p>
    <w:p w14:paraId="4E073927">
      <w:pPr>
        <w:jc w:val="center"/>
        <w:rPr>
          <w:rFonts w:ascii="仿宋" w:hAnsi="仿宋" w:eastAsia="仿宋"/>
          <w:bCs/>
          <w:color w:val="000000"/>
          <w:spacing w:val="10"/>
          <w:kern w:val="0"/>
          <w:sz w:val="24"/>
          <w:szCs w:val="24"/>
        </w:rPr>
      </w:pPr>
    </w:p>
    <w:p w14:paraId="1763C4D4">
      <w:pPr>
        <w:ind w:firstLine="418" w:firstLineChars="200"/>
        <w:jc w:val="left"/>
        <w:rPr>
          <w:rFonts w:hint="eastAsia" w:ascii="仿宋" w:hAnsi="仿宋" w:eastAsia="仿宋" w:cs="仿宋"/>
          <w:sz w:val="24"/>
          <w:szCs w:val="24"/>
        </w:rPr>
      </w:pPr>
      <w:r>
        <w:rPr>
          <w:rFonts w:hint="eastAsia" w:ascii="仿宋" w:hAnsi="仿宋" w:eastAsia="仿宋" w:cs="仿宋"/>
          <w:sz w:val="24"/>
          <w:szCs w:val="24"/>
        </w:rPr>
        <w:t>投标人根据招标项目要求及自身情况自行填报。</w:t>
      </w:r>
    </w:p>
    <w:p w14:paraId="73FB97C2">
      <w:pPr>
        <w:wordWrap w:val="0"/>
        <w:ind w:firstLine="418" w:firstLineChars="200"/>
        <w:jc w:val="left"/>
        <w:rPr>
          <w:rFonts w:hint="eastAsia" w:ascii="仿宋" w:hAnsi="仿宋" w:eastAsia="仿宋" w:cs="仿宋"/>
          <w:sz w:val="24"/>
          <w:szCs w:val="24"/>
        </w:rPr>
      </w:pPr>
      <w:r>
        <w:rPr>
          <w:rFonts w:hint="eastAsia" w:ascii="仿宋" w:hAnsi="仿宋" w:eastAsia="仿宋" w:cs="仿宋"/>
          <w:sz w:val="24"/>
          <w:szCs w:val="24"/>
        </w:rPr>
        <w:t>如本项目为暗标，则投标人需要严格按照暗标规则填报，具体的暗标规则详见：https://lyggzyjy.ly.gov.cn/bszn/005002/005002001/20240725/be3be1b7-8ffc-4ee1-aa3f-f82f3b5cc33b.html。</w:t>
      </w:r>
    </w:p>
    <w:p w14:paraId="110C54BD">
      <w:pPr>
        <w:pStyle w:val="110"/>
        <w:rPr>
          <w:rFonts w:hint="eastAsia" w:ascii="仿宋" w:hAnsi="仿宋" w:eastAsia="仿宋" w:cs="仿宋"/>
          <w:bCs/>
          <w:spacing w:val="10"/>
          <w:kern w:val="0"/>
          <w:sz w:val="24"/>
          <w:szCs w:val="24"/>
        </w:rPr>
      </w:pPr>
    </w:p>
    <w:p w14:paraId="2B445892">
      <w:pPr>
        <w:pStyle w:val="110"/>
        <w:rPr>
          <w:rFonts w:hint="eastAsia" w:ascii="仿宋" w:hAnsi="仿宋" w:eastAsia="仿宋" w:cs="仿宋"/>
          <w:bCs/>
          <w:spacing w:val="10"/>
          <w:kern w:val="0"/>
          <w:sz w:val="24"/>
          <w:szCs w:val="24"/>
        </w:rPr>
      </w:pPr>
    </w:p>
    <w:p w14:paraId="715FD15D">
      <w:pPr>
        <w:pStyle w:val="111"/>
        <w:outlineLvl w:val="2"/>
        <w:rPr>
          <w:rFonts w:ascii="Times New Roman" w:hAnsi="Times New Roman" w:eastAsia="Times New Roman"/>
          <w:kern w:val="0"/>
          <w:sz w:val="24"/>
          <w:szCs w:val="24"/>
          <w:lang w:eastAsia="en-US"/>
        </w:rPr>
        <w:sectPr>
          <w:pgSz w:w="11906" w:h="16838"/>
          <w:pgMar w:top="1418" w:right="1247" w:bottom="1418" w:left="1418" w:header="680" w:footer="680" w:gutter="0"/>
          <w:pgBorders>
            <w:top w:val="none" w:sz="0" w:space="0"/>
            <w:left w:val="none" w:sz="0" w:space="0"/>
            <w:bottom w:val="none" w:sz="0" w:space="0"/>
            <w:right w:val="none" w:sz="0" w:space="0"/>
          </w:pgBorders>
          <w:cols w:space="720" w:num="1"/>
          <w:docGrid w:type="linesAndChars" w:linePitch="466" w:charSpace="-6394"/>
        </w:sectPr>
      </w:pPr>
    </w:p>
    <w:p w14:paraId="36D1A07B">
      <w:pPr>
        <w:widowControl/>
        <w:jc w:val="left"/>
        <w:outlineLvl w:val="1"/>
        <w:rPr>
          <w:rFonts w:hint="eastAsia" w:ascii="仿宋" w:hAnsi="仿宋" w:eastAsia="仿宋" w:cs="仿宋"/>
          <w:b/>
          <w:kern w:val="0"/>
          <w:sz w:val="28"/>
          <w:szCs w:val="24"/>
          <w:lang w:eastAsia="en-US"/>
        </w:rPr>
      </w:pPr>
      <w:bookmarkStart w:id="321" w:name="_Toc18781"/>
      <w:r>
        <w:rPr>
          <w:rFonts w:hint="eastAsia" w:ascii="仿宋" w:hAnsi="仿宋" w:eastAsia="仿宋" w:cs="仿宋"/>
          <w:b/>
          <w:kern w:val="0"/>
          <w:sz w:val="28"/>
          <w:szCs w:val="24"/>
          <w:lang w:eastAsia="en-US"/>
        </w:rPr>
        <w:t>附件</w:t>
      </w:r>
      <w:r>
        <w:rPr>
          <w:rFonts w:hint="eastAsia" w:ascii="仿宋" w:hAnsi="仿宋" w:eastAsia="仿宋" w:cs="仿宋"/>
          <w:b/>
          <w:kern w:val="0"/>
          <w:sz w:val="28"/>
          <w:szCs w:val="24"/>
          <w:lang w:val="en-US" w:eastAsia="zh-CN"/>
        </w:rPr>
        <w:t>12</w:t>
      </w:r>
      <w:r>
        <w:rPr>
          <w:rFonts w:hint="eastAsia" w:ascii="仿宋" w:hAnsi="仿宋" w:eastAsia="仿宋" w:cs="仿宋"/>
          <w:b/>
          <w:kern w:val="0"/>
          <w:sz w:val="28"/>
          <w:szCs w:val="24"/>
          <w:lang w:eastAsia="en-US"/>
        </w:rPr>
        <w:t>:其他需要提供的资料</w:t>
      </w:r>
      <w:bookmarkEnd w:id="321"/>
    </w:p>
    <w:p w14:paraId="5E62D14B">
      <w:pPr>
        <w:jc w:val="center"/>
        <w:rPr>
          <w:rFonts w:hint="eastAsia" w:ascii="仿宋" w:hAnsi="仿宋" w:eastAsia="仿宋"/>
          <w:bCs/>
          <w:spacing w:val="10"/>
          <w:kern w:val="0"/>
          <w:sz w:val="24"/>
          <w:szCs w:val="24"/>
        </w:rPr>
      </w:pPr>
      <w:r>
        <w:rPr>
          <w:rFonts w:hint="eastAsia" w:ascii="仿宋" w:hAnsi="仿宋" w:eastAsia="仿宋"/>
          <w:bCs/>
          <w:spacing w:val="10"/>
          <w:kern w:val="0"/>
          <w:sz w:val="24"/>
          <w:szCs w:val="24"/>
        </w:rPr>
        <w:t>其他需要提供的资料</w:t>
      </w:r>
    </w:p>
    <w:p w14:paraId="74483C9C">
      <w:pPr>
        <w:jc w:val="center"/>
        <w:rPr>
          <w:rFonts w:ascii="仿宋" w:hAnsi="仿宋" w:eastAsia="仿宋"/>
          <w:bCs/>
          <w:spacing w:val="10"/>
          <w:kern w:val="0"/>
          <w:sz w:val="24"/>
          <w:szCs w:val="24"/>
        </w:rPr>
      </w:pPr>
    </w:p>
    <w:p w14:paraId="6469144C">
      <w:pPr>
        <w:rPr>
          <w:rFonts w:hint="eastAsia" w:ascii="仿宋" w:hAnsi="仿宋" w:eastAsia="仿宋" w:cs="宋体"/>
          <w:sz w:val="24"/>
          <w:szCs w:val="24"/>
        </w:rPr>
      </w:pPr>
      <w:r>
        <w:rPr>
          <w:rFonts w:hint="eastAsia" w:ascii="仿宋" w:hAnsi="仿宋" w:eastAsia="仿宋" w:cs="宋体"/>
          <w:bCs/>
          <w:spacing w:val="10"/>
          <w:sz w:val="24"/>
          <w:szCs w:val="24"/>
        </w:rPr>
        <w:t>供应商根据采购项目要求及自身情况自行填报。</w:t>
      </w:r>
    </w:p>
    <w:p w14:paraId="2D992C91">
      <w:pPr>
        <w:rPr>
          <w:rFonts w:ascii="仿宋" w:hAnsi="仿宋" w:eastAsia="仿宋"/>
          <w:kern w:val="0"/>
          <w:szCs w:val="21"/>
        </w:rPr>
      </w:pPr>
    </w:p>
    <w:p w14:paraId="1B1FEFD0">
      <w:pPr>
        <w:rPr>
          <w:rFonts w:hint="eastAsia" w:ascii="仿宋" w:hAnsi="仿宋" w:eastAsia="仿宋"/>
          <w:kern w:val="0"/>
          <w:szCs w:val="21"/>
        </w:rPr>
      </w:pPr>
    </w:p>
    <w:p w14:paraId="5987E1E8">
      <w:pPr>
        <w:widowControl/>
        <w:jc w:val="left"/>
        <w:outlineLvl w:val="1"/>
        <w:rPr>
          <w:rFonts w:hint="eastAsia" w:ascii="仿宋" w:hAnsi="仿宋" w:eastAsia="仿宋" w:cs="仿宋"/>
          <w:b/>
          <w:kern w:val="0"/>
          <w:sz w:val="28"/>
          <w:szCs w:val="24"/>
          <w:lang w:eastAsia="en-US"/>
        </w:rPr>
      </w:pPr>
      <w:r>
        <w:rPr>
          <w:rFonts w:ascii="Times New Roman" w:hAnsi="Times New Roman" w:eastAsia="Times New Roman"/>
          <w:kern w:val="0"/>
          <w:sz w:val="24"/>
          <w:szCs w:val="24"/>
          <w:lang w:eastAsia="en-US"/>
        </w:rPr>
        <w:br w:type="page"/>
      </w:r>
      <w:bookmarkStart w:id="322" w:name="_Toc17725"/>
      <w:r>
        <w:rPr>
          <w:rFonts w:hint="eastAsia" w:ascii="仿宋" w:hAnsi="仿宋" w:eastAsia="仿宋" w:cs="仿宋"/>
          <w:b/>
          <w:kern w:val="0"/>
          <w:sz w:val="28"/>
          <w:szCs w:val="24"/>
          <w:lang w:eastAsia="en-US"/>
        </w:rPr>
        <w:t>附件</w:t>
      </w:r>
      <w:r>
        <w:rPr>
          <w:rFonts w:hint="eastAsia" w:ascii="仿宋" w:hAnsi="仿宋" w:eastAsia="仿宋" w:cs="仿宋"/>
          <w:b/>
          <w:kern w:val="0"/>
          <w:sz w:val="28"/>
          <w:szCs w:val="24"/>
          <w:lang w:val="en-US" w:eastAsia="zh-CN"/>
        </w:rPr>
        <w:t>13</w:t>
      </w:r>
      <w:r>
        <w:rPr>
          <w:rFonts w:hint="eastAsia" w:ascii="仿宋" w:hAnsi="仿宋" w:eastAsia="仿宋" w:cs="仿宋"/>
          <w:b/>
          <w:kern w:val="0"/>
          <w:sz w:val="28"/>
          <w:szCs w:val="24"/>
          <w:lang w:eastAsia="en-US"/>
        </w:rPr>
        <w:t>:参与评审打分的合同业绩一览表</w:t>
      </w:r>
      <w:bookmarkEnd w:id="322"/>
    </w:p>
    <w:p w14:paraId="59972DB5">
      <w:pPr>
        <w:widowControl/>
        <w:ind w:firstLine="0"/>
        <w:jc w:val="center"/>
        <w:rPr>
          <w:rFonts w:hint="eastAsia" w:ascii="仿宋" w:hAnsi="仿宋" w:eastAsia="仿宋" w:cs="仿宋"/>
          <w:kern w:val="0"/>
          <w:sz w:val="24"/>
          <w:szCs w:val="24"/>
        </w:rPr>
      </w:pPr>
      <w:r>
        <w:rPr>
          <w:rFonts w:hint="eastAsia" w:ascii="仿宋" w:hAnsi="仿宋" w:eastAsia="仿宋" w:cs="仿宋"/>
          <w:kern w:val="0"/>
          <w:sz w:val="24"/>
          <w:szCs w:val="24"/>
        </w:rPr>
        <w:t>参与评审打分的合同业绩一览表</w:t>
      </w:r>
    </w:p>
    <w:p w14:paraId="31F3D1A6">
      <w:pPr>
        <w:widowControl/>
        <w:ind w:firstLine="0"/>
        <w:jc w:val="center"/>
        <w:rPr>
          <w:rFonts w:hint="eastAsia" w:ascii="仿宋" w:hAnsi="仿宋" w:eastAsia="仿宋" w:cs="仿宋"/>
          <w:kern w:val="0"/>
          <w:sz w:val="24"/>
          <w:szCs w:val="24"/>
        </w:rPr>
      </w:pPr>
      <w:r>
        <w:rPr>
          <w:rFonts w:hint="eastAsia" w:ascii="仿宋" w:hAnsi="仿宋" w:eastAsia="仿宋" w:cs="仿宋"/>
          <w:kern w:val="0"/>
          <w:sz w:val="24"/>
          <w:szCs w:val="24"/>
        </w:rPr>
        <w:t xml:space="preserve"> </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2339"/>
        <w:gridCol w:w="2552"/>
        <w:gridCol w:w="2126"/>
        <w:gridCol w:w="1255"/>
      </w:tblGrid>
      <w:tr w14:paraId="5E496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5C853B1F">
            <w:pPr>
              <w:widowControl/>
              <w:ind w:firstLine="0"/>
              <w:jc w:val="both"/>
              <w:rPr>
                <w:rFonts w:hint="eastAsia" w:ascii="仿宋" w:hAnsi="仿宋" w:eastAsia="仿宋" w:cs="仿宋"/>
                <w:bCs/>
                <w:kern w:val="0"/>
                <w:sz w:val="24"/>
                <w:szCs w:val="24"/>
                <w:lang w:val="en-US" w:eastAsia="zh-CN" w:bidi="ar-SA"/>
              </w:rPr>
            </w:pPr>
            <w:r>
              <w:rPr>
                <w:rFonts w:hint="eastAsia" w:ascii="仿宋" w:hAnsi="仿宋" w:eastAsia="仿宋" w:cs="仿宋"/>
                <w:bCs/>
                <w:kern w:val="0"/>
                <w:sz w:val="24"/>
                <w:szCs w:val="24"/>
                <w:lang w:val="en-US" w:eastAsia="zh-CN" w:bidi="ar-SA"/>
              </w:rPr>
              <w:t>序号</w:t>
            </w:r>
          </w:p>
        </w:tc>
        <w:tc>
          <w:tcPr>
            <w:tcW w:w="2339" w:type="dxa"/>
            <w:tcBorders>
              <w:top w:val="single" w:color="auto" w:sz="4" w:space="0"/>
              <w:left w:val="single" w:color="auto" w:sz="4" w:space="0"/>
              <w:bottom w:val="single" w:color="auto" w:sz="4" w:space="0"/>
              <w:right w:val="single" w:color="auto" w:sz="4" w:space="0"/>
            </w:tcBorders>
            <w:noWrap w:val="0"/>
            <w:vAlign w:val="center"/>
          </w:tcPr>
          <w:p w14:paraId="0560EA31">
            <w:pPr>
              <w:widowControl/>
              <w:ind w:firstLine="0"/>
              <w:jc w:val="both"/>
              <w:rPr>
                <w:rFonts w:hint="eastAsia" w:ascii="仿宋" w:hAnsi="仿宋" w:eastAsia="仿宋" w:cs="仿宋"/>
                <w:bCs/>
                <w:kern w:val="0"/>
                <w:sz w:val="24"/>
                <w:szCs w:val="24"/>
                <w:lang w:val="en-US" w:eastAsia="zh-CN" w:bidi="ar-SA"/>
              </w:rPr>
            </w:pPr>
            <w:r>
              <w:rPr>
                <w:rFonts w:hint="eastAsia" w:ascii="仿宋" w:hAnsi="仿宋" w:eastAsia="仿宋" w:cs="仿宋"/>
                <w:bCs/>
                <w:kern w:val="0"/>
                <w:sz w:val="24"/>
                <w:szCs w:val="24"/>
                <w:lang w:val="en-US" w:eastAsia="zh-CN" w:bidi="ar-SA"/>
              </w:rPr>
              <w:t>项目名称</w:t>
            </w:r>
          </w:p>
        </w:tc>
        <w:tc>
          <w:tcPr>
            <w:tcW w:w="2552" w:type="dxa"/>
            <w:tcBorders>
              <w:top w:val="single" w:color="auto" w:sz="4" w:space="0"/>
              <w:left w:val="single" w:color="auto" w:sz="4" w:space="0"/>
              <w:bottom w:val="single" w:color="auto" w:sz="4" w:space="0"/>
              <w:right w:val="single" w:color="auto" w:sz="4" w:space="0"/>
            </w:tcBorders>
            <w:noWrap w:val="0"/>
            <w:vAlign w:val="center"/>
          </w:tcPr>
          <w:p w14:paraId="2260C76E">
            <w:pPr>
              <w:widowControl/>
              <w:ind w:firstLine="0"/>
              <w:jc w:val="both"/>
              <w:rPr>
                <w:rFonts w:hint="eastAsia" w:ascii="仿宋" w:hAnsi="仿宋" w:eastAsia="仿宋" w:cs="仿宋"/>
                <w:bCs/>
                <w:kern w:val="0"/>
                <w:sz w:val="24"/>
                <w:szCs w:val="24"/>
                <w:lang w:val="en-US" w:eastAsia="zh-CN" w:bidi="ar-SA"/>
              </w:rPr>
            </w:pPr>
            <w:r>
              <w:rPr>
                <w:rFonts w:hint="eastAsia" w:ascii="仿宋" w:hAnsi="仿宋" w:eastAsia="仿宋" w:cs="仿宋"/>
                <w:bCs/>
                <w:kern w:val="0"/>
                <w:sz w:val="24"/>
                <w:szCs w:val="24"/>
                <w:lang w:val="en-US" w:eastAsia="zh-CN" w:bidi="ar-SA"/>
              </w:rPr>
              <w:t>采购单位（甲方）名称</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5DF449A5">
            <w:pPr>
              <w:widowControl/>
              <w:ind w:firstLine="0"/>
              <w:jc w:val="both"/>
              <w:rPr>
                <w:rFonts w:hint="eastAsia" w:ascii="仿宋" w:hAnsi="仿宋" w:eastAsia="仿宋" w:cs="仿宋"/>
                <w:bCs/>
                <w:kern w:val="0"/>
                <w:sz w:val="24"/>
                <w:szCs w:val="24"/>
                <w:lang w:val="en-US" w:eastAsia="zh-CN" w:bidi="ar-SA"/>
              </w:rPr>
            </w:pPr>
            <w:r>
              <w:rPr>
                <w:rFonts w:hint="eastAsia" w:ascii="仿宋" w:hAnsi="仿宋" w:eastAsia="仿宋" w:cs="仿宋"/>
                <w:bCs/>
                <w:kern w:val="0"/>
                <w:sz w:val="24"/>
                <w:szCs w:val="24"/>
                <w:lang w:val="en-US" w:eastAsia="zh-CN" w:bidi="ar-SA"/>
              </w:rPr>
              <w:t>合同金额（元）</w:t>
            </w:r>
          </w:p>
        </w:tc>
        <w:tc>
          <w:tcPr>
            <w:tcW w:w="1255" w:type="dxa"/>
            <w:tcBorders>
              <w:top w:val="single" w:color="auto" w:sz="4" w:space="0"/>
              <w:left w:val="single" w:color="auto" w:sz="4" w:space="0"/>
              <w:bottom w:val="single" w:color="auto" w:sz="4" w:space="0"/>
              <w:right w:val="single" w:color="auto" w:sz="4" w:space="0"/>
            </w:tcBorders>
            <w:noWrap w:val="0"/>
            <w:vAlign w:val="center"/>
          </w:tcPr>
          <w:p w14:paraId="2E5D0F12">
            <w:pPr>
              <w:widowControl/>
              <w:ind w:firstLine="0"/>
              <w:jc w:val="both"/>
              <w:rPr>
                <w:rFonts w:hint="eastAsia" w:ascii="仿宋" w:hAnsi="仿宋" w:eastAsia="仿宋" w:cs="仿宋"/>
                <w:bCs/>
                <w:kern w:val="0"/>
                <w:sz w:val="24"/>
                <w:szCs w:val="24"/>
                <w:lang w:val="en-US" w:eastAsia="zh-CN" w:bidi="ar-SA"/>
              </w:rPr>
            </w:pPr>
            <w:r>
              <w:rPr>
                <w:rFonts w:hint="eastAsia" w:ascii="仿宋" w:hAnsi="仿宋" w:eastAsia="仿宋" w:cs="仿宋"/>
                <w:bCs/>
                <w:kern w:val="0"/>
                <w:sz w:val="24"/>
                <w:szCs w:val="24"/>
                <w:lang w:val="en-US" w:eastAsia="zh-CN" w:bidi="ar-SA"/>
              </w:rPr>
              <w:t>签订时间</w:t>
            </w:r>
          </w:p>
        </w:tc>
      </w:tr>
      <w:tr w14:paraId="420D1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14534471">
            <w:pPr>
              <w:widowControl/>
              <w:ind w:firstLine="0"/>
              <w:jc w:val="center"/>
              <w:rPr>
                <w:rFonts w:hint="eastAsia" w:ascii="仿宋" w:hAnsi="仿宋" w:eastAsia="仿宋" w:cs="仿宋"/>
                <w:bCs/>
                <w:kern w:val="0"/>
                <w:sz w:val="24"/>
                <w:szCs w:val="24"/>
                <w:lang w:val="en-US" w:eastAsia="zh-CN" w:bidi="ar-SA"/>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252D8E24">
            <w:pPr>
              <w:widowControl/>
              <w:ind w:firstLine="0"/>
              <w:jc w:val="left"/>
              <w:rPr>
                <w:rFonts w:hint="eastAsia" w:ascii="仿宋" w:hAnsi="仿宋" w:eastAsia="仿宋" w:cs="仿宋"/>
                <w:bCs/>
                <w:kern w:val="0"/>
                <w:sz w:val="24"/>
                <w:szCs w:val="24"/>
                <w:lang w:val="en-US" w:eastAsia="zh-CN" w:bidi="ar-SA"/>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3BE04957">
            <w:pPr>
              <w:widowControl/>
              <w:ind w:firstLine="0"/>
              <w:jc w:val="left"/>
              <w:rPr>
                <w:rFonts w:hint="eastAsia" w:ascii="仿宋" w:hAnsi="仿宋" w:eastAsia="仿宋" w:cs="仿宋"/>
                <w:bCs/>
                <w:kern w:val="0"/>
                <w:sz w:val="24"/>
                <w:szCs w:val="24"/>
                <w:lang w:val="en-US" w:eastAsia="zh-CN" w:bidi="ar-SA"/>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14:paraId="3676D89E">
            <w:pPr>
              <w:widowControl/>
              <w:ind w:firstLine="0"/>
              <w:jc w:val="left"/>
              <w:rPr>
                <w:rFonts w:hint="eastAsia" w:ascii="仿宋" w:hAnsi="仿宋" w:eastAsia="仿宋" w:cs="仿宋"/>
                <w:bCs/>
                <w:kern w:val="0"/>
                <w:sz w:val="24"/>
                <w:szCs w:val="24"/>
                <w:lang w:val="en-US" w:eastAsia="zh-CN" w:bidi="ar-SA"/>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45DEDD3C">
            <w:pPr>
              <w:widowControl/>
              <w:ind w:firstLine="0"/>
              <w:jc w:val="left"/>
              <w:rPr>
                <w:rFonts w:hint="eastAsia" w:ascii="仿宋" w:hAnsi="仿宋" w:eastAsia="仿宋" w:cs="仿宋"/>
                <w:bCs/>
                <w:kern w:val="0"/>
                <w:sz w:val="24"/>
                <w:szCs w:val="24"/>
                <w:lang w:val="en-US" w:eastAsia="zh-CN" w:bidi="ar-SA"/>
              </w:rPr>
            </w:pPr>
          </w:p>
        </w:tc>
      </w:tr>
      <w:tr w14:paraId="46177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5299BB38">
            <w:pPr>
              <w:widowControl/>
              <w:ind w:firstLine="0"/>
              <w:jc w:val="center"/>
              <w:rPr>
                <w:rFonts w:hint="eastAsia" w:ascii="仿宋" w:hAnsi="仿宋" w:eastAsia="仿宋" w:cs="仿宋"/>
                <w:bCs/>
                <w:kern w:val="0"/>
                <w:sz w:val="24"/>
                <w:szCs w:val="24"/>
                <w:lang w:val="en-US" w:eastAsia="zh-CN" w:bidi="ar-SA"/>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1FF83F1E">
            <w:pPr>
              <w:widowControl/>
              <w:ind w:firstLine="0"/>
              <w:jc w:val="left"/>
              <w:rPr>
                <w:rFonts w:hint="eastAsia" w:ascii="仿宋" w:hAnsi="仿宋" w:eastAsia="仿宋" w:cs="仿宋"/>
                <w:bCs/>
                <w:kern w:val="0"/>
                <w:sz w:val="24"/>
                <w:szCs w:val="24"/>
                <w:lang w:val="en-US" w:eastAsia="zh-CN" w:bidi="ar-SA"/>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14A07834">
            <w:pPr>
              <w:widowControl/>
              <w:ind w:firstLine="0"/>
              <w:jc w:val="left"/>
              <w:rPr>
                <w:rFonts w:hint="eastAsia" w:ascii="仿宋" w:hAnsi="仿宋" w:eastAsia="仿宋" w:cs="仿宋"/>
                <w:bCs/>
                <w:kern w:val="0"/>
                <w:sz w:val="24"/>
                <w:szCs w:val="24"/>
                <w:lang w:val="en-US" w:eastAsia="zh-CN" w:bidi="ar-SA"/>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14:paraId="7072A0AB">
            <w:pPr>
              <w:widowControl/>
              <w:ind w:firstLine="0"/>
              <w:jc w:val="left"/>
              <w:rPr>
                <w:rFonts w:hint="eastAsia" w:ascii="仿宋" w:hAnsi="仿宋" w:eastAsia="仿宋" w:cs="仿宋"/>
                <w:bCs/>
                <w:kern w:val="0"/>
                <w:sz w:val="24"/>
                <w:szCs w:val="24"/>
                <w:lang w:val="en-US" w:eastAsia="zh-CN" w:bidi="ar-SA"/>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5322C80D">
            <w:pPr>
              <w:widowControl/>
              <w:ind w:firstLine="0"/>
              <w:jc w:val="left"/>
              <w:rPr>
                <w:rFonts w:hint="eastAsia" w:ascii="仿宋" w:hAnsi="仿宋" w:eastAsia="仿宋" w:cs="仿宋"/>
                <w:bCs/>
                <w:kern w:val="0"/>
                <w:sz w:val="24"/>
                <w:szCs w:val="24"/>
                <w:lang w:val="en-US" w:eastAsia="zh-CN" w:bidi="ar-SA"/>
              </w:rPr>
            </w:pPr>
          </w:p>
        </w:tc>
      </w:tr>
      <w:tr w14:paraId="77BF5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303457FD">
            <w:pPr>
              <w:widowControl/>
              <w:ind w:firstLine="0"/>
              <w:jc w:val="center"/>
              <w:rPr>
                <w:rFonts w:hint="eastAsia" w:ascii="仿宋" w:hAnsi="仿宋" w:eastAsia="仿宋" w:cs="仿宋"/>
                <w:bCs/>
                <w:kern w:val="0"/>
                <w:sz w:val="24"/>
                <w:szCs w:val="24"/>
                <w:lang w:val="en-US" w:eastAsia="zh-CN" w:bidi="ar-SA"/>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7DAFBF2E">
            <w:pPr>
              <w:widowControl/>
              <w:ind w:firstLine="0"/>
              <w:jc w:val="left"/>
              <w:rPr>
                <w:rFonts w:hint="eastAsia" w:ascii="仿宋" w:hAnsi="仿宋" w:eastAsia="仿宋" w:cs="仿宋"/>
                <w:bCs/>
                <w:kern w:val="0"/>
                <w:sz w:val="24"/>
                <w:szCs w:val="24"/>
                <w:lang w:val="en-US" w:eastAsia="zh-CN" w:bidi="ar-SA"/>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319D4777">
            <w:pPr>
              <w:widowControl/>
              <w:ind w:firstLine="0"/>
              <w:jc w:val="left"/>
              <w:rPr>
                <w:rFonts w:hint="eastAsia" w:ascii="仿宋" w:hAnsi="仿宋" w:eastAsia="仿宋" w:cs="仿宋"/>
                <w:bCs/>
                <w:kern w:val="0"/>
                <w:sz w:val="24"/>
                <w:szCs w:val="24"/>
                <w:lang w:val="en-US" w:eastAsia="zh-CN" w:bidi="ar-SA"/>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14:paraId="168526A9">
            <w:pPr>
              <w:widowControl/>
              <w:ind w:firstLine="0"/>
              <w:jc w:val="left"/>
              <w:rPr>
                <w:rFonts w:hint="eastAsia" w:ascii="仿宋" w:hAnsi="仿宋" w:eastAsia="仿宋" w:cs="仿宋"/>
                <w:bCs/>
                <w:kern w:val="0"/>
                <w:sz w:val="24"/>
                <w:szCs w:val="24"/>
                <w:lang w:val="en-US" w:eastAsia="zh-CN" w:bidi="ar-SA"/>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294AEF4D">
            <w:pPr>
              <w:widowControl/>
              <w:ind w:firstLine="0"/>
              <w:jc w:val="left"/>
              <w:rPr>
                <w:rFonts w:hint="eastAsia" w:ascii="仿宋" w:hAnsi="仿宋" w:eastAsia="仿宋" w:cs="仿宋"/>
                <w:bCs/>
                <w:kern w:val="0"/>
                <w:sz w:val="24"/>
                <w:szCs w:val="24"/>
                <w:lang w:val="en-US" w:eastAsia="zh-CN" w:bidi="ar-SA"/>
              </w:rPr>
            </w:pPr>
          </w:p>
        </w:tc>
      </w:tr>
      <w:tr w14:paraId="3B09F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451D877E">
            <w:pPr>
              <w:widowControl/>
              <w:ind w:firstLine="0"/>
              <w:jc w:val="center"/>
              <w:rPr>
                <w:rFonts w:hint="eastAsia" w:ascii="仿宋" w:hAnsi="仿宋" w:eastAsia="仿宋" w:cs="仿宋"/>
                <w:bCs/>
                <w:kern w:val="0"/>
                <w:sz w:val="24"/>
                <w:szCs w:val="24"/>
                <w:lang w:val="en-US" w:eastAsia="zh-CN" w:bidi="ar-SA"/>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6AAD10C8">
            <w:pPr>
              <w:widowControl/>
              <w:ind w:firstLine="0"/>
              <w:jc w:val="left"/>
              <w:rPr>
                <w:rFonts w:hint="eastAsia" w:ascii="仿宋" w:hAnsi="仿宋" w:eastAsia="仿宋" w:cs="仿宋"/>
                <w:bCs/>
                <w:kern w:val="0"/>
                <w:sz w:val="24"/>
                <w:szCs w:val="24"/>
                <w:lang w:val="en-US" w:eastAsia="zh-CN" w:bidi="ar-SA"/>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032A9A12">
            <w:pPr>
              <w:widowControl/>
              <w:ind w:firstLine="0"/>
              <w:jc w:val="left"/>
              <w:rPr>
                <w:rFonts w:hint="eastAsia" w:ascii="仿宋" w:hAnsi="仿宋" w:eastAsia="仿宋" w:cs="仿宋"/>
                <w:bCs/>
                <w:kern w:val="0"/>
                <w:sz w:val="24"/>
                <w:szCs w:val="24"/>
                <w:lang w:val="en-US" w:eastAsia="zh-CN" w:bidi="ar-SA"/>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14:paraId="1A75109A">
            <w:pPr>
              <w:widowControl/>
              <w:ind w:firstLine="0"/>
              <w:jc w:val="left"/>
              <w:rPr>
                <w:rFonts w:hint="eastAsia" w:ascii="仿宋" w:hAnsi="仿宋" w:eastAsia="仿宋" w:cs="仿宋"/>
                <w:bCs/>
                <w:kern w:val="0"/>
                <w:sz w:val="24"/>
                <w:szCs w:val="24"/>
                <w:lang w:val="en-US" w:eastAsia="zh-CN" w:bidi="ar-SA"/>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0FE3CD36">
            <w:pPr>
              <w:widowControl/>
              <w:ind w:firstLine="0"/>
              <w:jc w:val="left"/>
              <w:rPr>
                <w:rFonts w:hint="eastAsia" w:ascii="仿宋" w:hAnsi="仿宋" w:eastAsia="仿宋" w:cs="仿宋"/>
                <w:bCs/>
                <w:kern w:val="0"/>
                <w:sz w:val="24"/>
                <w:szCs w:val="24"/>
                <w:lang w:val="en-US" w:eastAsia="zh-CN" w:bidi="ar-SA"/>
              </w:rPr>
            </w:pPr>
          </w:p>
        </w:tc>
      </w:tr>
      <w:tr w14:paraId="6B024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58BBDF12">
            <w:pPr>
              <w:widowControl/>
              <w:ind w:firstLine="0"/>
              <w:jc w:val="center"/>
              <w:rPr>
                <w:rFonts w:hint="eastAsia" w:ascii="仿宋" w:hAnsi="仿宋" w:eastAsia="仿宋" w:cs="仿宋"/>
                <w:bCs/>
                <w:kern w:val="0"/>
                <w:sz w:val="24"/>
                <w:szCs w:val="24"/>
                <w:lang w:val="en-US" w:eastAsia="zh-CN" w:bidi="ar-SA"/>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176FEAD8">
            <w:pPr>
              <w:widowControl/>
              <w:ind w:firstLine="0"/>
              <w:jc w:val="left"/>
              <w:rPr>
                <w:rFonts w:hint="eastAsia" w:ascii="仿宋" w:hAnsi="仿宋" w:eastAsia="仿宋" w:cs="仿宋"/>
                <w:bCs/>
                <w:kern w:val="0"/>
                <w:sz w:val="24"/>
                <w:szCs w:val="24"/>
                <w:lang w:val="en-US" w:eastAsia="zh-CN" w:bidi="ar-SA"/>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7C4BCF53">
            <w:pPr>
              <w:widowControl/>
              <w:ind w:firstLine="0"/>
              <w:jc w:val="left"/>
              <w:rPr>
                <w:rFonts w:hint="eastAsia" w:ascii="仿宋" w:hAnsi="仿宋" w:eastAsia="仿宋" w:cs="仿宋"/>
                <w:bCs/>
                <w:kern w:val="0"/>
                <w:sz w:val="24"/>
                <w:szCs w:val="24"/>
                <w:lang w:val="en-US" w:eastAsia="zh-CN" w:bidi="ar-SA"/>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14:paraId="43DB78CD">
            <w:pPr>
              <w:widowControl/>
              <w:ind w:firstLine="0"/>
              <w:jc w:val="left"/>
              <w:rPr>
                <w:rFonts w:hint="eastAsia" w:ascii="仿宋" w:hAnsi="仿宋" w:eastAsia="仿宋" w:cs="仿宋"/>
                <w:bCs/>
                <w:kern w:val="0"/>
                <w:sz w:val="24"/>
                <w:szCs w:val="24"/>
                <w:lang w:val="en-US" w:eastAsia="zh-CN" w:bidi="ar-SA"/>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2A214493">
            <w:pPr>
              <w:widowControl/>
              <w:ind w:firstLine="0"/>
              <w:jc w:val="left"/>
              <w:rPr>
                <w:rFonts w:hint="eastAsia" w:ascii="仿宋" w:hAnsi="仿宋" w:eastAsia="仿宋" w:cs="仿宋"/>
                <w:bCs/>
                <w:kern w:val="0"/>
                <w:sz w:val="24"/>
                <w:szCs w:val="24"/>
                <w:lang w:val="en-US" w:eastAsia="zh-CN" w:bidi="ar-SA"/>
              </w:rPr>
            </w:pPr>
          </w:p>
        </w:tc>
      </w:tr>
      <w:tr w14:paraId="238D5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1AD7C476">
            <w:pPr>
              <w:widowControl/>
              <w:ind w:firstLine="0"/>
              <w:jc w:val="center"/>
              <w:rPr>
                <w:rFonts w:hint="eastAsia" w:ascii="仿宋" w:hAnsi="仿宋" w:eastAsia="仿宋" w:cs="仿宋"/>
                <w:bCs/>
                <w:kern w:val="0"/>
                <w:sz w:val="24"/>
                <w:szCs w:val="24"/>
                <w:lang w:val="en-US" w:eastAsia="zh-CN" w:bidi="ar-SA"/>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26F6F26C">
            <w:pPr>
              <w:widowControl/>
              <w:ind w:firstLine="0"/>
              <w:jc w:val="left"/>
              <w:rPr>
                <w:rFonts w:hint="eastAsia" w:ascii="仿宋" w:hAnsi="仿宋" w:eastAsia="仿宋" w:cs="仿宋"/>
                <w:bCs/>
                <w:kern w:val="0"/>
                <w:sz w:val="24"/>
                <w:szCs w:val="24"/>
                <w:lang w:val="en-US" w:eastAsia="zh-CN" w:bidi="ar-SA"/>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7F65FFB1">
            <w:pPr>
              <w:widowControl/>
              <w:ind w:firstLine="0"/>
              <w:jc w:val="left"/>
              <w:rPr>
                <w:rFonts w:hint="eastAsia" w:ascii="仿宋" w:hAnsi="仿宋" w:eastAsia="仿宋" w:cs="仿宋"/>
                <w:bCs/>
                <w:kern w:val="0"/>
                <w:sz w:val="24"/>
                <w:szCs w:val="24"/>
                <w:lang w:val="en-US" w:eastAsia="zh-CN" w:bidi="ar-SA"/>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14:paraId="5ED41061">
            <w:pPr>
              <w:widowControl/>
              <w:ind w:firstLine="0"/>
              <w:jc w:val="left"/>
              <w:rPr>
                <w:rFonts w:hint="eastAsia" w:ascii="仿宋" w:hAnsi="仿宋" w:eastAsia="仿宋" w:cs="仿宋"/>
                <w:bCs/>
                <w:kern w:val="0"/>
                <w:sz w:val="24"/>
                <w:szCs w:val="24"/>
                <w:lang w:val="en-US" w:eastAsia="zh-CN" w:bidi="ar-SA"/>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66B6B726">
            <w:pPr>
              <w:widowControl/>
              <w:ind w:firstLine="0"/>
              <w:jc w:val="left"/>
              <w:rPr>
                <w:rFonts w:hint="eastAsia" w:ascii="仿宋" w:hAnsi="仿宋" w:eastAsia="仿宋" w:cs="仿宋"/>
                <w:bCs/>
                <w:kern w:val="0"/>
                <w:sz w:val="24"/>
                <w:szCs w:val="24"/>
                <w:lang w:val="en-US" w:eastAsia="zh-CN" w:bidi="ar-SA"/>
              </w:rPr>
            </w:pPr>
          </w:p>
        </w:tc>
      </w:tr>
      <w:tr w14:paraId="46B91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23BFDD72">
            <w:pPr>
              <w:widowControl/>
              <w:ind w:firstLine="0"/>
              <w:jc w:val="center"/>
              <w:rPr>
                <w:rFonts w:hint="eastAsia" w:ascii="仿宋" w:hAnsi="仿宋" w:eastAsia="仿宋" w:cs="仿宋"/>
                <w:bCs/>
                <w:kern w:val="0"/>
                <w:sz w:val="24"/>
                <w:szCs w:val="24"/>
                <w:lang w:val="en-US" w:eastAsia="zh-CN" w:bidi="ar-SA"/>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124C7B56">
            <w:pPr>
              <w:widowControl/>
              <w:ind w:firstLine="0"/>
              <w:jc w:val="left"/>
              <w:rPr>
                <w:rFonts w:hint="eastAsia" w:ascii="仿宋" w:hAnsi="仿宋" w:eastAsia="仿宋" w:cs="仿宋"/>
                <w:bCs/>
                <w:kern w:val="0"/>
                <w:sz w:val="24"/>
                <w:szCs w:val="24"/>
                <w:lang w:val="en-US" w:eastAsia="zh-CN" w:bidi="ar-SA"/>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783515B0">
            <w:pPr>
              <w:widowControl/>
              <w:ind w:firstLine="0"/>
              <w:jc w:val="left"/>
              <w:rPr>
                <w:rFonts w:hint="eastAsia" w:ascii="仿宋" w:hAnsi="仿宋" w:eastAsia="仿宋" w:cs="仿宋"/>
                <w:bCs/>
                <w:kern w:val="0"/>
                <w:sz w:val="24"/>
                <w:szCs w:val="24"/>
                <w:lang w:val="en-US" w:eastAsia="zh-CN" w:bidi="ar-SA"/>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14:paraId="2FD88426">
            <w:pPr>
              <w:widowControl/>
              <w:ind w:firstLine="0"/>
              <w:jc w:val="left"/>
              <w:rPr>
                <w:rFonts w:hint="eastAsia" w:ascii="仿宋" w:hAnsi="仿宋" w:eastAsia="仿宋" w:cs="仿宋"/>
                <w:bCs/>
                <w:kern w:val="0"/>
                <w:sz w:val="24"/>
                <w:szCs w:val="24"/>
                <w:lang w:val="en-US" w:eastAsia="zh-CN" w:bidi="ar-SA"/>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44FA9456">
            <w:pPr>
              <w:widowControl/>
              <w:ind w:firstLine="0"/>
              <w:jc w:val="left"/>
              <w:rPr>
                <w:rFonts w:hint="eastAsia" w:ascii="仿宋" w:hAnsi="仿宋" w:eastAsia="仿宋" w:cs="仿宋"/>
                <w:bCs/>
                <w:kern w:val="0"/>
                <w:sz w:val="24"/>
                <w:szCs w:val="24"/>
                <w:lang w:val="en-US" w:eastAsia="zh-CN" w:bidi="ar-SA"/>
              </w:rPr>
            </w:pPr>
          </w:p>
        </w:tc>
      </w:tr>
    </w:tbl>
    <w:p w14:paraId="16024F0F">
      <w:pPr>
        <w:widowControl/>
        <w:ind w:firstLine="0"/>
        <w:rPr>
          <w:rFonts w:hint="eastAsia" w:ascii="仿宋" w:hAnsi="仿宋" w:eastAsia="仿宋" w:cs="仿宋"/>
          <w:kern w:val="0"/>
          <w:sz w:val="24"/>
          <w:szCs w:val="24"/>
        </w:rPr>
      </w:pPr>
      <w:r>
        <w:rPr>
          <w:rFonts w:hint="eastAsia" w:ascii="仿宋" w:hAnsi="仿宋" w:eastAsia="仿宋" w:cs="仿宋"/>
          <w:kern w:val="0"/>
          <w:sz w:val="24"/>
          <w:szCs w:val="24"/>
        </w:rPr>
        <w:t>供应商（企业电子章）：</w:t>
      </w:r>
    </w:p>
    <w:p w14:paraId="1940E35E">
      <w:pPr>
        <w:widowControl/>
        <w:ind w:firstLine="0"/>
        <w:rPr>
          <w:rFonts w:hint="eastAsia" w:ascii="仿宋" w:hAnsi="仿宋" w:eastAsia="仿宋" w:cs="仿宋"/>
          <w:kern w:val="0"/>
          <w:sz w:val="24"/>
          <w:szCs w:val="24"/>
        </w:rPr>
      </w:pPr>
      <w:r>
        <w:rPr>
          <w:rFonts w:hint="eastAsia" w:ascii="仿宋" w:hAnsi="仿宋" w:eastAsia="仿宋" w:cs="仿宋"/>
          <w:kern w:val="0"/>
          <w:sz w:val="24"/>
          <w:szCs w:val="24"/>
        </w:rPr>
        <w:t xml:space="preserve"> </w:t>
      </w:r>
    </w:p>
    <w:p w14:paraId="1FBCC544">
      <w:pPr>
        <w:widowControl/>
        <w:ind w:firstLine="0"/>
        <w:rPr>
          <w:rFonts w:hint="eastAsia" w:ascii="仿宋" w:hAnsi="仿宋" w:eastAsia="仿宋" w:cs="仿宋"/>
          <w:kern w:val="0"/>
          <w:sz w:val="24"/>
          <w:szCs w:val="24"/>
        </w:rPr>
      </w:pPr>
      <w:r>
        <w:rPr>
          <w:rFonts w:hint="eastAsia" w:ascii="仿宋" w:hAnsi="仿宋" w:eastAsia="仿宋" w:cs="仿宋"/>
          <w:kern w:val="0"/>
          <w:sz w:val="24"/>
          <w:szCs w:val="24"/>
        </w:rPr>
        <w:t xml:space="preserve"> </w:t>
      </w:r>
    </w:p>
    <w:p w14:paraId="40CBBE9F">
      <w:pPr>
        <w:widowControl/>
        <w:ind w:firstLine="0"/>
        <w:rPr>
          <w:rFonts w:hint="eastAsia" w:ascii="仿宋" w:hAnsi="仿宋" w:eastAsia="仿宋" w:cs="仿宋"/>
          <w:bCs/>
          <w:spacing w:val="10"/>
          <w:kern w:val="0"/>
          <w:sz w:val="24"/>
          <w:szCs w:val="24"/>
        </w:rPr>
      </w:pPr>
      <w:r>
        <w:rPr>
          <w:rFonts w:hint="eastAsia" w:ascii="仿宋" w:hAnsi="仿宋" w:eastAsia="仿宋" w:cs="仿宋"/>
          <w:bCs/>
          <w:spacing w:val="10"/>
          <w:kern w:val="0"/>
          <w:sz w:val="24"/>
          <w:szCs w:val="24"/>
        </w:rPr>
        <w:t>注：1.</w:t>
      </w:r>
      <w:r>
        <w:rPr>
          <w:rFonts w:hint="eastAsia" w:ascii="仿宋" w:hAnsi="仿宋" w:eastAsia="仿宋" w:cs="仿宋"/>
          <w:kern w:val="0"/>
          <w:sz w:val="24"/>
          <w:szCs w:val="24"/>
        </w:rPr>
        <w:t>供应商</w:t>
      </w:r>
      <w:r>
        <w:rPr>
          <w:rFonts w:hint="eastAsia" w:ascii="仿宋" w:hAnsi="仿宋" w:eastAsia="仿宋" w:cs="仿宋"/>
          <w:bCs/>
          <w:spacing w:val="10"/>
          <w:kern w:val="0"/>
          <w:sz w:val="24"/>
          <w:szCs w:val="24"/>
        </w:rPr>
        <w:t>可根据需要自行增减表格行数。</w:t>
      </w:r>
    </w:p>
    <w:p w14:paraId="168D216E">
      <w:pPr>
        <w:ind w:firstLine="458" w:firstLineChars="200"/>
        <w:rPr>
          <w:rFonts w:hint="eastAsia" w:ascii="仿宋" w:hAnsi="仿宋" w:eastAsia="仿宋" w:cs="仿宋"/>
          <w:sz w:val="24"/>
          <w:szCs w:val="24"/>
        </w:rPr>
      </w:pPr>
      <w:r>
        <w:rPr>
          <w:rFonts w:hint="eastAsia" w:ascii="仿宋" w:hAnsi="仿宋" w:eastAsia="仿宋" w:cs="仿宋"/>
          <w:bCs/>
          <w:spacing w:val="10"/>
          <w:sz w:val="24"/>
          <w:szCs w:val="24"/>
        </w:rPr>
        <w:t>2.</w:t>
      </w:r>
      <w:r>
        <w:rPr>
          <w:rFonts w:hint="eastAsia" w:ascii="仿宋" w:hAnsi="仿宋" w:eastAsia="仿宋" w:cs="仿宋"/>
          <w:sz w:val="24"/>
          <w:szCs w:val="24"/>
        </w:rPr>
        <w:t>供应商对所报相关内容的真实性负责，采购代理机构有权将相关内容进行公示，因弄虚作假导致的后果由自行承担。</w:t>
      </w:r>
    </w:p>
    <w:p w14:paraId="619C5379">
      <w:pPr>
        <w:widowControl/>
        <w:jc w:val="left"/>
        <w:outlineLvl w:val="1"/>
        <w:rPr>
          <w:rFonts w:hint="eastAsia" w:ascii="仿宋" w:hAnsi="仿宋" w:eastAsia="仿宋" w:cs="仿宋"/>
          <w:b/>
          <w:kern w:val="0"/>
          <w:sz w:val="28"/>
          <w:szCs w:val="24"/>
          <w:lang w:eastAsia="en-US"/>
        </w:rPr>
      </w:pPr>
      <w:r>
        <w:rPr>
          <w:rFonts w:ascii="Times New Roman" w:hAnsi="Times New Roman" w:eastAsia="Times New Roman"/>
          <w:kern w:val="0"/>
          <w:sz w:val="24"/>
          <w:szCs w:val="24"/>
          <w:lang w:eastAsia="en-US"/>
        </w:rPr>
        <w:br w:type="page"/>
      </w:r>
      <w:bookmarkStart w:id="323" w:name="_Toc29035"/>
      <w:r>
        <w:rPr>
          <w:rFonts w:hint="eastAsia" w:ascii="仿宋" w:hAnsi="仿宋" w:eastAsia="仿宋" w:cs="仿宋"/>
          <w:b/>
          <w:kern w:val="0"/>
          <w:sz w:val="28"/>
          <w:szCs w:val="24"/>
          <w:lang w:eastAsia="en-US"/>
        </w:rPr>
        <w:t>附件</w:t>
      </w:r>
      <w:r>
        <w:rPr>
          <w:rFonts w:hint="eastAsia" w:ascii="仿宋" w:hAnsi="仿宋" w:eastAsia="仿宋" w:cs="仿宋"/>
          <w:b/>
          <w:kern w:val="0"/>
          <w:sz w:val="28"/>
          <w:szCs w:val="24"/>
          <w:lang w:val="en-US" w:eastAsia="zh-CN"/>
        </w:rPr>
        <w:t>13-1</w:t>
      </w:r>
      <w:r>
        <w:rPr>
          <w:rFonts w:hint="eastAsia" w:ascii="仿宋" w:hAnsi="仿宋" w:eastAsia="仿宋" w:cs="仿宋"/>
          <w:b/>
          <w:kern w:val="0"/>
          <w:sz w:val="28"/>
          <w:szCs w:val="24"/>
          <w:lang w:eastAsia="en-US"/>
        </w:rPr>
        <w:t>:参与评审打分的合同业绩扫描件</w:t>
      </w:r>
      <w:bookmarkEnd w:id="323"/>
    </w:p>
    <w:p w14:paraId="47E76F3A">
      <w:pPr>
        <w:widowControl/>
        <w:jc w:val="left"/>
        <w:outlineLvl w:val="1"/>
        <w:rPr>
          <w:rFonts w:hint="eastAsia" w:ascii="仿宋" w:hAnsi="仿宋" w:eastAsia="仿宋" w:cs="仿宋"/>
          <w:b/>
          <w:kern w:val="0"/>
          <w:sz w:val="28"/>
          <w:szCs w:val="24"/>
          <w:lang w:eastAsia="en-US"/>
        </w:rPr>
      </w:pPr>
    </w:p>
    <w:bookmarkEnd w:id="304"/>
    <w:p w14:paraId="7C1F599B">
      <w:pPr>
        <w:rPr>
          <w:rFonts w:hint="eastAsia"/>
          <w:color w:val="000080"/>
          <w:sz w:val="20"/>
          <w:highlight w:val="white"/>
        </w:rPr>
        <w:sectPr>
          <w:pgSz w:w="11906" w:h="16838"/>
          <w:pgMar w:top="1418" w:right="1247" w:bottom="1418" w:left="1418" w:header="680" w:footer="680" w:gutter="0"/>
          <w:pgBorders>
            <w:top w:val="none" w:sz="0" w:space="0"/>
            <w:left w:val="none" w:sz="0" w:space="0"/>
            <w:bottom w:val="none" w:sz="0" w:space="0"/>
            <w:right w:val="none" w:sz="0" w:space="0"/>
          </w:pgBorders>
          <w:cols w:space="720" w:num="1"/>
          <w:docGrid w:type="linesAndChars" w:linePitch="466" w:charSpace="-6394"/>
        </w:sectPr>
      </w:pPr>
    </w:p>
    <w:p w14:paraId="6EAA245F">
      <w:pPr>
        <w:pStyle w:val="40"/>
        <w:rPr>
          <w:rFonts w:hint="eastAsia" w:ascii="仿宋" w:hAnsi="仿宋" w:eastAsia="仿宋" w:cs="仿宋"/>
          <w:b/>
          <w:bCs/>
          <w:sz w:val="28"/>
          <w:szCs w:val="28"/>
          <w:lang w:val="en-US" w:eastAsia="zh-CN"/>
        </w:rPr>
      </w:pPr>
      <w:r>
        <w:rPr>
          <w:rFonts w:hint="eastAsia" w:ascii="仿宋" w:hAnsi="仿宋" w:eastAsia="仿宋" w:cs="仿宋"/>
          <w:b/>
          <w:bCs/>
          <w:sz w:val="28"/>
          <w:szCs w:val="28"/>
          <w:lang w:eastAsia="zh-CN"/>
        </w:rPr>
        <w:t>附件</w:t>
      </w:r>
      <w:r>
        <w:rPr>
          <w:rFonts w:hint="eastAsia" w:ascii="仿宋" w:hAnsi="仿宋" w:eastAsia="仿宋" w:cs="仿宋"/>
          <w:b/>
          <w:bCs/>
          <w:sz w:val="28"/>
          <w:szCs w:val="28"/>
          <w:lang w:val="en-US" w:eastAsia="zh-CN"/>
        </w:rPr>
        <w:t>14：其他材料</w:t>
      </w:r>
    </w:p>
    <w:p w14:paraId="5C8E9B89">
      <w:pPr>
        <w:pStyle w:val="40"/>
        <w:rPr>
          <w:rFonts w:hint="eastAsia"/>
        </w:rPr>
      </w:pPr>
    </w:p>
    <w:p w14:paraId="3AFDC180"/>
    <w:sectPr>
      <w:pgSz w:w="11906" w:h="16838"/>
      <w:pgMar w:top="1418" w:right="1247" w:bottom="1418" w:left="1418" w:header="680" w:footer="680" w:gutter="0"/>
      <w:pgBorders>
        <w:top w:val="none" w:sz="0" w:space="0"/>
        <w:left w:val="none" w:sz="0" w:space="0"/>
        <w:bottom w:val="none" w:sz="0" w:space="0"/>
        <w:right w:val="none" w:sz="0" w:space="0"/>
      </w:pgBorders>
      <w:cols w:space="720" w:num="1"/>
      <w:docGrid w:type="linesAndChars" w:linePitch="466" w:charSpace="-639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1"/>
    <w:family w:val="decorative"/>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MS Sans Serif">
    <w:altName w:val="Arial"/>
    <w:panose1 w:val="00000000000000000000"/>
    <w:charset w:val="00"/>
    <w:family w:val="swiss"/>
    <w:pitch w:val="default"/>
    <w:sig w:usb0="00000000" w:usb1="00000000" w:usb2="00000000" w:usb3="00000000" w:csb0="0000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ingLiU">
    <w:panose1 w:val="02020509000000000000"/>
    <w:charset w:val="88"/>
    <w:family w:val="modern"/>
    <w:pitch w:val="default"/>
    <w:sig w:usb0="A00002FF" w:usb1="28CFFCFA" w:usb2="00000016" w:usb3="00000000" w:csb0="0010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S Mincho">
    <w:panose1 w:val="02020609040205080304"/>
    <w:charset w:val="80"/>
    <w:family w:val="roman"/>
    <w:pitch w:val="default"/>
    <w:sig w:usb0="E00002FF" w:usb1="6AC7FDFB" w:usb2="00000012" w:usb3="00000000" w:csb0="4002009F" w:csb1="DFD7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5C019">
    <w:pPr>
      <w:pStyle w:val="2"/>
      <w:framePr w:wrap="around" w:vAnchor="text" w:hAnchor="margin" w:xAlign="center" w:y="1"/>
      <w:rPr>
        <w:rStyle w:val="8"/>
      </w:rPr>
    </w:pPr>
    <w:r>
      <w:fldChar w:fldCharType="begin"/>
    </w:r>
    <w:r>
      <w:rPr>
        <w:rStyle w:val="8"/>
        <w:highlight w:val="white"/>
      </w:rPr>
      <w:instrText xml:space="preserve">PAGE  </w:instrText>
    </w:r>
    <w:r>
      <w:fldChar w:fldCharType="separate"/>
    </w:r>
    <w:r>
      <w:rPr>
        <w:rStyle w:val="8"/>
        <w:highlight w:val="white"/>
      </w:rPr>
      <w:t>89</w:t>
    </w:r>
    <w:r>
      <w:fldChar w:fldCharType="end"/>
    </w:r>
  </w:p>
  <w:p w14:paraId="7F023B50">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AF2B3">
    <w:pPr>
      <w:pStyle w:val="2"/>
      <w:framePr w:wrap="around" w:vAnchor="text" w:hAnchor="margin" w:xAlign="center" w:y="1"/>
      <w:rPr>
        <w:rStyle w:val="8"/>
      </w:rPr>
    </w:pPr>
    <w:r>
      <w:fldChar w:fldCharType="begin"/>
    </w:r>
    <w:r>
      <w:rPr>
        <w:rStyle w:val="8"/>
        <w:highlight w:val="white"/>
      </w:rPr>
      <w:instrText xml:space="preserve">PAGE  </w:instrText>
    </w:r>
    <w:r>
      <w:fldChar w:fldCharType="separate"/>
    </w:r>
    <w:r>
      <w:fldChar w:fldCharType="end"/>
    </w:r>
  </w:p>
  <w:p w14:paraId="454587E4">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8B0AF">
    <w:pPr>
      <w:pStyle w:val="2"/>
      <w:ind w:right="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D6C05">
    <w:pPr>
      <w:pStyle w:val="3"/>
      <w:jc w:val="left"/>
      <w:rPr>
        <w:rFonts w:eastAsia="楷体_GB2312"/>
        <w:color w:val="auto"/>
        <w:sz w:val="21"/>
        <w:highlight w:val="none"/>
        <w:shd w:val="pct10" w:color="auto" w:fill="FFFFFF"/>
      </w:rPr>
    </w:pPr>
    <w:r>
      <w:rPr>
        <w:rFonts w:hint="eastAsia" w:eastAsia="楷体_GB2312"/>
        <w:color w:val="auto"/>
        <w:sz w:val="21"/>
        <w:highlight w:val="none"/>
        <w:shd w:val="pct10" w:color="auto" w:fill="FFFFFF"/>
      </w:rPr>
      <w:t>公开 公平 公正 诚信                                            河南城发工程管理有限公司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82963">
    <w:pPr>
      <w:pStyle w:val="3"/>
      <w:jc w:val="both"/>
      <w:rPr>
        <w:rFonts w:eastAsia="楷体_GB2312"/>
        <w:sz w:val="21"/>
        <w:shd w:val="pct10" w:color="auto" w:fill="FFFFFF"/>
      </w:rPr>
    </w:pPr>
    <w:r>
      <w:rPr>
        <w:rFonts w:hint="eastAsia" w:eastAsia="楷体_GB2312"/>
        <w:sz w:val="21"/>
        <w:highlight w:val="white"/>
        <w:shd w:val="pct10" w:color="auto" w:fill="FFFFFF"/>
      </w:rPr>
      <w:t>公开公平公正诚信洛阳市政府采购中心招标文件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11FEA1"/>
    <w:multiLevelType w:val="singleLevel"/>
    <w:tmpl w:val="B111FEA1"/>
    <w:lvl w:ilvl="0" w:tentative="0">
      <w:start w:val="1"/>
      <w:numFmt w:val="decimal"/>
      <w:lvlText w:val="%1."/>
      <w:lvlJc w:val="left"/>
      <w:pPr>
        <w:tabs>
          <w:tab w:val="left" w:pos="312"/>
        </w:tabs>
      </w:pPr>
    </w:lvl>
  </w:abstractNum>
  <w:abstractNum w:abstractNumId="1">
    <w:nsid w:val="DAECECC4"/>
    <w:multiLevelType w:val="singleLevel"/>
    <w:tmpl w:val="DAECECC4"/>
    <w:lvl w:ilvl="0" w:tentative="0">
      <w:start w:val="1"/>
      <w:numFmt w:val="chineseCounting"/>
      <w:suff w:val="nothing"/>
      <w:lvlText w:val="%1、"/>
      <w:lvlJc w:val="left"/>
      <w:rPr>
        <w:rFonts w:hint="eastAsia"/>
      </w:rPr>
    </w:lvl>
  </w:abstractNum>
  <w:abstractNum w:abstractNumId="2">
    <w:nsid w:val="2A9E38DE"/>
    <w:multiLevelType w:val="multilevel"/>
    <w:tmpl w:val="2A9E38DE"/>
    <w:lvl w:ilvl="0" w:tentative="0">
      <w:start w:val="1"/>
      <w:numFmt w:val="japaneseCounting"/>
      <w:lvlText w:val="%1、"/>
      <w:lvlJc w:val="left"/>
      <w:pPr>
        <w:ind w:left="420" w:hanging="420"/>
      </w:pPr>
      <w:rPr>
        <w:rFonts w:hint="default"/>
      </w:rPr>
    </w:lvl>
    <w:lvl w:ilvl="1" w:tentative="0">
      <w:start w:val="3"/>
      <w:numFmt w:val="decimal"/>
      <w:lvlText w:val="%2、"/>
      <w:lvlJc w:val="left"/>
      <w:pPr>
        <w:ind w:left="780" w:hanging="360"/>
      </w:pPr>
      <w:rPr>
        <w:rFonts w:hint="default"/>
      </w:rPr>
    </w:lvl>
    <w:lvl w:ilvl="2" w:tentative="0">
      <w:start w:val="2"/>
      <w:numFmt w:val="decimal"/>
      <w:lvlText w:val="%3、"/>
      <w:lvlJc w:val="left"/>
      <w:pPr>
        <w:ind w:left="1200" w:hanging="36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A691F65"/>
    <w:multiLevelType w:val="multilevel"/>
    <w:tmpl w:val="3A691F65"/>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4">
    <w:nsid w:val="505C1565"/>
    <w:multiLevelType w:val="multilevel"/>
    <w:tmpl w:val="505C1565"/>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5">
    <w:nsid w:val="5E991451"/>
    <w:multiLevelType w:val="singleLevel"/>
    <w:tmpl w:val="5E991451"/>
    <w:lvl w:ilvl="0" w:tentative="0">
      <w:start w:val="1"/>
      <w:numFmt w:val="decimal"/>
      <w:suff w:val="nothing"/>
      <w:lvlText w:val="%1、"/>
      <w:lvlJc w:val="left"/>
    </w:lvl>
  </w:abstractNum>
  <w:abstractNum w:abstractNumId="6">
    <w:nsid w:val="5E99328E"/>
    <w:multiLevelType w:val="singleLevel"/>
    <w:tmpl w:val="5E99328E"/>
    <w:lvl w:ilvl="0" w:tentative="0">
      <w:start w:val="4"/>
      <w:numFmt w:val="decimal"/>
      <w:suff w:val="nothing"/>
      <w:lvlText w:val="%1、"/>
      <w:lvlJc w:val="left"/>
    </w:lvl>
  </w:abstractNum>
  <w:abstractNum w:abstractNumId="7">
    <w:nsid w:val="5E9E56EA"/>
    <w:multiLevelType w:val="singleLevel"/>
    <w:tmpl w:val="5E9E56EA"/>
    <w:lvl w:ilvl="0" w:tentative="0">
      <w:start w:val="1"/>
      <w:numFmt w:val="chineseCounting"/>
      <w:suff w:val="nothing"/>
      <w:lvlText w:val="%1、"/>
      <w:lvlJc w:val="left"/>
    </w:lvl>
  </w:abstractNum>
  <w:abstractNum w:abstractNumId="8">
    <w:nsid w:val="5E9E57EB"/>
    <w:multiLevelType w:val="singleLevel"/>
    <w:tmpl w:val="5E9E57EB"/>
    <w:lvl w:ilvl="0" w:tentative="0">
      <w:start w:val="1"/>
      <w:numFmt w:val="decimal"/>
      <w:suff w:val="nothing"/>
      <w:lvlText w:val="%1、"/>
      <w:lvlJc w:val="left"/>
    </w:lvl>
  </w:abstractNum>
  <w:abstractNum w:abstractNumId="9">
    <w:nsid w:val="5E9E6891"/>
    <w:multiLevelType w:val="singleLevel"/>
    <w:tmpl w:val="5E9E6891"/>
    <w:lvl w:ilvl="0" w:tentative="0">
      <w:start w:val="2"/>
      <w:numFmt w:val="decimal"/>
      <w:suff w:val="nothing"/>
      <w:lvlText w:val="%1、"/>
      <w:lvlJc w:val="left"/>
    </w:lvl>
  </w:abstractNum>
  <w:abstractNum w:abstractNumId="10">
    <w:nsid w:val="715B8A92"/>
    <w:multiLevelType w:val="singleLevel"/>
    <w:tmpl w:val="715B8A92"/>
    <w:lvl w:ilvl="0" w:tentative="0">
      <w:start w:val="3"/>
      <w:numFmt w:val="chineseCounting"/>
      <w:suff w:val="space"/>
      <w:lvlText w:val="第%1章"/>
      <w:lvlJc w:val="left"/>
      <w:rPr>
        <w:rFonts w:hint="eastAsia"/>
      </w:rPr>
    </w:lvl>
  </w:abstractNum>
  <w:num w:numId="1">
    <w:abstractNumId w:val="0"/>
  </w:num>
  <w:num w:numId="2">
    <w:abstractNumId w:val="10"/>
  </w:num>
  <w:num w:numId="3">
    <w:abstractNumId w:val="1"/>
  </w:num>
  <w:num w:numId="4">
    <w:abstractNumId w:val="6"/>
  </w:num>
  <w:num w:numId="5">
    <w:abstractNumId w:val="5"/>
  </w:num>
  <w:num w:numId="6">
    <w:abstractNumId w:val="7"/>
  </w:num>
  <w:num w:numId="7">
    <w:abstractNumId w:val="8"/>
  </w:num>
  <w:num w:numId="8">
    <w:abstractNumId w:val="2"/>
  </w:num>
  <w:num w:numId="9">
    <w:abstractNumId w:val="9"/>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6178F6"/>
    <w:rsid w:val="00D4514A"/>
    <w:rsid w:val="0110404B"/>
    <w:rsid w:val="03D87C35"/>
    <w:rsid w:val="072F5F4A"/>
    <w:rsid w:val="088210FD"/>
    <w:rsid w:val="0AA20101"/>
    <w:rsid w:val="0DD62559"/>
    <w:rsid w:val="10764247"/>
    <w:rsid w:val="108A0B1E"/>
    <w:rsid w:val="162C0B76"/>
    <w:rsid w:val="1A116732"/>
    <w:rsid w:val="1A651406"/>
    <w:rsid w:val="1A6A3B28"/>
    <w:rsid w:val="1AF0520D"/>
    <w:rsid w:val="1CAC14C7"/>
    <w:rsid w:val="1ECE40D2"/>
    <w:rsid w:val="21D91693"/>
    <w:rsid w:val="273E6358"/>
    <w:rsid w:val="28737F7F"/>
    <w:rsid w:val="2A2B5331"/>
    <w:rsid w:val="2B51714B"/>
    <w:rsid w:val="2C5A3F68"/>
    <w:rsid w:val="2FBE7AFB"/>
    <w:rsid w:val="33C70135"/>
    <w:rsid w:val="34A735C8"/>
    <w:rsid w:val="369736CA"/>
    <w:rsid w:val="38CE6EED"/>
    <w:rsid w:val="3A417094"/>
    <w:rsid w:val="3DC51DB1"/>
    <w:rsid w:val="3EB76FF8"/>
    <w:rsid w:val="3EB92D70"/>
    <w:rsid w:val="3F655406"/>
    <w:rsid w:val="3FBC655D"/>
    <w:rsid w:val="4488775E"/>
    <w:rsid w:val="47C4007E"/>
    <w:rsid w:val="484836D3"/>
    <w:rsid w:val="494227D6"/>
    <w:rsid w:val="4B3F432F"/>
    <w:rsid w:val="504B2268"/>
    <w:rsid w:val="526F612D"/>
    <w:rsid w:val="57312F78"/>
    <w:rsid w:val="5D7468E5"/>
    <w:rsid w:val="5F2F6368"/>
    <w:rsid w:val="5F465B03"/>
    <w:rsid w:val="60E81785"/>
    <w:rsid w:val="622F1001"/>
    <w:rsid w:val="69B560BB"/>
    <w:rsid w:val="6F9603E0"/>
    <w:rsid w:val="6FF4738B"/>
    <w:rsid w:val="739F415B"/>
    <w:rsid w:val="741868DB"/>
    <w:rsid w:val="780B63BB"/>
    <w:rsid w:val="79BE0C60"/>
    <w:rsid w:val="79CA60EB"/>
    <w:rsid w:val="7C6178F6"/>
    <w:rsid w:val="7E1B08D1"/>
    <w:rsid w:val="7E930C54"/>
    <w:rsid w:val="7F0911B9"/>
    <w:rsid w:val="7FBA1C10"/>
    <w:rsid w:val="7FCA05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rFonts w:ascii="Times New Roman" w:hAnsi="Times New Roman"/>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rFonts w:ascii="Times New Roman" w:hAnsi="Times New Roman"/>
      <w:sz w:val="18"/>
      <w:szCs w:val="18"/>
    </w:rPr>
  </w:style>
  <w:style w:type="paragraph" w:styleId="4">
    <w:name w:val="toc 1"/>
    <w:basedOn w:val="1"/>
    <w:next w:val="1"/>
    <w:qFormat/>
    <w:uiPriority w:val="0"/>
    <w:pPr>
      <w:spacing w:before="60" w:line="400" w:lineRule="exact"/>
    </w:pPr>
    <w:rPr>
      <w:rFonts w:eastAsia="黑体"/>
    </w:rPr>
  </w:style>
  <w:style w:type="paragraph" w:styleId="5">
    <w:name w:val="Title"/>
    <w:basedOn w:val="1"/>
    <w:next w:val="1"/>
    <w:qFormat/>
    <w:uiPriority w:val="0"/>
    <w:pPr>
      <w:spacing w:before="240" w:after="60"/>
      <w:jc w:val="center"/>
      <w:outlineLvl w:val="0"/>
    </w:pPr>
    <w:rPr>
      <w:rFonts w:ascii="Cambria" w:hAnsi="Cambria"/>
      <w:b/>
      <w:bCs/>
      <w:sz w:val="32"/>
      <w:szCs w:val="32"/>
    </w:rPr>
  </w:style>
  <w:style w:type="character" w:styleId="8">
    <w:name w:val="page number"/>
    <w:qFormat/>
    <w:uiPriority w:val="0"/>
  </w:style>
  <w:style w:type="paragraph" w:customStyle="1" w:styleId="9">
    <w:name w:val="正文文本_0_0"/>
    <w:basedOn w:val="10"/>
    <w:next w:val="11"/>
    <w:unhideWhenUsed/>
    <w:qFormat/>
    <w:uiPriority w:val="99"/>
    <w:pPr>
      <w:widowControl/>
      <w:adjustRightInd w:val="0"/>
      <w:spacing w:after="60" w:line="360" w:lineRule="atLeast"/>
      <w:ind w:left="72" w:leftChars="30" w:right="30" w:rightChars="30" w:firstLine="200" w:firstLineChars="200"/>
      <w:jc w:val="center"/>
    </w:pPr>
    <w:rPr>
      <w:kern w:val="0"/>
      <w:sz w:val="20"/>
      <w:szCs w:val="20"/>
    </w:rPr>
  </w:style>
  <w:style w:type="paragraph" w:customStyle="1" w:styleId="10">
    <w:name w:val="正文_0_0"/>
    <w:next w:val="9"/>
    <w:qFormat/>
    <w:uiPriority w:val="0"/>
    <w:pPr>
      <w:widowControl w:val="0"/>
      <w:jc w:val="both"/>
    </w:pPr>
    <w:rPr>
      <w:rFonts w:ascii="Calibri" w:hAnsi="Calibri" w:eastAsia="宋体" w:cs="Times New Roman"/>
      <w:kern w:val="2"/>
      <w:sz w:val="21"/>
      <w:szCs w:val="22"/>
    </w:rPr>
  </w:style>
  <w:style w:type="paragraph" w:customStyle="1" w:styleId="11">
    <w:name w:val="Default_0"/>
    <w:qFormat/>
    <w:uiPriority w:val="0"/>
    <w:pPr>
      <w:widowControl w:val="0"/>
      <w:autoSpaceDE w:val="0"/>
      <w:autoSpaceDN w:val="0"/>
      <w:adjustRightInd w:val="0"/>
    </w:pPr>
    <w:rPr>
      <w:rFonts w:ascii="Times New Roman" w:hAnsi="Times New Roman" w:eastAsia="宋体" w:cs="Times New Roman"/>
      <w:color w:val="000000"/>
      <w:sz w:val="24"/>
      <w:szCs w:val="24"/>
    </w:rPr>
  </w:style>
  <w:style w:type="paragraph" w:customStyle="1" w:styleId="12">
    <w:name w:val="*正文_0"/>
    <w:basedOn w:val="10"/>
    <w:next w:val="10"/>
    <w:qFormat/>
    <w:uiPriority w:val="0"/>
    <w:pPr>
      <w:widowControl/>
      <w:ind w:firstLine="482"/>
    </w:pPr>
    <w:rPr>
      <w:rFonts w:ascii="微软雅黑" w:hAnsi="微软雅黑" w:eastAsia="微软雅黑"/>
      <w:kern w:val="0"/>
      <w:szCs w:val="20"/>
    </w:rPr>
  </w:style>
  <w:style w:type="paragraph" w:customStyle="1" w:styleId="13">
    <w:name w:val="*正文_1"/>
    <w:basedOn w:val="14"/>
    <w:next w:val="14"/>
    <w:qFormat/>
    <w:uiPriority w:val="0"/>
    <w:pPr>
      <w:ind w:firstLine="482"/>
      <w:jc w:val="both"/>
    </w:pPr>
    <w:rPr>
      <w:rFonts w:ascii="微软雅黑" w:hAnsi="微软雅黑" w:eastAsia="微软雅黑" w:cs="宋体"/>
      <w:szCs w:val="21"/>
    </w:rPr>
  </w:style>
  <w:style w:type="paragraph" w:customStyle="1" w:styleId="14">
    <w:name w:val="正文_1"/>
    <w:next w:val="15"/>
    <w:qFormat/>
    <w:uiPriority w:val="0"/>
    <w:rPr>
      <w:rFonts w:ascii="Times New Roman" w:hAnsi="Times New Roman" w:eastAsia="宋体" w:cs="Times New Roman"/>
      <w:sz w:val="21"/>
      <w:szCs w:val="22"/>
      <w:lang w:val="en-US" w:eastAsia="zh-CN" w:bidi="ar-SA"/>
    </w:rPr>
  </w:style>
  <w:style w:type="paragraph" w:customStyle="1" w:styleId="15">
    <w:name w:val="Default_1"/>
    <w:basedOn w:val="16"/>
    <w:next w:val="20"/>
    <w:qFormat/>
    <w:uiPriority w:val="0"/>
    <w:pPr>
      <w:autoSpaceDE w:val="0"/>
      <w:autoSpaceDN w:val="0"/>
      <w:adjustRightInd w:val="0"/>
      <w:jc w:val="left"/>
    </w:pPr>
    <w:rPr>
      <w:rFonts w:cs="宋体"/>
      <w:color w:val="000000"/>
      <w:kern w:val="0"/>
      <w:sz w:val="24"/>
      <w:szCs w:val="24"/>
    </w:rPr>
  </w:style>
  <w:style w:type="paragraph" w:customStyle="1" w:styleId="16">
    <w:name w:val="正文_2"/>
    <w:next w:val="17"/>
    <w:qFormat/>
    <w:uiPriority w:val="0"/>
    <w:pPr>
      <w:widowControl w:val="0"/>
      <w:jc w:val="both"/>
    </w:pPr>
    <w:rPr>
      <w:rFonts w:ascii="Calibri" w:hAnsi="Calibri" w:eastAsia="宋体" w:cs="Times New Roman"/>
      <w:kern w:val="2"/>
      <w:sz w:val="21"/>
      <w:szCs w:val="22"/>
    </w:rPr>
  </w:style>
  <w:style w:type="paragraph" w:customStyle="1" w:styleId="17">
    <w:name w:val="标题 2_0"/>
    <w:basedOn w:val="18"/>
    <w:next w:val="16"/>
    <w:unhideWhenUsed/>
    <w:qFormat/>
    <w:uiPriority w:val="0"/>
    <w:pPr>
      <w:keepNext/>
      <w:keepLines/>
      <w:spacing w:before="260" w:after="260" w:line="415" w:lineRule="auto"/>
      <w:outlineLvl w:val="1"/>
    </w:pPr>
    <w:rPr>
      <w:rFonts w:ascii="Arial" w:hAnsi="Arial" w:eastAsia="黑体"/>
      <w:b/>
      <w:bCs/>
      <w:sz w:val="32"/>
      <w:szCs w:val="32"/>
    </w:rPr>
  </w:style>
  <w:style w:type="paragraph" w:customStyle="1" w:styleId="18">
    <w:name w:val="正文_2_0"/>
    <w:basedOn w:val="16"/>
    <w:next w:val="19"/>
    <w:qFormat/>
    <w:uiPriority w:val="0"/>
    <w:rPr>
      <w:rFonts w:ascii="Times New Roman" w:hAnsi="Times New Roman"/>
      <w:szCs w:val="21"/>
    </w:rPr>
  </w:style>
  <w:style w:type="paragraph" w:customStyle="1" w:styleId="19">
    <w:name w:val="正文文本_1"/>
    <w:basedOn w:val="14"/>
    <w:next w:val="16"/>
    <w:semiHidden/>
    <w:qFormat/>
    <w:uiPriority w:val="0"/>
    <w:pPr>
      <w:widowControl/>
      <w:adjustRightInd w:val="0"/>
      <w:spacing w:before="100" w:beforeAutospacing="1" w:after="60" w:line="360" w:lineRule="atLeast"/>
      <w:ind w:left="72" w:leftChars="30" w:right="30" w:rightChars="30" w:firstLine="200" w:firstLineChars="200"/>
      <w:jc w:val="center"/>
    </w:pPr>
    <w:rPr>
      <w:kern w:val="0"/>
      <w:sz w:val="20"/>
      <w:szCs w:val="20"/>
    </w:rPr>
  </w:style>
  <w:style w:type="paragraph" w:customStyle="1" w:styleId="20">
    <w:name w:val="大标题_1"/>
    <w:basedOn w:val="14"/>
    <w:next w:val="21"/>
    <w:qFormat/>
    <w:uiPriority w:val="0"/>
    <w:pPr>
      <w:jc w:val="center"/>
    </w:pPr>
    <w:rPr>
      <w:rFonts w:ascii="Arial" w:hAnsi="Arial" w:eastAsia="宋体"/>
      <w:b/>
      <w:sz w:val="28"/>
      <w:szCs w:val="24"/>
    </w:rPr>
  </w:style>
  <w:style w:type="paragraph" w:customStyle="1" w:styleId="21">
    <w:name w:val="正文首行缩进 2_1"/>
    <w:basedOn w:val="22"/>
    <w:next w:val="14"/>
    <w:qFormat/>
    <w:uiPriority w:val="99"/>
    <w:pPr>
      <w:spacing w:after="120" w:line="240" w:lineRule="auto"/>
      <w:ind w:left="200" w:leftChars="200"/>
    </w:pPr>
    <w:rPr>
      <w:rFonts w:ascii="Calibri" w:hAnsi="Calibri"/>
    </w:rPr>
  </w:style>
  <w:style w:type="paragraph" w:customStyle="1" w:styleId="22">
    <w:name w:val="正文文本缩进_1"/>
    <w:basedOn w:val="23"/>
    <w:unhideWhenUsed/>
    <w:qFormat/>
    <w:uiPriority w:val="0"/>
    <w:pPr>
      <w:overflowPunct w:val="0"/>
      <w:autoSpaceDE w:val="0"/>
      <w:autoSpaceDN w:val="0"/>
      <w:adjustRightInd w:val="0"/>
      <w:spacing w:line="360" w:lineRule="auto"/>
      <w:ind w:firstLine="540"/>
      <w:jc w:val="both"/>
    </w:pPr>
    <w:rPr>
      <w:rFonts w:ascii="宋体" w:hAnsi="MS Sans Serif" w:cs="宋体"/>
      <w:spacing w:val="12"/>
      <w:sz w:val="24"/>
      <w:szCs w:val="20"/>
    </w:rPr>
  </w:style>
  <w:style w:type="paragraph" w:customStyle="1" w:styleId="23">
    <w:name w:val="正文_1_1"/>
    <w:next w:val="24"/>
    <w:qFormat/>
    <w:uiPriority w:val="0"/>
    <w:pPr>
      <w:widowControl w:val="0"/>
      <w:jc w:val="both"/>
    </w:pPr>
    <w:rPr>
      <w:rFonts w:ascii="Calibri" w:hAnsi="Calibri" w:eastAsia="宋体" w:cs="Times New Roman"/>
      <w:kern w:val="2"/>
      <w:sz w:val="21"/>
      <w:szCs w:val="22"/>
    </w:rPr>
  </w:style>
  <w:style w:type="paragraph" w:customStyle="1" w:styleId="24">
    <w:name w:val="正文文本缩进 2_1_1"/>
    <w:basedOn w:val="23"/>
    <w:unhideWhenUsed/>
    <w:qFormat/>
    <w:uiPriority w:val="0"/>
    <w:pPr>
      <w:spacing w:line="500" w:lineRule="exact"/>
      <w:ind w:firstLine="540" w:firstLineChars="200"/>
    </w:pPr>
    <w:rPr>
      <w:rFonts w:ascii="宋体" w:hAnsi="宋体"/>
      <w:sz w:val="27"/>
      <w:szCs w:val="27"/>
    </w:rPr>
  </w:style>
  <w:style w:type="paragraph" w:customStyle="1" w:styleId="25">
    <w:name w:val="*正文_1_0"/>
    <w:basedOn w:val="26"/>
    <w:next w:val="26"/>
    <w:qFormat/>
    <w:uiPriority w:val="0"/>
    <w:pPr>
      <w:widowControl/>
      <w:ind w:firstLine="482"/>
    </w:pPr>
    <w:rPr>
      <w:rFonts w:ascii="微软雅黑" w:hAnsi="微软雅黑" w:eastAsia="微软雅黑"/>
      <w:kern w:val="0"/>
    </w:rPr>
  </w:style>
  <w:style w:type="paragraph" w:customStyle="1" w:styleId="26">
    <w:name w:val="正文_1_0"/>
    <w:basedOn w:val="27"/>
    <w:next w:val="33"/>
    <w:qFormat/>
    <w:uiPriority w:val="0"/>
  </w:style>
  <w:style w:type="paragraph" w:customStyle="1" w:styleId="27">
    <w:name w:val="正文_2_0_0"/>
    <w:basedOn w:val="16"/>
    <w:next w:val="28"/>
    <w:qFormat/>
    <w:uiPriority w:val="0"/>
    <w:rPr>
      <w:rFonts w:cs="宋体"/>
      <w:szCs w:val="21"/>
    </w:rPr>
  </w:style>
  <w:style w:type="paragraph" w:customStyle="1" w:styleId="28">
    <w:name w:val="Default_2_0_0"/>
    <w:basedOn w:val="29"/>
    <w:qFormat/>
    <w:uiPriority w:val="0"/>
    <w:pPr>
      <w:autoSpaceDE w:val="0"/>
      <w:autoSpaceDN w:val="0"/>
      <w:adjustRightInd w:val="0"/>
    </w:pPr>
    <w:rPr>
      <w:color w:val="000000"/>
      <w:sz w:val="24"/>
      <w:szCs w:val="24"/>
    </w:rPr>
  </w:style>
  <w:style w:type="paragraph" w:customStyle="1" w:styleId="29">
    <w:name w:val="正文_3_1_0_0"/>
    <w:next w:val="30"/>
    <w:qFormat/>
    <w:uiPriority w:val="0"/>
    <w:pPr>
      <w:widowControl w:val="0"/>
      <w:jc w:val="both"/>
    </w:pPr>
    <w:rPr>
      <w:rFonts w:ascii="Times New Roman" w:hAnsi="Times New Roman" w:eastAsia="宋体" w:cs="Times New Roman"/>
    </w:rPr>
  </w:style>
  <w:style w:type="paragraph" w:customStyle="1" w:styleId="30">
    <w:name w:val="正文文本_1_1_0_0"/>
    <w:basedOn w:val="31"/>
    <w:next w:val="32"/>
    <w:qFormat/>
    <w:uiPriority w:val="0"/>
    <w:rPr>
      <w:rFonts w:eastAsia="仿宋_GB2312"/>
      <w:kern w:val="2"/>
      <w:sz w:val="28"/>
      <w:szCs w:val="28"/>
    </w:rPr>
  </w:style>
  <w:style w:type="paragraph" w:customStyle="1" w:styleId="31">
    <w:name w:val="正文_2_3_1"/>
    <w:next w:val="29"/>
    <w:qFormat/>
    <w:uiPriority w:val="0"/>
    <w:pPr>
      <w:widowControl w:val="0"/>
      <w:jc w:val="both"/>
    </w:pPr>
    <w:rPr>
      <w:rFonts w:ascii="Times New Roman" w:hAnsi="Times New Roman" w:eastAsia="宋体" w:cs="Times New Roman"/>
    </w:rPr>
  </w:style>
  <w:style w:type="paragraph" w:customStyle="1" w:styleId="32">
    <w:name w:val="Default_1_1_0_0"/>
    <w:basedOn w:val="31"/>
    <w:next w:val="29"/>
    <w:qFormat/>
    <w:uiPriority w:val="0"/>
    <w:pPr>
      <w:autoSpaceDE w:val="0"/>
      <w:autoSpaceDN w:val="0"/>
      <w:adjustRightInd w:val="0"/>
      <w:jc w:val="left"/>
    </w:pPr>
    <w:rPr>
      <w:rFonts w:ascii="Calibri" w:hAnsi="Calibri" w:cs="宋体"/>
      <w:color w:val="000000"/>
      <w:sz w:val="24"/>
      <w:szCs w:val="24"/>
    </w:rPr>
  </w:style>
  <w:style w:type="paragraph" w:customStyle="1" w:styleId="33">
    <w:name w:val="表格文字_0"/>
    <w:basedOn w:val="34"/>
    <w:next w:val="19"/>
    <w:qFormat/>
    <w:uiPriority w:val="0"/>
    <w:pPr>
      <w:adjustRightInd w:val="0"/>
      <w:spacing w:line="420" w:lineRule="atLeast"/>
      <w:jc w:val="left"/>
    </w:pPr>
    <w:rPr>
      <w:rFonts w:ascii="Times New Roman" w:hAnsi="Times New Roman"/>
      <w:kern w:val="0"/>
      <w:szCs w:val="20"/>
    </w:rPr>
  </w:style>
  <w:style w:type="paragraph" w:customStyle="1" w:styleId="34">
    <w:name w:val="Tabletext_0"/>
    <w:basedOn w:val="26"/>
    <w:qFormat/>
    <w:uiPriority w:val="0"/>
    <w:pPr>
      <w:keepLines/>
      <w:spacing w:beforeLines="20" w:line="360" w:lineRule="auto"/>
      <w:jc w:val="center"/>
    </w:pPr>
    <w:rPr>
      <w:rFonts w:ascii="宋体" w:hAnsi="宋体"/>
      <w:snapToGrid w:val="0"/>
      <w:color w:val="000000"/>
      <w:kern w:val="0"/>
      <w:szCs w:val="21"/>
      <w:lang w:val="zh-CN"/>
    </w:rPr>
  </w:style>
  <w:style w:type="paragraph" w:customStyle="1" w:styleId="35">
    <w:name w:val="*正文_2"/>
    <w:basedOn w:val="16"/>
    <w:next w:val="16"/>
    <w:qFormat/>
    <w:uiPriority w:val="0"/>
    <w:pPr>
      <w:widowControl/>
      <w:ind w:firstLine="482"/>
    </w:pPr>
    <w:rPr>
      <w:rFonts w:ascii="微软雅黑" w:hAnsi="微软雅黑" w:eastAsia="微软雅黑" w:cs="宋体"/>
      <w:kern w:val="0"/>
    </w:rPr>
  </w:style>
  <w:style w:type="paragraph" w:customStyle="1" w:styleId="36">
    <w:name w:val="普通(网站)_0"/>
    <w:basedOn w:val="27"/>
    <w:semiHidden/>
    <w:qFormat/>
    <w:uiPriority w:val="0"/>
    <w:pPr>
      <w:widowControl/>
      <w:spacing w:before="100" w:beforeAutospacing="1" w:after="100" w:afterAutospacing="1" w:line="320" w:lineRule="atLeast"/>
      <w:ind w:firstLine="200" w:firstLineChars="200"/>
      <w:jc w:val="left"/>
    </w:pPr>
    <w:rPr>
      <w:rFonts w:ascii="宋体" w:hAnsi="宋体"/>
      <w:kern w:val="0"/>
      <w:sz w:val="18"/>
      <w:szCs w:val="18"/>
    </w:rPr>
  </w:style>
  <w:style w:type="paragraph" w:customStyle="1" w:styleId="37">
    <w:name w:val="普通(网站)_1"/>
    <w:basedOn w:val="38"/>
    <w:semiHidden/>
    <w:qFormat/>
    <w:uiPriority w:val="0"/>
    <w:pPr>
      <w:widowControl/>
      <w:spacing w:before="100" w:beforeAutospacing="1" w:after="100" w:afterAutospacing="1" w:line="320" w:lineRule="atLeast"/>
      <w:ind w:firstLine="200" w:firstLineChars="200"/>
      <w:jc w:val="left"/>
    </w:pPr>
    <w:rPr>
      <w:rFonts w:ascii="宋体" w:hAnsi="宋体"/>
      <w:kern w:val="0"/>
      <w:sz w:val="18"/>
      <w:szCs w:val="18"/>
    </w:rPr>
  </w:style>
  <w:style w:type="paragraph" w:customStyle="1" w:styleId="38">
    <w:name w:val="正文_0_3"/>
    <w:basedOn w:val="16"/>
    <w:next w:val="39"/>
    <w:qFormat/>
    <w:uiPriority w:val="0"/>
    <w:rPr>
      <w:rFonts w:cs="宋体"/>
      <w:szCs w:val="21"/>
    </w:rPr>
  </w:style>
  <w:style w:type="paragraph" w:customStyle="1" w:styleId="39">
    <w:name w:val="正文文本_0_1"/>
    <w:basedOn w:val="38"/>
    <w:semiHidden/>
    <w:qFormat/>
    <w:uiPriority w:val="0"/>
    <w:pPr>
      <w:widowControl/>
      <w:adjustRightInd w:val="0"/>
      <w:spacing w:before="100" w:beforeAutospacing="1" w:after="60" w:line="360" w:lineRule="atLeast"/>
      <w:ind w:left="72" w:leftChars="30" w:right="30" w:rightChars="30" w:firstLine="200" w:firstLineChars="200"/>
      <w:jc w:val="center"/>
    </w:pPr>
    <w:rPr>
      <w:kern w:val="0"/>
      <w:sz w:val="20"/>
      <w:szCs w:val="20"/>
    </w:rPr>
  </w:style>
  <w:style w:type="paragraph" w:customStyle="1" w:styleId="40">
    <w:name w:val="Default"/>
    <w:next w:val="1"/>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customStyle="1" w:styleId="41">
    <w:name w:val="*正文"/>
    <w:basedOn w:val="1"/>
    <w:next w:val="1"/>
    <w:qFormat/>
    <w:uiPriority w:val="0"/>
    <w:pPr>
      <w:widowControl/>
      <w:ind w:firstLine="482"/>
    </w:pPr>
    <w:rPr>
      <w:rFonts w:ascii="微软雅黑" w:hAnsi="微软雅黑" w:eastAsia="微软雅黑"/>
      <w:sz w:val="21"/>
    </w:rPr>
  </w:style>
  <w:style w:type="paragraph" w:customStyle="1" w:styleId="42">
    <w:name w:val="正文_1_0_0"/>
    <w:basedOn w:val="43"/>
    <w:next w:val="78"/>
    <w:qFormat/>
    <w:uiPriority w:val="0"/>
    <w:rPr>
      <w:rFonts w:ascii="Calibri" w:hAnsi="Calibri" w:cs="宋体"/>
      <w:szCs w:val="21"/>
    </w:rPr>
  </w:style>
  <w:style w:type="paragraph" w:customStyle="1" w:styleId="43">
    <w:name w:val="正文_2_0_0_0_0"/>
    <w:next w:val="44"/>
    <w:qFormat/>
    <w:uiPriority w:val="0"/>
    <w:pPr>
      <w:widowControl w:val="0"/>
      <w:jc w:val="both"/>
    </w:pPr>
    <w:rPr>
      <w:rFonts w:ascii="Times New Roman" w:hAnsi="Times New Roman" w:eastAsia="宋体" w:cs="Times New Roman"/>
      <w:kern w:val="2"/>
      <w:sz w:val="21"/>
      <w:szCs w:val="22"/>
    </w:rPr>
  </w:style>
  <w:style w:type="paragraph" w:customStyle="1" w:styleId="44">
    <w:name w:val="正文_3_0_0_0"/>
    <w:basedOn w:val="45"/>
    <w:next w:val="46"/>
    <w:qFormat/>
    <w:uiPriority w:val="0"/>
  </w:style>
  <w:style w:type="paragraph" w:customStyle="1" w:styleId="45">
    <w:name w:val="正文_4_0_0"/>
    <w:basedOn w:val="16"/>
    <w:qFormat/>
    <w:uiPriority w:val="0"/>
    <w:rPr>
      <w:rFonts w:cs="宋体"/>
      <w:szCs w:val="21"/>
    </w:rPr>
  </w:style>
  <w:style w:type="paragraph" w:customStyle="1" w:styleId="46">
    <w:name w:val="正文文本_1_0_0_0"/>
    <w:basedOn w:val="47"/>
    <w:next w:val="60"/>
    <w:qFormat/>
    <w:uiPriority w:val="0"/>
    <w:rPr>
      <w:sz w:val="24"/>
    </w:rPr>
  </w:style>
  <w:style w:type="paragraph" w:customStyle="1" w:styleId="47">
    <w:name w:val="正文_1_0_0_0"/>
    <w:basedOn w:val="27"/>
    <w:next w:val="48"/>
    <w:qFormat/>
    <w:uiPriority w:val="0"/>
  </w:style>
  <w:style w:type="paragraph" w:customStyle="1" w:styleId="48">
    <w:name w:val="正文文本_2_0"/>
    <w:basedOn w:val="49"/>
    <w:next w:val="56"/>
    <w:unhideWhenUsed/>
    <w:qFormat/>
    <w:uiPriority w:val="0"/>
    <w:pPr>
      <w:widowControl/>
      <w:adjustRightInd w:val="0"/>
      <w:spacing w:after="60" w:line="360" w:lineRule="atLeast"/>
      <w:ind w:left="72" w:leftChars="30" w:right="30" w:rightChars="30" w:firstLine="200" w:firstLineChars="200"/>
      <w:jc w:val="center"/>
    </w:pPr>
    <w:rPr>
      <w:kern w:val="0"/>
      <w:sz w:val="20"/>
      <w:szCs w:val="20"/>
    </w:rPr>
  </w:style>
  <w:style w:type="paragraph" w:customStyle="1" w:styleId="49">
    <w:name w:val="正文_13_0"/>
    <w:basedOn w:val="50"/>
    <w:next w:val="51"/>
    <w:qFormat/>
    <w:uiPriority w:val="0"/>
    <w:rPr>
      <w:rFonts w:cs="宋体"/>
      <w:szCs w:val="21"/>
    </w:rPr>
  </w:style>
  <w:style w:type="paragraph" w:customStyle="1" w:styleId="50">
    <w:name w:val="正文_12_0"/>
    <w:qFormat/>
    <w:uiPriority w:val="0"/>
    <w:pPr>
      <w:widowControl w:val="0"/>
      <w:jc w:val="both"/>
    </w:pPr>
    <w:rPr>
      <w:rFonts w:ascii="Calibri" w:hAnsi="Calibri" w:eastAsia="宋体" w:cs="Times New Roman"/>
      <w:kern w:val="2"/>
      <w:sz w:val="21"/>
      <w:szCs w:val="22"/>
    </w:rPr>
  </w:style>
  <w:style w:type="paragraph" w:customStyle="1" w:styleId="51">
    <w:name w:val="Default_12"/>
    <w:next w:val="52"/>
    <w:qFormat/>
    <w:uiPriority w:val="0"/>
    <w:pPr>
      <w:widowControl w:val="0"/>
      <w:autoSpaceDE w:val="0"/>
      <w:autoSpaceDN w:val="0"/>
      <w:adjustRightInd w:val="0"/>
    </w:pPr>
    <w:rPr>
      <w:rFonts w:ascii="Times New Roman" w:hAnsi="Times New Roman" w:eastAsia="宋体" w:cs="Times New Roman"/>
      <w:color w:val="000000"/>
      <w:sz w:val="24"/>
      <w:szCs w:val="24"/>
    </w:rPr>
  </w:style>
  <w:style w:type="paragraph" w:customStyle="1" w:styleId="52">
    <w:name w:val="正文_15_0"/>
    <w:basedOn w:val="53"/>
    <w:next w:val="54"/>
    <w:qFormat/>
    <w:uiPriority w:val="0"/>
    <w:rPr>
      <w:rFonts w:cs="宋体"/>
      <w:szCs w:val="21"/>
    </w:rPr>
  </w:style>
  <w:style w:type="paragraph" w:customStyle="1" w:styleId="53">
    <w:name w:val="正文_11_0"/>
    <w:qFormat/>
    <w:uiPriority w:val="0"/>
    <w:pPr>
      <w:widowControl w:val="0"/>
      <w:jc w:val="both"/>
    </w:pPr>
    <w:rPr>
      <w:rFonts w:ascii="Calibri" w:hAnsi="Calibri" w:eastAsia="宋体" w:cs="Times New Roman"/>
      <w:kern w:val="2"/>
      <w:sz w:val="21"/>
      <w:szCs w:val="22"/>
    </w:rPr>
  </w:style>
  <w:style w:type="paragraph" w:customStyle="1" w:styleId="54">
    <w:name w:val="正文文本_12"/>
    <w:basedOn w:val="55"/>
    <w:next w:val="51"/>
    <w:unhideWhenUsed/>
    <w:qFormat/>
    <w:uiPriority w:val="0"/>
    <w:pPr>
      <w:widowControl/>
      <w:adjustRightInd w:val="0"/>
      <w:spacing w:after="60" w:line="360" w:lineRule="atLeast"/>
      <w:ind w:left="72" w:leftChars="30" w:right="30" w:rightChars="30" w:firstLine="200" w:firstLineChars="200"/>
      <w:jc w:val="center"/>
    </w:pPr>
    <w:rPr>
      <w:kern w:val="0"/>
      <w:sz w:val="20"/>
      <w:szCs w:val="20"/>
    </w:rPr>
  </w:style>
  <w:style w:type="paragraph" w:customStyle="1" w:styleId="55">
    <w:name w:val="正文_13"/>
    <w:next w:val="54"/>
    <w:qFormat/>
    <w:uiPriority w:val="0"/>
    <w:pPr>
      <w:widowControl w:val="0"/>
      <w:jc w:val="both"/>
    </w:pPr>
    <w:rPr>
      <w:rFonts w:ascii="Calibri" w:hAnsi="Calibri" w:eastAsia="宋体" w:cs="Times New Roman"/>
      <w:kern w:val="2"/>
      <w:sz w:val="21"/>
      <w:szCs w:val="22"/>
    </w:rPr>
  </w:style>
  <w:style w:type="paragraph" w:customStyle="1" w:styleId="56">
    <w:name w:val="Default_4_0"/>
    <w:basedOn w:val="57"/>
    <w:next w:val="49"/>
    <w:qFormat/>
    <w:uiPriority w:val="0"/>
    <w:pPr>
      <w:autoSpaceDE w:val="0"/>
      <w:autoSpaceDN w:val="0"/>
      <w:adjustRightInd w:val="0"/>
      <w:jc w:val="left"/>
    </w:pPr>
    <w:rPr>
      <w:color w:val="000000"/>
      <w:kern w:val="0"/>
      <w:sz w:val="24"/>
      <w:szCs w:val="24"/>
    </w:rPr>
  </w:style>
  <w:style w:type="paragraph" w:customStyle="1" w:styleId="57">
    <w:name w:val="正文_9_0"/>
    <w:basedOn w:val="58"/>
    <w:next w:val="59"/>
    <w:qFormat/>
    <w:uiPriority w:val="0"/>
    <w:rPr>
      <w:rFonts w:cs="宋体"/>
      <w:szCs w:val="21"/>
    </w:rPr>
  </w:style>
  <w:style w:type="paragraph" w:customStyle="1" w:styleId="58">
    <w:name w:val="正文_8_1"/>
    <w:qFormat/>
    <w:uiPriority w:val="0"/>
    <w:pPr>
      <w:widowControl w:val="0"/>
      <w:jc w:val="both"/>
    </w:pPr>
    <w:rPr>
      <w:rFonts w:ascii="Calibri" w:hAnsi="Calibri" w:eastAsia="宋体" w:cs="Times New Roman"/>
      <w:kern w:val="2"/>
      <w:sz w:val="21"/>
      <w:szCs w:val="22"/>
    </w:rPr>
  </w:style>
  <w:style w:type="paragraph" w:customStyle="1" w:styleId="59">
    <w:name w:val="Default_8_0"/>
    <w:qFormat/>
    <w:uiPriority w:val="0"/>
    <w:pPr>
      <w:widowControl w:val="0"/>
      <w:autoSpaceDE w:val="0"/>
      <w:autoSpaceDN w:val="0"/>
      <w:adjustRightInd w:val="0"/>
    </w:pPr>
    <w:rPr>
      <w:rFonts w:ascii="Times New Roman" w:hAnsi="Times New Roman" w:eastAsia="宋体" w:cs="Times New Roman"/>
      <w:color w:val="000000"/>
      <w:sz w:val="24"/>
      <w:szCs w:val="24"/>
    </w:rPr>
  </w:style>
  <w:style w:type="paragraph" w:customStyle="1" w:styleId="60">
    <w:name w:val="Default_1_0_0_0"/>
    <w:basedOn w:val="61"/>
    <w:next w:val="64"/>
    <w:qFormat/>
    <w:uiPriority w:val="0"/>
    <w:pPr>
      <w:autoSpaceDE w:val="0"/>
      <w:autoSpaceDN w:val="0"/>
      <w:adjustRightInd w:val="0"/>
    </w:pPr>
    <w:rPr>
      <w:color w:val="000000"/>
      <w:sz w:val="24"/>
      <w:szCs w:val="24"/>
    </w:rPr>
  </w:style>
  <w:style w:type="paragraph" w:customStyle="1" w:styleId="61">
    <w:name w:val="正文_2_0_0_0"/>
    <w:basedOn w:val="44"/>
    <w:next w:val="62"/>
    <w:qFormat/>
    <w:uiPriority w:val="0"/>
  </w:style>
  <w:style w:type="paragraph" w:customStyle="1" w:styleId="62">
    <w:name w:val="Default_2_0_0_0"/>
    <w:basedOn w:val="29"/>
    <w:next w:val="63"/>
    <w:qFormat/>
    <w:uiPriority w:val="0"/>
    <w:pPr>
      <w:autoSpaceDE w:val="0"/>
      <w:autoSpaceDN w:val="0"/>
      <w:adjustRightInd w:val="0"/>
      <w:jc w:val="left"/>
    </w:pPr>
    <w:rPr>
      <w:rFonts w:ascii="Calibri" w:hAnsi="Calibri" w:cs="宋体"/>
      <w:color w:val="000000"/>
      <w:sz w:val="24"/>
      <w:szCs w:val="24"/>
    </w:rPr>
  </w:style>
  <w:style w:type="paragraph" w:customStyle="1" w:styleId="63">
    <w:name w:val="正文_14_0_0_0_0"/>
    <w:next w:val="62"/>
    <w:qFormat/>
    <w:uiPriority w:val="0"/>
    <w:pPr>
      <w:widowControl w:val="0"/>
      <w:jc w:val="both"/>
    </w:pPr>
    <w:rPr>
      <w:rFonts w:ascii="Calibri" w:hAnsi="Calibri" w:eastAsia="宋体" w:cs="Times New Roman"/>
      <w:kern w:val="2"/>
      <w:sz w:val="21"/>
      <w:szCs w:val="22"/>
    </w:rPr>
  </w:style>
  <w:style w:type="paragraph" w:customStyle="1" w:styleId="64">
    <w:name w:val="正文_2_1_0_0"/>
    <w:next w:val="65"/>
    <w:qFormat/>
    <w:uiPriority w:val="0"/>
    <w:pPr>
      <w:widowControl w:val="0"/>
      <w:jc w:val="both"/>
    </w:pPr>
    <w:rPr>
      <w:rFonts w:ascii="Times New Roman" w:hAnsi="Times New Roman" w:eastAsia="宋体" w:cs="Times New Roman"/>
      <w:kern w:val="2"/>
      <w:sz w:val="21"/>
      <w:szCs w:val="22"/>
    </w:rPr>
  </w:style>
  <w:style w:type="paragraph" w:customStyle="1" w:styleId="65">
    <w:name w:val="正文文本_1_0_1_0"/>
    <w:basedOn w:val="66"/>
    <w:next w:val="67"/>
    <w:unhideWhenUsed/>
    <w:qFormat/>
    <w:uiPriority w:val="0"/>
    <w:pPr>
      <w:widowControl/>
      <w:adjustRightInd w:val="0"/>
      <w:spacing w:after="60" w:line="360" w:lineRule="atLeast"/>
      <w:ind w:left="72" w:leftChars="30" w:right="30" w:rightChars="30" w:firstLine="200" w:firstLineChars="200"/>
      <w:jc w:val="center"/>
    </w:pPr>
  </w:style>
  <w:style w:type="paragraph" w:customStyle="1" w:styleId="66">
    <w:name w:val="正文_2_2_0"/>
    <w:next w:val="65"/>
    <w:qFormat/>
    <w:uiPriority w:val="0"/>
    <w:pPr>
      <w:widowControl w:val="0"/>
      <w:jc w:val="both"/>
    </w:pPr>
    <w:rPr>
      <w:rFonts w:ascii="Times New Roman" w:hAnsi="Times New Roman" w:eastAsia="宋体" w:cs="Times New Roman"/>
    </w:rPr>
  </w:style>
  <w:style w:type="paragraph" w:customStyle="1" w:styleId="67">
    <w:name w:val="Default_1_0_1_0"/>
    <w:basedOn w:val="68"/>
    <w:next w:val="64"/>
    <w:qFormat/>
    <w:uiPriority w:val="0"/>
    <w:pPr>
      <w:autoSpaceDE w:val="0"/>
      <w:autoSpaceDN w:val="0"/>
      <w:adjustRightInd w:val="0"/>
    </w:pPr>
    <w:rPr>
      <w:color w:val="000000"/>
      <w:sz w:val="24"/>
      <w:szCs w:val="24"/>
    </w:rPr>
  </w:style>
  <w:style w:type="paragraph" w:customStyle="1" w:styleId="68">
    <w:name w:val="正文_2_0_1_0"/>
    <w:basedOn w:val="69"/>
    <w:next w:val="77"/>
    <w:qFormat/>
    <w:uiPriority w:val="0"/>
    <w:rPr>
      <w:kern w:val="2"/>
      <w:sz w:val="21"/>
      <w:szCs w:val="22"/>
    </w:rPr>
  </w:style>
  <w:style w:type="paragraph" w:customStyle="1" w:styleId="69">
    <w:name w:val="正文_3_1_1"/>
    <w:next w:val="70"/>
    <w:qFormat/>
    <w:uiPriority w:val="0"/>
    <w:pPr>
      <w:widowControl w:val="0"/>
      <w:jc w:val="both"/>
    </w:pPr>
    <w:rPr>
      <w:rFonts w:ascii="Times New Roman" w:hAnsi="Times New Roman" w:eastAsia="宋体" w:cs="Times New Roman"/>
    </w:rPr>
  </w:style>
  <w:style w:type="paragraph" w:customStyle="1" w:styleId="70">
    <w:name w:val="正文文本_1_1_1"/>
    <w:basedOn w:val="71"/>
    <w:next w:val="76"/>
    <w:qFormat/>
    <w:uiPriority w:val="0"/>
    <w:rPr>
      <w:rFonts w:eastAsia="仿宋_GB2312"/>
      <w:kern w:val="2"/>
      <w:sz w:val="28"/>
      <w:szCs w:val="28"/>
    </w:rPr>
  </w:style>
  <w:style w:type="paragraph" w:customStyle="1" w:styleId="71">
    <w:name w:val="正文_2_3_0"/>
    <w:next w:val="72"/>
    <w:qFormat/>
    <w:uiPriority w:val="0"/>
    <w:pPr>
      <w:widowControl w:val="0"/>
      <w:jc w:val="both"/>
    </w:pPr>
    <w:rPr>
      <w:rFonts w:ascii="Times New Roman" w:hAnsi="Times New Roman" w:eastAsia="宋体" w:cs="Times New Roman"/>
    </w:rPr>
  </w:style>
  <w:style w:type="paragraph" w:customStyle="1" w:styleId="72">
    <w:name w:val="正文_3_1_0"/>
    <w:next w:val="73"/>
    <w:qFormat/>
    <w:uiPriority w:val="0"/>
    <w:pPr>
      <w:widowControl w:val="0"/>
      <w:jc w:val="both"/>
    </w:pPr>
    <w:rPr>
      <w:rFonts w:ascii="Times New Roman" w:hAnsi="Times New Roman" w:eastAsia="宋体" w:cs="Times New Roman"/>
    </w:rPr>
  </w:style>
  <w:style w:type="paragraph" w:customStyle="1" w:styleId="73">
    <w:name w:val="正文文本_1_1_0"/>
    <w:basedOn w:val="74"/>
    <w:next w:val="75"/>
    <w:qFormat/>
    <w:uiPriority w:val="0"/>
    <w:rPr>
      <w:rFonts w:eastAsia="仿宋_GB2312"/>
      <w:kern w:val="2"/>
      <w:sz w:val="28"/>
      <w:szCs w:val="28"/>
    </w:rPr>
  </w:style>
  <w:style w:type="paragraph" w:customStyle="1" w:styleId="74">
    <w:name w:val="正文_2_3"/>
    <w:next w:val="72"/>
    <w:qFormat/>
    <w:uiPriority w:val="0"/>
    <w:pPr>
      <w:widowControl w:val="0"/>
      <w:jc w:val="both"/>
    </w:pPr>
    <w:rPr>
      <w:rFonts w:ascii="Times New Roman" w:hAnsi="Times New Roman" w:eastAsia="宋体" w:cs="Times New Roman"/>
    </w:rPr>
  </w:style>
  <w:style w:type="paragraph" w:customStyle="1" w:styleId="75">
    <w:name w:val="Default_1_1_0"/>
    <w:basedOn w:val="74"/>
    <w:next w:val="72"/>
    <w:qFormat/>
    <w:uiPriority w:val="0"/>
    <w:pPr>
      <w:autoSpaceDE w:val="0"/>
      <w:autoSpaceDN w:val="0"/>
      <w:adjustRightInd w:val="0"/>
      <w:jc w:val="left"/>
    </w:pPr>
    <w:rPr>
      <w:rFonts w:ascii="Calibri" w:hAnsi="Calibri" w:cs="宋体"/>
      <w:color w:val="000000"/>
      <w:sz w:val="24"/>
      <w:szCs w:val="24"/>
    </w:rPr>
  </w:style>
  <w:style w:type="paragraph" w:customStyle="1" w:styleId="76">
    <w:name w:val="Default_1_1_1"/>
    <w:basedOn w:val="71"/>
    <w:next w:val="69"/>
    <w:qFormat/>
    <w:uiPriority w:val="0"/>
    <w:pPr>
      <w:autoSpaceDE w:val="0"/>
      <w:autoSpaceDN w:val="0"/>
      <w:adjustRightInd w:val="0"/>
      <w:jc w:val="left"/>
    </w:pPr>
    <w:rPr>
      <w:rFonts w:ascii="Calibri" w:hAnsi="Calibri" w:cs="宋体"/>
      <w:color w:val="000000"/>
      <w:sz w:val="24"/>
      <w:szCs w:val="24"/>
    </w:rPr>
  </w:style>
  <w:style w:type="paragraph" w:customStyle="1" w:styleId="77">
    <w:name w:val="正文_3_0_1_0"/>
    <w:next w:val="65"/>
    <w:qFormat/>
    <w:uiPriority w:val="0"/>
    <w:pPr>
      <w:widowControl w:val="0"/>
      <w:jc w:val="both"/>
    </w:pPr>
    <w:rPr>
      <w:rFonts w:ascii="Times New Roman" w:hAnsi="Times New Roman" w:eastAsia="宋体" w:cs="Times New Roman"/>
    </w:rPr>
  </w:style>
  <w:style w:type="paragraph" w:customStyle="1" w:styleId="78">
    <w:name w:val="Default_1_0_3"/>
    <w:basedOn w:val="79"/>
    <w:next w:val="80"/>
    <w:qFormat/>
    <w:uiPriority w:val="0"/>
    <w:pPr>
      <w:autoSpaceDE w:val="0"/>
      <w:autoSpaceDN w:val="0"/>
      <w:adjustRightInd w:val="0"/>
      <w:jc w:val="left"/>
    </w:pPr>
    <w:rPr>
      <w:color w:val="000000"/>
      <w:sz w:val="24"/>
      <w:szCs w:val="24"/>
    </w:rPr>
  </w:style>
  <w:style w:type="paragraph" w:customStyle="1" w:styleId="79">
    <w:name w:val="正文_2_0_1"/>
    <w:next w:val="28"/>
    <w:qFormat/>
    <w:uiPriority w:val="0"/>
    <w:pPr>
      <w:widowControl w:val="0"/>
      <w:jc w:val="both"/>
    </w:pPr>
    <w:rPr>
      <w:rFonts w:ascii="Calibri" w:hAnsi="Calibri" w:eastAsia="宋体" w:cs="Times New Roman"/>
      <w:kern w:val="2"/>
      <w:sz w:val="21"/>
      <w:szCs w:val="22"/>
    </w:rPr>
  </w:style>
  <w:style w:type="paragraph" w:customStyle="1" w:styleId="80">
    <w:name w:val="正文_2_1_1"/>
    <w:next w:val="60"/>
    <w:qFormat/>
    <w:uiPriority w:val="0"/>
    <w:pPr>
      <w:widowControl w:val="0"/>
      <w:jc w:val="both"/>
    </w:pPr>
    <w:rPr>
      <w:rFonts w:ascii="Times New Roman" w:hAnsi="Times New Roman" w:eastAsia="宋体" w:cs="Times New Roman"/>
      <w:kern w:val="2"/>
      <w:sz w:val="21"/>
      <w:szCs w:val="22"/>
    </w:rPr>
  </w:style>
  <w:style w:type="character" w:customStyle="1" w:styleId="81">
    <w:name w:val="font31"/>
    <w:basedOn w:val="7"/>
    <w:qFormat/>
    <w:uiPriority w:val="0"/>
    <w:rPr>
      <w:rFonts w:hint="eastAsia" w:ascii="宋体" w:hAnsi="宋体" w:eastAsia="宋体" w:cs="宋体"/>
      <w:color w:val="000000"/>
      <w:sz w:val="16"/>
      <w:szCs w:val="16"/>
      <w:u w:val="none"/>
    </w:rPr>
  </w:style>
  <w:style w:type="character" w:customStyle="1" w:styleId="82">
    <w:name w:val="font41"/>
    <w:basedOn w:val="7"/>
    <w:qFormat/>
    <w:uiPriority w:val="0"/>
    <w:rPr>
      <w:rFonts w:hint="default" w:ascii="Times New Roman" w:hAnsi="Times New Roman" w:cs="Times New Roman"/>
      <w:color w:val="000000"/>
      <w:sz w:val="16"/>
      <w:szCs w:val="16"/>
      <w:u w:val="none"/>
    </w:rPr>
  </w:style>
  <w:style w:type="character" w:customStyle="1" w:styleId="83">
    <w:name w:val="15"/>
    <w:qFormat/>
    <w:uiPriority w:val="0"/>
    <w:rPr>
      <w:rFonts w:ascii="Calibri" w:hAnsi="Calibri"/>
      <w:color w:val="0000FF"/>
      <w:u w:val="single"/>
    </w:rPr>
  </w:style>
  <w:style w:type="paragraph" w:customStyle="1" w:styleId="84">
    <w:name w:val="&quot;Table caption|1&quot;"/>
    <w:basedOn w:val="1"/>
    <w:qFormat/>
    <w:uiPriority w:val="0"/>
    <w:pPr>
      <w:shd w:val="clear" w:color="FFFFFF" w:fill="FFFFFF"/>
      <w:jc w:val="left"/>
    </w:pPr>
    <w:rPr>
      <w:rFonts w:ascii="MingLiU" w:hAnsi="MingLiU" w:eastAsia="MingLiU" w:cs="MingLiU"/>
      <w:color w:val="000000"/>
      <w:sz w:val="19"/>
      <w:szCs w:val="19"/>
      <w:lang w:val="zh-TW" w:eastAsia="zh-TW" w:bidi="zh-TW"/>
    </w:rPr>
  </w:style>
  <w:style w:type="paragraph" w:customStyle="1" w:styleId="85">
    <w:name w:val="列出段落1"/>
    <w:basedOn w:val="1"/>
    <w:qFormat/>
    <w:uiPriority w:val="0"/>
    <w:pPr>
      <w:ind w:firstLine="420" w:firstLineChars="200"/>
    </w:pPr>
  </w:style>
  <w:style w:type="paragraph" w:customStyle="1" w:styleId="86">
    <w:name w:val="正文_5_0"/>
    <w:qFormat/>
    <w:uiPriority w:val="0"/>
    <w:pPr>
      <w:widowControl w:val="0"/>
      <w:jc w:val="both"/>
    </w:pPr>
    <w:rPr>
      <w:rFonts w:ascii="Calibri" w:hAnsi="Calibri" w:eastAsia="宋体" w:cs="Times New Roman"/>
      <w:kern w:val="2"/>
      <w:sz w:val="21"/>
      <w:szCs w:val="22"/>
    </w:rPr>
  </w:style>
  <w:style w:type="paragraph" w:customStyle="1" w:styleId="87">
    <w:name w:val="*正文_0_0_0"/>
    <w:basedOn w:val="88"/>
    <w:next w:val="88"/>
    <w:qFormat/>
    <w:uiPriority w:val="0"/>
    <w:pPr>
      <w:widowControl/>
      <w:ind w:firstLine="482"/>
    </w:pPr>
    <w:rPr>
      <w:rFonts w:ascii="微软雅黑" w:hAnsi="微软雅黑" w:eastAsia="微软雅黑" w:cs="宋体"/>
      <w:kern w:val="0"/>
      <w:szCs w:val="21"/>
    </w:rPr>
  </w:style>
  <w:style w:type="paragraph" w:customStyle="1" w:styleId="88">
    <w:name w:val="正文_0_1"/>
    <w:qFormat/>
    <w:uiPriority w:val="0"/>
    <w:pPr>
      <w:widowControl w:val="0"/>
      <w:jc w:val="both"/>
    </w:pPr>
    <w:rPr>
      <w:rFonts w:ascii="Times New Roman" w:hAnsi="Times New Roman" w:eastAsia="宋体" w:cs="Times New Roman"/>
      <w:kern w:val="2"/>
      <w:sz w:val="21"/>
      <w:szCs w:val="22"/>
    </w:rPr>
  </w:style>
  <w:style w:type="paragraph" w:customStyle="1" w:styleId="89">
    <w:name w:val="正文_0_2"/>
    <w:qFormat/>
    <w:uiPriority w:val="0"/>
    <w:pPr>
      <w:widowControl w:val="0"/>
      <w:jc w:val="both"/>
    </w:pPr>
    <w:rPr>
      <w:rFonts w:ascii="Calibri" w:hAnsi="Calibri" w:eastAsia="宋体" w:cs="Times New Roman"/>
      <w:kern w:val="2"/>
      <w:sz w:val="21"/>
      <w:szCs w:val="22"/>
    </w:rPr>
  </w:style>
  <w:style w:type="paragraph" w:customStyle="1" w:styleId="90">
    <w:name w:val="*正文_1_0_0"/>
    <w:basedOn w:val="23"/>
    <w:next w:val="23"/>
    <w:qFormat/>
    <w:uiPriority w:val="0"/>
    <w:pPr>
      <w:widowControl/>
      <w:ind w:firstLine="482"/>
    </w:pPr>
    <w:rPr>
      <w:rFonts w:ascii="微软雅黑" w:hAnsi="微软雅黑" w:eastAsia="微软雅黑" w:cs="宋体"/>
      <w:kern w:val="0"/>
      <w:szCs w:val="21"/>
    </w:rPr>
  </w:style>
  <w:style w:type="paragraph" w:customStyle="1" w:styleId="91">
    <w:name w:val="*正文_3_0"/>
    <w:basedOn w:val="92"/>
    <w:next w:val="92"/>
    <w:qFormat/>
    <w:uiPriority w:val="0"/>
    <w:pPr>
      <w:widowControl/>
      <w:ind w:firstLine="482"/>
    </w:pPr>
    <w:rPr>
      <w:rFonts w:ascii="微软雅黑" w:hAnsi="微软雅黑" w:eastAsia="微软雅黑" w:cs="宋体"/>
      <w:kern w:val="0"/>
      <w:szCs w:val="21"/>
    </w:rPr>
  </w:style>
  <w:style w:type="paragraph" w:customStyle="1" w:styleId="92">
    <w:name w:val="正文_3_0"/>
    <w:qFormat/>
    <w:uiPriority w:val="0"/>
    <w:pPr>
      <w:widowControl w:val="0"/>
      <w:jc w:val="both"/>
    </w:pPr>
    <w:rPr>
      <w:rFonts w:ascii="Calibri" w:hAnsi="Calibri" w:eastAsia="宋体" w:cs="Times New Roman"/>
      <w:kern w:val="2"/>
      <w:sz w:val="21"/>
      <w:szCs w:val="22"/>
    </w:rPr>
  </w:style>
  <w:style w:type="paragraph" w:customStyle="1" w:styleId="93">
    <w:name w:val="正文_20_0"/>
    <w:basedOn w:val="94"/>
    <w:next w:val="94"/>
    <w:qFormat/>
    <w:uiPriority w:val="0"/>
    <w:rPr>
      <w:rFonts w:ascii="Calibri" w:hAnsi="Calibri" w:cs="宋体"/>
      <w:szCs w:val="21"/>
    </w:rPr>
  </w:style>
  <w:style w:type="paragraph" w:customStyle="1" w:styleId="94">
    <w:name w:val="正文_21"/>
    <w:qFormat/>
    <w:uiPriority w:val="0"/>
    <w:pPr>
      <w:widowControl w:val="0"/>
      <w:jc w:val="both"/>
    </w:pPr>
    <w:rPr>
      <w:rFonts w:ascii="Times New Roman" w:hAnsi="Times New Roman" w:eastAsia="宋体" w:cs="Times New Roman"/>
      <w:kern w:val="2"/>
      <w:sz w:val="21"/>
      <w:szCs w:val="22"/>
    </w:rPr>
  </w:style>
  <w:style w:type="paragraph" w:customStyle="1" w:styleId="95">
    <w:name w:val="Table Paragraph"/>
    <w:basedOn w:val="1"/>
    <w:qFormat/>
    <w:uiPriority w:val="1"/>
    <w:pPr>
      <w:autoSpaceDE w:val="0"/>
      <w:autoSpaceDN w:val="0"/>
      <w:jc w:val="left"/>
    </w:pPr>
    <w:rPr>
      <w:rFonts w:ascii="宋体" w:hAnsi="宋体" w:cs="宋体"/>
      <w:kern w:val="0"/>
      <w:sz w:val="22"/>
      <w:lang w:eastAsia="en-US"/>
    </w:rPr>
  </w:style>
  <w:style w:type="paragraph" w:customStyle="1" w:styleId="96">
    <w:name w:val="正文_5_0_0"/>
    <w:basedOn w:val="97"/>
    <w:qFormat/>
    <w:uiPriority w:val="0"/>
    <w:rPr>
      <w:rFonts w:cs="宋体"/>
      <w:szCs w:val="21"/>
    </w:rPr>
  </w:style>
  <w:style w:type="paragraph" w:customStyle="1" w:styleId="97">
    <w:name w:val="正文_5_1"/>
    <w:qFormat/>
    <w:uiPriority w:val="0"/>
    <w:pPr>
      <w:widowControl w:val="0"/>
      <w:jc w:val="both"/>
    </w:pPr>
    <w:rPr>
      <w:rFonts w:ascii="Calibri" w:hAnsi="Calibri" w:eastAsia="宋体" w:cs="Times New Roman"/>
      <w:kern w:val="2"/>
      <w:sz w:val="21"/>
      <w:szCs w:val="22"/>
    </w:rPr>
  </w:style>
  <w:style w:type="paragraph" w:customStyle="1" w:styleId="98">
    <w:name w:val="正文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99">
    <w:name w:val="*正文_4_0"/>
    <w:basedOn w:val="97"/>
    <w:next w:val="97"/>
    <w:qFormat/>
    <w:uiPriority w:val="0"/>
    <w:pPr>
      <w:widowControl/>
      <w:ind w:firstLine="482"/>
    </w:pPr>
    <w:rPr>
      <w:rFonts w:ascii="微软雅黑" w:hAnsi="微软雅黑" w:eastAsia="微软雅黑" w:cs="宋体"/>
      <w:kern w:val="0"/>
      <w:szCs w:val="21"/>
    </w:rPr>
  </w:style>
  <w:style w:type="paragraph" w:customStyle="1" w:styleId="100">
    <w:name w:val="Normal_8"/>
    <w:qFormat/>
    <w:uiPriority w:val="0"/>
    <w:rPr>
      <w:rFonts w:ascii="黑体" w:hAnsi="黑体" w:eastAsia="黑体" w:cs="Times New Roman"/>
      <w:b/>
      <w:sz w:val="32"/>
      <w:szCs w:val="24"/>
      <w:lang w:bidi="ar-SA"/>
    </w:rPr>
  </w:style>
  <w:style w:type="paragraph" w:customStyle="1" w:styleId="101">
    <w:name w:val="正文_7"/>
    <w:next w:val="10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2">
    <w:name w:val="正文文本缩进 2_0_0"/>
    <w:basedOn w:val="101"/>
    <w:unhideWhenUsed/>
    <w:qFormat/>
    <w:uiPriority w:val="0"/>
    <w:pPr>
      <w:spacing w:line="500" w:lineRule="exact"/>
      <w:ind w:firstLine="540" w:firstLineChars="200"/>
    </w:pPr>
    <w:rPr>
      <w:rFonts w:ascii="宋体" w:hAnsi="宋体"/>
      <w:sz w:val="27"/>
      <w:szCs w:val="27"/>
    </w:rPr>
  </w:style>
  <w:style w:type="paragraph" w:customStyle="1" w:styleId="103">
    <w:name w:val="Normal_11"/>
    <w:qFormat/>
    <w:uiPriority w:val="0"/>
    <w:rPr>
      <w:rFonts w:ascii="黑体" w:hAnsi="黑体" w:eastAsia="黑体" w:cs="Times New Roman"/>
      <w:b/>
      <w:sz w:val="32"/>
      <w:szCs w:val="24"/>
      <w:lang w:bidi="ar-SA"/>
    </w:rPr>
  </w:style>
  <w:style w:type="paragraph" w:customStyle="1" w:styleId="104">
    <w:name w:val="正文_1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5">
    <w:name w:val="正文_10_1"/>
    <w:basedOn w:val="106"/>
    <w:next w:val="106"/>
    <w:qFormat/>
    <w:uiPriority w:val="0"/>
    <w:rPr>
      <w:rFonts w:cs="宋体"/>
      <w:szCs w:val="21"/>
    </w:rPr>
  </w:style>
  <w:style w:type="paragraph" w:customStyle="1" w:styleId="106">
    <w:name w:val="正文_10_0"/>
    <w:qFormat/>
    <w:uiPriority w:val="0"/>
    <w:pPr>
      <w:widowControl w:val="0"/>
      <w:jc w:val="both"/>
    </w:pPr>
    <w:rPr>
      <w:rFonts w:ascii="Calibri" w:hAnsi="Calibri" w:eastAsia="宋体" w:cs="Times New Roman"/>
      <w:kern w:val="2"/>
      <w:sz w:val="21"/>
      <w:szCs w:val="22"/>
    </w:rPr>
  </w:style>
  <w:style w:type="paragraph" w:customStyle="1" w:styleId="107">
    <w:name w:val="*正文_6"/>
    <w:basedOn w:val="106"/>
    <w:next w:val="105"/>
    <w:qFormat/>
    <w:uiPriority w:val="0"/>
    <w:pPr>
      <w:widowControl/>
      <w:ind w:firstLine="482"/>
    </w:pPr>
    <w:rPr>
      <w:rFonts w:ascii="微软雅黑" w:hAnsi="微软雅黑" w:eastAsia="微软雅黑" w:cs="宋体"/>
      <w:kern w:val="0"/>
      <w:szCs w:val="21"/>
    </w:rPr>
  </w:style>
  <w:style w:type="paragraph" w:customStyle="1" w:styleId="108">
    <w:name w:val="Normal_13"/>
    <w:qFormat/>
    <w:uiPriority w:val="0"/>
    <w:rPr>
      <w:rFonts w:ascii="黑体" w:hAnsi="黑体" w:eastAsia="黑体" w:cs="Times New Roman"/>
      <w:b/>
      <w:sz w:val="32"/>
      <w:szCs w:val="24"/>
      <w:lang w:bidi="ar-SA"/>
    </w:rPr>
  </w:style>
  <w:style w:type="paragraph" w:customStyle="1" w:styleId="109">
    <w:name w:val="正文_1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0">
    <w:name w:val="正文_14"/>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1">
    <w:name w:val="Normal_16"/>
    <w:qFormat/>
    <w:uiPriority w:val="0"/>
    <w:rPr>
      <w:rFonts w:ascii="黑体" w:hAnsi="黑体" w:eastAsia="黑体" w:cs="Times New Roman"/>
      <w:b/>
      <w:sz w:val="32"/>
      <w:szCs w:val="24"/>
      <w:lang w:bidi="ar-SA"/>
    </w:rPr>
  </w:style>
  <w:style w:type="character" w:customStyle="1" w:styleId="112">
    <w:name w:val="font21"/>
    <w:basedOn w:val="7"/>
    <w:qFormat/>
    <w:uiPriority w:val="0"/>
    <w:rPr>
      <w:rFonts w:hint="eastAsia" w:ascii="宋体" w:hAnsi="宋体" w:eastAsia="宋体" w:cs="宋体"/>
      <w:color w:val="000000"/>
      <w:sz w:val="16"/>
      <w:szCs w:val="16"/>
      <w:u w:val="none"/>
    </w:rPr>
  </w:style>
  <w:style w:type="character" w:customStyle="1" w:styleId="113">
    <w:name w:val="first-child"/>
    <w:basedOn w:val="7"/>
    <w:qFormat/>
    <w:uiPriority w:val="0"/>
  </w:style>
  <w:style w:type="character" w:customStyle="1" w:styleId="114">
    <w:name w:val="layui-layer-tabnow"/>
    <w:basedOn w:val="7"/>
    <w:qFormat/>
    <w:uiPriority w:val="0"/>
    <w:rPr>
      <w:bdr w:val="single" w:color="CCCCCC" w:sz="6" w:space="0"/>
      <w:shd w:val="clear" w:fill="FFFFFF"/>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4.pn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191</Pages>
  <Words>18363</Words>
  <Characters>19911</Characters>
  <Lines>0</Lines>
  <Paragraphs>0</Paragraphs>
  <TotalTime>90</TotalTime>
  <ScaleCrop>false</ScaleCrop>
  <LinksUpToDate>false</LinksUpToDate>
  <CharactersWithSpaces>20980</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2025-09-23T08:34:00Z</dcterms:created>
  <dc:creator>河南城发工程管理有限公司</dc:creator>
  <cp:lastModifiedBy>河南城发工程管理有限公司</cp:lastModifiedBy>
  <cp:lastPrinted>2025-10-28T01:16:00Z</cp:lastPrinted>
  <dcterms:modified xsi:type="dcterms:W3CDTF">2025-11-24T08:20:22Z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F1AEC1273AF14FF4BDCA99842836E7C6_13</vt:lpwstr>
  </property>
  <property fmtid="{D5CDD505-2E9C-101B-9397-08002B2CF9AE}" pid="4" name="KSOTemplateDocerSaveRecord">
    <vt:lpwstr>eyJoZGlkIjoiMTYyNGU4YjI1MWViMzZiYzhjZDNiYzUxODVjOTgwOTYiLCJ1c2VySWQiOiIxMDI1MDAwOTk3In0=</vt:lpwstr>
  </property>
</Properties>
</file>