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pageBreakBefore w:val="0"/>
        <w:kinsoku/>
        <w:overflowPunct/>
        <w:bidi w:val="0"/>
        <w:snapToGrid/>
        <w:spacing w:line="360" w:lineRule="auto"/>
        <w:jc w:val="center"/>
        <w:textAlignment w:val="auto"/>
        <w:rPr>
          <w:rFonts w:hint="eastAsia" w:ascii="宋体" w:hAnsi="宋体" w:eastAsia="宋体" w:cs="宋体"/>
          <w:snapToGrid w:val="0"/>
          <w:color w:val="auto"/>
          <w:spacing w:val="0"/>
          <w:sz w:val="44"/>
        </w:rPr>
      </w:pPr>
    </w:p>
    <w:p>
      <w:pPr>
        <w:pStyle w:val="8"/>
        <w:keepNext w:val="0"/>
        <w:pageBreakBefore w:val="0"/>
        <w:kinsoku/>
        <w:overflowPunct/>
        <w:bidi w:val="0"/>
        <w:snapToGrid/>
        <w:spacing w:line="360" w:lineRule="auto"/>
        <w:jc w:val="center"/>
        <w:textAlignment w:val="auto"/>
        <w:rPr>
          <w:rFonts w:hint="eastAsia" w:ascii="宋体" w:hAnsi="宋体" w:eastAsia="宋体" w:cs="宋体"/>
          <w:snapToGrid w:val="0"/>
          <w:color w:val="auto"/>
          <w:spacing w:val="0"/>
          <w:sz w:val="44"/>
        </w:rPr>
      </w:pPr>
    </w:p>
    <w:p>
      <w:pPr>
        <w:pStyle w:val="8"/>
        <w:keepNext w:val="0"/>
        <w:pageBreakBefore w:val="0"/>
        <w:kinsoku/>
        <w:overflowPunct/>
        <w:bidi w:val="0"/>
        <w:snapToGrid/>
        <w:spacing w:line="360" w:lineRule="auto"/>
        <w:jc w:val="center"/>
        <w:textAlignment w:val="auto"/>
        <w:rPr>
          <w:rFonts w:hint="eastAsia" w:ascii="仿宋" w:hAnsi="仿宋" w:eastAsia="仿宋" w:cs="仿宋"/>
          <w:b/>
          <w:bCs/>
          <w:snapToGrid w:val="0"/>
          <w:color w:val="auto"/>
          <w:spacing w:val="0"/>
          <w:sz w:val="44"/>
          <w:lang w:eastAsia="zh-CN"/>
        </w:rPr>
      </w:pPr>
      <w:r>
        <w:rPr>
          <w:rFonts w:hint="eastAsia" w:ascii="仿宋" w:hAnsi="仿宋" w:eastAsia="仿宋" w:cs="仿宋"/>
          <w:b/>
          <w:bCs/>
          <w:snapToGrid w:val="0"/>
          <w:color w:val="auto"/>
          <w:spacing w:val="0"/>
          <w:sz w:val="44"/>
          <w:lang w:eastAsia="zh-CN"/>
        </w:rPr>
        <w:t>洛阳市涧西区财政局综合治税第三方纳税</w:t>
      </w:r>
    </w:p>
    <w:p>
      <w:pPr>
        <w:pStyle w:val="8"/>
        <w:keepNext w:val="0"/>
        <w:pageBreakBefore w:val="0"/>
        <w:kinsoku/>
        <w:overflowPunct/>
        <w:bidi w:val="0"/>
        <w:snapToGrid/>
        <w:spacing w:line="360" w:lineRule="auto"/>
        <w:jc w:val="center"/>
        <w:textAlignment w:val="auto"/>
        <w:rPr>
          <w:rFonts w:hint="eastAsia" w:ascii="仿宋" w:hAnsi="仿宋" w:eastAsia="仿宋" w:cs="仿宋"/>
          <w:snapToGrid w:val="0"/>
          <w:color w:val="auto"/>
          <w:spacing w:val="0"/>
          <w:sz w:val="44"/>
        </w:rPr>
      </w:pPr>
      <w:r>
        <w:rPr>
          <w:rFonts w:hint="eastAsia" w:ascii="仿宋" w:hAnsi="仿宋" w:eastAsia="仿宋" w:cs="仿宋"/>
          <w:b/>
          <w:bCs/>
          <w:snapToGrid w:val="0"/>
          <w:color w:val="auto"/>
          <w:spacing w:val="0"/>
          <w:sz w:val="44"/>
          <w:lang w:eastAsia="zh-CN"/>
        </w:rPr>
        <w:t>评估项目</w:t>
      </w:r>
    </w:p>
    <w:p>
      <w:pPr>
        <w:pStyle w:val="9"/>
        <w:rPr>
          <w:rFonts w:hint="eastAsia"/>
        </w:rPr>
      </w:pPr>
    </w:p>
    <w:p>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hint="eastAsia" w:ascii="仿宋" w:hAnsi="仿宋" w:eastAsia="仿宋" w:cs="仿宋"/>
          <w:b/>
          <w:bCs/>
          <w:snapToGrid w:val="0"/>
          <w:color w:val="auto"/>
          <w:spacing w:val="0"/>
          <w:sz w:val="84"/>
          <w:szCs w:val="84"/>
        </w:rPr>
      </w:pPr>
      <w:r>
        <w:rPr>
          <w:rFonts w:hint="eastAsia" w:ascii="仿宋" w:hAnsi="仿宋" w:eastAsia="仿宋" w:cs="仿宋"/>
          <w:b/>
          <w:bCs/>
          <w:snapToGrid w:val="0"/>
          <w:color w:val="auto"/>
          <w:spacing w:val="0"/>
          <w:sz w:val="84"/>
          <w:szCs w:val="84"/>
        </w:rPr>
        <w:t>招 标 文 件</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outlineLvl w:val="9"/>
        <w:rPr>
          <w:rFonts w:hint="eastAsia" w:ascii="仿宋" w:hAnsi="仿宋" w:eastAsia="仿宋" w:cs="仿宋"/>
          <w:snapToGrid w:val="0"/>
          <w:color w:val="auto"/>
          <w:spacing w:val="0"/>
          <w:sz w:val="32"/>
          <w:szCs w:val="32"/>
        </w:rPr>
      </w:pPr>
    </w:p>
    <w:p>
      <w:pPr>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仿宋" w:hAnsi="仿宋" w:eastAsia="仿宋" w:cs="仿宋"/>
          <w:snapToGrid w:val="0"/>
          <w:color w:val="auto"/>
          <w:spacing w:val="0"/>
          <w:sz w:val="32"/>
          <w:szCs w:val="32"/>
          <w:highlight w:val="yellow"/>
        </w:rPr>
      </w:pPr>
    </w:p>
    <w:p>
      <w:pPr>
        <w:pStyle w:val="52"/>
        <w:ind w:firstLine="2530" w:firstLineChars="900"/>
        <w:jc w:val="both"/>
        <w:rPr>
          <w:rFonts w:hint="eastAsia" w:ascii="仿宋" w:hAnsi="仿宋" w:eastAsia="仿宋" w:cs="仿宋"/>
          <w:b/>
          <w:sz w:val="28"/>
          <w:szCs w:val="28"/>
        </w:rPr>
      </w:pPr>
      <w:r>
        <w:rPr>
          <w:rFonts w:hint="eastAsia" w:ascii="仿宋" w:hAnsi="仿宋" w:eastAsia="仿宋" w:cs="仿宋"/>
          <w:b/>
          <w:sz w:val="28"/>
          <w:szCs w:val="28"/>
        </w:rPr>
        <w:t>项目编号: 涧西政采招标(2022)0090号</w:t>
      </w:r>
    </w:p>
    <w:p>
      <w:pPr>
        <w:pStyle w:val="52"/>
        <w:jc w:val="center"/>
        <w:rPr>
          <w:rFonts w:hint="default" w:ascii="仿宋" w:hAnsi="仿宋" w:eastAsia="仿宋" w:cs="仿宋"/>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政府采购管理部门备案编号：</w:t>
      </w:r>
      <w:r>
        <w:rPr>
          <w:rFonts w:hint="eastAsia" w:ascii="仿宋" w:hAnsi="仿宋" w:eastAsia="仿宋" w:cs="仿宋"/>
          <w:b/>
          <w:sz w:val="28"/>
          <w:szCs w:val="28"/>
          <w:lang w:val="en-US" w:eastAsia="zh-CN"/>
        </w:rPr>
        <w:t>洛涧公开-2022-40</w:t>
      </w:r>
    </w:p>
    <w:p>
      <w:pPr>
        <w:pStyle w:val="8"/>
        <w:keepNext w:val="0"/>
        <w:pageBreakBefore w:val="0"/>
        <w:kinsoku/>
        <w:overflowPunct/>
        <w:bidi w:val="0"/>
        <w:snapToGrid/>
        <w:spacing w:line="360" w:lineRule="auto"/>
        <w:jc w:val="center"/>
        <w:textAlignment w:val="auto"/>
        <w:rPr>
          <w:rFonts w:hint="eastAsia" w:ascii="仿宋" w:hAnsi="仿宋" w:eastAsia="仿宋" w:cs="仿宋"/>
          <w:snapToGrid w:val="0"/>
          <w:color w:val="auto"/>
          <w:spacing w:val="0"/>
          <w:sz w:val="32"/>
          <w:szCs w:val="32"/>
        </w:rPr>
      </w:pPr>
    </w:p>
    <w:p>
      <w:pPr>
        <w:pStyle w:val="8"/>
        <w:keepNext w:val="0"/>
        <w:pageBreakBefore w:val="0"/>
        <w:kinsoku/>
        <w:overflowPunct/>
        <w:bidi w:val="0"/>
        <w:snapToGrid/>
        <w:spacing w:line="360" w:lineRule="auto"/>
        <w:jc w:val="center"/>
        <w:textAlignment w:val="auto"/>
        <w:rPr>
          <w:rFonts w:hint="eastAsia" w:ascii="仿宋" w:hAnsi="仿宋" w:eastAsia="仿宋" w:cs="仿宋"/>
          <w:snapToGrid w:val="0"/>
          <w:color w:val="auto"/>
          <w:spacing w:val="0"/>
          <w:sz w:val="32"/>
          <w:szCs w:val="32"/>
        </w:rPr>
      </w:pPr>
    </w:p>
    <w:p>
      <w:pPr>
        <w:pStyle w:val="9"/>
        <w:rPr>
          <w:rFonts w:hint="eastAsia" w:ascii="仿宋" w:hAnsi="仿宋" w:eastAsia="仿宋" w:cs="仿宋"/>
          <w:snapToGrid w:val="0"/>
          <w:color w:val="auto"/>
          <w:spacing w:val="0"/>
          <w:sz w:val="32"/>
          <w:szCs w:val="32"/>
        </w:rPr>
      </w:pPr>
    </w:p>
    <w:p>
      <w:pPr>
        <w:pStyle w:val="9"/>
        <w:rPr>
          <w:rFonts w:hint="eastAsia" w:ascii="仿宋" w:hAnsi="仿宋" w:eastAsia="仿宋" w:cs="仿宋"/>
          <w:snapToGrid w:val="0"/>
          <w:color w:val="auto"/>
          <w:spacing w:val="0"/>
          <w:sz w:val="32"/>
          <w:szCs w:val="32"/>
        </w:rPr>
      </w:pPr>
    </w:p>
    <w:p>
      <w:pPr>
        <w:pStyle w:val="9"/>
        <w:rPr>
          <w:rFonts w:hint="eastAsia" w:ascii="仿宋" w:hAnsi="仿宋" w:eastAsia="仿宋" w:cs="仿宋"/>
          <w:snapToGrid w:val="0"/>
          <w:color w:val="auto"/>
          <w:spacing w:val="0"/>
          <w:sz w:val="32"/>
          <w:szCs w:val="32"/>
        </w:rPr>
      </w:pPr>
    </w:p>
    <w:p>
      <w:pPr>
        <w:pStyle w:val="8"/>
        <w:keepNext w:val="0"/>
        <w:pageBreakBefore w:val="0"/>
        <w:kinsoku/>
        <w:overflowPunct/>
        <w:bidi w:val="0"/>
        <w:snapToGrid/>
        <w:spacing w:line="360" w:lineRule="auto"/>
        <w:jc w:val="center"/>
        <w:textAlignment w:val="auto"/>
        <w:rPr>
          <w:rFonts w:hint="eastAsia" w:ascii="仿宋" w:hAnsi="仿宋" w:eastAsia="仿宋" w:cs="仿宋"/>
          <w:snapToGrid w:val="0"/>
          <w:color w:val="auto"/>
          <w:spacing w:val="0"/>
          <w:sz w:val="32"/>
          <w:szCs w:val="32"/>
        </w:rPr>
      </w:pPr>
    </w:p>
    <w:p>
      <w:pPr>
        <w:pStyle w:val="8"/>
        <w:keepNext w:val="0"/>
        <w:pageBreakBefore w:val="0"/>
        <w:kinsoku/>
        <w:overflowPunct/>
        <w:bidi w:val="0"/>
        <w:snapToGrid/>
        <w:spacing w:line="360" w:lineRule="auto"/>
        <w:jc w:val="center"/>
        <w:textAlignment w:val="auto"/>
        <w:rPr>
          <w:rFonts w:hint="eastAsia" w:ascii="仿宋" w:hAnsi="仿宋" w:eastAsia="仿宋" w:cs="仿宋"/>
          <w:snapToGrid w:val="0"/>
          <w:color w:val="auto"/>
          <w:spacing w:val="0"/>
          <w:sz w:val="32"/>
          <w:szCs w:val="32"/>
        </w:rPr>
      </w:pPr>
    </w:p>
    <w:p>
      <w:pPr>
        <w:pStyle w:val="8"/>
        <w:keepNext w:val="0"/>
        <w:pageBreakBefore w:val="0"/>
        <w:kinsoku/>
        <w:overflowPunct/>
        <w:bidi w:val="0"/>
        <w:snapToGrid/>
        <w:spacing w:line="360" w:lineRule="auto"/>
        <w:jc w:val="center"/>
        <w:textAlignment w:val="auto"/>
        <w:rPr>
          <w:rFonts w:hint="eastAsia" w:ascii="仿宋" w:hAnsi="仿宋" w:eastAsia="仿宋" w:cs="仿宋"/>
          <w:snapToGrid w:val="0"/>
          <w:color w:val="auto"/>
          <w:spacing w:val="0"/>
          <w:sz w:val="32"/>
          <w:szCs w:val="32"/>
        </w:rPr>
      </w:pPr>
    </w:p>
    <w:p>
      <w:pPr>
        <w:pStyle w:val="8"/>
        <w:keepNext w:val="0"/>
        <w:pageBreakBefore w:val="0"/>
        <w:kinsoku/>
        <w:overflowPunct/>
        <w:bidi w:val="0"/>
        <w:snapToGrid/>
        <w:spacing w:line="360" w:lineRule="auto"/>
        <w:jc w:val="center"/>
        <w:textAlignment w:val="auto"/>
        <w:rPr>
          <w:rFonts w:hint="eastAsia" w:ascii="仿宋" w:hAnsi="仿宋" w:eastAsia="仿宋" w:cs="仿宋"/>
          <w:snapToGrid w:val="0"/>
          <w:color w:val="auto"/>
          <w:spacing w:val="0"/>
          <w:sz w:val="32"/>
          <w:szCs w:val="32"/>
        </w:rPr>
      </w:pPr>
    </w:p>
    <w:p>
      <w:pPr>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仿宋" w:hAnsi="仿宋" w:eastAsia="仿宋" w:cs="仿宋"/>
          <w:b/>
          <w:bCs/>
          <w:snapToGrid w:val="0"/>
          <w:color w:val="auto"/>
          <w:spacing w:val="0"/>
          <w:sz w:val="28"/>
          <w:lang w:eastAsia="zh-CN"/>
        </w:rPr>
      </w:pPr>
      <w:r>
        <w:rPr>
          <w:rFonts w:hint="eastAsia" w:ascii="仿宋" w:hAnsi="仿宋" w:eastAsia="仿宋" w:cs="仿宋"/>
          <w:b/>
          <w:bCs/>
          <w:snapToGrid w:val="0"/>
          <w:color w:val="auto"/>
          <w:spacing w:val="0"/>
          <w:sz w:val="28"/>
        </w:rPr>
        <w:t>采购人：</w:t>
      </w:r>
      <w:r>
        <w:rPr>
          <w:rFonts w:hint="eastAsia" w:ascii="仿宋" w:hAnsi="仿宋" w:eastAsia="仿宋" w:cs="仿宋"/>
          <w:b/>
          <w:bCs/>
          <w:snapToGrid w:val="0"/>
          <w:color w:val="auto"/>
          <w:spacing w:val="0"/>
          <w:sz w:val="28"/>
          <w:lang w:eastAsia="zh-CN"/>
        </w:rPr>
        <w:t>洛阳市涧西区财政局</w:t>
      </w:r>
    </w:p>
    <w:p>
      <w:pPr>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仿宋" w:hAnsi="仿宋" w:eastAsia="仿宋" w:cs="仿宋"/>
          <w:b/>
          <w:bCs/>
          <w:snapToGrid w:val="0"/>
          <w:color w:val="auto"/>
          <w:spacing w:val="0"/>
          <w:sz w:val="28"/>
        </w:rPr>
      </w:pPr>
      <w:r>
        <w:rPr>
          <w:rFonts w:hint="eastAsia" w:ascii="仿宋" w:hAnsi="仿宋" w:eastAsia="仿宋" w:cs="仿宋"/>
          <w:b/>
          <w:bCs/>
          <w:snapToGrid w:val="0"/>
          <w:color w:val="auto"/>
          <w:spacing w:val="0"/>
          <w:sz w:val="28"/>
        </w:rPr>
        <w:t>采购代理机构：河南新衡达工程管理有限公司</w:t>
      </w:r>
    </w:p>
    <w:p>
      <w:pPr>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仿宋" w:hAnsi="仿宋" w:eastAsia="仿宋" w:cs="仿宋"/>
          <w:b/>
          <w:bCs/>
          <w:snapToGrid w:val="0"/>
          <w:color w:val="auto"/>
          <w:spacing w:val="0"/>
          <w:sz w:val="28"/>
          <w:highlight w:val="none"/>
        </w:rPr>
      </w:pPr>
      <w:r>
        <w:rPr>
          <w:rFonts w:hint="eastAsia" w:ascii="仿宋" w:hAnsi="仿宋" w:eastAsia="仿宋" w:cs="仿宋"/>
          <w:b/>
          <w:bCs/>
          <w:snapToGrid w:val="0"/>
          <w:color w:val="auto"/>
          <w:spacing w:val="0"/>
          <w:sz w:val="28"/>
          <w:highlight w:val="none"/>
        </w:rPr>
        <w:t>日期：二○二</w:t>
      </w:r>
      <w:r>
        <w:rPr>
          <w:rFonts w:hint="eastAsia" w:ascii="仿宋" w:hAnsi="仿宋" w:eastAsia="仿宋" w:cs="仿宋"/>
          <w:b/>
          <w:bCs/>
          <w:snapToGrid w:val="0"/>
          <w:color w:val="auto"/>
          <w:spacing w:val="0"/>
          <w:sz w:val="28"/>
          <w:highlight w:val="none"/>
          <w:lang w:val="en-US" w:eastAsia="zh-CN"/>
        </w:rPr>
        <w:t>二</w:t>
      </w:r>
      <w:r>
        <w:rPr>
          <w:rFonts w:hint="eastAsia" w:ascii="仿宋" w:hAnsi="仿宋" w:eastAsia="仿宋" w:cs="仿宋"/>
          <w:b/>
          <w:bCs/>
          <w:snapToGrid w:val="0"/>
          <w:color w:val="auto"/>
          <w:spacing w:val="0"/>
          <w:sz w:val="28"/>
          <w:highlight w:val="none"/>
        </w:rPr>
        <w:t>年九月</w:t>
      </w:r>
    </w:p>
    <w:p>
      <w:pPr>
        <w:rPr>
          <w:rFonts w:hint="eastAsia" w:ascii="仿宋" w:hAnsi="仿宋" w:eastAsia="仿宋" w:cs="仿宋"/>
          <w:snapToGrid w:val="0"/>
          <w:spacing w:val="0"/>
          <w:highlight w:val="yellow"/>
        </w:rPr>
        <w:sectPr>
          <w:headerReference r:id="rId3" w:type="default"/>
          <w:footerReference r:id="rId4" w:type="default"/>
          <w:pgSz w:w="11906" w:h="16838"/>
          <w:pgMar w:top="1134" w:right="1134" w:bottom="1134" w:left="1134" w:header="851" w:footer="992" w:gutter="0"/>
          <w:pgNumType w:fmt="decimal" w:start="1"/>
          <w:cols w:space="425" w:num="1"/>
          <w:docGrid w:type="lines" w:linePitch="312" w:charSpace="0"/>
        </w:sect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bCs/>
          <w:snapToGrid w:val="0"/>
          <w:spacing w:val="0"/>
          <w:sz w:val="32"/>
          <w:szCs w:val="32"/>
        </w:rPr>
      </w:pPr>
      <w:r>
        <w:rPr>
          <w:rFonts w:hint="eastAsia" w:ascii="仿宋" w:hAnsi="仿宋" w:eastAsia="仿宋" w:cs="仿宋"/>
          <w:b/>
          <w:bCs/>
          <w:snapToGrid w:val="0"/>
          <w:spacing w:val="0"/>
          <w:sz w:val="32"/>
          <w:szCs w:val="32"/>
        </w:rPr>
        <w:t>特 别 提 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rPr>
      </w:pPr>
      <w:r>
        <w:rPr>
          <w:rFonts w:hint="eastAsia" w:ascii="仿宋" w:hAnsi="仿宋" w:eastAsia="仿宋" w:cs="仿宋"/>
          <w:b/>
          <w:bCs/>
          <w:snapToGrid w:val="0"/>
          <w:spacing w:val="0"/>
          <w:sz w:val="24"/>
          <w:szCs w:val="24"/>
        </w:rPr>
        <w:t>1、投标文件制作</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rPr>
      </w:pPr>
      <w:r>
        <w:rPr>
          <w:rFonts w:hint="eastAsia" w:ascii="仿宋" w:hAnsi="仿宋" w:eastAsia="仿宋" w:cs="仿宋"/>
          <w:snapToGrid w:val="0"/>
          <w:spacing w:val="0"/>
          <w:sz w:val="24"/>
          <w:szCs w:val="24"/>
        </w:rPr>
        <w:t xml:space="preserve">1.1 </w:t>
      </w:r>
      <w:r>
        <w:rPr>
          <w:rFonts w:hint="eastAsia" w:ascii="仿宋" w:hAnsi="仿宋" w:eastAsia="仿宋" w:cs="仿宋"/>
          <w:snapToGrid w:val="0"/>
          <w:spacing w:val="0"/>
          <w:sz w:val="24"/>
          <w:szCs w:val="24"/>
          <w:lang w:eastAsia="zh-CN"/>
        </w:rPr>
        <w:t>供应商</w:t>
      </w:r>
      <w:r>
        <w:rPr>
          <w:rFonts w:hint="eastAsia" w:ascii="仿宋" w:hAnsi="仿宋" w:eastAsia="仿宋" w:cs="仿宋"/>
          <w:snapToGrid w:val="0"/>
          <w:spacing w:val="0"/>
          <w:sz w:val="24"/>
          <w:szCs w:val="24"/>
        </w:rPr>
        <w:t>登录“洛阳市公共资源交易中心”网站，进入【办事指南】-【下载中心】-【操作手册】下载“新点投标文件制作软件”。</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rPr>
      </w:pPr>
      <w:r>
        <w:rPr>
          <w:rFonts w:hint="eastAsia" w:ascii="仿宋" w:hAnsi="仿宋" w:eastAsia="仿宋" w:cs="仿宋"/>
          <w:snapToGrid w:val="0"/>
          <w:spacing w:val="0"/>
          <w:sz w:val="24"/>
          <w:szCs w:val="24"/>
        </w:rPr>
        <w:t xml:space="preserve">1.2 </w:t>
      </w:r>
      <w:r>
        <w:rPr>
          <w:rFonts w:hint="eastAsia" w:ascii="仿宋" w:hAnsi="仿宋" w:eastAsia="仿宋" w:cs="仿宋"/>
          <w:snapToGrid w:val="0"/>
          <w:spacing w:val="0"/>
          <w:sz w:val="24"/>
          <w:szCs w:val="24"/>
          <w:lang w:eastAsia="zh-CN"/>
        </w:rPr>
        <w:t>供应商</w:t>
      </w:r>
      <w:r>
        <w:rPr>
          <w:rFonts w:hint="eastAsia" w:ascii="仿宋" w:hAnsi="仿宋" w:eastAsia="仿宋" w:cs="仿宋"/>
          <w:snapToGrid w:val="0"/>
          <w:spacing w:val="0"/>
          <w:sz w:val="24"/>
          <w:szCs w:val="24"/>
        </w:rPr>
        <w:t>凭 CA 锁登录，并按网上提示自行下载招标文件。使用“新点投标文件制作软件”按要求制作电子投标文件。</w:t>
      </w:r>
      <w:r>
        <w:rPr>
          <w:rFonts w:hint="eastAsia" w:ascii="仿宋" w:hAnsi="仿宋" w:eastAsia="仿宋" w:cs="仿宋"/>
          <w:snapToGrid w:val="0"/>
          <w:spacing w:val="0"/>
          <w:sz w:val="24"/>
          <w:szCs w:val="24"/>
          <w:lang w:eastAsia="zh-CN"/>
        </w:rPr>
        <w:t>供应商</w:t>
      </w:r>
      <w:r>
        <w:rPr>
          <w:rFonts w:hint="eastAsia" w:ascii="仿宋" w:hAnsi="仿宋" w:eastAsia="仿宋" w:cs="仿宋"/>
          <w:snapToGrid w:val="0"/>
          <w:spacing w:val="0"/>
          <w:sz w:val="24"/>
          <w:szCs w:val="24"/>
        </w:rPr>
        <w:t>在制作电子投标文件时，应按要求进行电子签章。</w:t>
      </w:r>
      <w:r>
        <w:rPr>
          <w:rFonts w:hint="eastAsia" w:ascii="仿宋" w:hAnsi="仿宋" w:eastAsia="仿宋" w:cs="仿宋"/>
          <w:snapToGrid w:val="0"/>
          <w:spacing w:val="0"/>
          <w:sz w:val="24"/>
          <w:szCs w:val="24"/>
          <w:lang w:eastAsia="zh-CN"/>
        </w:rPr>
        <w:t>供应商</w:t>
      </w:r>
      <w:r>
        <w:rPr>
          <w:rFonts w:hint="eastAsia" w:ascii="仿宋" w:hAnsi="仿宋" w:eastAsia="仿宋" w:cs="仿宋"/>
          <w:snapToGrid w:val="0"/>
          <w:spacing w:val="0"/>
          <w:sz w:val="24"/>
          <w:szCs w:val="24"/>
        </w:rPr>
        <w:t xml:space="preserve">编辑电子投标文件时，根据招标文件要求用法定代表人CA锁和企业CA锁进行签章制作；最后一步生成电子投标文件（*.lytf格式）时，只能用本单位的企业 CA 锁。联合体投标的，投标文件由联合体牵头人按上述规定进行签章。 </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rPr>
      </w:pPr>
      <w:r>
        <w:rPr>
          <w:rFonts w:hint="eastAsia" w:ascii="仿宋" w:hAnsi="仿宋" w:eastAsia="仿宋" w:cs="仿宋"/>
          <w:snapToGrid w:val="0"/>
          <w:spacing w:val="0"/>
          <w:sz w:val="24"/>
          <w:szCs w:val="24"/>
        </w:rPr>
        <w:t>1.3 加密的电子投标文件为“洛阳市公共资源交易中心”网站提供的“新点投标文件制作软件”制作生成的加密版投标文件。</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rPr>
      </w:pPr>
      <w:r>
        <w:rPr>
          <w:rFonts w:hint="eastAsia" w:ascii="仿宋" w:hAnsi="仿宋" w:eastAsia="仿宋" w:cs="仿宋"/>
          <w:snapToGrid w:val="0"/>
          <w:spacing w:val="0"/>
          <w:sz w:val="24"/>
          <w:szCs w:val="24"/>
        </w:rPr>
        <w:t xml:space="preserve">1.4 招标文件格式所要求包含的全部资料应全部制作在投标文件内，严格按照本项目招标文件所有格式如实填写（不涉及的内容除外），不应存在漏项或缺项，否则将存在投标被否决的风险。 </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rPr>
      </w:pPr>
      <w:r>
        <w:rPr>
          <w:rFonts w:hint="eastAsia" w:ascii="仿宋" w:hAnsi="仿宋" w:eastAsia="仿宋" w:cs="仿宋"/>
          <w:snapToGrid w:val="0"/>
          <w:spacing w:val="0"/>
          <w:sz w:val="24"/>
          <w:szCs w:val="24"/>
        </w:rPr>
        <w:t>1.5 投标文件所附证明材料均为原件的扫描件（或照片），尺寸和清晰度应该能够在电脑上被阅读、识别和判断；若</w:t>
      </w:r>
      <w:r>
        <w:rPr>
          <w:rFonts w:hint="eastAsia" w:ascii="仿宋" w:hAnsi="仿宋" w:eastAsia="仿宋" w:cs="仿宋"/>
          <w:snapToGrid w:val="0"/>
          <w:spacing w:val="0"/>
          <w:sz w:val="24"/>
          <w:szCs w:val="24"/>
          <w:lang w:eastAsia="zh-CN"/>
        </w:rPr>
        <w:t>供应商</w:t>
      </w:r>
      <w:r>
        <w:rPr>
          <w:rFonts w:hint="eastAsia" w:ascii="仿宋" w:hAnsi="仿宋" w:eastAsia="仿宋" w:cs="仿宋"/>
          <w:snapToGrid w:val="0"/>
          <w:spacing w:val="0"/>
          <w:sz w:val="24"/>
          <w:szCs w:val="24"/>
        </w:rPr>
        <w:t xml:space="preserve">未按要求提供证明材料或提供不清晰的扫描件（或照片）的，评标委员会有权认定其投标文件未对招标文件有关要求进行响应。 </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rPr>
      </w:pPr>
      <w:r>
        <w:rPr>
          <w:rFonts w:hint="eastAsia" w:ascii="仿宋" w:hAnsi="仿宋" w:eastAsia="仿宋" w:cs="仿宋"/>
          <w:b/>
          <w:bCs/>
          <w:snapToGrid w:val="0"/>
          <w:spacing w:val="0"/>
          <w:sz w:val="24"/>
          <w:szCs w:val="24"/>
        </w:rPr>
        <w:t>2、投标文件的提交</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rPr>
      </w:pPr>
      <w:r>
        <w:rPr>
          <w:rFonts w:hint="eastAsia" w:ascii="仿宋" w:hAnsi="仿宋" w:eastAsia="仿宋" w:cs="仿宋"/>
          <w:snapToGrid w:val="0"/>
          <w:spacing w:val="0"/>
          <w:sz w:val="24"/>
          <w:szCs w:val="24"/>
        </w:rPr>
        <w:t>2.1 除电子投标文件外，投标时不再接受任何纸质文件、资料等。</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rPr>
      </w:pPr>
      <w:r>
        <w:rPr>
          <w:rFonts w:hint="eastAsia" w:ascii="仿宋" w:hAnsi="仿宋" w:eastAsia="仿宋" w:cs="仿宋"/>
          <w:snapToGrid w:val="0"/>
          <w:spacing w:val="0"/>
          <w:sz w:val="24"/>
          <w:szCs w:val="24"/>
        </w:rPr>
        <w:t xml:space="preserve">2.2 </w:t>
      </w:r>
      <w:r>
        <w:rPr>
          <w:rFonts w:hint="eastAsia" w:ascii="仿宋" w:hAnsi="仿宋" w:eastAsia="仿宋" w:cs="仿宋"/>
          <w:snapToGrid w:val="0"/>
          <w:spacing w:val="0"/>
          <w:sz w:val="24"/>
          <w:szCs w:val="24"/>
          <w:lang w:eastAsia="zh-CN"/>
        </w:rPr>
        <w:t>供应商</w:t>
      </w:r>
      <w:r>
        <w:rPr>
          <w:rFonts w:hint="eastAsia" w:ascii="仿宋" w:hAnsi="仿宋" w:eastAsia="仿宋" w:cs="仿宋"/>
          <w:snapToGrid w:val="0"/>
          <w:spacing w:val="0"/>
          <w:sz w:val="24"/>
          <w:szCs w:val="24"/>
        </w:rPr>
        <w:t>应在投标截止时间前上传加密的电子投标文件（*.lytf）到洛阳市电子招投标交易平台指定位置。上传时</w:t>
      </w:r>
      <w:r>
        <w:rPr>
          <w:rFonts w:hint="eastAsia" w:ascii="仿宋" w:hAnsi="仿宋" w:eastAsia="仿宋" w:cs="仿宋"/>
          <w:snapToGrid w:val="0"/>
          <w:spacing w:val="0"/>
          <w:sz w:val="24"/>
          <w:szCs w:val="24"/>
          <w:lang w:eastAsia="zh-CN"/>
        </w:rPr>
        <w:t>供应商</w:t>
      </w:r>
      <w:r>
        <w:rPr>
          <w:rFonts w:hint="eastAsia" w:ascii="仿宋" w:hAnsi="仿宋" w:eastAsia="仿宋" w:cs="仿宋"/>
          <w:snapToGrid w:val="0"/>
          <w:spacing w:val="0"/>
          <w:sz w:val="24"/>
          <w:szCs w:val="24"/>
        </w:rPr>
        <w:t>须使用制作该投标文件的同一CA 锁进行上传操作。请</w:t>
      </w:r>
      <w:r>
        <w:rPr>
          <w:rFonts w:hint="eastAsia" w:ascii="仿宋" w:hAnsi="仿宋" w:eastAsia="仿宋" w:cs="仿宋"/>
          <w:snapToGrid w:val="0"/>
          <w:spacing w:val="0"/>
          <w:sz w:val="24"/>
          <w:szCs w:val="24"/>
          <w:lang w:eastAsia="zh-CN"/>
        </w:rPr>
        <w:t>供应商</w:t>
      </w:r>
      <w:r>
        <w:rPr>
          <w:rFonts w:hint="eastAsia" w:ascii="仿宋" w:hAnsi="仿宋" w:eastAsia="仿宋" w:cs="仿宋"/>
          <w:snapToGrid w:val="0"/>
          <w:spacing w:val="0"/>
          <w:sz w:val="24"/>
          <w:szCs w:val="24"/>
        </w:rPr>
        <w:t>在上传时认真检查上传投标文件是否完整、正确。</w:t>
      </w:r>
      <w:r>
        <w:rPr>
          <w:rFonts w:hint="eastAsia" w:ascii="仿宋" w:hAnsi="仿宋" w:eastAsia="仿宋" w:cs="仿宋"/>
          <w:snapToGrid w:val="0"/>
          <w:spacing w:val="0"/>
          <w:sz w:val="24"/>
          <w:szCs w:val="24"/>
          <w:lang w:eastAsia="zh-CN"/>
        </w:rPr>
        <w:t>供应商</w:t>
      </w:r>
      <w:r>
        <w:rPr>
          <w:rFonts w:hint="eastAsia" w:ascii="仿宋" w:hAnsi="仿宋" w:eastAsia="仿宋" w:cs="仿宋"/>
          <w:snapToGrid w:val="0"/>
          <w:spacing w:val="0"/>
          <w:sz w:val="24"/>
          <w:szCs w:val="24"/>
        </w:rPr>
        <w:t xml:space="preserve">应充分考虑上传文件时的不可预见因素，未在投标截止时间前完成上传的，视为逾期送达，洛阳市电子招投标交易平台将拒绝接收。上传成功后将得到上传成功的确认。 </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rPr>
      </w:pPr>
      <w:r>
        <w:rPr>
          <w:rFonts w:hint="eastAsia" w:ascii="仿宋" w:hAnsi="仿宋" w:eastAsia="仿宋" w:cs="仿宋"/>
          <w:snapToGrid w:val="0"/>
          <w:spacing w:val="0"/>
          <w:sz w:val="24"/>
          <w:szCs w:val="24"/>
        </w:rPr>
        <w:t xml:space="preserve">2.3 </w:t>
      </w:r>
      <w:r>
        <w:rPr>
          <w:rFonts w:hint="eastAsia" w:ascii="仿宋" w:hAnsi="仿宋" w:eastAsia="仿宋" w:cs="仿宋"/>
          <w:snapToGrid w:val="0"/>
          <w:spacing w:val="0"/>
          <w:sz w:val="24"/>
          <w:szCs w:val="24"/>
          <w:lang w:eastAsia="zh-CN"/>
        </w:rPr>
        <w:t>供应商</w:t>
      </w:r>
      <w:r>
        <w:rPr>
          <w:rFonts w:hint="eastAsia" w:ascii="仿宋" w:hAnsi="仿宋" w:eastAsia="仿宋" w:cs="仿宋"/>
          <w:snapToGrid w:val="0"/>
          <w:spacing w:val="0"/>
          <w:sz w:val="24"/>
          <w:szCs w:val="24"/>
        </w:rPr>
        <w:t>因洛阳市电子招投标交易平台问题无法上传电子投标文件时，请在工作时间与交易中心联系。</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rPr>
      </w:pPr>
      <w:r>
        <w:rPr>
          <w:rFonts w:hint="eastAsia" w:ascii="仿宋" w:hAnsi="仿宋" w:eastAsia="仿宋" w:cs="仿宋"/>
          <w:b/>
          <w:bCs/>
          <w:snapToGrid w:val="0"/>
          <w:spacing w:val="0"/>
          <w:sz w:val="24"/>
          <w:szCs w:val="24"/>
        </w:rPr>
        <w:t>3、招标文件的澄清、修改</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rPr>
      </w:pPr>
      <w:r>
        <w:rPr>
          <w:rFonts w:hint="eastAsia" w:ascii="仿宋" w:hAnsi="仿宋" w:eastAsia="仿宋" w:cs="仿宋"/>
          <w:snapToGrid w:val="0"/>
          <w:spacing w:val="0"/>
          <w:sz w:val="24"/>
          <w:szCs w:val="24"/>
        </w:rPr>
        <w:t>3.1招标文件的澄清、修改将在洛阳市公共资源交易中心网站上发布“变更公告”，如需修改招标文件，则同时在洛阳市电子招投标交易平台发布“答疑文件”（答疑文件指修改后最新的招标文件）。对于各项目中已经成功下载招标文件的</w:t>
      </w:r>
      <w:r>
        <w:rPr>
          <w:rFonts w:hint="eastAsia" w:ascii="仿宋" w:hAnsi="仿宋" w:eastAsia="仿宋" w:cs="仿宋"/>
          <w:snapToGrid w:val="0"/>
          <w:spacing w:val="0"/>
          <w:sz w:val="24"/>
          <w:szCs w:val="24"/>
          <w:lang w:eastAsia="zh-CN"/>
        </w:rPr>
        <w:t>供应商</w:t>
      </w:r>
      <w:r>
        <w:rPr>
          <w:rFonts w:hint="eastAsia" w:ascii="仿宋" w:hAnsi="仿宋" w:eastAsia="仿宋" w:cs="仿宋"/>
          <w:snapToGrid w:val="0"/>
          <w:spacing w:val="0"/>
          <w:sz w:val="24"/>
          <w:szCs w:val="24"/>
        </w:rPr>
        <w:t>，将通过第三方短信群发方式提醒</w:t>
      </w:r>
      <w:r>
        <w:rPr>
          <w:rFonts w:hint="eastAsia" w:ascii="仿宋" w:hAnsi="仿宋" w:eastAsia="仿宋" w:cs="仿宋"/>
          <w:snapToGrid w:val="0"/>
          <w:spacing w:val="0"/>
          <w:sz w:val="24"/>
          <w:szCs w:val="24"/>
          <w:lang w:eastAsia="zh-CN"/>
        </w:rPr>
        <w:t>供应商</w:t>
      </w:r>
      <w:r>
        <w:rPr>
          <w:rFonts w:hint="eastAsia" w:ascii="仿宋" w:hAnsi="仿宋" w:eastAsia="仿宋" w:cs="仿宋"/>
          <w:snapToGrid w:val="0"/>
          <w:spacing w:val="0"/>
          <w:sz w:val="24"/>
          <w:szCs w:val="24"/>
        </w:rPr>
        <w:t>进行查询。各</w:t>
      </w:r>
      <w:r>
        <w:rPr>
          <w:rFonts w:hint="eastAsia" w:ascii="仿宋" w:hAnsi="仿宋" w:eastAsia="仿宋" w:cs="仿宋"/>
          <w:snapToGrid w:val="0"/>
          <w:spacing w:val="0"/>
          <w:sz w:val="24"/>
          <w:szCs w:val="24"/>
          <w:lang w:eastAsia="zh-CN"/>
        </w:rPr>
        <w:t>供应商</w:t>
      </w:r>
      <w:r>
        <w:rPr>
          <w:rFonts w:hint="eastAsia" w:ascii="仿宋" w:hAnsi="仿宋" w:eastAsia="仿宋" w:cs="仿宋"/>
          <w:snapToGrid w:val="0"/>
          <w:spacing w:val="0"/>
          <w:sz w:val="24"/>
          <w:szCs w:val="24"/>
        </w:rPr>
        <w:t>须重新下载最新的“答疑文件”，并以此编制投标文件。如不以最新发布的“答疑文件”编制投标文件，造成投标无效的后果由</w:t>
      </w:r>
      <w:r>
        <w:rPr>
          <w:rFonts w:hint="eastAsia" w:ascii="仿宋" w:hAnsi="仿宋" w:eastAsia="仿宋" w:cs="仿宋"/>
          <w:snapToGrid w:val="0"/>
          <w:spacing w:val="0"/>
          <w:sz w:val="24"/>
          <w:szCs w:val="24"/>
          <w:lang w:eastAsia="zh-CN"/>
        </w:rPr>
        <w:t>供应商</w:t>
      </w:r>
      <w:r>
        <w:rPr>
          <w:rFonts w:hint="eastAsia" w:ascii="仿宋" w:hAnsi="仿宋" w:eastAsia="仿宋" w:cs="仿宋"/>
          <w:snapToGrid w:val="0"/>
          <w:spacing w:val="0"/>
          <w:sz w:val="24"/>
          <w:szCs w:val="24"/>
        </w:rPr>
        <w:t xml:space="preserve">自己承担。 </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rPr>
      </w:pPr>
      <w:r>
        <w:rPr>
          <w:rFonts w:hint="eastAsia" w:ascii="仿宋" w:hAnsi="仿宋" w:eastAsia="仿宋" w:cs="仿宋"/>
          <w:snapToGrid w:val="0"/>
          <w:spacing w:val="0"/>
          <w:sz w:val="24"/>
          <w:szCs w:val="24"/>
        </w:rPr>
        <w:t>3.2 因洛阳市电子招投标交易平台在开标前具有保密性，</w:t>
      </w:r>
      <w:r>
        <w:rPr>
          <w:rFonts w:hint="eastAsia" w:ascii="仿宋" w:hAnsi="仿宋" w:eastAsia="仿宋" w:cs="仿宋"/>
          <w:snapToGrid w:val="0"/>
          <w:spacing w:val="0"/>
          <w:sz w:val="24"/>
          <w:szCs w:val="24"/>
          <w:lang w:eastAsia="zh-CN"/>
        </w:rPr>
        <w:t>供应商</w:t>
      </w:r>
      <w:r>
        <w:rPr>
          <w:rFonts w:hint="eastAsia" w:ascii="仿宋" w:hAnsi="仿宋" w:eastAsia="仿宋" w:cs="仿宋"/>
          <w:snapToGrid w:val="0"/>
          <w:spacing w:val="0"/>
          <w:sz w:val="24"/>
          <w:szCs w:val="24"/>
        </w:rPr>
        <w:t>在投标文件递交截止时间前须自行查看项目进展、变更通知、澄清及回复，因</w:t>
      </w:r>
      <w:r>
        <w:rPr>
          <w:rFonts w:hint="eastAsia" w:ascii="仿宋" w:hAnsi="仿宋" w:eastAsia="仿宋" w:cs="仿宋"/>
          <w:snapToGrid w:val="0"/>
          <w:spacing w:val="0"/>
          <w:sz w:val="24"/>
          <w:szCs w:val="24"/>
          <w:lang w:eastAsia="zh-CN"/>
        </w:rPr>
        <w:t>供应商</w:t>
      </w:r>
      <w:r>
        <w:rPr>
          <w:rFonts w:hint="eastAsia" w:ascii="仿宋" w:hAnsi="仿宋" w:eastAsia="仿宋" w:cs="仿宋"/>
          <w:snapToGrid w:val="0"/>
          <w:spacing w:val="0"/>
          <w:sz w:val="24"/>
          <w:szCs w:val="24"/>
        </w:rPr>
        <w:t xml:space="preserve">未及时查看而造成的后果自负。 </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rPr>
      </w:pPr>
      <w:r>
        <w:rPr>
          <w:rFonts w:hint="eastAsia" w:ascii="仿宋" w:hAnsi="仿宋" w:eastAsia="仿宋" w:cs="仿宋"/>
          <w:b/>
          <w:bCs/>
          <w:snapToGrid w:val="0"/>
          <w:spacing w:val="0"/>
          <w:sz w:val="24"/>
          <w:szCs w:val="24"/>
        </w:rPr>
        <w:t>4、开标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rPr>
      </w:pPr>
      <w:r>
        <w:rPr>
          <w:rFonts w:hint="eastAsia" w:ascii="仿宋" w:hAnsi="仿宋" w:eastAsia="仿宋" w:cs="仿宋"/>
          <w:snapToGrid w:val="0"/>
          <w:spacing w:val="0"/>
          <w:sz w:val="24"/>
          <w:szCs w:val="24"/>
          <w:lang w:val="en-US" w:eastAsia="zh-CN"/>
        </w:rPr>
        <w:t>本</w:t>
      </w:r>
      <w:r>
        <w:rPr>
          <w:rFonts w:hint="eastAsia" w:ascii="仿宋" w:hAnsi="仿宋" w:eastAsia="仿宋" w:cs="仿宋"/>
          <w:snapToGrid w:val="0"/>
          <w:spacing w:val="0"/>
          <w:sz w:val="24"/>
          <w:szCs w:val="24"/>
          <w:lang w:val="en-US"/>
        </w:rPr>
        <w:t>项目采用远程不见面交易的模式</w:t>
      </w:r>
      <w:r>
        <w:rPr>
          <w:rFonts w:hint="eastAsia" w:ascii="仿宋" w:hAnsi="仿宋" w:eastAsia="仿宋" w:cs="仿宋"/>
          <w:snapToGrid w:val="0"/>
          <w:spacing w:val="0"/>
          <w:sz w:val="24"/>
          <w:szCs w:val="24"/>
          <w:lang w:val="en-US" w:eastAsia="zh-CN"/>
        </w:rPr>
        <w:t>，</w:t>
      </w:r>
      <w:r>
        <w:rPr>
          <w:rFonts w:hint="eastAsia" w:ascii="仿宋" w:hAnsi="仿宋" w:eastAsia="仿宋" w:cs="仿宋"/>
          <w:snapToGrid w:val="0"/>
          <w:spacing w:val="0"/>
          <w:sz w:val="24"/>
          <w:szCs w:val="24"/>
          <w:lang w:val="en-US"/>
        </w:rPr>
        <w:t>开标当日，</w:t>
      </w:r>
      <w:r>
        <w:rPr>
          <w:rFonts w:hint="eastAsia" w:ascii="仿宋" w:hAnsi="仿宋" w:eastAsia="仿宋" w:cs="仿宋"/>
          <w:snapToGrid w:val="0"/>
          <w:spacing w:val="0"/>
          <w:sz w:val="24"/>
          <w:szCs w:val="24"/>
          <w:lang w:val="en-US" w:eastAsia="zh-CN"/>
        </w:rPr>
        <w:t>供应商</w:t>
      </w:r>
      <w:r>
        <w:rPr>
          <w:rFonts w:hint="eastAsia" w:ascii="仿宋" w:hAnsi="仿宋" w:eastAsia="仿宋" w:cs="仿宋"/>
          <w:snapToGrid w:val="0"/>
          <w:spacing w:val="0"/>
          <w:sz w:val="24"/>
          <w:szCs w:val="24"/>
          <w:lang w:val="en-US"/>
        </w:rPr>
        <w:t>无需到开标现场参加开标会议，</w:t>
      </w:r>
      <w:r>
        <w:rPr>
          <w:rFonts w:hint="eastAsia" w:ascii="仿宋" w:hAnsi="仿宋" w:eastAsia="仿宋" w:cs="仿宋"/>
          <w:snapToGrid w:val="0"/>
          <w:spacing w:val="0"/>
          <w:sz w:val="24"/>
          <w:szCs w:val="24"/>
          <w:lang w:val="en-US" w:eastAsia="zh-CN"/>
        </w:rPr>
        <w:t>供应商</w:t>
      </w:r>
      <w:r>
        <w:rPr>
          <w:rFonts w:hint="eastAsia" w:ascii="仿宋" w:hAnsi="仿宋" w:eastAsia="仿宋" w:cs="仿宋"/>
          <w:snapToGrid w:val="0"/>
          <w:spacing w:val="0"/>
          <w:sz w:val="24"/>
          <w:szCs w:val="24"/>
          <w:lang w:val="en-US"/>
        </w:rPr>
        <w:t>应当在投标截止时间前，登录到洛阳市电子招投标交易平台（</w:t>
      </w:r>
      <w:r>
        <w:rPr>
          <w:rFonts w:hint="eastAsia" w:ascii="仿宋" w:hAnsi="仿宋" w:eastAsia="仿宋" w:cs="仿宋"/>
          <w:snapToGrid w:val="0"/>
          <w:spacing w:val="0"/>
          <w:sz w:val="24"/>
          <w:szCs w:val="24"/>
          <w:lang w:val="en-US" w:eastAsia="zh-CN"/>
        </w:rPr>
        <w:t>http://lyggzyjy.ly.gov.cn/TPBidderr</w:t>
      </w:r>
      <w:r>
        <w:rPr>
          <w:rFonts w:hint="eastAsia" w:ascii="仿宋" w:hAnsi="仿宋" w:eastAsia="仿宋" w:cs="仿宋"/>
          <w:snapToGrid w:val="0"/>
          <w:spacing w:val="0"/>
          <w:sz w:val="24"/>
          <w:szCs w:val="24"/>
          <w:lang w:val="en-US"/>
        </w:rPr>
        <w:t>），点击右上方【不见面开标大厅】按钮进入，在线准时参加开标活动并进行投标文件解密等。因</w:t>
      </w:r>
      <w:r>
        <w:rPr>
          <w:rFonts w:hint="eastAsia" w:ascii="仿宋" w:hAnsi="仿宋" w:eastAsia="仿宋" w:cs="仿宋"/>
          <w:snapToGrid w:val="0"/>
          <w:spacing w:val="0"/>
          <w:sz w:val="24"/>
          <w:szCs w:val="24"/>
          <w:lang w:val="en-US" w:eastAsia="zh-CN"/>
        </w:rPr>
        <w:t>供应商</w:t>
      </w:r>
      <w:r>
        <w:rPr>
          <w:rFonts w:hint="eastAsia" w:ascii="仿宋" w:hAnsi="仿宋" w:eastAsia="仿宋" w:cs="仿宋"/>
          <w:snapToGrid w:val="0"/>
          <w:spacing w:val="0"/>
          <w:sz w:val="24"/>
          <w:szCs w:val="24"/>
          <w:lang w:val="en-US"/>
        </w:rPr>
        <w:t>原因未能解密、解密失败或解密超时的将被拒绝。请参照洛阳市公共资源交易中心首页-办事指南-下载中心-操作手册-《洛阳市公共资源交易中心不见面开标大厅操作手册（</w:t>
      </w:r>
      <w:r>
        <w:rPr>
          <w:rFonts w:hint="eastAsia" w:ascii="仿宋" w:hAnsi="仿宋" w:eastAsia="仿宋" w:cs="仿宋"/>
          <w:snapToGrid w:val="0"/>
          <w:spacing w:val="0"/>
          <w:sz w:val="24"/>
          <w:szCs w:val="24"/>
          <w:lang w:val="en-US" w:eastAsia="zh-CN"/>
        </w:rPr>
        <w:t>供应商</w:t>
      </w:r>
      <w:r>
        <w:rPr>
          <w:rFonts w:hint="eastAsia" w:ascii="仿宋" w:hAnsi="仿宋" w:eastAsia="仿宋" w:cs="仿宋"/>
          <w:snapToGrid w:val="0"/>
          <w:spacing w:val="0"/>
          <w:sz w:val="24"/>
          <w:szCs w:val="24"/>
          <w:lang w:val="en-US"/>
        </w:rPr>
        <w:t>）》。</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5、为便于供应商（供应商）制作投标（响应）文件，本投标（响应）文件格式所列招标投标的主体称呼及专业术语，也适用于政府采购非招标方式（竞争性谈判、竞争性磋商、询价）对应的主体称呼及专业术语。</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6、供应商《参与评审打分的证书（证件）一览表》及《参与评审打分的合同业绩一览表》中所填写内容须与表后所附的参与评审打分的证书（证件）扫描件、合同业绩扫描件相对应，否则将不予评审打分。采用竞争性谈判、询价方式的，该两表不进行评审打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sectPr>
          <w:pgSz w:w="11906" w:h="16838"/>
          <w:pgMar w:top="1134" w:right="1134" w:bottom="1134" w:left="1134" w:header="851" w:footer="992" w:gutter="0"/>
          <w:pgNumType w:fmt="decimal"/>
          <w:cols w:space="425" w:num="1"/>
          <w:docGrid w:type="lines" w:linePitch="312" w:charSpace="0"/>
        </w:sectPr>
      </w:pPr>
      <w:r>
        <w:rPr>
          <w:rFonts w:hint="eastAsia" w:ascii="仿宋" w:hAnsi="仿宋" w:eastAsia="仿宋" w:cs="仿宋"/>
          <w:snapToGrid w:val="0"/>
          <w:spacing w:val="0"/>
          <w:sz w:val="24"/>
          <w:szCs w:val="24"/>
          <w:lang w:val="en-US" w:eastAsia="zh-CN"/>
        </w:rPr>
        <w:t>7、采购代理机构有权将《报价明细表》、《参与评审打分的证书（证件）一览表》及《参与评审打分的合同业绩一览表》内容进行公示。</w:t>
      </w:r>
    </w:p>
    <w:sdt>
      <w:sdtPr>
        <w:rPr>
          <w:rFonts w:ascii="宋体" w:hAnsi="宋体" w:eastAsia="宋体" w:cs="宋体"/>
          <w:snapToGrid w:val="0"/>
          <w:spacing w:val="0"/>
          <w:sz w:val="21"/>
          <w:szCs w:val="22"/>
          <w:lang w:val="zh-CN" w:eastAsia="zh-CN" w:bidi="zh-CN"/>
        </w:rPr>
        <w:id w:val="147453679"/>
        <w15:color w:val="DBDBDB"/>
        <w:docPartObj>
          <w:docPartGallery w:val="Table of Contents"/>
          <w:docPartUnique/>
        </w:docPartObj>
      </w:sdtPr>
      <w:sdtEndPr>
        <w:rPr>
          <w:rFonts w:hint="eastAsia" w:ascii="仿宋" w:hAnsi="仿宋" w:eastAsia="仿宋" w:cs="仿宋"/>
          <w:snapToGrid w:val="0"/>
          <w:spacing w:val="0"/>
          <w:sz w:val="22"/>
          <w:szCs w:val="24"/>
          <w:lang w:val="en-US" w:eastAsia="zh-CN" w:bidi="zh-CN"/>
        </w:rPr>
      </w:sdtEndPr>
      <w:sdtContent>
        <w:p>
          <w:pPr>
            <w:keepNext w:val="0"/>
            <w:keepLines w:val="0"/>
            <w:pageBreakBefore w:val="0"/>
            <w:kinsoku/>
            <w:wordWrap/>
            <w:overflowPunct/>
            <w:topLinePunct w:val="0"/>
            <w:bidi w:val="0"/>
            <w:adjustRightInd/>
            <w:snapToGrid/>
            <w:spacing w:before="0" w:after="0" w:line="480" w:lineRule="auto"/>
            <w:ind w:left="0" w:leftChars="0" w:right="0" w:rightChars="0" w:firstLine="0" w:firstLineChars="0"/>
            <w:jc w:val="center"/>
            <w:textAlignment w:val="auto"/>
            <w:rPr>
              <w:rFonts w:ascii="宋体" w:hAnsi="宋体" w:eastAsia="宋体" w:cs="宋体"/>
              <w:snapToGrid w:val="0"/>
              <w:spacing w:val="0"/>
              <w:sz w:val="21"/>
              <w:szCs w:val="22"/>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720" w:lineRule="auto"/>
            <w:ind w:left="0" w:leftChars="0" w:right="0" w:rightChars="0" w:firstLine="0" w:firstLineChars="0"/>
            <w:jc w:val="center"/>
            <w:textAlignment w:val="auto"/>
            <w:rPr>
              <w:rFonts w:hint="eastAsia" w:ascii="仿宋" w:hAnsi="仿宋" w:eastAsia="仿宋" w:cs="仿宋"/>
              <w:b/>
              <w:bCs/>
              <w:snapToGrid w:val="0"/>
              <w:spacing w:val="0"/>
              <w:sz w:val="36"/>
              <w:szCs w:val="36"/>
            </w:rPr>
          </w:pPr>
          <w:r>
            <w:rPr>
              <w:rFonts w:hint="eastAsia" w:ascii="仿宋" w:hAnsi="仿宋" w:eastAsia="仿宋" w:cs="仿宋"/>
              <w:b/>
              <w:bCs/>
              <w:snapToGrid w:val="0"/>
              <w:spacing w:val="0"/>
              <w:sz w:val="36"/>
              <w:szCs w:val="36"/>
            </w:rPr>
            <w:t>目录</w:t>
          </w:r>
        </w:p>
        <w:p>
          <w:pPr>
            <w:pStyle w:val="15"/>
            <w:keepNext w:val="0"/>
            <w:keepLines w:val="0"/>
            <w:pageBreakBefore w:val="0"/>
            <w:widowControl w:val="0"/>
            <w:tabs>
              <w:tab w:val="right" w:leader="dot" w:pos="9638"/>
            </w:tabs>
            <w:kinsoku/>
            <w:wordWrap/>
            <w:overflowPunct/>
            <w:topLinePunct w:val="0"/>
            <w:autoSpaceDE w:val="0"/>
            <w:autoSpaceDN w:val="0"/>
            <w:bidi w:val="0"/>
            <w:adjustRightInd/>
            <w:snapToGrid/>
            <w:spacing w:line="720" w:lineRule="auto"/>
            <w:textAlignment w:val="auto"/>
            <w:rPr>
              <w:rFonts w:hint="eastAsia" w:ascii="仿宋" w:hAnsi="仿宋" w:eastAsia="仿宋" w:cs="仿宋"/>
              <w:b/>
              <w:bCs/>
              <w:snapToGrid w:val="0"/>
              <w:spacing w:val="0"/>
              <w:sz w:val="28"/>
              <w:szCs w:val="28"/>
            </w:rPr>
          </w:pPr>
          <w:r>
            <w:rPr>
              <w:rFonts w:hint="eastAsia" w:ascii="仿宋" w:hAnsi="仿宋" w:eastAsia="仿宋" w:cs="仿宋"/>
              <w:snapToGrid w:val="0"/>
              <w:spacing w:val="0"/>
              <w:sz w:val="28"/>
              <w:szCs w:val="28"/>
              <w:lang w:val="en-US" w:eastAsia="zh-CN"/>
            </w:rPr>
            <w:fldChar w:fldCharType="begin"/>
          </w:r>
          <w:r>
            <w:rPr>
              <w:rFonts w:hint="eastAsia" w:ascii="仿宋" w:hAnsi="仿宋" w:eastAsia="仿宋" w:cs="仿宋"/>
              <w:snapToGrid w:val="0"/>
              <w:spacing w:val="0"/>
              <w:sz w:val="28"/>
              <w:szCs w:val="28"/>
              <w:lang w:val="en-US" w:eastAsia="zh-CN"/>
            </w:rPr>
            <w:instrText xml:space="preserve">TOC \o "1-1" \h \u </w:instrText>
          </w:r>
          <w:r>
            <w:rPr>
              <w:rFonts w:hint="eastAsia" w:ascii="仿宋" w:hAnsi="仿宋" w:eastAsia="仿宋" w:cs="仿宋"/>
              <w:snapToGrid w:val="0"/>
              <w:spacing w:val="0"/>
              <w:sz w:val="28"/>
              <w:szCs w:val="28"/>
              <w:lang w:val="en-US" w:eastAsia="zh-CN"/>
            </w:rPr>
            <w:fldChar w:fldCharType="separate"/>
          </w:r>
          <w:r>
            <w:rPr>
              <w:rFonts w:hint="eastAsia" w:ascii="仿宋" w:hAnsi="仿宋" w:eastAsia="仿宋" w:cs="仿宋"/>
              <w:b/>
              <w:bCs/>
              <w:snapToGrid w:val="0"/>
              <w:spacing w:val="0"/>
              <w:sz w:val="28"/>
              <w:szCs w:val="28"/>
              <w:lang w:val="en-US" w:eastAsia="zh-CN"/>
            </w:rPr>
            <w:fldChar w:fldCharType="begin"/>
          </w:r>
          <w:r>
            <w:rPr>
              <w:rFonts w:hint="eastAsia" w:ascii="仿宋" w:hAnsi="仿宋" w:eastAsia="仿宋" w:cs="仿宋"/>
              <w:b/>
              <w:bCs/>
              <w:snapToGrid w:val="0"/>
              <w:spacing w:val="0"/>
              <w:sz w:val="28"/>
              <w:szCs w:val="28"/>
              <w:lang w:val="en-US" w:eastAsia="zh-CN"/>
            </w:rPr>
            <w:instrText xml:space="preserve"> HYPERLINK \l _Toc7647 </w:instrText>
          </w:r>
          <w:r>
            <w:rPr>
              <w:rFonts w:hint="eastAsia" w:ascii="仿宋" w:hAnsi="仿宋" w:eastAsia="仿宋" w:cs="仿宋"/>
              <w:b/>
              <w:bCs/>
              <w:snapToGrid w:val="0"/>
              <w:spacing w:val="0"/>
              <w:sz w:val="28"/>
              <w:szCs w:val="28"/>
              <w:lang w:val="en-US" w:eastAsia="zh-CN"/>
            </w:rPr>
            <w:fldChar w:fldCharType="separate"/>
          </w:r>
          <w:r>
            <w:rPr>
              <w:rFonts w:hint="eastAsia" w:ascii="仿宋" w:hAnsi="仿宋" w:eastAsia="仿宋" w:cs="仿宋"/>
              <w:b/>
              <w:bCs/>
              <w:snapToGrid w:val="0"/>
              <w:spacing w:val="0"/>
              <w:sz w:val="28"/>
              <w:szCs w:val="28"/>
              <w:lang w:val="en-US" w:eastAsia="zh-CN"/>
            </w:rPr>
            <w:t>第一章  招标公告</w:t>
          </w:r>
          <w:r>
            <w:rPr>
              <w:rFonts w:hint="eastAsia" w:ascii="仿宋" w:hAnsi="仿宋" w:eastAsia="仿宋" w:cs="仿宋"/>
              <w:b/>
              <w:bCs/>
              <w:snapToGrid w:val="0"/>
              <w:spacing w:val="0"/>
              <w:sz w:val="28"/>
              <w:szCs w:val="28"/>
            </w:rPr>
            <w:tab/>
          </w:r>
          <w:r>
            <w:rPr>
              <w:rFonts w:hint="eastAsia" w:ascii="仿宋" w:hAnsi="仿宋" w:eastAsia="仿宋" w:cs="仿宋"/>
              <w:b/>
              <w:bCs/>
              <w:snapToGrid w:val="0"/>
              <w:spacing w:val="0"/>
              <w:sz w:val="28"/>
              <w:szCs w:val="28"/>
            </w:rPr>
            <w:fldChar w:fldCharType="begin"/>
          </w:r>
          <w:r>
            <w:rPr>
              <w:rFonts w:hint="eastAsia" w:ascii="仿宋" w:hAnsi="仿宋" w:eastAsia="仿宋" w:cs="仿宋"/>
              <w:b/>
              <w:bCs/>
              <w:snapToGrid w:val="0"/>
              <w:spacing w:val="0"/>
              <w:sz w:val="28"/>
              <w:szCs w:val="28"/>
            </w:rPr>
            <w:instrText xml:space="preserve"> PAGEREF _Toc7647 \h </w:instrText>
          </w:r>
          <w:r>
            <w:rPr>
              <w:rFonts w:hint="eastAsia" w:ascii="仿宋" w:hAnsi="仿宋" w:eastAsia="仿宋" w:cs="仿宋"/>
              <w:b/>
              <w:bCs/>
              <w:snapToGrid w:val="0"/>
              <w:spacing w:val="0"/>
              <w:sz w:val="28"/>
              <w:szCs w:val="28"/>
            </w:rPr>
            <w:fldChar w:fldCharType="separate"/>
          </w:r>
          <w:r>
            <w:rPr>
              <w:rFonts w:hint="eastAsia" w:ascii="仿宋" w:hAnsi="仿宋" w:eastAsia="仿宋" w:cs="仿宋"/>
              <w:b/>
              <w:bCs/>
              <w:snapToGrid w:val="0"/>
              <w:spacing w:val="0"/>
              <w:sz w:val="28"/>
              <w:szCs w:val="28"/>
            </w:rPr>
            <w:t>5</w:t>
          </w:r>
          <w:r>
            <w:rPr>
              <w:rFonts w:hint="eastAsia" w:ascii="仿宋" w:hAnsi="仿宋" w:eastAsia="仿宋" w:cs="仿宋"/>
              <w:b/>
              <w:bCs/>
              <w:snapToGrid w:val="0"/>
              <w:spacing w:val="0"/>
              <w:sz w:val="28"/>
              <w:szCs w:val="28"/>
            </w:rPr>
            <w:fldChar w:fldCharType="end"/>
          </w:r>
          <w:r>
            <w:rPr>
              <w:rFonts w:hint="eastAsia" w:ascii="仿宋" w:hAnsi="仿宋" w:eastAsia="仿宋" w:cs="仿宋"/>
              <w:b/>
              <w:bCs/>
              <w:snapToGrid w:val="0"/>
              <w:spacing w:val="0"/>
              <w:sz w:val="28"/>
              <w:szCs w:val="28"/>
              <w:lang w:val="en-US" w:eastAsia="zh-CN"/>
            </w:rPr>
            <w:fldChar w:fldCharType="end"/>
          </w:r>
        </w:p>
        <w:p>
          <w:pPr>
            <w:pStyle w:val="15"/>
            <w:keepNext w:val="0"/>
            <w:keepLines w:val="0"/>
            <w:pageBreakBefore w:val="0"/>
            <w:widowControl w:val="0"/>
            <w:tabs>
              <w:tab w:val="right" w:leader="dot" w:pos="9638"/>
            </w:tabs>
            <w:kinsoku/>
            <w:wordWrap/>
            <w:overflowPunct/>
            <w:topLinePunct w:val="0"/>
            <w:autoSpaceDE w:val="0"/>
            <w:autoSpaceDN w:val="0"/>
            <w:bidi w:val="0"/>
            <w:adjustRightInd/>
            <w:snapToGrid/>
            <w:spacing w:line="720" w:lineRule="auto"/>
            <w:textAlignment w:val="auto"/>
            <w:rPr>
              <w:rFonts w:hint="eastAsia" w:ascii="仿宋" w:hAnsi="仿宋" w:eastAsia="仿宋" w:cs="仿宋"/>
              <w:b/>
              <w:bCs/>
              <w:snapToGrid w:val="0"/>
              <w:spacing w:val="0"/>
              <w:sz w:val="28"/>
              <w:szCs w:val="28"/>
            </w:rPr>
          </w:pPr>
          <w:r>
            <w:rPr>
              <w:rFonts w:hint="eastAsia" w:ascii="仿宋" w:hAnsi="仿宋" w:eastAsia="仿宋" w:cs="仿宋"/>
              <w:b/>
              <w:bCs/>
              <w:snapToGrid w:val="0"/>
              <w:spacing w:val="0"/>
              <w:sz w:val="28"/>
              <w:szCs w:val="28"/>
              <w:lang w:val="en-US" w:eastAsia="zh-CN"/>
            </w:rPr>
            <w:fldChar w:fldCharType="begin"/>
          </w:r>
          <w:r>
            <w:rPr>
              <w:rFonts w:hint="eastAsia" w:ascii="仿宋" w:hAnsi="仿宋" w:eastAsia="仿宋" w:cs="仿宋"/>
              <w:b/>
              <w:bCs/>
              <w:snapToGrid w:val="0"/>
              <w:spacing w:val="0"/>
              <w:sz w:val="28"/>
              <w:szCs w:val="28"/>
              <w:lang w:val="en-US" w:eastAsia="zh-CN"/>
            </w:rPr>
            <w:instrText xml:space="preserve"> HYPERLINK \l _Toc27346 </w:instrText>
          </w:r>
          <w:r>
            <w:rPr>
              <w:rFonts w:hint="eastAsia" w:ascii="仿宋" w:hAnsi="仿宋" w:eastAsia="仿宋" w:cs="仿宋"/>
              <w:b/>
              <w:bCs/>
              <w:snapToGrid w:val="0"/>
              <w:spacing w:val="0"/>
              <w:sz w:val="28"/>
              <w:szCs w:val="28"/>
              <w:lang w:val="en-US" w:eastAsia="zh-CN"/>
            </w:rPr>
            <w:fldChar w:fldCharType="separate"/>
          </w:r>
          <w:r>
            <w:rPr>
              <w:rFonts w:hint="eastAsia" w:ascii="仿宋" w:hAnsi="仿宋" w:eastAsia="仿宋" w:cs="仿宋"/>
              <w:b/>
              <w:bCs/>
              <w:snapToGrid w:val="0"/>
              <w:spacing w:val="0"/>
              <w:sz w:val="28"/>
              <w:szCs w:val="28"/>
              <w:lang w:val="en-US" w:eastAsia="zh-CN"/>
            </w:rPr>
            <w:t>第二章  供应商须知</w:t>
          </w:r>
          <w:r>
            <w:rPr>
              <w:rFonts w:hint="eastAsia" w:ascii="仿宋" w:hAnsi="仿宋" w:eastAsia="仿宋" w:cs="仿宋"/>
              <w:b/>
              <w:bCs/>
              <w:snapToGrid w:val="0"/>
              <w:spacing w:val="0"/>
              <w:sz w:val="28"/>
              <w:szCs w:val="28"/>
            </w:rPr>
            <w:tab/>
          </w:r>
          <w:r>
            <w:rPr>
              <w:rFonts w:hint="eastAsia" w:ascii="仿宋" w:hAnsi="仿宋" w:eastAsia="仿宋" w:cs="仿宋"/>
              <w:b/>
              <w:bCs/>
              <w:snapToGrid w:val="0"/>
              <w:spacing w:val="0"/>
              <w:sz w:val="28"/>
              <w:szCs w:val="28"/>
            </w:rPr>
            <w:fldChar w:fldCharType="begin"/>
          </w:r>
          <w:r>
            <w:rPr>
              <w:rFonts w:hint="eastAsia" w:ascii="仿宋" w:hAnsi="仿宋" w:eastAsia="仿宋" w:cs="仿宋"/>
              <w:b/>
              <w:bCs/>
              <w:snapToGrid w:val="0"/>
              <w:spacing w:val="0"/>
              <w:sz w:val="28"/>
              <w:szCs w:val="28"/>
            </w:rPr>
            <w:instrText xml:space="preserve"> PAGEREF _Toc27346 \h </w:instrText>
          </w:r>
          <w:r>
            <w:rPr>
              <w:rFonts w:hint="eastAsia" w:ascii="仿宋" w:hAnsi="仿宋" w:eastAsia="仿宋" w:cs="仿宋"/>
              <w:b/>
              <w:bCs/>
              <w:snapToGrid w:val="0"/>
              <w:spacing w:val="0"/>
              <w:sz w:val="28"/>
              <w:szCs w:val="28"/>
            </w:rPr>
            <w:fldChar w:fldCharType="separate"/>
          </w:r>
          <w:r>
            <w:rPr>
              <w:rFonts w:hint="eastAsia" w:ascii="仿宋" w:hAnsi="仿宋" w:eastAsia="仿宋" w:cs="仿宋"/>
              <w:b/>
              <w:bCs/>
              <w:snapToGrid w:val="0"/>
              <w:spacing w:val="0"/>
              <w:sz w:val="28"/>
              <w:szCs w:val="28"/>
            </w:rPr>
            <w:t>9</w:t>
          </w:r>
          <w:r>
            <w:rPr>
              <w:rFonts w:hint="eastAsia" w:ascii="仿宋" w:hAnsi="仿宋" w:eastAsia="仿宋" w:cs="仿宋"/>
              <w:b/>
              <w:bCs/>
              <w:snapToGrid w:val="0"/>
              <w:spacing w:val="0"/>
              <w:sz w:val="28"/>
              <w:szCs w:val="28"/>
            </w:rPr>
            <w:fldChar w:fldCharType="end"/>
          </w:r>
          <w:r>
            <w:rPr>
              <w:rFonts w:hint="eastAsia" w:ascii="仿宋" w:hAnsi="仿宋" w:eastAsia="仿宋" w:cs="仿宋"/>
              <w:b/>
              <w:bCs/>
              <w:snapToGrid w:val="0"/>
              <w:spacing w:val="0"/>
              <w:sz w:val="28"/>
              <w:szCs w:val="28"/>
              <w:lang w:val="en-US" w:eastAsia="zh-CN"/>
            </w:rPr>
            <w:fldChar w:fldCharType="end"/>
          </w:r>
        </w:p>
        <w:p>
          <w:pPr>
            <w:pStyle w:val="15"/>
            <w:keepNext w:val="0"/>
            <w:keepLines w:val="0"/>
            <w:pageBreakBefore w:val="0"/>
            <w:widowControl w:val="0"/>
            <w:tabs>
              <w:tab w:val="right" w:leader="dot" w:pos="9638"/>
            </w:tabs>
            <w:kinsoku/>
            <w:wordWrap/>
            <w:overflowPunct/>
            <w:topLinePunct w:val="0"/>
            <w:autoSpaceDE w:val="0"/>
            <w:autoSpaceDN w:val="0"/>
            <w:bidi w:val="0"/>
            <w:adjustRightInd/>
            <w:snapToGrid/>
            <w:spacing w:line="720" w:lineRule="auto"/>
            <w:textAlignment w:val="auto"/>
            <w:rPr>
              <w:rFonts w:hint="eastAsia" w:ascii="仿宋" w:hAnsi="仿宋" w:eastAsia="仿宋" w:cs="仿宋"/>
              <w:b/>
              <w:bCs/>
              <w:snapToGrid w:val="0"/>
              <w:spacing w:val="0"/>
              <w:sz w:val="28"/>
              <w:szCs w:val="28"/>
            </w:rPr>
          </w:pPr>
          <w:r>
            <w:rPr>
              <w:rFonts w:hint="eastAsia" w:ascii="仿宋" w:hAnsi="仿宋" w:eastAsia="仿宋" w:cs="仿宋"/>
              <w:b/>
              <w:bCs/>
              <w:snapToGrid w:val="0"/>
              <w:spacing w:val="0"/>
              <w:sz w:val="28"/>
              <w:szCs w:val="28"/>
              <w:lang w:val="en-US" w:eastAsia="zh-CN"/>
            </w:rPr>
            <w:fldChar w:fldCharType="begin"/>
          </w:r>
          <w:r>
            <w:rPr>
              <w:rFonts w:hint="eastAsia" w:ascii="仿宋" w:hAnsi="仿宋" w:eastAsia="仿宋" w:cs="仿宋"/>
              <w:b/>
              <w:bCs/>
              <w:snapToGrid w:val="0"/>
              <w:spacing w:val="0"/>
              <w:sz w:val="28"/>
              <w:szCs w:val="28"/>
              <w:lang w:val="en-US" w:eastAsia="zh-CN"/>
            </w:rPr>
            <w:instrText xml:space="preserve"> HYPERLINK \l _Toc9329 </w:instrText>
          </w:r>
          <w:r>
            <w:rPr>
              <w:rFonts w:hint="eastAsia" w:ascii="仿宋" w:hAnsi="仿宋" w:eastAsia="仿宋" w:cs="仿宋"/>
              <w:b/>
              <w:bCs/>
              <w:snapToGrid w:val="0"/>
              <w:spacing w:val="0"/>
              <w:sz w:val="28"/>
              <w:szCs w:val="28"/>
              <w:lang w:val="en-US" w:eastAsia="zh-CN"/>
            </w:rPr>
            <w:fldChar w:fldCharType="separate"/>
          </w:r>
          <w:r>
            <w:rPr>
              <w:rFonts w:hint="eastAsia" w:ascii="仿宋" w:hAnsi="仿宋" w:eastAsia="仿宋" w:cs="仿宋"/>
              <w:b/>
              <w:bCs/>
              <w:snapToGrid w:val="0"/>
              <w:spacing w:val="0"/>
              <w:sz w:val="28"/>
              <w:szCs w:val="28"/>
              <w:lang w:val="en-US" w:eastAsia="zh-CN"/>
            </w:rPr>
            <w:t>第三章  采购需求</w:t>
          </w:r>
          <w:r>
            <w:rPr>
              <w:rFonts w:hint="eastAsia" w:ascii="仿宋" w:hAnsi="仿宋" w:eastAsia="仿宋" w:cs="仿宋"/>
              <w:b/>
              <w:bCs/>
              <w:snapToGrid w:val="0"/>
              <w:spacing w:val="0"/>
              <w:sz w:val="28"/>
              <w:szCs w:val="28"/>
            </w:rPr>
            <w:tab/>
          </w:r>
          <w:r>
            <w:rPr>
              <w:rFonts w:hint="eastAsia" w:ascii="仿宋" w:hAnsi="仿宋" w:eastAsia="仿宋" w:cs="仿宋"/>
              <w:b/>
              <w:bCs/>
              <w:snapToGrid w:val="0"/>
              <w:spacing w:val="0"/>
              <w:sz w:val="28"/>
              <w:szCs w:val="28"/>
            </w:rPr>
            <w:fldChar w:fldCharType="begin"/>
          </w:r>
          <w:r>
            <w:rPr>
              <w:rFonts w:hint="eastAsia" w:ascii="仿宋" w:hAnsi="仿宋" w:eastAsia="仿宋" w:cs="仿宋"/>
              <w:b/>
              <w:bCs/>
              <w:snapToGrid w:val="0"/>
              <w:spacing w:val="0"/>
              <w:sz w:val="28"/>
              <w:szCs w:val="28"/>
            </w:rPr>
            <w:instrText xml:space="preserve"> PAGEREF _Toc9329 \h </w:instrText>
          </w:r>
          <w:r>
            <w:rPr>
              <w:rFonts w:hint="eastAsia" w:ascii="仿宋" w:hAnsi="仿宋" w:eastAsia="仿宋" w:cs="仿宋"/>
              <w:b/>
              <w:bCs/>
              <w:snapToGrid w:val="0"/>
              <w:spacing w:val="0"/>
              <w:sz w:val="28"/>
              <w:szCs w:val="28"/>
            </w:rPr>
            <w:fldChar w:fldCharType="separate"/>
          </w:r>
          <w:r>
            <w:rPr>
              <w:rFonts w:hint="eastAsia" w:ascii="仿宋" w:hAnsi="仿宋" w:eastAsia="仿宋" w:cs="仿宋"/>
              <w:b/>
              <w:bCs/>
              <w:snapToGrid w:val="0"/>
              <w:spacing w:val="0"/>
              <w:sz w:val="28"/>
              <w:szCs w:val="28"/>
            </w:rPr>
            <w:t>30</w:t>
          </w:r>
          <w:r>
            <w:rPr>
              <w:rFonts w:hint="eastAsia" w:ascii="仿宋" w:hAnsi="仿宋" w:eastAsia="仿宋" w:cs="仿宋"/>
              <w:b/>
              <w:bCs/>
              <w:snapToGrid w:val="0"/>
              <w:spacing w:val="0"/>
              <w:sz w:val="28"/>
              <w:szCs w:val="28"/>
            </w:rPr>
            <w:fldChar w:fldCharType="end"/>
          </w:r>
          <w:r>
            <w:rPr>
              <w:rFonts w:hint="eastAsia" w:ascii="仿宋" w:hAnsi="仿宋" w:eastAsia="仿宋" w:cs="仿宋"/>
              <w:b/>
              <w:bCs/>
              <w:snapToGrid w:val="0"/>
              <w:spacing w:val="0"/>
              <w:sz w:val="28"/>
              <w:szCs w:val="28"/>
              <w:lang w:val="en-US" w:eastAsia="zh-CN"/>
            </w:rPr>
            <w:fldChar w:fldCharType="end"/>
          </w:r>
        </w:p>
        <w:p>
          <w:pPr>
            <w:pStyle w:val="15"/>
            <w:keepNext w:val="0"/>
            <w:keepLines w:val="0"/>
            <w:pageBreakBefore w:val="0"/>
            <w:widowControl w:val="0"/>
            <w:tabs>
              <w:tab w:val="right" w:leader="dot" w:pos="9638"/>
            </w:tabs>
            <w:kinsoku/>
            <w:wordWrap/>
            <w:overflowPunct/>
            <w:topLinePunct w:val="0"/>
            <w:autoSpaceDE w:val="0"/>
            <w:autoSpaceDN w:val="0"/>
            <w:bidi w:val="0"/>
            <w:adjustRightInd/>
            <w:snapToGrid/>
            <w:spacing w:line="720" w:lineRule="auto"/>
            <w:textAlignment w:val="auto"/>
            <w:rPr>
              <w:rFonts w:hint="eastAsia" w:ascii="仿宋" w:hAnsi="仿宋" w:eastAsia="仿宋" w:cs="仿宋"/>
              <w:b/>
              <w:bCs/>
              <w:snapToGrid w:val="0"/>
              <w:spacing w:val="0"/>
              <w:sz w:val="28"/>
              <w:szCs w:val="28"/>
            </w:rPr>
          </w:pPr>
          <w:r>
            <w:rPr>
              <w:rFonts w:hint="eastAsia" w:ascii="仿宋" w:hAnsi="仿宋" w:eastAsia="仿宋" w:cs="仿宋"/>
              <w:b/>
              <w:bCs/>
              <w:snapToGrid w:val="0"/>
              <w:spacing w:val="0"/>
              <w:sz w:val="28"/>
              <w:szCs w:val="28"/>
              <w:lang w:val="en-US" w:eastAsia="zh-CN"/>
            </w:rPr>
            <w:fldChar w:fldCharType="begin"/>
          </w:r>
          <w:r>
            <w:rPr>
              <w:rFonts w:hint="eastAsia" w:ascii="仿宋" w:hAnsi="仿宋" w:eastAsia="仿宋" w:cs="仿宋"/>
              <w:b/>
              <w:bCs/>
              <w:snapToGrid w:val="0"/>
              <w:spacing w:val="0"/>
              <w:sz w:val="28"/>
              <w:szCs w:val="28"/>
              <w:lang w:val="en-US" w:eastAsia="zh-CN"/>
            </w:rPr>
            <w:instrText xml:space="preserve"> HYPERLINK \l _Toc29594 </w:instrText>
          </w:r>
          <w:r>
            <w:rPr>
              <w:rFonts w:hint="eastAsia" w:ascii="仿宋" w:hAnsi="仿宋" w:eastAsia="仿宋" w:cs="仿宋"/>
              <w:b/>
              <w:bCs/>
              <w:snapToGrid w:val="0"/>
              <w:spacing w:val="0"/>
              <w:sz w:val="28"/>
              <w:szCs w:val="28"/>
              <w:lang w:val="en-US" w:eastAsia="zh-CN"/>
            </w:rPr>
            <w:fldChar w:fldCharType="separate"/>
          </w:r>
          <w:r>
            <w:rPr>
              <w:rFonts w:hint="eastAsia" w:ascii="仿宋" w:hAnsi="仿宋" w:eastAsia="仿宋" w:cs="仿宋"/>
              <w:b/>
              <w:bCs/>
              <w:snapToGrid w:val="0"/>
              <w:spacing w:val="0"/>
              <w:sz w:val="28"/>
              <w:szCs w:val="28"/>
              <w:lang w:val="en-US" w:eastAsia="zh-CN"/>
            </w:rPr>
            <w:t>第四章  合 同(样本)</w:t>
          </w:r>
          <w:r>
            <w:rPr>
              <w:rFonts w:hint="eastAsia" w:ascii="仿宋" w:hAnsi="仿宋" w:eastAsia="仿宋" w:cs="仿宋"/>
              <w:b/>
              <w:bCs/>
              <w:snapToGrid w:val="0"/>
              <w:spacing w:val="0"/>
              <w:sz w:val="28"/>
              <w:szCs w:val="28"/>
            </w:rPr>
            <w:tab/>
          </w:r>
          <w:r>
            <w:rPr>
              <w:rFonts w:hint="eastAsia" w:ascii="仿宋" w:hAnsi="仿宋" w:eastAsia="仿宋" w:cs="仿宋"/>
              <w:b/>
              <w:bCs/>
              <w:snapToGrid w:val="0"/>
              <w:spacing w:val="0"/>
              <w:sz w:val="28"/>
              <w:szCs w:val="28"/>
            </w:rPr>
            <w:fldChar w:fldCharType="begin"/>
          </w:r>
          <w:r>
            <w:rPr>
              <w:rFonts w:hint="eastAsia" w:ascii="仿宋" w:hAnsi="仿宋" w:eastAsia="仿宋" w:cs="仿宋"/>
              <w:b/>
              <w:bCs/>
              <w:snapToGrid w:val="0"/>
              <w:spacing w:val="0"/>
              <w:sz w:val="28"/>
              <w:szCs w:val="28"/>
            </w:rPr>
            <w:instrText xml:space="preserve"> PAGEREF _Toc29594 \h </w:instrText>
          </w:r>
          <w:r>
            <w:rPr>
              <w:rFonts w:hint="eastAsia" w:ascii="仿宋" w:hAnsi="仿宋" w:eastAsia="仿宋" w:cs="仿宋"/>
              <w:b/>
              <w:bCs/>
              <w:snapToGrid w:val="0"/>
              <w:spacing w:val="0"/>
              <w:sz w:val="28"/>
              <w:szCs w:val="28"/>
            </w:rPr>
            <w:fldChar w:fldCharType="separate"/>
          </w:r>
          <w:r>
            <w:rPr>
              <w:rFonts w:hint="eastAsia" w:ascii="仿宋" w:hAnsi="仿宋" w:eastAsia="仿宋" w:cs="仿宋"/>
              <w:b/>
              <w:bCs/>
              <w:snapToGrid w:val="0"/>
              <w:spacing w:val="0"/>
              <w:sz w:val="28"/>
              <w:szCs w:val="28"/>
            </w:rPr>
            <w:t>31</w:t>
          </w:r>
          <w:r>
            <w:rPr>
              <w:rFonts w:hint="eastAsia" w:ascii="仿宋" w:hAnsi="仿宋" w:eastAsia="仿宋" w:cs="仿宋"/>
              <w:b/>
              <w:bCs/>
              <w:snapToGrid w:val="0"/>
              <w:spacing w:val="0"/>
              <w:sz w:val="28"/>
              <w:szCs w:val="28"/>
            </w:rPr>
            <w:fldChar w:fldCharType="end"/>
          </w:r>
          <w:r>
            <w:rPr>
              <w:rFonts w:hint="eastAsia" w:ascii="仿宋" w:hAnsi="仿宋" w:eastAsia="仿宋" w:cs="仿宋"/>
              <w:b/>
              <w:bCs/>
              <w:snapToGrid w:val="0"/>
              <w:spacing w:val="0"/>
              <w:sz w:val="28"/>
              <w:szCs w:val="28"/>
              <w:lang w:val="en-US" w:eastAsia="zh-CN"/>
            </w:rPr>
            <w:fldChar w:fldCharType="end"/>
          </w:r>
        </w:p>
        <w:p>
          <w:pPr>
            <w:pStyle w:val="15"/>
            <w:keepNext w:val="0"/>
            <w:keepLines w:val="0"/>
            <w:pageBreakBefore w:val="0"/>
            <w:widowControl w:val="0"/>
            <w:tabs>
              <w:tab w:val="right" w:leader="dot" w:pos="9638"/>
            </w:tabs>
            <w:kinsoku/>
            <w:wordWrap/>
            <w:overflowPunct/>
            <w:topLinePunct w:val="0"/>
            <w:autoSpaceDE w:val="0"/>
            <w:autoSpaceDN w:val="0"/>
            <w:bidi w:val="0"/>
            <w:adjustRightInd/>
            <w:snapToGrid/>
            <w:spacing w:line="720" w:lineRule="auto"/>
            <w:textAlignment w:val="auto"/>
            <w:rPr>
              <w:rFonts w:hint="eastAsia" w:ascii="仿宋" w:hAnsi="仿宋" w:eastAsia="仿宋" w:cs="仿宋"/>
              <w:b/>
              <w:bCs/>
              <w:snapToGrid w:val="0"/>
              <w:spacing w:val="0"/>
              <w:sz w:val="28"/>
              <w:szCs w:val="28"/>
            </w:rPr>
          </w:pPr>
          <w:r>
            <w:rPr>
              <w:rFonts w:hint="eastAsia" w:ascii="仿宋" w:hAnsi="仿宋" w:eastAsia="仿宋" w:cs="仿宋"/>
              <w:b/>
              <w:bCs/>
              <w:snapToGrid w:val="0"/>
              <w:spacing w:val="0"/>
              <w:sz w:val="28"/>
              <w:szCs w:val="28"/>
              <w:lang w:val="en-US" w:eastAsia="zh-CN"/>
            </w:rPr>
            <w:fldChar w:fldCharType="begin"/>
          </w:r>
          <w:r>
            <w:rPr>
              <w:rFonts w:hint="eastAsia" w:ascii="仿宋" w:hAnsi="仿宋" w:eastAsia="仿宋" w:cs="仿宋"/>
              <w:b/>
              <w:bCs/>
              <w:snapToGrid w:val="0"/>
              <w:spacing w:val="0"/>
              <w:sz w:val="28"/>
              <w:szCs w:val="28"/>
              <w:lang w:val="en-US" w:eastAsia="zh-CN"/>
            </w:rPr>
            <w:instrText xml:space="preserve"> HYPERLINK \l _Toc14781 </w:instrText>
          </w:r>
          <w:r>
            <w:rPr>
              <w:rFonts w:hint="eastAsia" w:ascii="仿宋" w:hAnsi="仿宋" w:eastAsia="仿宋" w:cs="仿宋"/>
              <w:b/>
              <w:bCs/>
              <w:snapToGrid w:val="0"/>
              <w:spacing w:val="0"/>
              <w:sz w:val="28"/>
              <w:szCs w:val="28"/>
              <w:lang w:val="en-US" w:eastAsia="zh-CN"/>
            </w:rPr>
            <w:fldChar w:fldCharType="separate"/>
          </w:r>
          <w:r>
            <w:rPr>
              <w:rFonts w:hint="eastAsia" w:ascii="仿宋" w:hAnsi="仿宋" w:eastAsia="仿宋" w:cs="仿宋"/>
              <w:b/>
              <w:bCs/>
              <w:snapToGrid w:val="0"/>
              <w:spacing w:val="0"/>
              <w:sz w:val="28"/>
              <w:szCs w:val="28"/>
              <w:lang w:val="en-US" w:eastAsia="zh-CN"/>
            </w:rPr>
            <w:t>第五章  资格审查与评审办法</w:t>
          </w:r>
          <w:r>
            <w:rPr>
              <w:rFonts w:hint="eastAsia" w:ascii="仿宋" w:hAnsi="仿宋" w:eastAsia="仿宋" w:cs="仿宋"/>
              <w:b/>
              <w:bCs/>
              <w:snapToGrid w:val="0"/>
              <w:spacing w:val="0"/>
              <w:sz w:val="28"/>
              <w:szCs w:val="28"/>
            </w:rPr>
            <w:tab/>
          </w:r>
          <w:r>
            <w:rPr>
              <w:rFonts w:hint="eastAsia" w:ascii="仿宋" w:hAnsi="仿宋" w:eastAsia="仿宋" w:cs="仿宋"/>
              <w:b/>
              <w:bCs/>
              <w:snapToGrid w:val="0"/>
              <w:spacing w:val="0"/>
              <w:sz w:val="28"/>
              <w:szCs w:val="28"/>
            </w:rPr>
            <w:fldChar w:fldCharType="begin"/>
          </w:r>
          <w:r>
            <w:rPr>
              <w:rFonts w:hint="eastAsia" w:ascii="仿宋" w:hAnsi="仿宋" w:eastAsia="仿宋" w:cs="仿宋"/>
              <w:b/>
              <w:bCs/>
              <w:snapToGrid w:val="0"/>
              <w:spacing w:val="0"/>
              <w:sz w:val="28"/>
              <w:szCs w:val="28"/>
            </w:rPr>
            <w:instrText xml:space="preserve"> PAGEREF _Toc14781 \h </w:instrText>
          </w:r>
          <w:r>
            <w:rPr>
              <w:rFonts w:hint="eastAsia" w:ascii="仿宋" w:hAnsi="仿宋" w:eastAsia="仿宋" w:cs="仿宋"/>
              <w:b/>
              <w:bCs/>
              <w:snapToGrid w:val="0"/>
              <w:spacing w:val="0"/>
              <w:sz w:val="28"/>
              <w:szCs w:val="28"/>
            </w:rPr>
            <w:fldChar w:fldCharType="separate"/>
          </w:r>
          <w:r>
            <w:rPr>
              <w:rFonts w:hint="eastAsia" w:ascii="仿宋" w:hAnsi="仿宋" w:eastAsia="仿宋" w:cs="仿宋"/>
              <w:b/>
              <w:bCs/>
              <w:snapToGrid w:val="0"/>
              <w:spacing w:val="0"/>
              <w:sz w:val="28"/>
              <w:szCs w:val="28"/>
            </w:rPr>
            <w:t>50</w:t>
          </w:r>
          <w:r>
            <w:rPr>
              <w:rFonts w:hint="eastAsia" w:ascii="仿宋" w:hAnsi="仿宋" w:eastAsia="仿宋" w:cs="仿宋"/>
              <w:b/>
              <w:bCs/>
              <w:snapToGrid w:val="0"/>
              <w:spacing w:val="0"/>
              <w:sz w:val="28"/>
              <w:szCs w:val="28"/>
            </w:rPr>
            <w:fldChar w:fldCharType="end"/>
          </w:r>
          <w:r>
            <w:rPr>
              <w:rFonts w:hint="eastAsia" w:ascii="仿宋" w:hAnsi="仿宋" w:eastAsia="仿宋" w:cs="仿宋"/>
              <w:b/>
              <w:bCs/>
              <w:snapToGrid w:val="0"/>
              <w:spacing w:val="0"/>
              <w:sz w:val="28"/>
              <w:szCs w:val="28"/>
              <w:lang w:val="en-US" w:eastAsia="zh-CN"/>
            </w:rPr>
            <w:fldChar w:fldCharType="end"/>
          </w:r>
        </w:p>
        <w:p>
          <w:pPr>
            <w:pStyle w:val="15"/>
            <w:keepNext w:val="0"/>
            <w:keepLines w:val="0"/>
            <w:pageBreakBefore w:val="0"/>
            <w:widowControl w:val="0"/>
            <w:tabs>
              <w:tab w:val="right" w:leader="dot" w:pos="9638"/>
            </w:tabs>
            <w:kinsoku/>
            <w:wordWrap/>
            <w:overflowPunct/>
            <w:topLinePunct w:val="0"/>
            <w:autoSpaceDE w:val="0"/>
            <w:autoSpaceDN w:val="0"/>
            <w:bidi w:val="0"/>
            <w:adjustRightInd/>
            <w:snapToGrid/>
            <w:spacing w:line="720" w:lineRule="auto"/>
            <w:textAlignment w:val="auto"/>
            <w:rPr>
              <w:rFonts w:hint="eastAsia" w:ascii="仿宋" w:hAnsi="仿宋" w:eastAsia="仿宋" w:cs="仿宋"/>
              <w:b/>
              <w:bCs/>
              <w:snapToGrid w:val="0"/>
              <w:spacing w:val="0"/>
              <w:sz w:val="28"/>
              <w:szCs w:val="28"/>
            </w:rPr>
          </w:pPr>
          <w:r>
            <w:rPr>
              <w:rFonts w:hint="eastAsia" w:ascii="仿宋" w:hAnsi="仿宋" w:eastAsia="仿宋" w:cs="仿宋"/>
              <w:b/>
              <w:bCs/>
              <w:snapToGrid w:val="0"/>
              <w:spacing w:val="0"/>
              <w:sz w:val="28"/>
              <w:szCs w:val="28"/>
              <w:lang w:val="en-US" w:eastAsia="zh-CN"/>
            </w:rPr>
            <w:fldChar w:fldCharType="begin"/>
          </w:r>
          <w:r>
            <w:rPr>
              <w:rFonts w:hint="eastAsia" w:ascii="仿宋" w:hAnsi="仿宋" w:eastAsia="仿宋" w:cs="仿宋"/>
              <w:b/>
              <w:bCs/>
              <w:snapToGrid w:val="0"/>
              <w:spacing w:val="0"/>
              <w:sz w:val="28"/>
              <w:szCs w:val="28"/>
              <w:lang w:val="en-US" w:eastAsia="zh-CN"/>
            </w:rPr>
            <w:instrText xml:space="preserve"> HYPERLINK \l _Toc5485 </w:instrText>
          </w:r>
          <w:r>
            <w:rPr>
              <w:rFonts w:hint="eastAsia" w:ascii="仿宋" w:hAnsi="仿宋" w:eastAsia="仿宋" w:cs="仿宋"/>
              <w:b/>
              <w:bCs/>
              <w:snapToGrid w:val="0"/>
              <w:spacing w:val="0"/>
              <w:sz w:val="28"/>
              <w:szCs w:val="28"/>
              <w:lang w:val="en-US" w:eastAsia="zh-CN"/>
            </w:rPr>
            <w:fldChar w:fldCharType="separate"/>
          </w:r>
          <w:r>
            <w:rPr>
              <w:rFonts w:hint="eastAsia" w:ascii="仿宋" w:hAnsi="仿宋" w:eastAsia="仿宋" w:cs="仿宋"/>
              <w:b/>
              <w:bCs/>
              <w:snapToGrid w:val="0"/>
              <w:spacing w:val="0"/>
              <w:sz w:val="28"/>
              <w:szCs w:val="28"/>
              <w:lang w:val="en-US" w:eastAsia="zh-CN"/>
            </w:rPr>
            <w:t>第六章  资格审查与评审标准</w:t>
          </w:r>
          <w:r>
            <w:rPr>
              <w:rFonts w:hint="eastAsia" w:ascii="仿宋" w:hAnsi="仿宋" w:eastAsia="仿宋" w:cs="仿宋"/>
              <w:b/>
              <w:bCs/>
              <w:snapToGrid w:val="0"/>
              <w:spacing w:val="0"/>
              <w:sz w:val="28"/>
              <w:szCs w:val="28"/>
            </w:rPr>
            <w:tab/>
          </w:r>
          <w:r>
            <w:rPr>
              <w:rFonts w:hint="eastAsia" w:ascii="仿宋" w:hAnsi="仿宋" w:eastAsia="仿宋" w:cs="仿宋"/>
              <w:b/>
              <w:bCs/>
              <w:snapToGrid w:val="0"/>
              <w:spacing w:val="0"/>
              <w:sz w:val="28"/>
              <w:szCs w:val="28"/>
            </w:rPr>
            <w:fldChar w:fldCharType="begin"/>
          </w:r>
          <w:r>
            <w:rPr>
              <w:rFonts w:hint="eastAsia" w:ascii="仿宋" w:hAnsi="仿宋" w:eastAsia="仿宋" w:cs="仿宋"/>
              <w:b/>
              <w:bCs/>
              <w:snapToGrid w:val="0"/>
              <w:spacing w:val="0"/>
              <w:sz w:val="28"/>
              <w:szCs w:val="28"/>
            </w:rPr>
            <w:instrText xml:space="preserve"> PAGEREF _Toc5485 \h </w:instrText>
          </w:r>
          <w:r>
            <w:rPr>
              <w:rFonts w:hint="eastAsia" w:ascii="仿宋" w:hAnsi="仿宋" w:eastAsia="仿宋" w:cs="仿宋"/>
              <w:b/>
              <w:bCs/>
              <w:snapToGrid w:val="0"/>
              <w:spacing w:val="0"/>
              <w:sz w:val="28"/>
              <w:szCs w:val="28"/>
            </w:rPr>
            <w:fldChar w:fldCharType="separate"/>
          </w:r>
          <w:r>
            <w:rPr>
              <w:rFonts w:hint="eastAsia" w:ascii="仿宋" w:hAnsi="仿宋" w:eastAsia="仿宋" w:cs="仿宋"/>
              <w:b/>
              <w:bCs/>
              <w:snapToGrid w:val="0"/>
              <w:spacing w:val="0"/>
              <w:sz w:val="28"/>
              <w:szCs w:val="28"/>
            </w:rPr>
            <w:t>53</w:t>
          </w:r>
          <w:r>
            <w:rPr>
              <w:rFonts w:hint="eastAsia" w:ascii="仿宋" w:hAnsi="仿宋" w:eastAsia="仿宋" w:cs="仿宋"/>
              <w:b/>
              <w:bCs/>
              <w:snapToGrid w:val="0"/>
              <w:spacing w:val="0"/>
              <w:sz w:val="28"/>
              <w:szCs w:val="28"/>
            </w:rPr>
            <w:fldChar w:fldCharType="end"/>
          </w:r>
          <w:r>
            <w:rPr>
              <w:rFonts w:hint="eastAsia" w:ascii="仿宋" w:hAnsi="仿宋" w:eastAsia="仿宋" w:cs="仿宋"/>
              <w:b/>
              <w:bCs/>
              <w:snapToGrid w:val="0"/>
              <w:spacing w:val="0"/>
              <w:sz w:val="28"/>
              <w:szCs w:val="28"/>
              <w:lang w:val="en-US" w:eastAsia="zh-CN"/>
            </w:rPr>
            <w:fldChar w:fldCharType="end"/>
          </w:r>
        </w:p>
        <w:p>
          <w:pPr>
            <w:pStyle w:val="15"/>
            <w:keepNext w:val="0"/>
            <w:keepLines w:val="0"/>
            <w:pageBreakBefore w:val="0"/>
            <w:widowControl w:val="0"/>
            <w:tabs>
              <w:tab w:val="right" w:leader="dot" w:pos="9638"/>
            </w:tabs>
            <w:kinsoku/>
            <w:wordWrap/>
            <w:overflowPunct/>
            <w:topLinePunct w:val="0"/>
            <w:autoSpaceDE w:val="0"/>
            <w:autoSpaceDN w:val="0"/>
            <w:bidi w:val="0"/>
            <w:adjustRightInd/>
            <w:snapToGrid/>
            <w:spacing w:line="720" w:lineRule="auto"/>
            <w:textAlignment w:val="auto"/>
            <w:rPr>
              <w:rFonts w:hint="eastAsia" w:ascii="仿宋" w:hAnsi="仿宋" w:eastAsia="仿宋" w:cs="仿宋"/>
              <w:snapToGrid w:val="0"/>
              <w:spacing w:val="0"/>
              <w:sz w:val="28"/>
              <w:szCs w:val="28"/>
            </w:rPr>
          </w:pPr>
          <w:r>
            <w:rPr>
              <w:rFonts w:hint="eastAsia" w:ascii="仿宋" w:hAnsi="仿宋" w:eastAsia="仿宋" w:cs="仿宋"/>
              <w:b/>
              <w:bCs/>
              <w:snapToGrid w:val="0"/>
              <w:spacing w:val="0"/>
              <w:sz w:val="28"/>
              <w:szCs w:val="28"/>
              <w:lang w:val="en-US" w:eastAsia="zh-CN"/>
            </w:rPr>
            <w:fldChar w:fldCharType="begin"/>
          </w:r>
          <w:r>
            <w:rPr>
              <w:rFonts w:hint="eastAsia" w:ascii="仿宋" w:hAnsi="仿宋" w:eastAsia="仿宋" w:cs="仿宋"/>
              <w:b/>
              <w:bCs/>
              <w:snapToGrid w:val="0"/>
              <w:spacing w:val="0"/>
              <w:sz w:val="28"/>
              <w:szCs w:val="28"/>
              <w:lang w:val="en-US" w:eastAsia="zh-CN"/>
            </w:rPr>
            <w:instrText xml:space="preserve"> HYPERLINK \l _Toc23879 </w:instrText>
          </w:r>
          <w:r>
            <w:rPr>
              <w:rFonts w:hint="eastAsia" w:ascii="仿宋" w:hAnsi="仿宋" w:eastAsia="仿宋" w:cs="仿宋"/>
              <w:b/>
              <w:bCs/>
              <w:snapToGrid w:val="0"/>
              <w:spacing w:val="0"/>
              <w:sz w:val="28"/>
              <w:szCs w:val="28"/>
              <w:lang w:val="en-US" w:eastAsia="zh-CN"/>
            </w:rPr>
            <w:fldChar w:fldCharType="separate"/>
          </w:r>
          <w:r>
            <w:rPr>
              <w:rFonts w:hint="eastAsia" w:ascii="仿宋" w:hAnsi="仿宋" w:eastAsia="仿宋" w:cs="仿宋"/>
              <w:b/>
              <w:bCs/>
              <w:snapToGrid w:val="0"/>
              <w:spacing w:val="0"/>
              <w:sz w:val="28"/>
              <w:szCs w:val="28"/>
              <w:lang w:val="en-US" w:eastAsia="zh-CN"/>
            </w:rPr>
            <w:t>第七章  投标文件格式</w:t>
          </w:r>
          <w:r>
            <w:rPr>
              <w:rFonts w:hint="eastAsia" w:ascii="仿宋" w:hAnsi="仿宋" w:eastAsia="仿宋" w:cs="仿宋"/>
              <w:b/>
              <w:bCs/>
              <w:snapToGrid w:val="0"/>
              <w:spacing w:val="0"/>
              <w:sz w:val="28"/>
              <w:szCs w:val="28"/>
            </w:rPr>
            <w:tab/>
          </w:r>
          <w:r>
            <w:rPr>
              <w:rFonts w:hint="eastAsia" w:ascii="仿宋" w:hAnsi="仿宋" w:eastAsia="仿宋" w:cs="仿宋"/>
              <w:b/>
              <w:bCs/>
              <w:snapToGrid w:val="0"/>
              <w:spacing w:val="0"/>
              <w:sz w:val="28"/>
              <w:szCs w:val="28"/>
            </w:rPr>
            <w:fldChar w:fldCharType="begin"/>
          </w:r>
          <w:r>
            <w:rPr>
              <w:rFonts w:hint="eastAsia" w:ascii="仿宋" w:hAnsi="仿宋" w:eastAsia="仿宋" w:cs="仿宋"/>
              <w:b/>
              <w:bCs/>
              <w:snapToGrid w:val="0"/>
              <w:spacing w:val="0"/>
              <w:sz w:val="28"/>
              <w:szCs w:val="28"/>
            </w:rPr>
            <w:instrText xml:space="preserve"> PAGEREF _Toc23879 \h </w:instrText>
          </w:r>
          <w:r>
            <w:rPr>
              <w:rFonts w:hint="eastAsia" w:ascii="仿宋" w:hAnsi="仿宋" w:eastAsia="仿宋" w:cs="仿宋"/>
              <w:b/>
              <w:bCs/>
              <w:snapToGrid w:val="0"/>
              <w:spacing w:val="0"/>
              <w:sz w:val="28"/>
              <w:szCs w:val="28"/>
            </w:rPr>
            <w:fldChar w:fldCharType="separate"/>
          </w:r>
          <w:r>
            <w:rPr>
              <w:rFonts w:hint="eastAsia" w:ascii="仿宋" w:hAnsi="仿宋" w:eastAsia="仿宋" w:cs="仿宋"/>
              <w:b/>
              <w:bCs/>
              <w:snapToGrid w:val="0"/>
              <w:spacing w:val="0"/>
              <w:sz w:val="28"/>
              <w:szCs w:val="28"/>
            </w:rPr>
            <w:t>57</w:t>
          </w:r>
          <w:r>
            <w:rPr>
              <w:rFonts w:hint="eastAsia" w:ascii="仿宋" w:hAnsi="仿宋" w:eastAsia="仿宋" w:cs="仿宋"/>
              <w:b/>
              <w:bCs/>
              <w:snapToGrid w:val="0"/>
              <w:spacing w:val="0"/>
              <w:sz w:val="28"/>
              <w:szCs w:val="28"/>
            </w:rPr>
            <w:fldChar w:fldCharType="end"/>
          </w:r>
          <w:r>
            <w:rPr>
              <w:rFonts w:hint="eastAsia" w:ascii="仿宋" w:hAnsi="仿宋" w:eastAsia="仿宋" w:cs="仿宋"/>
              <w:b/>
              <w:bCs/>
              <w:snapToGrid w:val="0"/>
              <w:spacing w:val="0"/>
              <w:sz w:val="28"/>
              <w:szCs w:val="28"/>
              <w:lang w:val="en-US" w:eastAsia="zh-CN"/>
            </w:rPr>
            <w:fldChar w:fldCharType="end"/>
          </w:r>
        </w:p>
        <w:p>
          <w:pPr>
            <w:pStyle w:val="15"/>
            <w:keepNext w:val="0"/>
            <w:keepLines w:val="0"/>
            <w:pageBreakBefore w:val="0"/>
            <w:widowControl w:val="0"/>
            <w:tabs>
              <w:tab w:val="right" w:leader="dot" w:pos="9638"/>
            </w:tabs>
            <w:kinsoku/>
            <w:wordWrap/>
            <w:overflowPunct/>
            <w:topLinePunct w:val="0"/>
            <w:autoSpaceDE w:val="0"/>
            <w:autoSpaceDN w:val="0"/>
            <w:bidi w:val="0"/>
            <w:adjustRightInd/>
            <w:snapToGrid/>
            <w:spacing w:line="480" w:lineRule="auto"/>
            <w:textAlignment w:val="auto"/>
            <w:rPr>
              <w:rFonts w:hint="eastAsia" w:ascii="仿宋" w:hAnsi="仿宋" w:eastAsia="仿宋" w:cs="仿宋"/>
              <w:snapToGrid w:val="0"/>
              <w:spacing w:val="0"/>
              <w:sz w:val="28"/>
              <w:szCs w:val="28"/>
            </w:rPr>
          </w:pPr>
        </w:p>
        <w:p>
          <w:pPr>
            <w:keepNext w:val="0"/>
            <w:keepLines w:val="0"/>
            <w:pageBreakBefore w:val="0"/>
            <w:widowControl w:val="0"/>
            <w:kinsoku/>
            <w:wordWrap/>
            <w:overflowPunct/>
            <w:topLinePunct w:val="0"/>
            <w:autoSpaceDE w:val="0"/>
            <w:autoSpaceDN w:val="0"/>
            <w:bidi w:val="0"/>
            <w:adjustRightInd/>
            <w:snapToGrid/>
            <w:spacing w:line="480" w:lineRule="auto"/>
            <w:ind w:left="0" w:leftChars="0" w:firstLine="0" w:firstLineChars="0"/>
            <w:textAlignment w:val="auto"/>
            <w:rPr>
              <w:rFonts w:hint="eastAsia" w:ascii="仿宋" w:hAnsi="仿宋" w:eastAsia="仿宋" w:cs="仿宋"/>
              <w:snapToGrid w:val="0"/>
              <w:spacing w:val="0"/>
              <w:sz w:val="24"/>
              <w:szCs w:val="24"/>
              <w:lang w:val="en-US" w:eastAsia="zh-CN"/>
            </w:rPr>
            <w:sectPr>
              <w:pgSz w:w="11906" w:h="16838"/>
              <w:pgMar w:top="1134" w:right="1134" w:bottom="1134" w:left="1134" w:header="851" w:footer="992" w:gutter="0"/>
              <w:pgNumType w:fmt="decimal"/>
              <w:cols w:space="425" w:num="1"/>
              <w:docGrid w:type="lines" w:linePitch="312" w:charSpace="0"/>
            </w:sectPr>
          </w:pPr>
          <w:r>
            <w:rPr>
              <w:rFonts w:hint="eastAsia" w:ascii="仿宋" w:hAnsi="仿宋" w:eastAsia="仿宋" w:cs="仿宋"/>
              <w:snapToGrid w:val="0"/>
              <w:spacing w:val="0"/>
              <w:sz w:val="28"/>
              <w:szCs w:val="28"/>
              <w:lang w:val="en-US" w:eastAsia="zh-CN"/>
            </w:rPr>
            <w:fldChar w:fldCharType="end"/>
          </w:r>
        </w:p>
      </w:sdtContent>
    </w:sdt>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0"/>
        <w:rPr>
          <w:rFonts w:hint="eastAsia" w:ascii="仿宋" w:hAnsi="仿宋" w:eastAsia="仿宋" w:cs="仿宋"/>
          <w:b/>
          <w:bCs/>
          <w:snapToGrid w:val="0"/>
          <w:spacing w:val="0"/>
          <w:sz w:val="32"/>
          <w:szCs w:val="32"/>
          <w:lang w:val="en-US" w:eastAsia="zh-CN"/>
        </w:rPr>
      </w:pPr>
      <w:bookmarkStart w:id="0" w:name="_Toc7647"/>
      <w:bookmarkStart w:id="1" w:name="_Toc2308"/>
      <w:r>
        <w:rPr>
          <w:rFonts w:hint="eastAsia" w:ascii="仿宋" w:hAnsi="仿宋" w:eastAsia="仿宋" w:cs="仿宋"/>
          <w:b/>
          <w:bCs/>
          <w:snapToGrid w:val="0"/>
          <w:spacing w:val="0"/>
          <w:sz w:val="32"/>
          <w:szCs w:val="32"/>
          <w:lang w:val="en-US" w:eastAsia="zh-CN"/>
        </w:rPr>
        <w:t>第一章  招标公告</w:t>
      </w:r>
      <w:bookmarkEnd w:id="0"/>
      <w:bookmarkEnd w:id="1"/>
    </w:p>
    <w:p>
      <w:pPr>
        <w:pStyle w:val="2"/>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项目概况：</w:t>
      </w:r>
    </w:p>
    <w:p>
      <w:pPr>
        <w:pStyle w:val="2"/>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洛阳市涧西区财政局综合治税第三方纳税评估项目的潜在供应商应在洛阳市公共资源交易中心网站（lyggzyjy.ly.gov.cn）获取招标文件</w:t>
      </w:r>
      <w:r>
        <w:rPr>
          <w:rFonts w:hint="eastAsia" w:ascii="仿宋" w:hAnsi="仿宋" w:eastAsia="仿宋" w:cs="仿宋"/>
          <w:snapToGrid w:val="0"/>
          <w:spacing w:val="0"/>
          <w:sz w:val="24"/>
          <w:szCs w:val="24"/>
          <w:highlight w:val="none"/>
          <w:lang w:val="en-US" w:eastAsia="zh-CN"/>
        </w:rPr>
        <w:t>，并于2022年9月26日09时30分（北京时间）</w:t>
      </w:r>
      <w:r>
        <w:rPr>
          <w:rFonts w:hint="eastAsia" w:ascii="仿宋" w:hAnsi="仿宋" w:eastAsia="仿宋" w:cs="仿宋"/>
          <w:snapToGrid w:val="0"/>
          <w:spacing w:val="0"/>
          <w:sz w:val="24"/>
          <w:szCs w:val="24"/>
          <w:lang w:val="en-US" w:eastAsia="zh-CN"/>
        </w:rPr>
        <w:t>前递交投标文件。</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bookmarkStart w:id="2" w:name="_Toc19673"/>
      <w:bookmarkStart w:id="3" w:name="_Toc3581"/>
      <w:r>
        <w:rPr>
          <w:rFonts w:hint="eastAsia" w:ascii="仿宋" w:hAnsi="仿宋" w:eastAsia="仿宋" w:cs="仿宋"/>
          <w:b/>
          <w:bCs/>
          <w:snapToGrid w:val="0"/>
          <w:spacing w:val="0"/>
          <w:sz w:val="24"/>
          <w:szCs w:val="24"/>
          <w:lang w:val="en-US" w:eastAsia="zh-CN"/>
        </w:rPr>
        <w:t>一、项目基本情况</w:t>
      </w:r>
      <w:bookmarkEnd w:id="2"/>
      <w:bookmarkEnd w:id="3"/>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bookmarkStart w:id="4" w:name="_Toc6838"/>
      <w:bookmarkStart w:id="5" w:name="_Toc27616"/>
      <w:r>
        <w:rPr>
          <w:rFonts w:hint="eastAsia" w:ascii="仿宋" w:hAnsi="仿宋" w:eastAsia="仿宋" w:cs="仿宋"/>
          <w:snapToGrid w:val="0"/>
          <w:spacing w:val="0"/>
          <w:sz w:val="24"/>
          <w:szCs w:val="24"/>
          <w:lang w:val="en-US" w:eastAsia="zh-CN"/>
        </w:rPr>
        <w:t>1、项目编号：</w:t>
      </w:r>
      <w:bookmarkEnd w:id="4"/>
      <w:bookmarkEnd w:id="5"/>
      <w:r>
        <w:rPr>
          <w:rFonts w:hint="eastAsia" w:ascii="仿宋" w:hAnsi="仿宋" w:eastAsia="仿宋" w:cs="仿宋"/>
          <w:snapToGrid w:val="0"/>
          <w:spacing w:val="0"/>
          <w:sz w:val="24"/>
          <w:szCs w:val="24"/>
          <w:lang w:val="en-US" w:eastAsia="zh-CN"/>
        </w:rPr>
        <w:t>涧西政采招标(2022)0090号</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bookmarkStart w:id="6" w:name="_Toc19750"/>
      <w:bookmarkStart w:id="7" w:name="_Toc6400"/>
      <w:r>
        <w:rPr>
          <w:rFonts w:hint="eastAsia" w:ascii="仿宋" w:hAnsi="仿宋" w:eastAsia="仿宋" w:cs="仿宋"/>
          <w:snapToGrid w:val="0"/>
          <w:spacing w:val="0"/>
          <w:sz w:val="24"/>
          <w:szCs w:val="24"/>
          <w:lang w:val="en-US" w:eastAsia="zh-CN"/>
        </w:rPr>
        <w:t>2、项目名称：</w:t>
      </w:r>
      <w:bookmarkEnd w:id="6"/>
      <w:bookmarkEnd w:id="7"/>
      <w:bookmarkStart w:id="8" w:name="_Toc13426"/>
      <w:bookmarkStart w:id="9" w:name="_Toc14958"/>
      <w:r>
        <w:rPr>
          <w:rFonts w:hint="eastAsia" w:ascii="仿宋" w:hAnsi="仿宋" w:eastAsia="仿宋" w:cs="仿宋"/>
          <w:snapToGrid w:val="0"/>
          <w:spacing w:val="0"/>
          <w:sz w:val="24"/>
          <w:szCs w:val="24"/>
          <w:lang w:val="en-US" w:eastAsia="zh-CN"/>
        </w:rPr>
        <w:t>洛阳市涧西区财政局综合治税第三方纳税评估项目</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3、采购方式：公开招标</w:t>
      </w:r>
      <w:bookmarkEnd w:id="8"/>
      <w:bookmarkEnd w:id="9"/>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default" w:ascii="仿宋" w:hAnsi="仿宋" w:eastAsia="仿宋" w:cs="仿宋"/>
          <w:snapToGrid w:val="0"/>
          <w:spacing w:val="0"/>
          <w:sz w:val="24"/>
          <w:szCs w:val="24"/>
          <w:lang w:val="en-US" w:eastAsia="zh-CN"/>
        </w:rPr>
      </w:pPr>
      <w:bookmarkStart w:id="10" w:name="_Toc9266"/>
      <w:bookmarkStart w:id="11" w:name="_Toc19112"/>
      <w:r>
        <w:rPr>
          <w:rFonts w:hint="eastAsia" w:ascii="仿宋" w:hAnsi="仿宋" w:eastAsia="仿宋" w:cs="仿宋"/>
          <w:snapToGrid w:val="0"/>
          <w:spacing w:val="0"/>
          <w:sz w:val="24"/>
          <w:szCs w:val="24"/>
          <w:lang w:val="en-US" w:eastAsia="zh-CN"/>
        </w:rPr>
        <w:t>4、预算金额：</w:t>
      </w:r>
      <w:bookmarkEnd w:id="10"/>
      <w:bookmarkEnd w:id="11"/>
      <w:r>
        <w:rPr>
          <w:rFonts w:hint="eastAsia" w:ascii="仿宋" w:hAnsi="仿宋" w:eastAsia="仿宋" w:cs="仿宋"/>
          <w:snapToGrid w:val="0"/>
          <w:spacing w:val="0"/>
          <w:sz w:val="24"/>
          <w:szCs w:val="24"/>
          <w:lang w:val="en-US" w:eastAsia="zh-CN"/>
        </w:rPr>
        <w:t xml:space="preserve"> 3600000元  最高限价：3600000元</w:t>
      </w:r>
    </w:p>
    <w:tbl>
      <w:tblPr>
        <w:tblStyle w:val="20"/>
        <w:tblW w:w="1035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140"/>
        <w:gridCol w:w="3392"/>
        <w:gridCol w:w="1003"/>
        <w:gridCol w:w="1140"/>
        <w:gridCol w:w="111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880"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序号</w:t>
            </w:r>
          </w:p>
        </w:tc>
        <w:tc>
          <w:tcPr>
            <w:tcW w:w="1140"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包号</w:t>
            </w:r>
          </w:p>
        </w:tc>
        <w:tc>
          <w:tcPr>
            <w:tcW w:w="3392"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包名称</w:t>
            </w:r>
          </w:p>
        </w:tc>
        <w:tc>
          <w:tcPr>
            <w:tcW w:w="1003"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包预算（元）</w:t>
            </w:r>
          </w:p>
        </w:tc>
        <w:tc>
          <w:tcPr>
            <w:tcW w:w="1140"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包最高限价（元）</w:t>
            </w:r>
          </w:p>
        </w:tc>
        <w:tc>
          <w:tcPr>
            <w:tcW w:w="1110"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是否专门面向中小企业</w:t>
            </w:r>
          </w:p>
        </w:tc>
        <w:tc>
          <w:tcPr>
            <w:tcW w:w="169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w:t>
            </w:r>
          </w:p>
        </w:tc>
        <w:tc>
          <w:tcPr>
            <w:tcW w:w="1140"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一标段</w:t>
            </w:r>
          </w:p>
        </w:tc>
        <w:tc>
          <w:tcPr>
            <w:tcW w:w="3392"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洛阳市涧西区财政局综合治税第三方纳税评估项目一标段</w:t>
            </w:r>
          </w:p>
        </w:tc>
        <w:tc>
          <w:tcPr>
            <w:tcW w:w="1003"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0</w:t>
            </w:r>
          </w:p>
        </w:tc>
        <w:tc>
          <w:tcPr>
            <w:tcW w:w="1140"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0</w:t>
            </w:r>
          </w:p>
        </w:tc>
        <w:tc>
          <w:tcPr>
            <w:tcW w:w="1110"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是</w:t>
            </w:r>
          </w:p>
        </w:tc>
        <w:tc>
          <w:tcPr>
            <w:tcW w:w="169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lang w:val="en-US" w:eastAsia="zh-CN"/>
              </w:rPr>
              <w:t>0，其中小微企业采购金额：0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2</w:t>
            </w:r>
          </w:p>
        </w:tc>
        <w:tc>
          <w:tcPr>
            <w:tcW w:w="1140"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二标段</w:t>
            </w:r>
          </w:p>
        </w:tc>
        <w:tc>
          <w:tcPr>
            <w:tcW w:w="3392"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洛阳市涧西区财政局综合治税第三方纳税评估项目二标段</w:t>
            </w:r>
          </w:p>
        </w:tc>
        <w:tc>
          <w:tcPr>
            <w:tcW w:w="1003"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0</w:t>
            </w:r>
          </w:p>
        </w:tc>
        <w:tc>
          <w:tcPr>
            <w:tcW w:w="1140"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0</w:t>
            </w:r>
          </w:p>
        </w:tc>
        <w:tc>
          <w:tcPr>
            <w:tcW w:w="1110"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是</w:t>
            </w:r>
          </w:p>
        </w:tc>
        <w:tc>
          <w:tcPr>
            <w:tcW w:w="169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lang w:val="en-US" w:eastAsia="zh-CN"/>
              </w:rPr>
              <w:t>0，其中小微企业采购金额：0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w:t>
            </w:r>
          </w:p>
        </w:tc>
        <w:tc>
          <w:tcPr>
            <w:tcW w:w="1140"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三标段</w:t>
            </w:r>
          </w:p>
        </w:tc>
        <w:tc>
          <w:tcPr>
            <w:tcW w:w="3392"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洛阳市涧西区财政局综合治税第三方纳税评估项目三标段</w:t>
            </w:r>
          </w:p>
        </w:tc>
        <w:tc>
          <w:tcPr>
            <w:tcW w:w="1003"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0</w:t>
            </w:r>
          </w:p>
        </w:tc>
        <w:tc>
          <w:tcPr>
            <w:tcW w:w="1140"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0</w:t>
            </w:r>
          </w:p>
        </w:tc>
        <w:tc>
          <w:tcPr>
            <w:tcW w:w="1110"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是</w:t>
            </w:r>
          </w:p>
        </w:tc>
        <w:tc>
          <w:tcPr>
            <w:tcW w:w="169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lang w:val="en-US" w:eastAsia="zh-CN"/>
              </w:rPr>
              <w:t>0，其中小微企业采购金额：0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仿宋" w:hAnsi="仿宋" w:eastAsia="仿宋" w:cs="仿宋"/>
                <w:snapToGrid w:val="0"/>
                <w:spacing w:val="0"/>
                <w:sz w:val="24"/>
                <w:szCs w:val="24"/>
                <w:lang w:val="en-US" w:eastAsia="zh-CN"/>
              </w:rPr>
            </w:pPr>
            <w:bookmarkStart w:id="12" w:name="_Toc7015"/>
            <w:bookmarkStart w:id="13" w:name="_Toc21488"/>
            <w:r>
              <w:rPr>
                <w:rFonts w:hint="eastAsia" w:ascii="仿宋" w:hAnsi="仿宋" w:eastAsia="仿宋" w:cs="仿宋"/>
                <w:snapToGrid w:val="0"/>
                <w:spacing w:val="0"/>
                <w:sz w:val="24"/>
                <w:szCs w:val="24"/>
                <w:lang w:val="en-US" w:eastAsia="zh-CN"/>
              </w:rPr>
              <w:t>4</w:t>
            </w:r>
          </w:p>
        </w:tc>
        <w:tc>
          <w:tcPr>
            <w:tcW w:w="1140"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四标段</w:t>
            </w:r>
          </w:p>
        </w:tc>
        <w:tc>
          <w:tcPr>
            <w:tcW w:w="3392"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洛阳市涧西区财政局综合治税第三方纳税评估项目四标段</w:t>
            </w:r>
          </w:p>
        </w:tc>
        <w:tc>
          <w:tcPr>
            <w:tcW w:w="1003"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0</w:t>
            </w:r>
          </w:p>
        </w:tc>
        <w:tc>
          <w:tcPr>
            <w:tcW w:w="1140"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0</w:t>
            </w:r>
          </w:p>
        </w:tc>
        <w:tc>
          <w:tcPr>
            <w:tcW w:w="1110"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是</w:t>
            </w:r>
          </w:p>
        </w:tc>
        <w:tc>
          <w:tcPr>
            <w:tcW w:w="169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lang w:val="en-US" w:eastAsia="zh-CN"/>
              </w:rPr>
              <w:t>0，其中小微企业采购金额：0</w:t>
            </w:r>
          </w:p>
        </w:tc>
      </w:tr>
    </w:tbl>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5、采购需求（包括但不限于标的的名称、数量、简要技术需求或服务要求等）：</w:t>
      </w:r>
      <w:bookmarkEnd w:id="12"/>
      <w:bookmarkEnd w:id="13"/>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default"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5.1、</w:t>
      </w:r>
      <w:r>
        <w:rPr>
          <w:rFonts w:hint="eastAsia" w:ascii="仿宋" w:hAnsi="仿宋" w:eastAsia="仿宋" w:cs="仿宋"/>
          <w:sz w:val="24"/>
          <w:szCs w:val="24"/>
        </w:rPr>
        <w:t>项目简要说明：</w:t>
      </w:r>
      <w:r>
        <w:rPr>
          <w:rFonts w:hint="eastAsia" w:ascii="仿宋" w:hAnsi="仿宋" w:eastAsia="仿宋" w:cs="仿宋"/>
          <w:snapToGrid w:val="0"/>
          <w:spacing w:val="0"/>
          <w:sz w:val="24"/>
          <w:szCs w:val="24"/>
          <w:lang w:val="en-US" w:eastAsia="zh-CN"/>
        </w:rPr>
        <w:t>选择第三方机构对辖区本年度企业入库税款分标段进行综合评估，因本项目情况特殊，各标段暂时无法预估具体金额，具体</w:t>
      </w:r>
      <w:r>
        <w:rPr>
          <w:rFonts w:hint="eastAsia" w:ascii="仿宋" w:hAnsi="仿宋" w:eastAsia="仿宋" w:cs="仿宋"/>
          <w:snapToGrid w:val="0"/>
          <w:spacing w:val="0"/>
          <w:sz w:val="24"/>
          <w:szCs w:val="24"/>
          <w:highlight w:val="none"/>
          <w:lang w:val="en-US" w:eastAsia="zh-CN"/>
        </w:rPr>
        <w:t>后期按所做项目进行结算，</w:t>
      </w:r>
      <w:r>
        <w:rPr>
          <w:rFonts w:hint="eastAsia" w:ascii="仿宋" w:hAnsi="仿宋" w:eastAsia="仿宋" w:cs="仿宋"/>
          <w:snapToGrid w:val="0"/>
          <w:spacing w:val="0"/>
          <w:sz w:val="24"/>
          <w:szCs w:val="24"/>
          <w:lang w:val="en-US" w:eastAsia="zh-CN"/>
        </w:rPr>
        <w:t>详见招标文件。</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5.2、预算控制费率：审核入库区级税款金额在1000万（含1000万元）以下的按1.5%计算，入库区级税款金额在1000万-2000万（含2000万元）部分按1.8%计算，入库区级税款金额在2000万-3000万（含3000万元）部分按2%计算，入库区级税款金额在3000万-4000万（含4000万元）部分按2.2%计算，入库区级税款金额超过4000万元部分按2.5%计算。</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注：本项目以优惠率进行招标，供应商在此基础上用整体优惠率进行报价。</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5.3、标段划分：本项目共划分为四个标段，供应商可投任意一个或多个标段，但只允许中一个标段。</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bookmarkStart w:id="14" w:name="_Toc2137"/>
      <w:bookmarkStart w:id="15" w:name="_Toc32378"/>
      <w:r>
        <w:rPr>
          <w:rFonts w:hint="eastAsia" w:ascii="仿宋" w:hAnsi="仿宋" w:eastAsia="仿宋" w:cs="仿宋"/>
          <w:snapToGrid w:val="0"/>
          <w:spacing w:val="0"/>
          <w:sz w:val="24"/>
          <w:szCs w:val="24"/>
          <w:lang w:val="en-US" w:eastAsia="zh-CN"/>
        </w:rPr>
        <w:t>6、合同履行期限：12 个月；</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bookmarkStart w:id="16" w:name="_Toc17044"/>
      <w:bookmarkStart w:id="17" w:name="_Toc6937"/>
      <w:r>
        <w:rPr>
          <w:rFonts w:hint="eastAsia" w:ascii="仿宋" w:hAnsi="仿宋" w:eastAsia="仿宋" w:cs="仿宋"/>
          <w:snapToGrid w:val="0"/>
          <w:spacing w:val="0"/>
          <w:sz w:val="24"/>
          <w:szCs w:val="24"/>
          <w:lang w:val="en-US" w:eastAsia="zh-CN"/>
        </w:rPr>
        <w:t>7、本项目是否接受联合体投标：否</w:t>
      </w:r>
      <w:bookmarkEnd w:id="16"/>
      <w:bookmarkEnd w:id="17"/>
      <w:r>
        <w:rPr>
          <w:rFonts w:hint="eastAsia" w:ascii="仿宋" w:hAnsi="仿宋" w:eastAsia="仿宋" w:cs="仿宋"/>
          <w:snapToGrid w:val="0"/>
          <w:spacing w:val="0"/>
          <w:sz w:val="24"/>
          <w:szCs w:val="24"/>
          <w:lang w:val="en-US" w:eastAsia="zh-CN"/>
        </w:rPr>
        <w:tab/>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bookmarkStart w:id="18" w:name="_Toc3186"/>
      <w:bookmarkStart w:id="19" w:name="_Toc14261"/>
      <w:r>
        <w:rPr>
          <w:rFonts w:hint="eastAsia" w:ascii="仿宋" w:hAnsi="仿宋" w:eastAsia="仿宋" w:cs="仿宋"/>
          <w:snapToGrid w:val="0"/>
          <w:spacing w:val="0"/>
          <w:sz w:val="24"/>
          <w:szCs w:val="24"/>
          <w:lang w:val="en-US" w:eastAsia="zh-CN"/>
        </w:rPr>
        <w:t>8、是否接受进口产品：否</w:t>
      </w:r>
      <w:bookmarkEnd w:id="18"/>
      <w:bookmarkEnd w:id="19"/>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default"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9、是否为只面向中小企业采购：是</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二、申请人资格要求</w:t>
      </w:r>
      <w:bookmarkEnd w:id="14"/>
      <w:bookmarkEnd w:id="15"/>
      <w:bookmarkStart w:id="20" w:name="_Toc1426"/>
      <w:bookmarkStart w:id="21" w:name="_Toc30800"/>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1、满足《中华人民共和国政府采购法》第二十二条规定；</w:t>
      </w:r>
      <w:bookmarkEnd w:id="20"/>
      <w:bookmarkEnd w:id="21"/>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bookmarkStart w:id="22" w:name="_Toc29833"/>
      <w:bookmarkStart w:id="23" w:name="_Toc717"/>
      <w:r>
        <w:rPr>
          <w:rFonts w:hint="eastAsia" w:ascii="仿宋" w:hAnsi="仿宋" w:eastAsia="仿宋" w:cs="仿宋"/>
          <w:snapToGrid w:val="0"/>
          <w:spacing w:val="0"/>
          <w:sz w:val="24"/>
          <w:szCs w:val="24"/>
          <w:lang w:val="en-US" w:eastAsia="zh-CN"/>
        </w:rPr>
        <w:t>2、落实政府采购政策满足的资格要求：</w:t>
      </w:r>
      <w:bookmarkEnd w:id="22"/>
      <w:bookmarkEnd w:id="23"/>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bookmarkStart w:id="24" w:name="_Toc1567"/>
      <w:bookmarkStart w:id="25" w:name="_Toc5466"/>
      <w:r>
        <w:rPr>
          <w:rFonts w:hint="eastAsia" w:ascii="仿宋" w:hAnsi="仿宋" w:eastAsia="仿宋" w:cs="仿宋"/>
          <w:snapToGrid w:val="0"/>
          <w:color w:val="auto"/>
          <w:spacing w:val="0"/>
          <w:sz w:val="24"/>
          <w:szCs w:val="24"/>
          <w:lang w:val="en-US" w:eastAsia="zh-CN"/>
        </w:rPr>
        <w:t>本项目落实专门面向中小微（监狱企业、残疾人福利性单位视同小型、微型企业）企业采购、优先采购节能环保产品，节约能源，保护环境，落实绿色建筑、绿色建材，支持不发达、少数民族地区的企业，促进自主创新产业发展，支持脱贫攻坚。</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3、本项目的特定资格要求：</w:t>
      </w:r>
      <w:bookmarkEnd w:id="24"/>
      <w:bookmarkEnd w:id="25"/>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3.1 供应商应具有独立承担民事责任的能力，须提供有效的营业执照或事业单位法人证书；（须在投标文件中附证明资料的扫描件，并加盖单位公章。）</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3.2 供应商须具备税务事务所执业证书或会计师事务所执业证书；（须在投标文件中附证明资料的扫描件，并加盖单位公章。）</w:t>
      </w:r>
    </w:p>
    <w:p>
      <w:pPr>
        <w:pStyle w:val="47"/>
        <w:adjustRightInd w:val="0"/>
        <w:snapToGrid w:val="0"/>
        <w:spacing w:line="440" w:lineRule="exact"/>
        <w:ind w:firstLine="480" w:firstLineChars="200"/>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 xml:space="preserve">3.3 </w:t>
      </w:r>
      <w:r>
        <w:rPr>
          <w:rFonts w:hint="eastAsia" w:ascii="仿宋" w:hAnsi="仿宋" w:eastAsia="仿宋" w:cs="仿宋"/>
          <w:snapToGrid w:val="0"/>
          <w:color w:val="auto"/>
          <w:spacing w:val="0"/>
          <w:kern w:val="0"/>
          <w:sz w:val="24"/>
          <w:szCs w:val="24"/>
          <w:lang w:val="en-US" w:eastAsia="zh-CN" w:bidi="zh-CN"/>
        </w:rPr>
        <w:t>根据洛财购[2021]11号文件，供应商须按照规定提供“洛阳市政府采购供应商信用承诺函”（详见响应文件格式），采购人有权在签订合同前要求成交供应商提供相关证明材料以核实成交供应商承诺事项的真实性。</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3.4本项目不接受联合体投标，单位负责人为同一人或者存在控股、管理关系的不同单位，不得同时对本项目投标；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3.5 本次招标实行资格后审，资格审查的具体要求见招标文件。资格审查不合格的供应商投标文件将按无效标处理；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bookmarkStart w:id="26" w:name="_Toc13386"/>
      <w:bookmarkStart w:id="27" w:name="_Toc17445"/>
      <w:r>
        <w:rPr>
          <w:rFonts w:hint="eastAsia" w:ascii="仿宋" w:hAnsi="仿宋" w:eastAsia="仿宋" w:cs="仿宋"/>
          <w:b/>
          <w:bCs/>
          <w:snapToGrid w:val="0"/>
          <w:spacing w:val="0"/>
          <w:sz w:val="24"/>
          <w:szCs w:val="24"/>
          <w:lang w:val="en-US" w:eastAsia="zh-CN"/>
        </w:rPr>
        <w:t>三、获取招标文件</w:t>
      </w:r>
      <w:bookmarkEnd w:id="26"/>
      <w:bookmarkEnd w:id="27"/>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1、时间：</w:t>
      </w:r>
      <w:r>
        <w:rPr>
          <w:rFonts w:hint="eastAsia" w:ascii="仿宋" w:hAnsi="仿宋" w:eastAsia="仿宋" w:cs="仿宋"/>
          <w:snapToGrid w:val="0"/>
          <w:spacing w:val="0"/>
          <w:sz w:val="24"/>
          <w:szCs w:val="24"/>
          <w:highlight w:val="none"/>
          <w:lang w:val="en-US" w:eastAsia="zh-CN"/>
        </w:rPr>
        <w:t>2022年9月6日至2022年9月13日，每天上</w:t>
      </w:r>
      <w:r>
        <w:rPr>
          <w:rFonts w:hint="eastAsia" w:ascii="仿宋" w:hAnsi="仿宋" w:eastAsia="仿宋" w:cs="仿宋"/>
          <w:snapToGrid w:val="0"/>
          <w:spacing w:val="0"/>
          <w:sz w:val="24"/>
          <w:szCs w:val="24"/>
          <w:lang w:val="en-US" w:eastAsia="zh-CN"/>
        </w:rPr>
        <w:t>午00:00至12:00，下午12:00至23:59（北京时间，法定节假日除外。）</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2、地点：洛阳市公共资源交易中心网站（lyggzyjy.ly.gov.cn）</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方式：洛阳市公共资源交易中心网站（lyggzyjy.ly.gov.cn）上获取。请在“洛阳市电子招投标交易平台（http://lyggzyjy.ly.gov.cn/TPBidder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4、售价：0元</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highlight w:val="none"/>
          <w:lang w:val="en-US" w:eastAsia="zh-CN"/>
        </w:rPr>
      </w:pPr>
      <w:bookmarkStart w:id="28" w:name="_Toc24568"/>
      <w:bookmarkStart w:id="29" w:name="_Toc13536"/>
      <w:r>
        <w:rPr>
          <w:rFonts w:hint="eastAsia" w:ascii="仿宋" w:hAnsi="仿宋" w:eastAsia="仿宋" w:cs="仿宋"/>
          <w:b/>
          <w:bCs/>
          <w:snapToGrid w:val="0"/>
          <w:spacing w:val="0"/>
          <w:sz w:val="24"/>
          <w:szCs w:val="24"/>
          <w:lang w:val="en-US" w:eastAsia="zh-CN"/>
        </w:rPr>
        <w:t>四、投</w:t>
      </w:r>
      <w:r>
        <w:rPr>
          <w:rFonts w:hint="eastAsia" w:ascii="仿宋" w:hAnsi="仿宋" w:eastAsia="仿宋" w:cs="仿宋"/>
          <w:b/>
          <w:bCs/>
          <w:snapToGrid w:val="0"/>
          <w:spacing w:val="0"/>
          <w:sz w:val="24"/>
          <w:szCs w:val="24"/>
          <w:highlight w:val="none"/>
          <w:lang w:val="en-US" w:eastAsia="zh-CN"/>
        </w:rPr>
        <w:t>标截止时间及地点</w:t>
      </w:r>
      <w:bookmarkEnd w:id="28"/>
      <w:bookmarkEnd w:id="29"/>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1、时间：2022年9月26日09时30分（北京时间）</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2、地点：洛阳市公共资源交易中心网站（lyggzyjy.ly.gov.cn）。获取招标（采购）文件后，请下载并安装最新版本投标文件制作工具，制作电子投标（响应）文件，在投标截止时间前，上传加密的投标（响应）文件。供应商未在投标截止时间前完成上传的，视为逾期送达，洛阳市电子招投标交易平台将拒绝接收。</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highlight w:val="none"/>
          <w:lang w:val="en-US" w:eastAsia="zh-CN"/>
        </w:rPr>
      </w:pPr>
      <w:bookmarkStart w:id="30" w:name="_Toc6666"/>
      <w:bookmarkStart w:id="31" w:name="_Toc23951"/>
      <w:r>
        <w:rPr>
          <w:rFonts w:hint="eastAsia" w:ascii="仿宋" w:hAnsi="仿宋" w:eastAsia="仿宋" w:cs="仿宋"/>
          <w:b/>
          <w:bCs/>
          <w:snapToGrid w:val="0"/>
          <w:spacing w:val="0"/>
          <w:sz w:val="24"/>
          <w:szCs w:val="24"/>
          <w:highlight w:val="none"/>
          <w:lang w:val="en-US" w:eastAsia="zh-CN"/>
        </w:rPr>
        <w:t>五、开标时间及地点</w:t>
      </w:r>
      <w:bookmarkEnd w:id="30"/>
      <w:bookmarkEnd w:id="31"/>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1、时间：2022年9月26日09时30分（北京时间）</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highlight w:val="none"/>
          <w:lang w:val="en-US" w:eastAsia="zh-CN"/>
        </w:rPr>
        <w:t>2、地点：</w:t>
      </w:r>
      <w:r>
        <w:rPr>
          <w:rFonts w:hint="eastAsia" w:ascii="仿宋" w:hAnsi="仿宋" w:eastAsia="仿宋" w:cs="仿宋"/>
          <w:snapToGrid w:val="0"/>
          <w:spacing w:val="0"/>
          <w:sz w:val="24"/>
          <w:szCs w:val="24"/>
          <w:lang w:val="en-US" w:eastAsia="zh-CN"/>
        </w:rPr>
        <w:t>涧西区公共资源交易中心开标一室（涧西区天津路联盟路口北100米路东涧西区天津路办公楼）。本项目采用远程不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供应商）”。除电子投标（响应）文件外，投标时不再接受任何纸质文件、资料等。</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bookmarkStart w:id="32" w:name="_Toc30823"/>
      <w:bookmarkStart w:id="33" w:name="_Toc14674"/>
      <w:r>
        <w:rPr>
          <w:rFonts w:hint="eastAsia" w:ascii="仿宋" w:hAnsi="仿宋" w:eastAsia="仿宋" w:cs="仿宋"/>
          <w:b/>
          <w:bCs/>
          <w:snapToGrid w:val="0"/>
          <w:spacing w:val="0"/>
          <w:sz w:val="24"/>
          <w:szCs w:val="24"/>
          <w:lang w:val="en-US" w:eastAsia="zh-CN"/>
        </w:rPr>
        <w:t>六、发布公告的媒介及招标公告期限</w:t>
      </w:r>
      <w:bookmarkEnd w:id="32"/>
      <w:bookmarkEnd w:id="33"/>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本次招标公告在</w:t>
      </w:r>
      <w:bookmarkStart w:id="195" w:name="_GoBack"/>
      <w:r>
        <w:rPr>
          <w:rFonts w:hint="eastAsia" w:ascii="仿宋" w:hAnsi="仿宋" w:eastAsia="仿宋" w:cs="仿宋"/>
          <w:snapToGrid w:val="0"/>
          <w:spacing w:val="0"/>
          <w:sz w:val="24"/>
          <w:szCs w:val="24"/>
          <w:lang w:val="en-US" w:eastAsia="zh-CN"/>
        </w:rPr>
        <w:t>《河南省政府采购网》《河南省电子招标投标公共服务平台》和《洛阳市公共资源交易中心网》</w:t>
      </w:r>
      <w:bookmarkEnd w:id="195"/>
      <w:r>
        <w:rPr>
          <w:rFonts w:hint="eastAsia" w:ascii="仿宋" w:hAnsi="仿宋" w:eastAsia="仿宋" w:cs="仿宋"/>
          <w:snapToGrid w:val="0"/>
          <w:spacing w:val="0"/>
          <w:sz w:val="24"/>
          <w:szCs w:val="24"/>
          <w:lang w:val="en-US" w:eastAsia="zh-CN"/>
        </w:rPr>
        <w:t>网站上发布，招标公告期限为五个工作日。</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bookmarkStart w:id="34" w:name="_Toc25891"/>
      <w:bookmarkStart w:id="35" w:name="_Toc22512"/>
      <w:r>
        <w:rPr>
          <w:rFonts w:hint="eastAsia" w:ascii="仿宋" w:hAnsi="仿宋" w:eastAsia="仿宋" w:cs="仿宋"/>
          <w:b/>
          <w:bCs/>
          <w:snapToGrid w:val="0"/>
          <w:spacing w:val="0"/>
          <w:sz w:val="24"/>
          <w:szCs w:val="24"/>
          <w:lang w:val="en-US" w:eastAsia="zh-CN"/>
        </w:rPr>
        <w:t>七、其他补充事宜</w:t>
      </w:r>
      <w:bookmarkEnd w:id="34"/>
      <w:bookmarkEnd w:id="35"/>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bookmarkStart w:id="36" w:name="_Toc7403"/>
      <w:bookmarkStart w:id="37" w:name="_Toc11860"/>
      <w:r>
        <w:rPr>
          <w:rFonts w:hint="eastAsia" w:ascii="仿宋" w:hAnsi="仿宋" w:eastAsia="仿宋" w:cs="仿宋"/>
          <w:snapToGrid w:val="0"/>
          <w:spacing w:val="0"/>
          <w:sz w:val="24"/>
          <w:szCs w:val="24"/>
          <w:lang w:val="en-US" w:eastAsia="zh-CN"/>
        </w:rPr>
        <w:t>本次采购代理服务费由中标人向本代理机构支付。</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八、凡是对本次招标提出询问，请按照以下方式联系</w:t>
      </w:r>
      <w:bookmarkEnd w:id="36"/>
      <w:bookmarkEnd w:id="37"/>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bookmarkStart w:id="38" w:name="_Toc26855"/>
      <w:bookmarkStart w:id="39" w:name="_Toc3846"/>
      <w:r>
        <w:rPr>
          <w:rFonts w:hint="eastAsia" w:ascii="仿宋" w:hAnsi="仿宋" w:eastAsia="仿宋" w:cs="仿宋"/>
          <w:snapToGrid w:val="0"/>
          <w:spacing w:val="0"/>
          <w:sz w:val="24"/>
          <w:szCs w:val="24"/>
          <w:lang w:val="en-US" w:eastAsia="zh-CN"/>
        </w:rPr>
        <w:t>1、采购人信息</w:t>
      </w:r>
      <w:bookmarkEnd w:id="38"/>
      <w:bookmarkEnd w:id="39"/>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名称：洛阳市涧西区财政局</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地址：洛阳市涧西区西苑路12号</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default"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联系人：黄女士</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default"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电话：0379-64823355</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bookmarkStart w:id="40" w:name="_Toc4489"/>
      <w:bookmarkStart w:id="41" w:name="_Toc8982"/>
      <w:r>
        <w:rPr>
          <w:rFonts w:hint="eastAsia" w:ascii="仿宋" w:hAnsi="仿宋" w:eastAsia="仿宋" w:cs="仿宋"/>
          <w:snapToGrid w:val="0"/>
          <w:spacing w:val="0"/>
          <w:sz w:val="24"/>
          <w:szCs w:val="24"/>
          <w:lang w:val="en-US" w:eastAsia="zh-CN"/>
        </w:rPr>
        <w:t>2、采购代理机构信息（如有）</w:t>
      </w:r>
      <w:bookmarkEnd w:id="40"/>
      <w:bookmarkEnd w:id="41"/>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bookmarkStart w:id="42" w:name="_Toc3409"/>
      <w:bookmarkStart w:id="43" w:name="_Toc20453"/>
      <w:r>
        <w:rPr>
          <w:rFonts w:hint="eastAsia" w:ascii="仿宋" w:hAnsi="仿宋" w:eastAsia="仿宋" w:cs="仿宋"/>
          <w:snapToGrid w:val="0"/>
          <w:spacing w:val="0"/>
          <w:sz w:val="24"/>
          <w:szCs w:val="24"/>
          <w:lang w:val="en-US" w:eastAsia="zh-CN"/>
        </w:rPr>
        <w:t>名称：河南新衡达工程管理有限公司</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地址：河南省洛阳市西工区道南路64号衡达地标3楼301</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联系人：高先生</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联系方式：0379-64326558</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3、项目联系方式</w:t>
      </w:r>
      <w:bookmarkEnd w:id="42"/>
      <w:bookmarkEnd w:id="43"/>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项目联系人：高先生</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联系方式：0379-64326558</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仿宋" w:hAnsi="仿宋" w:eastAsia="仿宋" w:cs="仿宋"/>
          <w:snapToGrid w:val="0"/>
          <w:spacing w:val="0"/>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right"/>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2022年9月05日</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0"/>
        <w:rPr>
          <w:rFonts w:hint="eastAsia" w:ascii="仿宋" w:hAnsi="仿宋" w:eastAsia="仿宋" w:cs="仿宋"/>
          <w:b/>
          <w:bCs/>
          <w:snapToGrid w:val="0"/>
          <w:spacing w:val="0"/>
          <w:sz w:val="32"/>
          <w:szCs w:val="32"/>
          <w:lang w:val="en-US" w:eastAsia="zh-CN"/>
        </w:rPr>
      </w:pPr>
      <w:bookmarkStart w:id="44" w:name="_Toc27346"/>
      <w:bookmarkStart w:id="45" w:name="_Toc30448"/>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0"/>
        <w:rPr>
          <w:rFonts w:hint="eastAsia" w:ascii="仿宋" w:hAnsi="仿宋" w:eastAsia="仿宋" w:cs="仿宋"/>
          <w:b/>
          <w:bCs/>
          <w:snapToGrid w:val="0"/>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0"/>
        <w:rPr>
          <w:rFonts w:hint="eastAsia" w:ascii="仿宋" w:hAnsi="仿宋" w:eastAsia="仿宋" w:cs="仿宋"/>
          <w:b/>
          <w:bCs/>
          <w:snapToGrid w:val="0"/>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0"/>
        <w:rPr>
          <w:rFonts w:hint="eastAsia" w:ascii="仿宋" w:hAnsi="仿宋" w:eastAsia="仿宋" w:cs="仿宋"/>
          <w:b/>
          <w:bCs/>
          <w:snapToGrid w:val="0"/>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0"/>
        <w:rPr>
          <w:rFonts w:hint="eastAsia" w:ascii="仿宋" w:hAnsi="仿宋" w:eastAsia="仿宋" w:cs="仿宋"/>
          <w:b/>
          <w:bCs/>
          <w:snapToGrid w:val="0"/>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0"/>
        <w:rPr>
          <w:rFonts w:hint="eastAsia" w:ascii="仿宋" w:hAnsi="仿宋" w:eastAsia="仿宋" w:cs="仿宋"/>
          <w:b/>
          <w:bCs/>
          <w:snapToGrid w:val="0"/>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0"/>
        <w:rPr>
          <w:rFonts w:hint="eastAsia" w:ascii="仿宋" w:hAnsi="仿宋" w:eastAsia="仿宋" w:cs="仿宋"/>
          <w:b/>
          <w:bCs/>
          <w:snapToGrid w:val="0"/>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0"/>
        <w:rPr>
          <w:rFonts w:hint="eastAsia" w:ascii="仿宋" w:hAnsi="仿宋" w:eastAsia="仿宋" w:cs="仿宋"/>
          <w:b/>
          <w:bCs/>
          <w:snapToGrid w:val="0"/>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0"/>
        <w:rPr>
          <w:rFonts w:hint="eastAsia" w:ascii="仿宋" w:hAnsi="仿宋" w:eastAsia="仿宋" w:cs="仿宋"/>
          <w:b/>
          <w:bCs/>
          <w:snapToGrid w:val="0"/>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0"/>
        <w:rPr>
          <w:rFonts w:hint="eastAsia" w:ascii="仿宋" w:hAnsi="仿宋" w:eastAsia="仿宋" w:cs="仿宋"/>
          <w:b/>
          <w:bCs/>
          <w:snapToGrid w:val="0"/>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0"/>
        <w:rPr>
          <w:rFonts w:hint="eastAsia" w:ascii="仿宋" w:hAnsi="仿宋" w:eastAsia="仿宋" w:cs="仿宋"/>
          <w:b/>
          <w:bCs/>
          <w:snapToGrid w:val="0"/>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0"/>
        <w:rPr>
          <w:rFonts w:hint="eastAsia" w:ascii="仿宋" w:hAnsi="仿宋" w:eastAsia="仿宋" w:cs="仿宋"/>
          <w:b/>
          <w:bCs/>
          <w:snapToGrid w:val="0"/>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0"/>
        <w:rPr>
          <w:rFonts w:hint="eastAsia" w:ascii="仿宋" w:hAnsi="仿宋" w:eastAsia="仿宋" w:cs="仿宋"/>
          <w:b/>
          <w:bCs/>
          <w:snapToGrid w:val="0"/>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0"/>
        <w:rPr>
          <w:rFonts w:hint="eastAsia" w:ascii="仿宋" w:hAnsi="仿宋" w:eastAsia="仿宋" w:cs="仿宋"/>
          <w:b/>
          <w:bCs/>
          <w:snapToGrid w:val="0"/>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0"/>
        <w:rPr>
          <w:rFonts w:hint="eastAsia" w:ascii="仿宋" w:hAnsi="仿宋" w:eastAsia="仿宋" w:cs="仿宋"/>
          <w:b/>
          <w:bCs/>
          <w:snapToGrid w:val="0"/>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0"/>
        <w:rPr>
          <w:rFonts w:hint="eastAsia" w:ascii="仿宋" w:hAnsi="仿宋" w:eastAsia="仿宋" w:cs="仿宋"/>
          <w:b/>
          <w:bCs/>
          <w:snapToGrid w:val="0"/>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0"/>
        <w:rPr>
          <w:rFonts w:hint="eastAsia" w:ascii="仿宋" w:hAnsi="仿宋" w:eastAsia="仿宋" w:cs="仿宋"/>
          <w:b/>
          <w:bCs/>
          <w:snapToGrid w:val="0"/>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0"/>
        <w:rPr>
          <w:rFonts w:hint="eastAsia" w:ascii="仿宋" w:hAnsi="仿宋" w:eastAsia="仿宋" w:cs="仿宋"/>
          <w:b/>
          <w:bCs/>
          <w:snapToGrid w:val="0"/>
          <w:spacing w:val="0"/>
          <w:sz w:val="32"/>
          <w:szCs w:val="32"/>
          <w:lang w:val="en-US" w:eastAsia="zh-CN"/>
        </w:rPr>
      </w:pPr>
      <w:r>
        <w:rPr>
          <w:rFonts w:hint="eastAsia" w:ascii="仿宋" w:hAnsi="仿宋" w:eastAsia="仿宋" w:cs="仿宋"/>
          <w:b/>
          <w:bCs/>
          <w:snapToGrid w:val="0"/>
          <w:spacing w:val="0"/>
          <w:sz w:val="32"/>
          <w:szCs w:val="32"/>
          <w:lang w:val="en-US" w:eastAsia="zh-CN"/>
        </w:rPr>
        <w:t>第二章  供应商须知</w:t>
      </w:r>
      <w:bookmarkEnd w:id="44"/>
      <w:bookmarkEnd w:id="45"/>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bCs/>
          <w:snapToGrid w:val="0"/>
          <w:spacing w:val="0"/>
          <w:sz w:val="28"/>
          <w:szCs w:val="28"/>
          <w:lang w:val="en-US" w:eastAsia="zh-CN"/>
        </w:rPr>
      </w:pPr>
      <w:r>
        <w:rPr>
          <w:rFonts w:hint="eastAsia" w:ascii="仿宋" w:hAnsi="仿宋" w:eastAsia="仿宋" w:cs="仿宋"/>
          <w:b/>
          <w:bCs/>
          <w:snapToGrid w:val="0"/>
          <w:spacing w:val="0"/>
          <w:sz w:val="28"/>
          <w:szCs w:val="28"/>
          <w:lang w:val="en-US" w:eastAsia="zh-CN"/>
        </w:rPr>
        <w:t>供应商须知前附表</w:t>
      </w:r>
    </w:p>
    <w:tbl>
      <w:tblPr>
        <w:tblStyle w:val="19"/>
        <w:tblW w:w="9817" w:type="dxa"/>
        <w:tblInd w:w="-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5"/>
        <w:gridCol w:w="2904"/>
        <w:gridCol w:w="59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序号</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名  称</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6"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1.1.2</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采购人</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名称：洛阳市涧西区财政局</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地址：洛阳市涧西区西苑路12号</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default"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联系人：黄女士</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电话：0379-64823355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5"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1.1.3</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采购代理机构</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名称：河南新衡达工程管理有限公司</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地址：河南省洛阳市西工区道南路64号衡达地标3楼301</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联系人：高先生</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电话：0379-64326558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1.1.4</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招标项目名称</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洛阳市涧西区财政局综合治税第三方纳税评估项目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1.1.5</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color w:val="auto"/>
                <w:spacing w:val="0"/>
                <w:sz w:val="24"/>
                <w:szCs w:val="24"/>
                <w:highlight w:val="none"/>
                <w:lang w:val="en-US" w:eastAsia="zh-CN"/>
              </w:rPr>
            </w:pPr>
            <w:r>
              <w:rPr>
                <w:rFonts w:hint="eastAsia" w:ascii="仿宋" w:hAnsi="仿宋" w:eastAsia="仿宋" w:cs="仿宋"/>
                <w:snapToGrid w:val="0"/>
                <w:color w:val="auto"/>
                <w:spacing w:val="0"/>
                <w:sz w:val="24"/>
                <w:szCs w:val="24"/>
                <w:highlight w:val="none"/>
                <w:lang w:val="en-US" w:eastAsia="zh-CN"/>
              </w:rPr>
              <w:t>落实政府采购政策要求</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仿宋" w:hAnsi="仿宋" w:eastAsia="仿宋" w:cs="仿宋"/>
                <w:snapToGrid w:val="0"/>
                <w:color w:val="auto"/>
                <w:spacing w:val="0"/>
                <w:sz w:val="24"/>
                <w:szCs w:val="24"/>
                <w:highlight w:val="none"/>
                <w:lang w:val="en-US" w:eastAsia="zh-CN"/>
              </w:rPr>
            </w:pPr>
            <w:r>
              <w:rPr>
                <w:rFonts w:hint="eastAsia" w:ascii="仿宋" w:hAnsi="仿宋" w:eastAsia="仿宋" w:cs="仿宋"/>
                <w:snapToGrid w:val="0"/>
                <w:color w:val="auto"/>
                <w:spacing w:val="0"/>
                <w:sz w:val="24"/>
                <w:szCs w:val="24"/>
                <w:highlight w:val="none"/>
                <w:lang w:val="en-US" w:eastAsia="zh-CN"/>
              </w:rPr>
              <w:t>本项目落实专门面向中小微（监狱企业、残疾人福利性单位视同小型、微型企业）企业采购、优先采购节能环保产品，节约能源，保护环境，落实绿色建筑、绿色建材，支持不发达、少数民族地区的企业，促进自主创新产业发展，支持脱贫攻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1.1.6</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项目编号</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highlight w:val="none"/>
                <w:lang w:val="en-US" w:eastAsia="zh-CN"/>
              </w:rPr>
              <w:t>涧西政采招标(2022)0090号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1.1.7</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标段划分</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520" w:lineRule="exact"/>
              <w:ind w:left="110" w:leftChars="50" w:firstLine="0" w:firstLineChars="0"/>
              <w:jc w:val="both"/>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本次招标共分四个标段，供应商应就该项目进行完整投标，否则将不被接受；</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供应商可投任意一个或多个标段，</w:t>
            </w:r>
            <w:r>
              <w:rPr>
                <w:rFonts w:hint="eastAsia" w:ascii="仿宋" w:hAnsi="仿宋" w:eastAsia="仿宋" w:cs="仿宋"/>
                <w:snapToGrid w:val="0"/>
                <w:spacing w:val="0"/>
                <w:sz w:val="24"/>
                <w:szCs w:val="24"/>
                <w:lang w:val="en-US" w:eastAsia="zh-CN"/>
              </w:rPr>
              <w:t>但只允许中一个标段。</w:t>
            </w:r>
            <w:r>
              <w:rPr>
                <w:rFonts w:hint="eastAsia" w:ascii="仿宋" w:hAnsi="仿宋" w:eastAsia="仿宋" w:cs="仿宋"/>
                <w:snapToGrid w:val="0"/>
                <w:spacing w:val="0"/>
                <w:sz w:val="24"/>
                <w:szCs w:val="24"/>
                <w:highlight w:val="none"/>
                <w:lang w:val="en-US" w:eastAsia="zh-CN"/>
              </w:rPr>
              <w:t>但不得将一个标段拆开投标，否则将不被接受。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1.2.1</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资金来源</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1.2.2</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付款方式</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highlight w:val="none"/>
                <w:lang w:val="en-US" w:eastAsia="zh-CN"/>
              </w:rPr>
              <w:t>由采购人付款，合同签订后按所做项目据实结算。不接受该付款方式的响应将不被接受。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1.3.1</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合同履行期限</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12 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1.3.2</w:t>
            </w:r>
          </w:p>
        </w:tc>
        <w:tc>
          <w:tcPr>
            <w:tcW w:w="2904" w:type="dxa"/>
            <w:vAlign w:val="top"/>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服务标准</w:t>
            </w:r>
          </w:p>
        </w:tc>
        <w:tc>
          <w:tcPr>
            <w:tcW w:w="5958" w:type="dxa"/>
            <w:vAlign w:val="top"/>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满足招标人要求，符合国家相关行业合格标准。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1.3.3</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履约验收</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采购人根据国家有关规定、招标文件、中标人的投标文件以及合同约定的内容和验收标准进行验收。验收情况作为支付货款的依据。如有异议，以相关质量技术检验检测机构的检验结果为准，如产生检验检测费用，则该费用由过失方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6"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1.4.1</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供应商资格要求</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1、供应商应具有独立承担民事责任的能力，须提供有效的营业执照或事业单位法人证书；（须在投标文件中附证明资料的扫描件，并加盖单位公章。）</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2、供应商须具备税务事务所执业证书或会计师事务所执业证书；（须在投标文件中附证明资料的扫描件，并加盖单位公章。）</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 根据洛财购[2021]11号文件，供应商须按照规定提供“洛阳市政府采购供应商信用承诺函”（详见响应文件格式），采购人有权在签订合同前要求成交供应商提供相关证明材料以核实成交供应商承诺事项的真实性。</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4、本项目不接受联合体投标，单位负责人为同一人或者存在控股、管理关系的不同单位，不得同时对本项目投标；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5、本次招标实行资格后审，资格审查的具体要求见招标文件。资格审查不合格的供应商投标文件将按无效标处理；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1.4.2</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是否接受联合体</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1.4.3</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供应商不得存在的其他情形</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1.9.1</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踏勘现场</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1.10.1</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投标预备会</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1.10.2</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供应商在投标预备会前提出问题</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时间：/</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1.11.1</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分包</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1.12.1</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实质性要求和条件</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1.12.3</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偏差</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2.1</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构成招标文件的其他</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资料</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3"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2.2.1</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供应商提出问题或要求澄清招标文件的截止时间</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default"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提交投标文件截止时间10日前，由供应商通过交易系统线上提出。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在提交投标文件截止时间前10日内，采购人、采购代理机构不再受理供应商提出的问题。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2.2.2</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招标文件澄清、修改发出的形式</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招标文件的澄清、修改将在河南省电子招标投标公共服务平台、河南省（洛阳市）政府采购网（</w:t>
            </w:r>
            <w:r>
              <w:rPr>
                <w:rFonts w:hint="eastAsia" w:ascii="仿宋" w:hAnsi="仿宋" w:eastAsia="仿宋" w:cs="仿宋"/>
                <w:snapToGrid w:val="0"/>
                <w:spacing w:val="0"/>
                <w:sz w:val="24"/>
                <w:szCs w:val="24"/>
                <w:lang w:val="en-US" w:eastAsia="zh-CN"/>
              </w:rPr>
              <w:fldChar w:fldCharType="begin"/>
            </w:r>
            <w:r>
              <w:rPr>
                <w:rFonts w:hint="eastAsia" w:ascii="仿宋" w:hAnsi="仿宋" w:eastAsia="仿宋" w:cs="仿宋"/>
                <w:snapToGrid w:val="0"/>
                <w:spacing w:val="0"/>
                <w:sz w:val="24"/>
                <w:szCs w:val="24"/>
                <w:lang w:val="en-US" w:eastAsia="zh-CN"/>
              </w:rPr>
              <w:instrText xml:space="preserve"> HYPERLINK "http://www/" \h </w:instrText>
            </w:r>
            <w:r>
              <w:rPr>
                <w:rFonts w:hint="eastAsia" w:ascii="仿宋" w:hAnsi="仿宋" w:eastAsia="仿宋" w:cs="仿宋"/>
                <w:snapToGrid w:val="0"/>
                <w:spacing w:val="0"/>
                <w:sz w:val="24"/>
                <w:szCs w:val="24"/>
                <w:lang w:val="en-US" w:eastAsia="zh-CN"/>
              </w:rPr>
              <w:fldChar w:fldCharType="separate"/>
            </w:r>
            <w:r>
              <w:rPr>
                <w:rFonts w:hint="eastAsia" w:ascii="仿宋" w:hAnsi="仿宋" w:eastAsia="仿宋" w:cs="仿宋"/>
                <w:snapToGrid w:val="0"/>
                <w:spacing w:val="0"/>
                <w:sz w:val="24"/>
                <w:szCs w:val="24"/>
                <w:lang w:val="en-US" w:eastAsia="zh-CN"/>
              </w:rPr>
              <w:t>www.</w:t>
            </w:r>
            <w:r>
              <w:rPr>
                <w:rFonts w:hint="eastAsia" w:ascii="仿宋" w:hAnsi="仿宋" w:eastAsia="仿宋" w:cs="仿宋"/>
                <w:snapToGrid w:val="0"/>
                <w:spacing w:val="0"/>
                <w:sz w:val="24"/>
                <w:szCs w:val="24"/>
                <w:lang w:val="en-US" w:eastAsia="zh-CN"/>
              </w:rPr>
              <w:fldChar w:fldCharType="end"/>
            </w:r>
            <w:r>
              <w:rPr>
                <w:rFonts w:hint="eastAsia" w:ascii="仿宋" w:hAnsi="仿宋" w:eastAsia="仿宋" w:cs="仿宋"/>
                <w:snapToGrid w:val="0"/>
                <w:spacing w:val="0"/>
                <w:sz w:val="24"/>
                <w:szCs w:val="24"/>
                <w:lang w:val="en-US" w:eastAsia="zh-CN"/>
              </w:rPr>
              <w:t>hngp.gov.cn）和洛阳市公共资源交易中心网站（</w:t>
            </w:r>
            <w:r>
              <w:rPr>
                <w:rFonts w:hint="eastAsia" w:ascii="仿宋" w:hAnsi="仿宋" w:eastAsia="仿宋" w:cs="仿宋"/>
                <w:snapToGrid w:val="0"/>
                <w:spacing w:val="0"/>
                <w:sz w:val="24"/>
                <w:szCs w:val="24"/>
                <w:lang w:val="en-US" w:eastAsia="zh-CN"/>
              </w:rPr>
              <w:fldChar w:fldCharType="begin"/>
            </w:r>
            <w:r>
              <w:rPr>
                <w:rFonts w:hint="eastAsia" w:ascii="仿宋" w:hAnsi="仿宋" w:eastAsia="仿宋" w:cs="仿宋"/>
                <w:snapToGrid w:val="0"/>
                <w:spacing w:val="0"/>
                <w:sz w:val="24"/>
                <w:szCs w:val="24"/>
                <w:lang w:val="en-US" w:eastAsia="zh-CN"/>
              </w:rPr>
              <w:instrText xml:space="preserve"> HYPERLINK "http://www.lyggzyjy.cn/" \h </w:instrText>
            </w:r>
            <w:r>
              <w:rPr>
                <w:rFonts w:hint="eastAsia" w:ascii="仿宋" w:hAnsi="仿宋" w:eastAsia="仿宋" w:cs="仿宋"/>
                <w:snapToGrid w:val="0"/>
                <w:spacing w:val="0"/>
                <w:sz w:val="24"/>
                <w:szCs w:val="24"/>
                <w:lang w:val="en-US" w:eastAsia="zh-CN"/>
              </w:rPr>
              <w:fldChar w:fldCharType="separate"/>
            </w:r>
            <w:r>
              <w:rPr>
                <w:rFonts w:hint="eastAsia" w:ascii="仿宋" w:hAnsi="仿宋" w:eastAsia="仿宋" w:cs="仿宋"/>
                <w:snapToGrid w:val="0"/>
                <w:spacing w:val="0"/>
                <w:sz w:val="24"/>
                <w:szCs w:val="24"/>
                <w:lang w:val="en-US" w:eastAsia="zh-CN"/>
              </w:rPr>
              <w:t>lyggzyjy.ly.gov.cn</w:t>
            </w:r>
            <w:r>
              <w:rPr>
                <w:rFonts w:hint="eastAsia" w:ascii="仿宋" w:hAnsi="仿宋" w:eastAsia="仿宋" w:cs="仿宋"/>
                <w:snapToGrid w:val="0"/>
                <w:spacing w:val="0"/>
                <w:sz w:val="24"/>
                <w:szCs w:val="24"/>
                <w:lang w:val="en-US" w:eastAsia="zh-CN"/>
              </w:rPr>
              <w:fldChar w:fldCharType="end"/>
            </w:r>
            <w:r>
              <w:rPr>
                <w:rFonts w:hint="eastAsia" w:ascii="仿宋" w:hAnsi="仿宋" w:eastAsia="仿宋" w:cs="仿宋"/>
                <w:snapToGrid w:val="0"/>
                <w:spacing w:val="0"/>
                <w:sz w:val="24"/>
                <w:szCs w:val="24"/>
                <w:lang w:val="en-US" w:eastAsia="zh-CN"/>
              </w:rPr>
              <w:t>）上发布“变更公告”，如需修改招标文件，则同时在洛阳市电子招投标交易平台发布“答疑文件”（答疑文件指修改后最新的招标文件）。对于各项目中已经成功报名并下载招标文件的供应商，将通过第三方短信群发方式提醒供应商进行查询。各供应商须重新下载最新的“答疑文件”，并以此编制投标文件。如不以最新发布的“答疑文件”编制投标文件，造成响应无效的后果由供应商自己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3.1.1</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构成投标文件的其他</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资料</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3.2.3</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报价方式</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default"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优惠率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3.2.4</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预算控制费率</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预算控制费率：审核入库区级税款金额在1000万（含1000万元）以下的按1.5%计算，入库区级税款金额在1000万-2000万（含2000万元）部分按1.8%计算，入库区级税款金额在2000万-3000万（含3000万元）部分按2%计算，入库区级税款金额在3000万-4000万（含4000万元）部分按2.2%计算，入库区级税款金额超过4000万元部分按2.5%计算。</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注：本项目以优惠率进行招标，供应商在此基础上用整体优惠率进行报价。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3.2.5</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报价的其他要求</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报价应包含为完成本项目所需要的全部费用和税金。</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3.3.1</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投标文件有效期</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提交投标文件截止时间后90天，有效期短于该期限的响应将被拒绝。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3.4.1</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投标保证金</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本项目不收取投标保证金。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3.4.4</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其他可以不予退还投标保证金的情形</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3.5.3</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资格审查资料的特殊</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要求</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3.6.1</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是否允许提交备选方案</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4.2.1</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提交投标文件截止时间</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见第一章招标公告。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4.2.2</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提交投标文件地点</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见第一章招标公告。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4.2.5</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投标文件上传问题</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联系方式</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供应商因洛阳市电子招投标交易平台问题无法上传电子投标文件时，请在工作时间与交易中心联系。联系方式： 400-998-0000；0379-69921055。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5.1</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投标开启时间和地点</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开启时间：同提交投标文件截止时间</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开启地点：同提交投标文件地点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5.3</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开标疑义</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现场提出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6.1.1</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评标委员会的组建</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评标委员会构成：5 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其中采购人代表 1 人，</w:t>
            </w:r>
            <w:r>
              <w:rPr>
                <w:rFonts w:hint="eastAsia" w:ascii="仿宋" w:hAnsi="仿宋" w:eastAsia="仿宋" w:cs="仿宋"/>
                <w:caps w:val="0"/>
                <w:snapToGrid w:val="0"/>
                <w:spacing w:val="0"/>
                <w:sz w:val="24"/>
                <w:szCs w:val="24"/>
                <w:highlight w:val="none"/>
                <w:lang w:val="en-US" w:eastAsia="zh-CN"/>
              </w:rPr>
              <w:t>经济、技术</w:t>
            </w:r>
            <w:r>
              <w:rPr>
                <w:rFonts w:hint="eastAsia" w:ascii="仿宋" w:hAnsi="仿宋" w:eastAsia="仿宋" w:cs="仿宋"/>
                <w:snapToGrid w:val="0"/>
                <w:spacing w:val="0"/>
                <w:sz w:val="24"/>
                <w:szCs w:val="24"/>
                <w:highlight w:val="none"/>
                <w:lang w:val="en-US" w:eastAsia="zh-CN"/>
              </w:rPr>
              <w:t>专家 4 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专家确定方式：开标前从相关专家库中随机抽取。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7.1.1</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是否授权评标委员会</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确定中标人</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☑是</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1"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7.1.2</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定标原则</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评标委员会根据综合评分情况，按照评审得分由高到低顺序推荐 3 名中标候选人，并确定排序第一的中标候选人为中标人。如中标候选人出现并列，由评标委员会投票确定中标人。一个供应商最多只能中一个标段。按标段顺序确定，被确定为前一标段第一中标候选人的供应商，只参与后面标段的评审，不做为后面标段的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5"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7.1.3</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代理服务费</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本次招标代理服务费参照原«国家发展改革委办公厅关于招标代理服务收费有关问题的通知»（发改办价格[2003]857号）和国家计委关于«招标代理服务收费管理暂行办法»计价格[2002]1980号）文件及国家发改委计价格[2011]534号文件中招标代理收费标准计取，由成交人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4"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7.2</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中标结果公布媒介及</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期限</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公布媒介：河南省电子招标投标公共服务平台、河南省政府采购网和洛阳市公共资源交易中心网站上公布。</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公告期限：1 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7.4.1</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color w:val="auto"/>
                <w:spacing w:val="0"/>
                <w:sz w:val="24"/>
                <w:szCs w:val="24"/>
                <w:highlight w:val="none"/>
                <w:lang w:val="en-US" w:eastAsia="zh-CN"/>
              </w:rPr>
            </w:pPr>
            <w:r>
              <w:rPr>
                <w:rFonts w:hint="eastAsia" w:ascii="仿宋" w:hAnsi="仿宋" w:eastAsia="仿宋" w:cs="仿宋"/>
                <w:snapToGrid w:val="0"/>
                <w:color w:val="auto"/>
                <w:spacing w:val="0"/>
                <w:sz w:val="24"/>
                <w:szCs w:val="24"/>
                <w:highlight w:val="none"/>
                <w:lang w:val="en-US" w:eastAsia="zh-CN"/>
              </w:rPr>
              <w:t>履约保证金</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color w:val="auto"/>
                <w:spacing w:val="0"/>
                <w:sz w:val="24"/>
                <w:szCs w:val="24"/>
                <w:highlight w:val="none"/>
                <w:lang w:val="en-US" w:eastAsia="zh-CN"/>
              </w:rPr>
            </w:pPr>
            <w:r>
              <w:rPr>
                <w:rFonts w:hint="eastAsia" w:ascii="仿宋" w:hAnsi="仿宋" w:eastAsia="仿宋" w:cs="仿宋"/>
                <w:snapToGrid w:val="0"/>
                <w:color w:val="auto"/>
                <w:spacing w:val="0"/>
                <w:sz w:val="24"/>
                <w:szCs w:val="24"/>
                <w:highlight w:val="none"/>
                <w:lang w:val="en-US" w:eastAsia="zh-CN"/>
              </w:rPr>
              <w:t>☑免收履约保证金。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2"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8.5.2</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质疑函的递交方式</w:t>
            </w:r>
          </w:p>
        </w:tc>
        <w:tc>
          <w:tcPr>
            <w:tcW w:w="5958"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质疑函应当面递交；因情况特殊而邮寄的，交邮前应通知采购人、采购代理机构。接受质疑函的采购人、采购代理机构的联系部门、联系电话和通讯地址详见本项目采购公告和供应商须知前附表。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55"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9</w:t>
            </w:r>
          </w:p>
        </w:tc>
        <w:tc>
          <w:tcPr>
            <w:tcW w:w="290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需要补充的其它同容</w:t>
            </w:r>
          </w:p>
        </w:tc>
        <w:tc>
          <w:tcPr>
            <w:tcW w:w="5958" w:type="dxa"/>
            <w:vAlign w:val="center"/>
          </w:tcPr>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依据《关于印发中小企业划型标准规定的通知》（工信部联企业[2011]300 号）的规定，本次采购项目对应的中小企业划分标准所属行业为租赁和商务服务业。</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2、监督部门及电话：洛阳市涧西区财政局0379-64823351</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110" w:leftChars="50" w:firstLine="0" w:firstLineChars="0"/>
              <w:jc w:val="both"/>
              <w:textAlignment w:val="auto"/>
              <w:rPr>
                <w:rFonts w:hint="default"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3、其它未尽事宜，按国家有关法律、法规执行。</w:t>
            </w:r>
          </w:p>
        </w:tc>
      </w:tr>
    </w:tbl>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仿宋" w:hAnsi="仿宋" w:eastAsia="仿宋" w:cs="仿宋"/>
          <w:snapToGrid w:val="0"/>
          <w:spacing w:val="0"/>
          <w:sz w:val="24"/>
          <w:szCs w:val="24"/>
          <w:lang w:val="en-US" w:eastAsia="zh-CN"/>
        </w:rPr>
        <w:sectPr>
          <w:footerReference r:id="rId5" w:type="default"/>
          <w:pgSz w:w="11906" w:h="16838"/>
          <w:pgMar w:top="1134" w:right="1134" w:bottom="1134" w:left="1134" w:header="851" w:footer="992" w:gutter="0"/>
          <w:pgNumType w:fmt="decimal"/>
          <w:cols w:space="425" w:num="1"/>
          <w:docGrid w:type="lines" w:linePitch="312" w:charSpace="0"/>
        </w:sect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1、总则</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1.1 招标项目概况</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1.1.1 根据《中华人民共和国政府采购法》、《中华人民共和国政府采购法实施条例》等有关法律、法规和规章的规定，本招标项目已具备招标条件，现进行招标。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1.1.2 采购人：见供应商须知前附表。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1.1.3 采购代理机构：见供应商须知前附表。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1.1.4 招标项目名称：见供应商须知前附表。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1.1.5 落实政府采购政策要求: 见供应商须知前附表。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highlight w:val="none"/>
          <w:lang w:val="en-US" w:eastAsia="zh-CN"/>
        </w:rPr>
        <w:t>（1）根</w:t>
      </w:r>
      <w:r>
        <w:rPr>
          <w:rFonts w:hint="eastAsia" w:ascii="仿宋" w:hAnsi="仿宋" w:eastAsia="仿宋" w:cs="仿宋"/>
          <w:snapToGrid w:val="0"/>
          <w:spacing w:val="0"/>
          <w:sz w:val="24"/>
          <w:szCs w:val="24"/>
          <w:lang w:val="en-US" w:eastAsia="zh-CN"/>
        </w:rPr>
        <w:t>据财政部工业和信息化部《政府采购促进中小企业发展管理办法》（财库﹝2020﹞46号）的规定，本项目专门面向中小企业或小微企业采购的，评审中价格将均不予扣除。</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（2）根据财政部司法部《关于政府采购支持监狱企业发展有关问题的通知》（财库〔2014〕68 号）规定，监狱企业视同小型、微型企业，享受评审中价格扣除等政府采购促进中小企业发展的政府采购政策。</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（3）根据财政部民政部中国残疾人联合会《关于促进残疾人就业政府采购政策的通知》（财库〔2017〕141 号）规定，残疾人福利性单位视同小型、微型企业，享受评审中价格扣除等政府采购促进中小企业发展的政府采购政策。</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snapToGrid w:val="0"/>
          <w:spacing w:val="0"/>
          <w:sz w:val="24"/>
          <w:szCs w:val="24"/>
          <w:lang w:val="en-US" w:eastAsia="zh-CN"/>
        </w:rPr>
        <w:t>（4）同一供应商（包括联合体），中小微企业产品、监狱企业产品、残疾人福利性单位价格扣除优惠只享受一次，不得重复享受。根据财政部工业和信息化部《政府采购促进中小企业发展管理办法》（财库﹝2020﹞46号）的规定，</w:t>
      </w:r>
      <w:r>
        <w:rPr>
          <w:rFonts w:hint="eastAsia" w:ascii="仿宋" w:hAnsi="仿宋" w:eastAsia="仿宋" w:cs="仿宋"/>
          <w:b/>
          <w:bCs/>
          <w:snapToGrid w:val="0"/>
          <w:spacing w:val="0"/>
          <w:sz w:val="24"/>
          <w:szCs w:val="24"/>
          <w:lang w:val="en-US" w:eastAsia="zh-CN"/>
        </w:rPr>
        <w:t>本项目专门面向中小企业或小微企业采购的，评审中价格将均不予扣除。</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1.1.6 项目编号: 见供应商须知前附表。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1.1.7 标段划分: 见供应商须知前附表。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1.2 招标项目的资金来源及付款方式</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1.2.1 资金来源: 见供应商须知前附表。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1.2.2 付款方式: 见供应商须知前附表，不接受该条件的投标将被否决。</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1.3 服务期及履约验收</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1.3.1 服务期：见供应商须知前附表，不接受该条件的投标将被否决。</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1.3.2 履约验收：见供应商须知前附表。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1.4 供应商资格要求</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1.4.1 供应商资格要求：供应商应当符合《政府采购法》第二十二条第一款规定的条件，具体见供应商须知前附表。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1.4.2 供应商须知前附表规定接受联合体投标的，联合体除应符合本章 1.4.1 项和供应商须知前附表的要求外，还应遵守以下规定：</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（1）联合体各方应按招标文件提供的格式签订联合体协议书，明确联合体牵头人和各方权利义务，并承诺就中标项目向采购人承担连带责任。</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（2）两个以上的自然人、法人或者其他组织可以组成一个联合体，以一个供应商的身份共同参加政府采购。</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联合体各方均应当符合《政府采购法》第二十二条第一款规定的条件，根据采购项目的特殊要求规定供应商特定条件的，联合体各方中至少应当有一方符合招标公告规定的供应商资格条件。联合体中有同类资质的供应商按照联合体分工承担相同工作的，应当按照资质等级较低的供应商确定资质等级。</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（4）联合体各方不得再以自己名义单独或参加其他联合体在本招标项目中投标，否则各相关投标均无效。</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1.4.3 供应商不得存在下列情形之一：</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（1）与采购人存在利害关系且可能影响招标公正性；</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（2）与本招标项目的其他供应商为同一个单位负责人；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（3）与本招标项目的其他供应商存在直接控股、管理关系；</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（4）为本招标项目提供整体设计、规范编制或者项目管理、监理、检测等服务；</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（5）为本招标项目的采购代理机构或与采购代理机构同为一个法定代表人；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（6）因违法经营受到刑事处罚或者责令停产停业、吊销许可证或者执照、较大数额罚款等行政处罚；</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（7）进入清算程序，或被宣告破产，或其他丧失履约能力的情形；</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（8）法律法规或供应商须知前附表规定的其他情形。</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1.5 费用承担</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供应商准备和参加投标活动发生的费用自理。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default"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1.6 保密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参与招标投标活动的各方应对招标文件和投标文件中的商业和技术等秘密保密，否则应承担相应的法律责任。</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1.7 语言文字</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招标投标文件使用的语言文字为中文。专用术语使用外文的，应附有中文注释。</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1.8 计量单位</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所有计量均采用中华人民共和国法定计量单位。</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1.9 踏勘现场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1.9.1 供应商须知前附表规定组织踏勘现场的，采购人按供应商须知前附表规定的时间、地点组织供应商踏勘项目现场。部分供应商未按时参加踏勘现场的，不影响踏勘现场的正常进行。</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1.9.2 供应商踏勘现场发生的费用自理。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1.9.3 除采购人的原因外，供应商自行负责在踏勘现场中所发生的人员伤亡和财产损失。</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1.9.4 采购人在踏勘现场中介绍的工程场地和相关的周边环境情况，供应商在编制投标文件时参考，采购人不对供应商据此作出的判断和决策负责。</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1.10 投标预备会</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1.10.1 供应商须知前附表规定召开投标预备会的，采购人按供应商须知前附表规定的时间和地点召开投标预备会，澄清供应商提出的问题。</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1.10.2 供应商应按供应商须知前附表规定的时间和形式将提出的问题送达采购人， 以便采购人在会议期间澄清。</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1.10.3 投标预备会后，采购人对供应商所提问题的澄清为招标文件的组成部分。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1.11 分包</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1.11.1 供应商拟在中标后将中标项目的非主体内容进行分包的，应符合供应商须知前附表规定的分包内容、分包金额和资质要求等限制性条件，除供应商须知前附表规定的非主体内容外，其他工作不得分包。</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1.11.2 中标人不得向他人转让中标项目，接受分包的人不得再次分包。中标人应当就分包项目向采购人负责，接受分包的人就分包项目承担连带责任。</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1.12 响应和偏差</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1.12.1 投标文件应当对招标文件的实质性要求和条件作出满足性或更有利于采购人的响应，否则供应商的投标将被否决。实质性要求和条件见供应商须知前附表。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1.12.2 供应商应根据招标文件的要求提供服务要求响应与偏差表、商务要求响应与偏差表等内容以对招标文件作出响应。</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1.12.3 供应商须知前附表规定了可以偏差的范围和最高偏差项数的，偏差应当符合供应商须知前附表规定的偏差范围和最高项数，超出偏差范围和最高偏差项数的投标将被否决。</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1.12.4 投标文件对招标文件的全部偏差，均应在投标文件的服务要求响应与偏差表、商务要求响应与偏差表中列明，除列明的内容外，视为供应商响应招标文件的全部要求。</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1.12.5 如投标文件服务要求响应与偏差表、商务要求响应与偏差表中列明的内容与投标文件的其他地方存在不一致，以服务要求响应与偏差表、商务要求响应与偏差表中列明的内容为准。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2、招标文件</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2.1 招标文件的组成</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（1）本招标文件包括：</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（2）招标公告；</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（3）供应商须知；</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（4）采购需求；</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（5）合同（样本）；</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（6）资格审查与评标办法；</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（7）资格审查与评审标准；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（8）投标文件格式；</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根据本章第 1.9 款、第 2.2 款对招标文件所作的澄清、修改，构成招标文件的组成部分。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2.2 招标文件的澄清</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2.2.1 供应商应仔细阅读和检查招标文件的全部内容。如发现缺页或附件不全，应及时向采购代理机构提出，以便补齐。如有疑问，应按供应商须知前附表规定的时间和形式将提出的问题送达采购代理机构，要求对招标文件予以澄清。</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2.2.2 招标文件的澄清、修改按供应商须知前附表规定的形式发出。澄清、修改发出的时间距投标截止时间不足 15 日的，并且修改内容可能影响投标文件编制的，将相应延长投标截止时间。</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2.2.3 除非采购人认为确有必要答复，否则，采购人有权拒绝回复供应商在本章第2.2.1 项规定的时间后的任何澄清要求。</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2.3 招标文件的异议</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供应商或者其他利害关系人对招标文件有质疑的，应当在投标截止时间 10 日前以书面形式提出。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3、投标文件</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3.1 投标文件的组成</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3.1.1 投标文件应包括下列内容（详见招标文件第七章“投标文件格式”）：</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（1）投标函；</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（2）法定代表人授权书；</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（3）法人被授权人身份证扫描件；</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（4）资格证明材料；</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（5）开标一览表；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（6）报价明细表；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（7）项目实施方案和计划；</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（8）后续服务及优惠条件；</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（9）其他需要提供的资料；</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（10）参与评审打分的证书（证件）一览表；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（11）参与评审打分的合同业绩一览表。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highlight w:val="none"/>
          <w:lang w:val="en-US" w:eastAsia="zh-CN"/>
        </w:rPr>
        <w:t>供应商在评</w:t>
      </w:r>
      <w:r>
        <w:rPr>
          <w:rFonts w:hint="eastAsia" w:ascii="仿宋" w:hAnsi="仿宋" w:eastAsia="仿宋" w:cs="仿宋"/>
          <w:snapToGrid w:val="0"/>
          <w:spacing w:val="0"/>
          <w:sz w:val="24"/>
          <w:szCs w:val="24"/>
          <w:lang w:val="en-US" w:eastAsia="zh-CN"/>
        </w:rPr>
        <w:t>标过程中作出的符合法律法规和招标文件规定的澄清确认，构成投标文件的组成部分。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3.2 投标报价</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3.2.1 投标报价涉及货币的应为人民币，包括国家规定的增值税税金。供应商应按第七章“投标文件格式”的要求进行报价并填写报价明细表。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3.2.2 供应商应充分了解该项目的总体情况以及影响投标报价的其他要素。总报价为各分项报价金额之和，总报价与分项报价的合价不一致的，应以各分项合价累计数为准，修正总报价；如分项报价中存在缺漏项，则视为缺漏项价格已包含在其他分项报价之中。</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3.2.3 本项目的报价方式见供应商须知前附表。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3.2.4 采购人设有预算控制金额的，供应商的投标报价不得超过预算控制金额，预算控制金额在供应商须知前附表中载明。</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3.2.5 投标报价的其他要求见供应商须知前附表。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3.3 投标有效期</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3.3.1 除供应商须知前附表另有规定外，投标有效期为 90 天。</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3.3.2 在投标有效期内，供应商撤销投标文件的，应承担招标文件和法律规定的责任。</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3.3.3 出现特殊情况需要延长投标有效期的，采购人以书面形式通知所有供应商延长投标有效期。供应商应予以书面答复，同意延长的，应相应延长其投标保证金的有效期，但不得要求或被允许修改其投标文件；供应商拒绝延长的，其投标失效，但供应商有权收回其投标保证金。</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3.4 投标保证金（本项目不要求）</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3.4.1 供应商在提交投标文件的同时，应按供应商须知前附表规定缴纳投标保证金， 并作为其投标文件的组成部分。联合体投标的，其投标保证金由牵头人提交，并应符合供应商须知前附表的规定。</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3.4.2 供应商不按本章第 3.4.1 项要求提交投标保证金的，评标委员会将否决其投标。自《中标通知书》发出之日起 5 个工作日内退还未中标人的投标保证金，自采购合同签订之日起 5 个工作日内（中标人通过洛阳市电子招投标交易平台上传合同扫描件，提交退还保证金申请）退还中标人的投标保证金。</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3.4.3 有下列情形之一的，投标保证金将不予退还：</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（1）供应商在投标有效期内撤销投标文件；</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（2）在禁止参加政府采购活动的处罚有效期内，供应商仍参加政府采购活动；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（3）中标人无正当理由不与采购人订立合同，在签订合同时向采购人提出附加条件，或者不按照招标文件要求提交履约保证金；</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（4）发生供应商须知前附表规定的其他可以不予退还投标保证金的情形。</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3.5 资格审查资料</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3.5.1 根据第六章内容提供证明材料。</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3.5.2 供应商须知前附表规定接受联合体投标的，联合体各方均应提供资格审查资料。</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3.5.3 资格审查资料的特殊要求见供应商须知前附表。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3.6 备选投标方案</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3.6.1 除供应商须知前附表规定允许外，供应商不得提交备选投标方案，否则其投标将被否决。</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3.6.2 允许供应商提交备选投标方案的，只有中标人所提交的备选投标方案方可予以考虑。评标委员会认为中标人的备选投标方案优于其按照招标文件要求编制的投标方案的，采购人可以接受该备选投标方案。</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3.6.3 供应商提供两个或两个以上投标报价，或者在投标文件中提供一个报价，但同时提供两个或两个以上供货方案的，视为提供备选方案。</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3.7 投标文件的制作</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lang w:val="en-US" w:eastAsia="zh-CN"/>
        </w:rPr>
        <w:t xml:space="preserve">3.7.1 </w:t>
      </w:r>
      <w:r>
        <w:rPr>
          <w:rFonts w:hint="eastAsia" w:ascii="仿宋" w:hAnsi="仿宋" w:eastAsia="仿宋" w:cs="仿宋"/>
          <w:snapToGrid w:val="0"/>
          <w:spacing w:val="0"/>
          <w:sz w:val="24"/>
          <w:szCs w:val="24"/>
          <w:highlight w:val="none"/>
          <w:lang w:val="en-US" w:eastAsia="zh-CN"/>
        </w:rPr>
        <w:t>投标文件应按第七章“投标文件格式”进行编写，如有必要，可以增加附页，作为投标文件的组成部分。其中，投标函在满足招标文件实质性要求的基础上，可以提出比招标文件要求更有利于采购人的承诺。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3.7.2 投标文件应当对招标文件有关服务期限、投标有效期、投标报价、服务标准等实质性内容作出响应。</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3.7.3 供应商登录“洛阳市公共资源交易中心”网站，按要求下载“新点投标文件制作软件”。</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3.7.4 供应商凭CA锁登录，并按网上提示自行下载招标文件。使用“新点投标文件制作软件”按要求制作电子投标文件。供应商在制作电子投标文件时，应按要求进行电子签章。供应商编辑电子投标文件时，根据招标文件要求用法定代表人CA锁和企业CA锁进行签章制作；最后一步生成电子投标文件（*.lytf格式）时，只能用本单位的企业CA锁。联合体投标的，投标文件由联合体牵头人按上述规定进行签章。</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3.7.5 加密的电子投标文件为“洛阳市公共资源交易中心”网站提供的“新点投标文件制作软件”制作生成的加密版投标文件。</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3.7.6 招标文件格式所要求包含的全部资料应全部制作在投标文件内，严格按照本项目招标文件所有格式如实填写（不涉及的内容除外），不应存在漏项或缺项，否则将存在投标文件被否决的风险。</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3.7.7 投标文件所附证明材料均为原件的扫描件（或照片），尺寸和清晰度应该能够在电脑上被阅读、识别和判断；若供应商未按要求提供证明材料或提供不清晰的扫描件（或照片）的，评标委员会有权认定其投标文件未对招标文件有关要求进行响应，涉及资格审查或符合性审查的将不予通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3.7.8 投标文件制作的具体方法详见“全国公共资源交易平台（河南省·洛阳市）”-办事指南-下载中心-操作手册-《洛阳市投标文件制作工具操作手册》及投标文件制作工具中的帮助文档。</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3.7.9 因供应商自身原因而导致投标文件无法导入“全国公共资源交易平台（河南省·洛阳市）”（http://lyggzyjy.ly.gov.cn）-“洛阳市电子招投标交易平台”电子开标、评标系统，该投标视为无效投标，供应商自行承担由此导致的全部责任。</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4、投标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bookmarkStart w:id="46" w:name="_Toc799_WPSOffice_Level2"/>
      <w:r>
        <w:rPr>
          <w:rFonts w:hint="eastAsia" w:ascii="仿宋" w:hAnsi="仿宋" w:eastAsia="仿宋" w:cs="仿宋"/>
          <w:b/>
          <w:bCs/>
          <w:snapToGrid w:val="0"/>
          <w:spacing w:val="0"/>
          <w:sz w:val="24"/>
          <w:szCs w:val="24"/>
          <w:lang w:val="en-US" w:eastAsia="zh-CN"/>
        </w:rPr>
        <w:t>4.1 投标文件的递交</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4.1.1 供应商应在供应商须知前附表规定的投标截止时间前提交投标文件。不接受邮寄、电报、电话、传真等方式投标。除电子投标文件外，投标时不再接受任何纸质文件、资料等。</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4.1.2 供应商提交投标文件的地点：见供应商须知前附表。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4.1.3 投标文件份数及其他要求：见供应商须知前附表。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4.1.4 供应商应在投标截止时间前上传加密的电子投标文件（*.lytf）到洛阳市电子招投标交易平台指定位置。上传时供应商须使用制作该投标文件的同一CA锁进行上传操作。请供应商在上传时认真检查上传投标文件是否完整、正确。供应商应充分考虑上传文件时的不可预见因素，未在投标截止时间前完成上传的，视为逾期送达，洛阳市电子招投标交易平台将拒绝接收。上传成功后将得到上传成功的确认。</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4.1.5 供应商因洛阳市电子招投标交易平台问题无法上传电子投标文件时，请在工作时间与交易中心联系。联系方式见供应商须知前附表。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4.1.6 除供应商须知前附表另有规定外，供应商所提交的投标文件不予退还。</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4.2 投标文件的修改与撤回</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4.2.1 在投标截止时间前，供应商可以修改或撤回已递交的投标文件。供应商对加密的投标文件进行撤回的，应在“洛阳市电子招投标交易平台”直接进行撤回操作；供应商对加密的投标文件进行修改的，应在投标截止时间前完成上传。</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4.2.2 供应商修改投标文件的，应使用规定的投标文件制作工具制作成完整的投标文件，并按照规定进行编制、加密和递交。对采用网上递交的加密的投标文件，以投标截止时间前最后完成上传的文件为准。</w:t>
      </w:r>
    </w:p>
    <w:bookmarkEnd w:id="46"/>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5、开标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5.1 开标时间和地点</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采购人在本章第 4.2.1 项规定的投标截止时间（开标时间）和供应商须知前附表规定的地点公开开标。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5.2 开标程序</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5.2.1 本项目采用远程不见面交易的模式。开标当日，采购人在招标文件规定的时间和地点开标，供应商无需到开标现场参加开标会议，供应商应当在投标截止时间前，登录远程开标大厅选择洛阳市公共资源电子招投标系统进行登录，在线准时参加开标活动并进行投标文件解密等。因供应商原因未能解密、解密失败或解密超时的将被拒绝。请参照洛阳市公共资源交易中心首页—办事指南—下载中心—操作手册—《洛阳市公共资源交易中心不见面开标大厅操作手册（供应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5.2.2 开标时，各供应商应在规定时间内对本单位的投标文件解密。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5.2.3 开标时，采购代理机构将通过洛阳市电子招投标交易平台进行唱标。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5.3 开标异常处理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当出现以下情况时，应对未开标的中止电子开标，对原有资料及信息作出妥善保密处理，并在恢复正常后及时安排时间开标：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（1）系统服务器发生故障，无法访问或无法使用系统；</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（2）系统的软件或数据库出现错误，不能进行正常操作；</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（3）系统发现有安全漏洞，有潜在的泄密危险；</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（4）出现断电事故且短时间内无法恢复供电；</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（5）其他无法保证招投标过程正常进行的情形。</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5.4 开标异议</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供应商对开标有异议的，应当在开标现场提出，采购人当场作出答复，并制作记录。</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 xml:space="preserve">6、资格审查与评标 </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bookmarkStart w:id="47" w:name="_Toc19933_WPSOffice_Level2"/>
      <w:r>
        <w:rPr>
          <w:rFonts w:hint="eastAsia" w:ascii="仿宋" w:hAnsi="仿宋" w:eastAsia="仿宋" w:cs="仿宋"/>
          <w:b/>
          <w:bCs/>
          <w:snapToGrid w:val="0"/>
          <w:spacing w:val="0"/>
          <w:sz w:val="24"/>
          <w:szCs w:val="24"/>
          <w:lang w:val="en-US" w:eastAsia="zh-CN"/>
        </w:rPr>
        <w:t>6.1 资格审查小组与评标委员会</w:t>
      </w:r>
      <w:bookmarkEnd w:id="47"/>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6.1.1 采购人负责资格审查。采购人组建资格审查小组，可以由采购人代表以及评审专家、采购代理机构组成，在资格审查中为采购人提供支持和帮助。评标由采购人依法组建的评标委员会负责。评标委员会由采购人代表以及评审专家组成。评标委员会成员人数以及评审专家的确定方式见供应商须知前附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6.1.2 评标委员会成员有下列情形之一的，应当回避：</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（1）参加采购活动前 3 年内与供应商存在劳动关系；</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（2）参加采购活动前 3 年内担任供应商的董事、监事；</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（3）参加采购活动前 3 年内是供应商的控股股东或者实际控制人；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（4）与供应商的法定代表人或者负责人有夫妻、直系血亲、三代以内旁系血亲或者近姻亲关系；</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（5）与供应商有其他可能影响政府采购活动公平、公正进行的关系。</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6.1.3 评标过程中，评标委员会成员有回避事由、擅离职守或者因健康等原因不能继续评标的，采购人有权更换。被更换的评标委员会成员作出的评审结论无效，由更换后的评标委员会成员重新进行评审。</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bookmarkStart w:id="48" w:name="_Toc11321_WPSOffice_Level2"/>
      <w:r>
        <w:rPr>
          <w:rFonts w:hint="eastAsia" w:ascii="仿宋" w:hAnsi="仿宋" w:eastAsia="仿宋" w:cs="仿宋"/>
          <w:b/>
          <w:bCs/>
          <w:snapToGrid w:val="0"/>
          <w:spacing w:val="0"/>
          <w:sz w:val="24"/>
          <w:szCs w:val="24"/>
          <w:lang w:val="en-US" w:eastAsia="zh-CN"/>
        </w:rPr>
        <w:t>6.2 资格审查与评标原则</w:t>
      </w:r>
      <w:bookmarkEnd w:id="48"/>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审查遵循公平、公正的原则，评标活动遵循公平、公正、科学和择优的原则。</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bookmarkStart w:id="49" w:name="_Toc24361_WPSOffice_Level2"/>
      <w:r>
        <w:rPr>
          <w:rFonts w:hint="eastAsia" w:ascii="仿宋" w:hAnsi="仿宋" w:eastAsia="仿宋" w:cs="仿宋"/>
          <w:b/>
          <w:bCs/>
          <w:snapToGrid w:val="0"/>
          <w:spacing w:val="0"/>
          <w:sz w:val="24"/>
          <w:szCs w:val="24"/>
          <w:lang w:val="en-US" w:eastAsia="zh-CN"/>
        </w:rPr>
        <w:t>6.3 资格审查与评标</w:t>
      </w:r>
      <w:bookmarkEnd w:id="49"/>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6.3.1 资格审查小组与评标委员会按照第五章“资格审查与评标办法”规定的方法、评审因素、标准和程序对供应商进行资格审查，并对投标文件进行评审。第五章“资格审查与评标办法”没有规定的方法、评审因素和标准，不作为资格审查与评标依据。</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6.3.2 通过资格审查的供应商的投标文件由评标委员会进行评审。评标完成后，评标委员会应当提交书面评标报告和中标候选人名单。评标委员会推荐中标候选人的人数见供应商须知前附表。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6.3.3 本次招标采用电子化评标，如“洛阳市电子招投标交易平台”系统出现故障，导致无法继续评审工作的，可暂停评标，对原有资料及信息作出妥善保密处理，待电子评标系统恢复正常之后组织评审。</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7、定标及合同授予</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7.1 定标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7.1.1 按照供应商须知前附表的规定，采购人或采购人授权的评标委员会依法确定中标人。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7.1.2 按供应商须知前附表的规定的定标原则确定中标人。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7.2 中标结果</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自中标人确定之日起 2 个工作日内，在供应商须知前附表规定的媒体上公告中标结果，招标文件随中标结果同时公告。</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7.3 中标通知</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7.3.1 由本项目代理机构向中标人发出《中标通知书》，中标人应在发布中标结果公告后的2个工作日内领取中标通知书，逾期未领的，视同第1个工作日内已领取。《中标通知书》对采购人和中标人均具有法律效力。</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7.3.2 《中标通知书》、招标文件、中标人的投标文件及其澄清文件均为签订合同的依据。</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7.4 履约保证金（本项目不收取）</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7.4.1 在签订合同前，中标人应按供应商须知前附表规定的形式、金额和事先经过采购人书面认可的履约保证金格式向采购人提交履约保证金。除供应商须知前附表另有规定外，履约保证金为中标合同金额的 10% 联合体中标的，其履约保证金以联合体各方或者联合体中牵头人的名义提交。</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7.4.2 中标人不能按本章第 7.4.1 项要求提交履约保证金的，视为放弃中标资格， 其投标保证金不予退还，给采购人造成的损失超过投标保证金数额的，中标人还应当对超过部分予以赔偿。</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7.5 签订合同</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7.5.1 采购人和中标人应当在中标通知书发出之日起 1 个工作日内，根据招标文件和中标人的投标文件订立书面合同。中标人无正当理由拒签合同，在签订合同时向采购人提出附加条件，或者不按照招标文件要求提交履约保证金的，采购人有权取消其中标资格，其投标保证金不予退还；给采购人造成的损失超过投标保证金数额的，中标人还应当对超过部分予以赔偿。</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7.5.2 发出中标通知书后，采购人无正当理由拒签合同，或者在签订合同时向中标人提出附加条件的，采购人向中标人退还投标保证金；给中标人造成损失的，还应当赔偿损失。</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7.5.3 联合体中标的，联合体各方应当共同与采购人签订合同，就中标项目向采购人承担连带责任。</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8、纪律和监督</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8.1 对采购人的纪律要求</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8.1.1 不得以不合理的条件对供应商实行差别待遇或者歧视待遇，排斥其他供应商公平参与竞争；</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8.1.2 不得与供应商或采购代理机构串通损害国家利益、社会公共利益或者他人合法权益；</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8.1.3 不得诱导、干预或影响评标委员会依法依规评标，不得诱导、干预或影响评标专家依法依规独立评标；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8.1.4 不得泄漏采购活动中应当保密的情况和资料；</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8.1.5 不得接受供应商或采购代理机构的贿赂，或获取其他不正当利益；</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8.1.6 不得无正当理拒绝与中标人签订合同；</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8.1.7 参与采购活动的相关人员与供应商有利害关系的应当回避；</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8.1.8 采购过程中，不得有其他违法违规行为。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8.2 对供应商的纪律要求</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8.2.1 不得以他人名义投标；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8.2.2 供应商不得相互串通投标，不得与采购人、与采购代理机构串通投标；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8.2.3 不得向采购人或者评标委员会成员行贿，或提供其他不正当利益谋取中标；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8.2.4 不得弄虚作假骗取中标，不得虚假应标，不得恶意低价抢标；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8.2.5 供应商不得以任何方式干扰、影响评标工作；</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8.2.6 不得无正当理由弃标或中标后拒绝与采购人签订合同；</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8.2.7 不得恶意诋毁其他供应商、采购人或采购代理机构；</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8.2.8 在参与政府采购活动中，不得有其他违法违规行为。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8.3 对评标委员会成员的纪律要求</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8.3.1 确定参与评标至评标结束前，不得私自接触供应商；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8.3.2 不得与供应商或采购代理机构串通损害国家利益、社会公共利益或者他人合法权益；</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8.3.3 不得接受供应商主动提出的与投标文件不一致的澄清和说明；</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8.3.4 不得征询采购人的倾向性意见；</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8.3.5 不得对主观评审因素协商评分；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8.3.6 不得对客观评审因素评分不一致；</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8.3.7 评标委员会成员不得接受供应商、采购人和采购代理机构等他人的贿赂或者其他不正当利益；</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8.3.8 不得以不合理的条件对供应商实行差别待遇或者歧视待遇，排斥其他供应商公平参与竞争；</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8.3.9 不得使用招标文件没有规定的评标方法和评标标准进行评标；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8.3.10 不得诱导、干预或影响其他评标专家依法依规独立评标；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8.3.11 在评标活动中，评标委员会成员不得擅离职守，影响评标工作正常进行；</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8.3.12 不得记录、复制或带走任何评标资料；</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8.3.13 不得泄露评标过程中获悉的对投标文件的评审和比较、中标候选人的推荐情况以及与评标有关的应当保密的情况和资料；</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 xml:space="preserve">8.3.14 评标委员会成员与供应商存在利害关系应当回避； </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8.3.15 在参与政府采购评标活动中，不得有其他违法违规行为。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8.4 对与评标活动有关的工作人员的纪律要求</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8.4.1 不得接受供应商、采购人和采购代理机构等他人的贿赂或者其他不正当利益；</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8.4.2 不得与供应商、采购代理机构或评标专家串通损害国家利益、社会公共利益或者他人合法权益；</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8.4.3 不得以不合理的条件对供应商实行差别待遇或者歧视待遇，排斥其他供应商公平参与竞争；</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8.4.4 不得诱导、干预或影响评标委员会及其成员依法依规独立评标；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8.4.5 不得擅离职守，影响评标工作正常进行；</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8.4.6 不得泄漏采购活动中应当保密的情况和资料；</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8.4.7 与供应商有利害关系的应当回避；</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8.4.8 在参与或服务政府采购活动中，不得有其他违法违规行为。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8.5 质疑和投诉</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8.5.1 供应商认为本次招标活动的招标文件、采购过程和中标结果使自己的权益受到损害的，在知道或应知其权益受到损害之日起 7 个工作日内有权在法定质疑期内，按规定的程序针对同一采购程序环节一次性实名向采购人、采购代理机构提出书面质疑。质疑函应采用中华人民共和国财政部制定的范本（见附件：质疑函范本）。质疑函及授权委托书应按规定签字并加盖公章。</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 xml:space="preserve">8.5.2 质疑函的递交方式：见供应商须知前附表。 </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8.5.3 对采购人、采购代理机构的答复不满意或者采购人、采购代理机构未在规定的时间内作出答复的，供应商可以在质疑答复期满后 15 个工作日内实名向（项目所属）同级政府采购监督管理部门投诉。</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8.5.4 质疑和投诉应有具体的质疑（投诉）事项和必要的证明材料或事实根据，供应商对其质疑和投诉内容的真实性及其来源的合法性承担法律责任。</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9、需要补充的其他内容</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需要补充的其他内容：见供应商须知前附表。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10、公开招标失败转为竞争性谈判方式采购</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10.1 本项目（标段）招标过程中提交投标文件并经评标委员会评审实质性响应招标文件要求的供应商只有两家时，采购人、采购代理机构按照规定程序报经本级财政部门批准后可以与该两家供应商进行竞争性谈判采购，采购人、采购代理机构应当根据招标文件中的采购需求编制谈判文件，成立谈判小组，由谈判小组对谈判文件进行确认。</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10.2 公开招标失败项目转为竞争性谈判方式采购的，原招标文件的采购需求转为谈判文件的相应内容。供应商的原投标文件转为谈判响应文件。评标委员会转为谈判小组，不再按原评标办法对原供应商（以下称为供应商）进行评审打分，并按下述程序确定成交供应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10.3 谈判的主要程序</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10.3.1 谈判小组对供应商的响应文件进行评审。未实质性响应谈判文件的响应文件按无效处理。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10.3.2 谈判小组所有成员集中与实质性响应谈判文件要求的单一供应商分别进行谈判，并给予所有参加谈判的供应商平等的谈判机会。</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10.3.3 在谈判过程中，谈判小组可以根据谈判文件和谈判情况实质性变动采购需求中的技术、服务要求以及合同草案条款。对谈判文件做出的实质性变动是谈判文件的有效组成部分，须经采购人代表签字确认。谈判小组以书面形式同时通知所有参加谈判的供应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10.3.4 供应商按照谈判文件的变动情况和谈判小组的要求重新提交响应文件的，由其法定代表人或其委托代理人签字或者加盖公章。</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10.3.5 谈判文件详细列明采购项目的技术、服务要求后，谈判小组要求所有继续参加谈判的供应商在规定时间内提交最后报价。</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10.3.6 最后报价是供应商响应文件的有效组成部分。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10.3.7 谈判小组从质量和服务均能满足谈判文件实质性响应要求的供应商中，按照最后报价由低到高的顺序推荐成交候选人。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color w:val="auto"/>
          <w:spacing w:val="0"/>
          <w:sz w:val="24"/>
          <w:szCs w:val="24"/>
          <w:lang w:val="en-US" w:eastAsia="zh-CN"/>
        </w:rPr>
      </w:pPr>
      <w:r>
        <w:rPr>
          <w:rFonts w:hint="eastAsia" w:ascii="仿宋" w:hAnsi="仿宋" w:eastAsia="仿宋" w:cs="仿宋"/>
          <w:b/>
          <w:bCs/>
          <w:snapToGrid w:val="0"/>
          <w:spacing w:val="0"/>
          <w:sz w:val="24"/>
          <w:szCs w:val="24"/>
          <w:lang w:val="en-US" w:eastAsia="zh-CN"/>
        </w:rPr>
        <w:t>11、</w:t>
      </w:r>
      <w:r>
        <w:rPr>
          <w:rFonts w:hint="eastAsia" w:ascii="仿宋" w:hAnsi="仿宋" w:eastAsia="仿宋" w:cs="仿宋"/>
          <w:b/>
          <w:bCs/>
          <w:snapToGrid w:val="0"/>
          <w:color w:val="auto"/>
          <w:spacing w:val="0"/>
          <w:sz w:val="24"/>
          <w:szCs w:val="24"/>
          <w:lang w:val="en-US" w:eastAsia="zh-CN"/>
        </w:rPr>
        <w:t>落实政府采购政策</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1、本项目执行财政部、工业和信息化部《政府采购促进中小企业发展管理办法》（财库〔2020〕46 号）的规定。</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以联合体形式参加政府采购活动，联合体各方均为中小企业的，联合体视同中小企业。</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其中，联合体各方均为小微企业的，联合体视同小微企业。</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非专门面向中小企业采购的采购项目（采购包）对符合《政府采购促进中小企业发展管理办法》规定的小微企业报价给予扣除；专门面向中小企业采购的采购项目（采购包），不执行价格扣除政策。</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2、根据财政部司法部《关于政府采购支持监狱企业发展有关问题的通知》（财库〔2014〕68 号）规定，监狱企业视同小型、微型企业，享受评审中价格扣除等政府采购促进中小企业发展的政府采购政策。</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（3）根据财政部民政部中国残疾人联合会《关于促进残疾人就业政府采购政策的通知》（财库〔2017〕141 号）规定，残疾人福利性单位视同小型、微型企业，享受评审中价格扣除等政府采购促进中小企业发展的政府采购政策。</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（4）同一供应商（包括联合体），中小微企业产品、监狱企业产品、残疾人福利性单位产品价格扣除优惠只享受一次，不得重复享受。</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highlight w:val="none"/>
          <w:lang w:val="en-US" w:eastAsia="zh-CN"/>
        </w:rPr>
      </w:pPr>
      <w:r>
        <w:rPr>
          <w:rFonts w:hint="eastAsia" w:ascii="仿宋" w:hAnsi="仿宋" w:eastAsia="仿宋" w:cs="仿宋"/>
          <w:snapToGrid w:val="0"/>
          <w:color w:val="auto"/>
          <w:spacing w:val="0"/>
          <w:sz w:val="24"/>
          <w:szCs w:val="24"/>
          <w:highlight w:val="none"/>
          <w:lang w:val="en-US" w:eastAsia="zh-CN"/>
        </w:rPr>
        <w:t>（5）根据财政部工业和信息化部《政府采购促进中小企业发展管理办法》（财库〔2020〕46 号）的规定，</w:t>
      </w:r>
      <w:r>
        <w:rPr>
          <w:rFonts w:hint="eastAsia" w:ascii="仿宋" w:hAnsi="仿宋" w:eastAsia="仿宋" w:cs="仿宋"/>
          <w:b/>
          <w:bCs/>
          <w:snapToGrid w:val="0"/>
          <w:color w:val="auto"/>
          <w:spacing w:val="0"/>
          <w:sz w:val="24"/>
          <w:szCs w:val="24"/>
          <w:highlight w:val="none"/>
          <w:lang w:val="en-US" w:eastAsia="zh-CN"/>
        </w:rPr>
        <w:t>本项目专门面向中小微（监狱、残疾人福利性单位）企业采购（监狱、残疾人福利性单位视同小型、微型企业），评审中价格将均不予扣除。</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（6）本次采购项目对应的中小企业划分标准所属行业为租赁和商务服务业。</w:t>
      </w:r>
      <w:r>
        <w:rPr>
          <w:rFonts w:hint="eastAsia" w:ascii="仿宋" w:hAnsi="仿宋" w:eastAsia="仿宋" w:cs="仿宋"/>
          <w:snapToGrid w:val="0"/>
          <w:color w:val="auto"/>
          <w:spacing w:val="0"/>
          <w:sz w:val="24"/>
          <w:szCs w:val="24"/>
          <w:lang w:val="en-US" w:eastAsia="zh-CN"/>
        </w:rPr>
        <w:br w:type="page"/>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bCs/>
          <w:snapToGrid w:val="0"/>
          <w:spacing w:val="0"/>
          <w:sz w:val="28"/>
          <w:szCs w:val="28"/>
          <w:lang w:val="en-US" w:eastAsia="zh-CN"/>
        </w:rPr>
      </w:pPr>
      <w:r>
        <w:rPr>
          <w:rFonts w:hint="eastAsia" w:ascii="仿宋" w:hAnsi="仿宋" w:eastAsia="仿宋" w:cs="仿宋"/>
          <w:b/>
          <w:bCs/>
          <w:snapToGrid w:val="0"/>
          <w:spacing w:val="0"/>
          <w:sz w:val="28"/>
          <w:szCs w:val="28"/>
          <w:lang w:val="en-US" w:eastAsia="zh-CN"/>
        </w:rPr>
        <w:t>附件：质疑函范本</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b/>
          <w:bCs/>
          <w:snapToGrid w:val="0"/>
          <w:spacing w:val="0"/>
          <w:sz w:val="28"/>
          <w:szCs w:val="28"/>
          <w:lang w:val="en-US" w:eastAsia="zh-CN"/>
        </w:rPr>
      </w:pPr>
      <w:bookmarkStart w:id="50" w:name="_Toc10079_WPSOffice_Level2"/>
      <w:bookmarkStart w:id="51" w:name="_Toc1359_WPSOffice_Level2"/>
      <w:bookmarkStart w:id="52" w:name="_Toc12670_WPSOffice_Level2"/>
      <w:r>
        <w:rPr>
          <w:rFonts w:hint="eastAsia" w:ascii="仿宋" w:hAnsi="仿宋" w:eastAsia="仿宋" w:cs="仿宋"/>
          <w:b/>
          <w:bCs/>
          <w:snapToGrid w:val="0"/>
          <w:spacing w:val="0"/>
          <w:sz w:val="28"/>
          <w:szCs w:val="28"/>
          <w:lang w:val="en-US" w:eastAsia="zh-CN"/>
        </w:rPr>
        <w:t>质疑函</w:t>
      </w:r>
      <w:bookmarkEnd w:id="50"/>
      <w:bookmarkEnd w:id="51"/>
      <w:bookmarkEnd w:id="52"/>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snapToGrid w:val="0"/>
          <w:spacing w:val="0"/>
          <w:sz w:val="24"/>
          <w:szCs w:val="24"/>
          <w:lang w:val="en-US" w:eastAsia="zh-CN"/>
        </w:rPr>
      </w:pPr>
      <w:bookmarkStart w:id="53" w:name="_Toc21510_WPSOffice_Level2"/>
      <w:bookmarkStart w:id="54" w:name="_Toc4171_WPSOffice_Level2"/>
      <w:bookmarkStart w:id="55" w:name="_Toc2161_WPSOffice_Level2"/>
      <w:r>
        <w:rPr>
          <w:rFonts w:hint="eastAsia" w:ascii="仿宋" w:hAnsi="仿宋" w:eastAsia="仿宋" w:cs="仿宋"/>
          <w:snapToGrid w:val="0"/>
          <w:spacing w:val="0"/>
          <w:sz w:val="24"/>
          <w:szCs w:val="24"/>
          <w:lang w:val="en-US" w:eastAsia="zh-CN"/>
        </w:rPr>
        <w:t>一、质疑供应商基本信息</w:t>
      </w:r>
      <w:bookmarkEnd w:id="53"/>
      <w:bookmarkEnd w:id="54"/>
      <w:bookmarkEnd w:id="55"/>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cs="仿宋"/>
          <w:snapToGrid w:val="0"/>
          <w:color w:val="auto"/>
          <w:spacing w:val="0"/>
          <w:sz w:val="24"/>
          <w:szCs w:val="24"/>
          <w:u w:val="dotted"/>
          <w:lang w:val="en-US" w:eastAsia="zh-CN"/>
        </w:rPr>
      </w:pPr>
      <w:r>
        <w:rPr>
          <w:rFonts w:hint="eastAsia" w:ascii="仿宋" w:hAnsi="仿宋" w:eastAsia="仿宋" w:cs="仿宋"/>
          <w:snapToGrid w:val="0"/>
          <w:spacing w:val="0"/>
          <w:sz w:val="24"/>
          <w:szCs w:val="24"/>
          <w:lang w:val="en-US" w:eastAsia="zh-CN"/>
        </w:rPr>
        <w:t>质疑供应商：</w:t>
      </w:r>
      <w:r>
        <w:rPr>
          <w:rFonts w:hint="eastAsia" w:ascii="仿宋" w:hAnsi="仿宋" w:eastAsia="仿宋" w:cs="仿宋"/>
          <w:snapToGrid w:val="0"/>
          <w:color w:val="auto"/>
          <w:spacing w:val="0"/>
          <w:sz w:val="24"/>
          <w:szCs w:val="24"/>
          <w:u w:val="dotted"/>
        </w:rPr>
        <w:t xml:space="preserve">                              </w:t>
      </w:r>
      <w:r>
        <w:rPr>
          <w:rFonts w:hint="eastAsia" w:ascii="仿宋" w:hAnsi="仿宋" w:eastAsia="仿宋" w:cs="仿宋"/>
          <w:snapToGrid w:val="0"/>
          <w:color w:val="auto"/>
          <w:spacing w:val="0"/>
          <w:sz w:val="24"/>
          <w:szCs w:val="24"/>
          <w:u w:val="dotted"/>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cs="仿宋"/>
          <w:snapToGrid w:val="0"/>
          <w:spacing w:val="0"/>
          <w:sz w:val="24"/>
          <w:szCs w:val="24"/>
          <w:u w:val="dotted"/>
          <w:lang w:val="en-US" w:eastAsia="zh-CN"/>
        </w:rPr>
      </w:pPr>
      <w:r>
        <w:rPr>
          <w:rFonts w:hint="eastAsia" w:ascii="仿宋" w:hAnsi="仿宋" w:eastAsia="仿宋" w:cs="仿宋"/>
          <w:snapToGrid w:val="0"/>
          <w:spacing w:val="0"/>
          <w:sz w:val="24"/>
          <w:szCs w:val="24"/>
          <w:lang w:val="en-US" w:eastAsia="zh-CN"/>
        </w:rPr>
        <w:t>地址：</w:t>
      </w:r>
      <w:r>
        <w:rPr>
          <w:rFonts w:hint="eastAsia" w:ascii="仿宋" w:hAnsi="仿宋" w:eastAsia="仿宋" w:cs="仿宋"/>
          <w:snapToGrid w:val="0"/>
          <w:spacing w:val="0"/>
          <w:sz w:val="24"/>
          <w:szCs w:val="24"/>
          <w:u w:val="dotted"/>
          <w:lang w:val="en-US" w:eastAsia="zh-CN"/>
        </w:rPr>
        <w:t xml:space="preserve">                       </w:t>
      </w:r>
      <w:r>
        <w:rPr>
          <w:rFonts w:hint="eastAsia" w:ascii="仿宋" w:hAnsi="仿宋" w:eastAsia="仿宋" w:cs="仿宋"/>
          <w:snapToGrid w:val="0"/>
          <w:spacing w:val="0"/>
          <w:sz w:val="24"/>
          <w:szCs w:val="24"/>
          <w:lang w:val="en-US" w:eastAsia="zh-CN"/>
        </w:rPr>
        <w:t>邮编：</w:t>
      </w:r>
      <w:r>
        <w:rPr>
          <w:rFonts w:hint="eastAsia" w:ascii="仿宋" w:hAnsi="仿宋" w:eastAsia="仿宋" w:cs="仿宋"/>
          <w:snapToGrid w:val="0"/>
          <w:spacing w:val="0"/>
          <w:sz w:val="24"/>
          <w:szCs w:val="24"/>
          <w:u w:val="dotted"/>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cs="仿宋"/>
          <w:snapToGrid w:val="0"/>
          <w:spacing w:val="0"/>
          <w:sz w:val="24"/>
          <w:szCs w:val="24"/>
          <w:u w:val="dotted"/>
          <w:lang w:val="en-US" w:eastAsia="zh-CN"/>
        </w:rPr>
      </w:pPr>
      <w:r>
        <w:rPr>
          <w:rFonts w:hint="eastAsia" w:ascii="仿宋" w:hAnsi="仿宋" w:eastAsia="仿宋" w:cs="仿宋"/>
          <w:snapToGrid w:val="0"/>
          <w:spacing w:val="0"/>
          <w:sz w:val="24"/>
          <w:szCs w:val="24"/>
          <w:lang w:val="en-US" w:eastAsia="zh-CN"/>
        </w:rPr>
        <w:t>联系人：</w:t>
      </w:r>
      <w:r>
        <w:rPr>
          <w:rFonts w:hint="eastAsia" w:ascii="仿宋" w:hAnsi="仿宋" w:eastAsia="仿宋" w:cs="仿宋"/>
          <w:snapToGrid w:val="0"/>
          <w:spacing w:val="0"/>
          <w:sz w:val="24"/>
          <w:szCs w:val="24"/>
          <w:u w:val="dotted"/>
          <w:lang w:val="en-US" w:eastAsia="zh-CN"/>
        </w:rPr>
        <w:t xml:space="preserve">                   </w:t>
      </w:r>
      <w:r>
        <w:rPr>
          <w:rFonts w:hint="eastAsia" w:ascii="仿宋" w:hAnsi="仿宋" w:eastAsia="仿宋" w:cs="仿宋"/>
          <w:snapToGrid w:val="0"/>
          <w:spacing w:val="0"/>
          <w:sz w:val="24"/>
          <w:szCs w:val="24"/>
          <w:lang w:val="en-US" w:eastAsia="zh-CN"/>
        </w:rPr>
        <w:t>联系电话：</w:t>
      </w:r>
      <w:r>
        <w:rPr>
          <w:rFonts w:hint="eastAsia" w:ascii="仿宋" w:hAnsi="仿宋" w:eastAsia="仿宋" w:cs="仿宋"/>
          <w:snapToGrid w:val="0"/>
          <w:spacing w:val="0"/>
          <w:sz w:val="24"/>
          <w:szCs w:val="24"/>
          <w:u w:val="dotted"/>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cs="仿宋"/>
          <w:snapToGrid w:val="0"/>
          <w:spacing w:val="0"/>
          <w:sz w:val="24"/>
          <w:szCs w:val="24"/>
          <w:u w:val="dotted"/>
          <w:lang w:val="en-US" w:eastAsia="zh-CN"/>
        </w:rPr>
      </w:pPr>
      <w:r>
        <w:rPr>
          <w:rFonts w:hint="eastAsia" w:ascii="仿宋" w:hAnsi="仿宋" w:eastAsia="仿宋" w:cs="仿宋"/>
          <w:snapToGrid w:val="0"/>
          <w:spacing w:val="0"/>
          <w:sz w:val="24"/>
          <w:szCs w:val="24"/>
          <w:lang w:val="en-US" w:eastAsia="zh-CN"/>
        </w:rPr>
        <w:t>授权代表：</w:t>
      </w:r>
      <w:r>
        <w:rPr>
          <w:rFonts w:hint="eastAsia" w:ascii="仿宋" w:hAnsi="仿宋" w:eastAsia="仿宋" w:cs="仿宋"/>
          <w:snapToGrid w:val="0"/>
          <w:spacing w:val="0"/>
          <w:sz w:val="24"/>
          <w:szCs w:val="24"/>
          <w:u w:val="dotted"/>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cs="仿宋"/>
          <w:snapToGrid w:val="0"/>
          <w:spacing w:val="0"/>
          <w:sz w:val="24"/>
          <w:szCs w:val="24"/>
          <w:u w:val="dotted"/>
          <w:lang w:val="en-US" w:eastAsia="zh-CN"/>
        </w:rPr>
      </w:pPr>
      <w:r>
        <w:rPr>
          <w:rFonts w:hint="eastAsia" w:ascii="仿宋" w:hAnsi="仿宋" w:eastAsia="仿宋" w:cs="仿宋"/>
          <w:snapToGrid w:val="0"/>
          <w:spacing w:val="0"/>
          <w:sz w:val="24"/>
          <w:szCs w:val="24"/>
          <w:lang w:val="en-US" w:eastAsia="zh-CN"/>
        </w:rPr>
        <w:t>联系电话：</w:t>
      </w:r>
      <w:r>
        <w:rPr>
          <w:rFonts w:hint="eastAsia" w:ascii="仿宋" w:hAnsi="仿宋" w:eastAsia="仿宋" w:cs="仿宋"/>
          <w:snapToGrid w:val="0"/>
          <w:spacing w:val="0"/>
          <w:sz w:val="24"/>
          <w:szCs w:val="24"/>
          <w:u w:val="dotted"/>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cs="仿宋"/>
          <w:snapToGrid w:val="0"/>
          <w:spacing w:val="0"/>
          <w:sz w:val="24"/>
          <w:szCs w:val="24"/>
          <w:u w:val="dotted"/>
          <w:lang w:val="en-US" w:eastAsia="zh-CN"/>
        </w:rPr>
      </w:pPr>
      <w:r>
        <w:rPr>
          <w:rFonts w:hint="eastAsia" w:ascii="仿宋" w:hAnsi="仿宋" w:eastAsia="仿宋" w:cs="仿宋"/>
          <w:snapToGrid w:val="0"/>
          <w:spacing w:val="0"/>
          <w:sz w:val="24"/>
          <w:szCs w:val="24"/>
          <w:lang w:val="en-US" w:eastAsia="zh-CN"/>
        </w:rPr>
        <w:t>地址：</w:t>
      </w:r>
      <w:r>
        <w:rPr>
          <w:rFonts w:hint="eastAsia" w:ascii="仿宋" w:hAnsi="仿宋" w:eastAsia="仿宋" w:cs="仿宋"/>
          <w:snapToGrid w:val="0"/>
          <w:spacing w:val="0"/>
          <w:sz w:val="24"/>
          <w:szCs w:val="24"/>
          <w:u w:val="dotted"/>
          <w:lang w:val="en-US" w:eastAsia="zh-CN"/>
        </w:rPr>
        <w:t xml:space="preserve">                         </w:t>
      </w:r>
      <w:r>
        <w:rPr>
          <w:rFonts w:hint="eastAsia" w:ascii="仿宋" w:hAnsi="仿宋" w:eastAsia="仿宋" w:cs="仿宋"/>
          <w:snapToGrid w:val="0"/>
          <w:spacing w:val="0"/>
          <w:sz w:val="24"/>
          <w:szCs w:val="24"/>
          <w:lang w:val="en-US" w:eastAsia="zh-CN"/>
        </w:rPr>
        <w:t>邮编：</w:t>
      </w:r>
      <w:r>
        <w:rPr>
          <w:rFonts w:hint="eastAsia" w:ascii="仿宋" w:hAnsi="仿宋" w:eastAsia="仿宋" w:cs="仿宋"/>
          <w:snapToGrid w:val="0"/>
          <w:spacing w:val="0"/>
          <w:sz w:val="24"/>
          <w:szCs w:val="24"/>
          <w:u w:val="dotted"/>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snapToGrid w:val="0"/>
          <w:spacing w:val="0"/>
          <w:sz w:val="24"/>
          <w:szCs w:val="24"/>
          <w:lang w:val="en-US" w:eastAsia="zh-CN"/>
        </w:rPr>
      </w:pPr>
      <w:bookmarkStart w:id="56" w:name="_Toc18070_WPSOffice_Level2"/>
      <w:bookmarkStart w:id="57" w:name="_Toc18859_WPSOffice_Level2"/>
      <w:bookmarkStart w:id="58" w:name="_Toc15995_WPSOffice_Level2"/>
      <w:r>
        <w:rPr>
          <w:rFonts w:hint="eastAsia" w:ascii="仿宋" w:hAnsi="仿宋" w:eastAsia="仿宋" w:cs="仿宋"/>
          <w:snapToGrid w:val="0"/>
          <w:spacing w:val="0"/>
          <w:sz w:val="24"/>
          <w:szCs w:val="24"/>
          <w:lang w:val="en-US" w:eastAsia="zh-CN"/>
        </w:rPr>
        <w:t>二、质疑项目基本情况</w:t>
      </w:r>
      <w:bookmarkEnd w:id="56"/>
      <w:bookmarkEnd w:id="57"/>
      <w:bookmarkEnd w:id="58"/>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cs="仿宋"/>
          <w:snapToGrid w:val="0"/>
          <w:spacing w:val="0"/>
          <w:sz w:val="24"/>
          <w:szCs w:val="24"/>
          <w:u w:val="dotted"/>
          <w:lang w:val="en-US" w:eastAsia="zh-CN"/>
        </w:rPr>
      </w:pPr>
      <w:r>
        <w:rPr>
          <w:rFonts w:hint="eastAsia" w:ascii="仿宋" w:hAnsi="仿宋" w:eastAsia="仿宋" w:cs="仿宋"/>
          <w:snapToGrid w:val="0"/>
          <w:spacing w:val="0"/>
          <w:sz w:val="24"/>
          <w:szCs w:val="24"/>
          <w:lang w:val="en-US" w:eastAsia="zh-CN"/>
        </w:rPr>
        <w:t>质疑项目的名称：</w:t>
      </w:r>
      <w:r>
        <w:rPr>
          <w:rFonts w:hint="eastAsia" w:ascii="仿宋" w:hAnsi="仿宋" w:eastAsia="仿宋" w:cs="仿宋"/>
          <w:snapToGrid w:val="0"/>
          <w:spacing w:val="0"/>
          <w:sz w:val="24"/>
          <w:szCs w:val="24"/>
          <w:u w:val="dotted"/>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cs="仿宋"/>
          <w:snapToGrid w:val="0"/>
          <w:spacing w:val="0"/>
          <w:sz w:val="24"/>
          <w:szCs w:val="24"/>
          <w:u w:val="dotted"/>
          <w:lang w:val="en-US" w:eastAsia="zh-CN"/>
        </w:rPr>
      </w:pPr>
      <w:r>
        <w:rPr>
          <w:rFonts w:hint="eastAsia" w:ascii="仿宋" w:hAnsi="仿宋" w:eastAsia="仿宋" w:cs="仿宋"/>
          <w:snapToGrid w:val="0"/>
          <w:spacing w:val="0"/>
          <w:sz w:val="24"/>
          <w:szCs w:val="24"/>
          <w:lang w:val="en-US" w:eastAsia="zh-CN"/>
        </w:rPr>
        <w:t>质疑项目的编号：</w:t>
      </w:r>
      <w:r>
        <w:rPr>
          <w:rFonts w:hint="eastAsia" w:ascii="仿宋" w:hAnsi="仿宋" w:eastAsia="仿宋" w:cs="仿宋"/>
          <w:snapToGrid w:val="0"/>
          <w:spacing w:val="0"/>
          <w:sz w:val="24"/>
          <w:szCs w:val="24"/>
          <w:u w:val="dotted"/>
          <w:lang w:val="en-US" w:eastAsia="zh-CN"/>
        </w:rPr>
        <w:t xml:space="preserve">               </w:t>
      </w:r>
      <w:r>
        <w:rPr>
          <w:rFonts w:hint="eastAsia" w:ascii="仿宋" w:hAnsi="仿宋" w:eastAsia="仿宋" w:cs="仿宋"/>
          <w:snapToGrid w:val="0"/>
          <w:spacing w:val="0"/>
          <w:sz w:val="24"/>
          <w:szCs w:val="24"/>
          <w:lang w:val="en-US" w:eastAsia="zh-CN"/>
        </w:rPr>
        <w:t>包号：</w:t>
      </w:r>
      <w:r>
        <w:rPr>
          <w:rFonts w:hint="eastAsia" w:ascii="仿宋" w:hAnsi="仿宋" w:eastAsia="仿宋" w:cs="仿宋"/>
          <w:snapToGrid w:val="0"/>
          <w:spacing w:val="0"/>
          <w:sz w:val="24"/>
          <w:szCs w:val="24"/>
          <w:u w:val="dotted"/>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cs="仿宋"/>
          <w:snapToGrid w:val="0"/>
          <w:spacing w:val="0"/>
          <w:sz w:val="24"/>
          <w:szCs w:val="24"/>
          <w:u w:val="dotted"/>
          <w:lang w:val="en-US" w:eastAsia="zh-CN"/>
        </w:rPr>
      </w:pPr>
      <w:r>
        <w:rPr>
          <w:rFonts w:hint="eastAsia" w:ascii="仿宋" w:hAnsi="仿宋" w:eastAsia="仿宋" w:cs="仿宋"/>
          <w:snapToGrid w:val="0"/>
          <w:spacing w:val="0"/>
          <w:sz w:val="24"/>
          <w:szCs w:val="24"/>
          <w:lang w:val="en-US" w:eastAsia="zh-CN"/>
        </w:rPr>
        <w:t>采购人名称：</w:t>
      </w:r>
      <w:r>
        <w:rPr>
          <w:rFonts w:hint="eastAsia" w:ascii="仿宋" w:hAnsi="仿宋" w:eastAsia="仿宋" w:cs="仿宋"/>
          <w:snapToGrid w:val="0"/>
          <w:spacing w:val="0"/>
          <w:sz w:val="24"/>
          <w:szCs w:val="24"/>
          <w:u w:val="dotted"/>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cs="仿宋"/>
          <w:snapToGrid w:val="0"/>
          <w:spacing w:val="0"/>
          <w:sz w:val="24"/>
          <w:szCs w:val="24"/>
          <w:u w:val="dotted"/>
          <w:lang w:val="en-US" w:eastAsia="zh-CN"/>
        </w:rPr>
      </w:pPr>
      <w:r>
        <w:rPr>
          <w:rFonts w:hint="eastAsia" w:ascii="仿宋" w:hAnsi="仿宋" w:eastAsia="仿宋" w:cs="仿宋"/>
          <w:snapToGrid w:val="0"/>
          <w:spacing w:val="0"/>
          <w:sz w:val="24"/>
          <w:szCs w:val="24"/>
          <w:lang w:val="en-US" w:eastAsia="zh-CN"/>
        </w:rPr>
        <w:t>采购文件获取日期：</w:t>
      </w:r>
      <w:r>
        <w:rPr>
          <w:rFonts w:hint="eastAsia" w:ascii="仿宋" w:hAnsi="仿宋" w:eastAsia="仿宋" w:cs="仿宋"/>
          <w:snapToGrid w:val="0"/>
          <w:spacing w:val="0"/>
          <w:sz w:val="24"/>
          <w:szCs w:val="24"/>
          <w:u w:val="dotted"/>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snapToGrid w:val="0"/>
          <w:spacing w:val="0"/>
          <w:sz w:val="24"/>
          <w:szCs w:val="24"/>
          <w:lang w:val="en-US" w:eastAsia="zh-CN"/>
        </w:rPr>
      </w:pPr>
      <w:bookmarkStart w:id="59" w:name="_Toc19359_WPSOffice_Level2"/>
      <w:bookmarkStart w:id="60" w:name="_Toc17364_WPSOffice_Level2"/>
      <w:bookmarkStart w:id="61" w:name="_Toc30647_WPSOffice_Level2"/>
      <w:r>
        <w:rPr>
          <w:rFonts w:hint="eastAsia" w:ascii="仿宋" w:hAnsi="仿宋" w:eastAsia="仿宋" w:cs="仿宋"/>
          <w:snapToGrid w:val="0"/>
          <w:spacing w:val="0"/>
          <w:sz w:val="24"/>
          <w:szCs w:val="24"/>
          <w:lang w:val="en-US" w:eastAsia="zh-CN"/>
        </w:rPr>
        <w:t>三、质疑事项具体内容</w:t>
      </w:r>
      <w:bookmarkEnd w:id="59"/>
      <w:bookmarkEnd w:id="60"/>
      <w:bookmarkEnd w:id="61"/>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cs="仿宋"/>
          <w:snapToGrid w:val="0"/>
          <w:spacing w:val="0"/>
          <w:sz w:val="24"/>
          <w:szCs w:val="24"/>
          <w:u w:val="dotted"/>
          <w:lang w:val="en-US" w:eastAsia="zh-CN"/>
        </w:rPr>
      </w:pPr>
      <w:r>
        <w:rPr>
          <w:rFonts w:hint="eastAsia" w:ascii="仿宋" w:hAnsi="仿宋" w:eastAsia="仿宋" w:cs="仿宋"/>
          <w:snapToGrid w:val="0"/>
          <w:spacing w:val="0"/>
          <w:sz w:val="24"/>
          <w:szCs w:val="24"/>
          <w:lang w:val="en-US" w:eastAsia="zh-CN"/>
        </w:rPr>
        <w:t>质疑事项1：</w:t>
      </w:r>
      <w:r>
        <w:rPr>
          <w:rFonts w:hint="eastAsia" w:ascii="仿宋" w:hAnsi="仿宋" w:eastAsia="仿宋" w:cs="仿宋"/>
          <w:snapToGrid w:val="0"/>
          <w:spacing w:val="0"/>
          <w:sz w:val="24"/>
          <w:szCs w:val="24"/>
          <w:u w:val="dotted"/>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cs="仿宋"/>
          <w:snapToGrid w:val="0"/>
          <w:spacing w:val="0"/>
          <w:sz w:val="24"/>
          <w:szCs w:val="24"/>
          <w:u w:val="dotted"/>
          <w:lang w:val="en-US" w:eastAsia="zh-CN"/>
        </w:rPr>
      </w:pPr>
      <w:r>
        <w:rPr>
          <w:rFonts w:hint="eastAsia" w:ascii="仿宋" w:hAnsi="仿宋" w:eastAsia="仿宋" w:cs="仿宋"/>
          <w:snapToGrid w:val="0"/>
          <w:spacing w:val="0"/>
          <w:sz w:val="24"/>
          <w:szCs w:val="24"/>
          <w:lang w:val="en-US" w:eastAsia="zh-CN"/>
        </w:rPr>
        <w:t>事实依据：</w:t>
      </w:r>
      <w:r>
        <w:rPr>
          <w:rFonts w:hint="eastAsia" w:ascii="仿宋" w:hAnsi="仿宋" w:eastAsia="仿宋" w:cs="仿宋"/>
          <w:snapToGrid w:val="0"/>
          <w:spacing w:val="0"/>
          <w:sz w:val="24"/>
          <w:szCs w:val="24"/>
          <w:u w:val="dotted"/>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cs="仿宋"/>
          <w:snapToGrid w:val="0"/>
          <w:spacing w:val="0"/>
          <w:sz w:val="24"/>
          <w:szCs w:val="24"/>
          <w:u w:val="dotted"/>
          <w:lang w:val="en-US" w:eastAsia="zh-CN"/>
        </w:rPr>
      </w:pPr>
      <w:r>
        <w:rPr>
          <w:rFonts w:hint="eastAsia" w:ascii="仿宋" w:hAnsi="仿宋" w:eastAsia="仿宋" w:cs="仿宋"/>
          <w:snapToGrid w:val="0"/>
          <w:spacing w:val="0"/>
          <w:sz w:val="24"/>
          <w:szCs w:val="24"/>
          <w:u w:val="dotted"/>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cs="仿宋"/>
          <w:snapToGrid w:val="0"/>
          <w:spacing w:val="0"/>
          <w:sz w:val="24"/>
          <w:szCs w:val="24"/>
          <w:u w:val="dotted"/>
          <w:lang w:val="en-US" w:eastAsia="zh-CN"/>
        </w:rPr>
      </w:pPr>
      <w:r>
        <w:rPr>
          <w:rFonts w:hint="eastAsia" w:ascii="仿宋" w:hAnsi="仿宋" w:eastAsia="仿宋" w:cs="仿宋"/>
          <w:snapToGrid w:val="0"/>
          <w:spacing w:val="0"/>
          <w:sz w:val="24"/>
          <w:szCs w:val="24"/>
          <w:lang w:val="en-US" w:eastAsia="zh-CN"/>
        </w:rPr>
        <w:t>法律依据：</w:t>
      </w:r>
      <w:r>
        <w:rPr>
          <w:rFonts w:hint="eastAsia" w:ascii="仿宋" w:hAnsi="仿宋" w:eastAsia="仿宋" w:cs="仿宋"/>
          <w:snapToGrid w:val="0"/>
          <w:spacing w:val="0"/>
          <w:sz w:val="24"/>
          <w:szCs w:val="24"/>
          <w:u w:val="dotted"/>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cs="仿宋"/>
          <w:snapToGrid w:val="0"/>
          <w:spacing w:val="0"/>
          <w:sz w:val="24"/>
          <w:szCs w:val="24"/>
          <w:u w:val="dotted"/>
          <w:lang w:val="en-US" w:eastAsia="zh-CN"/>
        </w:rPr>
      </w:pPr>
      <w:r>
        <w:rPr>
          <w:rFonts w:hint="eastAsia" w:ascii="仿宋" w:hAnsi="仿宋" w:eastAsia="仿宋" w:cs="仿宋"/>
          <w:snapToGrid w:val="0"/>
          <w:spacing w:val="0"/>
          <w:sz w:val="24"/>
          <w:szCs w:val="24"/>
          <w:u w:val="dotted"/>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质疑事项2</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snapToGrid w:val="0"/>
          <w:spacing w:val="0"/>
          <w:sz w:val="24"/>
          <w:szCs w:val="24"/>
          <w:lang w:val="en-US" w:eastAsia="zh-CN"/>
        </w:rPr>
      </w:pPr>
      <w:bookmarkStart w:id="62" w:name="_Toc6934_WPSOffice_Level2"/>
      <w:bookmarkStart w:id="63" w:name="_Toc29954_WPSOffice_Level2"/>
      <w:bookmarkStart w:id="64" w:name="_Toc23562_WPSOffice_Level2"/>
      <w:r>
        <w:rPr>
          <w:rFonts w:hint="eastAsia" w:ascii="仿宋" w:hAnsi="仿宋" w:eastAsia="仿宋" w:cs="仿宋"/>
          <w:snapToGrid w:val="0"/>
          <w:spacing w:val="0"/>
          <w:sz w:val="24"/>
          <w:szCs w:val="24"/>
          <w:lang w:val="en-US" w:eastAsia="zh-CN"/>
        </w:rPr>
        <w:t>四、与质疑事项相关的质疑请求</w:t>
      </w:r>
      <w:bookmarkEnd w:id="62"/>
      <w:bookmarkEnd w:id="63"/>
      <w:bookmarkEnd w:id="64"/>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cs="仿宋"/>
          <w:snapToGrid w:val="0"/>
          <w:spacing w:val="0"/>
          <w:sz w:val="24"/>
          <w:szCs w:val="24"/>
          <w:u w:val="dotted"/>
          <w:lang w:val="en-US" w:eastAsia="zh-CN"/>
        </w:rPr>
      </w:pPr>
      <w:r>
        <w:rPr>
          <w:rFonts w:hint="eastAsia" w:ascii="仿宋" w:hAnsi="仿宋" w:eastAsia="仿宋" w:cs="仿宋"/>
          <w:snapToGrid w:val="0"/>
          <w:spacing w:val="0"/>
          <w:sz w:val="24"/>
          <w:szCs w:val="24"/>
          <w:lang w:val="en-US" w:eastAsia="zh-CN"/>
        </w:rPr>
        <w:t>请求：</w:t>
      </w:r>
      <w:r>
        <w:rPr>
          <w:rFonts w:hint="eastAsia" w:ascii="仿宋" w:hAnsi="仿宋" w:eastAsia="仿宋" w:cs="仿宋"/>
          <w:snapToGrid w:val="0"/>
          <w:spacing w:val="0"/>
          <w:sz w:val="24"/>
          <w:szCs w:val="24"/>
          <w:u w:val="dotted"/>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 xml:space="preserve">签字(签章)：                      公章：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日期：</w:t>
      </w:r>
    </w:p>
    <w:p>
      <w:pPr>
        <w:pStyle w:val="8"/>
        <w:keepNext w:val="0"/>
        <w:keepLines/>
        <w:pageBreakBefore w:val="0"/>
        <w:widowControl/>
        <w:kinsoku/>
        <w:wordWrap w:val="0"/>
        <w:overflowPunct/>
        <w:topLinePunct/>
        <w:bidi w:val="0"/>
        <w:adjustRightInd/>
        <w:snapToGrid/>
        <w:spacing w:line="360" w:lineRule="auto"/>
        <w:ind w:left="0" w:right="0" w:firstLine="480" w:firstLineChars="200"/>
        <w:textAlignment w:val="auto"/>
        <w:rPr>
          <w:rFonts w:hint="eastAsia" w:ascii="仿宋" w:hAnsi="仿宋" w:eastAsia="仿宋" w:cs="仿宋"/>
          <w:snapToGrid w:val="0"/>
          <w:color w:val="auto"/>
          <w:spacing w:val="0"/>
          <w:sz w:val="24"/>
          <w:szCs w:val="24"/>
          <w:lang w:val="en-US" w:eastAsia="zh-CN"/>
        </w:rPr>
      </w:pPr>
    </w:p>
    <w:p>
      <w:pPr>
        <w:pStyle w:val="8"/>
        <w:keepNext w:val="0"/>
        <w:keepLines/>
        <w:pageBreakBefore w:val="0"/>
        <w:widowControl/>
        <w:kinsoku/>
        <w:wordWrap w:val="0"/>
        <w:overflowPunct/>
        <w:topLinePunct/>
        <w:bidi w:val="0"/>
        <w:adjustRightInd/>
        <w:snapToGrid/>
        <w:spacing w:line="360" w:lineRule="auto"/>
        <w:ind w:left="0" w:right="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质疑函制作说明：</w:t>
      </w:r>
    </w:p>
    <w:p>
      <w:pPr>
        <w:pStyle w:val="8"/>
        <w:keepNext w:val="0"/>
        <w:keepLines/>
        <w:pageBreakBefore w:val="0"/>
        <w:widowControl/>
        <w:kinsoku/>
        <w:wordWrap w:val="0"/>
        <w:overflowPunct/>
        <w:topLinePunct/>
        <w:bidi w:val="0"/>
        <w:adjustRightInd/>
        <w:snapToGrid/>
        <w:spacing w:line="360" w:lineRule="auto"/>
        <w:ind w:left="0" w:right="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1、供应商提出质疑时，应提交质疑函和必要的证明材料。</w:t>
      </w:r>
    </w:p>
    <w:p>
      <w:pPr>
        <w:pStyle w:val="8"/>
        <w:keepNext w:val="0"/>
        <w:keepLines/>
        <w:pageBreakBefore w:val="0"/>
        <w:widowControl/>
        <w:kinsoku/>
        <w:wordWrap w:val="0"/>
        <w:overflowPunct/>
        <w:topLinePunct/>
        <w:bidi w:val="0"/>
        <w:adjustRightInd/>
        <w:snapToGrid/>
        <w:spacing w:line="360" w:lineRule="auto"/>
        <w:ind w:left="0" w:right="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8"/>
        <w:keepNext w:val="0"/>
        <w:keepLines/>
        <w:pageBreakBefore w:val="0"/>
        <w:widowControl/>
        <w:kinsoku/>
        <w:wordWrap w:val="0"/>
        <w:overflowPunct/>
        <w:topLinePunct/>
        <w:bidi w:val="0"/>
        <w:adjustRightInd/>
        <w:snapToGrid/>
        <w:spacing w:line="360" w:lineRule="auto"/>
        <w:ind w:left="0" w:right="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3、质疑供应商若对项目的某一分包进行质疑，质疑函中应列明具体分包号。</w:t>
      </w:r>
    </w:p>
    <w:p>
      <w:pPr>
        <w:pStyle w:val="8"/>
        <w:keepNext w:val="0"/>
        <w:keepLines/>
        <w:pageBreakBefore w:val="0"/>
        <w:widowControl/>
        <w:kinsoku/>
        <w:wordWrap w:val="0"/>
        <w:overflowPunct/>
        <w:topLinePunct/>
        <w:bidi w:val="0"/>
        <w:adjustRightInd/>
        <w:snapToGrid/>
        <w:spacing w:line="360" w:lineRule="auto"/>
        <w:ind w:left="0" w:right="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4、质疑函的质疑事项应具体、明确，并有必要的事实依据和法律依据。</w:t>
      </w:r>
    </w:p>
    <w:p>
      <w:pPr>
        <w:pStyle w:val="8"/>
        <w:keepNext w:val="0"/>
        <w:keepLines/>
        <w:pageBreakBefore w:val="0"/>
        <w:widowControl/>
        <w:kinsoku/>
        <w:wordWrap w:val="0"/>
        <w:overflowPunct/>
        <w:topLinePunct/>
        <w:bidi w:val="0"/>
        <w:adjustRightInd/>
        <w:snapToGrid/>
        <w:spacing w:line="360" w:lineRule="auto"/>
        <w:ind w:left="0" w:right="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5、质疑函的质疑请求应与质疑事项相关。</w:t>
      </w:r>
    </w:p>
    <w:p>
      <w:pPr>
        <w:pStyle w:val="8"/>
        <w:keepNext w:val="0"/>
        <w:keepLines/>
        <w:pageBreakBefore w:val="0"/>
        <w:widowControl/>
        <w:kinsoku/>
        <w:wordWrap w:val="0"/>
        <w:overflowPunct/>
        <w:topLinePunct/>
        <w:bidi w:val="0"/>
        <w:adjustRightInd/>
        <w:snapToGrid/>
        <w:spacing w:line="360" w:lineRule="auto"/>
        <w:ind w:left="0" w:right="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6、质疑供应商为自然人的，质疑函应由本人签字；质疑供应商为法人或者其他组织的，质疑函应由法定代表人、主要负责人，或者其授权代表签字或者盖章，并加盖公章。</w:t>
      </w:r>
    </w:p>
    <w:p>
      <w:pPr>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br w:type="page"/>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0"/>
        <w:rPr>
          <w:rFonts w:hint="eastAsia" w:ascii="仿宋" w:hAnsi="仿宋" w:eastAsia="仿宋" w:cs="仿宋"/>
          <w:snapToGrid w:val="0"/>
          <w:spacing w:val="0"/>
          <w:sz w:val="24"/>
          <w:szCs w:val="24"/>
          <w:lang w:val="en-US" w:eastAsia="zh-CN"/>
        </w:rPr>
      </w:pPr>
      <w:bookmarkStart w:id="65" w:name="_Toc4242"/>
      <w:bookmarkStart w:id="66" w:name="_Toc9329"/>
      <w:r>
        <w:rPr>
          <w:rFonts w:hint="eastAsia" w:ascii="仿宋" w:hAnsi="仿宋" w:eastAsia="仿宋" w:cs="仿宋"/>
          <w:b/>
          <w:bCs/>
          <w:snapToGrid w:val="0"/>
          <w:spacing w:val="0"/>
          <w:sz w:val="32"/>
          <w:szCs w:val="32"/>
          <w:lang w:val="en-US" w:eastAsia="zh-CN"/>
        </w:rPr>
        <w:t>第三章  采购需求</w:t>
      </w:r>
      <w:bookmarkEnd w:id="65"/>
      <w:bookmarkEnd w:id="66"/>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一、项目概况</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bookmarkStart w:id="67" w:name="_bookmark56"/>
      <w:bookmarkEnd w:id="67"/>
      <w:bookmarkStart w:id="68" w:name="二、招标项目要求"/>
      <w:bookmarkEnd w:id="68"/>
      <w:r>
        <w:rPr>
          <w:rFonts w:hint="eastAsia" w:ascii="仿宋" w:hAnsi="仿宋" w:eastAsia="仿宋" w:cs="仿宋"/>
          <w:snapToGrid w:val="0"/>
          <w:spacing w:val="0"/>
          <w:sz w:val="24"/>
          <w:szCs w:val="24"/>
          <w:lang w:val="en-US" w:eastAsia="zh-CN"/>
        </w:rPr>
        <w:t>选择第三方机构对辖区本年度企业入库税款分标段进行综合评估，因本项目情况特殊，各标段暂时无法预估具体金额，具体</w:t>
      </w:r>
      <w:r>
        <w:rPr>
          <w:rFonts w:hint="eastAsia" w:ascii="仿宋" w:hAnsi="仿宋" w:eastAsia="仿宋" w:cs="仿宋"/>
          <w:snapToGrid w:val="0"/>
          <w:spacing w:val="0"/>
          <w:sz w:val="24"/>
          <w:szCs w:val="24"/>
          <w:highlight w:val="none"/>
          <w:lang w:val="en-US" w:eastAsia="zh-CN"/>
        </w:rPr>
        <w:t>后期按所做项目进行结算。</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二、招标项目要求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本次招标是根据《中华人民共和国政府采购法》及有关要求，择优选定第三方机构为洛</w:t>
      </w:r>
      <w:r>
        <w:rPr>
          <w:rFonts w:hint="eastAsia" w:ascii="仿宋" w:hAnsi="仿宋" w:eastAsia="仿宋" w:cs="仿宋"/>
          <w:snapToGrid w:val="0"/>
          <w:spacing w:val="0"/>
          <w:sz w:val="24"/>
          <w:szCs w:val="24"/>
          <w:highlight w:val="none"/>
          <w:lang w:val="en-US" w:eastAsia="zh-CN"/>
        </w:rPr>
        <w:t>阳市</w:t>
      </w:r>
      <w:r>
        <w:rPr>
          <w:rFonts w:hint="eastAsia" w:ascii="仿宋" w:hAnsi="仿宋" w:eastAsia="仿宋" w:cs="仿宋"/>
          <w:snapToGrid w:val="0"/>
          <w:spacing w:val="0"/>
          <w:sz w:val="24"/>
          <w:szCs w:val="24"/>
          <w:lang w:val="en-US" w:eastAsia="zh-CN"/>
        </w:rPr>
        <w:t>涧西区提供综合治税评估服务。</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合同履行期限</w:t>
      </w:r>
      <w:r>
        <w:rPr>
          <w:rFonts w:hint="eastAsia" w:ascii="仿宋" w:hAnsi="仿宋" w:eastAsia="仿宋" w:cs="仿宋"/>
          <w:snapToGrid w:val="0"/>
          <w:spacing w:val="0"/>
          <w:sz w:val="24"/>
          <w:szCs w:val="24"/>
          <w:highlight w:val="none"/>
          <w:lang w:val="en-US" w:eastAsia="zh-CN"/>
        </w:rPr>
        <w:t>：12个月。</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服务标准：满足招标人要求，符合国家相关行业合格标准。</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报价要求</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预算控制费率：审核入库区级税款金额在1000万（含1000万元）以下的按1.5%计算，入库区级税款金额在1000万-2000万（含2000万元）部分按1.8%计算，入库区级税款金额在2000万-3000万（含3000万元）部分按2%计算，入库区级税款金额在3000万-4000万（含4000万元）部分按2.2%计算，入库区级税款金额超过4000万元部分按2.5%计算。</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注：本项目以优惠率进行招标，供应商在此基础上用整体优惠率进行报价。</w:t>
      </w: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jc w:val="center"/>
        <w:textAlignment w:val="auto"/>
        <w:outlineLvl w:val="0"/>
        <w:rPr>
          <w:rFonts w:hint="eastAsia" w:ascii="仿宋" w:hAnsi="仿宋" w:eastAsia="仿宋" w:cs="仿宋"/>
          <w:b/>
          <w:bCs/>
          <w:snapToGrid w:val="0"/>
          <w:spacing w:val="0"/>
          <w:sz w:val="32"/>
          <w:szCs w:val="32"/>
          <w:lang w:val="en-US" w:eastAsia="zh-CN"/>
        </w:rPr>
      </w:pPr>
      <w:bookmarkStart w:id="69" w:name="_Toc15313"/>
      <w:bookmarkStart w:id="70" w:name="_Toc29594"/>
      <w:r>
        <w:rPr>
          <w:rFonts w:hint="eastAsia" w:ascii="仿宋" w:hAnsi="仿宋" w:eastAsia="仿宋" w:cs="仿宋"/>
          <w:b/>
          <w:bCs/>
          <w:snapToGrid w:val="0"/>
          <w:spacing w:val="0"/>
          <w:sz w:val="32"/>
          <w:szCs w:val="32"/>
          <w:lang w:val="en-US" w:eastAsia="zh-CN"/>
        </w:rPr>
        <w:t xml:space="preserve"> 合 同</w:t>
      </w:r>
      <w:bookmarkEnd w:id="69"/>
      <w:bookmarkEnd w:id="70"/>
    </w:p>
    <w:p>
      <w:pPr>
        <w:pStyle w:val="2"/>
        <w:numPr>
          <w:ilvl w:val="0"/>
          <w:numId w:val="0"/>
        </w:numPr>
        <w:rPr>
          <w:rFonts w:hint="eastAsia"/>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双方应根据招标文件、中标通知书、中标人的投标文件（包括澄清说明）， 以及与本项目招标相关的资料签订采购合同。所签订的合同不得背离招标文件的实质性内容要求和投标文件的承诺。使用或参考《洛阳市市级政府服务类采购合同范本》签订合同。</w:t>
      </w:r>
    </w:p>
    <w:p>
      <w:pPr>
        <w:rPr>
          <w:rFonts w:hint="eastAsia"/>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《洛阳市市级政府服务类采购合同范本》下载地址：</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洛阳市政府采购网（</w:t>
      </w:r>
      <w:r>
        <w:rPr>
          <w:rFonts w:hint="eastAsia" w:ascii="仿宋" w:hAnsi="仿宋" w:eastAsia="仿宋" w:cs="仿宋"/>
          <w:snapToGrid w:val="0"/>
          <w:spacing w:val="0"/>
          <w:sz w:val="24"/>
          <w:szCs w:val="24"/>
          <w:lang w:val="en-US" w:eastAsia="zh-CN"/>
        </w:rPr>
        <w:fldChar w:fldCharType="begin"/>
      </w:r>
      <w:r>
        <w:rPr>
          <w:rFonts w:hint="eastAsia" w:ascii="仿宋" w:hAnsi="仿宋" w:eastAsia="仿宋" w:cs="仿宋"/>
          <w:snapToGrid w:val="0"/>
          <w:spacing w:val="0"/>
          <w:sz w:val="24"/>
          <w:szCs w:val="24"/>
          <w:lang w:val="en-US" w:eastAsia="zh-CN"/>
        </w:rPr>
        <w:instrText xml:space="preserve"> HYPERLINK "http://luoyang.hngp.gov.cn/" \h </w:instrText>
      </w:r>
      <w:r>
        <w:rPr>
          <w:rFonts w:hint="eastAsia" w:ascii="仿宋" w:hAnsi="仿宋" w:eastAsia="仿宋" w:cs="仿宋"/>
          <w:snapToGrid w:val="0"/>
          <w:spacing w:val="0"/>
          <w:sz w:val="24"/>
          <w:szCs w:val="24"/>
          <w:lang w:val="en-US" w:eastAsia="zh-CN"/>
        </w:rPr>
        <w:fldChar w:fldCharType="separate"/>
      </w:r>
      <w:r>
        <w:rPr>
          <w:rFonts w:hint="eastAsia" w:ascii="仿宋" w:hAnsi="仿宋" w:eastAsia="仿宋" w:cs="仿宋"/>
          <w:snapToGrid w:val="0"/>
          <w:spacing w:val="0"/>
          <w:sz w:val="24"/>
          <w:szCs w:val="24"/>
          <w:lang w:val="en-US" w:eastAsia="zh-CN"/>
        </w:rPr>
        <w:t>http://luoyang.hngp.gov.cn/</w:t>
      </w:r>
      <w:r>
        <w:rPr>
          <w:rFonts w:hint="eastAsia" w:ascii="仿宋" w:hAnsi="仿宋" w:eastAsia="仿宋" w:cs="仿宋"/>
          <w:snapToGrid w:val="0"/>
          <w:spacing w:val="0"/>
          <w:sz w:val="24"/>
          <w:szCs w:val="24"/>
          <w:lang w:val="en-US" w:eastAsia="zh-CN"/>
        </w:rPr>
        <w:fldChar w:fldCharType="end"/>
      </w:r>
      <w:r>
        <w:rPr>
          <w:rFonts w:hint="eastAsia" w:ascii="仿宋" w:hAnsi="仿宋" w:eastAsia="仿宋" w:cs="仿宋"/>
          <w:snapToGrid w:val="0"/>
          <w:spacing w:val="0"/>
          <w:sz w:val="24"/>
          <w:szCs w:val="24"/>
          <w:lang w:val="en-US" w:eastAsia="zh-CN"/>
        </w:rPr>
        <w:t>）首页“文件下载”栏。</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《洛阳市市级政府采购支持中小微企业信用融资信用担保合作金融机构名单》下载地址： 洛阳市政府采购网（</w:t>
      </w:r>
      <w:r>
        <w:rPr>
          <w:rFonts w:hint="eastAsia" w:ascii="仿宋" w:hAnsi="仿宋" w:eastAsia="仿宋" w:cs="仿宋"/>
          <w:snapToGrid w:val="0"/>
          <w:spacing w:val="0"/>
          <w:sz w:val="24"/>
          <w:szCs w:val="24"/>
          <w:lang w:val="en-US" w:eastAsia="zh-CN"/>
        </w:rPr>
        <w:fldChar w:fldCharType="begin"/>
      </w:r>
      <w:r>
        <w:rPr>
          <w:rFonts w:hint="eastAsia" w:ascii="仿宋" w:hAnsi="仿宋" w:eastAsia="仿宋" w:cs="仿宋"/>
          <w:snapToGrid w:val="0"/>
          <w:spacing w:val="0"/>
          <w:sz w:val="24"/>
          <w:szCs w:val="24"/>
          <w:lang w:val="en-US" w:eastAsia="zh-CN"/>
        </w:rPr>
        <w:instrText xml:space="preserve"> HYPERLINK "http://luoyang.hngp.gov.cn/" \h </w:instrText>
      </w:r>
      <w:r>
        <w:rPr>
          <w:rFonts w:hint="eastAsia" w:ascii="仿宋" w:hAnsi="仿宋" w:eastAsia="仿宋" w:cs="仿宋"/>
          <w:snapToGrid w:val="0"/>
          <w:spacing w:val="0"/>
          <w:sz w:val="24"/>
          <w:szCs w:val="24"/>
          <w:lang w:val="en-US" w:eastAsia="zh-CN"/>
        </w:rPr>
        <w:fldChar w:fldCharType="separate"/>
      </w:r>
      <w:r>
        <w:rPr>
          <w:rFonts w:hint="eastAsia" w:ascii="仿宋" w:hAnsi="仿宋" w:eastAsia="仿宋" w:cs="仿宋"/>
          <w:snapToGrid w:val="0"/>
          <w:spacing w:val="0"/>
          <w:sz w:val="24"/>
          <w:szCs w:val="24"/>
          <w:lang w:val="en-US" w:eastAsia="zh-CN"/>
        </w:rPr>
        <w:t>http://luoyang.hngp.gov.cn/</w:t>
      </w:r>
      <w:r>
        <w:rPr>
          <w:rFonts w:hint="eastAsia" w:ascii="仿宋" w:hAnsi="仿宋" w:eastAsia="仿宋" w:cs="仿宋"/>
          <w:snapToGrid w:val="0"/>
          <w:spacing w:val="0"/>
          <w:sz w:val="24"/>
          <w:szCs w:val="24"/>
          <w:lang w:val="en-US" w:eastAsia="zh-CN"/>
        </w:rPr>
        <w:fldChar w:fldCharType="end"/>
      </w:r>
      <w:r>
        <w:rPr>
          <w:rFonts w:hint="eastAsia" w:ascii="仿宋" w:hAnsi="仿宋" w:eastAsia="仿宋" w:cs="仿宋"/>
          <w:snapToGrid w:val="0"/>
          <w:spacing w:val="0"/>
          <w:sz w:val="24"/>
          <w:szCs w:val="24"/>
          <w:lang w:val="en-US" w:eastAsia="zh-CN"/>
        </w:rPr>
        <w:t>）首页“文件下载”栏。</w:t>
      </w:r>
    </w:p>
    <w:p>
      <w:pPr>
        <w:pStyle w:val="9"/>
        <w:jc w:val="both"/>
        <w:rPr>
          <w:rFonts w:hint="eastAsia"/>
          <w:lang w:val="en-US" w:eastAsia="zh-CN"/>
        </w:rPr>
      </w:pPr>
    </w:p>
    <w:p>
      <w:pPr>
        <w:pStyle w:val="8"/>
        <w:ind w:left="0"/>
        <w:rPr>
          <w:sz w:val="20"/>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p>
    <w:p>
      <w:pPr>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br w:type="page"/>
      </w:r>
    </w:p>
    <w:p>
      <w:pPr>
        <w:pStyle w:val="2"/>
        <w:rPr>
          <w:rFonts w:hint="eastAsia"/>
          <w:lang w:val="en-US" w:eastAsia="zh-CN"/>
        </w:rPr>
        <w:sectPr>
          <w:pgSz w:w="11906" w:h="16838"/>
          <w:pgMar w:top="1134" w:right="1134" w:bottom="1134" w:left="1134" w:header="851" w:footer="992" w:gutter="0"/>
          <w:pgNumType w:fmt="decimal"/>
          <w:cols w:space="425" w:num="1"/>
          <w:docGrid w:type="lines" w:linePitch="312" w:charSpace="0"/>
        </w:sect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附件：洛阳市政府采购合同融资政策告知函</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color w:val="auto"/>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洛阳市政府采购合同融资政策告知函</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color w:val="auto"/>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各供应商：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欢迎贵公司参与洛阳市政府采购活动！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政府采购合同融资是洛阳市财政局联合人民银行洛阳市中心支行支持中小微企业发展，针对参与政府采购活动的供应商融资难、融资贵问题推出的一项融资政策。贵公司若成为本次政府采购项目的中标（成交）供应商，可持政府采购合同向金融机构申请贷款，无需抵押、担保，金融机构将根据《洛阳市财政局、中国人民银行洛阳市中心支行关于印发深入推进政府采购合同融资工作实施方案》（洛财购〔2021〕4号），按照双方自愿的原则提供便捷、优惠的贷款服务。</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贷款渠道和提供贷款的金融机构，可在河南省政府采购网“河南省政府采购合同融资平台”或洛阳市政府采购网“政府采购合同融资业务入口”查询联系。</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br w:type="page"/>
      </w:r>
    </w:p>
    <w:p>
      <w:pPr>
        <w:rPr>
          <w:rFonts w:hint="eastAsia"/>
          <w:lang w:val="en-US" w:eastAsia="zh-CN"/>
        </w:rPr>
      </w:pPr>
    </w:p>
    <w:p>
      <w:pPr>
        <w:pStyle w:val="5"/>
        <w:keepNext/>
        <w:keepLines/>
        <w:pageBreakBefore w:val="0"/>
        <w:widowControl w:val="0"/>
        <w:kinsoku/>
        <w:wordWrap/>
        <w:overflowPunct/>
        <w:topLinePunct w:val="0"/>
        <w:autoSpaceDE w:val="0"/>
        <w:autoSpaceDN w:val="0"/>
        <w:bidi w:val="0"/>
        <w:adjustRightInd/>
        <w:snapToGrid/>
        <w:spacing w:before="0" w:after="0" w:line="360" w:lineRule="auto"/>
        <w:textAlignment w:val="auto"/>
        <w:rPr>
          <w:rFonts w:hint="eastAsia" w:ascii="仿宋" w:hAnsi="仿宋" w:eastAsia="仿宋" w:cs="仿宋"/>
          <w:snapToGrid w:val="0"/>
          <w:color w:val="auto"/>
          <w:spacing w:val="0"/>
          <w:sz w:val="24"/>
          <w:szCs w:val="24"/>
        </w:rPr>
      </w:pPr>
      <w:bookmarkStart w:id="71" w:name="_Toc4604"/>
      <w:r>
        <w:rPr>
          <w:rFonts w:hint="eastAsia" w:ascii="仿宋" w:hAnsi="仿宋" w:eastAsia="仿宋" w:cs="仿宋"/>
          <w:snapToGrid w:val="0"/>
          <w:color w:val="auto"/>
          <w:spacing w:val="0"/>
          <w:sz w:val="24"/>
          <w:szCs w:val="24"/>
        </w:rPr>
        <w:t>附：洛阳市政府采购合同融资金融产品推介名录（不做为评审因素，仅供</w:t>
      </w:r>
      <w:r>
        <w:rPr>
          <w:rFonts w:hint="eastAsia" w:ascii="仿宋" w:hAnsi="仿宋" w:eastAsia="仿宋" w:cs="仿宋"/>
          <w:snapToGrid w:val="0"/>
          <w:color w:val="auto"/>
          <w:spacing w:val="0"/>
          <w:sz w:val="24"/>
          <w:szCs w:val="24"/>
          <w:lang w:eastAsia="zh-CN"/>
        </w:rPr>
        <w:t>供应商</w:t>
      </w:r>
      <w:r>
        <w:rPr>
          <w:rFonts w:hint="eastAsia" w:ascii="仿宋" w:hAnsi="仿宋" w:eastAsia="仿宋" w:cs="仿宋"/>
          <w:snapToGrid w:val="0"/>
          <w:color w:val="auto"/>
          <w:spacing w:val="0"/>
          <w:sz w:val="24"/>
          <w:szCs w:val="24"/>
        </w:rPr>
        <w:t>参考）</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bCs/>
          <w:snapToGrid w:val="0"/>
          <w:color w:val="auto"/>
          <w:spacing w:val="0"/>
          <w:sz w:val="24"/>
          <w:szCs w:val="24"/>
          <w:highlight w:val="yellow"/>
        </w:rPr>
      </w:pP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郑州银行股份有限公司洛阳分行政府采购融资贷</w:t>
      </w: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联系方式及融资产品介绍</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一、联系方式：</w:t>
      </w:r>
    </w:p>
    <w:tbl>
      <w:tblPr>
        <w:tblStyle w:val="19"/>
        <w:tblW w:w="4711" w:type="pct"/>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2"/>
        <w:gridCol w:w="2464"/>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联系人</w:t>
            </w:r>
          </w:p>
        </w:tc>
        <w:tc>
          <w:tcPr>
            <w:tcW w:w="1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职务</w:t>
            </w:r>
          </w:p>
        </w:tc>
        <w:tc>
          <w:tcPr>
            <w:tcW w:w="1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地址</w:t>
            </w:r>
          </w:p>
        </w:tc>
        <w:tc>
          <w:tcPr>
            <w:tcW w:w="1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王剑</w:t>
            </w:r>
          </w:p>
        </w:tc>
        <w:tc>
          <w:tcPr>
            <w:tcW w:w="1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主任</w:t>
            </w:r>
          </w:p>
        </w:tc>
        <w:tc>
          <w:tcPr>
            <w:tcW w:w="132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洛阳市洛龙区关林路与厚载门街交叉口隆安大厦</w:t>
            </w:r>
          </w:p>
        </w:tc>
        <w:tc>
          <w:tcPr>
            <w:tcW w:w="1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13838808890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杨洋</w:t>
            </w:r>
          </w:p>
        </w:tc>
        <w:tc>
          <w:tcPr>
            <w:tcW w:w="1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业务负责人</w:t>
            </w:r>
          </w:p>
        </w:tc>
        <w:tc>
          <w:tcPr>
            <w:tcW w:w="132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p>
        </w:tc>
        <w:tc>
          <w:tcPr>
            <w:tcW w:w="1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15896531927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周宜辉</w:t>
            </w:r>
          </w:p>
        </w:tc>
        <w:tc>
          <w:tcPr>
            <w:tcW w:w="1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客户经理</w:t>
            </w:r>
          </w:p>
        </w:tc>
        <w:tc>
          <w:tcPr>
            <w:tcW w:w="132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p>
        </w:tc>
        <w:tc>
          <w:tcPr>
            <w:tcW w:w="1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15036316707</w:t>
            </w:r>
          </w:p>
        </w:tc>
      </w:tr>
    </w:tbl>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二、融资产品介绍：</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E采贷”是郑州银行作为参与政府采购的中小企业量身定制的用于政府采购合同履约，并以政府回款为还款来源的贷款产品。该产品主要解决政府采购商中标垫资的痛点，帮助中标企业快速、高效、便捷获取银行资金。告别采购融资难，政府中标即可贷。优先支持纳入省市级财政预算的服务贸易类行业企业。</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b/>
          <w:bCs/>
          <w:snapToGrid w:val="0"/>
          <w:color w:val="auto"/>
          <w:spacing w:val="0"/>
          <w:sz w:val="24"/>
          <w:szCs w:val="24"/>
        </w:rPr>
        <w:t>“E采贷”五大特点</w:t>
      </w:r>
      <w:r>
        <w:rPr>
          <w:rFonts w:hint="eastAsia" w:ascii="仿宋" w:hAnsi="仿宋" w:eastAsia="仿宋" w:cs="仿宋"/>
          <w:snapToGrid w:val="0"/>
          <w:color w:val="auto"/>
          <w:spacing w:val="0"/>
          <w:sz w:val="24"/>
          <w:szCs w:val="24"/>
        </w:rPr>
        <w:t>：1.纯信用：无需抵押、担保；2.更灵活：随借随还，按需支用；3.额度高：最高为上年度中标额的1.3倍，单笔最高1000万元；4.适用广：在河南省政府采购网（www.hngp.gov.cn）有备案信息即可准入；5.效率高：绿色通道，保证时效。</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b/>
          <w:bCs/>
          <w:snapToGrid w:val="0"/>
          <w:color w:val="auto"/>
          <w:spacing w:val="0"/>
          <w:sz w:val="24"/>
          <w:szCs w:val="24"/>
        </w:rPr>
        <w:t>业务流程</w:t>
      </w:r>
      <w:r>
        <w:rPr>
          <w:rFonts w:hint="eastAsia" w:ascii="仿宋" w:hAnsi="仿宋" w:eastAsia="仿宋" w:cs="仿宋"/>
          <w:snapToGrid w:val="0"/>
          <w:color w:val="auto"/>
          <w:spacing w:val="0"/>
          <w:sz w:val="24"/>
          <w:szCs w:val="24"/>
        </w:rPr>
        <w:t>：</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1.企业申请：凭政府采购中标通知书，向郑州银行提出授信申请。</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2.银行审批：客户经理现场调查，3个工作日反馈审批结果。</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3.企业提款：凭政府采购合同、购销合同等即可提款使用。</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b/>
          <w:bCs/>
          <w:snapToGrid w:val="0"/>
          <w:color w:val="auto"/>
          <w:spacing w:val="0"/>
          <w:sz w:val="24"/>
          <w:szCs w:val="24"/>
        </w:rPr>
        <w:t>利率及优惠政策</w:t>
      </w:r>
      <w:r>
        <w:rPr>
          <w:rFonts w:hint="eastAsia" w:ascii="仿宋" w:hAnsi="仿宋" w:eastAsia="仿宋" w:cs="仿宋"/>
          <w:snapToGrid w:val="0"/>
          <w:color w:val="auto"/>
          <w:spacing w:val="0"/>
          <w:sz w:val="24"/>
          <w:szCs w:val="24"/>
        </w:rPr>
        <w:t>：</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贸易类不低于5.5%，工程类不低于6.5%，对符合条件的小微企业实行减费让利政策，减少客户融资成本（不存在与贷款捆绑强制收费；只收费不服务；超范围、超标准收费；转嫁成本收费；不执行政府指导价、政府定价等提升企业贷款成本的现象）着力解决小微企业“融资难”、“融资贵”的问题帮助客户更好成长。分行所有收费项目均严格根据监管部门和总行要求执行，我行对银行账户一律免收账户管理费。</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color w:val="auto"/>
          <w:spacing w:val="0"/>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color w:val="auto"/>
          <w:sz w:val="24"/>
          <w:szCs w:val="24"/>
        </w:rPr>
      </w:pP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中国银行股份有限公司河南省分行普惠金融</w:t>
      </w: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政采通宝业务服务方案</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准入标准:</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1.持续经营2年（含）以上。</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2.客户持有政府采购中标通知书（或以往年度有执行政府采购的记录），且政府采购业务无行政处罚记录。</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 xml:space="preserve">3.最近年度纳税申报收入不低于200万元。   </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4.借款人及其法人代表、实际控制人信用良好。</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5、单一客户“政采贷”授信总量最高金额不超过1000万元</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6、单笔贷款期限不超过一年。</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7、根据借款人生产经营及回款周期等特点，可采用按季付息，到期一次还本的还款方式，或分期偿还我行授信。</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bCs/>
          <w:snapToGrid w:val="0"/>
          <w:color w:val="auto"/>
          <w:spacing w:val="0"/>
          <w:sz w:val="24"/>
          <w:szCs w:val="24"/>
        </w:rPr>
      </w:pPr>
      <w:r>
        <w:rPr>
          <w:rFonts w:hint="eastAsia" w:ascii="仿宋" w:hAnsi="仿宋" w:eastAsia="仿宋" w:cs="仿宋"/>
          <w:b/>
          <w:bCs/>
          <w:snapToGrid w:val="0"/>
          <w:color w:val="auto"/>
          <w:spacing w:val="0"/>
          <w:sz w:val="24"/>
          <w:szCs w:val="24"/>
        </w:rPr>
        <w:t>中国银行联系人：</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负责人：朱宗沛  15978695077</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信贷经理：印晨  15038659275</w:t>
      </w:r>
    </w:p>
    <w:p>
      <w:pPr>
        <w:pStyle w:val="43"/>
        <w:keepNext w:val="0"/>
        <w:keepLines w:val="0"/>
        <w:pageBreakBefore w:val="0"/>
        <w:widowControl w:val="0"/>
        <w:shd w:val="clear" w:color="auto"/>
        <w:kinsoku/>
        <w:wordWrap/>
        <w:overflowPunct/>
        <w:topLinePunct w:val="0"/>
        <w:autoSpaceDE w:val="0"/>
        <w:autoSpaceDN w:val="0"/>
        <w:bidi w:val="0"/>
        <w:adjustRightInd/>
        <w:snapToGrid/>
        <w:spacing w:beforeAutospacing="0" w:after="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平顶山银行洛阳分行</w:t>
      </w: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政府采购融资联系方式及产品介绍</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一、联系方式</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机构名称：平顶山银行洛阳分行</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联系人：刘亚兴</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联系电话：13837937717（微信同号）</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二、产品介绍</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“银政易贷”是指平顶山银行针对中标政府采购合同的企业实际控制人发放的，专项用于履行政府采购合同的个人贷款业务。 </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1、目标客户：中标优质县区或区级（含）以上政府采购合同的企业实际控制人</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2、采购合同项目：包括货物类，服务类和工程类等</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3、贷款额度：最高500万元（含）</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4、借款期限：不超过2年（参考中标合同约定付款期限）</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5、贷款利率：综合年利率不低于7%</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b/>
          <w:bCs/>
          <w:snapToGrid w:val="0"/>
          <w:color w:val="auto"/>
          <w:spacing w:val="0"/>
          <w:sz w:val="24"/>
          <w:szCs w:val="24"/>
        </w:rPr>
      </w:pPr>
      <w:r>
        <w:rPr>
          <w:rFonts w:hint="eastAsia" w:ascii="仿宋" w:hAnsi="仿宋" w:eastAsia="仿宋" w:cs="仿宋"/>
          <w:snapToGrid w:val="0"/>
          <w:color w:val="auto"/>
          <w:spacing w:val="0"/>
          <w:sz w:val="24"/>
          <w:szCs w:val="24"/>
        </w:rPr>
        <w:t>6、还款方式：按月付息，到期一次性还本或根据客户实际经营情况不规则还款</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bCs/>
          <w:snapToGrid w:val="0"/>
          <w:color w:val="auto"/>
          <w:spacing w:val="0"/>
          <w:sz w:val="24"/>
          <w:szCs w:val="24"/>
          <w:highlight w:val="yellow"/>
        </w:rPr>
      </w:pP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恒丰银行政府采购融资贷联系方式</w:t>
      </w: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及融资产品介绍</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一、联系方式</w:t>
      </w:r>
    </w:p>
    <w:tbl>
      <w:tblPr>
        <w:tblStyle w:val="19"/>
        <w:tblW w:w="4732" w:type="pct"/>
        <w:tblInd w:w="5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2250"/>
        <w:gridCol w:w="2131"/>
        <w:gridCol w:w="2224"/>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联系人</w:t>
            </w:r>
          </w:p>
        </w:tc>
        <w:tc>
          <w:tcPr>
            <w:tcW w:w="12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职务</w:t>
            </w:r>
          </w:p>
        </w:tc>
        <w:tc>
          <w:tcPr>
            <w:tcW w:w="11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地址</w:t>
            </w:r>
          </w:p>
        </w:tc>
        <w:tc>
          <w:tcPr>
            <w:tcW w:w="11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电话</w:t>
            </w:r>
          </w:p>
        </w:tc>
        <w:tc>
          <w:tcPr>
            <w:tcW w:w="6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7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张龙妹</w:t>
            </w:r>
          </w:p>
        </w:tc>
        <w:tc>
          <w:tcPr>
            <w:tcW w:w="12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客户经理</w:t>
            </w:r>
          </w:p>
        </w:tc>
        <w:tc>
          <w:tcPr>
            <w:tcW w:w="114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洛龙区展览路泉舜186西侧裙楼</w:t>
            </w:r>
          </w:p>
        </w:tc>
        <w:tc>
          <w:tcPr>
            <w:tcW w:w="11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18538882575</w:t>
            </w:r>
          </w:p>
        </w:tc>
        <w:tc>
          <w:tcPr>
            <w:tcW w:w="6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张  浩</w:t>
            </w:r>
          </w:p>
        </w:tc>
        <w:tc>
          <w:tcPr>
            <w:tcW w:w="12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公司金融部负责人</w:t>
            </w:r>
          </w:p>
        </w:tc>
        <w:tc>
          <w:tcPr>
            <w:tcW w:w="114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p>
        </w:tc>
        <w:tc>
          <w:tcPr>
            <w:tcW w:w="11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18937966885</w:t>
            </w:r>
          </w:p>
        </w:tc>
        <w:tc>
          <w:tcPr>
            <w:tcW w:w="6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裴绍辉</w:t>
            </w:r>
          </w:p>
        </w:tc>
        <w:tc>
          <w:tcPr>
            <w:tcW w:w="12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分管行长</w:t>
            </w:r>
          </w:p>
        </w:tc>
        <w:tc>
          <w:tcPr>
            <w:tcW w:w="114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p>
        </w:tc>
        <w:tc>
          <w:tcPr>
            <w:tcW w:w="11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18637904888</w:t>
            </w:r>
          </w:p>
        </w:tc>
        <w:tc>
          <w:tcPr>
            <w:tcW w:w="6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p>
        </w:tc>
      </w:tr>
    </w:tbl>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二、融资产品介绍</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1</w:t>
      </w:r>
      <w:r>
        <w:rPr>
          <w:rFonts w:hint="eastAsia" w:ascii="仿宋" w:hAnsi="仿宋" w:eastAsia="仿宋" w:cs="仿宋"/>
          <w:snapToGrid w:val="0"/>
          <w:color w:val="auto"/>
          <w:spacing w:val="0"/>
          <w:sz w:val="24"/>
          <w:szCs w:val="24"/>
          <w:lang w:eastAsia="zh-CN"/>
        </w:rPr>
        <w:t>、</w:t>
      </w:r>
      <w:r>
        <w:rPr>
          <w:rFonts w:hint="eastAsia" w:ascii="仿宋" w:hAnsi="仿宋" w:eastAsia="仿宋" w:cs="仿宋"/>
          <w:snapToGrid w:val="0"/>
          <w:color w:val="auto"/>
          <w:spacing w:val="0"/>
          <w:sz w:val="24"/>
          <w:szCs w:val="24"/>
        </w:rPr>
        <w:t>恒丰银行“政采云贷”</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针对政府采购项目中标小微客户在线发放用于采购项目（不包括工程项目）资金周转需要的流动资金贷款。</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担保方式：免抵押、无担保，开立指定回款账户</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授信额度：单户授信最高不超过1000万元</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授信期限：不超过一年，贷款到期日不晚于政府中标合同约定款日后的十个工作日</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还款方式：按月付息，到期还本或阶段性还款</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2</w:t>
      </w:r>
      <w:r>
        <w:rPr>
          <w:rFonts w:hint="eastAsia" w:ascii="仿宋" w:hAnsi="仿宋" w:eastAsia="仿宋" w:cs="仿宋"/>
          <w:snapToGrid w:val="0"/>
          <w:color w:val="auto"/>
          <w:spacing w:val="0"/>
          <w:sz w:val="24"/>
          <w:szCs w:val="24"/>
          <w:lang w:eastAsia="zh-CN"/>
        </w:rPr>
        <w:t>、</w:t>
      </w:r>
      <w:r>
        <w:rPr>
          <w:rFonts w:hint="eastAsia" w:ascii="仿宋" w:hAnsi="仿宋" w:eastAsia="仿宋" w:cs="仿宋"/>
          <w:snapToGrid w:val="0"/>
          <w:color w:val="auto"/>
          <w:spacing w:val="0"/>
          <w:sz w:val="24"/>
          <w:szCs w:val="24"/>
        </w:rPr>
        <w:t>准入标准</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（1）企业成立一年以上，有洛阳市固定经营场所；企业实际控制人有两年以上行业从业经验。</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（2）企业及其实际控制人信誉良好，合法经营，无不良记录，无恶意违约记录。</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（3）我行信用评级结果在B3三级以上。</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（4）</w:t>
      </w:r>
      <w:r>
        <w:rPr>
          <w:rFonts w:hint="eastAsia" w:ascii="仿宋" w:hAnsi="仿宋" w:eastAsia="仿宋" w:cs="仿宋"/>
          <w:snapToGrid w:val="0"/>
          <w:color w:val="auto"/>
          <w:spacing w:val="0"/>
          <w:sz w:val="24"/>
          <w:szCs w:val="24"/>
        </w:rPr>
        <w:t>企业名下现有贷款合计不超过上年度总收入的45%。</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b/>
          <w:bCs/>
          <w:snapToGrid w:val="0"/>
          <w:color w:val="auto"/>
          <w:spacing w:val="0"/>
          <w:sz w:val="24"/>
          <w:szCs w:val="24"/>
        </w:rPr>
      </w:pPr>
      <w:r>
        <w:rPr>
          <w:rFonts w:hint="eastAsia" w:ascii="仿宋" w:hAnsi="仿宋" w:eastAsia="仿宋" w:cs="仿宋"/>
          <w:snapToGrid w:val="0"/>
          <w:color w:val="auto"/>
          <w:spacing w:val="0"/>
          <w:sz w:val="24"/>
          <w:szCs w:val="24"/>
        </w:rPr>
        <w:t>（5）近两年有两次含以上政府中标记录，且供货履约情况良好。</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bCs/>
          <w:snapToGrid w:val="0"/>
          <w:color w:val="auto"/>
          <w:spacing w:val="0"/>
          <w:sz w:val="24"/>
          <w:szCs w:val="24"/>
          <w:highlight w:val="yellow"/>
        </w:rPr>
      </w:pP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兴业银行洛阳分行</w:t>
      </w: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政府采购融资联系方式及产品介绍</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分管领导：樊博（副行长、18638805299）；信贷经理：尚梅（市场营销部负责人、15538855595）；具体联系人：张海峰（产品经理、18603794400）</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eastAsia="zh-CN"/>
        </w:rPr>
        <w:t>三、</w:t>
      </w:r>
      <w:r>
        <w:rPr>
          <w:rFonts w:hint="eastAsia" w:ascii="仿宋" w:hAnsi="仿宋" w:eastAsia="仿宋" w:cs="仿宋"/>
          <w:snapToGrid w:val="0"/>
          <w:color w:val="auto"/>
          <w:spacing w:val="0"/>
          <w:sz w:val="24"/>
          <w:szCs w:val="24"/>
        </w:rPr>
        <w:t>产品介绍</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授信额度：最高不超过500万元（含）。</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期限：主体授信额度有效期不超过1年</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利率：自动生成贷款利率。</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用途：贷款资金专项用于借款企业履行政府交易采购平台采购合同或订单所需的各类成本、费用及劳务支出等短期流动资金需求和日常经营周转需要。</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担保方式：企业主个人提供连带责任保证，追加采购合同或订单对应的应收账款质押。</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支付方式：采用受托支付方式</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还款方式：按月付息，本金可结合采购合同或订单情况及实际资金需求循环使用，采购合同或订单项下回款由系统自动扣划归还对应的贷款本息，借款企业也可自助提前还款。</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bCs/>
          <w:snapToGrid w:val="0"/>
          <w:color w:val="auto"/>
          <w:spacing w:val="0"/>
          <w:sz w:val="24"/>
          <w:szCs w:val="24"/>
          <w:highlight w:val="yellow"/>
        </w:rPr>
      </w:pP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工商银行洛阳分行“政采贷”产品</w:t>
      </w:r>
    </w:p>
    <w:p>
      <w:pPr>
        <w:keepNext w:val="0"/>
        <w:keepLines w:val="0"/>
        <w:pageBreakBefore w:val="0"/>
        <w:widowControl/>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rPr>
      </w:pPr>
      <w:r>
        <w:rPr>
          <w:rFonts w:hint="eastAsia" w:ascii="仿宋" w:hAnsi="仿宋" w:eastAsia="仿宋" w:cs="仿宋"/>
          <w:b/>
          <w:bCs/>
          <w:snapToGrid w:val="0"/>
          <w:color w:val="auto"/>
          <w:spacing w:val="0"/>
          <w:sz w:val="28"/>
          <w:szCs w:val="28"/>
        </w:rPr>
        <w:t>工商银行“政采贷”简介：</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“政采贷”是工行与政府采购数据进行系统对接，根据获取包括但不限于供应商中标、采购合同、收验货、付款以及历史交易数据等信息，为政府供应商提供的融资贷款金融服务。</w:t>
      </w:r>
    </w:p>
    <w:p>
      <w:pPr>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val="en-US" w:eastAsia="zh-CN"/>
        </w:rPr>
        <w:t>1、</w:t>
      </w:r>
      <w:r>
        <w:rPr>
          <w:rFonts w:hint="eastAsia" w:ascii="仿宋" w:hAnsi="仿宋" w:eastAsia="仿宋" w:cs="仿宋"/>
          <w:snapToGrid w:val="0"/>
          <w:color w:val="auto"/>
          <w:spacing w:val="0"/>
          <w:sz w:val="24"/>
          <w:szCs w:val="24"/>
        </w:rPr>
        <w:t>适用范围：供应商目前仅限于小微企业，后续将结合市场需要，适时拓展至大中型企业。</w:t>
      </w:r>
    </w:p>
    <w:p>
      <w:pPr>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val="en-US" w:eastAsia="zh-CN"/>
        </w:rPr>
        <w:t>2、</w:t>
      </w:r>
      <w:r>
        <w:rPr>
          <w:rFonts w:hint="eastAsia" w:ascii="仿宋" w:hAnsi="仿宋" w:eastAsia="仿宋" w:cs="仿宋"/>
          <w:snapToGrid w:val="0"/>
          <w:color w:val="auto"/>
          <w:spacing w:val="0"/>
          <w:sz w:val="24"/>
          <w:szCs w:val="24"/>
        </w:rPr>
        <w:t>融资额度：供应商融资最高不超过订单金额70%。</w:t>
      </w:r>
    </w:p>
    <w:p>
      <w:pPr>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val="en-US" w:eastAsia="zh-CN"/>
        </w:rPr>
        <w:t>3、</w:t>
      </w:r>
      <w:r>
        <w:rPr>
          <w:rFonts w:hint="eastAsia" w:ascii="仿宋" w:hAnsi="仿宋" w:eastAsia="仿宋" w:cs="仿宋"/>
          <w:snapToGrid w:val="0"/>
          <w:color w:val="auto"/>
          <w:spacing w:val="0"/>
          <w:sz w:val="24"/>
          <w:szCs w:val="24"/>
        </w:rPr>
        <w:t>贷款期限：根据政府采购合同等内容确定贷款期限，最长可以5年。</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4、贷款利率：融资利率参考最近市场利率（LPR）合理确定。</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5、办理手续：</w:t>
      </w:r>
      <w:r>
        <w:rPr>
          <w:rFonts w:hint="eastAsia" w:ascii="仿宋" w:hAnsi="仿宋" w:eastAsia="仿宋" w:cs="仿宋"/>
          <w:snapToGrid w:val="0"/>
          <w:color w:val="auto"/>
          <w:spacing w:val="0"/>
          <w:sz w:val="24"/>
          <w:szCs w:val="24"/>
        </w:rPr>
        <w:sym w:font="Wingdings" w:char="F081"/>
      </w:r>
      <w:r>
        <w:rPr>
          <w:rFonts w:hint="eastAsia" w:ascii="仿宋" w:hAnsi="仿宋" w:eastAsia="仿宋" w:cs="仿宋"/>
          <w:snapToGrid w:val="0"/>
          <w:color w:val="auto"/>
          <w:spacing w:val="0"/>
          <w:sz w:val="24"/>
          <w:szCs w:val="24"/>
        </w:rPr>
        <w:t>供应商与工行取得联系，开立账户，开通网上银行。</w:t>
      </w:r>
      <w:r>
        <w:rPr>
          <w:rFonts w:hint="eastAsia" w:ascii="仿宋" w:hAnsi="仿宋" w:eastAsia="仿宋" w:cs="仿宋"/>
          <w:snapToGrid w:val="0"/>
          <w:color w:val="auto"/>
          <w:spacing w:val="0"/>
          <w:sz w:val="24"/>
          <w:szCs w:val="24"/>
        </w:rPr>
        <w:sym w:font="Wingdings" w:char="F082"/>
      </w:r>
      <w:r>
        <w:rPr>
          <w:rFonts w:hint="eastAsia" w:ascii="仿宋" w:hAnsi="仿宋" w:eastAsia="仿宋" w:cs="仿宋"/>
          <w:snapToGrid w:val="0"/>
          <w:color w:val="auto"/>
          <w:spacing w:val="0"/>
          <w:sz w:val="24"/>
          <w:szCs w:val="24"/>
        </w:rPr>
        <w:t>与工行经办人员线下沟通确定融资金额，通过工行网上银行自助申请贷款金额。</w:t>
      </w:r>
      <w:r>
        <w:rPr>
          <w:rFonts w:hint="eastAsia" w:ascii="仿宋" w:hAnsi="仿宋" w:eastAsia="仿宋" w:cs="仿宋"/>
          <w:snapToGrid w:val="0"/>
          <w:color w:val="auto"/>
          <w:spacing w:val="0"/>
          <w:sz w:val="24"/>
          <w:szCs w:val="24"/>
        </w:rPr>
        <w:sym w:font="Wingdings" w:char="F083"/>
      </w:r>
      <w:r>
        <w:rPr>
          <w:rFonts w:hint="eastAsia" w:ascii="仿宋" w:hAnsi="仿宋" w:eastAsia="仿宋" w:cs="仿宋"/>
          <w:snapToGrid w:val="0"/>
          <w:color w:val="auto"/>
          <w:spacing w:val="0"/>
          <w:sz w:val="24"/>
          <w:szCs w:val="24"/>
        </w:rPr>
        <w:t>工行进行贷款指令确定，贷款线上发放至供应商工行账户。</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分管领导：李亚琼：16603797557</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1680" w:firstLineChars="7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李若明：13233995266</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信贷经理：朱建国：13653893229</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1680" w:firstLineChars="700"/>
        <w:jc w:val="left"/>
        <w:textAlignment w:val="auto"/>
        <w:rPr>
          <w:rFonts w:hint="eastAsia" w:ascii="仿宋" w:hAnsi="仿宋" w:eastAsia="仿宋" w:cs="仿宋"/>
          <w:b/>
          <w:snapToGrid w:val="0"/>
          <w:color w:val="auto"/>
          <w:spacing w:val="0"/>
          <w:sz w:val="24"/>
          <w:szCs w:val="24"/>
        </w:rPr>
      </w:pPr>
      <w:r>
        <w:rPr>
          <w:rFonts w:hint="eastAsia" w:ascii="仿宋" w:hAnsi="仿宋" w:eastAsia="仿宋" w:cs="仿宋"/>
          <w:snapToGrid w:val="0"/>
          <w:color w:val="auto"/>
          <w:spacing w:val="0"/>
          <w:sz w:val="24"/>
          <w:szCs w:val="24"/>
        </w:rPr>
        <w:t>张佩兰：15603799799</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snapToGrid w:val="0"/>
          <w:color w:val="auto"/>
          <w:spacing w:val="0"/>
          <w:sz w:val="24"/>
          <w:szCs w:val="24"/>
          <w:highlight w:val="yellow"/>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firstLine="0" w:firstLineChars="0"/>
        <w:jc w:val="center"/>
        <w:textAlignment w:val="auto"/>
        <w:rPr>
          <w:rFonts w:hint="eastAsia" w:ascii="仿宋" w:hAnsi="仿宋" w:eastAsia="仿宋" w:cs="仿宋"/>
          <w:b/>
          <w:bCs/>
          <w:snapToGrid w:val="0"/>
          <w:color w:val="auto"/>
          <w:spacing w:val="0"/>
          <w:sz w:val="24"/>
          <w:szCs w:val="24"/>
          <w:highlight w:val="none"/>
        </w:rPr>
      </w:pP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平安银行“政采E贷”产品介绍</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平安银行“政采E贷”是平安银行与采购中心对接后，基于互联网技术、政府采购数据等信息，为中标政府采购项目的企业提供的互联网信用贷款。</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snapToGrid w:val="0"/>
          <w:color w:val="auto"/>
          <w:spacing w:val="0"/>
          <w:sz w:val="24"/>
          <w:szCs w:val="24"/>
        </w:rPr>
      </w:pPr>
      <w:r>
        <w:rPr>
          <w:rFonts w:hint="eastAsia" w:ascii="仿宋" w:hAnsi="仿宋" w:eastAsia="仿宋" w:cs="仿宋"/>
          <w:b/>
          <w:snapToGrid w:val="0"/>
          <w:color w:val="auto"/>
          <w:spacing w:val="0"/>
          <w:sz w:val="24"/>
          <w:szCs w:val="24"/>
        </w:rPr>
        <w:t>产品优势：</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1、额度高：线上最高500万元。</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2、申请易：5分钟完成线上申请。</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3、用款快：凭订单最快1天生效。</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4、纯信用：凭政府中标订单即可融资。</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snapToGrid w:val="0"/>
          <w:color w:val="auto"/>
          <w:spacing w:val="0"/>
          <w:sz w:val="24"/>
          <w:szCs w:val="24"/>
        </w:rPr>
      </w:pPr>
      <w:r>
        <w:rPr>
          <w:rFonts w:hint="eastAsia" w:ascii="仿宋" w:hAnsi="仿宋" w:eastAsia="仿宋" w:cs="仿宋"/>
          <w:b/>
          <w:snapToGrid w:val="0"/>
          <w:color w:val="auto"/>
          <w:spacing w:val="0"/>
          <w:sz w:val="24"/>
          <w:szCs w:val="24"/>
        </w:rPr>
        <w:t xml:space="preserve">产品申请资格：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val="en-US" w:eastAsia="zh-CN"/>
        </w:rPr>
        <w:t>1、</w:t>
      </w:r>
      <w:r>
        <w:rPr>
          <w:rFonts w:hint="eastAsia" w:ascii="仿宋" w:hAnsi="仿宋" w:eastAsia="仿宋" w:cs="仿宋"/>
          <w:snapToGrid w:val="0"/>
          <w:color w:val="auto"/>
          <w:spacing w:val="0"/>
          <w:sz w:val="24"/>
          <w:szCs w:val="24"/>
        </w:rPr>
        <w:t>我行白名单财政项下的政府采购项目融资。</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val="en-US" w:eastAsia="zh-CN"/>
        </w:rPr>
        <w:t>2、</w:t>
      </w:r>
      <w:r>
        <w:rPr>
          <w:rFonts w:hint="eastAsia" w:ascii="仿宋" w:hAnsi="仿宋" w:eastAsia="仿宋" w:cs="仿宋"/>
          <w:snapToGrid w:val="0"/>
          <w:color w:val="auto"/>
          <w:spacing w:val="0"/>
          <w:sz w:val="24"/>
          <w:szCs w:val="24"/>
        </w:rPr>
        <w:t>有历史中标采购记录的政府采购供应商。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val="en-US" w:eastAsia="zh-CN"/>
        </w:rPr>
        <w:t>3、</w:t>
      </w:r>
      <w:r>
        <w:rPr>
          <w:rFonts w:hint="eastAsia" w:ascii="仿宋" w:hAnsi="仿宋" w:eastAsia="仿宋" w:cs="仿宋"/>
          <w:snapToGrid w:val="0"/>
          <w:color w:val="auto"/>
          <w:spacing w:val="0"/>
          <w:sz w:val="24"/>
          <w:szCs w:val="24"/>
        </w:rPr>
        <w:t>企业及申请人信用良好。</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snapToGrid w:val="0"/>
          <w:color w:val="auto"/>
          <w:spacing w:val="0"/>
          <w:sz w:val="24"/>
          <w:szCs w:val="24"/>
        </w:rPr>
      </w:pPr>
      <w:r>
        <w:rPr>
          <w:rFonts w:hint="eastAsia" w:ascii="仿宋" w:hAnsi="仿宋" w:eastAsia="仿宋" w:cs="仿宋"/>
          <w:b/>
          <w:snapToGrid w:val="0"/>
          <w:color w:val="auto"/>
          <w:spacing w:val="0"/>
          <w:sz w:val="24"/>
          <w:szCs w:val="24"/>
        </w:rPr>
        <w:t>期限、利率和还款方式：</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期限：1个月到1年。</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还款方式 ：先息后本、等额本息、等额本金。</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利率：年化利率低至6% 。</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b/>
          <w:snapToGrid w:val="0"/>
          <w:color w:val="auto"/>
          <w:spacing w:val="0"/>
          <w:sz w:val="24"/>
          <w:szCs w:val="24"/>
        </w:rPr>
        <w:t>举例1：</w:t>
      </w:r>
      <w:r>
        <w:rPr>
          <w:rFonts w:hint="eastAsia" w:ascii="仿宋" w:hAnsi="仿宋" w:eastAsia="仿宋" w:cs="仿宋"/>
          <w:snapToGrid w:val="0"/>
          <w:color w:val="auto"/>
          <w:spacing w:val="0"/>
          <w:sz w:val="24"/>
          <w:szCs w:val="24"/>
        </w:rPr>
        <w:t>贷款100万元，3个月（先息后本，利率6%），前两个月需要支付利息5000元/月，到期还本付息。</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b/>
          <w:snapToGrid w:val="0"/>
          <w:color w:val="auto"/>
          <w:spacing w:val="0"/>
          <w:sz w:val="24"/>
          <w:szCs w:val="24"/>
        </w:rPr>
        <w:t>举例2：</w:t>
      </w:r>
      <w:r>
        <w:rPr>
          <w:rFonts w:hint="eastAsia" w:ascii="仿宋" w:hAnsi="仿宋" w:eastAsia="仿宋" w:cs="仿宋"/>
          <w:snapToGrid w:val="0"/>
          <w:color w:val="auto"/>
          <w:spacing w:val="0"/>
          <w:sz w:val="24"/>
          <w:szCs w:val="24"/>
        </w:rPr>
        <w:t>贷款100万元，1年期限（等额本息，利率6%），每个月需要支付本息约86035元。</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平安银行洛阳分行联系人：</w:t>
      </w:r>
    </w:p>
    <w:p>
      <w:pPr>
        <w:pStyle w:val="38"/>
        <w:keepNext w:val="0"/>
        <w:keepLines w:val="0"/>
        <w:pageBreakBefore w:val="0"/>
        <w:kinsoku/>
        <w:wordWrap/>
        <w:overflowPunct/>
        <w:topLinePunct w:val="0"/>
        <w:bidi w:val="0"/>
        <w:adjustRightInd/>
        <w:snapToGrid/>
        <w:spacing w:before="0" w:beforeAutospacing="0" w:afterAutospacing="0" w:line="360" w:lineRule="auto"/>
        <w:ind w:left="0" w:leftChars="0" w:firstLine="482" w:firstLineChars="200"/>
        <w:jc w:val="left"/>
        <w:textAlignment w:val="auto"/>
        <w:rPr>
          <w:rFonts w:hint="eastAsia" w:ascii="仿宋" w:hAnsi="仿宋" w:eastAsia="仿宋" w:cs="仿宋"/>
          <w:b/>
          <w:bCs/>
          <w:snapToGrid w:val="0"/>
          <w:color w:val="auto"/>
          <w:spacing w:val="0"/>
          <w:sz w:val="24"/>
          <w:szCs w:val="24"/>
        </w:rPr>
      </w:pPr>
      <w:r>
        <w:rPr>
          <w:rFonts w:hint="eastAsia" w:ascii="仿宋" w:hAnsi="仿宋" w:eastAsia="仿宋" w:cs="仿宋"/>
          <w:b/>
          <w:bCs/>
          <w:snapToGrid w:val="0"/>
          <w:color w:val="auto"/>
          <w:spacing w:val="0"/>
          <w:sz w:val="24"/>
          <w:szCs w:val="24"/>
        </w:rPr>
        <w:t>总经理：王煜13523601120</w:t>
      </w:r>
    </w:p>
    <w:p>
      <w:pPr>
        <w:pStyle w:val="38"/>
        <w:keepNext w:val="0"/>
        <w:keepLines w:val="0"/>
        <w:pageBreakBefore w:val="0"/>
        <w:kinsoku/>
        <w:wordWrap/>
        <w:overflowPunct/>
        <w:topLinePunct w:val="0"/>
        <w:bidi w:val="0"/>
        <w:adjustRightInd/>
        <w:snapToGrid/>
        <w:spacing w:before="0" w:beforeAutospacing="0" w:afterAutospacing="0" w:line="360" w:lineRule="auto"/>
        <w:ind w:left="0" w:leftChars="0" w:firstLine="482" w:firstLineChars="200"/>
        <w:jc w:val="left"/>
        <w:textAlignment w:val="auto"/>
        <w:rPr>
          <w:rFonts w:hint="eastAsia" w:ascii="仿宋" w:hAnsi="仿宋" w:eastAsia="仿宋" w:cs="仿宋"/>
          <w:b/>
          <w:bCs/>
          <w:snapToGrid w:val="0"/>
          <w:color w:val="auto"/>
          <w:spacing w:val="0"/>
          <w:sz w:val="24"/>
          <w:szCs w:val="24"/>
        </w:rPr>
      </w:pPr>
      <w:r>
        <w:rPr>
          <w:rFonts w:hint="eastAsia" w:ascii="仿宋" w:hAnsi="仿宋" w:eastAsia="仿宋" w:cs="仿宋"/>
          <w:b/>
          <w:bCs/>
          <w:snapToGrid w:val="0"/>
          <w:color w:val="auto"/>
          <w:spacing w:val="0"/>
          <w:sz w:val="24"/>
          <w:szCs w:val="24"/>
        </w:rPr>
        <w:t>业务经理：许洛周 13938876588</w:t>
      </w:r>
    </w:p>
    <w:p>
      <w:pPr>
        <w:pStyle w:val="38"/>
        <w:keepNext w:val="0"/>
        <w:keepLines w:val="0"/>
        <w:pageBreakBefore w:val="0"/>
        <w:kinsoku/>
        <w:wordWrap/>
        <w:overflowPunct/>
        <w:topLinePunct w:val="0"/>
        <w:bidi w:val="0"/>
        <w:adjustRightInd/>
        <w:snapToGrid/>
        <w:spacing w:before="0" w:beforeAutospacing="0" w:afterAutospacing="0" w:line="360" w:lineRule="auto"/>
        <w:ind w:left="0" w:leftChars="0" w:firstLine="482" w:firstLineChars="200"/>
        <w:jc w:val="left"/>
        <w:textAlignment w:val="auto"/>
        <w:rPr>
          <w:rFonts w:hint="eastAsia" w:ascii="仿宋" w:hAnsi="仿宋" w:eastAsia="仿宋" w:cs="仿宋"/>
          <w:b/>
          <w:bCs/>
          <w:snapToGrid w:val="0"/>
          <w:color w:val="auto"/>
          <w:spacing w:val="0"/>
          <w:sz w:val="24"/>
          <w:szCs w:val="24"/>
        </w:rPr>
      </w:pPr>
      <w:r>
        <w:rPr>
          <w:rFonts w:hint="eastAsia" w:ascii="仿宋" w:hAnsi="仿宋" w:eastAsia="仿宋" w:cs="仿宋"/>
          <w:b/>
          <w:bCs/>
          <w:snapToGrid w:val="0"/>
          <w:color w:val="auto"/>
          <w:spacing w:val="0"/>
          <w:sz w:val="24"/>
          <w:szCs w:val="24"/>
        </w:rPr>
        <w:t>业务负责人：许洛周 13938876588</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snapToGrid w:val="0"/>
          <w:color w:val="auto"/>
          <w:spacing w:val="0"/>
          <w:sz w:val="24"/>
          <w:szCs w:val="24"/>
          <w:highlight w:val="yellow"/>
        </w:rPr>
      </w:pP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浙商银行“政采贷”</w:t>
      </w:r>
    </w:p>
    <w:p>
      <w:pPr>
        <w:pStyle w:val="38"/>
        <w:keepNext w:val="0"/>
        <w:keepLines w:val="0"/>
        <w:pageBreakBefore w:val="0"/>
        <w:kinsoku/>
        <w:wordWrap/>
        <w:overflowPunct/>
        <w:topLinePunct w:val="0"/>
        <w:bidi w:val="0"/>
        <w:adjustRightInd/>
        <w:snapToGrid/>
        <w:spacing w:before="0"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一、贷款产品介绍</w:t>
      </w:r>
    </w:p>
    <w:p>
      <w:pPr>
        <w:pStyle w:val="38"/>
        <w:keepNext w:val="0"/>
        <w:keepLines w:val="0"/>
        <w:pageBreakBefore w:val="0"/>
        <w:kinsoku/>
        <w:wordWrap/>
        <w:overflowPunct/>
        <w:topLinePunct w:val="0"/>
        <w:bidi w:val="0"/>
        <w:adjustRightInd/>
        <w:snapToGrid/>
        <w:spacing w:before="0"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政采贷”是本行为在政府机关、事业单位、社会团体、国有企业等招标进行的采购活动中中标并签订采购合同的小微企业发放的，以采购人合同款支付作为还款来源的流动资金贷款。借款人为符合本行标准的小型、微型企业。融资模式包括采购合同融资模式与应收账款融资模式。采购项目包括货物类、服务类和部分工程类。</w:t>
      </w:r>
    </w:p>
    <w:p>
      <w:pPr>
        <w:pStyle w:val="38"/>
        <w:keepNext w:val="0"/>
        <w:keepLines w:val="0"/>
        <w:pageBreakBefore w:val="0"/>
        <w:kinsoku/>
        <w:wordWrap/>
        <w:overflowPunct/>
        <w:topLinePunct w:val="0"/>
        <w:bidi w:val="0"/>
        <w:adjustRightInd/>
        <w:snapToGrid/>
        <w:spacing w:before="0"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二、适用对象</w:t>
      </w:r>
    </w:p>
    <w:p>
      <w:pPr>
        <w:pStyle w:val="38"/>
        <w:keepNext w:val="0"/>
        <w:keepLines w:val="0"/>
        <w:pageBreakBefore w:val="0"/>
        <w:kinsoku/>
        <w:wordWrap/>
        <w:overflowPunct/>
        <w:topLinePunct w:val="0"/>
        <w:bidi w:val="0"/>
        <w:adjustRightInd/>
        <w:snapToGrid/>
        <w:spacing w:before="0"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连续经营 2 年及以上或实际控制人有 3 年及以上相关行业从业经验经营状况良好，信用记录良好小微企业。</w:t>
      </w:r>
    </w:p>
    <w:p>
      <w:pPr>
        <w:pStyle w:val="38"/>
        <w:keepNext w:val="0"/>
        <w:keepLines w:val="0"/>
        <w:pageBreakBefore w:val="0"/>
        <w:kinsoku/>
        <w:wordWrap/>
        <w:overflowPunct/>
        <w:topLinePunct w:val="0"/>
        <w:bidi w:val="0"/>
        <w:adjustRightInd/>
        <w:snapToGrid/>
        <w:spacing w:before="0"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三、贷款期限</w:t>
      </w:r>
    </w:p>
    <w:p>
      <w:pPr>
        <w:pStyle w:val="38"/>
        <w:keepNext w:val="0"/>
        <w:keepLines w:val="0"/>
        <w:pageBreakBefore w:val="0"/>
        <w:kinsoku/>
        <w:wordWrap/>
        <w:overflowPunct/>
        <w:topLinePunct w:val="0"/>
        <w:bidi w:val="0"/>
        <w:adjustRightInd/>
        <w:snapToGrid/>
        <w:spacing w:before="0"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贷款期限：货物类、服务类利率最长一年，工程类最长可做三年。</w:t>
      </w:r>
    </w:p>
    <w:p>
      <w:pPr>
        <w:pStyle w:val="38"/>
        <w:keepNext w:val="0"/>
        <w:keepLines w:val="0"/>
        <w:pageBreakBefore w:val="0"/>
        <w:kinsoku/>
        <w:wordWrap/>
        <w:overflowPunct/>
        <w:topLinePunct w:val="0"/>
        <w:bidi w:val="0"/>
        <w:adjustRightInd/>
        <w:snapToGrid/>
        <w:spacing w:before="0"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四、产品特点</w:t>
      </w:r>
    </w:p>
    <w:p>
      <w:pPr>
        <w:pStyle w:val="38"/>
        <w:keepNext w:val="0"/>
        <w:keepLines w:val="0"/>
        <w:pageBreakBefore w:val="0"/>
        <w:kinsoku/>
        <w:wordWrap/>
        <w:overflowPunct/>
        <w:topLinePunct w:val="0"/>
        <w:bidi w:val="0"/>
        <w:adjustRightInd/>
        <w:snapToGrid/>
        <w:spacing w:before="0"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中标即贷，最高可贷1000万，最快三天审批放款，可做工程类项目。</w:t>
      </w:r>
    </w:p>
    <w:p>
      <w:pPr>
        <w:pStyle w:val="38"/>
        <w:keepNext w:val="0"/>
        <w:keepLines w:val="0"/>
        <w:pageBreakBefore w:val="0"/>
        <w:kinsoku/>
        <w:wordWrap/>
        <w:overflowPunct/>
        <w:topLinePunct w:val="0"/>
        <w:bidi w:val="0"/>
        <w:adjustRightInd/>
        <w:snapToGrid/>
        <w:spacing w:before="0" w:beforeAutospacing="0" w:afterAutospacing="0" w:line="360" w:lineRule="auto"/>
        <w:ind w:left="0" w:leftChars="0" w:firstLine="482" w:firstLineChars="200"/>
        <w:jc w:val="left"/>
        <w:textAlignment w:val="auto"/>
        <w:rPr>
          <w:rFonts w:hint="eastAsia" w:ascii="仿宋" w:hAnsi="仿宋" w:eastAsia="仿宋" w:cs="仿宋"/>
          <w:b/>
          <w:bCs/>
          <w:snapToGrid w:val="0"/>
          <w:color w:val="auto"/>
          <w:spacing w:val="0"/>
          <w:sz w:val="24"/>
          <w:szCs w:val="24"/>
        </w:rPr>
      </w:pPr>
      <w:r>
        <w:rPr>
          <w:rFonts w:hint="eastAsia" w:ascii="仿宋" w:hAnsi="仿宋" w:eastAsia="仿宋" w:cs="仿宋"/>
          <w:b/>
          <w:bCs/>
          <w:snapToGrid w:val="0"/>
          <w:color w:val="auto"/>
          <w:spacing w:val="0"/>
          <w:sz w:val="24"/>
          <w:szCs w:val="24"/>
        </w:rPr>
        <w:t xml:space="preserve">分管领导：张庆浩   联系电话： 18538198600  </w:t>
      </w:r>
    </w:p>
    <w:p>
      <w:pPr>
        <w:pStyle w:val="38"/>
        <w:keepNext w:val="0"/>
        <w:keepLines w:val="0"/>
        <w:pageBreakBefore w:val="0"/>
        <w:kinsoku/>
        <w:wordWrap/>
        <w:overflowPunct/>
        <w:topLinePunct w:val="0"/>
        <w:bidi w:val="0"/>
        <w:adjustRightInd/>
        <w:snapToGrid/>
        <w:spacing w:before="0" w:beforeAutospacing="0" w:afterAutospacing="0" w:line="360" w:lineRule="auto"/>
        <w:ind w:left="0" w:leftChars="0" w:firstLine="482" w:firstLineChars="200"/>
        <w:jc w:val="left"/>
        <w:textAlignment w:val="auto"/>
        <w:rPr>
          <w:rFonts w:hint="eastAsia" w:ascii="仿宋" w:hAnsi="仿宋" w:eastAsia="仿宋" w:cs="仿宋"/>
          <w:b/>
          <w:bCs/>
          <w:snapToGrid w:val="0"/>
          <w:color w:val="auto"/>
          <w:spacing w:val="0"/>
          <w:sz w:val="24"/>
          <w:szCs w:val="24"/>
        </w:rPr>
      </w:pPr>
      <w:r>
        <w:rPr>
          <w:rFonts w:hint="eastAsia" w:ascii="仿宋" w:hAnsi="仿宋" w:eastAsia="仿宋" w:cs="仿宋"/>
          <w:b/>
          <w:bCs/>
          <w:snapToGrid w:val="0"/>
          <w:color w:val="auto"/>
          <w:spacing w:val="0"/>
          <w:sz w:val="24"/>
          <w:szCs w:val="24"/>
        </w:rPr>
        <w:t xml:space="preserve">信贷经理：郭利波   联系电话：15937918530 </w:t>
      </w:r>
    </w:p>
    <w:p>
      <w:pPr>
        <w:pStyle w:val="38"/>
        <w:keepNext w:val="0"/>
        <w:keepLines w:val="0"/>
        <w:pageBreakBefore w:val="0"/>
        <w:kinsoku/>
        <w:wordWrap/>
        <w:overflowPunct/>
        <w:topLinePunct w:val="0"/>
        <w:bidi w:val="0"/>
        <w:adjustRightInd/>
        <w:snapToGrid/>
        <w:spacing w:before="0" w:beforeAutospacing="0" w:afterAutospacing="0" w:line="360" w:lineRule="auto"/>
        <w:ind w:left="0" w:leftChars="0" w:firstLine="482" w:firstLineChars="200"/>
        <w:jc w:val="left"/>
        <w:textAlignment w:val="auto"/>
        <w:rPr>
          <w:rFonts w:hint="eastAsia" w:ascii="仿宋" w:hAnsi="仿宋" w:eastAsia="仿宋" w:cs="仿宋"/>
          <w:b/>
          <w:bCs/>
          <w:snapToGrid w:val="0"/>
          <w:color w:val="auto"/>
          <w:spacing w:val="0"/>
          <w:sz w:val="24"/>
          <w:szCs w:val="24"/>
        </w:rPr>
      </w:pPr>
      <w:r>
        <w:rPr>
          <w:rFonts w:hint="eastAsia" w:ascii="仿宋" w:hAnsi="仿宋" w:eastAsia="仿宋" w:cs="仿宋"/>
          <w:b/>
          <w:bCs/>
          <w:snapToGrid w:val="0"/>
          <w:color w:val="auto"/>
          <w:spacing w:val="0"/>
          <w:sz w:val="24"/>
          <w:szCs w:val="24"/>
        </w:rPr>
        <w:t>具体负责人：李超峰  联系电话：15538530</w:t>
      </w:r>
    </w:p>
    <w:p>
      <w:pPr>
        <w:pStyle w:val="35"/>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snapToGrid w:val="0"/>
          <w:color w:val="auto"/>
          <w:spacing w:val="0"/>
          <w:sz w:val="28"/>
          <w:szCs w:val="28"/>
        </w:rPr>
      </w:pPr>
      <w:r>
        <w:rPr>
          <w:rFonts w:hint="eastAsia" w:ascii="仿宋" w:hAnsi="仿宋" w:eastAsia="仿宋" w:cs="仿宋"/>
          <w:b/>
          <w:bCs/>
          <w:snapToGrid w:val="0"/>
          <w:color w:val="auto"/>
          <w:spacing w:val="0"/>
          <w:sz w:val="28"/>
          <w:szCs w:val="28"/>
          <w:highlight w:val="none"/>
        </w:rPr>
        <w:t>广发银行“政采贷”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2" w:firstLineChars="200"/>
        <w:jc w:val="left"/>
        <w:textAlignment w:val="auto"/>
        <w:rPr>
          <w:rFonts w:hint="eastAsia" w:ascii="仿宋" w:hAnsi="仿宋" w:eastAsia="仿宋" w:cs="仿宋"/>
          <w:b/>
          <w:bCs/>
          <w:snapToGrid w:val="0"/>
          <w:color w:val="auto"/>
          <w:spacing w:val="0"/>
          <w:sz w:val="24"/>
          <w:szCs w:val="24"/>
        </w:rPr>
      </w:pPr>
      <w:r>
        <w:rPr>
          <w:rFonts w:hint="eastAsia" w:ascii="仿宋" w:hAnsi="仿宋" w:eastAsia="仿宋" w:cs="仿宋"/>
          <w:b/>
          <w:bCs/>
          <w:snapToGrid w:val="0"/>
          <w:color w:val="auto"/>
          <w:spacing w:val="0"/>
          <w:sz w:val="24"/>
          <w:szCs w:val="24"/>
          <w:lang w:eastAsia="zh-CN"/>
        </w:rPr>
        <w:t>一、</w:t>
      </w:r>
      <w:r>
        <w:rPr>
          <w:rFonts w:hint="eastAsia" w:ascii="仿宋" w:hAnsi="仿宋" w:eastAsia="仿宋" w:cs="仿宋"/>
          <w:b/>
          <w:bCs/>
          <w:snapToGrid w:val="0"/>
          <w:color w:val="auto"/>
          <w:spacing w:val="0"/>
          <w:sz w:val="24"/>
          <w:szCs w:val="24"/>
        </w:rPr>
        <w:t>广发银行“政采贷”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val="en-US" w:eastAsia="zh-CN"/>
        </w:rPr>
        <w:t>1、</w:t>
      </w:r>
      <w:r>
        <w:rPr>
          <w:rFonts w:hint="eastAsia" w:ascii="仿宋" w:hAnsi="仿宋" w:eastAsia="仿宋" w:cs="仿宋"/>
          <w:snapToGrid w:val="0"/>
          <w:color w:val="auto"/>
          <w:spacing w:val="0"/>
          <w:sz w:val="24"/>
          <w:szCs w:val="24"/>
        </w:rPr>
        <w:t>对象：针对政府采购平台内资信情况良好、经营正常的中小微企业供应商提供原材料购买、组织生产、货物运输等流动资金授信服务。</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lang w:eastAsia="zh-CN"/>
        </w:rPr>
      </w:pPr>
      <w:r>
        <w:rPr>
          <w:rFonts w:hint="eastAsia" w:ascii="仿宋" w:hAnsi="仿宋" w:eastAsia="仿宋" w:cs="仿宋"/>
          <w:snapToGrid w:val="0"/>
          <w:color w:val="auto"/>
          <w:spacing w:val="0"/>
          <w:sz w:val="24"/>
          <w:szCs w:val="24"/>
          <w:lang w:val="en-US" w:eastAsia="zh-CN"/>
        </w:rPr>
        <w:t>2、</w:t>
      </w:r>
      <w:r>
        <w:rPr>
          <w:rFonts w:hint="eastAsia" w:ascii="仿宋" w:hAnsi="仿宋" w:eastAsia="仿宋" w:cs="仿宋"/>
          <w:snapToGrid w:val="0"/>
          <w:color w:val="auto"/>
          <w:spacing w:val="0"/>
          <w:sz w:val="24"/>
          <w:szCs w:val="24"/>
        </w:rPr>
        <w:t>担保方式：以政府采购项目下的应收账款质押；企业实际控制人及主要个人股东提供连带责任保证担保</w:t>
      </w:r>
      <w:r>
        <w:rPr>
          <w:rFonts w:hint="eastAsia" w:ascii="仿宋" w:hAnsi="仿宋" w:eastAsia="仿宋" w:cs="仿宋"/>
          <w:snapToGrid w:val="0"/>
          <w:color w:val="auto"/>
          <w:spacing w:val="0"/>
          <w:sz w:val="24"/>
          <w:szCs w:val="24"/>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lang w:eastAsia="zh-CN"/>
        </w:rPr>
      </w:pPr>
      <w:r>
        <w:rPr>
          <w:rFonts w:hint="eastAsia" w:ascii="仿宋" w:hAnsi="仿宋" w:eastAsia="仿宋" w:cs="仿宋"/>
          <w:snapToGrid w:val="0"/>
          <w:color w:val="auto"/>
          <w:spacing w:val="0"/>
          <w:sz w:val="24"/>
          <w:szCs w:val="24"/>
          <w:lang w:val="en-US" w:eastAsia="zh-CN"/>
        </w:rPr>
        <w:t>3、</w:t>
      </w:r>
      <w:r>
        <w:rPr>
          <w:rFonts w:hint="eastAsia" w:ascii="仿宋" w:hAnsi="仿宋" w:eastAsia="仿宋" w:cs="仿宋"/>
          <w:snapToGrid w:val="0"/>
          <w:color w:val="auto"/>
          <w:spacing w:val="0"/>
          <w:sz w:val="24"/>
          <w:szCs w:val="24"/>
        </w:rPr>
        <w:t>授信额度：单户敞口授信额度不超过1000万元；单笔采购项目融资不超过有效合同净额的90%</w:t>
      </w:r>
      <w:r>
        <w:rPr>
          <w:rFonts w:hint="eastAsia" w:ascii="仿宋" w:hAnsi="仿宋" w:eastAsia="仿宋" w:cs="仿宋"/>
          <w:snapToGrid w:val="0"/>
          <w:color w:val="auto"/>
          <w:spacing w:val="0"/>
          <w:sz w:val="24"/>
          <w:szCs w:val="24"/>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lang w:eastAsia="zh-CN"/>
        </w:rPr>
      </w:pPr>
      <w:r>
        <w:rPr>
          <w:rFonts w:hint="eastAsia" w:ascii="仿宋" w:hAnsi="仿宋" w:eastAsia="仿宋" w:cs="仿宋"/>
          <w:snapToGrid w:val="0"/>
          <w:color w:val="auto"/>
          <w:spacing w:val="0"/>
          <w:sz w:val="24"/>
          <w:szCs w:val="24"/>
          <w:lang w:val="en-US" w:eastAsia="zh-CN"/>
        </w:rPr>
        <w:t>4、</w:t>
      </w:r>
      <w:r>
        <w:rPr>
          <w:rFonts w:hint="eastAsia" w:ascii="仿宋" w:hAnsi="仿宋" w:eastAsia="仿宋" w:cs="仿宋"/>
          <w:snapToGrid w:val="0"/>
          <w:color w:val="auto"/>
          <w:spacing w:val="0"/>
          <w:sz w:val="24"/>
          <w:szCs w:val="24"/>
        </w:rPr>
        <w:t>授信期限：额度有效期一年，授信期限不超过一年且不得超过额度到期日后3个月，不超过采购项目合同约定的最迟付款日后3个月</w:t>
      </w:r>
      <w:r>
        <w:rPr>
          <w:rFonts w:hint="eastAsia" w:ascii="仿宋" w:hAnsi="仿宋" w:eastAsia="仿宋" w:cs="仿宋"/>
          <w:snapToGrid w:val="0"/>
          <w:color w:val="auto"/>
          <w:spacing w:val="0"/>
          <w:sz w:val="24"/>
          <w:szCs w:val="24"/>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val="en-US" w:eastAsia="zh-CN"/>
        </w:rPr>
        <w:t>5、</w:t>
      </w:r>
      <w:r>
        <w:rPr>
          <w:rFonts w:hint="eastAsia" w:ascii="仿宋" w:hAnsi="仿宋" w:eastAsia="仿宋" w:cs="仿宋"/>
          <w:snapToGrid w:val="0"/>
          <w:color w:val="auto"/>
          <w:spacing w:val="0"/>
          <w:sz w:val="24"/>
          <w:szCs w:val="24"/>
        </w:rPr>
        <w:t>还款方式：按月付息，可根据单笔业务实际付款频率和时间点进行还款，不得采取随借随还出账模式，还款方式应与政府采购合同约定的应收账款金额、账期等相匹配。</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2" w:firstLineChars="200"/>
        <w:jc w:val="left"/>
        <w:textAlignment w:val="auto"/>
        <w:rPr>
          <w:rFonts w:hint="eastAsia" w:ascii="仿宋" w:hAnsi="仿宋" w:eastAsia="仿宋" w:cs="仿宋"/>
          <w:b/>
          <w:bCs/>
          <w:snapToGrid w:val="0"/>
          <w:color w:val="auto"/>
          <w:spacing w:val="0"/>
          <w:sz w:val="24"/>
          <w:szCs w:val="24"/>
        </w:rPr>
      </w:pPr>
      <w:r>
        <w:rPr>
          <w:rFonts w:hint="eastAsia" w:ascii="仿宋" w:hAnsi="仿宋" w:eastAsia="仿宋" w:cs="仿宋"/>
          <w:b/>
          <w:bCs/>
          <w:snapToGrid w:val="0"/>
          <w:color w:val="auto"/>
          <w:spacing w:val="0"/>
          <w:sz w:val="24"/>
          <w:szCs w:val="24"/>
          <w:lang w:eastAsia="zh-CN"/>
        </w:rPr>
        <w:t>二、</w:t>
      </w:r>
      <w:r>
        <w:rPr>
          <w:rFonts w:hint="eastAsia" w:ascii="仿宋" w:hAnsi="仿宋" w:eastAsia="仿宋" w:cs="仿宋"/>
          <w:b/>
          <w:bCs/>
          <w:snapToGrid w:val="0"/>
          <w:color w:val="auto"/>
          <w:spacing w:val="0"/>
          <w:sz w:val="24"/>
          <w:szCs w:val="24"/>
        </w:rPr>
        <w:t>准入标准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lang w:eastAsia="zh-CN"/>
        </w:rPr>
      </w:pPr>
      <w:r>
        <w:rPr>
          <w:rFonts w:hint="eastAsia" w:ascii="仿宋" w:hAnsi="仿宋" w:eastAsia="仿宋" w:cs="仿宋"/>
          <w:snapToGrid w:val="0"/>
          <w:color w:val="auto"/>
          <w:spacing w:val="0"/>
          <w:sz w:val="24"/>
          <w:szCs w:val="24"/>
          <w:lang w:val="en-US" w:eastAsia="zh-CN"/>
        </w:rPr>
        <w:t>1、</w:t>
      </w:r>
      <w:r>
        <w:rPr>
          <w:rFonts w:hint="eastAsia" w:ascii="仿宋" w:hAnsi="仿宋" w:eastAsia="仿宋" w:cs="仿宋"/>
          <w:snapToGrid w:val="0"/>
          <w:color w:val="auto"/>
          <w:spacing w:val="0"/>
          <w:sz w:val="24"/>
          <w:szCs w:val="24"/>
        </w:rPr>
        <w:t>企业成立且持续经营满3年以上，主营业务未有变化，有固定经营场所，且注册地在当地</w:t>
      </w:r>
      <w:r>
        <w:rPr>
          <w:rFonts w:hint="eastAsia" w:ascii="仿宋" w:hAnsi="仿宋" w:eastAsia="仿宋" w:cs="仿宋"/>
          <w:snapToGrid w:val="0"/>
          <w:color w:val="auto"/>
          <w:spacing w:val="0"/>
          <w:sz w:val="24"/>
          <w:szCs w:val="24"/>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lang w:eastAsia="zh-CN"/>
        </w:rPr>
      </w:pPr>
      <w:r>
        <w:rPr>
          <w:rFonts w:hint="eastAsia" w:ascii="仿宋" w:hAnsi="仿宋" w:eastAsia="仿宋" w:cs="仿宋"/>
          <w:snapToGrid w:val="0"/>
          <w:color w:val="auto"/>
          <w:spacing w:val="0"/>
          <w:sz w:val="24"/>
          <w:szCs w:val="24"/>
          <w:lang w:val="en-US" w:eastAsia="zh-CN"/>
        </w:rPr>
        <w:t>2、</w:t>
      </w:r>
      <w:r>
        <w:rPr>
          <w:rFonts w:hint="eastAsia" w:ascii="仿宋" w:hAnsi="仿宋" w:eastAsia="仿宋" w:cs="仿宋"/>
          <w:snapToGrid w:val="0"/>
          <w:color w:val="auto"/>
          <w:spacing w:val="0"/>
          <w:sz w:val="24"/>
          <w:szCs w:val="24"/>
        </w:rPr>
        <w:t>政府采购历史超过一年或进入政府采购供应商名单时间超过一年，实际履约不低于一次</w:t>
      </w:r>
      <w:r>
        <w:rPr>
          <w:rFonts w:hint="eastAsia" w:ascii="仿宋" w:hAnsi="仿宋" w:eastAsia="仿宋" w:cs="仿宋"/>
          <w:snapToGrid w:val="0"/>
          <w:color w:val="auto"/>
          <w:spacing w:val="0"/>
          <w:sz w:val="24"/>
          <w:szCs w:val="24"/>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lang w:eastAsia="zh-CN"/>
        </w:rPr>
      </w:pPr>
      <w:r>
        <w:rPr>
          <w:rFonts w:hint="eastAsia" w:ascii="仿宋" w:hAnsi="仿宋" w:eastAsia="仿宋" w:cs="仿宋"/>
          <w:snapToGrid w:val="0"/>
          <w:color w:val="auto"/>
          <w:spacing w:val="0"/>
          <w:sz w:val="24"/>
          <w:szCs w:val="24"/>
          <w:lang w:val="en-US" w:eastAsia="zh-CN"/>
        </w:rPr>
        <w:t>3、</w:t>
      </w:r>
      <w:r>
        <w:rPr>
          <w:rFonts w:hint="eastAsia" w:ascii="仿宋" w:hAnsi="仿宋" w:eastAsia="仿宋" w:cs="仿宋"/>
          <w:snapToGrid w:val="0"/>
          <w:color w:val="auto"/>
          <w:spacing w:val="0"/>
          <w:sz w:val="24"/>
          <w:szCs w:val="24"/>
        </w:rPr>
        <w:t>近两年销售收入保持正增长或主营业务利润为正</w:t>
      </w:r>
      <w:r>
        <w:rPr>
          <w:rFonts w:hint="eastAsia" w:ascii="仿宋" w:hAnsi="仿宋" w:eastAsia="仿宋" w:cs="仿宋"/>
          <w:snapToGrid w:val="0"/>
          <w:color w:val="auto"/>
          <w:spacing w:val="0"/>
          <w:sz w:val="24"/>
          <w:szCs w:val="24"/>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lang w:eastAsia="zh-CN"/>
        </w:rPr>
      </w:pPr>
      <w:r>
        <w:rPr>
          <w:rFonts w:hint="eastAsia" w:ascii="仿宋" w:hAnsi="仿宋" w:eastAsia="仿宋" w:cs="仿宋"/>
          <w:snapToGrid w:val="0"/>
          <w:color w:val="auto"/>
          <w:spacing w:val="0"/>
          <w:sz w:val="24"/>
          <w:szCs w:val="24"/>
          <w:lang w:val="en-US" w:eastAsia="zh-CN"/>
        </w:rPr>
        <w:t>4、</w:t>
      </w:r>
      <w:r>
        <w:rPr>
          <w:rFonts w:hint="eastAsia" w:ascii="仿宋" w:hAnsi="仿宋" w:eastAsia="仿宋" w:cs="仿宋"/>
          <w:snapToGrid w:val="0"/>
          <w:color w:val="auto"/>
          <w:spacing w:val="0"/>
          <w:sz w:val="24"/>
          <w:szCs w:val="24"/>
        </w:rPr>
        <w:t>资产负债率不超过70%</w:t>
      </w:r>
      <w:r>
        <w:rPr>
          <w:rFonts w:hint="eastAsia" w:ascii="仿宋" w:hAnsi="仿宋" w:eastAsia="仿宋" w:cs="仿宋"/>
          <w:snapToGrid w:val="0"/>
          <w:color w:val="auto"/>
          <w:spacing w:val="0"/>
          <w:sz w:val="24"/>
          <w:szCs w:val="24"/>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lang w:eastAsia="zh-CN"/>
        </w:rPr>
      </w:pPr>
      <w:r>
        <w:rPr>
          <w:rFonts w:hint="eastAsia" w:ascii="仿宋" w:hAnsi="仿宋" w:eastAsia="仿宋" w:cs="仿宋"/>
          <w:snapToGrid w:val="0"/>
          <w:color w:val="auto"/>
          <w:spacing w:val="0"/>
          <w:sz w:val="24"/>
          <w:szCs w:val="24"/>
          <w:lang w:val="en-US" w:eastAsia="zh-CN"/>
        </w:rPr>
        <w:t>5、</w:t>
      </w:r>
      <w:r>
        <w:rPr>
          <w:rFonts w:hint="eastAsia" w:ascii="仿宋" w:hAnsi="仿宋" w:eastAsia="仿宋" w:cs="仿宋"/>
          <w:snapToGrid w:val="0"/>
          <w:color w:val="auto"/>
          <w:spacing w:val="0"/>
          <w:sz w:val="24"/>
          <w:szCs w:val="24"/>
        </w:rPr>
        <w:t>在我行评价不低于BB+级</w:t>
      </w:r>
      <w:r>
        <w:rPr>
          <w:rFonts w:hint="eastAsia" w:ascii="仿宋" w:hAnsi="仿宋" w:eastAsia="仿宋" w:cs="仿宋"/>
          <w:snapToGrid w:val="0"/>
          <w:color w:val="auto"/>
          <w:spacing w:val="0"/>
          <w:sz w:val="24"/>
          <w:szCs w:val="24"/>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lang w:eastAsia="zh-CN"/>
        </w:rPr>
      </w:pPr>
      <w:r>
        <w:rPr>
          <w:rFonts w:hint="eastAsia" w:ascii="仿宋" w:hAnsi="仿宋" w:eastAsia="仿宋" w:cs="仿宋"/>
          <w:snapToGrid w:val="0"/>
          <w:color w:val="auto"/>
          <w:spacing w:val="0"/>
          <w:sz w:val="24"/>
          <w:szCs w:val="24"/>
          <w:lang w:val="en-US" w:eastAsia="zh-CN"/>
        </w:rPr>
        <w:t>6、</w:t>
      </w:r>
      <w:r>
        <w:rPr>
          <w:rFonts w:hint="eastAsia" w:ascii="仿宋" w:hAnsi="仿宋" w:eastAsia="仿宋" w:cs="仿宋"/>
          <w:snapToGrid w:val="0"/>
          <w:color w:val="auto"/>
          <w:spacing w:val="0"/>
          <w:sz w:val="24"/>
          <w:szCs w:val="24"/>
        </w:rPr>
        <w:t>企业主（含实际控制人、主要股东或配偶）拥有本地户口或房产</w:t>
      </w:r>
      <w:r>
        <w:rPr>
          <w:rFonts w:hint="eastAsia" w:ascii="仿宋" w:hAnsi="仿宋" w:eastAsia="仿宋" w:cs="仿宋"/>
          <w:snapToGrid w:val="0"/>
          <w:color w:val="auto"/>
          <w:spacing w:val="0"/>
          <w:sz w:val="24"/>
          <w:szCs w:val="24"/>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lang w:eastAsia="zh-CN"/>
        </w:rPr>
      </w:pPr>
      <w:r>
        <w:rPr>
          <w:rFonts w:hint="eastAsia" w:ascii="仿宋" w:hAnsi="仿宋" w:eastAsia="仿宋" w:cs="仿宋"/>
          <w:snapToGrid w:val="0"/>
          <w:color w:val="auto"/>
          <w:spacing w:val="0"/>
          <w:sz w:val="24"/>
          <w:szCs w:val="24"/>
          <w:lang w:val="en-US" w:eastAsia="zh-CN"/>
        </w:rPr>
        <w:t>7、</w:t>
      </w:r>
      <w:r>
        <w:rPr>
          <w:rFonts w:hint="eastAsia" w:ascii="仿宋" w:hAnsi="仿宋" w:eastAsia="仿宋" w:cs="仿宋"/>
          <w:snapToGrid w:val="0"/>
          <w:color w:val="auto"/>
          <w:spacing w:val="0"/>
          <w:sz w:val="24"/>
          <w:szCs w:val="24"/>
        </w:rPr>
        <w:t>不得介入在金融机构有未结清（互）保类授信（含实际控制人夫妇个人经营性贷款）的企业</w:t>
      </w:r>
      <w:r>
        <w:rPr>
          <w:rFonts w:hint="eastAsia" w:ascii="仿宋" w:hAnsi="仿宋" w:eastAsia="仿宋" w:cs="仿宋"/>
          <w:snapToGrid w:val="0"/>
          <w:color w:val="auto"/>
          <w:spacing w:val="0"/>
          <w:sz w:val="24"/>
          <w:szCs w:val="24"/>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2" w:firstLineChars="200"/>
        <w:jc w:val="left"/>
        <w:textAlignment w:val="auto"/>
        <w:rPr>
          <w:rFonts w:hint="eastAsia" w:ascii="仿宋" w:hAnsi="仿宋" w:eastAsia="仿宋" w:cs="仿宋"/>
          <w:b/>
          <w:bCs/>
          <w:snapToGrid w:val="0"/>
          <w:color w:val="auto"/>
          <w:spacing w:val="0"/>
          <w:sz w:val="24"/>
          <w:szCs w:val="24"/>
        </w:rPr>
      </w:pPr>
      <w:r>
        <w:rPr>
          <w:rFonts w:hint="eastAsia" w:ascii="仿宋" w:hAnsi="仿宋" w:eastAsia="仿宋" w:cs="仿宋"/>
          <w:b/>
          <w:bCs/>
          <w:snapToGrid w:val="0"/>
          <w:color w:val="auto"/>
          <w:spacing w:val="0"/>
          <w:sz w:val="24"/>
          <w:szCs w:val="24"/>
          <w:lang w:eastAsia="zh-CN"/>
        </w:rPr>
        <w:t>三、</w:t>
      </w:r>
      <w:r>
        <w:rPr>
          <w:rFonts w:hint="eastAsia" w:ascii="仿宋" w:hAnsi="仿宋" w:eastAsia="仿宋" w:cs="仿宋"/>
          <w:b/>
          <w:bCs/>
          <w:snapToGrid w:val="0"/>
          <w:color w:val="auto"/>
          <w:spacing w:val="0"/>
          <w:sz w:val="24"/>
          <w:szCs w:val="24"/>
        </w:rPr>
        <w:t>授信用途</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授信仅限于借款人自身在具体合同项下的原材料采购、组织生产、货物运输等劳动资金需求，不得挪用于担保企业、借款人关联企业、借款人固定资产建设和股本权益类投资</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2" w:firstLineChars="200"/>
        <w:jc w:val="left"/>
        <w:textAlignment w:val="auto"/>
        <w:rPr>
          <w:rFonts w:hint="eastAsia" w:ascii="仿宋" w:hAnsi="仿宋" w:eastAsia="仿宋" w:cs="仿宋"/>
          <w:b/>
          <w:bCs/>
          <w:snapToGrid w:val="0"/>
          <w:color w:val="auto"/>
          <w:spacing w:val="0"/>
          <w:sz w:val="24"/>
          <w:szCs w:val="24"/>
        </w:rPr>
      </w:pPr>
      <w:r>
        <w:rPr>
          <w:rFonts w:hint="eastAsia" w:ascii="仿宋" w:hAnsi="仿宋" w:eastAsia="仿宋" w:cs="仿宋"/>
          <w:b/>
          <w:bCs/>
          <w:snapToGrid w:val="0"/>
          <w:color w:val="auto"/>
          <w:spacing w:val="0"/>
          <w:sz w:val="24"/>
          <w:szCs w:val="24"/>
          <w:lang w:eastAsia="zh-CN"/>
        </w:rPr>
        <w:t>四、</w:t>
      </w:r>
      <w:r>
        <w:rPr>
          <w:rFonts w:hint="eastAsia" w:ascii="仿宋" w:hAnsi="仿宋" w:eastAsia="仿宋" w:cs="仿宋"/>
          <w:b/>
          <w:bCs/>
          <w:snapToGrid w:val="0"/>
          <w:color w:val="auto"/>
          <w:spacing w:val="0"/>
          <w:sz w:val="24"/>
          <w:szCs w:val="24"/>
        </w:rPr>
        <w:t>业务流程</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val="en-US" w:eastAsia="zh-CN"/>
        </w:rPr>
        <w:t>1、</w:t>
      </w:r>
      <w:r>
        <w:rPr>
          <w:rFonts w:hint="eastAsia" w:ascii="仿宋" w:hAnsi="仿宋" w:eastAsia="仿宋" w:cs="仿宋"/>
          <w:snapToGrid w:val="0"/>
          <w:color w:val="auto"/>
          <w:spacing w:val="0"/>
          <w:sz w:val="24"/>
          <w:szCs w:val="24"/>
        </w:rPr>
        <w:t>业务访谈，确定贸易真实性</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val="en-US" w:eastAsia="zh-CN"/>
        </w:rPr>
        <w:t>2、</w:t>
      </w:r>
      <w:r>
        <w:rPr>
          <w:rFonts w:hint="eastAsia" w:ascii="仿宋" w:hAnsi="仿宋" w:eastAsia="仿宋" w:cs="仿宋"/>
          <w:snapToGrid w:val="0"/>
          <w:color w:val="auto"/>
          <w:spacing w:val="0"/>
          <w:sz w:val="24"/>
          <w:szCs w:val="24"/>
        </w:rPr>
        <w:t>授信申请，企业按照我行授信调查的相关规定提供申请资料</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val="en-US" w:eastAsia="zh-CN"/>
        </w:rPr>
        <w:t>3、</w:t>
      </w:r>
      <w:r>
        <w:rPr>
          <w:rFonts w:hint="eastAsia" w:ascii="仿宋" w:hAnsi="仿宋" w:eastAsia="仿宋" w:cs="仿宋"/>
          <w:snapToGrid w:val="0"/>
          <w:color w:val="auto"/>
          <w:spacing w:val="0"/>
          <w:sz w:val="24"/>
          <w:szCs w:val="24"/>
        </w:rPr>
        <w:t>授信调查与额度核定，客户经理双人调查，发起客户评级，并按流程提交审批</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val="en-US" w:eastAsia="zh-CN"/>
        </w:rPr>
        <w:t>4、</w:t>
      </w:r>
      <w:r>
        <w:rPr>
          <w:rFonts w:hint="eastAsia" w:ascii="仿宋" w:hAnsi="仿宋" w:eastAsia="仿宋" w:cs="仿宋"/>
          <w:snapToGrid w:val="0"/>
          <w:color w:val="auto"/>
          <w:spacing w:val="0"/>
          <w:sz w:val="24"/>
          <w:szCs w:val="24"/>
        </w:rPr>
        <w:t>授信审查审批</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val="en-US" w:eastAsia="zh-CN"/>
        </w:rPr>
        <w:t>5、</w:t>
      </w:r>
      <w:r>
        <w:rPr>
          <w:rFonts w:hint="eastAsia" w:ascii="仿宋" w:hAnsi="仿宋" w:eastAsia="仿宋" w:cs="仿宋"/>
          <w:snapToGrid w:val="0"/>
          <w:color w:val="auto"/>
          <w:spacing w:val="0"/>
          <w:sz w:val="24"/>
          <w:szCs w:val="24"/>
        </w:rPr>
        <w:t>按照要求出账</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主管行长：李文强18137865269</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具体负责人：何俊杰13838894026</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信贷经理：姜晓凤15103799119</w:t>
      </w: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snapToGrid w:val="0"/>
          <w:color w:val="auto"/>
          <w:spacing w:val="0"/>
          <w:sz w:val="24"/>
          <w:szCs w:val="24"/>
        </w:rPr>
      </w:pP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中信银行洛阳分行”政采贷”</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kern w:val="0"/>
          <w:sz w:val="24"/>
          <w:szCs w:val="24"/>
          <w:lang w:bidi="ar"/>
        </w:rPr>
        <w:t>一、产品释义</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kern w:val="0"/>
          <w:sz w:val="24"/>
          <w:szCs w:val="24"/>
          <w:lang w:bidi="ar"/>
        </w:rPr>
        <w:t>“政采贷”是中信银行为政府采购中标小微企业提供的特色融资业务，致力于解决政府采购上游供应商的融资难题。</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kern w:val="0"/>
          <w:sz w:val="24"/>
          <w:szCs w:val="24"/>
          <w:lang w:bidi="ar"/>
        </w:rPr>
        <w:t>二、产品特点</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kern w:val="0"/>
          <w:sz w:val="24"/>
          <w:szCs w:val="24"/>
          <w:lang w:bidi="ar"/>
        </w:rPr>
        <w:t>授信额度高、授信期限长、担保方式活</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kern w:val="0"/>
          <w:sz w:val="24"/>
          <w:szCs w:val="24"/>
          <w:lang w:bidi="ar"/>
        </w:rPr>
        <w:t>三、产品内容</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kern w:val="0"/>
          <w:sz w:val="24"/>
          <w:szCs w:val="24"/>
          <w:lang w:bidi="ar"/>
        </w:rPr>
        <w:t>金额最高1000万元（含）、贷款期限最长1年（含）、无需抵质押物</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kern w:val="0"/>
          <w:sz w:val="24"/>
          <w:szCs w:val="24"/>
          <w:lang w:bidi="ar"/>
        </w:rPr>
        <w:t>四、申请基本条件</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kern w:val="0"/>
          <w:sz w:val="24"/>
          <w:szCs w:val="24"/>
          <w:lang w:bidi="ar"/>
        </w:rPr>
        <w:t>有固定的经营场所</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kern w:val="0"/>
          <w:sz w:val="24"/>
          <w:szCs w:val="24"/>
          <w:lang w:bidi="ar"/>
        </w:rPr>
        <w:t>信用记录良好，无不良、违法行为；</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kern w:val="0"/>
          <w:sz w:val="24"/>
          <w:szCs w:val="24"/>
          <w:lang w:bidi="ar"/>
        </w:rPr>
        <w:t>持续经营6个月（含）以上或实际控制人从业2年以上</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kern w:val="0"/>
          <w:sz w:val="24"/>
          <w:szCs w:val="24"/>
          <w:lang w:bidi="ar"/>
        </w:rPr>
        <w:t>从事政府采购活动1年以上；</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kern w:val="0"/>
          <w:sz w:val="24"/>
          <w:szCs w:val="24"/>
          <w:lang w:bidi="ar"/>
        </w:rPr>
        <w:t>具备政府采购投标资格且交易记录良好</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kern w:val="0"/>
          <w:sz w:val="24"/>
          <w:szCs w:val="24"/>
          <w:lang w:bidi="ar"/>
        </w:rPr>
        <w:t>采购项目符合国家产业政策和资源环保政策要求</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kern w:val="0"/>
          <w:sz w:val="24"/>
          <w:szCs w:val="24"/>
          <w:lang w:bidi="ar"/>
        </w:rPr>
        <w:t>五、申请资料</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kern w:val="0"/>
          <w:sz w:val="24"/>
          <w:szCs w:val="24"/>
          <w:lang w:bidi="ar"/>
        </w:rPr>
        <w:t>营业执照；实际控制人身份证件；经营情况资料；从事政府采购活动资料；近一年政府采购回款的银行流水</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b/>
          <w:snapToGrid w:val="0"/>
          <w:color w:val="auto"/>
          <w:spacing w:val="0"/>
          <w:kern w:val="0"/>
          <w:sz w:val="24"/>
          <w:szCs w:val="24"/>
          <w:lang w:bidi="ar"/>
        </w:rPr>
        <w:t>中信银行洛阳分行”政采贷”联系人：</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kern w:val="0"/>
          <w:sz w:val="24"/>
          <w:szCs w:val="24"/>
          <w:lang w:bidi="ar"/>
        </w:rPr>
        <w:t>高晋卿   洛阳分行副行长 18637127868</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kern w:val="0"/>
          <w:sz w:val="24"/>
          <w:szCs w:val="24"/>
          <w:lang w:bidi="ar"/>
        </w:rPr>
        <w:t>闫恺      洛阳分行普惠金融部总经理 15837959999</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kern w:val="0"/>
          <w:sz w:val="24"/>
          <w:szCs w:val="24"/>
          <w:lang w:bidi="ar"/>
        </w:rPr>
        <w:t>陈幽静   洛阳分行普惠金融部信贷经理  15838817353</w:t>
      </w:r>
    </w:p>
    <w:p>
      <w:pPr>
        <w:keepNext w:val="0"/>
        <w:keepLines w:val="0"/>
        <w:pageBreakBefore w:val="0"/>
        <w:widowControl/>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snapToGrid w:val="0"/>
          <w:color w:val="auto"/>
          <w:spacing w:val="0"/>
          <w:sz w:val="24"/>
          <w:szCs w:val="24"/>
        </w:rPr>
      </w:pP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洛阳银行“政采贷”</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（一）资料清单</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  1、借款人依法成立并有效存续的相关材料；</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  2、经政府采购项目中标的证明材料；</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  3、以往参加政府采购项目的履约情况；</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  4、其他洛阳银行认为需要提供的资料。</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（二）授信要素</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1、贷款额度：</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原则上不超过政府采购合同金额的70%。</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2、期限与还款方式：</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与政府采购合同中约定的结算周期、付款方式等相匹配。</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3、担保方式：</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法定代表人、实际控制人提供连带责任保证，放款前完成应收账款质押登记手续。</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（三）联系方式</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分管领导：陈经理 15837979663</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信贷经理、具体负责人：任经理 18738439998</w:t>
      </w: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4"/>
          <w:szCs w:val="24"/>
          <w:highlight w:val="yellow"/>
        </w:rPr>
      </w:pP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邮储银行政采贷</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贷款对象：</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1</w:t>
      </w:r>
      <w:r>
        <w:rPr>
          <w:rFonts w:hint="eastAsia" w:ascii="仿宋" w:hAnsi="仿宋" w:eastAsia="仿宋" w:cs="仿宋"/>
          <w:snapToGrid w:val="0"/>
          <w:color w:val="auto"/>
          <w:spacing w:val="0"/>
          <w:sz w:val="24"/>
          <w:szCs w:val="24"/>
          <w:lang w:eastAsia="zh-CN"/>
        </w:rPr>
        <w:t>、</w:t>
      </w:r>
      <w:r>
        <w:rPr>
          <w:rFonts w:hint="eastAsia" w:ascii="仿宋" w:hAnsi="仿宋" w:eastAsia="仿宋" w:cs="仿宋"/>
          <w:snapToGrid w:val="0"/>
          <w:color w:val="auto"/>
          <w:spacing w:val="0"/>
          <w:sz w:val="24"/>
          <w:szCs w:val="24"/>
        </w:rPr>
        <w:t>已获得省本级政府采购中标通知，具备履约能力；</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2</w:t>
      </w:r>
      <w:r>
        <w:rPr>
          <w:rFonts w:hint="eastAsia" w:ascii="仿宋" w:hAnsi="仿宋" w:eastAsia="仿宋" w:cs="仿宋"/>
          <w:snapToGrid w:val="0"/>
          <w:color w:val="auto"/>
          <w:spacing w:val="0"/>
          <w:sz w:val="24"/>
          <w:szCs w:val="24"/>
          <w:lang w:eastAsia="zh-CN"/>
        </w:rPr>
        <w:t>、</w:t>
      </w:r>
      <w:r>
        <w:rPr>
          <w:rFonts w:hint="eastAsia" w:ascii="仿宋" w:hAnsi="仿宋" w:eastAsia="仿宋" w:cs="仿宋"/>
          <w:snapToGrid w:val="0"/>
          <w:color w:val="auto"/>
          <w:spacing w:val="0"/>
          <w:sz w:val="24"/>
          <w:szCs w:val="24"/>
        </w:rPr>
        <w:t>企业在政府采购活动中与政府采购合作1年（含）以上；</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3</w:t>
      </w:r>
      <w:r>
        <w:rPr>
          <w:rFonts w:hint="eastAsia" w:ascii="仿宋" w:hAnsi="仿宋" w:eastAsia="仿宋" w:cs="仿宋"/>
          <w:snapToGrid w:val="0"/>
          <w:color w:val="auto"/>
          <w:spacing w:val="0"/>
          <w:sz w:val="24"/>
          <w:szCs w:val="24"/>
          <w:lang w:eastAsia="zh-CN"/>
        </w:rPr>
        <w:t>、</w:t>
      </w:r>
      <w:r>
        <w:rPr>
          <w:rFonts w:hint="eastAsia" w:ascii="仿宋" w:hAnsi="仿宋" w:eastAsia="仿宋" w:cs="仿宋"/>
          <w:snapToGrid w:val="0"/>
          <w:color w:val="auto"/>
          <w:spacing w:val="0"/>
          <w:sz w:val="24"/>
          <w:szCs w:val="24"/>
        </w:rPr>
        <w:t>在邮储银行开立回款专用账户。</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贷款要素：</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1</w:t>
      </w:r>
      <w:r>
        <w:rPr>
          <w:rFonts w:hint="eastAsia" w:ascii="仿宋" w:hAnsi="仿宋" w:eastAsia="仿宋" w:cs="仿宋"/>
          <w:snapToGrid w:val="0"/>
          <w:color w:val="auto"/>
          <w:spacing w:val="0"/>
          <w:sz w:val="24"/>
          <w:szCs w:val="24"/>
          <w:lang w:eastAsia="zh-CN"/>
        </w:rPr>
        <w:t>、</w:t>
      </w:r>
      <w:r>
        <w:rPr>
          <w:rFonts w:hint="eastAsia" w:ascii="仿宋" w:hAnsi="仿宋" w:eastAsia="仿宋" w:cs="仿宋"/>
          <w:snapToGrid w:val="0"/>
          <w:color w:val="auto"/>
          <w:spacing w:val="0"/>
          <w:sz w:val="24"/>
          <w:szCs w:val="24"/>
        </w:rPr>
        <w:t>纯信用；</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2</w:t>
      </w:r>
      <w:r>
        <w:rPr>
          <w:rFonts w:hint="eastAsia" w:ascii="仿宋" w:hAnsi="仿宋" w:eastAsia="仿宋" w:cs="仿宋"/>
          <w:snapToGrid w:val="0"/>
          <w:color w:val="auto"/>
          <w:spacing w:val="0"/>
          <w:sz w:val="24"/>
          <w:szCs w:val="24"/>
          <w:lang w:eastAsia="zh-CN"/>
        </w:rPr>
        <w:t>、</w:t>
      </w:r>
      <w:r>
        <w:rPr>
          <w:rFonts w:hint="eastAsia" w:ascii="仿宋" w:hAnsi="仿宋" w:eastAsia="仿宋" w:cs="仿宋"/>
          <w:snapToGrid w:val="0"/>
          <w:color w:val="auto"/>
          <w:spacing w:val="0"/>
          <w:sz w:val="24"/>
          <w:szCs w:val="24"/>
        </w:rPr>
        <w:t>额度高：可贷合同标的额70%，最高额度300万；</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3</w:t>
      </w:r>
      <w:r>
        <w:rPr>
          <w:rFonts w:hint="eastAsia" w:ascii="仿宋" w:hAnsi="仿宋" w:eastAsia="仿宋" w:cs="仿宋"/>
          <w:snapToGrid w:val="0"/>
          <w:color w:val="auto"/>
          <w:spacing w:val="0"/>
          <w:sz w:val="24"/>
          <w:szCs w:val="24"/>
          <w:lang w:eastAsia="zh-CN"/>
        </w:rPr>
        <w:t>、</w:t>
      </w:r>
      <w:r>
        <w:rPr>
          <w:rFonts w:hint="eastAsia" w:ascii="仿宋" w:hAnsi="仿宋" w:eastAsia="仿宋" w:cs="仿宋"/>
          <w:snapToGrid w:val="0"/>
          <w:color w:val="auto"/>
          <w:spacing w:val="0"/>
          <w:sz w:val="24"/>
          <w:szCs w:val="24"/>
        </w:rPr>
        <w:t>方便用：可一次性或分期还款</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联系方式：</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联系人：王玉辉    职务： 总经理</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b/>
          <w:bCs/>
          <w:snapToGrid w:val="0"/>
          <w:color w:val="auto"/>
          <w:spacing w:val="0"/>
          <w:sz w:val="24"/>
          <w:szCs w:val="24"/>
          <w:highlight w:val="yellow"/>
        </w:rPr>
      </w:pPr>
      <w:r>
        <w:rPr>
          <w:rFonts w:hint="eastAsia" w:ascii="仿宋" w:hAnsi="仿宋" w:eastAsia="仿宋" w:cs="仿宋"/>
          <w:snapToGrid w:val="0"/>
          <w:color w:val="auto"/>
          <w:spacing w:val="0"/>
          <w:sz w:val="24"/>
          <w:szCs w:val="24"/>
        </w:rPr>
        <w:t>电话：13598159333</w:t>
      </w: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4"/>
          <w:szCs w:val="24"/>
          <w:highlight w:val="yellow"/>
        </w:rPr>
      </w:pP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光大银行政采贷融资产品“政采易”</w:t>
      </w:r>
    </w:p>
    <w:p>
      <w:pPr>
        <w:pStyle w:val="16"/>
        <w:keepNext w:val="0"/>
        <w:keepLines w:val="0"/>
        <w:pageBreakBefore w:val="0"/>
        <w:widowControl/>
        <w:kinsoku/>
        <w:wordWrap/>
        <w:overflowPunct/>
        <w:topLinePunct w:val="0"/>
        <w:bidi w:val="0"/>
        <w:adjustRightInd/>
        <w:snapToGrid/>
        <w:spacing w:before="0" w:beforeAutospacing="0" w:after="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sz w:val="24"/>
          <w:szCs w:val="24"/>
          <w:lang w:bidi="ar"/>
        </w:rPr>
        <w:t>该业务单户授信金额在3000万元（含）以下，授信期限不超过合同约定付款日期后两个月且最长不超过3年。</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bCs/>
          <w:snapToGrid w:val="0"/>
          <w:color w:val="auto"/>
          <w:spacing w:val="0"/>
          <w:kern w:val="0"/>
          <w:sz w:val="24"/>
          <w:szCs w:val="24"/>
          <w:lang w:bidi="ar"/>
        </w:rPr>
      </w:pPr>
      <w:r>
        <w:rPr>
          <w:rFonts w:hint="eastAsia" w:ascii="仿宋" w:hAnsi="仿宋" w:eastAsia="仿宋" w:cs="仿宋"/>
          <w:b/>
          <w:bCs/>
          <w:snapToGrid w:val="0"/>
          <w:color w:val="auto"/>
          <w:spacing w:val="0"/>
          <w:kern w:val="0"/>
          <w:sz w:val="24"/>
          <w:szCs w:val="24"/>
          <w:lang w:bidi="ar"/>
        </w:rPr>
        <w:t>中标供应商准入条件：</w:t>
      </w:r>
    </w:p>
    <w:p>
      <w:pPr>
        <w:pStyle w:val="16"/>
        <w:keepNext w:val="0"/>
        <w:keepLines w:val="0"/>
        <w:pageBreakBefore w:val="0"/>
        <w:widowControl/>
        <w:kinsoku/>
        <w:wordWrap/>
        <w:overflowPunct/>
        <w:topLinePunct w:val="0"/>
        <w:bidi w:val="0"/>
        <w:adjustRightInd/>
        <w:snapToGrid/>
        <w:spacing w:before="0" w:beforeAutospacing="0" w:after="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lang w:bidi="ar"/>
        </w:rPr>
      </w:pPr>
      <w:r>
        <w:rPr>
          <w:rFonts w:hint="eastAsia" w:ascii="仿宋" w:hAnsi="仿宋" w:eastAsia="仿宋" w:cs="仿宋"/>
          <w:snapToGrid w:val="0"/>
          <w:color w:val="auto"/>
          <w:spacing w:val="0"/>
          <w:sz w:val="24"/>
          <w:szCs w:val="24"/>
          <w:lang w:bidi="ar"/>
        </w:rPr>
        <w:t>（一）具有独立承担民事责任的能力,有固定的经营场所；</w:t>
      </w:r>
    </w:p>
    <w:p>
      <w:pPr>
        <w:pStyle w:val="16"/>
        <w:keepNext w:val="0"/>
        <w:keepLines w:val="0"/>
        <w:pageBreakBefore w:val="0"/>
        <w:widowControl/>
        <w:kinsoku/>
        <w:wordWrap/>
        <w:overflowPunct/>
        <w:topLinePunct w:val="0"/>
        <w:bidi w:val="0"/>
        <w:adjustRightInd/>
        <w:snapToGrid/>
        <w:spacing w:before="0" w:beforeAutospacing="0" w:after="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sz w:val="24"/>
          <w:szCs w:val="24"/>
          <w:lang w:bidi="ar"/>
        </w:rPr>
        <w:t>（二）企业成立2（含）年以上，且实际控制人有3年以上实际行业经验，具有良好的纳税记录、工商登记记录；</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（三）企业具有履行合同所必需的设备和服务能力；</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（四）生产经营符合国家法律法规、产业政策和环境保护要求，符合我行信贷政策；</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（五）人行征信信息查询系统查询显示企业法人、法定代表人、主要经营者无重大不良记录；政府采购履约行为无不良记录；</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（六）中标供应商在我行信用评级应在B-级（含）以上，或单户授信敞口500万元以下客户适用《小额融易贷（结算类）业务打分卡》得分须不低于60分；</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（七）企业/企业法定代表人不在我行预警黑灰名单内；</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（八）我行要求的其他条件。</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联系方式：分管领导 ：王慧18837902280</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信贷经理：刘勇 18837995809</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具体负责人：营业部：刘天倚18569936044；王城路支行：张喆18637129167；西苑路支行：董继华18569935827；</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lang w:bidi="ar"/>
        </w:rPr>
      </w:pPr>
      <w:r>
        <w:rPr>
          <w:rFonts w:hint="eastAsia" w:ascii="仿宋" w:hAnsi="仿宋" w:eastAsia="仿宋" w:cs="仿宋"/>
          <w:snapToGrid w:val="0"/>
          <w:color w:val="auto"/>
          <w:spacing w:val="0"/>
          <w:kern w:val="0"/>
          <w:sz w:val="24"/>
          <w:szCs w:val="24"/>
          <w:lang w:bidi="ar"/>
        </w:rPr>
        <w:t>英才路支行：刘莎18569935682；珠江路支行：李相峰18569936389；华阳支行：张刚18624850206</w:t>
      </w: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4"/>
          <w:szCs w:val="24"/>
          <w:highlight w:val="yellow"/>
        </w:rPr>
      </w:pP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中原银行洛阳分行“政采贷”产品简介</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一、融资机构基本情况及联系人联系电话</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1</w:t>
      </w:r>
      <w:r>
        <w:rPr>
          <w:rFonts w:hint="eastAsia" w:ascii="仿宋" w:hAnsi="仿宋" w:eastAsia="仿宋" w:cs="仿宋"/>
          <w:snapToGrid w:val="0"/>
          <w:color w:val="auto"/>
          <w:spacing w:val="0"/>
          <w:sz w:val="24"/>
          <w:szCs w:val="24"/>
          <w:lang w:eastAsia="zh-CN"/>
        </w:rPr>
        <w:t>、</w:t>
      </w:r>
      <w:r>
        <w:rPr>
          <w:rFonts w:hint="eastAsia" w:ascii="仿宋" w:hAnsi="仿宋" w:eastAsia="仿宋" w:cs="仿宋"/>
          <w:snapToGrid w:val="0"/>
          <w:color w:val="auto"/>
          <w:spacing w:val="0"/>
          <w:sz w:val="24"/>
          <w:szCs w:val="24"/>
        </w:rPr>
        <w:t>融资入口：</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fldChar w:fldCharType="begin"/>
      </w:r>
      <w:r>
        <w:rPr>
          <w:rFonts w:hint="eastAsia" w:ascii="仿宋" w:hAnsi="仿宋" w:eastAsia="仿宋" w:cs="仿宋"/>
          <w:snapToGrid w:val="0"/>
          <w:color w:val="auto"/>
          <w:spacing w:val="0"/>
          <w:sz w:val="24"/>
          <w:szCs w:val="24"/>
        </w:rPr>
        <w:instrText xml:space="preserve"> HYPERLINK "http://www.zybank.com.cn/zyyh/gsyw55/xqyjr/xqyzcd/382690/index.html" </w:instrText>
      </w:r>
      <w:r>
        <w:rPr>
          <w:rFonts w:hint="eastAsia" w:ascii="仿宋" w:hAnsi="仿宋" w:eastAsia="仿宋" w:cs="仿宋"/>
          <w:snapToGrid w:val="0"/>
          <w:color w:val="auto"/>
          <w:spacing w:val="0"/>
          <w:sz w:val="24"/>
          <w:szCs w:val="24"/>
        </w:rPr>
        <w:fldChar w:fldCharType="separate"/>
      </w:r>
      <w:r>
        <w:rPr>
          <w:rStyle w:val="29"/>
          <w:rFonts w:hint="eastAsia" w:ascii="仿宋" w:hAnsi="仿宋" w:eastAsia="仿宋" w:cs="仿宋"/>
          <w:snapToGrid w:val="0"/>
          <w:color w:val="auto"/>
          <w:spacing w:val="0"/>
          <w:sz w:val="24"/>
          <w:szCs w:val="24"/>
        </w:rPr>
        <w:t>http://www.zybank.com.cn/zyyh/gsyw55/xqyjr/xqyzcd/382690/index.html</w:t>
      </w:r>
      <w:r>
        <w:rPr>
          <w:rFonts w:hint="eastAsia" w:ascii="仿宋" w:hAnsi="仿宋" w:eastAsia="仿宋" w:cs="仿宋"/>
          <w:snapToGrid w:val="0"/>
          <w:color w:val="auto"/>
          <w:spacing w:val="0"/>
          <w:sz w:val="24"/>
          <w:szCs w:val="24"/>
        </w:rPr>
        <w:fldChar w:fldCharType="end"/>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2</w:t>
      </w:r>
      <w:r>
        <w:rPr>
          <w:rFonts w:hint="eastAsia" w:ascii="仿宋" w:hAnsi="仿宋" w:eastAsia="仿宋" w:cs="仿宋"/>
          <w:snapToGrid w:val="0"/>
          <w:color w:val="auto"/>
          <w:spacing w:val="0"/>
          <w:sz w:val="24"/>
          <w:szCs w:val="24"/>
          <w:lang w:eastAsia="zh-CN"/>
        </w:rPr>
        <w:t>、</w:t>
      </w:r>
      <w:r>
        <w:rPr>
          <w:rFonts w:hint="eastAsia" w:ascii="仿宋" w:hAnsi="仿宋" w:eastAsia="仿宋" w:cs="仿宋"/>
          <w:snapToGrid w:val="0"/>
          <w:color w:val="auto"/>
          <w:spacing w:val="0"/>
          <w:sz w:val="24"/>
          <w:szCs w:val="24"/>
        </w:rPr>
        <w:t>融资机构业务人员信息列表：</w:t>
      </w:r>
    </w:p>
    <w:tbl>
      <w:tblPr>
        <w:tblStyle w:val="19"/>
        <w:tblW w:w="49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6"/>
        <w:gridCol w:w="2096"/>
        <w:gridCol w:w="2280"/>
        <w:gridCol w:w="4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序号</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业务联系人</w:t>
            </w:r>
          </w:p>
        </w:tc>
        <w:tc>
          <w:tcPr>
            <w:tcW w:w="11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联系方式</w:t>
            </w:r>
          </w:p>
        </w:tc>
        <w:tc>
          <w:tcPr>
            <w:tcW w:w="22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1</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岳恒志</w:t>
            </w:r>
          </w:p>
        </w:tc>
        <w:tc>
          <w:tcPr>
            <w:tcW w:w="11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17737799828</w:t>
            </w:r>
          </w:p>
        </w:tc>
        <w:tc>
          <w:tcPr>
            <w:tcW w:w="22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洛阳市洛龙区长兴街66号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2</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许然涛</w:t>
            </w:r>
          </w:p>
        </w:tc>
        <w:tc>
          <w:tcPr>
            <w:tcW w:w="11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19903896628</w:t>
            </w:r>
          </w:p>
        </w:tc>
        <w:tc>
          <w:tcPr>
            <w:tcW w:w="22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洛阳市洛龙区长兴街66号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3</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柴碧林</w:t>
            </w:r>
          </w:p>
        </w:tc>
        <w:tc>
          <w:tcPr>
            <w:tcW w:w="11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13271555838</w:t>
            </w:r>
          </w:p>
        </w:tc>
        <w:tc>
          <w:tcPr>
            <w:tcW w:w="22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洛阳市洛龙区长兴街66号</w:t>
            </w:r>
          </w:p>
        </w:tc>
      </w:tr>
    </w:tbl>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二、融资流程及各环节办结时间</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客户通过“中原银行公司金融公众号”、“中原银行小微金融公众号”或“中原银行官方网站”等渠道申请即可办理。对于申报资料齐全，符合标准的业务，5个工作日即可完成审查审批。</w:t>
      </w:r>
    </w:p>
    <w:p>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color w:val="auto"/>
          <w:sz w:val="24"/>
          <w:szCs w:val="24"/>
        </w:rPr>
      </w:pP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lang w:val="en-US" w:eastAsia="zh-CN"/>
        </w:rPr>
      </w:pPr>
      <w:r>
        <w:rPr>
          <w:rFonts w:hint="eastAsia" w:ascii="仿宋" w:hAnsi="仿宋" w:eastAsia="仿宋" w:cs="仿宋"/>
          <w:b/>
          <w:bCs/>
          <w:snapToGrid w:val="0"/>
          <w:color w:val="auto"/>
          <w:spacing w:val="0"/>
          <w:sz w:val="28"/>
          <w:szCs w:val="28"/>
          <w:highlight w:val="none"/>
          <w:lang w:val="en-US" w:eastAsia="zh-CN"/>
        </w:rPr>
        <w:t>建设银行政府采购合同融资</w:t>
      </w: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lang w:eastAsia="zh-CN"/>
        </w:rPr>
      </w:pPr>
      <w:r>
        <w:rPr>
          <w:rFonts w:hint="eastAsia" w:ascii="仿宋" w:hAnsi="仿宋" w:eastAsia="仿宋" w:cs="仿宋"/>
          <w:b/>
          <w:bCs/>
          <w:snapToGrid w:val="0"/>
          <w:color w:val="auto"/>
          <w:spacing w:val="0"/>
          <w:sz w:val="28"/>
          <w:szCs w:val="28"/>
          <w:highlight w:val="none"/>
          <w:lang w:val="en-US" w:eastAsia="zh-CN"/>
        </w:rPr>
        <w:t>产品介绍及联系方式</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snapToGrid w:val="0"/>
          <w:color w:val="auto"/>
          <w:spacing w:val="0"/>
          <w:sz w:val="24"/>
          <w:szCs w:val="24"/>
        </w:rPr>
      </w:pPr>
      <w:r>
        <w:rPr>
          <w:rFonts w:hint="eastAsia" w:ascii="仿宋" w:hAnsi="仿宋" w:eastAsia="仿宋" w:cs="仿宋"/>
          <w:b/>
          <w:snapToGrid w:val="0"/>
          <w:color w:val="auto"/>
          <w:spacing w:val="0"/>
          <w:sz w:val="24"/>
          <w:szCs w:val="24"/>
        </w:rPr>
        <w:t>1、业务流程</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（1）采购人的采购资金纳入同级或以上政府财政预算。</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（2）供应商与政府采购部门签署采购合同。</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（3）采购合同在公开平台进行公示或者备案。</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（4）采购供应商依托采购合同，通过建行集团供应链平台申请融资。</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（5）建行核实贸易背景，按照采购合同金额的一定比例（考虑质押率）发放融资款项。</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（6）业务到期前，政府部门支付采购款项到建设银行指定的回款专户中。</w:t>
      </w:r>
    </w:p>
    <w:p>
      <w:pPr>
        <w:pStyle w:val="34"/>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snapToGrid w:val="0"/>
          <w:color w:val="auto"/>
          <w:spacing w:val="0"/>
          <w:kern w:val="2"/>
          <w:sz w:val="24"/>
          <w:szCs w:val="24"/>
        </w:rPr>
      </w:pPr>
      <w:r>
        <w:rPr>
          <w:rFonts w:hint="eastAsia" w:ascii="仿宋" w:hAnsi="仿宋" w:eastAsia="仿宋" w:cs="仿宋"/>
          <w:b/>
          <w:snapToGrid w:val="0"/>
          <w:color w:val="auto"/>
          <w:spacing w:val="0"/>
          <w:kern w:val="2"/>
          <w:sz w:val="24"/>
          <w:szCs w:val="24"/>
        </w:rPr>
        <w:t>2、产品优势</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（1）无抵押（依据政府采购合同及历史交易、履约信息作为授信依据）；</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（2）放款快（在线审批，快捷放款）；</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（3）额度高（单笔合同贷款金额最高3000万元）；</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（4）操作便捷（流程简捷，全线上化操作）；</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（5）还款灵活（支持多种还款付息方式，支持提前还款）；</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bCs/>
          <w:snapToGrid w:val="0"/>
          <w:color w:val="auto"/>
          <w:spacing w:val="0"/>
          <w:sz w:val="24"/>
          <w:szCs w:val="24"/>
        </w:rPr>
      </w:pPr>
      <w:r>
        <w:rPr>
          <w:rFonts w:hint="eastAsia" w:ascii="仿宋" w:hAnsi="仿宋" w:eastAsia="仿宋" w:cs="仿宋"/>
          <w:b/>
          <w:bCs/>
          <w:snapToGrid w:val="0"/>
          <w:color w:val="auto"/>
          <w:spacing w:val="0"/>
          <w:sz w:val="24"/>
          <w:szCs w:val="24"/>
        </w:rPr>
        <w:t>3、借款人基本条件</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（1）供应商经工商行政管理机关（或主管机关）核准登记的企业法人或个体工商户，有固定经营场所，合法经营。</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（2）供应商未纳入</w:t>
      </w:r>
      <w:bookmarkStart w:id="72" w:name="_Hlk11443363"/>
      <w:r>
        <w:rPr>
          <w:rFonts w:hint="eastAsia" w:ascii="仿宋" w:hAnsi="仿宋" w:eastAsia="仿宋" w:cs="仿宋"/>
          <w:snapToGrid w:val="0"/>
          <w:color w:val="auto"/>
          <w:spacing w:val="0"/>
          <w:sz w:val="24"/>
          <w:szCs w:val="24"/>
        </w:rPr>
        <w:t>政府采购严重违法失信行为记录名单</w:t>
      </w:r>
      <w:bookmarkEnd w:id="72"/>
      <w:r>
        <w:rPr>
          <w:rFonts w:hint="eastAsia" w:ascii="仿宋" w:hAnsi="仿宋" w:eastAsia="仿宋" w:cs="仿宋"/>
          <w:snapToGrid w:val="0"/>
          <w:color w:val="auto"/>
          <w:spacing w:val="0"/>
          <w:sz w:val="24"/>
          <w:szCs w:val="24"/>
        </w:rPr>
        <w:t>。</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（3）不存在我行反洗钱客户身份识别管理制度规定的禁止准入情形或停止业务关系的情形。</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（4）供应商企业具有持续经营能力，信用记录良好，近2年在中国人民银行企业征信系统无不良信用记录。</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（5）供应商企业主个人信用记录良好，近2年在中国人民银行个人征信系统个人逾期或欠息在30天（含）以内的次数不超过2（含）次，且不存在逾期或欠息在30天以上的信用记录。</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（6）供应商与采购人具有长期稳定合作关系，原则上要有2次及以上的历史政府采购中标记录。</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（7）供应商及采购人为本地注册企业。</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（8）供应商成立一年以上。</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（9）供应商具有明确的还款来源和风险缓释措施。</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b/>
          <w:bCs/>
          <w:snapToGrid w:val="0"/>
          <w:color w:val="auto"/>
          <w:spacing w:val="0"/>
          <w:sz w:val="24"/>
          <w:szCs w:val="24"/>
        </w:rPr>
        <w:t>4、申请路径：</w:t>
      </w:r>
      <w:r>
        <w:rPr>
          <w:rFonts w:hint="eastAsia" w:ascii="仿宋" w:hAnsi="仿宋" w:eastAsia="仿宋" w:cs="仿宋"/>
          <w:snapToGrid w:val="0"/>
          <w:color w:val="auto"/>
          <w:spacing w:val="0"/>
          <w:sz w:val="24"/>
          <w:szCs w:val="24"/>
        </w:rPr>
        <w:t>建行集团供应链平台</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b/>
          <w:bCs/>
          <w:snapToGrid w:val="0"/>
          <w:color w:val="auto"/>
          <w:spacing w:val="0"/>
          <w:sz w:val="24"/>
          <w:szCs w:val="24"/>
          <w:lang w:val="en-US" w:eastAsia="zh-CN"/>
        </w:rPr>
        <w:t>5、利率：</w:t>
      </w:r>
      <w:r>
        <w:rPr>
          <w:rFonts w:hint="eastAsia" w:ascii="仿宋" w:hAnsi="仿宋" w:eastAsia="仿宋" w:cs="仿宋"/>
          <w:snapToGrid w:val="0"/>
          <w:color w:val="auto"/>
          <w:spacing w:val="0"/>
          <w:sz w:val="24"/>
          <w:szCs w:val="24"/>
          <w:lang w:val="en-US" w:eastAsia="zh-CN"/>
        </w:rPr>
        <w:t>针对不同客户差别化定价，根据客户综合贡献度合理确定。</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val="0"/>
          <w:bCs w:val="0"/>
          <w:snapToGrid w:val="0"/>
          <w:color w:val="auto"/>
          <w:spacing w:val="0"/>
          <w:sz w:val="24"/>
          <w:szCs w:val="24"/>
          <w:lang w:val="en-US" w:eastAsia="zh-CN"/>
        </w:rPr>
      </w:pPr>
      <w:r>
        <w:rPr>
          <w:rFonts w:hint="eastAsia" w:ascii="仿宋" w:hAnsi="仿宋" w:eastAsia="仿宋" w:cs="仿宋"/>
          <w:b/>
          <w:bCs/>
          <w:snapToGrid w:val="0"/>
          <w:color w:val="auto"/>
          <w:spacing w:val="0"/>
          <w:sz w:val="24"/>
          <w:szCs w:val="24"/>
          <w:lang w:val="en-US" w:eastAsia="zh-CN"/>
        </w:rPr>
        <w:t>6、联系方式：</w:t>
      </w:r>
      <w:r>
        <w:rPr>
          <w:rFonts w:hint="eastAsia" w:ascii="仿宋" w:hAnsi="仿宋" w:eastAsia="仿宋" w:cs="仿宋"/>
          <w:b w:val="0"/>
          <w:bCs w:val="0"/>
          <w:snapToGrid w:val="0"/>
          <w:color w:val="auto"/>
          <w:spacing w:val="0"/>
          <w:sz w:val="24"/>
          <w:szCs w:val="24"/>
          <w:lang w:val="en-US" w:eastAsia="zh-CN"/>
        </w:rPr>
        <w:t>分管领导：马顺超13693835688</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b w:val="0"/>
          <w:bCs w:val="0"/>
          <w:snapToGrid w:val="0"/>
          <w:color w:val="auto"/>
          <w:spacing w:val="0"/>
          <w:sz w:val="24"/>
          <w:szCs w:val="24"/>
          <w:lang w:val="en-US" w:eastAsia="zh-CN"/>
        </w:rPr>
      </w:pPr>
      <w:r>
        <w:rPr>
          <w:rFonts w:hint="eastAsia" w:ascii="仿宋" w:hAnsi="仿宋" w:eastAsia="仿宋" w:cs="仿宋"/>
          <w:b w:val="0"/>
          <w:bCs w:val="0"/>
          <w:snapToGrid w:val="0"/>
          <w:color w:val="auto"/>
          <w:spacing w:val="0"/>
          <w:sz w:val="24"/>
          <w:szCs w:val="24"/>
          <w:lang w:val="en-US" w:eastAsia="zh-CN"/>
        </w:rPr>
        <w:t>信贷经理：张翠荣13937942294</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bCs/>
          <w:snapToGrid w:val="0"/>
          <w:color w:val="auto"/>
          <w:spacing w:val="0"/>
          <w:sz w:val="24"/>
          <w:szCs w:val="24"/>
          <w:highlight w:val="none"/>
        </w:rPr>
      </w:pPr>
      <w:r>
        <w:rPr>
          <w:rFonts w:hint="eastAsia" w:ascii="仿宋" w:hAnsi="仿宋" w:eastAsia="仿宋" w:cs="仿宋"/>
          <w:b/>
          <w:bCs/>
          <w:snapToGrid w:val="0"/>
          <w:color w:val="auto"/>
          <w:spacing w:val="0"/>
          <w:sz w:val="24"/>
          <w:szCs w:val="24"/>
          <w:highlight w:val="none"/>
        </w:rPr>
        <w:t>招商银行政府采购融资贷联系方式及融资产品介绍</w:t>
      </w:r>
    </w:p>
    <w:p>
      <w:pPr>
        <w:pStyle w:val="45"/>
        <w:keepNext w:val="0"/>
        <w:keepLines w:val="0"/>
        <w:pageBreakBefore w:val="0"/>
        <w:numPr>
          <w:ilvl w:val="0"/>
          <w:numId w:val="4"/>
        </w:numPr>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bCs/>
          <w:snapToGrid w:val="0"/>
          <w:color w:val="auto"/>
          <w:spacing w:val="0"/>
          <w:sz w:val="24"/>
          <w:szCs w:val="24"/>
        </w:rPr>
      </w:pPr>
      <w:r>
        <w:rPr>
          <w:rFonts w:hint="eastAsia" w:ascii="仿宋" w:hAnsi="仿宋" w:eastAsia="仿宋" w:cs="仿宋"/>
          <w:b/>
          <w:bCs/>
          <w:snapToGrid w:val="0"/>
          <w:color w:val="auto"/>
          <w:spacing w:val="0"/>
          <w:sz w:val="24"/>
          <w:szCs w:val="24"/>
        </w:rPr>
        <w:t>联系方式：</w:t>
      </w:r>
    </w:p>
    <w:tbl>
      <w:tblPr>
        <w:tblStyle w:val="19"/>
        <w:tblW w:w="5015" w:type="pct"/>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2298"/>
        <w:gridCol w:w="3933"/>
        <w:gridCol w:w="1641"/>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4" w:type="pct"/>
            <w:noWrap w:val="0"/>
            <w:vAlign w:val="center"/>
          </w:tcPr>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分管领导</w:t>
            </w:r>
          </w:p>
        </w:tc>
        <w:tc>
          <w:tcPr>
            <w:tcW w:w="1162" w:type="pct"/>
            <w:noWrap w:val="0"/>
            <w:vAlign w:val="center"/>
          </w:tcPr>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职务</w:t>
            </w:r>
          </w:p>
        </w:tc>
        <w:tc>
          <w:tcPr>
            <w:tcW w:w="1989" w:type="pct"/>
            <w:noWrap w:val="0"/>
            <w:vAlign w:val="center"/>
          </w:tcPr>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地址</w:t>
            </w:r>
          </w:p>
        </w:tc>
        <w:tc>
          <w:tcPr>
            <w:tcW w:w="830" w:type="pct"/>
            <w:noWrap w:val="0"/>
            <w:vAlign w:val="center"/>
          </w:tcPr>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电话</w:t>
            </w:r>
          </w:p>
        </w:tc>
        <w:tc>
          <w:tcPr>
            <w:tcW w:w="413" w:type="pct"/>
            <w:noWrap w:val="0"/>
            <w:vAlign w:val="center"/>
          </w:tcPr>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4" w:type="pct"/>
            <w:noWrap w:val="0"/>
            <w:vAlign w:val="center"/>
          </w:tcPr>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彭国庆</w:t>
            </w:r>
          </w:p>
        </w:tc>
        <w:tc>
          <w:tcPr>
            <w:tcW w:w="1162" w:type="pct"/>
            <w:noWrap w:val="0"/>
            <w:vAlign w:val="center"/>
          </w:tcPr>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公司业务分管行长</w:t>
            </w:r>
          </w:p>
        </w:tc>
        <w:tc>
          <w:tcPr>
            <w:tcW w:w="1989" w:type="pct"/>
            <w:noWrap w:val="0"/>
            <w:vAlign w:val="center"/>
          </w:tcPr>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洛阳市涧西区南昌路7号西苑大厦</w:t>
            </w:r>
          </w:p>
        </w:tc>
        <w:tc>
          <w:tcPr>
            <w:tcW w:w="830" w:type="pct"/>
            <w:noWrap w:val="0"/>
            <w:vAlign w:val="center"/>
          </w:tcPr>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15236667303</w:t>
            </w:r>
          </w:p>
        </w:tc>
        <w:tc>
          <w:tcPr>
            <w:tcW w:w="413" w:type="pct"/>
            <w:noWrap w:val="0"/>
            <w:vAlign w:val="center"/>
          </w:tcPr>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4" w:type="pct"/>
            <w:noWrap w:val="0"/>
            <w:vAlign w:val="center"/>
          </w:tcPr>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王伊宁</w:t>
            </w:r>
          </w:p>
        </w:tc>
        <w:tc>
          <w:tcPr>
            <w:tcW w:w="1162" w:type="pct"/>
            <w:noWrap w:val="0"/>
            <w:vAlign w:val="center"/>
          </w:tcPr>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客户经理</w:t>
            </w:r>
          </w:p>
        </w:tc>
        <w:tc>
          <w:tcPr>
            <w:tcW w:w="1989" w:type="pct"/>
            <w:noWrap w:val="0"/>
            <w:vAlign w:val="center"/>
          </w:tcPr>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洛阳市涧西区南昌路7号西苑大厦</w:t>
            </w:r>
          </w:p>
        </w:tc>
        <w:tc>
          <w:tcPr>
            <w:tcW w:w="830" w:type="pct"/>
            <w:noWrap w:val="0"/>
            <w:vAlign w:val="center"/>
          </w:tcPr>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13683861133</w:t>
            </w:r>
          </w:p>
        </w:tc>
        <w:tc>
          <w:tcPr>
            <w:tcW w:w="413" w:type="pct"/>
            <w:noWrap w:val="0"/>
            <w:vAlign w:val="center"/>
          </w:tcPr>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kern w:val="0"/>
                <w:sz w:val="24"/>
                <w:szCs w:val="24"/>
              </w:rPr>
            </w:pPr>
          </w:p>
        </w:tc>
      </w:tr>
    </w:tbl>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snapToGrid w:val="0"/>
          <w:color w:val="auto"/>
          <w:spacing w:val="0"/>
          <w:sz w:val="24"/>
          <w:szCs w:val="24"/>
          <w:lang w:bidi="ar"/>
        </w:rPr>
      </w:pPr>
      <w:r>
        <w:rPr>
          <w:rFonts w:hint="eastAsia" w:ascii="仿宋" w:hAnsi="仿宋" w:eastAsia="仿宋" w:cs="仿宋"/>
          <w:b/>
          <w:snapToGrid w:val="0"/>
          <w:color w:val="auto"/>
          <w:spacing w:val="0"/>
          <w:sz w:val="24"/>
          <w:szCs w:val="24"/>
          <w:lang w:bidi="ar"/>
        </w:rPr>
        <w:t>二、审批流程</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snapToGrid w:val="0"/>
          <w:color w:val="auto"/>
          <w:spacing w:val="0"/>
          <w:sz w:val="24"/>
          <w:szCs w:val="24"/>
          <w:lang w:bidi="ar"/>
        </w:rPr>
      </w:pPr>
      <w:r>
        <w:rPr>
          <w:rFonts w:hint="eastAsia" w:ascii="仿宋" w:hAnsi="仿宋" w:eastAsia="仿宋" w:cs="仿宋"/>
          <w:b/>
          <w:snapToGrid w:val="0"/>
          <w:color w:val="auto"/>
          <w:spacing w:val="0"/>
          <w:sz w:val="24"/>
          <w:szCs w:val="24"/>
          <w:lang w:bidi="ar"/>
        </w:rPr>
        <w:t>1、申请路径：</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lang w:bidi="ar"/>
        </w:rPr>
      </w:pPr>
      <w:r>
        <w:rPr>
          <w:rFonts w:hint="eastAsia" w:ascii="仿宋" w:hAnsi="仿宋" w:eastAsia="仿宋" w:cs="仿宋"/>
          <w:bCs/>
          <w:snapToGrid w:val="0"/>
          <w:color w:val="auto"/>
          <w:spacing w:val="0"/>
          <w:sz w:val="24"/>
          <w:szCs w:val="24"/>
          <w:lang w:bidi="ar"/>
        </w:rPr>
        <w:t>（1）</w:t>
      </w:r>
      <w:r>
        <w:rPr>
          <w:rFonts w:hint="eastAsia" w:ascii="仿宋" w:hAnsi="仿宋" w:eastAsia="仿宋" w:cs="仿宋"/>
          <w:snapToGrid w:val="0"/>
          <w:color w:val="auto"/>
          <w:spacing w:val="0"/>
          <w:sz w:val="24"/>
          <w:szCs w:val="24"/>
          <w:lang w:bidi="ar"/>
        </w:rPr>
        <w:t>手机扫描二维码申请</w:t>
      </w: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snapToGrid w:val="0"/>
          <w:color w:val="auto"/>
          <w:spacing w:val="0"/>
          <w:sz w:val="24"/>
          <w:szCs w:val="24"/>
          <w:lang w:bidi="ar"/>
        </w:rPr>
      </w:pPr>
      <w:r>
        <w:rPr>
          <w:rFonts w:hint="eastAsia" w:ascii="仿宋" w:hAnsi="仿宋" w:eastAsia="仿宋" w:cs="仿宋"/>
          <w:snapToGrid w:val="0"/>
          <w:color w:val="auto"/>
          <w:spacing w:val="0"/>
          <w:sz w:val="24"/>
          <w:szCs w:val="24"/>
        </w:rPr>
        <w:drawing>
          <wp:inline distT="0" distB="0" distL="114300" distR="114300">
            <wp:extent cx="1936750" cy="1568450"/>
            <wp:effectExtent l="0" t="0" r="635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936750" cy="1568450"/>
                    </a:xfrm>
                    <a:prstGeom prst="rect">
                      <a:avLst/>
                    </a:prstGeom>
                    <a:noFill/>
                    <a:ln>
                      <a:noFill/>
                    </a:ln>
                  </pic:spPr>
                </pic:pic>
              </a:graphicData>
            </a:graphic>
          </wp:inline>
        </w:drawing>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lang w:bidi="ar"/>
        </w:rPr>
      </w:pPr>
      <w:r>
        <w:rPr>
          <w:rFonts w:hint="eastAsia" w:ascii="仿宋" w:hAnsi="仿宋" w:eastAsia="仿宋" w:cs="仿宋"/>
          <w:snapToGrid w:val="0"/>
          <w:color w:val="auto"/>
          <w:spacing w:val="0"/>
          <w:sz w:val="24"/>
          <w:szCs w:val="24"/>
          <w:lang w:bidi="ar"/>
        </w:rPr>
        <w:t>（2）网页版申请</w:t>
      </w:r>
      <w:r>
        <w:rPr>
          <w:rFonts w:hint="eastAsia" w:ascii="仿宋" w:hAnsi="仿宋" w:eastAsia="仿宋" w:cs="仿宋"/>
          <w:snapToGrid w:val="0"/>
          <w:color w:val="auto"/>
          <w:spacing w:val="0"/>
          <w:sz w:val="24"/>
          <w:szCs w:val="24"/>
        </w:rPr>
        <w:fldChar w:fldCharType="begin"/>
      </w:r>
      <w:r>
        <w:rPr>
          <w:rFonts w:hint="eastAsia" w:ascii="仿宋" w:hAnsi="仿宋" w:eastAsia="仿宋" w:cs="仿宋"/>
          <w:snapToGrid w:val="0"/>
          <w:color w:val="auto"/>
          <w:spacing w:val="0"/>
          <w:sz w:val="24"/>
          <w:szCs w:val="24"/>
        </w:rPr>
        <w:instrText xml:space="preserve"> HYPERLINK "https://sme.cmbchina.com/" </w:instrText>
      </w:r>
      <w:r>
        <w:rPr>
          <w:rFonts w:hint="eastAsia" w:ascii="仿宋" w:hAnsi="仿宋" w:eastAsia="仿宋" w:cs="仿宋"/>
          <w:snapToGrid w:val="0"/>
          <w:color w:val="auto"/>
          <w:spacing w:val="0"/>
          <w:sz w:val="24"/>
          <w:szCs w:val="24"/>
        </w:rPr>
        <w:fldChar w:fldCharType="separate"/>
      </w:r>
      <w:r>
        <w:rPr>
          <w:rStyle w:val="29"/>
          <w:rFonts w:hint="eastAsia" w:ascii="仿宋" w:hAnsi="仿宋" w:eastAsia="仿宋" w:cs="仿宋"/>
          <w:snapToGrid w:val="0"/>
          <w:color w:val="auto"/>
          <w:spacing w:val="0"/>
          <w:sz w:val="24"/>
          <w:szCs w:val="24"/>
        </w:rPr>
        <w:t>https://sme.cmbchina.com/</w:t>
      </w:r>
      <w:r>
        <w:rPr>
          <w:rFonts w:hint="eastAsia" w:ascii="仿宋" w:hAnsi="仿宋" w:eastAsia="仿宋" w:cs="仿宋"/>
          <w:snapToGrid w:val="0"/>
          <w:color w:val="auto"/>
          <w:spacing w:val="0"/>
          <w:sz w:val="24"/>
          <w:szCs w:val="24"/>
        </w:rPr>
        <w:fldChar w:fldCharType="end"/>
      </w:r>
      <w:r>
        <w:rPr>
          <w:rFonts w:hint="eastAsia" w:ascii="仿宋" w:hAnsi="仿宋" w:eastAsia="仿宋" w:cs="仿宋"/>
          <w:snapToGrid w:val="0"/>
          <w:color w:val="auto"/>
          <w:spacing w:val="0"/>
          <w:sz w:val="24"/>
          <w:szCs w:val="24"/>
          <w:lang w:bidi="ar"/>
        </w:rPr>
        <w:t>；</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snapToGrid w:val="0"/>
          <w:color w:val="auto"/>
          <w:spacing w:val="0"/>
          <w:sz w:val="24"/>
          <w:szCs w:val="24"/>
          <w:lang w:bidi="ar"/>
        </w:rPr>
      </w:pPr>
      <w:r>
        <w:rPr>
          <w:rFonts w:hint="eastAsia" w:ascii="仿宋" w:hAnsi="仿宋" w:eastAsia="仿宋" w:cs="仿宋"/>
          <w:b/>
          <w:bCs/>
          <w:snapToGrid w:val="0"/>
          <w:color w:val="auto"/>
          <w:spacing w:val="0"/>
          <w:sz w:val="24"/>
          <w:szCs w:val="24"/>
          <w:lang w:bidi="ar"/>
        </w:rPr>
        <w:t>2、授信额度：</w:t>
      </w:r>
      <w:r>
        <w:rPr>
          <w:rFonts w:hint="eastAsia" w:ascii="仿宋" w:hAnsi="仿宋" w:eastAsia="仿宋" w:cs="仿宋"/>
          <w:snapToGrid w:val="0"/>
          <w:color w:val="auto"/>
          <w:spacing w:val="0"/>
          <w:sz w:val="24"/>
          <w:szCs w:val="24"/>
          <w:lang w:bidi="ar"/>
        </w:rPr>
        <w:t>基于政府采购中标总额和实际采购合同办理融资,额度最高可达到3000万，线上自助模式最高1000万；</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b/>
          <w:bCs/>
          <w:snapToGrid w:val="0"/>
          <w:color w:val="auto"/>
          <w:spacing w:val="0"/>
          <w:sz w:val="24"/>
          <w:szCs w:val="24"/>
          <w:lang w:bidi="ar"/>
        </w:rPr>
        <w:t>3、</w:t>
      </w:r>
      <w:r>
        <w:rPr>
          <w:rFonts w:hint="eastAsia" w:ascii="仿宋" w:hAnsi="仿宋" w:eastAsia="仿宋" w:cs="仿宋"/>
          <w:b/>
          <w:snapToGrid w:val="0"/>
          <w:color w:val="auto"/>
          <w:spacing w:val="0"/>
          <w:sz w:val="24"/>
          <w:szCs w:val="24"/>
          <w:lang w:bidi="ar"/>
        </w:rPr>
        <w:t>利率：</w:t>
      </w:r>
      <w:r>
        <w:rPr>
          <w:rFonts w:hint="eastAsia" w:ascii="仿宋" w:hAnsi="仿宋" w:eastAsia="仿宋" w:cs="仿宋"/>
          <w:snapToGrid w:val="0"/>
          <w:color w:val="auto"/>
          <w:spacing w:val="0"/>
          <w:sz w:val="24"/>
          <w:szCs w:val="24"/>
          <w:lang w:bidi="ar"/>
        </w:rPr>
        <w:t>为切实降低中小微企业融资成本，我行严格执行普惠金融利率政策，对符合标准的普惠小微贷款业务一定补贴优惠；</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bCs/>
          <w:snapToGrid w:val="0"/>
          <w:color w:val="auto"/>
          <w:spacing w:val="0"/>
          <w:sz w:val="24"/>
          <w:szCs w:val="24"/>
          <w:lang w:bidi="ar"/>
        </w:rPr>
      </w:pPr>
      <w:r>
        <w:rPr>
          <w:rFonts w:hint="eastAsia" w:ascii="仿宋" w:hAnsi="仿宋" w:eastAsia="仿宋" w:cs="仿宋"/>
          <w:b/>
          <w:bCs/>
          <w:snapToGrid w:val="0"/>
          <w:color w:val="auto"/>
          <w:spacing w:val="0"/>
          <w:sz w:val="24"/>
          <w:szCs w:val="24"/>
          <w:lang w:bidi="ar"/>
        </w:rPr>
        <w:t>4、风控措施：</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lang w:bidi="ar"/>
        </w:rPr>
      </w:pPr>
      <w:r>
        <w:rPr>
          <w:rFonts w:hint="eastAsia" w:ascii="仿宋" w:hAnsi="仿宋" w:eastAsia="仿宋" w:cs="仿宋"/>
          <w:snapToGrid w:val="0"/>
          <w:color w:val="auto"/>
          <w:spacing w:val="0"/>
          <w:sz w:val="24"/>
          <w:szCs w:val="24"/>
          <w:lang w:bidi="ar"/>
        </w:rPr>
        <w:t>（1）回款锁定——保证融资申请人在我行进行融资的政府采购商务合同所对应的回款账户为我行且唯一；</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lang w:bidi="ar"/>
        </w:rPr>
      </w:pPr>
      <w:r>
        <w:rPr>
          <w:rFonts w:hint="eastAsia" w:ascii="仿宋" w:hAnsi="仿宋" w:eastAsia="仿宋" w:cs="仿宋"/>
          <w:snapToGrid w:val="0"/>
          <w:color w:val="auto"/>
          <w:spacing w:val="0"/>
          <w:sz w:val="24"/>
          <w:szCs w:val="24"/>
          <w:lang w:bidi="ar"/>
        </w:rPr>
        <w:t>（2）在我行据以融资的商务合同项下的应收账款质押；</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lang w:bidi="ar"/>
        </w:rPr>
      </w:pPr>
      <w:r>
        <w:rPr>
          <w:rFonts w:hint="eastAsia" w:ascii="仿宋" w:hAnsi="仿宋" w:eastAsia="仿宋" w:cs="仿宋"/>
          <w:snapToGrid w:val="0"/>
          <w:color w:val="auto"/>
          <w:spacing w:val="0"/>
          <w:sz w:val="24"/>
          <w:szCs w:val="24"/>
          <w:lang w:bidi="ar"/>
        </w:rPr>
        <w:t>（3）实际控制人夫妇提供连带担保；</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snapToGrid w:val="0"/>
          <w:color w:val="auto"/>
          <w:spacing w:val="0"/>
          <w:sz w:val="24"/>
          <w:szCs w:val="24"/>
        </w:rPr>
      </w:pPr>
      <w:r>
        <w:rPr>
          <w:rFonts w:hint="eastAsia" w:ascii="仿宋" w:hAnsi="仿宋" w:eastAsia="仿宋" w:cs="仿宋"/>
          <w:b/>
          <w:snapToGrid w:val="0"/>
          <w:color w:val="auto"/>
          <w:spacing w:val="0"/>
          <w:sz w:val="24"/>
          <w:szCs w:val="24"/>
          <w:lang w:bidi="ar"/>
        </w:rPr>
        <w:t>5、客户准入</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bCs/>
          <w:snapToGrid w:val="0"/>
          <w:color w:val="auto"/>
          <w:spacing w:val="0"/>
          <w:sz w:val="24"/>
          <w:szCs w:val="24"/>
          <w:lang w:bidi="ar"/>
        </w:rPr>
        <w:t>（1）采购单位：</w:t>
      </w:r>
      <w:r>
        <w:rPr>
          <w:rFonts w:hint="eastAsia" w:ascii="仿宋" w:hAnsi="仿宋" w:eastAsia="仿宋" w:cs="仿宋"/>
          <w:snapToGrid w:val="0"/>
          <w:color w:val="auto"/>
          <w:spacing w:val="0"/>
          <w:sz w:val="24"/>
          <w:szCs w:val="24"/>
          <w:lang w:bidi="ar"/>
        </w:rPr>
        <w:t>区县及以上政府机构；由上述政府统筹付款的二甲以上公立医院、学校、科研机构等事业单位； 付款记录良好，无拖欠大额工程款、采购款、逃废银行债务等不良记录；</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bCs/>
          <w:snapToGrid w:val="0"/>
          <w:color w:val="auto"/>
          <w:spacing w:val="0"/>
          <w:sz w:val="24"/>
          <w:szCs w:val="24"/>
          <w:lang w:bidi="ar"/>
        </w:rPr>
        <w:t>（2）采购项目：</w:t>
      </w:r>
      <w:r>
        <w:rPr>
          <w:rFonts w:hint="eastAsia" w:ascii="仿宋" w:hAnsi="仿宋" w:eastAsia="仿宋" w:cs="仿宋"/>
          <w:snapToGrid w:val="0"/>
          <w:color w:val="auto"/>
          <w:spacing w:val="0"/>
          <w:sz w:val="24"/>
          <w:szCs w:val="24"/>
          <w:lang w:bidi="ar"/>
        </w:rPr>
        <w:t xml:space="preserve">优先支持货物类采购，稳妥介入服务类采购，审慎介入建设工程类采购； 未在他行办理以同一采购合同为贸易背景的融资业务； </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bCs/>
          <w:snapToGrid w:val="0"/>
          <w:color w:val="auto"/>
          <w:spacing w:val="0"/>
          <w:sz w:val="24"/>
          <w:szCs w:val="24"/>
        </w:rPr>
      </w:pPr>
      <w:r>
        <w:rPr>
          <w:rFonts w:hint="eastAsia" w:ascii="仿宋" w:hAnsi="仿宋" w:eastAsia="仿宋" w:cs="仿宋"/>
          <w:b/>
          <w:bCs/>
          <w:snapToGrid w:val="0"/>
          <w:color w:val="auto"/>
          <w:spacing w:val="0"/>
          <w:sz w:val="24"/>
          <w:szCs w:val="24"/>
        </w:rPr>
        <w:t>6、政采自助贷：</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bCs/>
          <w:snapToGrid w:val="0"/>
          <w:color w:val="auto"/>
          <w:spacing w:val="0"/>
          <w:sz w:val="24"/>
          <w:szCs w:val="24"/>
          <w:lang w:bidi="ar"/>
        </w:rPr>
      </w:pPr>
      <w:r>
        <w:rPr>
          <w:rFonts w:hint="eastAsia" w:ascii="仿宋" w:hAnsi="仿宋" w:eastAsia="仿宋" w:cs="仿宋"/>
          <w:bCs/>
          <w:snapToGrid w:val="0"/>
          <w:color w:val="auto"/>
          <w:spacing w:val="0"/>
          <w:sz w:val="24"/>
          <w:szCs w:val="24"/>
          <w:lang w:bidi="ar"/>
        </w:rPr>
        <w:t>（1）线上申请及预授信，额度最高1000万；</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bCs/>
          <w:snapToGrid w:val="0"/>
          <w:color w:val="auto"/>
          <w:spacing w:val="0"/>
          <w:sz w:val="24"/>
          <w:szCs w:val="24"/>
          <w:lang w:bidi="ar"/>
        </w:rPr>
      </w:pPr>
      <w:r>
        <w:rPr>
          <w:rFonts w:hint="eastAsia" w:ascii="仿宋" w:hAnsi="仿宋" w:eastAsia="仿宋" w:cs="仿宋"/>
          <w:bCs/>
          <w:snapToGrid w:val="0"/>
          <w:color w:val="auto"/>
          <w:spacing w:val="0"/>
          <w:sz w:val="24"/>
          <w:szCs w:val="24"/>
          <w:lang w:bidi="ar"/>
        </w:rPr>
        <w:t>（2）网银端线上自助提款，10分钟内即可到账；</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bCs/>
          <w:snapToGrid w:val="0"/>
          <w:color w:val="auto"/>
          <w:spacing w:val="0"/>
          <w:sz w:val="24"/>
          <w:szCs w:val="24"/>
          <w:lang w:bidi="ar"/>
        </w:rPr>
      </w:pPr>
      <w:r>
        <w:rPr>
          <w:rFonts w:hint="eastAsia" w:ascii="仿宋" w:hAnsi="仿宋" w:eastAsia="仿宋" w:cs="仿宋"/>
          <w:bCs/>
          <w:snapToGrid w:val="0"/>
          <w:color w:val="auto"/>
          <w:spacing w:val="0"/>
          <w:sz w:val="24"/>
          <w:szCs w:val="24"/>
          <w:lang w:bidi="ar"/>
        </w:rPr>
        <w:t>（3）基于政府采购中标总额和实际采购合同办理融资, 融资比例最高可达合同金额的80%；</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bCs/>
          <w:snapToGrid w:val="0"/>
          <w:color w:val="auto"/>
          <w:spacing w:val="0"/>
          <w:sz w:val="24"/>
          <w:szCs w:val="24"/>
          <w:lang w:bidi="ar"/>
        </w:rPr>
      </w:pPr>
      <w:r>
        <w:rPr>
          <w:rFonts w:hint="eastAsia" w:ascii="仿宋" w:hAnsi="仿宋" w:eastAsia="仿宋" w:cs="仿宋"/>
          <w:bCs/>
          <w:snapToGrid w:val="0"/>
          <w:color w:val="auto"/>
          <w:spacing w:val="0"/>
          <w:sz w:val="24"/>
          <w:szCs w:val="24"/>
          <w:lang w:bidi="ar"/>
        </w:rPr>
        <w:t>（4）利率优惠,线上可随借随还，更加符合政采供应商需求并降低企业成本。</w:t>
      </w: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Cs/>
          <w:snapToGrid w:val="0"/>
          <w:color w:val="auto"/>
          <w:spacing w:val="0"/>
          <w:sz w:val="24"/>
          <w:szCs w:val="24"/>
          <w:lang w:bidi="ar"/>
        </w:rPr>
      </w:pP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浦发银行政府采购融资贷联系方式及融资产品介绍</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snapToGrid w:val="0"/>
          <w:color w:val="auto"/>
          <w:spacing w:val="0"/>
          <w:sz w:val="24"/>
          <w:szCs w:val="24"/>
        </w:rPr>
      </w:pPr>
      <w:r>
        <w:rPr>
          <w:rFonts w:hint="eastAsia" w:ascii="仿宋" w:hAnsi="仿宋" w:eastAsia="仿宋" w:cs="仿宋"/>
          <w:b/>
          <w:snapToGrid w:val="0"/>
          <w:color w:val="auto"/>
          <w:spacing w:val="0"/>
          <w:sz w:val="24"/>
          <w:szCs w:val="24"/>
        </w:rPr>
        <w:t>一、联系方式</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2458"/>
        <w:gridCol w:w="2347"/>
        <w:gridCol w:w="1971"/>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5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联系人</w:t>
            </w:r>
          </w:p>
        </w:tc>
        <w:tc>
          <w:tcPr>
            <w:tcW w:w="12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职务</w:t>
            </w:r>
          </w:p>
        </w:tc>
        <w:tc>
          <w:tcPr>
            <w:tcW w:w="11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地址</w:t>
            </w:r>
          </w:p>
        </w:tc>
        <w:tc>
          <w:tcPr>
            <w:tcW w:w="10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电话</w:t>
            </w:r>
          </w:p>
        </w:tc>
        <w:tc>
          <w:tcPr>
            <w:tcW w:w="9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苏冰</w:t>
            </w:r>
          </w:p>
        </w:tc>
        <w:tc>
          <w:tcPr>
            <w:tcW w:w="12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高级产品经理</w:t>
            </w:r>
          </w:p>
        </w:tc>
        <w:tc>
          <w:tcPr>
            <w:tcW w:w="11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洛阳市洛龙区展览路211号</w:t>
            </w:r>
          </w:p>
        </w:tc>
        <w:tc>
          <w:tcPr>
            <w:tcW w:w="10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18623790623</w:t>
            </w:r>
          </w:p>
        </w:tc>
        <w:tc>
          <w:tcPr>
            <w:tcW w:w="9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微信同手机号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汪乐阳</w:t>
            </w:r>
          </w:p>
        </w:tc>
        <w:tc>
          <w:tcPr>
            <w:tcW w:w="12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普惠金融部总经理</w:t>
            </w:r>
          </w:p>
        </w:tc>
        <w:tc>
          <w:tcPr>
            <w:tcW w:w="11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洛阳市洛龙区展览路211号</w:t>
            </w:r>
          </w:p>
        </w:tc>
        <w:tc>
          <w:tcPr>
            <w:tcW w:w="10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13698889966</w:t>
            </w:r>
          </w:p>
        </w:tc>
        <w:tc>
          <w:tcPr>
            <w:tcW w:w="9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微信同手机号</w:t>
            </w:r>
          </w:p>
        </w:tc>
      </w:tr>
    </w:tbl>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snapToGrid w:val="0"/>
          <w:color w:val="auto"/>
          <w:spacing w:val="0"/>
          <w:sz w:val="24"/>
          <w:szCs w:val="24"/>
        </w:rPr>
      </w:pPr>
      <w:r>
        <w:rPr>
          <w:rFonts w:hint="eastAsia" w:ascii="仿宋" w:hAnsi="仿宋" w:eastAsia="仿宋" w:cs="仿宋"/>
          <w:b/>
          <w:snapToGrid w:val="0"/>
          <w:color w:val="auto"/>
          <w:spacing w:val="0"/>
          <w:sz w:val="24"/>
          <w:szCs w:val="24"/>
        </w:rPr>
        <w:t>二、融资产品介绍</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在您中标政府采购项目，从合同(订单)生效到最终收款期间，有没有因采购原材料、生产产品等产生资金压力，存在融资需求的情况？</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bCs/>
          <w:snapToGrid w:val="0"/>
          <w:color w:val="auto"/>
          <w:spacing w:val="0"/>
          <w:kern w:val="0"/>
          <w:sz w:val="24"/>
          <w:szCs w:val="24"/>
        </w:rPr>
      </w:pPr>
      <w:r>
        <w:rPr>
          <w:rFonts w:hint="eastAsia" w:ascii="仿宋" w:hAnsi="仿宋" w:eastAsia="仿宋" w:cs="仿宋"/>
          <w:b/>
          <w:bCs/>
          <w:snapToGrid w:val="0"/>
          <w:color w:val="auto"/>
          <w:spacing w:val="0"/>
          <w:kern w:val="0"/>
          <w:sz w:val="24"/>
          <w:szCs w:val="24"/>
        </w:rPr>
        <w:t>（一）产品介绍：</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“政采e贷”是由洛阳市财政局与浦发银行共同开发，基于政府采购合同，为供应商提供的信用贷款。</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b/>
          <w:bCs/>
          <w:snapToGrid w:val="0"/>
          <w:color w:val="auto"/>
          <w:spacing w:val="0"/>
          <w:kern w:val="0"/>
          <w:sz w:val="24"/>
          <w:szCs w:val="24"/>
        </w:rPr>
        <w:t>（二）产品优势：</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720" w:firstLineChars="300"/>
        <w:jc w:val="left"/>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1、融资期限最长可达1年。</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720" w:firstLineChars="300"/>
        <w:jc w:val="left"/>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2、货物、服务类最高1000万元，工程类最高1500万元。</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720" w:firstLineChars="300"/>
        <w:jc w:val="left"/>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3、信用贷款，低门槛，循环额度，随借随还。</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720" w:firstLineChars="300"/>
        <w:jc w:val="left"/>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4、业务流程简单，在线秒级放款，尊享快捷体验。</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720" w:firstLineChars="300"/>
        <w:jc w:val="left"/>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5、总行补贴，融资利率有优惠。</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b/>
          <w:bCs/>
          <w:snapToGrid w:val="0"/>
          <w:color w:val="auto"/>
          <w:spacing w:val="0"/>
          <w:kern w:val="0"/>
          <w:sz w:val="24"/>
          <w:szCs w:val="24"/>
        </w:rPr>
        <w:t>（三）适用客户：</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720" w:firstLineChars="300"/>
        <w:jc w:val="left"/>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1、在河南省境内注册的供应商，未列入河南省政府采购供应商黑名单。</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720" w:firstLineChars="300"/>
        <w:jc w:val="left"/>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2、人民银行征信系统无逾期、垫款等情况，且无其他不良信用记录。</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720" w:firstLineChars="300"/>
        <w:jc w:val="left"/>
        <w:textAlignment w:val="auto"/>
        <w:rPr>
          <w:rFonts w:hint="eastAsia" w:ascii="仿宋" w:hAnsi="仿宋" w:eastAsia="仿宋" w:cs="仿宋"/>
          <w:b/>
          <w:snapToGrid w:val="0"/>
          <w:color w:val="auto"/>
          <w:spacing w:val="0"/>
          <w:kern w:val="0"/>
          <w:sz w:val="24"/>
          <w:szCs w:val="24"/>
        </w:rPr>
      </w:pPr>
      <w:r>
        <w:rPr>
          <w:rFonts w:hint="eastAsia" w:ascii="仿宋" w:hAnsi="仿宋" w:eastAsia="仿宋" w:cs="仿宋"/>
          <w:snapToGrid w:val="0"/>
          <w:color w:val="auto"/>
          <w:spacing w:val="0"/>
          <w:kern w:val="0"/>
          <w:sz w:val="24"/>
          <w:szCs w:val="24"/>
        </w:rPr>
        <w:t>3、</w:t>
      </w:r>
      <w:r>
        <w:rPr>
          <w:rFonts w:hint="eastAsia" w:ascii="仿宋" w:hAnsi="仿宋" w:eastAsia="仿宋" w:cs="仿宋"/>
          <w:b/>
          <w:snapToGrid w:val="0"/>
          <w:color w:val="auto"/>
          <w:spacing w:val="0"/>
          <w:kern w:val="0"/>
          <w:sz w:val="24"/>
          <w:szCs w:val="24"/>
        </w:rPr>
        <w:t>政府采购中标区域：</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843" w:firstLineChars="350"/>
        <w:jc w:val="left"/>
        <w:textAlignment w:val="auto"/>
        <w:rPr>
          <w:rFonts w:hint="eastAsia" w:ascii="仿宋" w:hAnsi="仿宋" w:eastAsia="仿宋" w:cs="仿宋"/>
          <w:b/>
          <w:snapToGrid w:val="0"/>
          <w:color w:val="auto"/>
          <w:spacing w:val="0"/>
          <w:kern w:val="0"/>
          <w:sz w:val="24"/>
          <w:szCs w:val="24"/>
        </w:rPr>
      </w:pPr>
      <w:r>
        <w:rPr>
          <w:rFonts w:hint="eastAsia" w:ascii="仿宋" w:hAnsi="仿宋" w:eastAsia="仿宋" w:cs="仿宋"/>
          <w:b/>
          <w:snapToGrid w:val="0"/>
          <w:color w:val="auto"/>
          <w:spacing w:val="0"/>
          <w:kern w:val="0"/>
          <w:sz w:val="24"/>
          <w:szCs w:val="24"/>
        </w:rPr>
        <w:t>（1）河南省省直、郑州市（含市内各区）项目</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843" w:firstLineChars="350"/>
        <w:jc w:val="left"/>
        <w:textAlignment w:val="auto"/>
        <w:rPr>
          <w:rFonts w:hint="eastAsia" w:ascii="仿宋" w:hAnsi="仿宋" w:eastAsia="仿宋" w:cs="仿宋"/>
          <w:b/>
          <w:snapToGrid w:val="0"/>
          <w:color w:val="auto"/>
          <w:spacing w:val="0"/>
          <w:kern w:val="0"/>
          <w:sz w:val="24"/>
          <w:szCs w:val="24"/>
        </w:rPr>
      </w:pPr>
      <w:r>
        <w:rPr>
          <w:rFonts w:hint="eastAsia" w:ascii="仿宋" w:hAnsi="仿宋" w:eastAsia="仿宋" w:cs="仿宋"/>
          <w:b/>
          <w:snapToGrid w:val="0"/>
          <w:color w:val="auto"/>
          <w:spacing w:val="0"/>
          <w:kern w:val="0"/>
          <w:sz w:val="24"/>
          <w:szCs w:val="24"/>
        </w:rPr>
        <w:t>（2）洛阳市市直项目</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843" w:firstLineChars="350"/>
        <w:jc w:val="left"/>
        <w:textAlignment w:val="auto"/>
        <w:rPr>
          <w:rFonts w:hint="eastAsia" w:ascii="仿宋" w:hAnsi="仿宋" w:eastAsia="仿宋" w:cs="仿宋"/>
          <w:b/>
          <w:snapToGrid w:val="0"/>
          <w:color w:val="auto"/>
          <w:spacing w:val="0"/>
          <w:kern w:val="0"/>
          <w:sz w:val="24"/>
          <w:szCs w:val="24"/>
        </w:rPr>
      </w:pPr>
      <w:r>
        <w:rPr>
          <w:rFonts w:hint="eastAsia" w:ascii="仿宋" w:hAnsi="仿宋" w:eastAsia="仿宋" w:cs="仿宋"/>
          <w:b/>
          <w:snapToGrid w:val="0"/>
          <w:color w:val="auto"/>
          <w:spacing w:val="0"/>
          <w:kern w:val="0"/>
          <w:sz w:val="24"/>
          <w:szCs w:val="24"/>
        </w:rPr>
        <w:t>（3）河南其他地市市直项目</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843" w:firstLineChars="350"/>
        <w:jc w:val="left"/>
        <w:textAlignment w:val="auto"/>
        <w:rPr>
          <w:rFonts w:hint="eastAsia" w:ascii="仿宋" w:hAnsi="仿宋" w:eastAsia="仿宋" w:cs="仿宋"/>
          <w:b/>
          <w:snapToGrid w:val="0"/>
          <w:color w:val="auto"/>
          <w:spacing w:val="0"/>
          <w:kern w:val="0"/>
          <w:sz w:val="24"/>
          <w:szCs w:val="24"/>
        </w:rPr>
      </w:pPr>
      <w:r>
        <w:rPr>
          <w:rFonts w:hint="eastAsia" w:ascii="仿宋" w:hAnsi="仿宋" w:eastAsia="仿宋" w:cs="仿宋"/>
          <w:b/>
          <w:snapToGrid w:val="0"/>
          <w:color w:val="auto"/>
          <w:spacing w:val="0"/>
          <w:kern w:val="0"/>
          <w:sz w:val="24"/>
          <w:szCs w:val="24"/>
        </w:rPr>
        <w:t>（4）林州、长垣、新郑、禹州中标项目。</w:t>
      </w:r>
    </w:p>
    <w:p>
      <w:pPr>
        <w:keepNext w:val="0"/>
        <w:keepLines w:val="0"/>
        <w:pageBreakBefore w:val="0"/>
        <w:widowControl/>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bCs/>
          <w:snapToGrid w:val="0"/>
          <w:color w:val="auto"/>
          <w:spacing w:val="0"/>
          <w:kern w:val="0"/>
          <w:sz w:val="24"/>
          <w:szCs w:val="24"/>
        </w:rPr>
      </w:pPr>
      <w:r>
        <w:rPr>
          <w:rFonts w:hint="eastAsia" w:ascii="仿宋" w:hAnsi="仿宋" w:eastAsia="仿宋" w:cs="仿宋"/>
          <w:b/>
          <w:bCs/>
          <w:snapToGrid w:val="0"/>
          <w:color w:val="auto"/>
          <w:spacing w:val="0"/>
          <w:kern w:val="0"/>
          <w:sz w:val="24"/>
          <w:szCs w:val="24"/>
        </w:rPr>
        <w:t>（四）申请路径</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720" w:firstLineChars="300"/>
        <w:jc w:val="left"/>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1、供应商首先与联系人联系，提供企业基本证件、征信报告、中标合同、采购合同等进行客户准入和额度测算。</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720" w:firstLineChars="300"/>
        <w:jc w:val="left"/>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2、供应商来浦发银行开户，在政府采购合同中填写浦发银行账号。</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720" w:firstLineChars="300"/>
        <w:jc w:val="left"/>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（若客户已签署其他银行账号，则需要联系浦发银行进行备案银行账号变更）</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720" w:firstLineChars="300"/>
        <w:jc w:val="left"/>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kern w:val="0"/>
          <w:sz w:val="24"/>
          <w:szCs w:val="24"/>
        </w:rPr>
        <w:t>3、授信审查和放款（资料齐全一周时间）</w:t>
      </w: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snapToGrid w:val="0"/>
          <w:color w:val="auto"/>
          <w:spacing w:val="0"/>
          <w:sz w:val="24"/>
          <w:szCs w:val="24"/>
        </w:rPr>
      </w:pP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yellow"/>
        </w:rPr>
      </w:pPr>
      <w:r>
        <w:rPr>
          <w:rFonts w:hint="eastAsia" w:ascii="仿宋" w:hAnsi="仿宋" w:eastAsia="仿宋" w:cs="仿宋"/>
          <w:b/>
          <w:bCs/>
          <w:snapToGrid w:val="0"/>
          <w:color w:val="auto"/>
          <w:spacing w:val="0"/>
          <w:sz w:val="28"/>
          <w:szCs w:val="28"/>
          <w:highlight w:val="none"/>
        </w:rPr>
        <w:t>交通银行政府采购融资贷联系方式及融资产品介绍</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交通银行针对政府采购供应商中的小微企业推出的，以未来应收账款作为质押、以财政性资金作为还款来源的融资业务。凡参与过政府采购历史的中标企业，即可提前在我行预申请融资额度，中标且签订采购合同后可随时提用。我行具有绿色批复通道、授信额度高、免抵押担保、期限长等优势。</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负责人：周贯超     联系方式：15538830369</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联系人：顾  伟     联系方式：18037558778</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1440" w:firstLineChars="6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魏柴扉</w:t>
      </w:r>
      <w:r>
        <w:rPr>
          <w:rFonts w:hint="eastAsia" w:ascii="仿宋" w:hAnsi="仿宋" w:eastAsia="仿宋" w:cs="仿宋"/>
          <w:snapToGrid w:val="0"/>
          <w:color w:val="auto"/>
          <w:spacing w:val="0"/>
          <w:sz w:val="24"/>
          <w:szCs w:val="24"/>
          <w:lang w:val="en-US" w:eastAsia="zh-CN"/>
        </w:rPr>
        <w:t xml:space="preserve">     联系方式：</w:t>
      </w:r>
      <w:r>
        <w:rPr>
          <w:rFonts w:hint="eastAsia" w:ascii="仿宋" w:hAnsi="仿宋" w:eastAsia="仿宋" w:cs="仿宋"/>
          <w:snapToGrid w:val="0"/>
          <w:color w:val="auto"/>
          <w:spacing w:val="0"/>
          <w:sz w:val="24"/>
          <w:szCs w:val="24"/>
        </w:rPr>
        <w:t>18837923035</w:t>
      </w: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4"/>
          <w:szCs w:val="24"/>
          <w:highlight w:val="yellow"/>
        </w:rPr>
      </w:pP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洛阳农商银行“普惠政府采购贷”产品简介及联系人</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产品简介：“普惠政府采购贷”是指本行以政府采购诚信考核和信用审查为基础，凭借中小微企业供应商取得并提供的政府采购合同，依托省财政厅的电子化政府采购系统平台，按优于一般中小微企业的贷款利率及手续，直接向本行申请贷款的中小微企业发放的用于采购合同项下商品备货、生产和加工的贷款。以信用方式为主，追加供货商法定代表人或者实际控制人提供连带责任保证担保，融资额度不超过采购合同标的额的70%，贷款期限不超过1年，贷款利率原则上执行LPR上浮60%执行。</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b/>
          <w:bCs/>
          <w:snapToGrid w:val="0"/>
          <w:color w:val="auto"/>
          <w:spacing w:val="0"/>
          <w:sz w:val="24"/>
          <w:szCs w:val="24"/>
        </w:rPr>
        <w:t>分管领导：</w:t>
      </w:r>
      <w:r>
        <w:rPr>
          <w:rFonts w:hint="eastAsia" w:ascii="仿宋" w:hAnsi="仿宋" w:eastAsia="仿宋" w:cs="仿宋"/>
          <w:snapToGrid w:val="0"/>
          <w:color w:val="auto"/>
          <w:spacing w:val="0"/>
          <w:sz w:val="24"/>
          <w:szCs w:val="24"/>
        </w:rPr>
        <w:t>张学强 13083636800</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b/>
          <w:bCs/>
          <w:snapToGrid w:val="0"/>
          <w:color w:val="auto"/>
          <w:spacing w:val="0"/>
          <w:sz w:val="24"/>
          <w:szCs w:val="24"/>
        </w:rPr>
        <w:t>信贷经理：</w:t>
      </w:r>
      <w:r>
        <w:rPr>
          <w:rFonts w:hint="eastAsia" w:ascii="仿宋" w:hAnsi="仿宋" w:eastAsia="仿宋" w:cs="仿宋"/>
          <w:snapToGrid w:val="0"/>
          <w:color w:val="auto"/>
          <w:spacing w:val="0"/>
          <w:sz w:val="24"/>
          <w:szCs w:val="24"/>
        </w:rPr>
        <w:t>常洁   13721681719</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b/>
          <w:bCs/>
          <w:snapToGrid w:val="0"/>
          <w:color w:val="auto"/>
          <w:spacing w:val="0"/>
          <w:sz w:val="24"/>
          <w:szCs w:val="24"/>
        </w:rPr>
        <w:t>具体负责人：</w:t>
      </w:r>
      <w:r>
        <w:rPr>
          <w:rFonts w:hint="eastAsia" w:ascii="仿宋" w:hAnsi="仿宋" w:eastAsia="仿宋" w:cs="仿宋"/>
          <w:snapToGrid w:val="0"/>
          <w:color w:val="auto"/>
          <w:spacing w:val="0"/>
          <w:sz w:val="24"/>
          <w:szCs w:val="24"/>
        </w:rPr>
        <w:t>娄艳阁 13526989222</w:t>
      </w: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4"/>
          <w:szCs w:val="24"/>
          <w:highlight w:val="yellow"/>
        </w:rPr>
      </w:pP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农行洛阳分行政采贷</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1、产品定义：指境内购销双方签署订单后，农业银行以订单项下的预期销货款作为主要还款来源，为满足销货方在货物发运前因支付原材料采购款、组织生产、货物运输等资金需求而向其提供的短期融资。</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2、贷款期限：一年以内。</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3、适用对象：地市级（含）以上政府的采购部门统一组织的政府采购行为形成的订单等。</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val="en-US" w:eastAsia="zh-CN"/>
        </w:rPr>
        <w:t>4、</w:t>
      </w:r>
      <w:r>
        <w:rPr>
          <w:rFonts w:hint="eastAsia" w:ascii="仿宋" w:hAnsi="仿宋" w:eastAsia="仿宋" w:cs="仿宋"/>
          <w:snapToGrid w:val="0"/>
          <w:color w:val="auto"/>
          <w:spacing w:val="0"/>
          <w:sz w:val="24"/>
          <w:szCs w:val="24"/>
        </w:rPr>
        <w:t>办理条件：</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（1）在农行开立基本结算账户或一般结算账户。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（2）借款人符合国家产业政策及我行信贷政策，生产经营正常,具备购货方认可的供货能力。</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（3）订单项下商品属于销货方营业执照经营范围内，商品质量稳定，符合国家及行业标准。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（4）与购货方有两年以上稳定的供销关系，合作期间的履约交货记录及销售回款情况良好。</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（5）在金融机构无不良信用记录，或虽然有过不良信用记录，但不良信用记录的产生并非由于主观恶意且已全部偿还。</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val="en-US" w:eastAsia="zh-CN"/>
        </w:rPr>
        <w:t>5、</w:t>
      </w:r>
      <w:r>
        <w:rPr>
          <w:rFonts w:hint="eastAsia" w:ascii="仿宋" w:hAnsi="仿宋" w:eastAsia="仿宋" w:cs="仿宋"/>
          <w:snapToGrid w:val="0"/>
          <w:color w:val="auto"/>
          <w:spacing w:val="0"/>
          <w:sz w:val="24"/>
          <w:szCs w:val="24"/>
        </w:rPr>
        <w:t>业务流程：客户申请--银行调查--业务审查审批--合同签署--贷款发放。</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eastAsia="zh-CN"/>
        </w:rPr>
        <w:t>三、</w:t>
      </w:r>
      <w:r>
        <w:rPr>
          <w:rFonts w:hint="eastAsia" w:ascii="仿宋" w:hAnsi="仿宋" w:eastAsia="仿宋" w:cs="仿宋"/>
          <w:snapToGrid w:val="0"/>
          <w:color w:val="auto"/>
          <w:spacing w:val="0"/>
          <w:sz w:val="24"/>
          <w:szCs w:val="24"/>
        </w:rPr>
        <w:t>业务分管及联系人</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分管领导：蔡浩洋　18567663969</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客户经理：张琦颖　18567663732</w:t>
      </w: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snapToGrid w:val="0"/>
          <w:color w:val="auto"/>
          <w:spacing w:val="0"/>
          <w:sz w:val="24"/>
          <w:szCs w:val="24"/>
        </w:rPr>
      </w:pP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华夏银行洛阳分行“政采贷”产品介绍</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firstLine="482" w:firstLineChars="200"/>
        <w:jc w:val="both"/>
        <w:textAlignment w:val="auto"/>
        <w:rPr>
          <w:rFonts w:hint="eastAsia" w:ascii="仿宋" w:hAnsi="仿宋" w:eastAsia="仿宋" w:cs="仿宋"/>
          <w:b/>
          <w:bCs/>
          <w:snapToGrid w:val="0"/>
          <w:color w:val="auto"/>
          <w:spacing w:val="0"/>
          <w:sz w:val="24"/>
          <w:szCs w:val="24"/>
          <w:highlight w:val="none"/>
        </w:rPr>
      </w:pPr>
      <w:r>
        <w:rPr>
          <w:rFonts w:hint="eastAsia" w:ascii="仿宋" w:hAnsi="仿宋" w:eastAsia="仿宋" w:cs="仿宋"/>
          <w:b/>
          <w:bCs/>
          <w:snapToGrid w:val="0"/>
          <w:color w:val="auto"/>
          <w:spacing w:val="0"/>
          <w:sz w:val="24"/>
          <w:szCs w:val="24"/>
        </w:rPr>
        <w:t>产品特点</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融资便捷快捷</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线上提交融资申请，线上反馈审批额度</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审批手续简便</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审批手续及所需的资料相对简便</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融资比例合理</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最高融资比例可达订单金额的80%</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价格合理灵活</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按实际融资天数计息，低于同业平均水平</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还款灵活方便</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按期还息，到期还本，可提前部分还款或全部还款</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无需抵押担保</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凭订单即可申请，无需追加抵押担保</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bCs/>
          <w:snapToGrid w:val="0"/>
          <w:color w:val="auto"/>
          <w:spacing w:val="0"/>
          <w:sz w:val="24"/>
          <w:szCs w:val="24"/>
        </w:rPr>
      </w:pPr>
      <w:r>
        <w:rPr>
          <w:rFonts w:hint="eastAsia" w:ascii="仿宋" w:hAnsi="仿宋" w:eastAsia="仿宋" w:cs="仿宋"/>
          <w:b/>
          <w:bCs/>
          <w:snapToGrid w:val="0"/>
          <w:color w:val="auto"/>
          <w:spacing w:val="0"/>
          <w:sz w:val="24"/>
          <w:szCs w:val="24"/>
        </w:rPr>
        <w:t>申请条件和资料</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经工商形状管理机关（或主管机关）核准登记的企业法人或个体工商户，有固定经营场所，合法经营；</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企业为货物或服务类供应商；</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未纳入政府采购严重违法失信行为记录名单；</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企业近三年中标数不少于2次；</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企业具备与中标项目相匹配的生产或销售资质。</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b/>
          <w:bCs/>
          <w:snapToGrid w:val="0"/>
          <w:color w:val="auto"/>
          <w:spacing w:val="0"/>
          <w:sz w:val="24"/>
          <w:szCs w:val="24"/>
        </w:rPr>
        <w:t>申请资料：</w:t>
      </w:r>
      <w:r>
        <w:rPr>
          <w:rFonts w:hint="eastAsia" w:ascii="仿宋" w:hAnsi="仿宋" w:eastAsia="仿宋" w:cs="仿宋"/>
          <w:snapToGrid w:val="0"/>
          <w:color w:val="auto"/>
          <w:spacing w:val="0"/>
          <w:sz w:val="24"/>
          <w:szCs w:val="24"/>
        </w:rPr>
        <w:t>营业执照正副本、法人身份证</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b/>
          <w:bCs/>
          <w:snapToGrid w:val="0"/>
          <w:color w:val="auto"/>
          <w:spacing w:val="0"/>
          <w:sz w:val="24"/>
          <w:szCs w:val="24"/>
        </w:rPr>
        <w:t>申请流程：</w:t>
      </w:r>
      <w:r>
        <w:rPr>
          <w:rFonts w:hint="eastAsia" w:ascii="仿宋" w:hAnsi="仿宋" w:eastAsia="仿宋" w:cs="仿宋"/>
          <w:snapToGrid w:val="0"/>
          <w:color w:val="auto"/>
          <w:spacing w:val="0"/>
          <w:sz w:val="24"/>
          <w:szCs w:val="24"/>
        </w:rPr>
        <w:t>通过河南省政府采购网进入“华夏政采E贷”根据提示完成授信申请，系统审批通过后，前往网点开立企业账户及签订贷款协议，登陆“华夏政采贷”根据提示完成放款申请，系统审批通过后完成提款。</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b/>
          <w:bCs/>
          <w:snapToGrid w:val="0"/>
          <w:color w:val="auto"/>
          <w:spacing w:val="0"/>
          <w:sz w:val="24"/>
          <w:szCs w:val="24"/>
        </w:rPr>
        <w:t>联系方式：</w:t>
      </w:r>
      <w:r>
        <w:rPr>
          <w:rFonts w:hint="eastAsia" w:ascii="仿宋" w:hAnsi="仿宋" w:eastAsia="仿宋" w:cs="仿宋"/>
          <w:snapToGrid w:val="0"/>
          <w:color w:val="auto"/>
          <w:spacing w:val="0"/>
          <w:sz w:val="24"/>
          <w:szCs w:val="24"/>
        </w:rPr>
        <w:t>分管领导：马鲜平副行长</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部门经理：杜青青营销管理部经理13633790075</w:t>
      </w:r>
    </w:p>
    <w:p>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具体负责人联系方式：谢逸伦客户经理15038621500</w:t>
      </w: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4"/>
          <w:szCs w:val="24"/>
          <w:highlight w:val="yellow"/>
        </w:rPr>
      </w:pP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中国光大银行政府采购贷融资产品</w:t>
      </w:r>
    </w:p>
    <w:p>
      <w:pPr>
        <w:keepNext w:val="0"/>
        <w:keepLines w:val="0"/>
        <w:pageBreakBefore w:val="0"/>
        <w:kinsoku/>
        <w:wordWrap/>
        <w:overflowPunct/>
        <w:topLinePunct w:val="0"/>
        <w:bidi w:val="0"/>
        <w:adjustRightInd/>
        <w:snapToGrid/>
        <w:spacing w:beforeAutospacing="0" w:afterAutospacing="0" w:line="360" w:lineRule="auto"/>
        <w:jc w:val="center"/>
        <w:textAlignment w:val="auto"/>
        <w:rPr>
          <w:rFonts w:hint="eastAsia" w:ascii="仿宋" w:hAnsi="仿宋" w:eastAsia="仿宋" w:cs="仿宋"/>
          <w:b/>
          <w:bCs/>
          <w:snapToGrid w:val="0"/>
          <w:color w:val="auto"/>
          <w:spacing w:val="0"/>
          <w:sz w:val="28"/>
          <w:szCs w:val="28"/>
          <w:highlight w:val="none"/>
        </w:rPr>
      </w:pPr>
      <w:r>
        <w:rPr>
          <w:rFonts w:hint="eastAsia" w:ascii="仿宋" w:hAnsi="仿宋" w:eastAsia="仿宋" w:cs="仿宋"/>
          <w:b/>
          <w:bCs/>
          <w:snapToGrid w:val="0"/>
          <w:color w:val="auto"/>
          <w:spacing w:val="0"/>
          <w:sz w:val="28"/>
          <w:szCs w:val="28"/>
          <w:highlight w:val="none"/>
        </w:rPr>
        <w:t>介绍及联系方式</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bCs/>
          <w:snapToGrid w:val="0"/>
          <w:color w:val="auto"/>
          <w:spacing w:val="0"/>
          <w:sz w:val="24"/>
          <w:szCs w:val="24"/>
          <w:lang w:val="en-US" w:eastAsia="zh-CN"/>
        </w:rPr>
      </w:pPr>
      <w:r>
        <w:rPr>
          <w:rFonts w:hint="eastAsia" w:ascii="仿宋" w:hAnsi="仿宋" w:eastAsia="仿宋" w:cs="仿宋"/>
          <w:b/>
          <w:bCs/>
          <w:snapToGrid w:val="0"/>
          <w:color w:val="auto"/>
          <w:spacing w:val="0"/>
          <w:sz w:val="24"/>
          <w:szCs w:val="24"/>
          <w:lang w:val="en-US" w:eastAsia="zh-CN"/>
        </w:rPr>
        <w:t>产品定义</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82"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b/>
          <w:bCs/>
          <w:snapToGrid w:val="0"/>
          <w:color w:val="auto"/>
          <w:spacing w:val="0"/>
          <w:kern w:val="2"/>
          <w:sz w:val="24"/>
          <w:szCs w:val="24"/>
          <w:highlight w:val="none"/>
          <w:lang w:val="en-US" w:eastAsia="zh-CN" w:bidi="ar-SA"/>
        </w:rPr>
        <w:t>“</w:t>
      </w:r>
      <w:r>
        <w:rPr>
          <w:rFonts w:hint="eastAsia" w:ascii="仿宋" w:hAnsi="仿宋" w:eastAsia="仿宋" w:cs="仿宋"/>
          <w:snapToGrid w:val="0"/>
          <w:color w:val="auto"/>
          <w:spacing w:val="0"/>
          <w:sz w:val="24"/>
          <w:szCs w:val="24"/>
        </w:rPr>
        <w:t>政采易”是指光大银行根据政府采购中标通知书，以政府财政支付资金为主要还款来源，通过封闭回款路径等方式，为中标供应商提供流动资金贷款。</w:t>
      </w:r>
    </w:p>
    <w:p>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firstLine="480" w:firstLineChars="200"/>
        <w:jc w:val="left"/>
        <w:textAlignment w:val="auto"/>
        <w:rPr>
          <w:rFonts w:hint="eastAsia" w:ascii="仿宋" w:hAnsi="仿宋" w:eastAsia="仿宋" w:cs="仿宋"/>
          <w:snapToGrid w:val="0"/>
          <w:color w:val="auto"/>
          <w:spacing w:val="0"/>
          <w:kern w:val="0"/>
          <w:sz w:val="24"/>
          <w:szCs w:val="24"/>
        </w:rPr>
      </w:pPr>
      <w:r>
        <w:rPr>
          <w:rFonts w:hint="eastAsia" w:ascii="仿宋" w:hAnsi="仿宋" w:eastAsia="仿宋" w:cs="仿宋"/>
          <w:snapToGrid w:val="0"/>
          <w:color w:val="auto"/>
          <w:spacing w:val="0"/>
          <w:sz w:val="24"/>
          <w:szCs w:val="24"/>
          <w:lang w:eastAsia="zh-CN"/>
        </w:rPr>
        <w:t>一、</w:t>
      </w:r>
      <w:r>
        <w:rPr>
          <w:rFonts w:hint="eastAsia" w:ascii="仿宋" w:hAnsi="仿宋" w:eastAsia="仿宋" w:cs="仿宋"/>
          <w:snapToGrid w:val="0"/>
          <w:color w:val="auto"/>
          <w:spacing w:val="0"/>
          <w:sz w:val="24"/>
          <w:szCs w:val="24"/>
        </w:rPr>
        <w:t>借款人基本条件</w:t>
      </w:r>
    </w:p>
    <w:p>
      <w:pPr>
        <w:keepNext w:val="0"/>
        <w:keepLines w:val="0"/>
        <w:pageBreakBefore w:val="0"/>
        <w:tabs>
          <w:tab w:val="left" w:pos="1560"/>
        </w:tabs>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（一）具有独立承担民事责任的能力,有固定的经营场所；</w:t>
      </w:r>
    </w:p>
    <w:p>
      <w:pPr>
        <w:keepNext w:val="0"/>
        <w:keepLines w:val="0"/>
        <w:pageBreakBefore w:val="0"/>
        <w:tabs>
          <w:tab w:val="left" w:pos="1560"/>
        </w:tabs>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（二）企业成立1（含）年以上，且实际控制人有3年以上实际行业经验，具有良好的纳税记录、工商登记记录；</w:t>
      </w:r>
    </w:p>
    <w:p>
      <w:pPr>
        <w:keepNext w:val="0"/>
        <w:keepLines w:val="0"/>
        <w:pageBreakBefore w:val="0"/>
        <w:tabs>
          <w:tab w:val="left" w:pos="1560"/>
        </w:tabs>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（三）企业具有履行合同所必需的设备和服务能力；</w:t>
      </w:r>
    </w:p>
    <w:p>
      <w:pPr>
        <w:keepNext w:val="0"/>
        <w:keepLines w:val="0"/>
        <w:pageBreakBefore w:val="0"/>
        <w:tabs>
          <w:tab w:val="left" w:pos="1560"/>
        </w:tabs>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（四）生产经营符合国家法律法规、产业政策和环境保护要求，符合我行信贷政策；</w:t>
      </w:r>
    </w:p>
    <w:p>
      <w:pPr>
        <w:keepNext w:val="0"/>
        <w:keepLines w:val="0"/>
        <w:pageBreakBefore w:val="0"/>
        <w:tabs>
          <w:tab w:val="left" w:pos="1560"/>
        </w:tabs>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（五）人行征信信息查询系统查询显示企业法人、法定代表人、主要经营者无重大不良记录；政府采购履约行为无不良记录；</w:t>
      </w:r>
    </w:p>
    <w:p>
      <w:pPr>
        <w:keepNext w:val="0"/>
        <w:keepLines w:val="0"/>
        <w:pageBreakBefore w:val="0"/>
        <w:tabs>
          <w:tab w:val="left" w:pos="1560"/>
        </w:tabs>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（六）中标供应商在我行信用评级应在B-级（含）以上；</w:t>
      </w:r>
    </w:p>
    <w:p>
      <w:pPr>
        <w:keepNext w:val="0"/>
        <w:keepLines w:val="0"/>
        <w:pageBreakBefore w:val="0"/>
        <w:tabs>
          <w:tab w:val="left" w:pos="1560"/>
        </w:tabs>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（七）我行要求的其他条件。</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bCs/>
          <w:snapToGrid w:val="0"/>
          <w:color w:val="auto"/>
          <w:spacing w:val="0"/>
          <w:sz w:val="24"/>
          <w:szCs w:val="24"/>
          <w:lang w:val="en-US" w:eastAsia="zh-CN"/>
        </w:rPr>
      </w:pPr>
      <w:r>
        <w:rPr>
          <w:rFonts w:hint="eastAsia" w:ascii="仿宋" w:hAnsi="仿宋" w:eastAsia="仿宋" w:cs="仿宋"/>
          <w:b/>
          <w:bCs/>
          <w:snapToGrid w:val="0"/>
          <w:color w:val="auto"/>
          <w:spacing w:val="0"/>
          <w:sz w:val="24"/>
          <w:szCs w:val="24"/>
          <w:lang w:val="en-US" w:eastAsia="zh-CN"/>
        </w:rPr>
        <w:t>业务流程</w:t>
      </w:r>
    </w:p>
    <w:p>
      <w:pPr>
        <w:keepNext w:val="0"/>
        <w:keepLines w:val="0"/>
        <w:pageBreakBefore w:val="0"/>
        <w:widowControl w:val="0"/>
        <w:numPr>
          <w:ilvl w:val="0"/>
          <w:numId w:val="0"/>
        </w:numPr>
        <w:tabs>
          <w:tab w:val="left" w:pos="1560"/>
        </w:tabs>
        <w:kinsoku/>
        <w:wordWrap/>
        <w:overflowPunct/>
        <w:topLinePunct w:val="0"/>
        <w:autoSpaceDE/>
        <w:autoSpaceDN/>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eastAsia="zh-CN"/>
        </w:rPr>
        <w:t>（一）</w:t>
      </w:r>
      <w:r>
        <w:rPr>
          <w:rFonts w:hint="eastAsia" w:ascii="仿宋" w:hAnsi="仿宋" w:eastAsia="仿宋" w:cs="仿宋"/>
          <w:snapToGrid w:val="0"/>
          <w:color w:val="auto"/>
          <w:spacing w:val="0"/>
          <w:sz w:val="24"/>
          <w:szCs w:val="24"/>
        </w:rPr>
        <w:t>供应商的采购资金纳入同级或以上政府财政预算。</w:t>
      </w:r>
    </w:p>
    <w:p>
      <w:pPr>
        <w:keepNext w:val="0"/>
        <w:keepLines w:val="0"/>
        <w:pageBreakBefore w:val="0"/>
        <w:widowControl w:val="0"/>
        <w:numPr>
          <w:ilvl w:val="0"/>
          <w:numId w:val="0"/>
        </w:numPr>
        <w:tabs>
          <w:tab w:val="left" w:pos="1560"/>
        </w:tabs>
        <w:kinsoku/>
        <w:wordWrap/>
        <w:overflowPunct/>
        <w:topLinePunct w:val="0"/>
        <w:autoSpaceDE/>
        <w:autoSpaceDN/>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eastAsia="zh-CN"/>
        </w:rPr>
        <w:t>（二）</w:t>
      </w:r>
      <w:r>
        <w:rPr>
          <w:rFonts w:hint="eastAsia" w:ascii="仿宋" w:hAnsi="仿宋" w:eastAsia="仿宋" w:cs="仿宋"/>
          <w:snapToGrid w:val="0"/>
          <w:color w:val="auto"/>
          <w:spacing w:val="0"/>
          <w:sz w:val="24"/>
          <w:szCs w:val="24"/>
        </w:rPr>
        <w:t>供应商与政府采购部门签署采购合同。</w:t>
      </w:r>
    </w:p>
    <w:p>
      <w:pPr>
        <w:keepNext w:val="0"/>
        <w:keepLines w:val="0"/>
        <w:pageBreakBefore w:val="0"/>
        <w:widowControl w:val="0"/>
        <w:numPr>
          <w:ilvl w:val="0"/>
          <w:numId w:val="0"/>
        </w:numPr>
        <w:tabs>
          <w:tab w:val="left" w:pos="1560"/>
        </w:tabs>
        <w:kinsoku/>
        <w:wordWrap/>
        <w:overflowPunct/>
        <w:topLinePunct w:val="0"/>
        <w:autoSpaceDE/>
        <w:autoSpaceDN/>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eastAsia="zh-CN"/>
        </w:rPr>
        <w:t>（三）</w:t>
      </w:r>
      <w:r>
        <w:rPr>
          <w:rFonts w:hint="eastAsia" w:ascii="仿宋" w:hAnsi="仿宋" w:eastAsia="仿宋" w:cs="仿宋"/>
          <w:snapToGrid w:val="0"/>
          <w:color w:val="auto"/>
          <w:spacing w:val="0"/>
          <w:sz w:val="24"/>
          <w:szCs w:val="24"/>
        </w:rPr>
        <w:t>采购合同在公开平台进行公示或者备案。</w:t>
      </w:r>
    </w:p>
    <w:p>
      <w:pPr>
        <w:keepNext w:val="0"/>
        <w:keepLines w:val="0"/>
        <w:pageBreakBefore w:val="0"/>
        <w:widowControl w:val="0"/>
        <w:numPr>
          <w:ilvl w:val="0"/>
          <w:numId w:val="0"/>
        </w:numPr>
        <w:tabs>
          <w:tab w:val="left" w:pos="1560"/>
        </w:tabs>
        <w:kinsoku/>
        <w:wordWrap/>
        <w:overflowPunct/>
        <w:topLinePunct w:val="0"/>
        <w:autoSpaceDE/>
        <w:autoSpaceDN/>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eastAsia="zh-CN"/>
        </w:rPr>
        <w:t>（四）</w:t>
      </w:r>
      <w:r>
        <w:rPr>
          <w:rFonts w:hint="eastAsia" w:ascii="仿宋" w:hAnsi="仿宋" w:eastAsia="仿宋" w:cs="仿宋"/>
          <w:snapToGrid w:val="0"/>
          <w:color w:val="auto"/>
          <w:spacing w:val="0"/>
          <w:sz w:val="24"/>
          <w:szCs w:val="24"/>
        </w:rPr>
        <w:t>供应商依托采购合同，向光大银行申请融资。</w:t>
      </w:r>
    </w:p>
    <w:p>
      <w:pPr>
        <w:keepNext w:val="0"/>
        <w:keepLines w:val="0"/>
        <w:pageBreakBefore w:val="0"/>
        <w:widowControl w:val="0"/>
        <w:numPr>
          <w:ilvl w:val="0"/>
          <w:numId w:val="0"/>
        </w:numPr>
        <w:tabs>
          <w:tab w:val="left" w:pos="1560"/>
        </w:tabs>
        <w:kinsoku/>
        <w:wordWrap/>
        <w:overflowPunct/>
        <w:topLinePunct w:val="0"/>
        <w:autoSpaceDE/>
        <w:autoSpaceDN/>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eastAsia="zh-CN"/>
        </w:rPr>
        <w:t>（五）</w:t>
      </w:r>
      <w:r>
        <w:rPr>
          <w:rFonts w:hint="eastAsia" w:ascii="仿宋" w:hAnsi="仿宋" w:eastAsia="仿宋" w:cs="仿宋"/>
          <w:snapToGrid w:val="0"/>
          <w:color w:val="auto"/>
          <w:spacing w:val="0"/>
          <w:sz w:val="24"/>
          <w:szCs w:val="24"/>
        </w:rPr>
        <w:t>光大银行对采购商进行调查，根据政府采购中标合同金额扣除预付款*一定比例发放融资款项。</w:t>
      </w:r>
    </w:p>
    <w:p>
      <w:pPr>
        <w:keepNext w:val="0"/>
        <w:keepLines w:val="0"/>
        <w:pageBreakBefore w:val="0"/>
        <w:widowControl w:val="0"/>
        <w:numPr>
          <w:ilvl w:val="0"/>
          <w:numId w:val="0"/>
        </w:numPr>
        <w:tabs>
          <w:tab w:val="left" w:pos="1560"/>
        </w:tabs>
        <w:kinsoku/>
        <w:wordWrap/>
        <w:overflowPunct/>
        <w:topLinePunct w:val="0"/>
        <w:autoSpaceDE/>
        <w:autoSpaceDN/>
        <w:bidi w:val="0"/>
        <w:adjustRightInd/>
        <w:snapToGrid/>
        <w:spacing w:beforeAutospacing="0" w:afterAutospacing="0" w:line="360" w:lineRule="auto"/>
        <w:ind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lang w:eastAsia="zh-CN"/>
        </w:rPr>
        <w:t>（六）</w:t>
      </w:r>
      <w:r>
        <w:rPr>
          <w:rFonts w:hint="eastAsia" w:ascii="仿宋" w:hAnsi="仿宋" w:eastAsia="仿宋" w:cs="仿宋"/>
          <w:snapToGrid w:val="0"/>
          <w:color w:val="auto"/>
          <w:spacing w:val="0"/>
          <w:sz w:val="24"/>
          <w:szCs w:val="24"/>
        </w:rPr>
        <w:t>中标供应商须在光大银行开立结算账户并将其指定为企业政府采购结算专户，回款至该账户。</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bCs/>
          <w:snapToGrid w:val="0"/>
          <w:color w:val="auto"/>
          <w:spacing w:val="0"/>
          <w:sz w:val="24"/>
          <w:szCs w:val="24"/>
          <w:lang w:val="en-US" w:eastAsia="zh-CN"/>
        </w:rPr>
      </w:pPr>
      <w:r>
        <w:rPr>
          <w:rFonts w:hint="eastAsia" w:ascii="仿宋" w:hAnsi="仿宋" w:eastAsia="仿宋" w:cs="仿宋"/>
          <w:b/>
          <w:bCs/>
          <w:snapToGrid w:val="0"/>
          <w:color w:val="auto"/>
          <w:spacing w:val="0"/>
          <w:sz w:val="24"/>
          <w:szCs w:val="24"/>
          <w:lang w:val="en-US" w:eastAsia="zh-CN"/>
        </w:rPr>
        <w:t>利率</w:t>
      </w:r>
    </w:p>
    <w:p>
      <w:pPr>
        <w:pStyle w:val="46"/>
        <w:keepNext w:val="0"/>
        <w:keepLines w:val="0"/>
        <w:pageBreakBefore w:val="0"/>
        <w:tabs>
          <w:tab w:val="left" w:pos="1560"/>
        </w:tabs>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根据当地同业水平合理确定贷款利率水平，执行总行贷款利率授权管理政策。</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bCs/>
          <w:snapToGrid w:val="0"/>
          <w:color w:val="auto"/>
          <w:spacing w:val="0"/>
          <w:sz w:val="24"/>
          <w:szCs w:val="24"/>
          <w:lang w:val="en-US" w:eastAsia="zh-CN"/>
        </w:rPr>
      </w:pPr>
      <w:r>
        <w:rPr>
          <w:rFonts w:hint="eastAsia" w:ascii="仿宋" w:hAnsi="仿宋" w:eastAsia="仿宋" w:cs="仿宋"/>
          <w:b/>
          <w:bCs/>
          <w:snapToGrid w:val="0"/>
          <w:color w:val="auto"/>
          <w:spacing w:val="0"/>
          <w:sz w:val="24"/>
          <w:szCs w:val="24"/>
          <w:lang w:val="en-US" w:eastAsia="zh-CN"/>
        </w:rPr>
        <w:t>贷款期限</w:t>
      </w:r>
    </w:p>
    <w:p>
      <w:pPr>
        <w:pStyle w:val="46"/>
        <w:keepNext w:val="0"/>
        <w:keepLines w:val="0"/>
        <w:pageBreakBefore w:val="0"/>
        <w:tabs>
          <w:tab w:val="left" w:pos="1560"/>
        </w:tabs>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贷款期限应与政府采购合同中约定的结算周期、付款方式相匹配，最长不超过合同约定付款日期后两个月。</w:t>
      </w:r>
    </w:p>
    <w:p>
      <w:pPr>
        <w:keepNext w:val="0"/>
        <w:keepLines w:val="0"/>
        <w:pageBreakBefore w:val="0"/>
        <w:kinsoku/>
        <w:wordWrap/>
        <w:overflowPunct/>
        <w:topLinePunct w:val="0"/>
        <w:bidi w:val="0"/>
        <w:adjustRightInd/>
        <w:snapToGrid/>
        <w:spacing w:beforeAutospacing="0" w:afterAutospacing="0" w:line="360" w:lineRule="auto"/>
        <w:ind w:left="0" w:leftChars="0" w:firstLine="482" w:firstLineChars="200"/>
        <w:jc w:val="left"/>
        <w:textAlignment w:val="auto"/>
        <w:rPr>
          <w:rFonts w:hint="eastAsia" w:ascii="仿宋" w:hAnsi="仿宋" w:eastAsia="仿宋" w:cs="仿宋"/>
          <w:b/>
          <w:bCs/>
          <w:snapToGrid w:val="0"/>
          <w:color w:val="auto"/>
          <w:spacing w:val="0"/>
          <w:sz w:val="24"/>
          <w:szCs w:val="24"/>
          <w:lang w:val="en-US" w:eastAsia="zh-CN"/>
        </w:rPr>
      </w:pPr>
      <w:r>
        <w:rPr>
          <w:rFonts w:hint="eastAsia" w:ascii="仿宋" w:hAnsi="仿宋" w:eastAsia="仿宋" w:cs="仿宋"/>
          <w:b/>
          <w:bCs/>
          <w:snapToGrid w:val="0"/>
          <w:color w:val="auto"/>
          <w:spacing w:val="0"/>
          <w:sz w:val="24"/>
          <w:szCs w:val="24"/>
          <w:lang w:val="en-US" w:eastAsia="zh-CN"/>
        </w:rPr>
        <w:t>联系方式</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1、分管领导：王慧18837902280</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snapToGrid w:val="0"/>
          <w:color w:val="auto"/>
          <w:spacing w:val="0"/>
          <w:sz w:val="24"/>
          <w:szCs w:val="24"/>
        </w:rPr>
      </w:pPr>
      <w:r>
        <w:rPr>
          <w:rFonts w:hint="eastAsia" w:ascii="仿宋" w:hAnsi="仿宋" w:eastAsia="仿宋" w:cs="仿宋"/>
          <w:snapToGrid w:val="0"/>
          <w:color w:val="auto"/>
          <w:spacing w:val="0"/>
          <w:sz w:val="24"/>
          <w:szCs w:val="24"/>
        </w:rPr>
        <w:t>2、信贷经理：刘勇 18837995809</w:t>
      </w:r>
    </w:p>
    <w:p>
      <w:pPr>
        <w:rPr>
          <w:rFonts w:hint="eastAsia" w:ascii="仿宋" w:hAnsi="仿宋" w:eastAsia="仿宋" w:cs="仿宋"/>
          <w:b/>
          <w:bCs/>
          <w:snapToGrid w:val="0"/>
          <w:color w:val="auto"/>
          <w:spacing w:val="0"/>
          <w:sz w:val="32"/>
          <w:szCs w:val="32"/>
          <w:lang w:val="en-US" w:eastAsia="zh-CN"/>
        </w:rPr>
      </w:pPr>
      <w:r>
        <w:rPr>
          <w:rFonts w:hint="eastAsia" w:ascii="仿宋" w:hAnsi="仿宋" w:eastAsia="仿宋" w:cs="仿宋"/>
          <w:b/>
          <w:bCs/>
          <w:snapToGrid w:val="0"/>
          <w:color w:val="auto"/>
          <w:spacing w:val="0"/>
          <w:sz w:val="32"/>
          <w:szCs w:val="32"/>
          <w:lang w:val="en-US" w:eastAsia="zh-CN"/>
        </w:rPr>
        <w:br w:type="page"/>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0"/>
        <w:rPr>
          <w:rFonts w:hint="eastAsia" w:ascii="仿宋" w:hAnsi="仿宋" w:eastAsia="仿宋" w:cs="仿宋"/>
          <w:b/>
          <w:bCs/>
          <w:snapToGrid w:val="0"/>
          <w:color w:val="auto"/>
          <w:spacing w:val="0"/>
          <w:sz w:val="32"/>
          <w:szCs w:val="32"/>
          <w:lang w:val="en-US" w:eastAsia="zh-CN"/>
        </w:rPr>
      </w:pPr>
      <w:bookmarkStart w:id="73" w:name="_Toc14781"/>
      <w:r>
        <w:rPr>
          <w:rFonts w:hint="eastAsia" w:ascii="仿宋" w:hAnsi="仿宋" w:eastAsia="仿宋" w:cs="仿宋"/>
          <w:b/>
          <w:bCs/>
          <w:snapToGrid w:val="0"/>
          <w:color w:val="auto"/>
          <w:spacing w:val="0"/>
          <w:sz w:val="32"/>
          <w:szCs w:val="32"/>
          <w:lang w:val="en-US" w:eastAsia="zh-CN"/>
        </w:rPr>
        <w:t>第五章  资格审查与评审办法</w:t>
      </w:r>
      <w:bookmarkEnd w:id="71"/>
      <w:bookmarkEnd w:id="73"/>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仿宋" w:hAnsi="仿宋" w:eastAsia="仿宋" w:cs="仿宋"/>
          <w:b/>
          <w:bCs/>
          <w:snapToGrid w:val="0"/>
          <w:color w:val="auto"/>
          <w:spacing w:val="0"/>
          <w:sz w:val="24"/>
          <w:szCs w:val="24"/>
          <w:lang w:val="en-US" w:eastAsia="zh-CN"/>
        </w:rPr>
      </w:pPr>
      <w:bookmarkStart w:id="74" w:name="_Toc17283"/>
      <w:r>
        <w:rPr>
          <w:rFonts w:hint="eastAsia" w:ascii="仿宋" w:hAnsi="仿宋" w:eastAsia="仿宋" w:cs="仿宋"/>
          <w:b/>
          <w:bCs/>
          <w:snapToGrid w:val="0"/>
          <w:color w:val="auto"/>
          <w:spacing w:val="0"/>
          <w:sz w:val="24"/>
          <w:szCs w:val="24"/>
          <w:lang w:val="en-US" w:eastAsia="zh-CN"/>
        </w:rPr>
        <w:t>1、资格审查与评标方法</w:t>
      </w:r>
      <w:bookmarkEnd w:id="74"/>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本次资格审查和符合性审查采用合格制，评标方法采用综合评分法。评标委员会对满足招标文件实质性要求的投标文件</w:t>
      </w:r>
      <w:r>
        <w:rPr>
          <w:rFonts w:hint="eastAsia" w:ascii="仿宋" w:hAnsi="仿宋" w:eastAsia="仿宋" w:cs="仿宋"/>
          <w:snapToGrid w:val="0"/>
          <w:color w:val="auto"/>
          <w:spacing w:val="0"/>
          <w:sz w:val="24"/>
          <w:szCs w:val="24"/>
          <w:highlight w:val="none"/>
          <w:lang w:val="en-US" w:eastAsia="zh-CN"/>
        </w:rPr>
        <w:t>，按照本章 2.2 款规定的评分标准进行打分，</w:t>
      </w:r>
      <w:r>
        <w:rPr>
          <w:rFonts w:hint="eastAsia" w:ascii="仿宋" w:hAnsi="仿宋" w:eastAsia="仿宋" w:cs="仿宋"/>
          <w:snapToGrid w:val="0"/>
          <w:spacing w:val="0"/>
          <w:sz w:val="24"/>
          <w:szCs w:val="24"/>
          <w:highlight w:val="none"/>
          <w:lang w:val="en-US" w:eastAsia="zh-CN"/>
        </w:rPr>
        <w:t>评标委员会根据综合评分情况，按照评审得分由高到低顺序推荐 3 名中标候选人，并确定排序第一的中标候选人为中标人。如中标候选人出现并列，由评标委员会投票确定中标人。一个供应商最多只能中一个标段。按标段顺序确定，被确定为前一标段第一中标候选人的供应商，只参与后面标段的评审，不做为后面标段的中标候选人。</w:t>
      </w:r>
      <w:r>
        <w:rPr>
          <w:rFonts w:hint="eastAsia" w:ascii="仿宋" w:hAnsi="仿宋" w:eastAsia="仿宋" w:cs="仿宋"/>
          <w:snapToGrid w:val="0"/>
          <w:color w:val="auto"/>
          <w:spacing w:val="0"/>
          <w:sz w:val="24"/>
          <w:szCs w:val="24"/>
          <w:highlight w:val="none"/>
          <w:lang w:val="en-US" w:eastAsia="zh-CN"/>
        </w:rPr>
        <w:t>如评审得分相同的，按照投标报价由低到高的顺序推荐。如评审得分且投标报价均相同的，按照技术部分得分由</w:t>
      </w:r>
      <w:r>
        <w:rPr>
          <w:rFonts w:hint="eastAsia" w:ascii="仿宋" w:hAnsi="仿宋" w:eastAsia="仿宋" w:cs="仿宋"/>
          <w:snapToGrid w:val="0"/>
          <w:color w:val="auto"/>
          <w:spacing w:val="0"/>
          <w:sz w:val="24"/>
          <w:szCs w:val="24"/>
          <w:lang w:val="en-US" w:eastAsia="zh-CN"/>
        </w:rPr>
        <w:t>高到低顺序推荐。若均相同则由评标委员会投票推荐。但投标报价明显低于其他通过符合性审查供应商的报价，有可能影响产品质量或者不能诚信履约的除外。</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仿宋" w:hAnsi="仿宋" w:eastAsia="仿宋" w:cs="仿宋"/>
          <w:b/>
          <w:bCs/>
          <w:snapToGrid w:val="0"/>
          <w:color w:val="auto"/>
          <w:spacing w:val="0"/>
          <w:sz w:val="24"/>
          <w:szCs w:val="24"/>
          <w:lang w:val="en-US" w:eastAsia="zh-CN"/>
        </w:rPr>
      </w:pPr>
      <w:bookmarkStart w:id="75" w:name="_Toc21004"/>
      <w:r>
        <w:rPr>
          <w:rFonts w:hint="eastAsia" w:ascii="仿宋" w:hAnsi="仿宋" w:eastAsia="仿宋" w:cs="仿宋"/>
          <w:b/>
          <w:bCs/>
          <w:snapToGrid w:val="0"/>
          <w:color w:val="auto"/>
          <w:spacing w:val="0"/>
          <w:sz w:val="24"/>
          <w:szCs w:val="24"/>
          <w:lang w:val="en-US" w:eastAsia="zh-CN"/>
        </w:rPr>
        <w:t>2、资格审查与评审标准</w:t>
      </w:r>
      <w:bookmarkEnd w:id="75"/>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color w:val="auto"/>
          <w:spacing w:val="0"/>
          <w:sz w:val="24"/>
          <w:szCs w:val="24"/>
          <w:lang w:val="en-US" w:eastAsia="zh-CN"/>
        </w:rPr>
      </w:pPr>
      <w:bookmarkStart w:id="76" w:name="_Toc16264"/>
      <w:r>
        <w:rPr>
          <w:rFonts w:hint="eastAsia" w:ascii="仿宋" w:hAnsi="仿宋" w:eastAsia="仿宋" w:cs="仿宋"/>
          <w:b/>
          <w:bCs/>
          <w:snapToGrid w:val="0"/>
          <w:color w:val="auto"/>
          <w:spacing w:val="0"/>
          <w:sz w:val="24"/>
          <w:szCs w:val="24"/>
          <w:lang w:val="en-US" w:eastAsia="zh-CN"/>
        </w:rPr>
        <w:t>2.1 资格审查与符合性审查标准</w:t>
      </w:r>
      <w:bookmarkEnd w:id="76"/>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2.1.1 资格审查标准：见第六章。</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2.1.2 符合性审查标准：见第六章。</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color w:val="auto"/>
          <w:spacing w:val="0"/>
          <w:sz w:val="24"/>
          <w:szCs w:val="24"/>
          <w:lang w:val="en-US" w:eastAsia="zh-CN"/>
        </w:rPr>
      </w:pPr>
      <w:bookmarkStart w:id="77" w:name="_Toc25727"/>
      <w:r>
        <w:rPr>
          <w:rFonts w:hint="eastAsia" w:ascii="仿宋" w:hAnsi="仿宋" w:eastAsia="仿宋" w:cs="仿宋"/>
          <w:b/>
          <w:bCs/>
          <w:snapToGrid w:val="0"/>
          <w:color w:val="auto"/>
          <w:spacing w:val="0"/>
          <w:sz w:val="24"/>
          <w:szCs w:val="24"/>
          <w:lang w:val="en-US" w:eastAsia="zh-CN"/>
        </w:rPr>
        <w:t>2.2 分值构成与评分标准</w:t>
      </w:r>
      <w:bookmarkEnd w:id="77"/>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2.2.1 分值构成见评分标准。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2.2.2 评分标准：具体评分标准见第六章。</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仿宋" w:hAnsi="仿宋" w:eastAsia="仿宋" w:cs="仿宋"/>
          <w:b/>
          <w:bCs/>
          <w:snapToGrid w:val="0"/>
          <w:color w:val="auto"/>
          <w:spacing w:val="0"/>
          <w:sz w:val="24"/>
          <w:szCs w:val="24"/>
          <w:lang w:val="en-US" w:eastAsia="zh-CN"/>
        </w:rPr>
      </w:pPr>
      <w:bookmarkStart w:id="78" w:name="_Toc17220"/>
      <w:r>
        <w:rPr>
          <w:rFonts w:hint="eastAsia" w:ascii="仿宋" w:hAnsi="仿宋" w:eastAsia="仿宋" w:cs="仿宋"/>
          <w:b/>
          <w:bCs/>
          <w:snapToGrid w:val="0"/>
          <w:color w:val="auto"/>
          <w:spacing w:val="0"/>
          <w:sz w:val="24"/>
          <w:szCs w:val="24"/>
          <w:lang w:val="en-US" w:eastAsia="zh-CN"/>
        </w:rPr>
        <w:t>3、资格审查与评标程序</w:t>
      </w:r>
      <w:bookmarkEnd w:id="78"/>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color w:val="auto"/>
          <w:spacing w:val="0"/>
          <w:sz w:val="24"/>
          <w:szCs w:val="24"/>
          <w:lang w:val="en-US" w:eastAsia="zh-CN"/>
        </w:rPr>
      </w:pPr>
      <w:r>
        <w:rPr>
          <w:rFonts w:hint="eastAsia" w:ascii="仿宋" w:hAnsi="仿宋" w:eastAsia="仿宋" w:cs="仿宋"/>
          <w:b/>
          <w:bCs/>
          <w:snapToGrid w:val="0"/>
          <w:color w:val="auto"/>
          <w:spacing w:val="0"/>
          <w:sz w:val="24"/>
          <w:szCs w:val="24"/>
          <w:lang w:val="en-US" w:eastAsia="zh-CN"/>
        </w:rPr>
        <w:t>3.1 资格审查与符合性审查</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3.1.1 资格审查小组依据本章第 2.1.1 款规定的标准对投标文件进行资格审查。有一项不符合审查标准的，应当否决其投标。评标委员会依据本章第 2.1.2 款规定的标准对投标文件进行符合性审查。有一项不符合审查标准的，应当否决其投标。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3.1.2 供应商有以下情形之一的，评标委员会应当否决其投标：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（1）投标文件没有对招标文件的实质性要求和条件作出响应，或者对招标文件的偏差超出招标文件规定的偏差范围或最高项数；</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（2）有串通投标、弄虚作假、行贿等违法行为。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3.1.3 有下列情形之一的，视为供应商串通投标，其投标无效：</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（1）不同供应商的投标文件由同一单位或者个人编制；</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（2）不同供应商委托同一单位或者个人办理投标事宜；</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（3）不同供应商的投标文件载明的项目管理成员或者联系人员为同一人；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（4）不同供应商的投标文件异常一致或者投标报价呈规律性差异；</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（5）不同供应商的投标文件相互混装。</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3.1.4 投标文件报价出现前后不一致的，评标委员会按以下原则要求供应商对投标报价进行修正，并要求供应商书面澄清确认。供应商拒不澄清确认的，评标委员会应当否决其投标：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（1）投标文件中开标一览表内容与投标文件中相应内容不一致的，以开标一览表为准；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（2）大写金额和小写金额不一致的，以大写金额为准；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（3）单价金额小数点或者百分比有明显错位的，以开标一览表的总价为准，并修改单价；</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（4）总价金额与按单价汇总金额不一致的，以单价金额计算结果为准。同时出现两种以上不一致的，按照前款规定的顺序修正。</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color w:val="auto"/>
          <w:spacing w:val="0"/>
          <w:sz w:val="24"/>
          <w:szCs w:val="24"/>
          <w:lang w:val="en-US" w:eastAsia="zh-CN"/>
        </w:rPr>
      </w:pPr>
      <w:r>
        <w:rPr>
          <w:rFonts w:hint="eastAsia" w:ascii="仿宋" w:hAnsi="仿宋" w:eastAsia="仿宋" w:cs="仿宋"/>
          <w:b/>
          <w:bCs/>
          <w:snapToGrid w:val="0"/>
          <w:color w:val="auto"/>
          <w:spacing w:val="0"/>
          <w:sz w:val="24"/>
          <w:szCs w:val="24"/>
          <w:lang w:val="en-US" w:eastAsia="zh-CN"/>
        </w:rPr>
        <w:t>3.2 详细评审</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3.2.1 评标委员会按本章第 2.2 款规定的量化因素和分值进行打分，取所有评委打分分数的算术平均值作为该供应商的各项得分。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评分分值计算保留小数点后两位，小数点后第三位“四舍五入”。</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评标委员会汇总供应商的各项得分，相加后为供应商最终得分。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若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color w:val="auto"/>
          <w:spacing w:val="0"/>
          <w:sz w:val="24"/>
          <w:szCs w:val="24"/>
          <w:lang w:val="en-US" w:eastAsia="zh-CN"/>
        </w:rPr>
      </w:pPr>
      <w:r>
        <w:rPr>
          <w:rFonts w:hint="eastAsia" w:ascii="仿宋" w:hAnsi="仿宋" w:eastAsia="仿宋" w:cs="仿宋"/>
          <w:b/>
          <w:bCs/>
          <w:snapToGrid w:val="0"/>
          <w:color w:val="auto"/>
          <w:spacing w:val="0"/>
          <w:sz w:val="24"/>
          <w:szCs w:val="24"/>
          <w:lang w:val="en-US" w:eastAsia="zh-CN"/>
        </w:rPr>
        <w:t>3.3 投标文件的澄清</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3.3.1 在评标过程中，评标委员会可以书面形式要求供应商对投标文件中含义不明确、对同类问题表述不一致或者有明显文字和计算错误的内容作必要的澄清、说明或补正。澄清、说明或补正应以书面方式进行。评标委员会不接受供应商主动提出的澄清、说明或补正。</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3.3.2 澄清、说明或补正不得超出投标文件的范围且不得改变投标文件的实质性内容，并构成投标文件的组成部分。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3.3.3 评标委员会对供应商提交的澄清、说明或补正有疑问的，可以要求供应商进一步澄清、说明或补正，直至满足评标委员会的要求。</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color w:val="auto"/>
          <w:spacing w:val="0"/>
          <w:sz w:val="24"/>
          <w:szCs w:val="24"/>
          <w:lang w:val="en-US" w:eastAsia="zh-CN"/>
        </w:rPr>
      </w:pPr>
      <w:r>
        <w:rPr>
          <w:rFonts w:hint="eastAsia" w:ascii="仿宋" w:hAnsi="仿宋" w:eastAsia="仿宋" w:cs="仿宋"/>
          <w:b/>
          <w:bCs/>
          <w:snapToGrid w:val="0"/>
          <w:color w:val="auto"/>
          <w:spacing w:val="0"/>
          <w:sz w:val="24"/>
          <w:szCs w:val="24"/>
          <w:lang w:val="en-US" w:eastAsia="zh-CN"/>
        </w:rPr>
        <w:t>3.4 评标结果</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3.4.1 评标委员会严格按照招标文件的要求和条件进行评标和打分，评标结果按评审后得分由高到低的顺序排列。得分相同的，按投标报价由低到高顺序排列。得分且投标报价相同的并列。</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3.4.2 评标委员会完成评标后，应当向采购人提交书面评标报告和中标候选人名单。</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仿宋" w:hAnsi="仿宋" w:eastAsia="仿宋" w:cs="仿宋"/>
          <w:b/>
          <w:bCs/>
          <w:snapToGrid w:val="0"/>
          <w:color w:val="auto"/>
          <w:spacing w:val="0"/>
          <w:sz w:val="24"/>
          <w:szCs w:val="24"/>
          <w:lang w:val="en-US" w:eastAsia="zh-CN"/>
        </w:rPr>
      </w:pPr>
      <w:r>
        <w:rPr>
          <w:rFonts w:hint="eastAsia" w:ascii="仿宋" w:hAnsi="仿宋" w:eastAsia="仿宋" w:cs="仿宋"/>
          <w:b/>
          <w:bCs/>
          <w:snapToGrid w:val="0"/>
          <w:color w:val="auto"/>
          <w:spacing w:val="0"/>
          <w:sz w:val="24"/>
          <w:szCs w:val="24"/>
          <w:lang w:val="en-US" w:eastAsia="zh-CN"/>
        </w:rPr>
        <w:t>4、评分标准说明</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snapToGrid w:val="0"/>
          <w:color w:val="auto"/>
          <w:spacing w:val="0"/>
          <w:sz w:val="24"/>
          <w:szCs w:val="24"/>
          <w:lang w:val="en-US" w:eastAsia="zh-CN"/>
        </w:rPr>
      </w:pPr>
      <w:r>
        <w:rPr>
          <w:rFonts w:hint="eastAsia" w:ascii="仿宋" w:hAnsi="仿宋" w:eastAsia="仿宋" w:cs="仿宋"/>
          <w:b/>
          <w:bCs/>
          <w:snapToGrid w:val="0"/>
          <w:color w:val="auto"/>
          <w:spacing w:val="0"/>
          <w:sz w:val="24"/>
          <w:szCs w:val="24"/>
          <w:lang w:val="en-US" w:eastAsia="zh-CN"/>
        </w:rPr>
        <w:t>4.1 关于价格扣除和评标报价的说明</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4.1.1 价格扣除</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供应商为小微企业的，对所提供的服务的价格给予6%的扣除，用扣除后的价格参与评审。参加投标的中小企业，应当按照《政府采购促进中小企业发展管理办法》（财库﹝2020﹞46号）的规定提供《中小企业声明函》（中小企业划型标准详见《关于印发中小企业划型标准规定的通知》工信部联企业〔2011〕300 号）。供应商为大型企业的不适用本款规定。供应商为联合体的，联合体各方均应为中小企业，否则不适用本款规定。</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根据财政部司法部《关于政府采购支持监狱企业发展有关问题的通知》（财库〔2014〕68号）规定，</w:t>
      </w:r>
      <w:r>
        <w:rPr>
          <w:rFonts w:hint="eastAsia" w:ascii="仿宋" w:hAnsi="仿宋" w:eastAsia="仿宋" w:cs="仿宋"/>
          <w:snapToGrid w:val="0"/>
          <w:color w:val="auto"/>
          <w:spacing w:val="0"/>
          <w:sz w:val="24"/>
          <w:szCs w:val="24"/>
          <w:highlight w:val="none"/>
          <w:lang w:val="en-US" w:eastAsia="zh-CN"/>
        </w:rPr>
        <w:t>。</w:t>
      </w:r>
      <w:r>
        <w:rPr>
          <w:rFonts w:hint="eastAsia" w:ascii="仿宋" w:hAnsi="仿宋" w:eastAsia="仿宋" w:cs="仿宋"/>
          <w:snapToGrid w:val="0"/>
          <w:color w:val="auto"/>
          <w:spacing w:val="0"/>
          <w:sz w:val="24"/>
          <w:szCs w:val="24"/>
          <w:lang w:val="en-US" w:eastAsia="zh-CN"/>
        </w:rPr>
        <w:t>监狱企业参加政府采购活动时，应当提供由省级以上监狱管理局、戒毒管理局(含新疆生产建设兵团)出具的属于监狱企业的证明文件。</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根据财政部民政部中国残疾人联合会《关于促进残疾人就业政府采购政策的通知》（财库〔2017〕141 号）规定，残疾人福利性单位参加政府采购活动时，应当提供《残疾人福利性单位声明函》。</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color w:val="auto"/>
          <w:spacing w:val="0"/>
          <w:sz w:val="24"/>
          <w:szCs w:val="24"/>
          <w:lang w:val="en-US" w:eastAsia="zh-CN"/>
        </w:rPr>
      </w:pPr>
      <w:r>
        <w:rPr>
          <w:rFonts w:hint="eastAsia" w:ascii="仿宋" w:hAnsi="仿宋" w:eastAsia="仿宋" w:cs="仿宋"/>
          <w:snapToGrid w:val="0"/>
          <w:color w:val="auto"/>
          <w:spacing w:val="0"/>
          <w:sz w:val="24"/>
          <w:szCs w:val="24"/>
          <w:lang w:val="en-US" w:eastAsia="zh-CN"/>
        </w:rPr>
        <w:t>同一供应商（包括联合体），中小微企业产品、监狱企业产品、残疾人福利性单位产品价格扣除优惠只享受一次，不得重复享受。如本项目专门面向中小企业或小微企业采购的，评审中价格将均不予扣除。</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default" w:ascii="仿宋" w:hAnsi="仿宋" w:eastAsia="仿宋" w:cs="仿宋"/>
          <w:snapToGrid w:val="0"/>
          <w:color w:val="auto"/>
          <w:spacing w:val="0"/>
          <w:sz w:val="24"/>
          <w:szCs w:val="24"/>
          <w:lang w:val="en-US" w:eastAsia="zh-CN"/>
        </w:rPr>
        <w:sectPr>
          <w:pgSz w:w="11906" w:h="16838"/>
          <w:pgMar w:top="1134" w:right="1134" w:bottom="1134" w:left="1134" w:header="851" w:footer="992" w:gutter="0"/>
          <w:pgNumType w:fmt="decimal"/>
          <w:cols w:space="425" w:num="1"/>
          <w:docGrid w:type="lines" w:linePitch="312" w:charSpace="0"/>
        </w:sectPr>
      </w:pPr>
      <w:r>
        <w:rPr>
          <w:rFonts w:hint="eastAsia" w:ascii="仿宋" w:hAnsi="仿宋" w:eastAsia="仿宋" w:cs="仿宋"/>
          <w:snapToGrid w:val="0"/>
          <w:color w:val="auto"/>
          <w:spacing w:val="0"/>
          <w:sz w:val="24"/>
          <w:szCs w:val="24"/>
          <w:lang w:val="en-US" w:eastAsia="zh-CN"/>
        </w:rPr>
        <w:t xml:space="preserve">4.1.2 </w:t>
      </w:r>
      <w:r>
        <w:rPr>
          <w:rFonts w:hint="eastAsia" w:ascii="仿宋" w:hAnsi="仿宋" w:eastAsia="仿宋" w:cs="仿宋"/>
          <w:b/>
          <w:bCs/>
          <w:snapToGrid w:val="0"/>
          <w:color w:val="auto"/>
          <w:spacing w:val="0"/>
          <w:sz w:val="24"/>
          <w:szCs w:val="24"/>
          <w:lang w:val="en-US" w:eastAsia="zh-CN"/>
        </w:rPr>
        <w:t>本项目专门面向中小微（监狱、残疾人福利性单位）企业采购（监狱、残疾人福利性单位视同小型、微型企业），评审中价格将均不予扣除。</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0"/>
        <w:rPr>
          <w:rFonts w:hint="eastAsia" w:ascii="仿宋" w:hAnsi="仿宋" w:eastAsia="仿宋" w:cs="仿宋"/>
          <w:b/>
          <w:bCs/>
          <w:snapToGrid w:val="0"/>
          <w:spacing w:val="0"/>
          <w:sz w:val="32"/>
          <w:szCs w:val="32"/>
          <w:lang w:val="en-US" w:eastAsia="zh-CN"/>
        </w:rPr>
      </w:pPr>
      <w:bookmarkStart w:id="79" w:name="_Toc15399"/>
      <w:bookmarkStart w:id="80" w:name="_Toc5485"/>
      <w:r>
        <w:rPr>
          <w:rFonts w:hint="eastAsia" w:ascii="仿宋" w:hAnsi="仿宋" w:eastAsia="仿宋" w:cs="仿宋"/>
          <w:b/>
          <w:bCs/>
          <w:snapToGrid w:val="0"/>
          <w:spacing w:val="0"/>
          <w:sz w:val="32"/>
          <w:szCs w:val="32"/>
          <w:lang w:val="en-US" w:eastAsia="zh-CN"/>
        </w:rPr>
        <w:t>第六章  资格审查与评审标准</w:t>
      </w:r>
      <w:bookmarkEnd w:id="79"/>
      <w:bookmarkEnd w:id="80"/>
    </w:p>
    <w:tbl>
      <w:tblPr>
        <w:tblStyle w:val="19"/>
        <w:tblpPr w:leftFromText="180" w:rightFromText="180" w:vertAnchor="text" w:horzAnchor="page" w:tblpXSpec="center" w:tblpY="52"/>
        <w:tblOverlap w:val="never"/>
        <w:tblW w:w="1019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24"/>
        <w:gridCol w:w="994"/>
        <w:gridCol w:w="1111"/>
        <w:gridCol w:w="1383"/>
        <w:gridCol w:w="48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jc w:val="center"/>
        </w:trPr>
        <w:tc>
          <w:tcPr>
            <w:tcW w:w="1824"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初步条款</w:t>
            </w:r>
          </w:p>
        </w:tc>
        <w:tc>
          <w:tcPr>
            <w:tcW w:w="210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评分点名称</w:t>
            </w:r>
          </w:p>
        </w:tc>
        <w:tc>
          <w:tcPr>
            <w:tcW w:w="6262"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b/>
                <w:bCs/>
                <w:snapToGrid w:val="0"/>
                <w:spacing w:val="0"/>
                <w:sz w:val="24"/>
                <w:szCs w:val="24"/>
                <w:lang w:val="en-US" w:eastAsia="zh-CN"/>
              </w:rPr>
            </w:pPr>
            <w:r>
              <w:rPr>
                <w:rFonts w:hint="eastAsia" w:ascii="仿宋" w:hAnsi="仿宋" w:eastAsia="仿宋" w:cs="仿宋"/>
                <w:b/>
                <w:bCs/>
                <w:snapToGrid w:val="0"/>
                <w:spacing w:val="0"/>
                <w:sz w:val="24"/>
                <w:szCs w:val="24"/>
                <w:lang w:val="en-US" w:eastAsia="zh-CN"/>
              </w:rPr>
              <w:t>评审标准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82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符合性评审</w:t>
            </w:r>
          </w:p>
        </w:tc>
        <w:tc>
          <w:tcPr>
            <w:tcW w:w="210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供应商名称</w:t>
            </w:r>
          </w:p>
        </w:tc>
        <w:tc>
          <w:tcPr>
            <w:tcW w:w="6262"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110" w:leftChars="5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与营业执照或事业单位法人证书一致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82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tc>
        <w:tc>
          <w:tcPr>
            <w:tcW w:w="210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投标文件签字盖章</w:t>
            </w:r>
          </w:p>
        </w:tc>
        <w:tc>
          <w:tcPr>
            <w:tcW w:w="6262"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110" w:leftChars="5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符合招标文件要求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82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tc>
        <w:tc>
          <w:tcPr>
            <w:tcW w:w="210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投标报价</w:t>
            </w:r>
          </w:p>
        </w:tc>
        <w:tc>
          <w:tcPr>
            <w:tcW w:w="6262"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110" w:leftChars="50"/>
              <w:jc w:val="both"/>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只能有一个有效报价，并按规定填报开标一览表、报价明细表。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82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tc>
        <w:tc>
          <w:tcPr>
            <w:tcW w:w="210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投标有效期</w:t>
            </w:r>
          </w:p>
        </w:tc>
        <w:tc>
          <w:tcPr>
            <w:tcW w:w="6262"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110" w:leftChars="5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符合供应商须知前附表的规定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82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资格评审</w:t>
            </w:r>
          </w:p>
        </w:tc>
        <w:tc>
          <w:tcPr>
            <w:tcW w:w="210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营业执照</w:t>
            </w:r>
          </w:p>
        </w:tc>
        <w:tc>
          <w:tcPr>
            <w:tcW w:w="6262"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符合供应商须知前附表的规定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9" w:hRule="atLeast"/>
          <w:jc w:val="center"/>
        </w:trPr>
        <w:tc>
          <w:tcPr>
            <w:tcW w:w="182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tc>
        <w:tc>
          <w:tcPr>
            <w:tcW w:w="210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税务事务所执业证书或会计师事务所执业证书</w:t>
            </w:r>
          </w:p>
        </w:tc>
        <w:tc>
          <w:tcPr>
            <w:tcW w:w="6262"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符合供应商须知前附表的规定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82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tc>
        <w:tc>
          <w:tcPr>
            <w:tcW w:w="210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信用承诺函</w:t>
            </w:r>
          </w:p>
        </w:tc>
        <w:tc>
          <w:tcPr>
            <w:tcW w:w="6262"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110" w:leftChars="5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符合供应商须知前附表的规定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82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tc>
        <w:tc>
          <w:tcPr>
            <w:tcW w:w="210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其他</w:t>
            </w:r>
          </w:p>
        </w:tc>
        <w:tc>
          <w:tcPr>
            <w:tcW w:w="6262"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110" w:leftChars="5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符合供应商须知前附表的规定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182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tc>
        <w:tc>
          <w:tcPr>
            <w:tcW w:w="210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不存在禁止投标的情形</w:t>
            </w:r>
          </w:p>
        </w:tc>
        <w:tc>
          <w:tcPr>
            <w:tcW w:w="6262"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110" w:leftChars="5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不存在第二章“供应商须知”第 1.4.3 项规定的任何一种情形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jc w:val="center"/>
        </w:trPr>
        <w:tc>
          <w:tcPr>
            <w:tcW w:w="1824"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详细条款</w:t>
            </w:r>
          </w:p>
        </w:tc>
        <w:tc>
          <w:tcPr>
            <w:tcW w:w="994"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最低分</w:t>
            </w:r>
          </w:p>
        </w:tc>
        <w:tc>
          <w:tcPr>
            <w:tcW w:w="1111"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最高分</w:t>
            </w:r>
          </w:p>
        </w:tc>
        <w:tc>
          <w:tcPr>
            <w:tcW w:w="1383"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评分点名称</w:t>
            </w:r>
          </w:p>
        </w:tc>
        <w:tc>
          <w:tcPr>
            <w:tcW w:w="487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评审标准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1" w:hRule="atLeast"/>
          <w:jc w:val="center"/>
        </w:trPr>
        <w:tc>
          <w:tcPr>
            <w:tcW w:w="1824" w:type="dxa"/>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经济标评分参数</w:t>
            </w:r>
          </w:p>
        </w:tc>
        <w:tc>
          <w:tcPr>
            <w:tcW w:w="994" w:type="dxa"/>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0.00</w:t>
            </w:r>
          </w:p>
        </w:tc>
        <w:tc>
          <w:tcPr>
            <w:tcW w:w="1111" w:type="dxa"/>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10.00</w:t>
            </w:r>
          </w:p>
        </w:tc>
        <w:tc>
          <w:tcPr>
            <w:tcW w:w="1383" w:type="dxa"/>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投标报价</w:t>
            </w:r>
          </w:p>
        </w:tc>
        <w:tc>
          <w:tcPr>
            <w:tcW w:w="487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110" w:leftChars="5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价格分采用低价优先法计算，即满足招标文件要求且评标报价最低的评标报价为评标基准价，其价格分为满分。其他供应商的价格分统一按照下列公式计算：投标报价得分=(评标基准价／评标报价)×投标报价权重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4" w:hRule="atLeast"/>
          <w:jc w:val="center"/>
        </w:trPr>
        <w:tc>
          <w:tcPr>
            <w:tcW w:w="182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技术标评分参数</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0.00</w:t>
            </w:r>
          </w:p>
        </w:tc>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10.00</w:t>
            </w:r>
          </w:p>
        </w:tc>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工作组织方案</w:t>
            </w:r>
          </w:p>
        </w:tc>
        <w:tc>
          <w:tcPr>
            <w:tcW w:w="4879"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根据</w:t>
            </w:r>
            <w:r>
              <w:rPr>
                <w:rFonts w:hint="eastAsia" w:ascii="仿宋" w:hAnsi="仿宋" w:eastAsia="仿宋" w:cs="仿宋"/>
                <w:snapToGrid w:val="0"/>
                <w:spacing w:val="0"/>
                <w:sz w:val="24"/>
                <w:szCs w:val="24"/>
                <w:highlight w:val="none"/>
                <w:lang w:val="en-US" w:eastAsia="zh-CN"/>
              </w:rPr>
              <w:t>供应商对</w:t>
            </w:r>
            <w:r>
              <w:rPr>
                <w:rFonts w:hint="eastAsia" w:ascii="仿宋" w:hAnsi="仿宋" w:eastAsia="仿宋" w:cs="仿宋"/>
                <w:snapToGrid w:val="0"/>
                <w:spacing w:val="0"/>
                <w:sz w:val="24"/>
                <w:szCs w:val="24"/>
                <w:lang w:val="en-US" w:eastAsia="zh-CN"/>
              </w:rPr>
              <w:t>本项目工作组织方案进行打分供应商提供的工作组织方案完整、内容详细得 7-10 分；供应商提供的工作组织方案较完整、较全面、内容较详细得4-7（含）分；供应商提供的工作组织方案基本完整、基本合理、内容一般得  0-4（含）分；未提供得0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4" w:hRule="atLeast"/>
          <w:jc w:val="center"/>
        </w:trPr>
        <w:tc>
          <w:tcPr>
            <w:tcW w:w="18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0.00</w:t>
            </w:r>
          </w:p>
        </w:tc>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7.00</w:t>
            </w:r>
          </w:p>
        </w:tc>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110" w:leftChars="50"/>
              <w:jc w:val="both"/>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供应商的内控管理制度</w:t>
            </w:r>
          </w:p>
        </w:tc>
        <w:tc>
          <w:tcPr>
            <w:tcW w:w="4879"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110" w:leftChars="50"/>
              <w:jc w:val="left"/>
              <w:textAlignment w:val="auto"/>
              <w:rPr>
                <w:rFonts w:hint="default"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根据供应商的管理制度和人员岗位职责制度进行打分：供应商提供的管理制度完整、健全、内容详细得 5-7 分；供应商提供的管理制度较完整、较健全、内容较详细得3-5（含）分；供应商提供的管理制度基本完整、基本合理、内容一般得  0-3（含）分；未提供得0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8" w:hRule="atLeast"/>
          <w:jc w:val="center"/>
        </w:trPr>
        <w:tc>
          <w:tcPr>
            <w:tcW w:w="18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0.00</w:t>
            </w:r>
          </w:p>
        </w:tc>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7.00</w:t>
            </w:r>
          </w:p>
        </w:tc>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供应商的运作机制及工作流程</w:t>
            </w:r>
          </w:p>
        </w:tc>
        <w:tc>
          <w:tcPr>
            <w:tcW w:w="4879"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left"/>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供应商提供的本项目的运作机制及工作流程分工明确、机制健全，内容完善得 5-7 分；供应商提供的本项目的运作机制及工作流程分工较明确、机制较健全，内容较完善得 3-5（含）分；供应商提供的本项目的运作机制及工作流程分工不合理、机制不 健全，内容不完善得 0-3（含）分；未提供得 0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1" w:hRule="atLeast"/>
          <w:jc w:val="center"/>
        </w:trPr>
        <w:tc>
          <w:tcPr>
            <w:tcW w:w="18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0.00</w:t>
            </w:r>
          </w:p>
        </w:tc>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7.00</w:t>
            </w:r>
          </w:p>
        </w:tc>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质量保障措施</w:t>
            </w:r>
          </w:p>
        </w:tc>
        <w:tc>
          <w:tcPr>
            <w:tcW w:w="4879"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left"/>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供应商提供的本项目的质量保障措施内容健全、详 细得 5-7分；供应商提供的本项目的质量保障措施内容较健全、合理得 3-5（含）分；供应商提供的本项目的质量保障措施内容一般、较合理得0-3（含）；未提供得 0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8" w:hRule="atLeast"/>
          <w:jc w:val="center"/>
        </w:trPr>
        <w:tc>
          <w:tcPr>
            <w:tcW w:w="18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tc>
        <w:tc>
          <w:tcPr>
            <w:tcW w:w="99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0.00</w:t>
            </w:r>
          </w:p>
        </w:tc>
        <w:tc>
          <w:tcPr>
            <w:tcW w:w="111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7.00</w:t>
            </w:r>
          </w:p>
        </w:tc>
        <w:tc>
          <w:tcPr>
            <w:tcW w:w="138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档案管理制度</w:t>
            </w:r>
          </w:p>
        </w:tc>
        <w:tc>
          <w:tcPr>
            <w:tcW w:w="4879"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left"/>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供应商提供本项目的档案管理制度和方法详细和方法健全，可操作性强得 5-7分；供应商提供本项目的档案管理制度和方法较详细和方法较健全，可操作性一般得 3-5（含）分；供应商提供本项目的档案管理制度和方法不详细和方法不健全，可操作性不强得 0-3（含）分；未提供得 0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2" w:hRule="atLeast"/>
          <w:jc w:val="center"/>
        </w:trPr>
        <w:tc>
          <w:tcPr>
            <w:tcW w:w="18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0.00</w:t>
            </w:r>
          </w:p>
        </w:tc>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5.00</w:t>
            </w:r>
          </w:p>
        </w:tc>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风险防范措施</w:t>
            </w:r>
          </w:p>
        </w:tc>
        <w:tc>
          <w:tcPr>
            <w:tcW w:w="4879"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left"/>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供应商对各阶段的财务咨询及审计服务工作中风险防范措施完善合理、措施清晰得 3-5分；供应商对各阶段的财务咨询及审计服务工作中风险防范措施较完善合理、措施较清晰得 1-3（含）分；供应商对各阶段的财务咨询及审计服务工作中风险防范措施不完善不合理、措施不清晰得 0-1（含）分；未提供得 0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2" w:hRule="atLeast"/>
          <w:jc w:val="center"/>
        </w:trPr>
        <w:tc>
          <w:tcPr>
            <w:tcW w:w="18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tc>
        <w:tc>
          <w:tcPr>
            <w:tcW w:w="99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0.00</w:t>
            </w:r>
          </w:p>
        </w:tc>
        <w:tc>
          <w:tcPr>
            <w:tcW w:w="111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5.00</w:t>
            </w:r>
          </w:p>
        </w:tc>
        <w:tc>
          <w:tcPr>
            <w:tcW w:w="138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供应商的保密措施</w:t>
            </w:r>
          </w:p>
        </w:tc>
        <w:tc>
          <w:tcPr>
            <w:tcW w:w="4879"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left"/>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供应商提供的本项目的保密措施内容完善、健全、可行性强得 3-5 分；供应商提供的本项目的保密措施内容较完善、较健全、可行性较强得 1-3（含） 分；供应商提供的本项目的保密措施内容不完善、不健全、可行性不强 0-1（含）分；未提供得 0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5" w:hRule="atLeast"/>
          <w:jc w:val="center"/>
        </w:trPr>
        <w:tc>
          <w:tcPr>
            <w:tcW w:w="18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tc>
        <w:tc>
          <w:tcPr>
            <w:tcW w:w="99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0.00</w:t>
            </w:r>
          </w:p>
        </w:tc>
        <w:tc>
          <w:tcPr>
            <w:tcW w:w="111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5.00</w:t>
            </w:r>
          </w:p>
        </w:tc>
        <w:tc>
          <w:tcPr>
            <w:tcW w:w="138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进度控制措施</w:t>
            </w:r>
          </w:p>
        </w:tc>
        <w:tc>
          <w:tcPr>
            <w:tcW w:w="4879"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left"/>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供应商提供的本项目的进度控制措施内容完善、可行性强得 3-5 分；供应商提供的本项目的进度控制措施内容较完善、可行性较强得 1-3（含）分；供应商提供的本项目的进度控制措施内容不完善、可行性不强 0-1（含）分；未提供得 0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7" w:hRule="atLeast"/>
          <w:jc w:val="center"/>
        </w:trPr>
        <w:tc>
          <w:tcPr>
            <w:tcW w:w="18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tc>
        <w:tc>
          <w:tcPr>
            <w:tcW w:w="99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0.00</w:t>
            </w:r>
          </w:p>
        </w:tc>
        <w:tc>
          <w:tcPr>
            <w:tcW w:w="111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4.00</w:t>
            </w:r>
          </w:p>
        </w:tc>
        <w:tc>
          <w:tcPr>
            <w:tcW w:w="138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项目重、难点分析及措施</w:t>
            </w:r>
          </w:p>
        </w:tc>
        <w:tc>
          <w:tcPr>
            <w:tcW w:w="4879"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left"/>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项目的重点、难点和控制点分析，以及相应对策和措施，措施的合理性、可行性，得 3-4分；措施基本合理、可行，得 1-3（含）分；措施不合理， 比较差的，得 0-1（含）分。未提供得 0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7" w:hRule="atLeast"/>
          <w:jc w:val="center"/>
        </w:trPr>
        <w:tc>
          <w:tcPr>
            <w:tcW w:w="18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tc>
        <w:tc>
          <w:tcPr>
            <w:tcW w:w="99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0.00</w:t>
            </w:r>
          </w:p>
        </w:tc>
        <w:tc>
          <w:tcPr>
            <w:tcW w:w="111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3.00</w:t>
            </w:r>
          </w:p>
        </w:tc>
        <w:tc>
          <w:tcPr>
            <w:tcW w:w="138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both"/>
              <w:textAlignment w:val="auto"/>
              <w:rPr>
                <w:rFonts w:hint="eastAsia" w:ascii="仿宋" w:hAnsi="仿宋" w:eastAsia="仿宋" w:cs="仿宋"/>
                <w:snapToGrid w:val="0"/>
                <w:spacing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both"/>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合理化建议</w:t>
            </w:r>
          </w:p>
        </w:tc>
        <w:tc>
          <w:tcPr>
            <w:tcW w:w="4879"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left"/>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项目工作计划及时间安排、质量保证的合理化建议等。供应商针对本项目实施过程中提出完善的合理化建议得 2-3 分；供应商针对本项目实施过程中提出较完善的建议得 1-2（含）分；供应商针对本项目实施过程中提出合理的建议 0-1（含）分； 未提供得 0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jc w:val="center"/>
        </w:trPr>
        <w:tc>
          <w:tcPr>
            <w:tcW w:w="182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综合标评分参数</w:t>
            </w:r>
          </w:p>
        </w:tc>
        <w:tc>
          <w:tcPr>
            <w:tcW w:w="994" w:type="dxa"/>
            <w:vAlign w:val="top"/>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0.00</w:t>
            </w:r>
          </w:p>
        </w:tc>
        <w:tc>
          <w:tcPr>
            <w:tcW w:w="1111" w:type="dxa"/>
            <w:vAlign w:val="top"/>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7.00</w:t>
            </w:r>
          </w:p>
        </w:tc>
        <w:tc>
          <w:tcPr>
            <w:tcW w:w="1383" w:type="dxa"/>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服务承诺</w:t>
            </w:r>
          </w:p>
        </w:tc>
        <w:tc>
          <w:tcPr>
            <w:tcW w:w="4879" w:type="dxa"/>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left"/>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①执业人员到岗承诺及保障措施（3 分）；评标委员会根据各供应商在服务期内承诺实际参与人员与投标拟派人员相符且有相应的保障措施，进行横向比较打分 0-3 分，未承诺得0 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left"/>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②响应承诺及保障措施（2 分）；评标委员会根据各供应商在本项目实施过程中承诺接到招标人通知后给出的解决方案的可执行性及保障措施，进行横向比较打分 0-2 分，未承诺得 0 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left"/>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③服从业主管理、项目服务配合度及完成质量标准承诺（2 分）：评标委员会根据各供应商承诺服务期内在任务分配、项目完成时间、配合程度和完成质量标准等方面服从招标人安排与管理，进行横向比较打分 0-2 分，未承诺得0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jc w:val="center"/>
        </w:trPr>
        <w:tc>
          <w:tcPr>
            <w:tcW w:w="182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tc>
        <w:tc>
          <w:tcPr>
            <w:tcW w:w="994"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1.00</w:t>
            </w:r>
          </w:p>
        </w:tc>
        <w:tc>
          <w:tcPr>
            <w:tcW w:w="1111"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3.00</w:t>
            </w:r>
          </w:p>
        </w:tc>
        <w:tc>
          <w:tcPr>
            <w:tcW w:w="1383"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综合评价</w:t>
            </w:r>
          </w:p>
        </w:tc>
        <w:tc>
          <w:tcPr>
            <w:tcW w:w="4879" w:type="dxa"/>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left"/>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由评标委员会根据各供应商投标文件编制的详实、合理、认真程度等综合印象进行横向比较打分。（1-3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jc w:val="center"/>
        </w:trPr>
        <w:tc>
          <w:tcPr>
            <w:tcW w:w="182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业绩信誉</w:t>
            </w:r>
          </w:p>
        </w:tc>
        <w:tc>
          <w:tcPr>
            <w:tcW w:w="994" w:type="dxa"/>
            <w:vAlign w:val="top"/>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0.00</w:t>
            </w:r>
          </w:p>
        </w:tc>
        <w:tc>
          <w:tcPr>
            <w:tcW w:w="1111" w:type="dxa"/>
            <w:vAlign w:val="top"/>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10.00</w:t>
            </w:r>
          </w:p>
        </w:tc>
        <w:tc>
          <w:tcPr>
            <w:tcW w:w="1383" w:type="dxa"/>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企业业绩</w:t>
            </w:r>
          </w:p>
        </w:tc>
        <w:tc>
          <w:tcPr>
            <w:tcW w:w="4879" w:type="dxa"/>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both"/>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2019 年 1 月 1 日以来（以合同签订时间为准）完成过类似业绩一项得 2 分，本项最多得 10 分（时间以合同签订时间为准，投标文件附合同或相关证明资料原件扫描件，否则不得分。）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jc w:val="center"/>
        </w:trPr>
        <w:tc>
          <w:tcPr>
            <w:tcW w:w="182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tc>
        <w:tc>
          <w:tcPr>
            <w:tcW w:w="994" w:type="dxa"/>
            <w:vAlign w:val="top"/>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0.00</w:t>
            </w:r>
          </w:p>
        </w:tc>
        <w:tc>
          <w:tcPr>
            <w:tcW w:w="1111" w:type="dxa"/>
            <w:vAlign w:val="top"/>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10.00</w:t>
            </w:r>
          </w:p>
        </w:tc>
        <w:tc>
          <w:tcPr>
            <w:tcW w:w="1383" w:type="dxa"/>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项目组人员配备</w:t>
            </w:r>
          </w:p>
        </w:tc>
        <w:tc>
          <w:tcPr>
            <w:tcW w:w="4879" w:type="dxa"/>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jc w:val="left"/>
              <w:textAlignment w:val="auto"/>
              <w:rPr>
                <w:rFonts w:hint="eastAsia" w:ascii="仿宋" w:hAnsi="仿宋" w:eastAsia="仿宋" w:cs="仿宋"/>
                <w:snapToGrid w:val="0"/>
                <w:spacing w:val="0"/>
                <w:sz w:val="24"/>
                <w:szCs w:val="24"/>
                <w:highlight w:val="none"/>
                <w:lang w:val="en-US" w:eastAsia="zh-CN"/>
              </w:rPr>
            </w:pPr>
            <w:r>
              <w:rPr>
                <w:rFonts w:hint="eastAsia" w:ascii="仿宋" w:hAnsi="仿宋" w:eastAsia="仿宋" w:cs="仿宋"/>
                <w:snapToGrid w:val="0"/>
                <w:spacing w:val="0"/>
                <w:sz w:val="24"/>
                <w:szCs w:val="24"/>
                <w:highlight w:val="none"/>
                <w:lang w:val="en-US" w:eastAsia="zh-CN"/>
              </w:rPr>
              <w:t>①拟派项目组人员具备税务师或注册会计师的每有一名得 1.5 分，最高得 6 分；②拟派项目组人员具备相关专业中级及以上职称每人加 1 分，该项最高得分为 4 分。（须为本单位人员，在投标文件中附相关证书扫描件及劳动合同，否则不得分）。</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val="en-US" w:eastAsia="zh-CN"/>
        </w:rPr>
        <w:sectPr>
          <w:pgSz w:w="11906" w:h="16838"/>
          <w:pgMar w:top="1134" w:right="1134" w:bottom="1134" w:left="1134" w:header="851" w:footer="992" w:gutter="0"/>
          <w:pgNumType w:fmt="decimal"/>
          <w:cols w:space="425" w:num="1"/>
          <w:docGrid w:type="lines" w:linePitch="312" w:charSpace="0"/>
        </w:sect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snapToGrid w:val="0"/>
          <w:spacing w:val="0"/>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outlineLvl w:val="0"/>
        <w:rPr>
          <w:rFonts w:hint="eastAsia" w:ascii="仿宋" w:hAnsi="仿宋" w:eastAsia="仿宋" w:cs="仿宋"/>
          <w:b/>
          <w:bCs/>
          <w:snapToGrid w:val="0"/>
          <w:spacing w:val="0"/>
          <w:sz w:val="32"/>
          <w:szCs w:val="32"/>
          <w:lang w:val="en-US" w:eastAsia="zh-CN"/>
        </w:rPr>
        <w:sectPr>
          <w:pgSz w:w="11906" w:h="16838"/>
          <w:pgMar w:top="1134" w:right="1134" w:bottom="1134" w:left="1134" w:header="851" w:footer="992" w:gutter="0"/>
          <w:pgNumType w:fmt="decimal"/>
          <w:cols w:space="425" w:num="1"/>
          <w:docGrid w:type="lines" w:linePitch="312" w:charSpace="0"/>
        </w:sectPr>
      </w:pPr>
      <w:bookmarkStart w:id="81" w:name="_Toc22358"/>
      <w:bookmarkStart w:id="82" w:name="_Toc23879"/>
      <w:r>
        <w:rPr>
          <w:rFonts w:hint="eastAsia" w:ascii="仿宋" w:hAnsi="仿宋" w:eastAsia="仿宋" w:cs="仿宋"/>
          <w:b/>
          <w:bCs/>
          <w:snapToGrid w:val="0"/>
          <w:spacing w:val="0"/>
          <w:sz w:val="32"/>
          <w:szCs w:val="32"/>
          <w:lang w:val="en-US" w:eastAsia="zh-CN"/>
        </w:rPr>
        <w:t>第七章  投标文件格式</w:t>
      </w:r>
      <w:bookmarkEnd w:id="81"/>
      <w:bookmarkEnd w:id="82"/>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0"/>
        <w:rPr>
          <w:rFonts w:hint="eastAsia" w:ascii="仿宋" w:hAnsi="仿宋" w:eastAsia="仿宋" w:cs="仿宋"/>
          <w:b/>
          <w:bCs/>
          <w:snapToGrid w:val="0"/>
          <w:spacing w:val="0"/>
          <w:sz w:val="30"/>
          <w:szCs w:val="30"/>
          <w:lang w:val="en-US" w:eastAsia="zh-CN"/>
        </w:rPr>
      </w:pPr>
      <w:bookmarkStart w:id="83" w:name="_Toc25587"/>
      <w:bookmarkStart w:id="84" w:name="_Toc6684"/>
      <w:bookmarkStart w:id="85" w:name="_Toc1387"/>
      <w:r>
        <w:rPr>
          <w:rFonts w:hint="eastAsia" w:ascii="仿宋" w:hAnsi="仿宋" w:eastAsia="仿宋" w:cs="仿宋"/>
          <w:b/>
          <w:bCs/>
          <w:snapToGrid w:val="0"/>
          <w:spacing w:val="0"/>
          <w:sz w:val="30"/>
          <w:szCs w:val="30"/>
          <w:lang w:val="en-US" w:eastAsia="zh-CN"/>
        </w:rPr>
        <w:t>目  录</w:t>
      </w:r>
      <w:bookmarkEnd w:id="83"/>
      <w:bookmarkEnd w:id="84"/>
      <w:bookmarkEnd w:id="85"/>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outlineLvl w:val="0"/>
        <w:rPr>
          <w:rFonts w:hint="eastAsia" w:ascii="仿宋" w:hAnsi="仿宋" w:eastAsia="仿宋" w:cs="仿宋"/>
          <w:snapToGrid w:val="0"/>
          <w:spacing w:val="0"/>
          <w:sz w:val="24"/>
          <w:szCs w:val="24"/>
          <w:lang w:val="en-US" w:eastAsia="zh-CN"/>
        </w:rPr>
      </w:pPr>
      <w:bookmarkStart w:id="86" w:name="_Toc5268"/>
      <w:bookmarkStart w:id="87" w:name="_Toc7315"/>
      <w:bookmarkStart w:id="88" w:name="_Toc927"/>
      <w:r>
        <w:rPr>
          <w:rFonts w:hint="eastAsia" w:ascii="仿宋" w:hAnsi="仿宋" w:eastAsia="仿宋" w:cs="仿宋"/>
          <w:snapToGrid w:val="0"/>
          <w:spacing w:val="0"/>
          <w:sz w:val="24"/>
          <w:szCs w:val="24"/>
          <w:lang w:val="en-US" w:eastAsia="zh-CN"/>
        </w:rPr>
        <w:t>（1）投标函；</w:t>
      </w:r>
      <w:bookmarkEnd w:id="86"/>
      <w:bookmarkEnd w:id="87"/>
      <w:bookmarkEnd w:id="88"/>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outlineLvl w:val="0"/>
        <w:rPr>
          <w:rFonts w:hint="eastAsia" w:ascii="仿宋" w:hAnsi="仿宋" w:eastAsia="仿宋" w:cs="仿宋"/>
          <w:snapToGrid w:val="0"/>
          <w:spacing w:val="0"/>
          <w:sz w:val="24"/>
          <w:szCs w:val="24"/>
          <w:lang w:val="en-US" w:eastAsia="zh-CN"/>
        </w:rPr>
      </w:pPr>
      <w:bookmarkStart w:id="89" w:name="_Toc27763"/>
      <w:bookmarkStart w:id="90" w:name="_Toc15438"/>
      <w:bookmarkStart w:id="91" w:name="_Toc31472"/>
      <w:r>
        <w:rPr>
          <w:rFonts w:hint="eastAsia" w:ascii="仿宋" w:hAnsi="仿宋" w:eastAsia="仿宋" w:cs="仿宋"/>
          <w:snapToGrid w:val="0"/>
          <w:spacing w:val="0"/>
          <w:sz w:val="24"/>
          <w:szCs w:val="24"/>
          <w:lang w:val="en-US" w:eastAsia="zh-CN"/>
        </w:rPr>
        <w:t>（2）法定代表人授权书；</w:t>
      </w:r>
      <w:bookmarkEnd w:id="89"/>
      <w:bookmarkEnd w:id="90"/>
      <w:bookmarkEnd w:id="91"/>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outlineLvl w:val="0"/>
        <w:rPr>
          <w:rFonts w:hint="eastAsia" w:ascii="仿宋" w:hAnsi="仿宋" w:eastAsia="仿宋" w:cs="仿宋"/>
          <w:snapToGrid w:val="0"/>
          <w:spacing w:val="0"/>
          <w:sz w:val="24"/>
          <w:szCs w:val="24"/>
          <w:lang w:val="en-US" w:eastAsia="zh-CN"/>
        </w:rPr>
      </w:pPr>
      <w:bookmarkStart w:id="92" w:name="_Toc8189"/>
      <w:bookmarkStart w:id="93" w:name="_Toc28958"/>
      <w:bookmarkStart w:id="94" w:name="_Toc12724"/>
      <w:r>
        <w:rPr>
          <w:rFonts w:hint="eastAsia" w:ascii="仿宋" w:hAnsi="仿宋" w:eastAsia="仿宋" w:cs="仿宋"/>
          <w:snapToGrid w:val="0"/>
          <w:spacing w:val="0"/>
          <w:sz w:val="24"/>
          <w:szCs w:val="24"/>
          <w:lang w:val="en-US" w:eastAsia="zh-CN"/>
        </w:rPr>
        <w:t>（3）法人被授权人身份证扫描件；</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outlineLvl w:val="0"/>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（4）资格证明材料</w:t>
      </w:r>
      <w:bookmarkEnd w:id="92"/>
      <w:r>
        <w:rPr>
          <w:rFonts w:hint="eastAsia" w:ascii="仿宋" w:hAnsi="仿宋" w:eastAsia="仿宋" w:cs="仿宋"/>
          <w:snapToGrid w:val="0"/>
          <w:spacing w:val="0"/>
          <w:sz w:val="24"/>
          <w:szCs w:val="24"/>
          <w:lang w:val="en-US" w:eastAsia="zh-CN"/>
        </w:rPr>
        <w:t>；</w:t>
      </w:r>
      <w:bookmarkEnd w:id="93"/>
      <w:bookmarkEnd w:id="94"/>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outlineLvl w:val="0"/>
        <w:rPr>
          <w:rFonts w:hint="eastAsia" w:ascii="仿宋" w:hAnsi="仿宋" w:eastAsia="仿宋" w:cs="仿宋"/>
          <w:snapToGrid w:val="0"/>
          <w:spacing w:val="0"/>
          <w:sz w:val="24"/>
          <w:szCs w:val="24"/>
          <w:lang w:val="en-US" w:eastAsia="zh-CN"/>
        </w:rPr>
      </w:pPr>
      <w:bookmarkStart w:id="95" w:name="_Toc10911"/>
      <w:bookmarkStart w:id="96" w:name="_Toc21280"/>
      <w:bookmarkStart w:id="97" w:name="_Toc1839"/>
      <w:r>
        <w:rPr>
          <w:rFonts w:hint="eastAsia" w:ascii="仿宋" w:hAnsi="仿宋" w:eastAsia="仿宋" w:cs="仿宋"/>
          <w:snapToGrid w:val="0"/>
          <w:spacing w:val="0"/>
          <w:sz w:val="24"/>
          <w:szCs w:val="24"/>
          <w:lang w:val="en-US" w:eastAsia="zh-CN"/>
        </w:rPr>
        <w:t>（5）开标一览表；</w:t>
      </w:r>
      <w:bookmarkEnd w:id="95"/>
      <w:bookmarkEnd w:id="96"/>
      <w:bookmarkEnd w:id="97"/>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outlineLvl w:val="0"/>
        <w:rPr>
          <w:rFonts w:hint="eastAsia" w:ascii="仿宋" w:hAnsi="仿宋" w:eastAsia="仿宋" w:cs="仿宋"/>
          <w:snapToGrid w:val="0"/>
          <w:spacing w:val="0"/>
          <w:sz w:val="24"/>
          <w:szCs w:val="24"/>
          <w:lang w:val="en-US" w:eastAsia="zh-CN"/>
        </w:rPr>
      </w:pPr>
      <w:bookmarkStart w:id="98" w:name="_Toc22254"/>
      <w:bookmarkStart w:id="99" w:name="_Toc2918"/>
      <w:bookmarkStart w:id="100" w:name="_Toc5287"/>
      <w:r>
        <w:rPr>
          <w:rFonts w:hint="eastAsia" w:ascii="仿宋" w:hAnsi="仿宋" w:eastAsia="仿宋" w:cs="仿宋"/>
          <w:snapToGrid w:val="0"/>
          <w:spacing w:val="0"/>
          <w:sz w:val="24"/>
          <w:szCs w:val="24"/>
          <w:lang w:val="en-US" w:eastAsia="zh-CN"/>
        </w:rPr>
        <w:t>（6）报价明细表；</w:t>
      </w:r>
      <w:bookmarkEnd w:id="98"/>
      <w:bookmarkEnd w:id="99"/>
      <w:bookmarkEnd w:id="100"/>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outlineLvl w:val="0"/>
        <w:rPr>
          <w:rFonts w:hint="eastAsia" w:ascii="仿宋" w:hAnsi="仿宋" w:eastAsia="仿宋" w:cs="仿宋"/>
          <w:snapToGrid w:val="0"/>
          <w:spacing w:val="0"/>
          <w:sz w:val="24"/>
          <w:szCs w:val="24"/>
          <w:lang w:val="en-US" w:eastAsia="zh-CN"/>
        </w:rPr>
      </w:pPr>
      <w:bookmarkStart w:id="101" w:name="_Toc31121"/>
      <w:bookmarkStart w:id="102" w:name="_Toc14812"/>
      <w:bookmarkStart w:id="103" w:name="_Toc16316"/>
      <w:r>
        <w:rPr>
          <w:rFonts w:hint="eastAsia" w:ascii="仿宋" w:hAnsi="仿宋" w:eastAsia="仿宋" w:cs="仿宋"/>
          <w:snapToGrid w:val="0"/>
          <w:spacing w:val="0"/>
          <w:sz w:val="24"/>
          <w:szCs w:val="24"/>
          <w:lang w:val="en-US" w:eastAsia="zh-CN"/>
        </w:rPr>
        <w:t>（7）项目实施方案和计划；</w:t>
      </w:r>
      <w:bookmarkEnd w:id="101"/>
      <w:bookmarkEnd w:id="102"/>
      <w:bookmarkEnd w:id="103"/>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outlineLvl w:val="0"/>
        <w:rPr>
          <w:rFonts w:hint="eastAsia" w:ascii="仿宋" w:hAnsi="仿宋" w:eastAsia="仿宋" w:cs="仿宋"/>
          <w:snapToGrid w:val="0"/>
          <w:spacing w:val="0"/>
          <w:sz w:val="24"/>
          <w:szCs w:val="24"/>
          <w:lang w:val="en-US" w:eastAsia="zh-CN"/>
        </w:rPr>
      </w:pPr>
      <w:bookmarkStart w:id="104" w:name="_Toc27540"/>
      <w:bookmarkStart w:id="105" w:name="_Toc13049"/>
      <w:bookmarkStart w:id="106" w:name="_Toc13928"/>
      <w:r>
        <w:rPr>
          <w:rFonts w:hint="eastAsia" w:ascii="仿宋" w:hAnsi="仿宋" w:eastAsia="仿宋" w:cs="仿宋"/>
          <w:snapToGrid w:val="0"/>
          <w:spacing w:val="0"/>
          <w:sz w:val="24"/>
          <w:szCs w:val="24"/>
          <w:lang w:val="en-US" w:eastAsia="zh-CN"/>
        </w:rPr>
        <w:t>（8）后续服务及优惠条件；</w:t>
      </w:r>
      <w:bookmarkEnd w:id="104"/>
      <w:bookmarkEnd w:id="105"/>
      <w:bookmarkEnd w:id="106"/>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outlineLvl w:val="0"/>
        <w:rPr>
          <w:rFonts w:hint="eastAsia" w:ascii="仿宋" w:hAnsi="仿宋" w:eastAsia="仿宋" w:cs="仿宋"/>
          <w:snapToGrid w:val="0"/>
          <w:spacing w:val="0"/>
          <w:sz w:val="24"/>
          <w:szCs w:val="24"/>
          <w:lang w:val="en-US" w:eastAsia="zh-CN"/>
        </w:rPr>
      </w:pPr>
      <w:bookmarkStart w:id="107" w:name="_Toc28405"/>
      <w:bookmarkStart w:id="108" w:name="_Toc32596"/>
      <w:bookmarkStart w:id="109" w:name="_Toc5717"/>
      <w:r>
        <w:rPr>
          <w:rFonts w:hint="eastAsia" w:ascii="仿宋" w:hAnsi="仿宋" w:eastAsia="仿宋" w:cs="仿宋"/>
          <w:snapToGrid w:val="0"/>
          <w:spacing w:val="0"/>
          <w:sz w:val="24"/>
          <w:szCs w:val="24"/>
          <w:lang w:val="en-US" w:eastAsia="zh-CN"/>
        </w:rPr>
        <w:t>（9）其他需要提供的资料；</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outlineLvl w:val="0"/>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（10）参与评审打分的证书（证件）一览表；</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outlineLvl w:val="0"/>
        <w:rPr>
          <w:rFonts w:hint="eastAsia" w:ascii="仿宋" w:hAnsi="仿宋" w:eastAsia="仿宋" w:cs="仿宋"/>
          <w:snapToGrid w:val="0"/>
          <w:spacing w:val="0"/>
          <w:sz w:val="24"/>
          <w:szCs w:val="24"/>
          <w:lang w:val="en-US" w:eastAsia="zh-CN"/>
        </w:rPr>
      </w:pPr>
      <w:r>
        <w:rPr>
          <w:rFonts w:hint="eastAsia" w:ascii="仿宋" w:hAnsi="仿宋" w:eastAsia="仿宋" w:cs="仿宋"/>
          <w:snapToGrid w:val="0"/>
          <w:spacing w:val="0"/>
          <w:sz w:val="24"/>
          <w:szCs w:val="24"/>
          <w:lang w:val="en-US" w:eastAsia="zh-CN"/>
        </w:rPr>
        <w:t>（11）参与评审打分的合同业绩一览表。</w:t>
      </w:r>
      <w:bookmarkEnd w:id="107"/>
      <w:bookmarkEnd w:id="108"/>
      <w:bookmarkEnd w:id="109"/>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val="en-US" w:eastAsia="zh-CN"/>
        </w:rPr>
        <w:sectPr>
          <w:pgSz w:w="11906" w:h="16838"/>
          <w:pgMar w:top="1134" w:right="1134" w:bottom="1134" w:left="1134" w:header="851" w:footer="992" w:gutter="0"/>
          <w:pgNumType w:fmt="decimal"/>
          <w:cols w:space="425" w:num="1"/>
          <w:docGrid w:type="lines" w:linePitch="312" w:charSpace="0"/>
        </w:sect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仿宋" w:hAnsi="仿宋" w:eastAsia="仿宋" w:cs="仿宋"/>
          <w:b/>
          <w:bCs/>
          <w:snapToGrid w:val="0"/>
          <w:spacing w:val="0"/>
          <w:sz w:val="28"/>
          <w:szCs w:val="28"/>
          <w:lang w:val="en-US" w:eastAsia="zh-CN"/>
        </w:rPr>
      </w:pPr>
      <w:r>
        <w:rPr>
          <w:rFonts w:hint="eastAsia" w:ascii="仿宋" w:hAnsi="仿宋" w:eastAsia="仿宋" w:cs="仿宋"/>
          <w:b/>
          <w:bCs/>
          <w:snapToGrid w:val="0"/>
          <w:spacing w:val="0"/>
          <w:sz w:val="28"/>
          <w:szCs w:val="28"/>
          <w:lang w:val="en-US" w:eastAsia="zh-CN"/>
        </w:rPr>
        <w:t>封面</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textAlignment w:val="auto"/>
        <w:rPr>
          <w:rFonts w:hint="eastAsia" w:ascii="仿宋" w:hAnsi="仿宋" w:eastAsia="仿宋" w:cs="仿宋"/>
          <w:snapToGrid w:val="0"/>
          <w:spacing w:val="0"/>
          <w:sz w:val="28"/>
          <w:szCs w:val="28"/>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textAlignment w:val="auto"/>
        <w:rPr>
          <w:rFonts w:hint="eastAsia" w:ascii="仿宋" w:hAnsi="仿宋" w:eastAsia="仿宋" w:cs="仿宋"/>
          <w:snapToGrid w:val="0"/>
          <w:spacing w:val="0"/>
          <w:sz w:val="28"/>
          <w:szCs w:val="28"/>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textAlignment w:val="auto"/>
        <w:rPr>
          <w:rFonts w:hint="eastAsia" w:ascii="仿宋" w:hAnsi="仿宋" w:eastAsia="仿宋" w:cs="仿宋"/>
          <w:snapToGrid w:val="0"/>
          <w:spacing w:val="0"/>
          <w:sz w:val="28"/>
          <w:szCs w:val="28"/>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0"/>
        <w:rPr>
          <w:rFonts w:hint="eastAsia" w:ascii="仿宋" w:hAnsi="仿宋" w:eastAsia="仿宋" w:cs="仿宋"/>
          <w:b/>
          <w:bCs/>
          <w:snapToGrid w:val="0"/>
          <w:spacing w:val="0"/>
          <w:sz w:val="96"/>
          <w:szCs w:val="96"/>
        </w:rPr>
      </w:pPr>
      <w:bookmarkStart w:id="110" w:name="_Toc13566"/>
      <w:bookmarkStart w:id="111" w:name="_Toc26263"/>
      <w:bookmarkStart w:id="112" w:name="_Toc10891"/>
      <w:r>
        <w:rPr>
          <w:rFonts w:hint="eastAsia" w:ascii="仿宋" w:hAnsi="仿宋" w:eastAsia="仿宋" w:cs="仿宋"/>
          <w:b/>
          <w:bCs/>
          <w:snapToGrid w:val="0"/>
          <w:spacing w:val="0"/>
          <w:sz w:val="96"/>
          <w:szCs w:val="96"/>
        </w:rPr>
        <w:t>投标文件</w:t>
      </w:r>
      <w:bookmarkEnd w:id="110"/>
      <w:bookmarkEnd w:id="111"/>
      <w:bookmarkEnd w:id="112"/>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textAlignment w:val="auto"/>
        <w:rPr>
          <w:rFonts w:hint="eastAsia" w:ascii="仿宋" w:hAnsi="仿宋" w:eastAsia="仿宋" w:cs="仿宋"/>
          <w:snapToGrid w:val="0"/>
          <w:spacing w:val="0"/>
          <w:sz w:val="28"/>
          <w:szCs w:val="28"/>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textAlignment w:val="auto"/>
        <w:rPr>
          <w:rFonts w:hint="eastAsia" w:ascii="仿宋" w:hAnsi="仿宋" w:eastAsia="仿宋" w:cs="仿宋"/>
          <w:snapToGrid w:val="0"/>
          <w:spacing w:val="0"/>
          <w:sz w:val="28"/>
          <w:szCs w:val="28"/>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textAlignment w:val="auto"/>
        <w:rPr>
          <w:rFonts w:hint="eastAsia" w:ascii="仿宋" w:hAnsi="仿宋" w:eastAsia="仿宋" w:cs="仿宋"/>
          <w:snapToGrid w:val="0"/>
          <w:spacing w:val="0"/>
          <w:sz w:val="28"/>
          <w:szCs w:val="28"/>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textAlignment w:val="auto"/>
        <w:rPr>
          <w:rFonts w:hint="eastAsia" w:ascii="仿宋" w:hAnsi="仿宋" w:eastAsia="仿宋" w:cs="仿宋"/>
          <w:snapToGrid w:val="0"/>
          <w:spacing w:val="0"/>
          <w:sz w:val="28"/>
          <w:szCs w:val="28"/>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textAlignment w:val="auto"/>
        <w:outlineLvl w:val="0"/>
        <w:rPr>
          <w:rFonts w:hint="eastAsia" w:ascii="仿宋" w:hAnsi="仿宋" w:eastAsia="仿宋" w:cs="仿宋"/>
          <w:snapToGrid w:val="0"/>
          <w:spacing w:val="0"/>
          <w:sz w:val="28"/>
          <w:szCs w:val="28"/>
          <w:lang w:eastAsia="zh-CN"/>
        </w:rPr>
      </w:pPr>
      <w:bookmarkStart w:id="113" w:name="_Toc29674"/>
      <w:bookmarkStart w:id="114" w:name="_Toc30433"/>
      <w:bookmarkStart w:id="115" w:name="_Toc18412"/>
      <w:r>
        <w:rPr>
          <w:rFonts w:hint="eastAsia" w:ascii="仿宋" w:hAnsi="仿宋" w:eastAsia="仿宋" w:cs="仿宋"/>
          <w:snapToGrid w:val="0"/>
          <w:spacing w:val="0"/>
          <w:sz w:val="28"/>
          <w:szCs w:val="28"/>
        </w:rPr>
        <w:t>项目名称、标段</w:t>
      </w:r>
      <w:r>
        <w:rPr>
          <w:rFonts w:hint="eastAsia" w:ascii="仿宋" w:hAnsi="仿宋" w:eastAsia="仿宋" w:cs="仿宋"/>
          <w:snapToGrid w:val="0"/>
          <w:spacing w:val="0"/>
          <w:sz w:val="28"/>
          <w:szCs w:val="28"/>
          <w:lang w:eastAsia="zh-CN"/>
        </w:rPr>
        <w:t>：</w:t>
      </w:r>
      <w:bookmarkEnd w:id="113"/>
      <w:bookmarkEnd w:id="114"/>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textAlignment w:val="auto"/>
        <w:outlineLvl w:val="0"/>
        <w:rPr>
          <w:rFonts w:hint="eastAsia" w:ascii="仿宋" w:hAnsi="仿宋" w:eastAsia="仿宋" w:cs="仿宋"/>
          <w:snapToGrid w:val="0"/>
          <w:spacing w:val="0"/>
          <w:sz w:val="28"/>
          <w:szCs w:val="28"/>
        </w:rPr>
      </w:pPr>
      <w:bookmarkStart w:id="116" w:name="_Toc12966"/>
      <w:bookmarkStart w:id="117" w:name="_Toc31609"/>
      <w:r>
        <w:rPr>
          <w:rFonts w:hint="eastAsia" w:ascii="仿宋" w:hAnsi="仿宋" w:eastAsia="仿宋" w:cs="仿宋"/>
          <w:snapToGrid w:val="0"/>
          <w:spacing w:val="0"/>
          <w:sz w:val="28"/>
          <w:szCs w:val="28"/>
        </w:rPr>
        <w:t>招标编号：</w:t>
      </w:r>
      <w:bookmarkEnd w:id="115"/>
      <w:bookmarkEnd w:id="116"/>
      <w:bookmarkEnd w:id="117"/>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textAlignment w:val="auto"/>
        <w:rPr>
          <w:rFonts w:hint="eastAsia" w:ascii="仿宋" w:hAnsi="仿宋" w:eastAsia="仿宋" w:cs="仿宋"/>
          <w:snapToGrid w:val="0"/>
          <w:spacing w:val="0"/>
          <w:sz w:val="28"/>
          <w:szCs w:val="28"/>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textAlignment w:val="auto"/>
        <w:rPr>
          <w:rFonts w:hint="eastAsia" w:ascii="仿宋" w:hAnsi="仿宋" w:eastAsia="仿宋" w:cs="仿宋"/>
          <w:snapToGrid w:val="0"/>
          <w:spacing w:val="0"/>
          <w:sz w:val="28"/>
          <w:szCs w:val="28"/>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textAlignment w:val="auto"/>
        <w:rPr>
          <w:rFonts w:hint="eastAsia" w:ascii="仿宋" w:hAnsi="仿宋" w:eastAsia="仿宋" w:cs="仿宋"/>
          <w:snapToGrid w:val="0"/>
          <w:spacing w:val="0"/>
          <w:sz w:val="28"/>
          <w:szCs w:val="28"/>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textAlignment w:val="auto"/>
        <w:rPr>
          <w:rFonts w:hint="eastAsia" w:ascii="仿宋" w:hAnsi="仿宋" w:eastAsia="仿宋" w:cs="仿宋"/>
          <w:snapToGrid w:val="0"/>
          <w:spacing w:val="0"/>
          <w:sz w:val="28"/>
          <w:szCs w:val="28"/>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textAlignment w:val="auto"/>
        <w:rPr>
          <w:rFonts w:hint="eastAsia" w:ascii="仿宋" w:hAnsi="仿宋" w:eastAsia="仿宋" w:cs="仿宋"/>
          <w:snapToGrid w:val="0"/>
          <w:spacing w:val="0"/>
          <w:sz w:val="28"/>
          <w:szCs w:val="28"/>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textAlignment w:val="auto"/>
        <w:rPr>
          <w:rFonts w:hint="eastAsia" w:ascii="仿宋" w:hAnsi="仿宋" w:eastAsia="仿宋" w:cs="仿宋"/>
          <w:snapToGrid w:val="0"/>
          <w:spacing w:val="0"/>
          <w:sz w:val="28"/>
          <w:szCs w:val="28"/>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textAlignment w:val="auto"/>
        <w:outlineLvl w:val="0"/>
        <w:rPr>
          <w:rFonts w:hint="eastAsia" w:ascii="仿宋" w:hAnsi="仿宋" w:eastAsia="仿宋" w:cs="仿宋"/>
          <w:snapToGrid w:val="0"/>
          <w:spacing w:val="0"/>
          <w:sz w:val="28"/>
          <w:szCs w:val="28"/>
          <w:lang w:eastAsia="zh-CN"/>
        </w:rPr>
      </w:pPr>
      <w:bookmarkStart w:id="118" w:name="_Toc732"/>
      <w:bookmarkStart w:id="119" w:name="_Toc6330"/>
      <w:r>
        <w:rPr>
          <w:rFonts w:hint="eastAsia" w:ascii="仿宋" w:hAnsi="仿宋" w:eastAsia="仿宋" w:cs="仿宋"/>
          <w:snapToGrid w:val="0"/>
          <w:spacing w:val="0"/>
          <w:sz w:val="28"/>
          <w:szCs w:val="28"/>
          <w:lang w:eastAsia="zh-CN"/>
        </w:rPr>
        <w:t>供应商名称：</w:t>
      </w:r>
      <w:bookmarkEnd w:id="118"/>
      <w:bookmarkEnd w:id="119"/>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textAlignment w:val="auto"/>
        <w:outlineLvl w:val="0"/>
        <w:rPr>
          <w:rFonts w:hint="eastAsia" w:ascii="仿宋" w:hAnsi="仿宋" w:eastAsia="仿宋" w:cs="仿宋"/>
          <w:snapToGrid w:val="0"/>
          <w:spacing w:val="0"/>
          <w:sz w:val="28"/>
          <w:szCs w:val="28"/>
          <w:lang w:eastAsia="zh-CN"/>
        </w:rPr>
        <w:sectPr>
          <w:pgSz w:w="11906" w:h="16838"/>
          <w:pgMar w:top="1134" w:right="1134" w:bottom="1134" w:left="1134" w:header="851" w:footer="992" w:gutter="0"/>
          <w:pgNumType w:fmt="decimal"/>
          <w:cols w:space="425" w:num="1"/>
          <w:docGrid w:type="lines" w:linePitch="312" w:charSpace="0"/>
        </w:sectPr>
      </w:pPr>
      <w:bookmarkStart w:id="120" w:name="_Toc27481"/>
      <w:bookmarkStart w:id="121" w:name="_Toc18521"/>
      <w:r>
        <w:rPr>
          <w:rFonts w:hint="eastAsia" w:ascii="仿宋" w:hAnsi="仿宋" w:eastAsia="仿宋" w:cs="仿宋"/>
          <w:snapToGrid w:val="0"/>
          <w:spacing w:val="0"/>
          <w:sz w:val="28"/>
          <w:szCs w:val="28"/>
          <w:lang w:eastAsia="zh-CN"/>
        </w:rPr>
        <w:t>日期：</w:t>
      </w:r>
      <w:bookmarkEnd w:id="120"/>
      <w:bookmarkEnd w:id="121"/>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0"/>
        <w:rPr>
          <w:rFonts w:hint="eastAsia" w:ascii="仿宋" w:hAnsi="仿宋" w:eastAsia="仿宋" w:cs="仿宋"/>
          <w:b/>
          <w:bCs/>
          <w:snapToGrid w:val="0"/>
          <w:spacing w:val="0"/>
          <w:sz w:val="28"/>
          <w:szCs w:val="28"/>
          <w:lang w:eastAsia="zh-CN"/>
        </w:rPr>
      </w:pPr>
      <w:bookmarkStart w:id="122" w:name="_Toc1660952"/>
      <w:bookmarkStart w:id="123" w:name="_Toc5786"/>
      <w:bookmarkStart w:id="124" w:name="_Toc8174"/>
      <w:bookmarkStart w:id="125" w:name="_Toc15217"/>
      <w:bookmarkStart w:id="126" w:name="_Toc31172"/>
      <w:r>
        <w:rPr>
          <w:rFonts w:hint="eastAsia" w:ascii="仿宋" w:hAnsi="仿宋" w:eastAsia="仿宋" w:cs="仿宋"/>
          <w:b/>
          <w:bCs/>
          <w:snapToGrid w:val="0"/>
          <w:spacing w:val="0"/>
          <w:sz w:val="28"/>
          <w:szCs w:val="28"/>
          <w:lang w:eastAsia="zh-CN"/>
        </w:rPr>
        <w:t>附件1：投标函</w:t>
      </w:r>
      <w:bookmarkEnd w:id="122"/>
      <w:bookmarkEnd w:id="123"/>
      <w:bookmarkEnd w:id="124"/>
      <w:bookmarkEnd w:id="125"/>
      <w:bookmarkEnd w:id="126"/>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b/>
          <w:bCs/>
          <w:snapToGrid w:val="0"/>
          <w:spacing w:val="0"/>
          <w:sz w:val="28"/>
          <w:szCs w:val="28"/>
          <w:lang w:eastAsia="zh-CN"/>
        </w:rPr>
      </w:pPr>
      <w:r>
        <w:rPr>
          <w:rFonts w:hint="eastAsia" w:ascii="仿宋" w:hAnsi="仿宋" w:eastAsia="仿宋" w:cs="仿宋"/>
          <w:b/>
          <w:bCs/>
          <w:snapToGrid w:val="0"/>
          <w:spacing w:val="0"/>
          <w:sz w:val="28"/>
          <w:szCs w:val="28"/>
          <w:lang w:eastAsia="zh-CN"/>
        </w:rPr>
        <w:t>投标函</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致：</w:t>
      </w:r>
      <w:r>
        <w:rPr>
          <w:rFonts w:hint="eastAsia" w:ascii="仿宋" w:hAnsi="仿宋" w:eastAsia="仿宋" w:cs="仿宋"/>
          <w:snapToGrid w:val="0"/>
          <w:spacing w:val="0"/>
          <w:sz w:val="24"/>
          <w:szCs w:val="24"/>
          <w:u w:val="single"/>
          <w:lang w:eastAsia="zh-CN"/>
        </w:rPr>
        <w:t xml:space="preserve">    </w:t>
      </w:r>
      <w:r>
        <w:rPr>
          <w:rFonts w:hint="eastAsia" w:ascii="仿宋" w:hAnsi="仿宋" w:eastAsia="仿宋" w:cs="仿宋"/>
          <w:snapToGrid w:val="0"/>
          <w:spacing w:val="0"/>
          <w:sz w:val="24"/>
          <w:szCs w:val="24"/>
          <w:u w:val="single"/>
          <w:lang w:val="en-US" w:eastAsia="zh-CN"/>
        </w:rPr>
        <w:t xml:space="preserve">             </w:t>
      </w:r>
      <w:r>
        <w:rPr>
          <w:rFonts w:hint="eastAsia" w:ascii="仿宋" w:hAnsi="仿宋" w:eastAsia="仿宋" w:cs="仿宋"/>
          <w:snapToGrid w:val="0"/>
          <w:spacing w:val="0"/>
          <w:sz w:val="24"/>
          <w:szCs w:val="24"/>
          <w:lang w:eastAsia="zh-CN"/>
        </w:rPr>
        <w:t>（采购人）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根据贵方招标编号为</w:t>
      </w:r>
      <w:r>
        <w:rPr>
          <w:rFonts w:hint="eastAsia" w:ascii="仿宋" w:hAnsi="仿宋" w:eastAsia="仿宋" w:cs="仿宋"/>
          <w:snapToGrid w:val="0"/>
          <w:spacing w:val="0"/>
          <w:sz w:val="24"/>
          <w:szCs w:val="24"/>
          <w:u w:val="single"/>
          <w:lang w:eastAsia="zh-CN"/>
        </w:rPr>
        <w:t xml:space="preserve">          </w:t>
      </w:r>
      <w:r>
        <w:rPr>
          <w:rFonts w:hint="eastAsia" w:ascii="仿宋" w:hAnsi="仿宋" w:eastAsia="仿宋" w:cs="仿宋"/>
          <w:snapToGrid w:val="0"/>
          <w:spacing w:val="0"/>
          <w:sz w:val="24"/>
          <w:szCs w:val="24"/>
          <w:u w:val="single"/>
          <w:lang w:val="en-US" w:eastAsia="zh-CN"/>
        </w:rPr>
        <w:t xml:space="preserve">   </w:t>
      </w:r>
      <w:r>
        <w:rPr>
          <w:rFonts w:hint="eastAsia" w:ascii="仿宋" w:hAnsi="仿宋" w:eastAsia="仿宋" w:cs="仿宋"/>
          <w:snapToGrid w:val="0"/>
          <w:spacing w:val="0"/>
          <w:sz w:val="24"/>
          <w:szCs w:val="24"/>
          <w:u w:val="single"/>
          <w:lang w:eastAsia="zh-CN"/>
        </w:rPr>
        <w:t xml:space="preserve">      </w:t>
      </w:r>
      <w:r>
        <w:rPr>
          <w:rFonts w:hint="eastAsia" w:ascii="仿宋" w:hAnsi="仿宋" w:eastAsia="仿宋" w:cs="仿宋"/>
          <w:snapToGrid w:val="0"/>
          <w:spacing w:val="0"/>
          <w:sz w:val="24"/>
          <w:szCs w:val="24"/>
          <w:lang w:eastAsia="zh-CN"/>
        </w:rPr>
        <w:t>的招标公告，我方签字代表经正式授权并代表供应商提交投标文件及相关资料，并对之负法律责任。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据此函，签字代表宣布同意如下：</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1、依法依规、诚实守信、公平竞争参加本次招标活动。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2、我方保证投标文件中的所有资料均为真实、准确、完整、有效的，且不具有任何误导性，否则，我方承诺投标文件无效并自愿承担一切法律责任。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3、我方的投标报价详见开标一览表。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4、我方承诺除服务要求响应与偏差表、商务要求响应与偏差表列出的偏差外，我方响应招标文件的全部要求。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5、我方愿遵守《中华人民共和国政府采购法》及相关的政府采购法律法规，按《中华人民共和国合同法》履行我方的全部责任。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6、我方已认真仔细研究招标文件全部内容，包括修改文件以及全部参考资料和有关附件。我们完全理解并同意放弃对这方面有不明及误解的权力。</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7、我方承诺投标有效期为提交投标文件截止时间后90天，并在招标文件规定的投标有效期内不撤销投标文件。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8、如果我方的行为符合本招标文件规定的投标保证金不予退还情形的，我方同意不退还我方提交的投标保证金。</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9、我方同意按照贵方的要求提供与投标有关的一切数据或资料，理解贵方不一定接受最低报价的投标或收到的任何投标。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10、我方在此声明，所提交的投标文件及有关资料内容完整、真实和准确，且不存在第二章“供应商须知”第 1.4.3 项规定的任何一种情形。</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11、如果我方被确定为中标人，我方愿意按招标文件的规定交纳履约保证金。我方如无不可抗力，放弃中标，或者未履行招标文件、投标文件和合同条款的，一经查实，我方愿意赔偿由此而造成的一切损失，并同意接受按相关法律法规和招标文件的相关要求对我方进行的处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12、采购人若需追加采购本项目招标文件所列内容及相关伴随服务的，在不改变合同其他实质性条款的前提下，我方将按相同或更优惠的折扣率保证提供服务。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13、我方决不提供虚假资料谋取中标，决不采取不正当手段诋毁、排挤其他供应商，决不与采购人、采购代理机构或者其它供应商恶意串通，决不向采购人、代理机构工作人员和评委进行商业贿赂，决不拒绝相关监管部门的监督检查，不向相关监管部门提供虚假情况，如有违反政府采购法律法规的行为，无条件接受贵方及相关监管部门的依法依规处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14、本此招标若废标，在收到贵方的通知后，如果我方同意参加贵方组织的本项目的竞争性谈判，则本投标函及所有投标文件中声明、授权、承诺、盖章签字等仍然有效。我方遵守贵方招标文件关于特殊情形采用竞争性谈判采购的相关规定，并无异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15、与本投标有关的一切正式函件往来请寄：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地址：                邮政编码：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电话：                传真：             电子信箱：</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供应商（企业电子章）：</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日期：</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本供应商承诺：以上地址等信息为邮寄函件的真实有效准确信息，收件人为法定代表人或供应商代表。如我方对往来函件拒收，邮寄方可视为已送达，由此造成的一切后果由本供应商承担。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sectPr>
          <w:pgSz w:w="11906" w:h="16838"/>
          <w:pgMar w:top="1134" w:right="1134" w:bottom="1134" w:left="1134" w:header="851" w:footer="992" w:gutter="0"/>
          <w:pgNumType w:fmt="decimal"/>
          <w:cols w:space="425" w:num="1"/>
          <w:docGrid w:type="lines" w:linePitch="312" w:charSpace="0"/>
        </w:sectPr>
      </w:pPr>
      <w:r>
        <w:rPr>
          <w:rFonts w:hint="eastAsia" w:ascii="仿宋" w:hAnsi="仿宋" w:eastAsia="仿宋" w:cs="仿宋"/>
          <w:snapToGrid w:val="0"/>
          <w:spacing w:val="0"/>
          <w:sz w:val="24"/>
          <w:szCs w:val="24"/>
          <w:lang w:eastAsia="zh-CN"/>
        </w:rPr>
        <w:t>注：除可填报内容外，对本投标函内容的任何实质性修改将被视为非实质性响应投标，从而导致该投标被拒绝。</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outlineLvl w:val="0"/>
        <w:rPr>
          <w:rFonts w:hint="eastAsia" w:ascii="仿宋" w:hAnsi="仿宋" w:eastAsia="仿宋" w:cs="仿宋"/>
          <w:b/>
          <w:bCs/>
          <w:snapToGrid w:val="0"/>
          <w:spacing w:val="0"/>
          <w:sz w:val="28"/>
          <w:szCs w:val="28"/>
          <w:lang w:eastAsia="zh-CN"/>
        </w:rPr>
      </w:pPr>
      <w:bookmarkStart w:id="127" w:name="_Toc24924"/>
      <w:bookmarkStart w:id="128" w:name="_Toc9194"/>
      <w:bookmarkStart w:id="129" w:name="_Toc12207"/>
      <w:r>
        <w:rPr>
          <w:rFonts w:hint="eastAsia" w:ascii="仿宋" w:hAnsi="仿宋" w:eastAsia="仿宋" w:cs="仿宋"/>
          <w:b/>
          <w:bCs/>
          <w:snapToGrid w:val="0"/>
          <w:spacing w:val="0"/>
          <w:sz w:val="28"/>
          <w:szCs w:val="28"/>
          <w:lang w:eastAsia="zh-CN"/>
        </w:rPr>
        <w:t>附件2：法定代表人授权书</w:t>
      </w:r>
      <w:bookmarkEnd w:id="127"/>
      <w:bookmarkEnd w:id="128"/>
      <w:bookmarkEnd w:id="129"/>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18" w:firstLineChars="200"/>
        <w:textAlignment w:val="auto"/>
        <w:rPr>
          <w:rFonts w:hint="eastAsia" w:ascii="仿宋" w:hAnsi="仿宋" w:eastAsia="仿宋" w:cs="仿宋"/>
          <w:snapToGrid w:val="0"/>
          <w:spacing w:val="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bCs/>
          <w:snapToGrid w:val="0"/>
          <w:spacing w:val="0"/>
          <w:sz w:val="28"/>
          <w:szCs w:val="28"/>
          <w:lang w:eastAsia="zh-CN"/>
        </w:rPr>
      </w:pPr>
      <w:r>
        <w:rPr>
          <w:rFonts w:hint="eastAsia" w:ascii="仿宋" w:hAnsi="仿宋" w:eastAsia="仿宋" w:cs="仿宋"/>
          <w:b/>
          <w:bCs/>
          <w:snapToGrid w:val="0"/>
          <w:spacing w:val="0"/>
          <w:sz w:val="28"/>
          <w:szCs w:val="28"/>
          <w:lang w:eastAsia="zh-CN"/>
        </w:rPr>
        <w:t>法定代表人授权书</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18" w:firstLineChars="200"/>
        <w:textAlignment w:val="auto"/>
        <w:rPr>
          <w:rFonts w:hint="eastAsia" w:ascii="仿宋" w:hAnsi="仿宋" w:eastAsia="仿宋" w:cs="仿宋"/>
          <w:snapToGrid w:val="0"/>
          <w:spacing w:val="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18"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本人</w:t>
      </w:r>
      <w:r>
        <w:rPr>
          <w:rFonts w:hint="eastAsia" w:ascii="仿宋" w:hAnsi="仿宋" w:eastAsia="仿宋" w:cs="仿宋"/>
          <w:snapToGrid w:val="0"/>
          <w:spacing w:val="0"/>
          <w:sz w:val="24"/>
          <w:szCs w:val="24"/>
          <w:u w:val="single"/>
          <w:lang w:eastAsia="zh-CN"/>
        </w:rPr>
        <w:t xml:space="preserve">         </w:t>
      </w:r>
      <w:r>
        <w:rPr>
          <w:rFonts w:hint="eastAsia" w:ascii="仿宋" w:hAnsi="仿宋" w:eastAsia="仿宋" w:cs="仿宋"/>
          <w:snapToGrid w:val="0"/>
          <w:spacing w:val="0"/>
          <w:sz w:val="24"/>
          <w:szCs w:val="24"/>
          <w:u w:val="single"/>
          <w:lang w:val="en-US" w:eastAsia="zh-CN"/>
        </w:rPr>
        <w:t xml:space="preserve">    </w:t>
      </w:r>
      <w:r>
        <w:rPr>
          <w:rFonts w:hint="eastAsia" w:ascii="仿宋" w:hAnsi="仿宋" w:eastAsia="仿宋" w:cs="仿宋"/>
          <w:snapToGrid w:val="0"/>
          <w:spacing w:val="0"/>
          <w:sz w:val="24"/>
          <w:szCs w:val="24"/>
          <w:lang w:eastAsia="zh-CN"/>
        </w:rPr>
        <w:t>（姓名）系</w:t>
      </w:r>
      <w:r>
        <w:rPr>
          <w:rFonts w:hint="eastAsia" w:ascii="仿宋" w:hAnsi="仿宋" w:eastAsia="仿宋" w:cs="仿宋"/>
          <w:snapToGrid w:val="0"/>
          <w:spacing w:val="0"/>
          <w:sz w:val="24"/>
          <w:szCs w:val="24"/>
          <w:u w:val="single"/>
          <w:lang w:eastAsia="zh-CN"/>
        </w:rPr>
        <w:t xml:space="preserve">            </w:t>
      </w:r>
      <w:r>
        <w:rPr>
          <w:rFonts w:hint="eastAsia" w:ascii="仿宋" w:hAnsi="仿宋" w:eastAsia="仿宋" w:cs="仿宋"/>
          <w:snapToGrid w:val="0"/>
          <w:spacing w:val="0"/>
          <w:sz w:val="24"/>
          <w:szCs w:val="24"/>
          <w:u w:val="single"/>
          <w:lang w:val="en-US" w:eastAsia="zh-CN"/>
        </w:rPr>
        <w:t xml:space="preserve">    </w:t>
      </w:r>
      <w:r>
        <w:rPr>
          <w:rFonts w:hint="eastAsia" w:ascii="仿宋" w:hAnsi="仿宋" w:eastAsia="仿宋" w:cs="仿宋"/>
          <w:snapToGrid w:val="0"/>
          <w:spacing w:val="0"/>
          <w:sz w:val="24"/>
          <w:szCs w:val="24"/>
          <w:lang w:eastAsia="zh-CN"/>
        </w:rPr>
        <w:t>（供应商名称）的法定代表人，现授权委托本单位在职员工</w:t>
      </w:r>
      <w:r>
        <w:rPr>
          <w:rFonts w:hint="eastAsia" w:ascii="仿宋" w:hAnsi="仿宋" w:eastAsia="仿宋" w:cs="仿宋"/>
          <w:snapToGrid w:val="0"/>
          <w:spacing w:val="0"/>
          <w:sz w:val="24"/>
          <w:szCs w:val="24"/>
          <w:u w:val="single"/>
          <w:lang w:eastAsia="zh-CN"/>
        </w:rPr>
        <w:t xml:space="preserve">       </w:t>
      </w:r>
      <w:r>
        <w:rPr>
          <w:rFonts w:hint="eastAsia" w:ascii="仿宋" w:hAnsi="仿宋" w:eastAsia="仿宋" w:cs="仿宋"/>
          <w:snapToGrid w:val="0"/>
          <w:spacing w:val="0"/>
          <w:sz w:val="24"/>
          <w:szCs w:val="24"/>
          <w:u w:val="single"/>
          <w:lang w:val="en-US" w:eastAsia="zh-CN"/>
        </w:rPr>
        <w:t xml:space="preserve">   </w:t>
      </w:r>
      <w:r>
        <w:rPr>
          <w:rFonts w:hint="eastAsia" w:ascii="仿宋" w:hAnsi="仿宋" w:eastAsia="仿宋" w:cs="仿宋"/>
          <w:snapToGrid w:val="0"/>
          <w:spacing w:val="0"/>
          <w:sz w:val="24"/>
          <w:szCs w:val="24"/>
          <w:lang w:eastAsia="zh-CN"/>
        </w:rPr>
        <w:t>（姓名，职务）（身份证号码：</w:t>
      </w:r>
      <w:r>
        <w:rPr>
          <w:rFonts w:hint="eastAsia" w:ascii="仿宋" w:hAnsi="仿宋" w:eastAsia="仿宋" w:cs="仿宋"/>
          <w:snapToGrid w:val="0"/>
          <w:spacing w:val="0"/>
          <w:sz w:val="24"/>
          <w:szCs w:val="24"/>
          <w:u w:val="single"/>
          <w:lang w:eastAsia="zh-CN"/>
        </w:rPr>
        <w:t xml:space="preserve">         </w:t>
      </w:r>
      <w:r>
        <w:rPr>
          <w:rFonts w:hint="eastAsia" w:ascii="仿宋" w:hAnsi="仿宋" w:eastAsia="仿宋" w:cs="仿宋"/>
          <w:snapToGrid w:val="0"/>
          <w:spacing w:val="0"/>
          <w:sz w:val="24"/>
          <w:szCs w:val="24"/>
          <w:u w:val="single"/>
          <w:lang w:val="en-US" w:eastAsia="zh-CN"/>
        </w:rPr>
        <w:t xml:space="preserve">           </w:t>
      </w:r>
      <w:r>
        <w:rPr>
          <w:rFonts w:hint="eastAsia" w:ascii="仿宋" w:hAnsi="仿宋" w:eastAsia="仿宋" w:cs="仿宋"/>
          <w:snapToGrid w:val="0"/>
          <w:spacing w:val="0"/>
          <w:sz w:val="24"/>
          <w:szCs w:val="24"/>
          <w:lang w:eastAsia="zh-CN"/>
        </w:rPr>
        <w:t>手机号码：</w:t>
      </w:r>
      <w:r>
        <w:rPr>
          <w:rFonts w:hint="eastAsia" w:ascii="仿宋" w:hAnsi="仿宋" w:eastAsia="仿宋" w:cs="仿宋"/>
          <w:snapToGrid w:val="0"/>
          <w:spacing w:val="0"/>
          <w:sz w:val="24"/>
          <w:szCs w:val="24"/>
          <w:u w:val="single"/>
          <w:lang w:eastAsia="zh-CN"/>
        </w:rPr>
        <w:t xml:space="preserve">           </w:t>
      </w:r>
      <w:r>
        <w:rPr>
          <w:rFonts w:hint="eastAsia" w:ascii="仿宋" w:hAnsi="仿宋" w:eastAsia="仿宋" w:cs="仿宋"/>
          <w:snapToGrid w:val="0"/>
          <w:spacing w:val="0"/>
          <w:sz w:val="24"/>
          <w:szCs w:val="24"/>
          <w:u w:val="single"/>
          <w:lang w:val="en-US" w:eastAsia="zh-CN"/>
        </w:rPr>
        <w:t xml:space="preserve">  </w:t>
      </w:r>
      <w:r>
        <w:rPr>
          <w:rFonts w:hint="eastAsia" w:ascii="仿宋" w:hAnsi="仿宋" w:eastAsia="仿宋" w:cs="仿宋"/>
          <w:snapToGrid w:val="0"/>
          <w:spacing w:val="0"/>
          <w:sz w:val="24"/>
          <w:szCs w:val="24"/>
          <w:lang w:eastAsia="zh-CN"/>
        </w:rPr>
        <w:t>）作为供应商代表以我方的名义参加贵单位组织的</w:t>
      </w:r>
      <w:r>
        <w:rPr>
          <w:rFonts w:hint="eastAsia" w:ascii="仿宋" w:hAnsi="仿宋" w:eastAsia="仿宋" w:cs="仿宋"/>
          <w:snapToGrid w:val="0"/>
          <w:spacing w:val="0"/>
          <w:sz w:val="24"/>
          <w:szCs w:val="24"/>
          <w:u w:val="single"/>
          <w:lang w:eastAsia="zh-CN"/>
        </w:rPr>
        <w:t xml:space="preserve">                  </w:t>
      </w:r>
      <w:r>
        <w:rPr>
          <w:rFonts w:hint="eastAsia" w:ascii="仿宋" w:hAnsi="仿宋" w:eastAsia="仿宋" w:cs="仿宋"/>
          <w:snapToGrid w:val="0"/>
          <w:spacing w:val="0"/>
          <w:sz w:val="24"/>
          <w:szCs w:val="24"/>
          <w:u w:val="single"/>
          <w:lang w:val="en-US" w:eastAsia="zh-CN"/>
        </w:rPr>
        <w:t xml:space="preserve">  </w:t>
      </w:r>
      <w:r>
        <w:rPr>
          <w:rFonts w:hint="eastAsia" w:ascii="仿宋" w:hAnsi="仿宋" w:eastAsia="仿宋" w:cs="仿宋"/>
          <w:snapToGrid w:val="0"/>
          <w:spacing w:val="0"/>
          <w:sz w:val="24"/>
          <w:szCs w:val="24"/>
          <w:lang w:eastAsia="zh-CN"/>
        </w:rPr>
        <w:t>项目（招标编号：</w:t>
      </w:r>
      <w:r>
        <w:rPr>
          <w:rFonts w:hint="eastAsia" w:ascii="仿宋" w:hAnsi="仿宋" w:eastAsia="仿宋" w:cs="仿宋"/>
          <w:snapToGrid w:val="0"/>
          <w:spacing w:val="0"/>
          <w:sz w:val="24"/>
          <w:szCs w:val="24"/>
          <w:u w:val="single"/>
          <w:lang w:eastAsia="zh-CN"/>
        </w:rPr>
        <w:t xml:space="preserve">           </w:t>
      </w:r>
      <w:r>
        <w:rPr>
          <w:rFonts w:hint="eastAsia" w:ascii="仿宋" w:hAnsi="仿宋" w:eastAsia="仿宋" w:cs="仿宋"/>
          <w:snapToGrid w:val="0"/>
          <w:spacing w:val="0"/>
          <w:sz w:val="24"/>
          <w:szCs w:val="24"/>
          <w:u w:val="single"/>
          <w:lang w:val="en-US" w:eastAsia="zh-CN"/>
        </w:rPr>
        <w:t xml:space="preserve">  </w:t>
      </w:r>
      <w:r>
        <w:rPr>
          <w:rFonts w:hint="eastAsia" w:ascii="仿宋" w:hAnsi="仿宋" w:eastAsia="仿宋" w:cs="仿宋"/>
          <w:snapToGrid w:val="0"/>
          <w:spacing w:val="0"/>
          <w:sz w:val="24"/>
          <w:szCs w:val="24"/>
          <w:lang w:eastAsia="zh-CN"/>
        </w:rPr>
        <w:t>）的投标活动，并代表我方全权处理一切与之有关的具体事务和签署相关文件，我均予以承认。</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18"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代理人无权转让委托权。</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18"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本授权书至投标有效期结束前始终有效。</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18"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特此声明。</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18" w:firstLineChars="200"/>
        <w:textAlignment w:val="auto"/>
        <w:rPr>
          <w:rFonts w:hint="eastAsia" w:ascii="仿宋" w:hAnsi="仿宋" w:eastAsia="仿宋" w:cs="仿宋"/>
          <w:snapToGrid w:val="0"/>
          <w:spacing w:val="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18" w:firstLineChars="200"/>
        <w:textAlignment w:val="auto"/>
        <w:rPr>
          <w:rFonts w:hint="eastAsia" w:ascii="仿宋" w:hAnsi="仿宋" w:eastAsia="仿宋" w:cs="仿宋"/>
          <w:snapToGrid w:val="0"/>
          <w:spacing w:val="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18"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供应商（企业电子章）：</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18" w:firstLineChars="200"/>
        <w:textAlignment w:val="auto"/>
        <w:rPr>
          <w:rFonts w:hint="eastAsia" w:ascii="仿宋" w:hAnsi="仿宋" w:eastAsia="仿宋" w:cs="仿宋"/>
          <w:snapToGrid w:val="0"/>
          <w:spacing w:val="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18"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法定代表人（个人电子章）：</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18" w:firstLineChars="200"/>
        <w:textAlignment w:val="auto"/>
        <w:rPr>
          <w:rFonts w:hint="eastAsia" w:ascii="仿宋" w:hAnsi="仿宋" w:eastAsia="仿宋" w:cs="仿宋"/>
          <w:snapToGrid w:val="0"/>
          <w:spacing w:val="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18"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日期：</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18" w:firstLineChars="200"/>
        <w:textAlignment w:val="auto"/>
        <w:rPr>
          <w:rFonts w:hint="eastAsia" w:ascii="仿宋" w:hAnsi="仿宋" w:eastAsia="仿宋" w:cs="仿宋"/>
          <w:snapToGrid w:val="0"/>
          <w:spacing w:val="0"/>
          <w:sz w:val="24"/>
          <w:szCs w:val="24"/>
          <w:lang w:eastAsia="zh-CN"/>
        </w:rPr>
        <w:sectPr>
          <w:pgSz w:w="11906" w:h="16838"/>
          <w:pgMar w:top="1134" w:right="1134" w:bottom="1134" w:left="1134" w:header="680" w:footer="992" w:gutter="0"/>
          <w:pgNumType w:fmt="decimal"/>
          <w:cols w:space="720" w:num="1"/>
          <w:docGrid w:type="linesAndChars" w:linePitch="466" w:charSpace="-6394"/>
        </w:sect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outlineLvl w:val="0"/>
        <w:rPr>
          <w:rFonts w:hint="eastAsia" w:ascii="仿宋" w:hAnsi="仿宋" w:eastAsia="仿宋" w:cs="仿宋"/>
          <w:b/>
          <w:bCs/>
          <w:snapToGrid w:val="0"/>
          <w:spacing w:val="0"/>
          <w:sz w:val="28"/>
          <w:szCs w:val="28"/>
          <w:lang w:eastAsia="zh-CN"/>
        </w:rPr>
      </w:pPr>
      <w:bookmarkStart w:id="130" w:name="_Toc26542"/>
      <w:bookmarkStart w:id="131" w:name="_Toc1660954"/>
      <w:bookmarkStart w:id="132" w:name="_Toc30670"/>
      <w:bookmarkStart w:id="133" w:name="_Toc16632"/>
      <w:bookmarkStart w:id="134" w:name="_Toc25046"/>
      <w:r>
        <w:rPr>
          <w:rFonts w:hint="eastAsia" w:ascii="仿宋" w:hAnsi="仿宋" w:eastAsia="仿宋" w:cs="仿宋"/>
          <w:b/>
          <w:bCs/>
          <w:snapToGrid w:val="0"/>
          <w:spacing w:val="0"/>
          <w:sz w:val="28"/>
          <w:szCs w:val="28"/>
          <w:lang w:eastAsia="zh-CN"/>
        </w:rPr>
        <w:t>附件3：法人被授权人身份证扫描件</w:t>
      </w:r>
      <w:bookmarkEnd w:id="130"/>
      <w:bookmarkEnd w:id="131"/>
      <w:bookmarkEnd w:id="132"/>
      <w:bookmarkEnd w:id="133"/>
      <w:bookmarkEnd w:id="134"/>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1、法定代表人身份证正面和反面扫描件</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eastAsia="zh-CN"/>
        </w:rPr>
        <w:sectPr>
          <w:pgSz w:w="11906" w:h="16838"/>
          <w:pgMar w:top="1134" w:right="1134" w:bottom="1134" w:left="1134" w:header="851" w:footer="992" w:gutter="0"/>
          <w:pgNumType w:fmt="decimal"/>
          <w:cols w:space="425" w:num="1"/>
          <w:docGrid w:type="lines" w:linePitch="312" w:charSpace="0"/>
        </w:sectPr>
      </w:pPr>
      <w:r>
        <w:rPr>
          <w:rFonts w:hint="eastAsia" w:ascii="仿宋" w:hAnsi="仿宋" w:eastAsia="仿宋" w:cs="仿宋"/>
          <w:snapToGrid w:val="0"/>
          <w:spacing w:val="0"/>
          <w:sz w:val="24"/>
          <w:szCs w:val="24"/>
          <w:lang w:val="en-US" w:eastAsia="zh-CN"/>
        </w:rPr>
        <w:t>2、</w:t>
      </w:r>
      <w:r>
        <w:rPr>
          <w:rFonts w:hint="eastAsia" w:ascii="仿宋" w:hAnsi="仿宋" w:eastAsia="仿宋" w:cs="仿宋"/>
          <w:snapToGrid w:val="0"/>
          <w:spacing w:val="0"/>
          <w:sz w:val="24"/>
          <w:szCs w:val="24"/>
          <w:lang w:eastAsia="zh-CN"/>
        </w:rPr>
        <w:t>供应商代表（被授权人）身份证正面和反面扫描件</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0"/>
        <w:rPr>
          <w:rFonts w:hint="eastAsia" w:ascii="仿宋" w:hAnsi="仿宋" w:eastAsia="仿宋" w:cs="仿宋"/>
          <w:b/>
          <w:bCs/>
          <w:snapToGrid w:val="0"/>
          <w:spacing w:val="0"/>
          <w:sz w:val="28"/>
          <w:szCs w:val="28"/>
          <w:lang w:eastAsia="zh-CN"/>
        </w:rPr>
      </w:pPr>
      <w:bookmarkStart w:id="135" w:name="_Toc3732"/>
      <w:bookmarkStart w:id="136" w:name="_Toc301"/>
      <w:bookmarkStart w:id="137" w:name="_Toc2125"/>
      <w:bookmarkStart w:id="138" w:name="_Toc1660956"/>
      <w:bookmarkStart w:id="139" w:name="_Toc10600"/>
      <w:r>
        <w:rPr>
          <w:rFonts w:hint="eastAsia" w:ascii="仿宋" w:hAnsi="仿宋" w:eastAsia="仿宋" w:cs="仿宋"/>
          <w:b/>
          <w:bCs/>
          <w:snapToGrid w:val="0"/>
          <w:spacing w:val="0"/>
          <w:sz w:val="28"/>
          <w:szCs w:val="28"/>
          <w:lang w:eastAsia="zh-CN"/>
        </w:rPr>
        <w:t>附件4：资格证明材料</w:t>
      </w:r>
      <w:bookmarkEnd w:id="135"/>
      <w:bookmarkEnd w:id="136"/>
      <w:bookmarkEnd w:id="137"/>
      <w:bookmarkEnd w:id="138"/>
      <w:bookmarkEnd w:id="139"/>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snapToGrid w:val="0"/>
          <w:spacing w:val="0"/>
          <w:sz w:val="24"/>
          <w:szCs w:val="24"/>
          <w:lang w:eastAsia="zh-CN"/>
        </w:rPr>
      </w:pPr>
      <w:r>
        <w:rPr>
          <w:rFonts w:hint="eastAsia" w:ascii="仿宋" w:hAnsi="仿宋" w:eastAsia="仿宋" w:cs="仿宋"/>
          <w:b/>
          <w:bCs/>
          <w:snapToGrid w:val="0"/>
          <w:spacing w:val="0"/>
          <w:sz w:val="28"/>
          <w:szCs w:val="28"/>
          <w:lang w:eastAsia="zh-CN"/>
        </w:rPr>
        <w:t>资格证明材料</w:t>
      </w:r>
      <w:bookmarkStart w:id="140" w:name="_Toc31975"/>
      <w:bookmarkStart w:id="141" w:name="_Toc28479"/>
      <w:bookmarkStart w:id="142" w:name="_Toc22668"/>
      <w:bookmarkStart w:id="143" w:name="_Toc25421"/>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包括但不限于营业执照、</w:t>
      </w:r>
      <w:r>
        <w:rPr>
          <w:rFonts w:hint="eastAsia" w:ascii="仿宋" w:hAnsi="仿宋" w:eastAsia="仿宋" w:cs="仿宋"/>
          <w:snapToGrid w:val="0"/>
          <w:color w:val="auto"/>
          <w:spacing w:val="0"/>
          <w:sz w:val="24"/>
          <w:szCs w:val="24"/>
          <w:lang w:val="en-US" w:eastAsia="zh-CN"/>
        </w:rPr>
        <w:t>税务事务所执业证书或会计师事务所执业证</w:t>
      </w:r>
      <w:r>
        <w:rPr>
          <w:rFonts w:hint="eastAsia" w:ascii="仿宋" w:hAnsi="仿宋" w:eastAsia="仿宋" w:cs="仿宋"/>
          <w:snapToGrid w:val="0"/>
          <w:color w:val="auto"/>
          <w:spacing w:val="0"/>
          <w:sz w:val="24"/>
          <w:szCs w:val="24"/>
          <w:highlight w:val="none"/>
          <w:lang w:val="en-US" w:eastAsia="zh-CN"/>
        </w:rPr>
        <w:t>书</w:t>
      </w:r>
      <w:r>
        <w:rPr>
          <w:rFonts w:hint="eastAsia" w:ascii="仿宋" w:hAnsi="仿宋" w:eastAsia="仿宋" w:cs="仿宋"/>
          <w:snapToGrid w:val="0"/>
          <w:spacing w:val="0"/>
          <w:sz w:val="24"/>
          <w:szCs w:val="24"/>
          <w:highlight w:val="none"/>
          <w:lang w:eastAsia="zh-CN"/>
        </w:rPr>
        <w:t>、《</w:t>
      </w:r>
      <w:r>
        <w:rPr>
          <w:rFonts w:hint="eastAsia" w:ascii="仿宋" w:hAnsi="仿宋" w:eastAsia="仿宋" w:cs="仿宋"/>
          <w:snapToGrid w:val="0"/>
          <w:spacing w:val="0"/>
          <w:sz w:val="24"/>
          <w:szCs w:val="24"/>
          <w:lang w:eastAsia="zh-CN"/>
        </w:rPr>
        <w:t>洛阳市政府采购供应商信用承诺函》（后附格式）等。</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注：在投标文件中附扫描件。</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snapToGrid w:val="0"/>
          <w:spacing w:val="0"/>
          <w:sz w:val="24"/>
          <w:szCs w:val="24"/>
          <w:lang w:eastAsia="zh-CN"/>
        </w:rPr>
        <w:sectPr>
          <w:pgSz w:w="11906" w:h="16838"/>
          <w:pgMar w:top="1134" w:right="1134" w:bottom="1134" w:left="1134"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0"/>
        <w:rPr>
          <w:rFonts w:hint="eastAsia" w:ascii="仿宋" w:hAnsi="仿宋" w:eastAsia="仿宋" w:cs="仿宋"/>
          <w:b/>
          <w:bCs/>
          <w:snapToGrid w:val="0"/>
          <w:spacing w:val="0"/>
          <w:sz w:val="28"/>
          <w:szCs w:val="28"/>
          <w:lang w:eastAsia="zh-CN"/>
        </w:rPr>
      </w:pPr>
      <w:r>
        <w:rPr>
          <w:rFonts w:hint="eastAsia" w:ascii="仿宋" w:hAnsi="仿宋" w:eastAsia="仿宋" w:cs="仿宋"/>
          <w:b/>
          <w:bCs/>
          <w:snapToGrid w:val="0"/>
          <w:spacing w:val="0"/>
          <w:sz w:val="28"/>
          <w:szCs w:val="28"/>
          <w:lang w:eastAsia="zh-CN"/>
        </w:rPr>
        <w:t>附件</w:t>
      </w:r>
      <w:r>
        <w:rPr>
          <w:rFonts w:hint="eastAsia" w:ascii="仿宋" w:hAnsi="仿宋" w:eastAsia="仿宋" w:cs="仿宋"/>
          <w:b/>
          <w:bCs/>
          <w:snapToGrid w:val="0"/>
          <w:spacing w:val="0"/>
          <w:sz w:val="28"/>
          <w:szCs w:val="28"/>
          <w:lang w:val="en-US" w:eastAsia="zh-CN"/>
        </w:rPr>
        <w:t>4</w:t>
      </w:r>
      <w:r>
        <w:rPr>
          <w:rFonts w:hint="eastAsia" w:ascii="仿宋" w:hAnsi="仿宋" w:eastAsia="仿宋" w:cs="仿宋"/>
          <w:b/>
          <w:bCs/>
          <w:snapToGrid w:val="0"/>
          <w:spacing w:val="0"/>
          <w:sz w:val="28"/>
          <w:szCs w:val="28"/>
          <w:lang w:eastAsia="zh-CN"/>
        </w:rPr>
        <w:t>-1</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b/>
          <w:bCs/>
          <w:snapToGrid w:val="0"/>
          <w:spacing w:val="0"/>
          <w:sz w:val="28"/>
          <w:szCs w:val="28"/>
          <w:lang w:eastAsia="zh-CN"/>
        </w:rPr>
      </w:pPr>
      <w:bookmarkStart w:id="144" w:name="_Toc8484"/>
      <w:r>
        <w:rPr>
          <w:rFonts w:hint="eastAsia" w:ascii="仿宋" w:hAnsi="仿宋" w:eastAsia="仿宋" w:cs="仿宋"/>
          <w:b/>
          <w:bCs/>
          <w:snapToGrid w:val="0"/>
          <w:spacing w:val="0"/>
          <w:sz w:val="28"/>
          <w:szCs w:val="28"/>
          <w:lang w:eastAsia="zh-CN"/>
        </w:rPr>
        <w:t>洛阳市政府采购供应商信用承诺函</w:t>
      </w:r>
      <w:bookmarkEnd w:id="144"/>
    </w:p>
    <w:p>
      <w:pPr>
        <w:adjustRightInd w:val="0"/>
        <w:snapToGrid w:val="0"/>
        <w:spacing w:before="233" w:beforeLines="50" w:line="480" w:lineRule="exact"/>
        <w:ind w:firstLine="504" w:firstLineChars="200"/>
        <w:rPr>
          <w:rFonts w:hint="eastAsia" w:ascii="仿宋" w:hAnsi="仿宋" w:eastAsia="仿宋" w:cs="仿宋"/>
          <w:snapToGrid w:val="0"/>
          <w:color w:val="000000"/>
          <w:spacing w:val="6"/>
          <w:kern w:val="0"/>
          <w:sz w:val="24"/>
          <w:szCs w:val="24"/>
        </w:rPr>
      </w:pPr>
    </w:p>
    <w:p>
      <w:pPr>
        <w:widowControl/>
        <w:spacing w:line="480" w:lineRule="exact"/>
        <w:ind w:firstLine="504" w:firstLineChars="200"/>
        <w:rPr>
          <w:rFonts w:hint="eastAsia" w:ascii="仿宋" w:hAnsi="仿宋" w:eastAsia="仿宋" w:cs="仿宋"/>
          <w:snapToGrid w:val="0"/>
          <w:color w:val="000000"/>
          <w:spacing w:val="6"/>
          <w:kern w:val="0"/>
          <w:sz w:val="24"/>
          <w:szCs w:val="24"/>
        </w:rPr>
      </w:pPr>
      <w:r>
        <w:rPr>
          <w:rFonts w:hint="eastAsia" w:ascii="仿宋" w:hAnsi="仿宋" w:eastAsia="仿宋" w:cs="仿宋"/>
          <w:snapToGrid w:val="0"/>
          <w:color w:val="000000"/>
          <w:spacing w:val="6"/>
          <w:kern w:val="0"/>
          <w:sz w:val="24"/>
          <w:szCs w:val="24"/>
        </w:rPr>
        <w:t>致</w:t>
      </w:r>
      <w:r>
        <w:rPr>
          <w:rFonts w:hint="eastAsia" w:ascii="仿宋" w:hAnsi="仿宋" w:eastAsia="仿宋" w:cs="仿宋"/>
          <w:snapToGrid w:val="0"/>
          <w:color w:val="000000"/>
          <w:spacing w:val="6"/>
          <w:kern w:val="0"/>
          <w:sz w:val="24"/>
          <w:szCs w:val="24"/>
          <w:u w:val="single"/>
        </w:rPr>
        <w:t xml:space="preserve">  （采购人或采购代理机构）  </w:t>
      </w:r>
      <w:r>
        <w:rPr>
          <w:rFonts w:hint="eastAsia" w:ascii="仿宋" w:hAnsi="仿宋" w:eastAsia="仿宋" w:cs="仿宋"/>
          <w:snapToGrid w:val="0"/>
          <w:color w:val="000000"/>
          <w:spacing w:val="6"/>
          <w:kern w:val="0"/>
          <w:sz w:val="24"/>
          <w:szCs w:val="24"/>
        </w:rPr>
        <w:t>：</w:t>
      </w:r>
    </w:p>
    <w:p>
      <w:pPr>
        <w:widowControl/>
        <w:spacing w:line="480" w:lineRule="exact"/>
        <w:ind w:firstLine="504" w:firstLineChars="200"/>
        <w:rPr>
          <w:rFonts w:hint="eastAsia" w:ascii="仿宋" w:hAnsi="仿宋" w:eastAsia="仿宋" w:cs="仿宋"/>
          <w:snapToGrid w:val="0"/>
          <w:color w:val="000000"/>
          <w:spacing w:val="6"/>
          <w:kern w:val="0"/>
          <w:sz w:val="24"/>
          <w:szCs w:val="24"/>
        </w:rPr>
      </w:pPr>
      <w:r>
        <w:rPr>
          <w:rFonts w:hint="eastAsia" w:ascii="仿宋" w:hAnsi="仿宋" w:eastAsia="仿宋" w:cs="仿宋"/>
          <w:snapToGrid w:val="0"/>
          <w:color w:val="000000"/>
          <w:spacing w:val="6"/>
          <w:kern w:val="0"/>
          <w:sz w:val="24"/>
          <w:szCs w:val="24"/>
        </w:rPr>
        <w:t>单位名称（自然人姓名）：</w:t>
      </w:r>
      <w:r>
        <w:rPr>
          <w:rFonts w:hint="eastAsia" w:ascii="仿宋" w:hAnsi="仿宋" w:eastAsia="仿宋" w:cs="仿宋"/>
          <w:snapToGrid w:val="0"/>
          <w:color w:val="000000"/>
          <w:spacing w:val="6"/>
          <w:kern w:val="0"/>
          <w:sz w:val="24"/>
          <w:szCs w:val="24"/>
          <w:u w:val="single"/>
        </w:rPr>
        <w:t xml:space="preserve">                                  </w:t>
      </w:r>
    </w:p>
    <w:p>
      <w:pPr>
        <w:widowControl/>
        <w:spacing w:line="480" w:lineRule="exact"/>
        <w:ind w:firstLine="504" w:firstLineChars="200"/>
        <w:rPr>
          <w:rFonts w:hint="eastAsia" w:ascii="仿宋" w:hAnsi="仿宋" w:eastAsia="仿宋" w:cs="仿宋"/>
          <w:snapToGrid w:val="0"/>
          <w:color w:val="000000"/>
          <w:spacing w:val="6"/>
          <w:kern w:val="0"/>
          <w:sz w:val="24"/>
          <w:szCs w:val="24"/>
        </w:rPr>
      </w:pPr>
      <w:r>
        <w:rPr>
          <w:rFonts w:hint="eastAsia" w:ascii="仿宋" w:hAnsi="仿宋" w:eastAsia="仿宋" w:cs="仿宋"/>
          <w:snapToGrid w:val="0"/>
          <w:color w:val="000000"/>
          <w:spacing w:val="6"/>
          <w:kern w:val="0"/>
          <w:sz w:val="24"/>
          <w:szCs w:val="24"/>
        </w:rPr>
        <w:t>统一社会信用代码（身份证号码）：</w:t>
      </w:r>
      <w:r>
        <w:rPr>
          <w:rFonts w:hint="eastAsia" w:ascii="仿宋" w:hAnsi="仿宋" w:eastAsia="仿宋" w:cs="仿宋"/>
          <w:snapToGrid w:val="0"/>
          <w:color w:val="000000"/>
          <w:spacing w:val="6"/>
          <w:kern w:val="0"/>
          <w:sz w:val="24"/>
          <w:szCs w:val="24"/>
          <w:u w:val="single"/>
        </w:rPr>
        <w:t xml:space="preserve">                          </w:t>
      </w:r>
    </w:p>
    <w:p>
      <w:pPr>
        <w:widowControl/>
        <w:spacing w:line="480" w:lineRule="exact"/>
        <w:ind w:firstLine="504" w:firstLineChars="200"/>
        <w:rPr>
          <w:rFonts w:hint="eastAsia" w:ascii="仿宋" w:hAnsi="仿宋" w:eastAsia="仿宋" w:cs="仿宋"/>
          <w:snapToGrid w:val="0"/>
          <w:color w:val="000000"/>
          <w:spacing w:val="6"/>
          <w:kern w:val="0"/>
          <w:sz w:val="24"/>
          <w:szCs w:val="24"/>
          <w:u w:val="single"/>
        </w:rPr>
      </w:pPr>
      <w:r>
        <w:rPr>
          <w:rFonts w:hint="eastAsia" w:ascii="仿宋" w:hAnsi="仿宋" w:eastAsia="仿宋" w:cs="仿宋"/>
          <w:snapToGrid w:val="0"/>
          <w:color w:val="000000"/>
          <w:spacing w:val="6"/>
          <w:kern w:val="0"/>
          <w:sz w:val="24"/>
          <w:szCs w:val="24"/>
        </w:rPr>
        <w:t>法定代表人（负责人）：</w:t>
      </w:r>
      <w:r>
        <w:rPr>
          <w:rFonts w:hint="eastAsia" w:ascii="仿宋" w:hAnsi="仿宋" w:eastAsia="仿宋" w:cs="仿宋"/>
          <w:snapToGrid w:val="0"/>
          <w:color w:val="000000"/>
          <w:spacing w:val="6"/>
          <w:kern w:val="0"/>
          <w:sz w:val="24"/>
          <w:szCs w:val="24"/>
          <w:u w:val="single"/>
        </w:rPr>
        <w:t xml:space="preserve">                                </w:t>
      </w:r>
    </w:p>
    <w:p>
      <w:pPr>
        <w:widowControl/>
        <w:spacing w:line="480" w:lineRule="exact"/>
        <w:ind w:firstLine="504" w:firstLineChars="200"/>
        <w:rPr>
          <w:rFonts w:hint="eastAsia" w:ascii="仿宋" w:hAnsi="仿宋" w:eastAsia="仿宋" w:cs="仿宋"/>
          <w:snapToGrid w:val="0"/>
          <w:color w:val="000000"/>
          <w:spacing w:val="6"/>
          <w:kern w:val="0"/>
          <w:sz w:val="24"/>
          <w:szCs w:val="24"/>
        </w:rPr>
      </w:pPr>
      <w:r>
        <w:rPr>
          <w:rFonts w:hint="eastAsia" w:ascii="仿宋" w:hAnsi="仿宋" w:eastAsia="仿宋" w:cs="仿宋"/>
          <w:snapToGrid w:val="0"/>
          <w:color w:val="000000"/>
          <w:spacing w:val="6"/>
          <w:kern w:val="0"/>
          <w:sz w:val="24"/>
          <w:szCs w:val="24"/>
        </w:rPr>
        <w:t>联系地址和电话：</w:t>
      </w:r>
      <w:r>
        <w:rPr>
          <w:rFonts w:hint="eastAsia" w:ascii="仿宋" w:hAnsi="仿宋" w:eastAsia="仿宋" w:cs="仿宋"/>
          <w:snapToGrid w:val="0"/>
          <w:color w:val="000000"/>
          <w:spacing w:val="6"/>
          <w:kern w:val="0"/>
          <w:sz w:val="24"/>
          <w:szCs w:val="24"/>
          <w:u w:val="single"/>
        </w:rPr>
        <w:t xml:space="preserve">                                      </w:t>
      </w:r>
    </w:p>
    <w:p>
      <w:pPr>
        <w:widowControl/>
        <w:spacing w:line="480" w:lineRule="exact"/>
        <w:ind w:firstLine="504" w:firstLineChars="200"/>
        <w:rPr>
          <w:rFonts w:hint="eastAsia" w:ascii="仿宋" w:hAnsi="仿宋" w:eastAsia="仿宋" w:cs="仿宋"/>
          <w:snapToGrid w:val="0"/>
          <w:color w:val="000000"/>
          <w:spacing w:val="6"/>
          <w:kern w:val="0"/>
          <w:sz w:val="24"/>
          <w:szCs w:val="24"/>
        </w:rPr>
      </w:pPr>
      <w:r>
        <w:rPr>
          <w:rFonts w:hint="eastAsia" w:ascii="仿宋" w:hAnsi="仿宋" w:eastAsia="仿宋" w:cs="仿宋"/>
          <w:snapToGrid w:val="0"/>
          <w:color w:val="000000"/>
          <w:spacing w:val="6"/>
          <w:kern w:val="0"/>
          <w:sz w:val="24"/>
          <w:szCs w:val="24"/>
        </w:rPr>
        <w:t>为维护公平、公正、公开的政府采购市场秩序，树立诚实守信的政府采购供应商形象，我单位（本人）自愿作出以下承诺：</w:t>
      </w:r>
    </w:p>
    <w:p>
      <w:pPr>
        <w:widowControl/>
        <w:spacing w:line="480" w:lineRule="exact"/>
        <w:ind w:firstLine="504" w:firstLineChars="200"/>
        <w:rPr>
          <w:rFonts w:hint="eastAsia" w:ascii="仿宋" w:hAnsi="仿宋" w:eastAsia="仿宋" w:cs="仿宋"/>
          <w:snapToGrid w:val="0"/>
          <w:color w:val="000000"/>
          <w:spacing w:val="6"/>
          <w:kern w:val="0"/>
          <w:sz w:val="24"/>
          <w:szCs w:val="24"/>
        </w:rPr>
      </w:pPr>
      <w:r>
        <w:rPr>
          <w:rFonts w:hint="eastAsia" w:ascii="仿宋" w:hAnsi="仿宋" w:eastAsia="仿宋" w:cs="仿宋"/>
          <w:snapToGrid w:val="0"/>
          <w:color w:val="000000"/>
          <w:spacing w:val="6"/>
          <w:kern w:val="0"/>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widowControl/>
        <w:spacing w:line="480" w:lineRule="exact"/>
        <w:ind w:firstLine="504" w:firstLineChars="200"/>
        <w:rPr>
          <w:rFonts w:hint="eastAsia" w:ascii="仿宋" w:hAnsi="仿宋" w:eastAsia="仿宋" w:cs="仿宋"/>
          <w:snapToGrid w:val="0"/>
          <w:color w:val="000000"/>
          <w:spacing w:val="6"/>
          <w:kern w:val="0"/>
          <w:sz w:val="24"/>
          <w:szCs w:val="24"/>
        </w:rPr>
      </w:pPr>
      <w:r>
        <w:rPr>
          <w:rFonts w:hint="eastAsia" w:ascii="仿宋" w:hAnsi="仿宋" w:eastAsia="仿宋" w:cs="仿宋"/>
          <w:snapToGrid w:val="0"/>
          <w:color w:val="000000"/>
          <w:spacing w:val="6"/>
          <w:kern w:val="0"/>
          <w:sz w:val="24"/>
          <w:szCs w:val="24"/>
        </w:rPr>
        <w:t>（一）具有独立承担民事责任的能力；</w:t>
      </w:r>
    </w:p>
    <w:p>
      <w:pPr>
        <w:widowControl/>
        <w:spacing w:line="480" w:lineRule="exact"/>
        <w:ind w:firstLine="504" w:firstLineChars="200"/>
        <w:rPr>
          <w:rFonts w:hint="eastAsia" w:ascii="仿宋" w:hAnsi="仿宋" w:eastAsia="仿宋" w:cs="仿宋"/>
          <w:snapToGrid w:val="0"/>
          <w:color w:val="000000"/>
          <w:spacing w:val="6"/>
          <w:kern w:val="0"/>
          <w:sz w:val="24"/>
          <w:szCs w:val="24"/>
        </w:rPr>
      </w:pPr>
      <w:r>
        <w:rPr>
          <w:rFonts w:hint="eastAsia" w:ascii="仿宋" w:hAnsi="仿宋" w:eastAsia="仿宋" w:cs="仿宋"/>
          <w:snapToGrid w:val="0"/>
          <w:color w:val="000000"/>
          <w:spacing w:val="6"/>
          <w:kern w:val="0"/>
          <w:sz w:val="24"/>
          <w:szCs w:val="24"/>
        </w:rPr>
        <w:t>（二）具有良好的商业信誉和健全的财务会计制度；</w:t>
      </w:r>
    </w:p>
    <w:p>
      <w:pPr>
        <w:widowControl/>
        <w:spacing w:line="480" w:lineRule="exact"/>
        <w:ind w:firstLine="504" w:firstLineChars="200"/>
        <w:rPr>
          <w:rFonts w:hint="eastAsia" w:ascii="仿宋" w:hAnsi="仿宋" w:eastAsia="仿宋" w:cs="仿宋"/>
          <w:snapToGrid w:val="0"/>
          <w:color w:val="000000"/>
          <w:spacing w:val="6"/>
          <w:kern w:val="0"/>
          <w:sz w:val="24"/>
          <w:szCs w:val="24"/>
        </w:rPr>
      </w:pPr>
      <w:r>
        <w:rPr>
          <w:rFonts w:hint="eastAsia" w:ascii="仿宋" w:hAnsi="仿宋" w:eastAsia="仿宋" w:cs="仿宋"/>
          <w:snapToGrid w:val="0"/>
          <w:color w:val="000000"/>
          <w:spacing w:val="6"/>
          <w:kern w:val="0"/>
          <w:sz w:val="24"/>
          <w:szCs w:val="24"/>
        </w:rPr>
        <w:t>（三）具有履行合同所必需的设备和专业技术能力；</w:t>
      </w:r>
    </w:p>
    <w:p>
      <w:pPr>
        <w:widowControl/>
        <w:spacing w:line="480" w:lineRule="exact"/>
        <w:ind w:firstLine="504" w:firstLineChars="200"/>
        <w:rPr>
          <w:rFonts w:hint="eastAsia" w:ascii="仿宋" w:hAnsi="仿宋" w:eastAsia="仿宋" w:cs="仿宋"/>
          <w:snapToGrid w:val="0"/>
          <w:color w:val="000000"/>
          <w:spacing w:val="6"/>
          <w:kern w:val="0"/>
          <w:sz w:val="24"/>
          <w:szCs w:val="24"/>
        </w:rPr>
      </w:pPr>
      <w:r>
        <w:rPr>
          <w:rFonts w:hint="eastAsia" w:ascii="仿宋" w:hAnsi="仿宋" w:eastAsia="仿宋" w:cs="仿宋"/>
          <w:snapToGrid w:val="0"/>
          <w:color w:val="000000"/>
          <w:spacing w:val="6"/>
          <w:kern w:val="0"/>
          <w:sz w:val="24"/>
          <w:szCs w:val="24"/>
        </w:rPr>
        <w:t>（四）有依法缴纳税收和社会保障资金的良好记录；</w:t>
      </w:r>
    </w:p>
    <w:p>
      <w:pPr>
        <w:widowControl/>
        <w:spacing w:line="480" w:lineRule="exact"/>
        <w:ind w:firstLine="504" w:firstLineChars="200"/>
        <w:rPr>
          <w:rFonts w:hint="eastAsia" w:ascii="仿宋" w:hAnsi="仿宋" w:eastAsia="仿宋" w:cs="仿宋"/>
          <w:snapToGrid w:val="0"/>
          <w:color w:val="000000"/>
          <w:spacing w:val="6"/>
          <w:kern w:val="0"/>
          <w:sz w:val="24"/>
          <w:szCs w:val="24"/>
        </w:rPr>
      </w:pPr>
      <w:r>
        <w:rPr>
          <w:rFonts w:hint="eastAsia" w:ascii="仿宋" w:hAnsi="仿宋" w:eastAsia="仿宋" w:cs="仿宋"/>
          <w:snapToGrid w:val="0"/>
          <w:color w:val="000000"/>
          <w:spacing w:val="6"/>
          <w:kern w:val="0"/>
          <w:sz w:val="24"/>
          <w:szCs w:val="24"/>
        </w:rPr>
        <w:t>（五）参加政府采购活动前三年内，在经营活动中没有重大违法记录；</w:t>
      </w:r>
    </w:p>
    <w:p>
      <w:pPr>
        <w:widowControl/>
        <w:spacing w:line="480" w:lineRule="exact"/>
        <w:ind w:firstLine="504" w:firstLineChars="200"/>
        <w:rPr>
          <w:rFonts w:hint="eastAsia" w:ascii="仿宋" w:hAnsi="仿宋" w:eastAsia="仿宋" w:cs="仿宋"/>
          <w:snapToGrid w:val="0"/>
          <w:color w:val="000000"/>
          <w:spacing w:val="6"/>
          <w:kern w:val="0"/>
          <w:sz w:val="24"/>
          <w:szCs w:val="24"/>
        </w:rPr>
      </w:pPr>
      <w:r>
        <w:rPr>
          <w:rFonts w:hint="eastAsia" w:ascii="仿宋" w:hAnsi="仿宋" w:eastAsia="仿宋" w:cs="仿宋"/>
          <w:snapToGrid w:val="0"/>
          <w:color w:val="000000"/>
          <w:spacing w:val="6"/>
          <w:kern w:val="0"/>
          <w:sz w:val="24"/>
          <w:szCs w:val="24"/>
        </w:rPr>
        <w:t>（六）未被列入经营异常名录或者严重违法失信名单、失信被执行人、重大税收违法案件当事人名单、政府采购严重违法失信行为记录名单；</w:t>
      </w:r>
    </w:p>
    <w:p>
      <w:pPr>
        <w:widowControl/>
        <w:spacing w:line="480" w:lineRule="exact"/>
        <w:ind w:firstLine="504" w:firstLineChars="200"/>
        <w:rPr>
          <w:rFonts w:hint="eastAsia" w:ascii="仿宋" w:hAnsi="仿宋" w:eastAsia="仿宋" w:cs="仿宋"/>
          <w:snapToGrid w:val="0"/>
          <w:color w:val="000000"/>
          <w:spacing w:val="6"/>
          <w:kern w:val="0"/>
          <w:sz w:val="24"/>
          <w:szCs w:val="24"/>
        </w:rPr>
      </w:pPr>
      <w:r>
        <w:rPr>
          <w:rFonts w:hint="eastAsia" w:ascii="仿宋" w:hAnsi="仿宋" w:eastAsia="仿宋" w:cs="仿宋"/>
          <w:snapToGrid w:val="0"/>
          <w:color w:val="000000"/>
          <w:spacing w:val="6"/>
          <w:kern w:val="0"/>
          <w:sz w:val="24"/>
          <w:szCs w:val="24"/>
        </w:rPr>
        <w:t>（七）未被相关监管部门作出行政处罚且尚在处罚有效期内；</w:t>
      </w:r>
    </w:p>
    <w:p>
      <w:pPr>
        <w:widowControl/>
        <w:spacing w:line="480" w:lineRule="exact"/>
        <w:ind w:firstLine="504" w:firstLineChars="200"/>
        <w:rPr>
          <w:rFonts w:hint="eastAsia" w:ascii="仿宋" w:hAnsi="仿宋" w:eastAsia="仿宋" w:cs="仿宋"/>
          <w:snapToGrid w:val="0"/>
          <w:color w:val="000000"/>
          <w:spacing w:val="6"/>
          <w:kern w:val="0"/>
          <w:sz w:val="24"/>
          <w:szCs w:val="24"/>
        </w:rPr>
      </w:pPr>
      <w:r>
        <w:rPr>
          <w:rFonts w:hint="eastAsia" w:ascii="仿宋" w:hAnsi="仿宋" w:eastAsia="仿宋" w:cs="仿宋"/>
          <w:snapToGrid w:val="0"/>
          <w:color w:val="000000"/>
          <w:spacing w:val="6"/>
          <w:kern w:val="0"/>
          <w:sz w:val="24"/>
          <w:szCs w:val="24"/>
        </w:rPr>
        <w:t>（八）未曾作出虚假采购承诺；</w:t>
      </w:r>
    </w:p>
    <w:p>
      <w:pPr>
        <w:widowControl/>
        <w:spacing w:line="480" w:lineRule="exact"/>
        <w:ind w:firstLine="504" w:firstLineChars="200"/>
        <w:rPr>
          <w:rFonts w:hint="eastAsia" w:ascii="仿宋" w:hAnsi="仿宋" w:eastAsia="仿宋" w:cs="仿宋"/>
          <w:snapToGrid w:val="0"/>
          <w:color w:val="000000"/>
          <w:spacing w:val="6"/>
          <w:kern w:val="0"/>
          <w:sz w:val="24"/>
          <w:szCs w:val="24"/>
        </w:rPr>
      </w:pPr>
      <w:r>
        <w:rPr>
          <w:rFonts w:hint="eastAsia" w:ascii="仿宋" w:hAnsi="仿宋" w:eastAsia="仿宋" w:cs="仿宋"/>
          <w:snapToGrid w:val="0"/>
          <w:color w:val="000000"/>
          <w:spacing w:val="6"/>
          <w:kern w:val="0"/>
          <w:sz w:val="24"/>
          <w:szCs w:val="24"/>
        </w:rPr>
        <w:t>（九）符合法律、行政法规规定的其他条件。</w:t>
      </w:r>
    </w:p>
    <w:p>
      <w:pPr>
        <w:widowControl/>
        <w:spacing w:line="480" w:lineRule="exact"/>
        <w:ind w:firstLine="504" w:firstLineChars="200"/>
        <w:rPr>
          <w:rFonts w:hint="eastAsia" w:ascii="仿宋" w:hAnsi="仿宋" w:eastAsia="仿宋" w:cs="仿宋"/>
          <w:snapToGrid w:val="0"/>
          <w:color w:val="000000"/>
          <w:spacing w:val="6"/>
          <w:kern w:val="0"/>
          <w:sz w:val="24"/>
          <w:szCs w:val="24"/>
        </w:rPr>
      </w:pPr>
      <w:r>
        <w:rPr>
          <w:rFonts w:hint="eastAsia" w:ascii="仿宋" w:hAnsi="仿宋" w:eastAsia="仿宋" w:cs="仿宋"/>
          <w:snapToGrid w:val="0"/>
          <w:color w:val="000000"/>
          <w:spacing w:val="6"/>
          <w:kern w:val="0"/>
          <w:sz w:val="24"/>
          <w:szCs w:val="24"/>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widowControl/>
        <w:spacing w:line="480" w:lineRule="exact"/>
        <w:ind w:firstLine="504" w:firstLineChars="200"/>
        <w:rPr>
          <w:rFonts w:hint="eastAsia" w:ascii="仿宋" w:hAnsi="仿宋" w:eastAsia="仿宋" w:cs="仿宋"/>
          <w:snapToGrid w:val="0"/>
          <w:color w:val="000000"/>
          <w:spacing w:val="6"/>
          <w:kern w:val="0"/>
          <w:sz w:val="24"/>
          <w:szCs w:val="24"/>
        </w:rPr>
      </w:pPr>
    </w:p>
    <w:p>
      <w:pPr>
        <w:widowControl/>
        <w:spacing w:line="480" w:lineRule="exact"/>
        <w:ind w:firstLine="504" w:firstLineChars="200"/>
        <w:rPr>
          <w:rFonts w:hint="eastAsia" w:ascii="仿宋" w:hAnsi="仿宋" w:eastAsia="仿宋" w:cs="仿宋"/>
          <w:snapToGrid w:val="0"/>
          <w:color w:val="000000"/>
          <w:spacing w:val="6"/>
          <w:kern w:val="0"/>
          <w:sz w:val="24"/>
          <w:szCs w:val="24"/>
        </w:rPr>
      </w:pPr>
      <w:r>
        <w:rPr>
          <w:rFonts w:hint="eastAsia" w:ascii="仿宋" w:hAnsi="仿宋" w:eastAsia="仿宋" w:cs="仿宋"/>
          <w:snapToGrid w:val="0"/>
          <w:color w:val="000000"/>
          <w:spacing w:val="6"/>
          <w:kern w:val="0"/>
          <w:sz w:val="24"/>
          <w:szCs w:val="24"/>
        </w:rPr>
        <w:t xml:space="preserve">供应商（电子章）： </w:t>
      </w:r>
    </w:p>
    <w:p>
      <w:pPr>
        <w:widowControl/>
        <w:spacing w:line="480" w:lineRule="exact"/>
        <w:ind w:firstLine="504" w:firstLineChars="200"/>
        <w:rPr>
          <w:rFonts w:hint="eastAsia" w:ascii="仿宋" w:hAnsi="仿宋" w:eastAsia="仿宋" w:cs="仿宋"/>
          <w:snapToGrid w:val="0"/>
          <w:color w:val="000000"/>
          <w:spacing w:val="6"/>
          <w:kern w:val="0"/>
          <w:sz w:val="24"/>
          <w:szCs w:val="24"/>
        </w:rPr>
      </w:pPr>
      <w:r>
        <w:rPr>
          <w:rFonts w:hint="eastAsia" w:ascii="仿宋" w:hAnsi="仿宋" w:eastAsia="仿宋" w:cs="仿宋"/>
          <w:snapToGrid w:val="0"/>
          <w:color w:val="000000"/>
          <w:spacing w:val="6"/>
          <w:kern w:val="0"/>
          <w:sz w:val="24"/>
          <w:szCs w:val="24"/>
        </w:rPr>
        <w:t xml:space="preserve">法定代表人、负责人、本人、或授权代表(签字或电子印章)： </w:t>
      </w:r>
    </w:p>
    <w:p>
      <w:pPr>
        <w:widowControl/>
        <w:spacing w:line="480" w:lineRule="exact"/>
        <w:ind w:firstLine="504" w:firstLineChars="200"/>
        <w:rPr>
          <w:rFonts w:hint="eastAsia" w:ascii="仿宋" w:hAnsi="仿宋" w:eastAsia="仿宋" w:cs="仿宋"/>
          <w:snapToGrid w:val="0"/>
          <w:color w:val="000000"/>
          <w:spacing w:val="6"/>
          <w:kern w:val="0"/>
          <w:sz w:val="24"/>
          <w:szCs w:val="24"/>
        </w:rPr>
      </w:pPr>
      <w:r>
        <w:rPr>
          <w:rFonts w:hint="eastAsia" w:ascii="仿宋" w:hAnsi="仿宋" w:eastAsia="仿宋" w:cs="仿宋"/>
          <w:snapToGrid w:val="0"/>
          <w:color w:val="000000"/>
          <w:spacing w:val="6"/>
          <w:kern w:val="0"/>
          <w:sz w:val="24"/>
          <w:szCs w:val="24"/>
        </w:rPr>
        <w:t xml:space="preserve">日期：    年    月    日 </w:t>
      </w:r>
    </w:p>
    <w:p>
      <w:pPr>
        <w:widowControl/>
        <w:spacing w:line="480" w:lineRule="exact"/>
        <w:ind w:firstLine="504" w:firstLineChars="200"/>
        <w:rPr>
          <w:rFonts w:hint="eastAsia" w:ascii="仿宋" w:hAnsi="仿宋" w:eastAsia="仿宋" w:cs="仿宋"/>
          <w:snapToGrid w:val="0"/>
          <w:color w:val="000000"/>
          <w:spacing w:val="6"/>
          <w:kern w:val="0"/>
          <w:sz w:val="24"/>
          <w:szCs w:val="24"/>
        </w:rPr>
      </w:pPr>
    </w:p>
    <w:p>
      <w:pPr>
        <w:widowControl/>
        <w:spacing w:line="480" w:lineRule="exact"/>
        <w:ind w:firstLine="504" w:firstLineChars="200"/>
        <w:rPr>
          <w:rFonts w:hint="eastAsia" w:ascii="仿宋" w:hAnsi="仿宋" w:eastAsia="仿宋" w:cs="仿宋"/>
          <w:snapToGrid w:val="0"/>
          <w:color w:val="000000"/>
          <w:spacing w:val="6"/>
          <w:kern w:val="0"/>
          <w:sz w:val="24"/>
          <w:szCs w:val="24"/>
        </w:rPr>
      </w:pPr>
      <w:r>
        <w:rPr>
          <w:rFonts w:hint="eastAsia" w:ascii="仿宋" w:hAnsi="仿宋" w:eastAsia="仿宋" w:cs="仿宋"/>
          <w:snapToGrid w:val="0"/>
          <w:color w:val="000000"/>
          <w:spacing w:val="6"/>
          <w:kern w:val="0"/>
          <w:sz w:val="24"/>
          <w:szCs w:val="24"/>
        </w:rPr>
        <w:t>注：1.供应商须在响应文件中按此模板提供承诺函，未提供视为未实质性响应磋商文件要求，按无效投标处理。</w:t>
      </w:r>
    </w:p>
    <w:p>
      <w:pPr>
        <w:widowControl/>
        <w:spacing w:line="480" w:lineRule="exact"/>
        <w:ind w:firstLine="504" w:firstLineChars="200"/>
        <w:rPr>
          <w:rFonts w:hint="eastAsia" w:ascii="仿宋" w:hAnsi="仿宋" w:eastAsia="仿宋" w:cs="仿宋"/>
          <w:snapToGrid w:val="0"/>
          <w:color w:val="000000"/>
          <w:spacing w:val="6"/>
          <w:kern w:val="0"/>
          <w:sz w:val="24"/>
          <w:szCs w:val="24"/>
        </w:rPr>
      </w:pPr>
      <w:r>
        <w:rPr>
          <w:rFonts w:hint="eastAsia" w:ascii="仿宋" w:hAnsi="仿宋" w:eastAsia="仿宋" w:cs="仿宋"/>
          <w:snapToGrid w:val="0"/>
          <w:color w:val="000000"/>
          <w:spacing w:val="6"/>
          <w:kern w:val="0"/>
          <w:sz w:val="24"/>
          <w:szCs w:val="24"/>
        </w:rPr>
        <w:t xml:space="preserve">2.供应商的法定代表人或者授权代表的签字或盖章应真实、有效，如由授权代表签字或盖章的，应提供“法定代表人授权书”。 </w:t>
      </w:r>
    </w:p>
    <w:p>
      <w:pPr>
        <w:pStyle w:val="50"/>
        <w:spacing w:line="480" w:lineRule="exact"/>
        <w:rPr>
          <w:rFonts w:hint="eastAsia" w:ascii="宋体" w:hAnsi="宋体" w:eastAsia="宋体" w:cs="宋体"/>
          <w:snapToGrid w:val="0"/>
          <w:spacing w:val="6"/>
          <w:sz w:val="24"/>
          <w:szCs w:val="24"/>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jc w:val="both"/>
        <w:textAlignment w:val="auto"/>
        <w:outlineLvl w:val="0"/>
        <w:rPr>
          <w:rFonts w:hint="eastAsia" w:ascii="仿宋" w:hAnsi="仿宋" w:eastAsia="仿宋" w:cs="仿宋"/>
          <w:b/>
          <w:bCs/>
          <w:snapToGrid w:val="0"/>
          <w:spacing w:val="0"/>
          <w:sz w:val="28"/>
          <w:szCs w:val="28"/>
          <w:lang w:eastAsia="zh-CN"/>
        </w:rPr>
      </w:pPr>
      <w:r>
        <w:rPr>
          <w:rFonts w:hint="eastAsia" w:ascii="宋体" w:hAnsi="宋体" w:eastAsia="宋体" w:cs="宋体"/>
          <w:snapToGrid w:val="0"/>
          <w:spacing w:val="6"/>
        </w:rPr>
        <w:br w:type="page"/>
      </w:r>
      <w:r>
        <w:rPr>
          <w:rFonts w:hint="eastAsia" w:ascii="仿宋" w:hAnsi="仿宋" w:eastAsia="仿宋" w:cs="仿宋"/>
          <w:b/>
          <w:bCs/>
          <w:snapToGrid w:val="0"/>
          <w:spacing w:val="0"/>
          <w:sz w:val="28"/>
          <w:szCs w:val="28"/>
          <w:lang w:eastAsia="zh-CN"/>
        </w:rPr>
        <w:t>附件5：开标一览表</w:t>
      </w:r>
      <w:bookmarkEnd w:id="140"/>
      <w:bookmarkEnd w:id="141"/>
      <w:bookmarkEnd w:id="142"/>
      <w:bookmarkEnd w:id="143"/>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562" w:firstLineChars="200"/>
        <w:jc w:val="both"/>
        <w:textAlignment w:val="auto"/>
        <w:rPr>
          <w:rFonts w:hint="eastAsia" w:ascii="仿宋" w:hAnsi="仿宋" w:eastAsia="仿宋" w:cs="仿宋"/>
          <w:b/>
          <w:bCs/>
          <w:snapToGrid w:val="0"/>
          <w:spacing w:val="0"/>
          <w:sz w:val="28"/>
          <w:szCs w:val="28"/>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jc w:val="center"/>
        <w:textAlignment w:val="auto"/>
        <w:rPr>
          <w:rFonts w:hint="eastAsia" w:ascii="仿宋" w:hAnsi="仿宋" w:eastAsia="仿宋" w:cs="仿宋"/>
          <w:b/>
          <w:bCs/>
          <w:snapToGrid w:val="0"/>
          <w:spacing w:val="0"/>
          <w:sz w:val="28"/>
          <w:szCs w:val="28"/>
          <w:vertAlign w:val="baseline"/>
          <w:lang w:eastAsia="zh-CN"/>
        </w:rPr>
      </w:pPr>
      <w:r>
        <w:rPr>
          <w:rFonts w:hint="eastAsia" w:ascii="仿宋" w:hAnsi="仿宋" w:eastAsia="仿宋" w:cs="仿宋"/>
          <w:b/>
          <w:bCs/>
          <w:snapToGrid w:val="0"/>
          <w:spacing w:val="0"/>
          <w:sz w:val="28"/>
          <w:szCs w:val="28"/>
          <w:lang w:eastAsia="zh-CN"/>
        </w:rPr>
        <w:t>开标一览表</w:t>
      </w:r>
    </w:p>
    <w:p>
      <w:pPr>
        <w:pStyle w:val="8"/>
        <w:spacing w:before="11" w:after="1"/>
        <w:ind w:left="0"/>
        <w:rPr>
          <w:sz w:val="16"/>
        </w:rPr>
      </w:pPr>
      <w:bookmarkStart w:id="145" w:name="_Toc1660958"/>
      <w:bookmarkStart w:id="146" w:name="_Toc28564"/>
      <w:bookmarkStart w:id="147" w:name="_Toc31303"/>
    </w:p>
    <w:tbl>
      <w:tblPr>
        <w:tblStyle w:val="19"/>
        <w:tblW w:w="0" w:type="auto"/>
        <w:tblInd w:w="5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19"/>
        <w:gridCol w:w="53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419" w:type="dxa"/>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投标单位名称</w:t>
            </w:r>
          </w:p>
        </w:tc>
        <w:tc>
          <w:tcPr>
            <w:tcW w:w="5342" w:type="dxa"/>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419" w:type="dxa"/>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投标报价（</w:t>
            </w:r>
            <w:r>
              <w:rPr>
                <w:rFonts w:hint="eastAsia" w:ascii="仿宋" w:hAnsi="仿宋" w:eastAsia="仿宋" w:cs="仿宋"/>
                <w:b w:val="0"/>
                <w:bCs w:val="0"/>
                <w:snapToGrid w:val="0"/>
                <w:spacing w:val="0"/>
                <w:sz w:val="24"/>
                <w:szCs w:val="24"/>
                <w:lang w:val="en-US" w:eastAsia="zh-CN"/>
              </w:rPr>
              <w:t>优惠率）</w:t>
            </w:r>
            <w:r>
              <w:rPr>
                <w:rFonts w:hint="eastAsia" w:ascii="仿宋" w:hAnsi="仿宋" w:eastAsia="仿宋" w:cs="仿宋"/>
                <w:b w:val="0"/>
                <w:bCs w:val="0"/>
                <w:snapToGrid w:val="0"/>
                <w:spacing w:val="0"/>
                <w:sz w:val="24"/>
                <w:szCs w:val="24"/>
                <w:lang w:eastAsia="zh-CN"/>
              </w:rPr>
              <w:t xml:space="preserve"> %</w:t>
            </w:r>
          </w:p>
        </w:tc>
        <w:tc>
          <w:tcPr>
            <w:tcW w:w="5342" w:type="dxa"/>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2419" w:type="dxa"/>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服务期</w:t>
            </w:r>
          </w:p>
        </w:tc>
        <w:tc>
          <w:tcPr>
            <w:tcW w:w="5342" w:type="dxa"/>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419" w:type="dxa"/>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服务标准</w:t>
            </w:r>
          </w:p>
        </w:tc>
        <w:tc>
          <w:tcPr>
            <w:tcW w:w="5342" w:type="dxa"/>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r>
    </w:tbl>
    <w:p>
      <w:pPr>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br w:type="page"/>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outlineLvl w:val="0"/>
        <w:rPr>
          <w:rFonts w:hint="eastAsia" w:ascii="仿宋" w:hAnsi="仿宋" w:eastAsia="仿宋" w:cs="仿宋"/>
          <w:b/>
          <w:bCs/>
          <w:snapToGrid w:val="0"/>
          <w:spacing w:val="0"/>
          <w:sz w:val="28"/>
          <w:szCs w:val="28"/>
          <w:lang w:eastAsia="zh-CN"/>
        </w:rPr>
      </w:pPr>
      <w:bookmarkStart w:id="148" w:name="_Toc6594"/>
      <w:bookmarkStart w:id="149" w:name="_Toc2141"/>
      <w:r>
        <w:rPr>
          <w:rFonts w:hint="eastAsia" w:ascii="仿宋" w:hAnsi="仿宋" w:eastAsia="仿宋" w:cs="仿宋"/>
          <w:b/>
          <w:bCs/>
          <w:snapToGrid w:val="0"/>
          <w:spacing w:val="0"/>
          <w:sz w:val="28"/>
          <w:szCs w:val="28"/>
          <w:lang w:eastAsia="zh-CN"/>
        </w:rPr>
        <w:t>附件6：报价明细表</w:t>
      </w:r>
      <w:bookmarkEnd w:id="145"/>
      <w:bookmarkEnd w:id="146"/>
      <w:bookmarkEnd w:id="147"/>
      <w:bookmarkEnd w:id="148"/>
      <w:bookmarkEnd w:id="149"/>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bCs/>
          <w:snapToGrid w:val="0"/>
          <w:spacing w:val="0"/>
          <w:sz w:val="28"/>
          <w:szCs w:val="28"/>
          <w:lang w:eastAsia="zh-CN"/>
        </w:rPr>
      </w:pPr>
      <w:r>
        <w:rPr>
          <w:rFonts w:hint="eastAsia" w:ascii="仿宋" w:hAnsi="仿宋" w:eastAsia="仿宋" w:cs="仿宋"/>
          <w:b/>
          <w:bCs/>
          <w:snapToGrid w:val="0"/>
          <w:spacing w:val="0"/>
          <w:sz w:val="28"/>
          <w:szCs w:val="28"/>
          <w:lang w:eastAsia="zh-CN"/>
        </w:rPr>
        <w:t>报价明细表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仿宋" w:hAnsi="仿宋" w:eastAsia="仿宋" w:cs="仿宋"/>
          <w:b w:val="0"/>
          <w:bCs w:val="0"/>
          <w:snapToGrid w:val="0"/>
          <w:spacing w:val="0"/>
          <w:sz w:val="24"/>
          <w:szCs w:val="24"/>
          <w:lang w:eastAsia="zh-CN"/>
        </w:rPr>
      </w:pPr>
    </w:p>
    <w:tbl>
      <w:tblPr>
        <w:tblStyle w:val="19"/>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2757"/>
        <w:gridCol w:w="2784"/>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299"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序号</w:t>
            </w:r>
          </w:p>
        </w:tc>
        <w:tc>
          <w:tcPr>
            <w:tcW w:w="2757"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服务内容</w:t>
            </w:r>
          </w:p>
        </w:tc>
        <w:tc>
          <w:tcPr>
            <w:tcW w:w="278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是否属于小型微型（监狱、残疾人福利性单位）企业承担的服务</w:t>
            </w:r>
          </w:p>
        </w:tc>
        <w:tc>
          <w:tcPr>
            <w:tcW w:w="179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投标报价（</w:t>
            </w:r>
            <w:r>
              <w:rPr>
                <w:rFonts w:hint="eastAsia" w:ascii="仿宋" w:hAnsi="仿宋" w:eastAsia="仿宋" w:cs="仿宋"/>
                <w:b w:val="0"/>
                <w:bCs w:val="0"/>
                <w:snapToGrid w:val="0"/>
                <w:spacing w:val="0"/>
                <w:sz w:val="24"/>
                <w:szCs w:val="24"/>
                <w:lang w:val="en-US" w:eastAsia="zh-CN"/>
              </w:rPr>
              <w:t>优惠率）</w:t>
            </w:r>
            <w:r>
              <w:rPr>
                <w:rFonts w:hint="eastAsia" w:ascii="仿宋" w:hAnsi="仿宋" w:eastAsia="仿宋" w:cs="仿宋"/>
                <w:b w:val="0"/>
                <w:bCs w:val="0"/>
                <w:snapToGrid w:val="0"/>
                <w:spacing w:val="0"/>
                <w:sz w:val="24"/>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99"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val="en-US" w:eastAsia="zh-CN"/>
              </w:rPr>
            </w:pPr>
          </w:p>
        </w:tc>
        <w:tc>
          <w:tcPr>
            <w:tcW w:w="2757"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278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179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99"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val="en-US" w:eastAsia="zh-CN"/>
              </w:rPr>
            </w:pPr>
          </w:p>
        </w:tc>
        <w:tc>
          <w:tcPr>
            <w:tcW w:w="2757"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278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179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99"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val="en-US" w:eastAsia="zh-CN"/>
              </w:rPr>
            </w:pPr>
          </w:p>
        </w:tc>
        <w:tc>
          <w:tcPr>
            <w:tcW w:w="2757"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278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179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99"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2757"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278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179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99"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2757"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278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179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99"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2757"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278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179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99"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2757"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278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179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99"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2757"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278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179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99"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2757"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278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179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99"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2757"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278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c>
          <w:tcPr>
            <w:tcW w:w="179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4"/>
                <w:szCs w:val="24"/>
                <w:lang w:eastAsia="zh-CN"/>
              </w:rPr>
            </w:pPr>
          </w:p>
        </w:tc>
      </w:tr>
    </w:tbl>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仿宋" w:hAnsi="仿宋" w:eastAsia="仿宋" w:cs="仿宋"/>
          <w:b w:val="0"/>
          <w:bCs w:val="0"/>
          <w:snapToGrid w:val="0"/>
          <w:spacing w:val="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供应商（企业电子章）：</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仿宋" w:hAnsi="仿宋" w:eastAsia="仿宋" w:cs="仿宋"/>
          <w:b w:val="0"/>
          <w:bCs w:val="0"/>
          <w:snapToGrid w:val="0"/>
          <w:spacing w:val="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注：1、供应商可根据需要自行增减表格行数。</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2、供应商对所报相关内容的真实性负责，采购代理机构有权将相关内容进行公示，因弄虚作假导致的后果由供应商自行承担。</w:t>
      </w:r>
    </w:p>
    <w:p>
      <w:pPr>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br w:type="page"/>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bCs/>
          <w:snapToGrid w:val="0"/>
          <w:spacing w:val="0"/>
          <w:sz w:val="28"/>
          <w:szCs w:val="28"/>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8"/>
          <w:szCs w:val="28"/>
          <w:lang w:eastAsia="zh-CN"/>
        </w:rPr>
      </w:pPr>
      <w:r>
        <w:rPr>
          <w:rFonts w:hint="eastAsia" w:ascii="仿宋" w:hAnsi="仿宋" w:eastAsia="仿宋" w:cs="仿宋"/>
          <w:b w:val="0"/>
          <w:bCs w:val="0"/>
          <w:snapToGrid w:val="0"/>
          <w:spacing w:val="0"/>
          <w:sz w:val="28"/>
          <w:szCs w:val="28"/>
          <w:lang w:eastAsia="zh-CN"/>
        </w:rPr>
        <w:t>小型微型（监狱、残疾人福利性单位）企业产品说明</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仿宋" w:hAnsi="仿宋" w:eastAsia="仿宋" w:cs="仿宋"/>
          <w:b w:val="0"/>
          <w:bCs w:val="0"/>
          <w:snapToGrid w:val="0"/>
          <w:spacing w:val="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1、供应商须在投标文件中提供供应商自己的《中小微企业声明函》，如未按要求提供上述证明或相关内容表述不清的或内容不全的，将整体不予价格扣除。</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2、根据财政部、司法部发布的《关于政府采购支持监狱企业发展有关问题的通知》（财库〔2014〕68号）规定，监狱企业作为供应商须提供由省级以上监狱管理局、戒毒管理局(含新疆生产建设兵团)出具的属于监狱企业的证明文件的扫描件，否则不予认定。</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3、根据财政部、民政部、中国残疾人联合会《关于促进残疾人就业政府采购政策的通知》（财库〔2017〕141号）规定，本项目在评审中对残疾人福利性单位提供本单位制造的货物、承担的工程或者服务，残疾人福利性单位作为供应商须提供《残疾人福利性单位声明函》，否则不予认定。</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4、供应商对所报相关内容的真实性负责，采购代理机构有权将相关内容进行公示，因弄虚作假导致的后果由供应商自行承担。</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5、相关证明资料附后。</w:t>
      </w:r>
    </w:p>
    <w:p>
      <w:pPr>
        <w:pStyle w:val="2"/>
        <w:rPr>
          <w:rFonts w:hint="eastAsia"/>
          <w:snapToGrid w:val="0"/>
          <w:spacing w:val="0"/>
          <w:lang w:eastAsia="zh-CN"/>
        </w:rPr>
      </w:pPr>
    </w:p>
    <w:p>
      <w:pPr>
        <w:rPr>
          <w:rFonts w:hint="eastAsia" w:ascii="宋体" w:hAnsi="宋体" w:eastAsia="宋体" w:cs="宋体"/>
          <w:snapToGrid w:val="0"/>
          <w:color w:val="auto"/>
          <w:spacing w:val="0"/>
          <w:w w:val="100"/>
          <w:highlight w:val="none"/>
        </w:rPr>
      </w:pPr>
      <w:r>
        <w:rPr>
          <w:rFonts w:hint="eastAsia" w:ascii="宋体" w:hAnsi="宋体" w:eastAsia="宋体" w:cs="宋体"/>
          <w:snapToGrid w:val="0"/>
          <w:color w:val="auto"/>
          <w:spacing w:val="0"/>
          <w:w w:val="100"/>
          <w:highlight w:val="none"/>
        </w:rPr>
        <w:br w:type="page"/>
      </w:r>
    </w:p>
    <w:p>
      <w:pPr>
        <w:pStyle w:val="39"/>
        <w:keepNext w:val="0"/>
        <w:keepLines w:val="0"/>
        <w:pageBreakBefore w:val="0"/>
        <w:kinsoku/>
        <w:overflowPunct/>
        <w:bidi w:val="0"/>
        <w:adjustRightInd/>
        <w:snapToGrid/>
        <w:spacing w:line="360" w:lineRule="auto"/>
        <w:jc w:val="left"/>
        <w:textAlignment w:val="auto"/>
        <w:outlineLvl w:val="0"/>
        <w:rPr>
          <w:rFonts w:hint="eastAsia" w:ascii="仿宋" w:hAnsi="仿宋" w:eastAsia="仿宋" w:cs="仿宋"/>
          <w:snapToGrid w:val="0"/>
          <w:color w:val="auto"/>
          <w:spacing w:val="0"/>
          <w:w w:val="100"/>
          <w:sz w:val="28"/>
          <w:szCs w:val="28"/>
          <w:highlight w:val="none"/>
        </w:rPr>
      </w:pPr>
      <w:bookmarkStart w:id="150" w:name="_Toc2476"/>
      <w:bookmarkStart w:id="151" w:name="_Toc3836"/>
      <w:r>
        <w:rPr>
          <w:rFonts w:hint="eastAsia" w:ascii="仿宋" w:hAnsi="仿宋" w:eastAsia="仿宋" w:cs="仿宋"/>
          <w:snapToGrid w:val="0"/>
          <w:color w:val="auto"/>
          <w:spacing w:val="0"/>
          <w:w w:val="100"/>
          <w:sz w:val="28"/>
          <w:szCs w:val="28"/>
          <w:highlight w:val="none"/>
          <w:lang w:eastAsia="zh-CN"/>
        </w:rPr>
        <w:t>附件</w:t>
      </w:r>
      <w:r>
        <w:rPr>
          <w:rFonts w:hint="eastAsia" w:ascii="仿宋" w:hAnsi="仿宋" w:eastAsia="仿宋" w:cs="仿宋"/>
          <w:snapToGrid w:val="0"/>
          <w:color w:val="auto"/>
          <w:spacing w:val="0"/>
          <w:w w:val="100"/>
          <w:sz w:val="28"/>
          <w:szCs w:val="28"/>
          <w:highlight w:val="none"/>
          <w:lang w:val="en-US" w:eastAsia="zh-CN"/>
        </w:rPr>
        <w:t>6-1：</w:t>
      </w:r>
      <w:r>
        <w:rPr>
          <w:rFonts w:hint="eastAsia" w:ascii="仿宋" w:hAnsi="仿宋" w:eastAsia="仿宋" w:cs="仿宋"/>
          <w:snapToGrid w:val="0"/>
          <w:color w:val="auto"/>
          <w:spacing w:val="0"/>
          <w:w w:val="100"/>
          <w:sz w:val="28"/>
          <w:szCs w:val="28"/>
          <w:highlight w:val="none"/>
        </w:rPr>
        <w:t>中小微企业声明函（</w:t>
      </w:r>
      <w:r>
        <w:rPr>
          <w:rFonts w:hint="eastAsia" w:ascii="仿宋" w:hAnsi="仿宋" w:eastAsia="仿宋" w:cs="仿宋"/>
          <w:snapToGrid w:val="0"/>
          <w:color w:val="auto"/>
          <w:spacing w:val="0"/>
          <w:w w:val="100"/>
          <w:kern w:val="0"/>
          <w:sz w:val="28"/>
          <w:szCs w:val="28"/>
          <w:highlight w:val="none"/>
          <w:lang w:val="en-US" w:eastAsia="zh-CN" w:bidi="ar-SA"/>
        </w:rPr>
        <w:t>供应商</w:t>
      </w:r>
      <w:r>
        <w:rPr>
          <w:rFonts w:hint="eastAsia" w:ascii="仿宋" w:hAnsi="仿宋" w:eastAsia="仿宋" w:cs="仿宋"/>
          <w:snapToGrid w:val="0"/>
          <w:color w:val="auto"/>
          <w:spacing w:val="0"/>
          <w:w w:val="100"/>
          <w:sz w:val="28"/>
          <w:szCs w:val="28"/>
          <w:highlight w:val="none"/>
        </w:rPr>
        <w:t>）</w:t>
      </w:r>
      <w:bookmarkEnd w:id="150"/>
      <w:bookmarkEnd w:id="151"/>
    </w:p>
    <w:p>
      <w:pPr>
        <w:pStyle w:val="40"/>
        <w:keepNext w:val="0"/>
        <w:keepLines w:val="0"/>
        <w:pageBreakBefore w:val="0"/>
        <w:kinsoku/>
        <w:overflowPunct/>
        <w:bidi w:val="0"/>
        <w:adjustRightInd/>
        <w:snapToGrid/>
        <w:spacing w:line="360" w:lineRule="auto"/>
        <w:ind w:left="0" w:leftChars="0" w:firstLine="480" w:firstLineChars="200"/>
        <w:jc w:val="left"/>
        <w:textAlignment w:val="auto"/>
        <w:rPr>
          <w:rFonts w:hint="eastAsia" w:ascii="仿宋" w:hAnsi="仿宋" w:eastAsia="仿宋" w:cs="仿宋"/>
          <w:snapToGrid w:val="0"/>
          <w:color w:val="auto"/>
          <w:spacing w:val="0"/>
          <w:w w:val="100"/>
          <w:kern w:val="0"/>
          <w:sz w:val="24"/>
          <w:szCs w:val="24"/>
          <w:highlight w:val="none"/>
        </w:rPr>
      </w:pPr>
    </w:p>
    <w:p>
      <w:pPr>
        <w:keepNext w:val="0"/>
        <w:keepLines w:val="0"/>
        <w:pageBreakBefore w:val="0"/>
        <w:kinsoku/>
        <w:overflowPunct/>
        <w:bidi w:val="0"/>
        <w:adjustRightInd/>
        <w:snapToGrid/>
        <w:spacing w:line="360" w:lineRule="auto"/>
        <w:jc w:val="center"/>
        <w:textAlignment w:val="auto"/>
        <w:rPr>
          <w:rFonts w:hint="eastAsia" w:ascii="仿宋" w:hAnsi="仿宋" w:eastAsia="仿宋" w:cs="仿宋"/>
          <w:snapToGrid w:val="0"/>
          <w:color w:val="auto"/>
          <w:spacing w:val="0"/>
          <w:w w:val="100"/>
          <w:kern w:val="0"/>
          <w:sz w:val="28"/>
          <w:szCs w:val="28"/>
          <w:highlight w:val="none"/>
          <w:lang w:val="en-US" w:eastAsia="zh-CN" w:bidi="ar-SA"/>
        </w:rPr>
      </w:pPr>
      <w:r>
        <w:rPr>
          <w:rFonts w:hint="eastAsia" w:ascii="仿宋" w:hAnsi="仿宋" w:eastAsia="仿宋" w:cs="仿宋"/>
          <w:snapToGrid w:val="0"/>
          <w:color w:val="auto"/>
          <w:spacing w:val="0"/>
          <w:w w:val="100"/>
          <w:kern w:val="0"/>
          <w:sz w:val="28"/>
          <w:szCs w:val="28"/>
          <w:highlight w:val="none"/>
          <w:lang w:val="en-US" w:eastAsia="zh-CN" w:bidi="ar-SA"/>
        </w:rPr>
        <w:t>中小企业声明函（供应商）</w:t>
      </w:r>
    </w:p>
    <w:p>
      <w:pPr>
        <w:keepNext w:val="0"/>
        <w:keepLines w:val="0"/>
        <w:pageBreakBefore w:val="0"/>
        <w:kinsoku/>
        <w:overflowPunct/>
        <w:bidi w:val="0"/>
        <w:adjustRightInd/>
        <w:snapToGrid/>
        <w:spacing w:line="360" w:lineRule="auto"/>
        <w:ind w:left="0" w:leftChars="0" w:firstLine="480" w:firstLineChars="200"/>
        <w:jc w:val="left"/>
        <w:textAlignment w:val="auto"/>
        <w:rPr>
          <w:rFonts w:hint="eastAsia" w:ascii="仿宋" w:hAnsi="仿宋" w:eastAsia="仿宋" w:cs="仿宋"/>
          <w:snapToGrid w:val="0"/>
          <w:color w:val="auto"/>
          <w:spacing w:val="0"/>
          <w:sz w:val="24"/>
          <w:szCs w:val="24"/>
          <w:highlight w:val="none"/>
        </w:rPr>
      </w:pPr>
    </w:p>
    <w:p>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仿宋" w:hAnsi="仿宋" w:eastAsia="仿宋" w:cs="仿宋"/>
          <w:snapToGrid w:val="0"/>
          <w:color w:val="auto"/>
          <w:spacing w:val="0"/>
          <w:sz w:val="24"/>
          <w:szCs w:val="24"/>
          <w:highlight w:val="none"/>
        </w:rPr>
      </w:pPr>
      <w:r>
        <w:rPr>
          <w:rFonts w:hint="eastAsia" w:ascii="仿宋" w:hAnsi="仿宋" w:eastAsia="仿宋" w:cs="仿宋"/>
          <w:snapToGrid w:val="0"/>
          <w:color w:val="auto"/>
          <w:spacing w:val="0"/>
          <w:sz w:val="24"/>
          <w:szCs w:val="24"/>
          <w:highlight w:val="none"/>
          <w:lang w:val="en-US" w:eastAsia="zh-CN"/>
        </w:rPr>
        <w:t>本公司（联合体）郑重声明，根据《政府采购促进中小企业发展管理办法》（财库﹝2020﹞46号）的规定，本公司（联合体）参加</w:t>
      </w:r>
      <w:r>
        <w:rPr>
          <w:rFonts w:hint="eastAsia" w:ascii="仿宋" w:hAnsi="仿宋" w:eastAsia="仿宋" w:cs="仿宋"/>
          <w:snapToGrid w:val="0"/>
          <w:color w:val="auto"/>
          <w:spacing w:val="0"/>
          <w:sz w:val="24"/>
          <w:szCs w:val="24"/>
          <w:highlight w:val="none"/>
          <w:u w:val="single"/>
          <w:lang w:val="en-US" w:eastAsia="zh-CN"/>
        </w:rPr>
        <w:t>（单位名称）</w:t>
      </w:r>
      <w:r>
        <w:rPr>
          <w:rFonts w:hint="eastAsia" w:ascii="仿宋" w:hAnsi="仿宋" w:eastAsia="仿宋" w:cs="仿宋"/>
          <w:snapToGrid w:val="0"/>
          <w:color w:val="auto"/>
          <w:spacing w:val="0"/>
          <w:sz w:val="24"/>
          <w:szCs w:val="24"/>
          <w:highlight w:val="none"/>
          <w:lang w:val="en-US" w:eastAsia="zh-CN"/>
        </w:rPr>
        <w:t>的</w:t>
      </w:r>
      <w:r>
        <w:rPr>
          <w:rFonts w:hint="eastAsia" w:ascii="仿宋" w:hAnsi="仿宋" w:eastAsia="仿宋" w:cs="仿宋"/>
          <w:snapToGrid w:val="0"/>
          <w:color w:val="auto"/>
          <w:spacing w:val="0"/>
          <w:sz w:val="24"/>
          <w:szCs w:val="24"/>
          <w:highlight w:val="none"/>
          <w:u w:val="single"/>
          <w:lang w:val="en-US" w:eastAsia="zh-CN"/>
        </w:rPr>
        <w:t>（项目名称）</w:t>
      </w:r>
      <w:r>
        <w:rPr>
          <w:rFonts w:hint="eastAsia" w:ascii="仿宋" w:hAnsi="仿宋" w:eastAsia="仿宋" w:cs="仿宋"/>
          <w:snapToGrid w:val="0"/>
          <w:color w:val="auto"/>
          <w:spacing w:val="0"/>
          <w:sz w:val="24"/>
          <w:szCs w:val="24"/>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仿宋" w:hAnsi="仿宋" w:eastAsia="仿宋" w:cs="仿宋"/>
          <w:snapToGrid w:val="0"/>
          <w:color w:val="auto"/>
          <w:spacing w:val="0"/>
          <w:sz w:val="24"/>
          <w:szCs w:val="24"/>
          <w:highlight w:val="none"/>
        </w:rPr>
      </w:pPr>
      <w:r>
        <w:rPr>
          <w:rFonts w:hint="eastAsia" w:ascii="仿宋" w:hAnsi="仿宋" w:eastAsia="仿宋" w:cs="仿宋"/>
          <w:snapToGrid w:val="0"/>
          <w:color w:val="auto"/>
          <w:spacing w:val="0"/>
          <w:sz w:val="24"/>
          <w:szCs w:val="24"/>
          <w:highlight w:val="none"/>
          <w:lang w:val="en-US" w:eastAsia="zh-CN"/>
        </w:rPr>
        <w:t>1、</w:t>
      </w:r>
      <w:r>
        <w:rPr>
          <w:rFonts w:hint="eastAsia" w:ascii="仿宋" w:hAnsi="仿宋" w:eastAsia="仿宋" w:cs="仿宋"/>
          <w:snapToGrid w:val="0"/>
          <w:color w:val="auto"/>
          <w:spacing w:val="0"/>
          <w:sz w:val="24"/>
          <w:szCs w:val="24"/>
          <w:highlight w:val="none"/>
          <w:u w:val="single"/>
          <w:lang w:val="en-US" w:eastAsia="zh-CN"/>
        </w:rPr>
        <w:t>（标的名称）</w:t>
      </w:r>
      <w:r>
        <w:rPr>
          <w:rFonts w:hint="eastAsia" w:ascii="仿宋" w:hAnsi="仿宋" w:eastAsia="仿宋" w:cs="仿宋"/>
          <w:snapToGrid w:val="0"/>
          <w:color w:val="auto"/>
          <w:spacing w:val="0"/>
          <w:sz w:val="24"/>
          <w:szCs w:val="24"/>
          <w:highlight w:val="none"/>
          <w:lang w:val="en-US" w:eastAsia="zh-CN"/>
        </w:rPr>
        <w:t>，属于</w:t>
      </w:r>
      <w:r>
        <w:rPr>
          <w:rFonts w:hint="eastAsia" w:ascii="仿宋" w:hAnsi="仿宋" w:eastAsia="仿宋" w:cs="仿宋"/>
          <w:snapToGrid w:val="0"/>
          <w:color w:val="auto"/>
          <w:spacing w:val="0"/>
          <w:sz w:val="24"/>
          <w:szCs w:val="24"/>
          <w:highlight w:val="none"/>
          <w:u w:val="single"/>
          <w:lang w:val="en-US" w:eastAsia="zh-CN"/>
        </w:rPr>
        <w:t>（采购文件中明确的所属行业）</w:t>
      </w:r>
      <w:r>
        <w:rPr>
          <w:rFonts w:hint="eastAsia" w:ascii="仿宋" w:hAnsi="仿宋" w:eastAsia="仿宋" w:cs="仿宋"/>
          <w:snapToGrid w:val="0"/>
          <w:color w:val="auto"/>
          <w:spacing w:val="0"/>
          <w:sz w:val="24"/>
          <w:szCs w:val="24"/>
          <w:highlight w:val="none"/>
          <w:lang w:val="en-US" w:eastAsia="zh-CN"/>
        </w:rPr>
        <w:t>；承建（承接）企业为</w:t>
      </w:r>
      <w:r>
        <w:rPr>
          <w:rFonts w:hint="eastAsia" w:ascii="仿宋" w:hAnsi="仿宋" w:eastAsia="仿宋" w:cs="仿宋"/>
          <w:snapToGrid w:val="0"/>
          <w:color w:val="auto"/>
          <w:spacing w:val="0"/>
          <w:sz w:val="24"/>
          <w:szCs w:val="24"/>
          <w:highlight w:val="none"/>
          <w:u w:val="single"/>
          <w:lang w:val="en-US" w:eastAsia="zh-CN"/>
        </w:rPr>
        <w:t>（企业名称）</w:t>
      </w:r>
      <w:r>
        <w:rPr>
          <w:rFonts w:hint="eastAsia" w:ascii="仿宋" w:hAnsi="仿宋" w:eastAsia="仿宋" w:cs="仿宋"/>
          <w:snapToGrid w:val="0"/>
          <w:color w:val="auto"/>
          <w:spacing w:val="0"/>
          <w:sz w:val="24"/>
          <w:szCs w:val="24"/>
          <w:highlight w:val="none"/>
          <w:lang w:val="en-US" w:eastAsia="zh-CN"/>
        </w:rPr>
        <w:t>，从业人员</w:t>
      </w:r>
      <w:r>
        <w:rPr>
          <w:rFonts w:hint="eastAsia" w:ascii="仿宋" w:hAnsi="仿宋" w:eastAsia="仿宋" w:cs="仿宋"/>
          <w:snapToGrid w:val="0"/>
          <w:color w:val="auto"/>
          <w:spacing w:val="0"/>
          <w:sz w:val="24"/>
          <w:szCs w:val="24"/>
          <w:highlight w:val="none"/>
          <w:u w:val="single"/>
          <w:lang w:val="en-US" w:eastAsia="zh-CN"/>
        </w:rPr>
        <w:t xml:space="preserve">      </w:t>
      </w:r>
      <w:r>
        <w:rPr>
          <w:rFonts w:hint="eastAsia" w:ascii="仿宋" w:hAnsi="仿宋" w:eastAsia="仿宋" w:cs="仿宋"/>
          <w:snapToGrid w:val="0"/>
          <w:color w:val="auto"/>
          <w:spacing w:val="0"/>
          <w:sz w:val="24"/>
          <w:szCs w:val="24"/>
          <w:highlight w:val="none"/>
          <w:lang w:val="en-US" w:eastAsia="zh-CN"/>
        </w:rPr>
        <w:t>人，营业收入为</w:t>
      </w:r>
      <w:r>
        <w:rPr>
          <w:rFonts w:hint="eastAsia" w:ascii="仿宋" w:hAnsi="仿宋" w:eastAsia="仿宋" w:cs="仿宋"/>
          <w:snapToGrid w:val="0"/>
          <w:color w:val="auto"/>
          <w:spacing w:val="0"/>
          <w:sz w:val="24"/>
          <w:szCs w:val="24"/>
          <w:highlight w:val="none"/>
          <w:u w:val="single"/>
          <w:lang w:val="en-US" w:eastAsia="zh-CN"/>
        </w:rPr>
        <w:t xml:space="preserve">      </w:t>
      </w:r>
      <w:r>
        <w:rPr>
          <w:rFonts w:hint="eastAsia" w:ascii="仿宋" w:hAnsi="仿宋" w:eastAsia="仿宋" w:cs="仿宋"/>
          <w:snapToGrid w:val="0"/>
          <w:color w:val="auto"/>
          <w:spacing w:val="0"/>
          <w:sz w:val="24"/>
          <w:szCs w:val="24"/>
          <w:highlight w:val="none"/>
          <w:lang w:val="en-US" w:eastAsia="zh-CN"/>
        </w:rPr>
        <w:t>万元，资产总额为</w:t>
      </w:r>
      <w:r>
        <w:rPr>
          <w:rFonts w:hint="eastAsia" w:ascii="仿宋" w:hAnsi="仿宋" w:eastAsia="仿宋" w:cs="仿宋"/>
          <w:snapToGrid w:val="0"/>
          <w:color w:val="auto"/>
          <w:spacing w:val="0"/>
          <w:sz w:val="24"/>
          <w:szCs w:val="24"/>
          <w:highlight w:val="none"/>
          <w:u w:val="single"/>
          <w:lang w:val="en-US" w:eastAsia="zh-CN"/>
        </w:rPr>
        <w:t xml:space="preserve">      </w:t>
      </w:r>
      <w:r>
        <w:rPr>
          <w:rFonts w:hint="eastAsia" w:ascii="仿宋" w:hAnsi="仿宋" w:eastAsia="仿宋" w:cs="仿宋"/>
          <w:snapToGrid w:val="0"/>
          <w:color w:val="auto"/>
          <w:spacing w:val="0"/>
          <w:sz w:val="24"/>
          <w:szCs w:val="24"/>
          <w:highlight w:val="none"/>
          <w:lang w:val="en-US" w:eastAsia="zh-CN"/>
        </w:rPr>
        <w:t>万元，属于</w:t>
      </w:r>
      <w:r>
        <w:rPr>
          <w:rFonts w:hint="eastAsia" w:ascii="仿宋" w:hAnsi="仿宋" w:eastAsia="仿宋" w:cs="仿宋"/>
          <w:snapToGrid w:val="0"/>
          <w:color w:val="auto"/>
          <w:spacing w:val="0"/>
          <w:sz w:val="24"/>
          <w:szCs w:val="24"/>
          <w:highlight w:val="none"/>
          <w:u w:val="single"/>
          <w:lang w:val="en-US" w:eastAsia="zh-CN"/>
        </w:rPr>
        <w:t>（中型企业、小型企业、微型企业）</w:t>
      </w:r>
      <w:r>
        <w:rPr>
          <w:rFonts w:hint="eastAsia" w:ascii="仿宋" w:hAnsi="仿宋" w:eastAsia="仿宋" w:cs="仿宋"/>
          <w:snapToGrid w:val="0"/>
          <w:color w:val="auto"/>
          <w:spacing w:val="0"/>
          <w:sz w:val="24"/>
          <w:szCs w:val="24"/>
          <w:highlight w:val="none"/>
          <w:lang w:val="en-US" w:eastAsia="zh-CN"/>
        </w:rPr>
        <w:t xml:space="preserve">； </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仿宋" w:hAnsi="仿宋" w:eastAsia="仿宋" w:cs="仿宋"/>
          <w:snapToGrid w:val="0"/>
          <w:color w:val="auto"/>
          <w:spacing w:val="0"/>
          <w:sz w:val="24"/>
          <w:szCs w:val="24"/>
          <w:highlight w:val="none"/>
        </w:rPr>
      </w:pPr>
      <w:r>
        <w:rPr>
          <w:rFonts w:hint="eastAsia" w:ascii="仿宋" w:hAnsi="仿宋" w:eastAsia="仿宋" w:cs="仿宋"/>
          <w:snapToGrid w:val="0"/>
          <w:color w:val="auto"/>
          <w:spacing w:val="0"/>
          <w:sz w:val="24"/>
          <w:szCs w:val="24"/>
          <w:highlight w:val="none"/>
          <w:lang w:val="en-US" w:eastAsia="zh-CN"/>
        </w:rPr>
        <w:t>2、</w:t>
      </w:r>
      <w:r>
        <w:rPr>
          <w:rFonts w:hint="eastAsia" w:ascii="仿宋" w:hAnsi="仿宋" w:eastAsia="仿宋" w:cs="仿宋"/>
          <w:snapToGrid w:val="0"/>
          <w:color w:val="auto"/>
          <w:spacing w:val="0"/>
          <w:sz w:val="24"/>
          <w:szCs w:val="24"/>
          <w:highlight w:val="none"/>
          <w:u w:val="single"/>
          <w:lang w:val="en-US" w:eastAsia="zh-CN"/>
        </w:rPr>
        <w:t>（标的名称）</w:t>
      </w:r>
      <w:r>
        <w:rPr>
          <w:rFonts w:hint="eastAsia" w:ascii="仿宋" w:hAnsi="仿宋" w:eastAsia="仿宋" w:cs="仿宋"/>
          <w:snapToGrid w:val="0"/>
          <w:color w:val="auto"/>
          <w:spacing w:val="0"/>
          <w:sz w:val="24"/>
          <w:szCs w:val="24"/>
          <w:highlight w:val="none"/>
          <w:lang w:val="en-US" w:eastAsia="zh-CN"/>
        </w:rPr>
        <w:t>，属于</w:t>
      </w:r>
      <w:r>
        <w:rPr>
          <w:rFonts w:hint="eastAsia" w:ascii="仿宋" w:hAnsi="仿宋" w:eastAsia="仿宋" w:cs="仿宋"/>
          <w:snapToGrid w:val="0"/>
          <w:color w:val="auto"/>
          <w:spacing w:val="0"/>
          <w:sz w:val="24"/>
          <w:szCs w:val="24"/>
          <w:highlight w:val="none"/>
          <w:u w:val="single"/>
          <w:lang w:val="en-US" w:eastAsia="zh-CN"/>
        </w:rPr>
        <w:t>（采购文件中明确的所属行业）</w:t>
      </w:r>
      <w:r>
        <w:rPr>
          <w:rFonts w:hint="eastAsia" w:ascii="仿宋" w:hAnsi="仿宋" w:eastAsia="仿宋" w:cs="仿宋"/>
          <w:snapToGrid w:val="0"/>
          <w:color w:val="auto"/>
          <w:spacing w:val="0"/>
          <w:sz w:val="24"/>
          <w:szCs w:val="24"/>
          <w:highlight w:val="none"/>
          <w:lang w:val="en-US" w:eastAsia="zh-CN"/>
        </w:rPr>
        <w:t>；承建（承接）企业为</w:t>
      </w:r>
      <w:r>
        <w:rPr>
          <w:rFonts w:hint="eastAsia" w:ascii="仿宋" w:hAnsi="仿宋" w:eastAsia="仿宋" w:cs="仿宋"/>
          <w:snapToGrid w:val="0"/>
          <w:color w:val="auto"/>
          <w:spacing w:val="0"/>
          <w:sz w:val="24"/>
          <w:szCs w:val="24"/>
          <w:highlight w:val="none"/>
          <w:u w:val="single"/>
          <w:lang w:val="en-US" w:eastAsia="zh-CN"/>
        </w:rPr>
        <w:t>（企业名称）</w:t>
      </w:r>
      <w:r>
        <w:rPr>
          <w:rFonts w:hint="eastAsia" w:ascii="仿宋" w:hAnsi="仿宋" w:eastAsia="仿宋" w:cs="仿宋"/>
          <w:snapToGrid w:val="0"/>
          <w:color w:val="auto"/>
          <w:spacing w:val="0"/>
          <w:sz w:val="24"/>
          <w:szCs w:val="24"/>
          <w:highlight w:val="none"/>
          <w:lang w:val="en-US" w:eastAsia="zh-CN"/>
        </w:rPr>
        <w:t>，从业人员</w:t>
      </w:r>
      <w:r>
        <w:rPr>
          <w:rFonts w:hint="eastAsia" w:ascii="仿宋" w:hAnsi="仿宋" w:eastAsia="仿宋" w:cs="仿宋"/>
          <w:snapToGrid w:val="0"/>
          <w:color w:val="auto"/>
          <w:spacing w:val="0"/>
          <w:sz w:val="24"/>
          <w:szCs w:val="24"/>
          <w:highlight w:val="none"/>
          <w:u w:val="single"/>
          <w:lang w:val="en-US" w:eastAsia="zh-CN"/>
        </w:rPr>
        <w:t xml:space="preserve">      </w:t>
      </w:r>
      <w:r>
        <w:rPr>
          <w:rFonts w:hint="eastAsia" w:ascii="仿宋" w:hAnsi="仿宋" w:eastAsia="仿宋" w:cs="仿宋"/>
          <w:snapToGrid w:val="0"/>
          <w:color w:val="auto"/>
          <w:spacing w:val="0"/>
          <w:sz w:val="24"/>
          <w:szCs w:val="24"/>
          <w:highlight w:val="none"/>
          <w:lang w:val="en-US" w:eastAsia="zh-CN"/>
        </w:rPr>
        <w:t>人，营业收入为</w:t>
      </w:r>
      <w:r>
        <w:rPr>
          <w:rFonts w:hint="eastAsia" w:ascii="仿宋" w:hAnsi="仿宋" w:eastAsia="仿宋" w:cs="仿宋"/>
          <w:snapToGrid w:val="0"/>
          <w:color w:val="auto"/>
          <w:spacing w:val="0"/>
          <w:sz w:val="24"/>
          <w:szCs w:val="24"/>
          <w:highlight w:val="none"/>
          <w:u w:val="single"/>
          <w:lang w:val="en-US" w:eastAsia="zh-CN"/>
        </w:rPr>
        <w:t xml:space="preserve">      </w:t>
      </w:r>
      <w:r>
        <w:rPr>
          <w:rFonts w:hint="eastAsia" w:ascii="仿宋" w:hAnsi="仿宋" w:eastAsia="仿宋" w:cs="仿宋"/>
          <w:snapToGrid w:val="0"/>
          <w:color w:val="auto"/>
          <w:spacing w:val="0"/>
          <w:sz w:val="24"/>
          <w:szCs w:val="24"/>
          <w:highlight w:val="none"/>
          <w:lang w:val="en-US" w:eastAsia="zh-CN"/>
        </w:rPr>
        <w:t>万元，资产总额为</w:t>
      </w:r>
      <w:r>
        <w:rPr>
          <w:rFonts w:hint="eastAsia" w:ascii="仿宋" w:hAnsi="仿宋" w:eastAsia="仿宋" w:cs="仿宋"/>
          <w:snapToGrid w:val="0"/>
          <w:color w:val="auto"/>
          <w:spacing w:val="0"/>
          <w:sz w:val="24"/>
          <w:szCs w:val="24"/>
          <w:highlight w:val="none"/>
          <w:u w:val="single"/>
          <w:lang w:val="en-US" w:eastAsia="zh-CN"/>
        </w:rPr>
        <w:t xml:space="preserve">      </w:t>
      </w:r>
      <w:r>
        <w:rPr>
          <w:rFonts w:hint="eastAsia" w:ascii="仿宋" w:hAnsi="仿宋" w:eastAsia="仿宋" w:cs="仿宋"/>
          <w:snapToGrid w:val="0"/>
          <w:color w:val="auto"/>
          <w:spacing w:val="0"/>
          <w:sz w:val="24"/>
          <w:szCs w:val="24"/>
          <w:highlight w:val="none"/>
          <w:lang w:val="en-US" w:eastAsia="zh-CN"/>
        </w:rPr>
        <w:t>万元，属于</w:t>
      </w:r>
      <w:r>
        <w:rPr>
          <w:rFonts w:hint="eastAsia" w:ascii="仿宋" w:hAnsi="仿宋" w:eastAsia="仿宋" w:cs="仿宋"/>
          <w:snapToGrid w:val="0"/>
          <w:color w:val="auto"/>
          <w:spacing w:val="0"/>
          <w:sz w:val="24"/>
          <w:szCs w:val="24"/>
          <w:highlight w:val="none"/>
          <w:u w:val="single"/>
          <w:lang w:val="en-US" w:eastAsia="zh-CN"/>
        </w:rPr>
        <w:t>（中型企业、小型企业、微型企业）</w:t>
      </w:r>
      <w:r>
        <w:rPr>
          <w:rFonts w:hint="eastAsia" w:ascii="仿宋" w:hAnsi="仿宋" w:eastAsia="仿宋" w:cs="仿宋"/>
          <w:snapToGrid w:val="0"/>
          <w:color w:val="auto"/>
          <w:spacing w:val="0"/>
          <w:sz w:val="24"/>
          <w:szCs w:val="24"/>
          <w:highlight w:val="none"/>
          <w:lang w:val="en-US" w:eastAsia="zh-CN"/>
        </w:rPr>
        <w:t xml:space="preserve">； </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仿宋" w:hAnsi="仿宋" w:eastAsia="仿宋" w:cs="仿宋"/>
          <w:snapToGrid w:val="0"/>
          <w:color w:val="auto"/>
          <w:spacing w:val="0"/>
          <w:sz w:val="24"/>
          <w:szCs w:val="24"/>
          <w:highlight w:val="none"/>
        </w:rPr>
      </w:pPr>
      <w:r>
        <w:rPr>
          <w:rFonts w:hint="eastAsia" w:ascii="仿宋" w:hAnsi="仿宋" w:eastAsia="仿宋" w:cs="仿宋"/>
          <w:snapToGrid w:val="0"/>
          <w:color w:val="auto"/>
          <w:spacing w:val="0"/>
          <w:sz w:val="24"/>
          <w:szCs w:val="24"/>
          <w:highlight w:val="none"/>
          <w:lang w:val="en-US" w:eastAsia="zh-CN"/>
        </w:rPr>
        <w:t>……</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仿宋" w:hAnsi="仿宋" w:eastAsia="仿宋" w:cs="仿宋"/>
          <w:snapToGrid w:val="0"/>
          <w:color w:val="auto"/>
          <w:spacing w:val="0"/>
          <w:sz w:val="24"/>
          <w:szCs w:val="24"/>
          <w:highlight w:val="none"/>
        </w:rPr>
      </w:pPr>
      <w:r>
        <w:rPr>
          <w:rFonts w:hint="eastAsia" w:ascii="仿宋" w:hAnsi="仿宋" w:eastAsia="仿宋" w:cs="仿宋"/>
          <w:snapToGrid w:val="0"/>
          <w:color w:val="auto"/>
          <w:spacing w:val="0"/>
          <w:sz w:val="24"/>
          <w:szCs w:val="24"/>
          <w:highlight w:val="none"/>
          <w:lang w:val="en-US" w:eastAsia="zh-CN"/>
        </w:rPr>
        <w:t>以上企业，不属于大企业的分支机构，不存在控股股东为大企业的情形，也不存在与大企业的负责人为同一人的情形。</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仿宋" w:hAnsi="仿宋" w:eastAsia="仿宋" w:cs="仿宋"/>
          <w:snapToGrid w:val="0"/>
          <w:color w:val="auto"/>
          <w:spacing w:val="0"/>
          <w:sz w:val="24"/>
          <w:szCs w:val="24"/>
          <w:highlight w:val="none"/>
        </w:rPr>
      </w:pPr>
      <w:r>
        <w:rPr>
          <w:rFonts w:hint="eastAsia" w:ascii="仿宋" w:hAnsi="仿宋" w:eastAsia="仿宋" w:cs="仿宋"/>
          <w:snapToGrid w:val="0"/>
          <w:color w:val="auto"/>
          <w:spacing w:val="0"/>
          <w:sz w:val="24"/>
          <w:szCs w:val="24"/>
          <w:highlight w:val="none"/>
          <w:lang w:val="en-US" w:eastAsia="zh-CN"/>
        </w:rPr>
        <w:t>本企业对上述声明内容的真实性负责。如有虚假，将依法承担相应责任。</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仿宋" w:hAnsi="仿宋" w:eastAsia="仿宋" w:cs="仿宋"/>
          <w:snapToGrid w:val="0"/>
          <w:color w:val="auto"/>
          <w:spacing w:val="0"/>
          <w:sz w:val="24"/>
          <w:szCs w:val="24"/>
          <w:highlight w:val="none"/>
          <w:lang w:val="en-US" w:eastAsia="zh-CN"/>
        </w:rPr>
      </w:pPr>
    </w:p>
    <w:p>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仿宋" w:hAnsi="仿宋" w:eastAsia="仿宋" w:cs="仿宋"/>
          <w:snapToGrid w:val="0"/>
          <w:color w:val="auto"/>
          <w:spacing w:val="0"/>
          <w:sz w:val="24"/>
          <w:szCs w:val="24"/>
          <w:highlight w:val="none"/>
          <w:lang w:val="en-US" w:eastAsia="zh-CN"/>
        </w:rPr>
      </w:pPr>
    </w:p>
    <w:p>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仿宋" w:hAnsi="仿宋" w:eastAsia="仿宋" w:cs="仿宋"/>
          <w:snapToGrid w:val="0"/>
          <w:color w:val="auto"/>
          <w:spacing w:val="0"/>
          <w:sz w:val="24"/>
          <w:szCs w:val="24"/>
          <w:highlight w:val="none"/>
          <w:lang w:val="en-US" w:eastAsia="zh-CN"/>
        </w:rPr>
      </w:pPr>
    </w:p>
    <w:p>
      <w:pPr>
        <w:keepNext w:val="0"/>
        <w:keepLines w:val="0"/>
        <w:pageBreakBefore w:val="0"/>
        <w:widowControl w:val="0"/>
        <w:kinsoku/>
        <w:wordWrap w:val="0"/>
        <w:overflowPunct/>
        <w:topLinePunct/>
        <w:autoSpaceDE/>
        <w:autoSpaceDN/>
        <w:bidi w:val="0"/>
        <w:adjustRightInd/>
        <w:snapToGrid/>
        <w:spacing w:line="360" w:lineRule="auto"/>
        <w:ind w:left="0" w:leftChars="0" w:firstLine="4800" w:firstLineChars="2000"/>
        <w:jc w:val="left"/>
        <w:textAlignment w:val="auto"/>
        <w:rPr>
          <w:rFonts w:hint="eastAsia" w:ascii="仿宋" w:hAnsi="仿宋" w:eastAsia="仿宋" w:cs="仿宋"/>
          <w:snapToGrid w:val="0"/>
          <w:color w:val="auto"/>
          <w:spacing w:val="0"/>
          <w:sz w:val="24"/>
          <w:szCs w:val="24"/>
          <w:highlight w:val="none"/>
        </w:rPr>
      </w:pPr>
      <w:r>
        <w:rPr>
          <w:rFonts w:hint="eastAsia" w:ascii="仿宋" w:hAnsi="仿宋" w:eastAsia="仿宋" w:cs="仿宋"/>
          <w:snapToGrid w:val="0"/>
          <w:color w:val="auto"/>
          <w:spacing w:val="0"/>
          <w:sz w:val="24"/>
          <w:szCs w:val="24"/>
          <w:highlight w:val="none"/>
          <w:lang w:val="en-US" w:eastAsia="zh-CN"/>
        </w:rPr>
        <w:t>企业名称（盖章）：</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800" w:firstLineChars="2000"/>
        <w:jc w:val="left"/>
        <w:textAlignment w:val="auto"/>
        <w:rPr>
          <w:rFonts w:hint="eastAsia" w:ascii="仿宋" w:hAnsi="仿宋" w:eastAsia="仿宋" w:cs="仿宋"/>
          <w:snapToGrid w:val="0"/>
          <w:color w:val="auto"/>
          <w:spacing w:val="0"/>
          <w:sz w:val="24"/>
          <w:szCs w:val="24"/>
          <w:highlight w:val="none"/>
          <w:lang w:val="en-US" w:eastAsia="zh-CN"/>
        </w:rPr>
      </w:pPr>
    </w:p>
    <w:p>
      <w:pPr>
        <w:keepNext w:val="0"/>
        <w:keepLines w:val="0"/>
        <w:pageBreakBefore w:val="0"/>
        <w:widowControl w:val="0"/>
        <w:kinsoku/>
        <w:wordWrap w:val="0"/>
        <w:overflowPunct/>
        <w:topLinePunct/>
        <w:autoSpaceDE/>
        <w:autoSpaceDN/>
        <w:bidi w:val="0"/>
        <w:adjustRightInd/>
        <w:snapToGrid/>
        <w:spacing w:line="360" w:lineRule="auto"/>
        <w:ind w:left="0" w:leftChars="0" w:firstLine="4800" w:firstLineChars="2000"/>
        <w:jc w:val="left"/>
        <w:textAlignment w:val="auto"/>
        <w:rPr>
          <w:rFonts w:hint="eastAsia" w:ascii="仿宋" w:hAnsi="仿宋" w:eastAsia="仿宋" w:cs="仿宋"/>
          <w:snapToGrid w:val="0"/>
          <w:color w:val="auto"/>
          <w:spacing w:val="0"/>
          <w:sz w:val="24"/>
          <w:szCs w:val="24"/>
          <w:highlight w:val="none"/>
        </w:rPr>
      </w:pPr>
      <w:r>
        <w:rPr>
          <w:rFonts w:hint="eastAsia" w:ascii="仿宋" w:hAnsi="仿宋" w:eastAsia="仿宋" w:cs="仿宋"/>
          <w:snapToGrid w:val="0"/>
          <w:color w:val="auto"/>
          <w:spacing w:val="0"/>
          <w:sz w:val="24"/>
          <w:szCs w:val="24"/>
          <w:highlight w:val="none"/>
          <w:lang w:val="en-US" w:eastAsia="zh-CN"/>
        </w:rPr>
        <w:t>日 期：</w:t>
      </w:r>
    </w:p>
    <w:p>
      <w:pPr>
        <w:pStyle w:val="2"/>
        <w:keepNext w:val="0"/>
        <w:keepLines w:val="0"/>
        <w:pageBreakBefore w:val="0"/>
        <w:widowControl w:val="0"/>
        <w:kinsoku/>
        <w:overflowPunct/>
        <w:bidi w:val="0"/>
        <w:adjustRightInd/>
        <w:snapToGrid/>
        <w:spacing w:line="360" w:lineRule="auto"/>
        <w:ind w:left="0" w:leftChars="0" w:firstLine="4800" w:firstLineChars="2000"/>
        <w:jc w:val="left"/>
        <w:textAlignment w:val="auto"/>
        <w:rPr>
          <w:rFonts w:hint="eastAsia" w:ascii="仿宋" w:hAnsi="仿宋" w:eastAsia="仿宋" w:cs="仿宋"/>
          <w:snapToGrid w:val="0"/>
          <w:color w:val="auto"/>
          <w:spacing w:val="0"/>
          <w:sz w:val="24"/>
          <w:szCs w:val="24"/>
          <w:lang w:eastAsia="zh-CN"/>
        </w:rPr>
        <w:sectPr>
          <w:pgSz w:w="11906" w:h="16838"/>
          <w:pgMar w:top="1134" w:right="1134" w:bottom="1134" w:left="1134"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0"/>
        <w:rPr>
          <w:rFonts w:hint="eastAsia" w:ascii="仿宋" w:hAnsi="仿宋" w:eastAsia="仿宋" w:cs="仿宋"/>
          <w:b/>
          <w:bCs/>
          <w:snapToGrid w:val="0"/>
          <w:spacing w:val="0"/>
          <w:sz w:val="28"/>
          <w:szCs w:val="28"/>
          <w:lang w:eastAsia="zh-CN"/>
        </w:rPr>
      </w:pPr>
      <w:bookmarkStart w:id="152" w:name="_Toc1660960"/>
      <w:bookmarkStart w:id="153" w:name="_Toc13935"/>
      <w:bookmarkStart w:id="154" w:name="_Toc5883"/>
      <w:bookmarkStart w:id="155" w:name="_Toc20807"/>
      <w:bookmarkStart w:id="156" w:name="_Toc249"/>
      <w:r>
        <w:rPr>
          <w:rFonts w:hint="eastAsia" w:ascii="仿宋" w:hAnsi="仿宋" w:eastAsia="仿宋" w:cs="仿宋"/>
          <w:b/>
          <w:bCs/>
          <w:snapToGrid w:val="0"/>
          <w:spacing w:val="0"/>
          <w:sz w:val="28"/>
          <w:szCs w:val="28"/>
          <w:lang w:eastAsia="zh-CN"/>
        </w:rPr>
        <w:t>附件6-2：残疾人福利性单位声明函</w:t>
      </w:r>
      <w:bookmarkEnd w:id="152"/>
      <w:bookmarkEnd w:id="153"/>
      <w:bookmarkEnd w:id="154"/>
      <w:bookmarkEnd w:id="155"/>
      <w:bookmarkEnd w:id="156"/>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b w:val="0"/>
          <w:bCs w:val="0"/>
          <w:snapToGrid w:val="0"/>
          <w:spacing w:val="0"/>
          <w:sz w:val="28"/>
          <w:szCs w:val="28"/>
          <w:lang w:eastAsia="zh-CN"/>
        </w:rPr>
      </w:pPr>
      <w:r>
        <w:rPr>
          <w:rFonts w:hint="eastAsia" w:ascii="仿宋" w:hAnsi="仿宋" w:eastAsia="仿宋" w:cs="仿宋"/>
          <w:b w:val="0"/>
          <w:bCs w:val="0"/>
          <w:snapToGrid w:val="0"/>
          <w:spacing w:val="0"/>
          <w:sz w:val="28"/>
          <w:szCs w:val="28"/>
          <w:lang w:eastAsia="zh-CN"/>
        </w:rPr>
        <w:t>残疾人福利性单位声明函</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141号）的规定，本单位为符合条件的残疾人福利性单位，且本单位参加______单位的______项目采购活动提供本单位的服务。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本单位对上述声明的真实性负责。如有虚假，将依法承担相应责任。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供应商（企业电子章）：</w:t>
      </w:r>
    </w:p>
    <w:p>
      <w:pPr>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br w:type="page"/>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outlineLvl w:val="0"/>
        <w:rPr>
          <w:rFonts w:hint="eastAsia" w:ascii="仿宋" w:hAnsi="仿宋" w:eastAsia="仿宋" w:cs="仿宋"/>
          <w:b/>
          <w:bCs/>
          <w:snapToGrid w:val="0"/>
          <w:spacing w:val="0"/>
          <w:sz w:val="28"/>
          <w:szCs w:val="28"/>
          <w:lang w:eastAsia="zh-CN"/>
        </w:rPr>
      </w:pPr>
      <w:bookmarkStart w:id="157" w:name="_Toc1660961"/>
      <w:bookmarkStart w:id="158" w:name="_Toc26486"/>
      <w:bookmarkStart w:id="159" w:name="_Toc21599"/>
      <w:bookmarkStart w:id="160" w:name="_Toc24806"/>
      <w:bookmarkStart w:id="161" w:name="_Toc8560"/>
      <w:r>
        <w:rPr>
          <w:rFonts w:hint="eastAsia" w:ascii="仿宋" w:hAnsi="仿宋" w:eastAsia="仿宋" w:cs="仿宋"/>
          <w:b/>
          <w:bCs/>
          <w:snapToGrid w:val="0"/>
          <w:spacing w:val="0"/>
          <w:sz w:val="28"/>
          <w:szCs w:val="28"/>
          <w:lang w:eastAsia="zh-CN"/>
        </w:rPr>
        <w:t>附件6-3：监狱企业证明文件</w:t>
      </w:r>
      <w:bookmarkEnd w:id="157"/>
      <w:bookmarkEnd w:id="158"/>
      <w:bookmarkEnd w:id="159"/>
      <w:bookmarkEnd w:id="160"/>
      <w:bookmarkEnd w:id="161"/>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8"/>
          <w:szCs w:val="28"/>
          <w:lang w:eastAsia="zh-CN"/>
        </w:rPr>
      </w:pPr>
      <w:r>
        <w:rPr>
          <w:rFonts w:hint="eastAsia" w:ascii="仿宋" w:hAnsi="仿宋" w:eastAsia="仿宋" w:cs="仿宋"/>
          <w:b w:val="0"/>
          <w:bCs w:val="0"/>
          <w:snapToGrid w:val="0"/>
          <w:spacing w:val="0"/>
          <w:sz w:val="28"/>
          <w:szCs w:val="28"/>
          <w:lang w:eastAsia="zh-CN"/>
        </w:rPr>
        <w:t>监狱企业证明文件</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（监狱企业参加政府采购活动时，应当提供由省级以上监狱管理局、戒毒管理局(含新疆生产建设兵团)出具的属于监狱企业的证明文件。</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注：在投标文件中附扫描件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napToGrid w:val="0"/>
          <w:spacing w:val="0"/>
          <w:sz w:val="24"/>
          <w:szCs w:val="24"/>
          <w:lang w:eastAsia="zh-CN"/>
        </w:rPr>
      </w:pPr>
      <w:r>
        <w:rPr>
          <w:rFonts w:hint="eastAsia" w:ascii="仿宋" w:hAnsi="仿宋" w:eastAsia="仿宋" w:cs="仿宋"/>
          <w:snapToGrid w:val="0"/>
          <w:spacing w:val="0"/>
          <w:sz w:val="24"/>
          <w:szCs w:val="24"/>
          <w:lang w:eastAsia="zh-CN"/>
        </w:rPr>
        <w:t>供应商（企业电子章）：</w:t>
      </w:r>
    </w:p>
    <w:p>
      <w:pPr>
        <w:rPr>
          <w:rFonts w:hint="eastAsia" w:ascii="仿宋" w:hAnsi="仿宋" w:eastAsia="仿宋" w:cs="仿宋"/>
          <w:b/>
          <w:bCs/>
          <w:snapToGrid w:val="0"/>
          <w:spacing w:val="0"/>
          <w:sz w:val="28"/>
          <w:szCs w:val="28"/>
          <w:lang w:eastAsia="zh-CN"/>
        </w:rPr>
      </w:pPr>
      <w:bookmarkStart w:id="162" w:name="_Toc1660965"/>
      <w:bookmarkStart w:id="163" w:name="_Toc9552"/>
      <w:bookmarkStart w:id="164" w:name="_Toc19488"/>
      <w:r>
        <w:rPr>
          <w:rFonts w:hint="eastAsia" w:ascii="仿宋" w:hAnsi="仿宋" w:eastAsia="仿宋" w:cs="仿宋"/>
          <w:b/>
          <w:bCs/>
          <w:snapToGrid w:val="0"/>
          <w:spacing w:val="0"/>
          <w:sz w:val="28"/>
          <w:szCs w:val="28"/>
          <w:lang w:eastAsia="zh-CN"/>
        </w:rPr>
        <w:br w:type="page"/>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outlineLvl w:val="0"/>
        <w:rPr>
          <w:rFonts w:hint="eastAsia" w:ascii="仿宋" w:hAnsi="仿宋" w:eastAsia="仿宋" w:cs="仿宋"/>
          <w:b/>
          <w:bCs/>
          <w:snapToGrid w:val="0"/>
          <w:spacing w:val="0"/>
          <w:sz w:val="28"/>
          <w:szCs w:val="28"/>
          <w:lang w:eastAsia="zh-CN"/>
        </w:rPr>
      </w:pPr>
      <w:bookmarkStart w:id="165" w:name="_Toc24280"/>
      <w:bookmarkStart w:id="166" w:name="_Toc18402"/>
      <w:r>
        <w:rPr>
          <w:rFonts w:hint="eastAsia" w:ascii="仿宋" w:hAnsi="仿宋" w:eastAsia="仿宋" w:cs="仿宋"/>
          <w:b/>
          <w:bCs/>
          <w:snapToGrid w:val="0"/>
          <w:spacing w:val="0"/>
          <w:sz w:val="28"/>
          <w:szCs w:val="28"/>
          <w:lang w:eastAsia="zh-CN"/>
        </w:rPr>
        <w:t>附件7：项目实施方案和计划</w:t>
      </w:r>
      <w:bookmarkEnd w:id="162"/>
      <w:bookmarkEnd w:id="163"/>
      <w:bookmarkEnd w:id="164"/>
      <w:bookmarkEnd w:id="165"/>
      <w:bookmarkEnd w:id="166"/>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8"/>
          <w:szCs w:val="28"/>
          <w:lang w:eastAsia="zh-CN"/>
        </w:rPr>
      </w:pPr>
      <w:r>
        <w:rPr>
          <w:rFonts w:hint="eastAsia" w:ascii="仿宋" w:hAnsi="仿宋" w:eastAsia="仿宋" w:cs="仿宋"/>
          <w:b w:val="0"/>
          <w:bCs w:val="0"/>
          <w:snapToGrid w:val="0"/>
          <w:spacing w:val="0"/>
          <w:sz w:val="28"/>
          <w:szCs w:val="28"/>
          <w:lang w:eastAsia="zh-CN"/>
        </w:rPr>
        <w:t>项目实施方案</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 xml:space="preserve">供应商根据采购项目要求及自身情况自行编制。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供应商（企业电子章）：</w:t>
      </w:r>
      <w:bookmarkStart w:id="167" w:name="_Toc9026"/>
      <w:bookmarkStart w:id="168" w:name="_Toc4593"/>
    </w:p>
    <w:p>
      <w:pPr>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br w:type="page"/>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outlineLvl w:val="0"/>
        <w:rPr>
          <w:rFonts w:hint="eastAsia" w:ascii="仿宋" w:hAnsi="仿宋" w:eastAsia="仿宋" w:cs="仿宋"/>
          <w:b/>
          <w:bCs/>
          <w:snapToGrid w:val="0"/>
          <w:spacing w:val="0"/>
          <w:sz w:val="28"/>
          <w:szCs w:val="28"/>
          <w:lang w:eastAsia="zh-CN"/>
        </w:rPr>
      </w:pPr>
      <w:bookmarkStart w:id="169" w:name="_Toc9958"/>
      <w:bookmarkStart w:id="170" w:name="_Toc32323"/>
      <w:r>
        <w:rPr>
          <w:rFonts w:hint="eastAsia" w:ascii="仿宋" w:hAnsi="仿宋" w:eastAsia="仿宋" w:cs="仿宋"/>
          <w:b/>
          <w:bCs/>
          <w:snapToGrid w:val="0"/>
          <w:spacing w:val="0"/>
          <w:sz w:val="28"/>
          <w:szCs w:val="28"/>
          <w:lang w:eastAsia="zh-CN"/>
        </w:rPr>
        <w:t>附件8：后续服务及优惠条件</w:t>
      </w:r>
      <w:bookmarkEnd w:id="167"/>
      <w:bookmarkEnd w:id="168"/>
      <w:bookmarkEnd w:id="169"/>
      <w:bookmarkEnd w:id="170"/>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8"/>
          <w:szCs w:val="28"/>
          <w:lang w:eastAsia="zh-CN"/>
        </w:rPr>
      </w:pPr>
      <w:r>
        <w:rPr>
          <w:rFonts w:hint="eastAsia" w:ascii="仿宋" w:hAnsi="仿宋" w:eastAsia="仿宋" w:cs="仿宋"/>
          <w:b w:val="0"/>
          <w:bCs w:val="0"/>
          <w:snapToGrid w:val="0"/>
          <w:spacing w:val="0"/>
          <w:sz w:val="28"/>
          <w:szCs w:val="28"/>
          <w:lang w:eastAsia="zh-CN"/>
        </w:rPr>
        <w:t>后续服务及优惠条件</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供应商根据采购项目要求及自身情况自行填报。</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供应商（企业电子章）：</w:t>
      </w:r>
      <w:bookmarkStart w:id="171" w:name="_Toc14383"/>
      <w:bookmarkStart w:id="172" w:name="_Toc1660967"/>
      <w:bookmarkStart w:id="173" w:name="_Toc531940071"/>
    </w:p>
    <w:p>
      <w:pPr>
        <w:rPr>
          <w:rFonts w:hint="eastAsia" w:ascii="仿宋" w:hAnsi="仿宋" w:eastAsia="仿宋" w:cs="仿宋"/>
          <w:b w:val="0"/>
          <w:bCs w:val="0"/>
          <w:snapToGrid w:val="0"/>
          <w:spacing w:val="0"/>
          <w:sz w:val="24"/>
          <w:szCs w:val="24"/>
          <w:lang w:val="zh-CN" w:eastAsia="zh-CN"/>
        </w:rPr>
      </w:pPr>
      <w:r>
        <w:rPr>
          <w:rFonts w:hint="eastAsia" w:ascii="仿宋" w:hAnsi="仿宋" w:eastAsia="仿宋" w:cs="仿宋"/>
          <w:b w:val="0"/>
          <w:bCs w:val="0"/>
          <w:snapToGrid w:val="0"/>
          <w:spacing w:val="0"/>
          <w:sz w:val="24"/>
          <w:szCs w:val="24"/>
          <w:lang w:val="zh-CN" w:eastAsia="zh-CN"/>
        </w:rPr>
        <w:br w:type="page"/>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outlineLvl w:val="0"/>
        <w:rPr>
          <w:rFonts w:hint="eastAsia" w:ascii="仿宋" w:hAnsi="仿宋" w:eastAsia="仿宋" w:cs="仿宋"/>
          <w:b/>
          <w:bCs/>
          <w:snapToGrid w:val="0"/>
          <w:spacing w:val="0"/>
          <w:sz w:val="28"/>
          <w:szCs w:val="28"/>
          <w:lang w:eastAsia="zh-CN"/>
        </w:rPr>
      </w:pPr>
      <w:bookmarkStart w:id="174" w:name="_Toc15596"/>
      <w:bookmarkStart w:id="175" w:name="_Toc3424"/>
      <w:r>
        <w:rPr>
          <w:rFonts w:hint="eastAsia" w:ascii="仿宋" w:hAnsi="仿宋" w:eastAsia="仿宋" w:cs="仿宋"/>
          <w:b/>
          <w:bCs/>
          <w:snapToGrid w:val="0"/>
          <w:spacing w:val="0"/>
          <w:sz w:val="28"/>
          <w:szCs w:val="28"/>
          <w:lang w:val="zh-CN" w:eastAsia="zh-CN"/>
        </w:rPr>
        <w:t>附件9：其他需要提供的资料</w:t>
      </w:r>
      <w:bookmarkEnd w:id="171"/>
      <w:bookmarkEnd w:id="172"/>
      <w:bookmarkEnd w:id="173"/>
      <w:bookmarkEnd w:id="174"/>
      <w:bookmarkEnd w:id="175"/>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8"/>
          <w:szCs w:val="28"/>
          <w:lang w:eastAsia="zh-CN"/>
        </w:rPr>
      </w:pPr>
      <w:r>
        <w:rPr>
          <w:rFonts w:hint="eastAsia" w:ascii="仿宋" w:hAnsi="仿宋" w:eastAsia="仿宋" w:cs="仿宋"/>
          <w:b w:val="0"/>
          <w:bCs w:val="0"/>
          <w:snapToGrid w:val="0"/>
          <w:spacing w:val="0"/>
          <w:sz w:val="28"/>
          <w:szCs w:val="28"/>
          <w:lang w:eastAsia="zh-CN"/>
        </w:rPr>
        <w:t>其他需要提供的资料</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供应商根据采购项目要求及自身情况自行填报。</w:t>
      </w:r>
      <w:bookmarkStart w:id="176" w:name="_Toc1660968"/>
      <w:bookmarkStart w:id="177" w:name="_Toc27995"/>
    </w:p>
    <w:p>
      <w:pPr>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br w:type="page"/>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outlineLvl w:val="0"/>
        <w:rPr>
          <w:rFonts w:hint="eastAsia" w:ascii="仿宋" w:hAnsi="仿宋" w:eastAsia="仿宋" w:cs="仿宋"/>
          <w:b/>
          <w:bCs/>
          <w:snapToGrid w:val="0"/>
          <w:spacing w:val="0"/>
          <w:sz w:val="28"/>
          <w:szCs w:val="28"/>
          <w:lang w:eastAsia="zh-CN"/>
        </w:rPr>
      </w:pPr>
      <w:bookmarkStart w:id="178" w:name="_Toc12325"/>
      <w:bookmarkStart w:id="179" w:name="_Toc32465"/>
      <w:r>
        <w:rPr>
          <w:rFonts w:hint="eastAsia" w:ascii="仿宋" w:hAnsi="仿宋" w:eastAsia="仿宋" w:cs="仿宋"/>
          <w:b/>
          <w:bCs/>
          <w:snapToGrid w:val="0"/>
          <w:spacing w:val="0"/>
          <w:sz w:val="28"/>
          <w:szCs w:val="28"/>
          <w:lang w:eastAsia="zh-CN"/>
        </w:rPr>
        <w:t>附件10：参与评审打分的证书（证件）一览表</w:t>
      </w:r>
      <w:bookmarkEnd w:id="176"/>
      <w:bookmarkEnd w:id="177"/>
      <w:bookmarkEnd w:id="178"/>
      <w:bookmarkEnd w:id="179"/>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8"/>
          <w:szCs w:val="28"/>
          <w:lang w:eastAsia="zh-CN"/>
        </w:rPr>
      </w:pPr>
      <w:r>
        <w:rPr>
          <w:rFonts w:hint="eastAsia" w:ascii="仿宋" w:hAnsi="仿宋" w:eastAsia="仿宋" w:cs="仿宋"/>
          <w:b w:val="0"/>
          <w:bCs w:val="0"/>
          <w:snapToGrid w:val="0"/>
          <w:spacing w:val="0"/>
          <w:sz w:val="28"/>
          <w:szCs w:val="28"/>
          <w:lang w:eastAsia="zh-CN"/>
        </w:rPr>
        <w:t>参与评审打分的证书（证件）一览表</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tbl>
      <w:tblPr>
        <w:tblStyle w:val="19"/>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409"/>
        <w:gridCol w:w="2410"/>
        <w:gridCol w:w="2410"/>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4"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仿宋" w:hAnsi="仿宋" w:eastAsia="仿宋" w:cs="仿宋"/>
                <w:b w:val="0"/>
                <w:bCs w:val="0"/>
                <w:snapToGrid w:val="0"/>
                <w:spacing w:val="0"/>
                <w:sz w:val="24"/>
                <w:szCs w:val="24"/>
                <w:lang w:val="en-US" w:eastAsia="zh-CN"/>
              </w:rPr>
            </w:pPr>
            <w:r>
              <w:rPr>
                <w:rFonts w:hint="eastAsia" w:ascii="仿宋" w:hAnsi="仿宋" w:eastAsia="仿宋" w:cs="仿宋"/>
                <w:b w:val="0"/>
                <w:bCs w:val="0"/>
                <w:snapToGrid w:val="0"/>
                <w:spacing w:val="0"/>
                <w:sz w:val="24"/>
                <w:szCs w:val="24"/>
                <w:lang w:val="en-US" w:eastAsia="zh-CN"/>
              </w:rPr>
              <w:t>序号</w:t>
            </w:r>
          </w:p>
        </w:tc>
        <w:tc>
          <w:tcPr>
            <w:tcW w:w="2409"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仿宋" w:hAnsi="仿宋" w:eastAsia="仿宋" w:cs="仿宋"/>
                <w:b w:val="0"/>
                <w:bCs w:val="0"/>
                <w:snapToGrid w:val="0"/>
                <w:spacing w:val="0"/>
                <w:sz w:val="24"/>
                <w:szCs w:val="24"/>
                <w:lang w:val="en-US" w:eastAsia="zh-CN"/>
              </w:rPr>
            </w:pPr>
            <w:r>
              <w:rPr>
                <w:rFonts w:hint="eastAsia" w:ascii="仿宋" w:hAnsi="仿宋" w:eastAsia="仿宋" w:cs="仿宋"/>
                <w:b w:val="0"/>
                <w:bCs w:val="0"/>
                <w:snapToGrid w:val="0"/>
                <w:spacing w:val="0"/>
                <w:sz w:val="24"/>
                <w:szCs w:val="24"/>
                <w:lang w:val="en-US" w:eastAsia="zh-CN"/>
              </w:rPr>
              <w:t>证书（证件）名称</w:t>
            </w:r>
          </w:p>
        </w:tc>
        <w:tc>
          <w:tcPr>
            <w:tcW w:w="2410"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仿宋" w:hAnsi="仿宋" w:eastAsia="仿宋" w:cs="仿宋"/>
                <w:b w:val="0"/>
                <w:bCs w:val="0"/>
                <w:snapToGrid w:val="0"/>
                <w:spacing w:val="0"/>
                <w:sz w:val="24"/>
                <w:szCs w:val="24"/>
                <w:lang w:val="en-US" w:eastAsia="zh-CN"/>
              </w:rPr>
            </w:pPr>
            <w:r>
              <w:rPr>
                <w:rFonts w:hint="eastAsia" w:ascii="仿宋" w:hAnsi="仿宋" w:eastAsia="仿宋" w:cs="仿宋"/>
                <w:b w:val="0"/>
                <w:bCs w:val="0"/>
                <w:snapToGrid w:val="0"/>
                <w:spacing w:val="0"/>
                <w:sz w:val="24"/>
                <w:szCs w:val="24"/>
                <w:lang w:val="en-US" w:eastAsia="zh-CN"/>
              </w:rPr>
              <w:t>持证单位（人）</w:t>
            </w:r>
          </w:p>
        </w:tc>
        <w:tc>
          <w:tcPr>
            <w:tcW w:w="2410"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仿宋" w:hAnsi="仿宋" w:eastAsia="仿宋" w:cs="仿宋"/>
                <w:b w:val="0"/>
                <w:bCs w:val="0"/>
                <w:snapToGrid w:val="0"/>
                <w:spacing w:val="0"/>
                <w:sz w:val="24"/>
                <w:szCs w:val="24"/>
                <w:lang w:val="en-US" w:eastAsia="zh-CN"/>
              </w:rPr>
            </w:pPr>
            <w:r>
              <w:rPr>
                <w:rFonts w:hint="eastAsia" w:ascii="仿宋" w:hAnsi="仿宋" w:eastAsia="仿宋" w:cs="仿宋"/>
                <w:b w:val="0"/>
                <w:bCs w:val="0"/>
                <w:snapToGrid w:val="0"/>
                <w:spacing w:val="0"/>
                <w:sz w:val="24"/>
                <w:szCs w:val="24"/>
                <w:lang w:val="en-US" w:eastAsia="zh-CN"/>
              </w:rPr>
              <w:t>发证机构</w:t>
            </w:r>
          </w:p>
        </w:tc>
        <w:tc>
          <w:tcPr>
            <w:tcW w:w="1367"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仿宋" w:hAnsi="仿宋" w:eastAsia="仿宋" w:cs="仿宋"/>
                <w:b w:val="0"/>
                <w:bCs w:val="0"/>
                <w:snapToGrid w:val="0"/>
                <w:spacing w:val="0"/>
                <w:sz w:val="24"/>
                <w:szCs w:val="24"/>
                <w:lang w:val="en-US" w:eastAsia="zh-CN"/>
              </w:rPr>
            </w:pPr>
            <w:r>
              <w:rPr>
                <w:rFonts w:hint="eastAsia" w:ascii="仿宋" w:hAnsi="仿宋" w:eastAsia="仿宋" w:cs="仿宋"/>
                <w:b w:val="0"/>
                <w:bCs w:val="0"/>
                <w:snapToGrid w:val="0"/>
                <w:spacing w:val="0"/>
                <w:sz w:val="24"/>
                <w:szCs w:val="24"/>
                <w:lang w:val="en-US" w:eastAsia="zh-CN"/>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409"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410"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410"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1367"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409"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410"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410"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1367"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409"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410"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410"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1367"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409"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410"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410"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1367"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409"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410"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410"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1367"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409"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410"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410"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1367"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409"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410"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410"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1367"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r>
    </w:tbl>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供应商（企业电子章）：</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注：1、供应商可根据需要自行增减表格行数。</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2、供应商对所报相关内容的真实性负责，采购代理机构有权将相关内容进行公示，因弄虚作假导致的后果由供应商自行承担。</w:t>
      </w:r>
      <w:bookmarkStart w:id="180" w:name="_Toc26924"/>
      <w:bookmarkStart w:id="181" w:name="_Toc1660969"/>
      <w:bookmarkStart w:id="182" w:name="_Toc20092"/>
    </w:p>
    <w:p>
      <w:pPr>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br w:type="page"/>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outlineLvl w:val="0"/>
        <w:rPr>
          <w:rFonts w:hint="eastAsia" w:ascii="仿宋" w:hAnsi="仿宋" w:eastAsia="仿宋" w:cs="仿宋"/>
          <w:b/>
          <w:bCs/>
          <w:snapToGrid w:val="0"/>
          <w:spacing w:val="0"/>
          <w:sz w:val="28"/>
          <w:szCs w:val="28"/>
          <w:lang w:eastAsia="zh-CN"/>
        </w:rPr>
      </w:pPr>
      <w:bookmarkStart w:id="183" w:name="_Toc28044"/>
      <w:bookmarkStart w:id="184" w:name="_Toc30475"/>
      <w:r>
        <w:rPr>
          <w:rFonts w:hint="eastAsia" w:ascii="仿宋" w:hAnsi="仿宋" w:eastAsia="仿宋" w:cs="仿宋"/>
          <w:b/>
          <w:bCs/>
          <w:snapToGrid w:val="0"/>
          <w:spacing w:val="0"/>
          <w:sz w:val="28"/>
          <w:szCs w:val="28"/>
          <w:lang w:eastAsia="zh-CN"/>
        </w:rPr>
        <w:t>附件10-1：参与评审打分的证书（证件）扫描件</w:t>
      </w:r>
      <w:bookmarkEnd w:id="180"/>
      <w:bookmarkEnd w:id="181"/>
      <w:bookmarkEnd w:id="182"/>
      <w:bookmarkEnd w:id="183"/>
      <w:bookmarkEnd w:id="184"/>
      <w:bookmarkStart w:id="185" w:name="_Toc1660970"/>
      <w:bookmarkStart w:id="186" w:name="_Toc32302"/>
    </w:p>
    <w:p>
      <w:pPr>
        <w:rPr>
          <w:rFonts w:hint="eastAsia" w:ascii="仿宋" w:hAnsi="仿宋" w:eastAsia="仿宋" w:cs="仿宋"/>
          <w:b/>
          <w:bCs/>
          <w:snapToGrid w:val="0"/>
          <w:spacing w:val="0"/>
          <w:sz w:val="28"/>
          <w:szCs w:val="28"/>
          <w:lang w:eastAsia="zh-CN"/>
        </w:rPr>
      </w:pPr>
      <w:r>
        <w:rPr>
          <w:rFonts w:hint="eastAsia" w:ascii="仿宋" w:hAnsi="仿宋" w:eastAsia="仿宋" w:cs="仿宋"/>
          <w:b/>
          <w:bCs/>
          <w:snapToGrid w:val="0"/>
          <w:spacing w:val="0"/>
          <w:sz w:val="28"/>
          <w:szCs w:val="28"/>
          <w:lang w:eastAsia="zh-CN"/>
        </w:rPr>
        <w:br w:type="page"/>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outlineLvl w:val="0"/>
        <w:rPr>
          <w:rFonts w:hint="eastAsia" w:ascii="仿宋" w:hAnsi="仿宋" w:eastAsia="仿宋" w:cs="仿宋"/>
          <w:b/>
          <w:bCs/>
          <w:snapToGrid w:val="0"/>
          <w:spacing w:val="0"/>
          <w:sz w:val="28"/>
          <w:szCs w:val="28"/>
          <w:lang w:eastAsia="zh-CN"/>
        </w:rPr>
      </w:pPr>
      <w:bookmarkStart w:id="187" w:name="_Toc30237"/>
      <w:bookmarkStart w:id="188" w:name="_Toc802"/>
      <w:r>
        <w:rPr>
          <w:rFonts w:hint="eastAsia" w:ascii="仿宋" w:hAnsi="仿宋" w:eastAsia="仿宋" w:cs="仿宋"/>
          <w:b/>
          <w:bCs/>
          <w:snapToGrid w:val="0"/>
          <w:spacing w:val="0"/>
          <w:sz w:val="28"/>
          <w:szCs w:val="28"/>
          <w:lang w:eastAsia="zh-CN"/>
        </w:rPr>
        <w:t>附件11：参与评审打分的合同业绩一览表</w:t>
      </w:r>
      <w:bookmarkEnd w:id="185"/>
      <w:bookmarkEnd w:id="186"/>
      <w:bookmarkEnd w:id="187"/>
      <w:bookmarkEnd w:id="188"/>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仿宋" w:hAnsi="仿宋" w:eastAsia="仿宋" w:cs="仿宋"/>
          <w:b w:val="0"/>
          <w:bCs w:val="0"/>
          <w:snapToGrid w:val="0"/>
          <w:spacing w:val="0"/>
          <w:sz w:val="28"/>
          <w:szCs w:val="28"/>
          <w:lang w:eastAsia="zh-CN"/>
        </w:rPr>
      </w:pPr>
      <w:r>
        <w:rPr>
          <w:rFonts w:hint="eastAsia" w:ascii="仿宋" w:hAnsi="仿宋" w:eastAsia="仿宋" w:cs="仿宋"/>
          <w:b w:val="0"/>
          <w:bCs w:val="0"/>
          <w:snapToGrid w:val="0"/>
          <w:spacing w:val="0"/>
          <w:sz w:val="28"/>
          <w:szCs w:val="28"/>
          <w:lang w:eastAsia="zh-CN"/>
        </w:rPr>
        <w:t>参与评审打分的合同业绩一览表</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tbl>
      <w:tblPr>
        <w:tblStyle w:val="19"/>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339"/>
        <w:gridCol w:w="2552"/>
        <w:gridCol w:w="2126"/>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仿宋" w:hAnsi="仿宋" w:eastAsia="仿宋" w:cs="仿宋"/>
                <w:b w:val="0"/>
                <w:bCs w:val="0"/>
                <w:snapToGrid w:val="0"/>
                <w:spacing w:val="0"/>
                <w:sz w:val="24"/>
                <w:szCs w:val="24"/>
                <w:lang w:val="en-US" w:eastAsia="zh-CN"/>
              </w:rPr>
            </w:pPr>
            <w:r>
              <w:rPr>
                <w:rFonts w:hint="eastAsia" w:ascii="仿宋" w:hAnsi="仿宋" w:eastAsia="仿宋" w:cs="仿宋"/>
                <w:b w:val="0"/>
                <w:bCs w:val="0"/>
                <w:snapToGrid w:val="0"/>
                <w:spacing w:val="0"/>
                <w:sz w:val="24"/>
                <w:szCs w:val="24"/>
                <w:lang w:val="en-US" w:eastAsia="zh-CN"/>
              </w:rPr>
              <w:t>序号</w:t>
            </w:r>
          </w:p>
        </w:tc>
        <w:tc>
          <w:tcPr>
            <w:tcW w:w="2339"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仿宋" w:hAnsi="仿宋" w:eastAsia="仿宋" w:cs="仿宋"/>
                <w:b w:val="0"/>
                <w:bCs w:val="0"/>
                <w:snapToGrid w:val="0"/>
                <w:spacing w:val="0"/>
                <w:sz w:val="24"/>
                <w:szCs w:val="24"/>
                <w:lang w:val="en-US" w:eastAsia="zh-CN"/>
              </w:rPr>
            </w:pPr>
            <w:r>
              <w:rPr>
                <w:rFonts w:hint="eastAsia" w:ascii="仿宋" w:hAnsi="仿宋" w:eastAsia="仿宋" w:cs="仿宋"/>
                <w:b w:val="0"/>
                <w:bCs w:val="0"/>
                <w:snapToGrid w:val="0"/>
                <w:spacing w:val="0"/>
                <w:sz w:val="24"/>
                <w:szCs w:val="24"/>
                <w:lang w:val="en-US" w:eastAsia="zh-CN"/>
              </w:rPr>
              <w:t>项目名称</w:t>
            </w:r>
          </w:p>
        </w:tc>
        <w:tc>
          <w:tcPr>
            <w:tcW w:w="2552"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仿宋" w:hAnsi="仿宋" w:eastAsia="仿宋" w:cs="仿宋"/>
                <w:b w:val="0"/>
                <w:bCs w:val="0"/>
                <w:snapToGrid w:val="0"/>
                <w:spacing w:val="0"/>
                <w:sz w:val="24"/>
                <w:szCs w:val="24"/>
                <w:lang w:val="en-US" w:eastAsia="zh-CN"/>
              </w:rPr>
            </w:pPr>
            <w:r>
              <w:rPr>
                <w:rFonts w:hint="eastAsia" w:ascii="仿宋" w:hAnsi="仿宋" w:eastAsia="仿宋" w:cs="仿宋"/>
                <w:b w:val="0"/>
                <w:bCs w:val="0"/>
                <w:snapToGrid w:val="0"/>
                <w:spacing w:val="0"/>
                <w:sz w:val="24"/>
                <w:szCs w:val="24"/>
                <w:lang w:val="en-US" w:eastAsia="zh-CN"/>
              </w:rPr>
              <w:t>采购单位（甲方）名称</w:t>
            </w:r>
          </w:p>
        </w:tc>
        <w:tc>
          <w:tcPr>
            <w:tcW w:w="2126"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仿宋" w:hAnsi="仿宋" w:eastAsia="仿宋" w:cs="仿宋"/>
                <w:b w:val="0"/>
                <w:bCs w:val="0"/>
                <w:snapToGrid w:val="0"/>
                <w:spacing w:val="0"/>
                <w:sz w:val="24"/>
                <w:szCs w:val="24"/>
                <w:lang w:val="en-US" w:eastAsia="zh-CN"/>
              </w:rPr>
            </w:pPr>
            <w:r>
              <w:rPr>
                <w:rFonts w:hint="eastAsia" w:ascii="仿宋" w:hAnsi="仿宋" w:eastAsia="仿宋" w:cs="仿宋"/>
                <w:b w:val="0"/>
                <w:bCs w:val="0"/>
                <w:snapToGrid w:val="0"/>
                <w:spacing w:val="0"/>
                <w:sz w:val="24"/>
                <w:szCs w:val="24"/>
                <w:lang w:val="en-US" w:eastAsia="zh-CN"/>
              </w:rPr>
              <w:t>合同金额（元）</w:t>
            </w:r>
          </w:p>
        </w:tc>
        <w:tc>
          <w:tcPr>
            <w:tcW w:w="1255"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仿宋" w:hAnsi="仿宋" w:eastAsia="仿宋" w:cs="仿宋"/>
                <w:b w:val="0"/>
                <w:bCs w:val="0"/>
                <w:snapToGrid w:val="0"/>
                <w:spacing w:val="0"/>
                <w:sz w:val="24"/>
                <w:szCs w:val="24"/>
                <w:lang w:val="en-US" w:eastAsia="zh-CN"/>
              </w:rPr>
            </w:pPr>
            <w:r>
              <w:rPr>
                <w:rFonts w:hint="eastAsia" w:ascii="仿宋" w:hAnsi="仿宋" w:eastAsia="仿宋" w:cs="仿宋"/>
                <w:b w:val="0"/>
                <w:bCs w:val="0"/>
                <w:snapToGrid w:val="0"/>
                <w:spacing w:val="0"/>
                <w:sz w:val="24"/>
                <w:szCs w:val="24"/>
                <w:lang w:val="en-US" w:eastAsia="zh-CN"/>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339"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552"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126"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1255"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339"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552"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126"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1255"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339"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552"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126"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1255"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339"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552"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126"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1255"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339"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552"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126"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1255"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339"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552"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126"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1255"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339"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552"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2126"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c>
          <w:tcPr>
            <w:tcW w:w="1255" w:type="dxa"/>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hint="eastAsia" w:ascii="仿宋" w:hAnsi="仿宋" w:eastAsia="仿宋" w:cs="仿宋"/>
                <w:b w:val="0"/>
                <w:bCs w:val="0"/>
                <w:snapToGrid w:val="0"/>
                <w:spacing w:val="0"/>
                <w:sz w:val="24"/>
                <w:szCs w:val="24"/>
                <w:lang w:val="en-US" w:eastAsia="zh-CN"/>
              </w:rPr>
            </w:pPr>
          </w:p>
        </w:tc>
      </w:tr>
    </w:tbl>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供应商（企业电子章）：</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注：1、供应商可根据需要自行增减表格行数。</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t>2、供应商对所报相关内容的真实性负责，采购代理机构有权将相关内容进行公示，因弄虚作假导致的后果由供应商自行承担。</w:t>
      </w:r>
      <w:bookmarkStart w:id="189" w:name="_Toc22139"/>
      <w:bookmarkStart w:id="190" w:name="_Toc4101"/>
      <w:bookmarkStart w:id="191" w:name="_Toc1660971"/>
      <w:bookmarkStart w:id="192" w:name="_Toc504741952"/>
    </w:p>
    <w:p>
      <w:pPr>
        <w:rPr>
          <w:rFonts w:hint="eastAsia" w:ascii="仿宋" w:hAnsi="仿宋" w:eastAsia="仿宋" w:cs="仿宋"/>
          <w:b w:val="0"/>
          <w:bCs w:val="0"/>
          <w:snapToGrid w:val="0"/>
          <w:spacing w:val="0"/>
          <w:sz w:val="24"/>
          <w:szCs w:val="24"/>
          <w:lang w:eastAsia="zh-CN"/>
        </w:rPr>
      </w:pPr>
      <w:r>
        <w:rPr>
          <w:rFonts w:hint="eastAsia" w:ascii="仿宋" w:hAnsi="仿宋" w:eastAsia="仿宋" w:cs="仿宋"/>
          <w:b w:val="0"/>
          <w:bCs w:val="0"/>
          <w:snapToGrid w:val="0"/>
          <w:spacing w:val="0"/>
          <w:sz w:val="24"/>
          <w:szCs w:val="24"/>
          <w:lang w:eastAsia="zh-CN"/>
        </w:rPr>
        <w:br w:type="page"/>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outlineLvl w:val="0"/>
        <w:rPr>
          <w:rFonts w:hint="eastAsia" w:ascii="仿宋" w:hAnsi="仿宋" w:eastAsia="仿宋" w:cs="仿宋"/>
          <w:b/>
          <w:bCs/>
          <w:snapToGrid w:val="0"/>
          <w:spacing w:val="0"/>
          <w:sz w:val="28"/>
          <w:szCs w:val="28"/>
          <w:lang w:eastAsia="zh-CN"/>
        </w:rPr>
      </w:pPr>
      <w:bookmarkStart w:id="193" w:name="_Toc7497"/>
      <w:bookmarkStart w:id="194" w:name="_Toc23614"/>
      <w:r>
        <w:rPr>
          <w:rFonts w:hint="eastAsia" w:ascii="仿宋" w:hAnsi="仿宋" w:eastAsia="仿宋" w:cs="仿宋"/>
          <w:b/>
          <w:bCs/>
          <w:snapToGrid w:val="0"/>
          <w:spacing w:val="0"/>
          <w:sz w:val="28"/>
          <w:szCs w:val="28"/>
          <w:lang w:eastAsia="zh-CN"/>
        </w:rPr>
        <w:t>附件11-1：参与评审打分的合同业绩扫描件</w:t>
      </w:r>
      <w:bookmarkEnd w:id="189"/>
      <w:bookmarkEnd w:id="190"/>
      <w:bookmarkEnd w:id="191"/>
      <w:bookmarkEnd w:id="193"/>
      <w:bookmarkEnd w:id="194"/>
    </w:p>
    <w:bookmarkEnd w:id="192"/>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outlineLvl w:val="9"/>
        <w:rPr>
          <w:rFonts w:hint="eastAsia" w:ascii="仿宋" w:hAnsi="仿宋" w:eastAsia="仿宋" w:cs="仿宋"/>
          <w:b w:val="0"/>
          <w:bCs w:val="0"/>
          <w:snapToGrid w:val="0"/>
          <w:spacing w:val="0"/>
          <w:sz w:val="24"/>
          <w:szCs w:val="24"/>
          <w:lang w:eastAsia="zh-CN"/>
        </w:rPr>
      </w:pPr>
    </w:p>
    <w:sectPr>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auto"/>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1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420" w:firstLineChars="200"/>
      <w:jc w:val="both"/>
      <w:rPr>
        <w:rFonts w:hint="default" w:ascii="仿宋" w:hAnsi="仿宋" w:eastAsia="仿宋" w:cs="仿宋"/>
        <w:sz w:val="21"/>
        <w:szCs w:val="21"/>
        <w:lang w:val="en-US" w:eastAsia="zh-CN"/>
      </w:rPr>
    </w:pPr>
    <w:r>
      <w:rPr>
        <w:rFonts w:hint="eastAsia" w:ascii="仿宋" w:hAnsi="仿宋" w:eastAsia="仿宋" w:cs="仿宋"/>
        <w:sz w:val="21"/>
        <w:szCs w:val="21"/>
        <w:lang w:eastAsia="zh-CN"/>
      </w:rPr>
      <w:t>公平</w:t>
    </w:r>
    <w:r>
      <w:rPr>
        <w:rFonts w:hint="eastAsia" w:ascii="仿宋" w:hAnsi="仿宋" w:eastAsia="仿宋" w:cs="仿宋"/>
        <w:sz w:val="21"/>
        <w:szCs w:val="21"/>
        <w:lang w:val="en-US" w:eastAsia="zh-CN"/>
      </w:rPr>
      <w:t xml:space="preserve"> 公正 公开                                           河南新衡达工程管理有限公司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395C4"/>
    <w:multiLevelType w:val="singleLevel"/>
    <w:tmpl w:val="AB1395C4"/>
    <w:lvl w:ilvl="0" w:tentative="0">
      <w:start w:val="1"/>
      <w:numFmt w:val="decimal"/>
      <w:suff w:val="nothing"/>
      <w:lvlText w:val="%1、"/>
      <w:lvlJc w:val="left"/>
    </w:lvl>
  </w:abstractNum>
  <w:abstractNum w:abstractNumId="1">
    <w:nsid w:val="C0176BCB"/>
    <w:multiLevelType w:val="singleLevel"/>
    <w:tmpl w:val="C0176BCB"/>
    <w:lvl w:ilvl="0" w:tentative="0">
      <w:start w:val="3"/>
      <w:numFmt w:val="chineseCounting"/>
      <w:suff w:val="nothing"/>
      <w:lvlText w:val="%1、"/>
      <w:lvlJc w:val="left"/>
      <w:rPr>
        <w:rFonts w:hint="eastAsia"/>
      </w:rPr>
    </w:lvl>
  </w:abstractNum>
  <w:abstractNum w:abstractNumId="2">
    <w:nsid w:val="FCAAC7AD"/>
    <w:multiLevelType w:val="singleLevel"/>
    <w:tmpl w:val="FCAAC7AD"/>
    <w:lvl w:ilvl="0" w:tentative="0">
      <w:start w:val="4"/>
      <w:numFmt w:val="chineseCounting"/>
      <w:suff w:val="space"/>
      <w:lvlText w:val="第%1章"/>
      <w:lvlJc w:val="left"/>
      <w:rPr>
        <w:rFonts w:hint="eastAsia"/>
      </w:rPr>
    </w:lvl>
  </w:abstractNum>
  <w:abstractNum w:abstractNumId="3">
    <w:nsid w:val="2A9E38DE"/>
    <w:multiLevelType w:val="multilevel"/>
    <w:tmpl w:val="2A9E38DE"/>
    <w:lvl w:ilvl="0" w:tentative="0">
      <w:start w:val="1"/>
      <w:numFmt w:val="japaneseCounting"/>
      <w:lvlText w:val="%1、"/>
      <w:lvlJc w:val="left"/>
      <w:pPr>
        <w:ind w:left="420" w:hanging="420"/>
      </w:pPr>
    </w:lvl>
    <w:lvl w:ilvl="1" w:tentative="0">
      <w:start w:val="3"/>
      <w:numFmt w:val="decimal"/>
      <w:lvlText w:val="%2、"/>
      <w:lvlJc w:val="left"/>
      <w:pPr>
        <w:ind w:left="780" w:hanging="360"/>
      </w:pPr>
    </w:lvl>
    <w:lvl w:ilvl="2" w:tentative="0">
      <w:start w:val="2"/>
      <w:numFmt w:val="decimal"/>
      <w:lvlText w:val="%3、"/>
      <w:lvlJc w:val="left"/>
      <w:pPr>
        <w:ind w:left="1200" w:hanging="36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Mjg2NzZmNDA3MDU0NzJkMWI4NGUxMWJmOWJiYzIifQ=="/>
  </w:docVars>
  <w:rsids>
    <w:rsidRoot w:val="0EB72A82"/>
    <w:rsid w:val="00186FF1"/>
    <w:rsid w:val="007737A7"/>
    <w:rsid w:val="014C5D73"/>
    <w:rsid w:val="01626374"/>
    <w:rsid w:val="01717F4F"/>
    <w:rsid w:val="01B85F94"/>
    <w:rsid w:val="01C358CB"/>
    <w:rsid w:val="020C662F"/>
    <w:rsid w:val="022D59F0"/>
    <w:rsid w:val="026740C8"/>
    <w:rsid w:val="027C3918"/>
    <w:rsid w:val="027C5214"/>
    <w:rsid w:val="028B5747"/>
    <w:rsid w:val="02BA42FB"/>
    <w:rsid w:val="02D128E8"/>
    <w:rsid w:val="037205FE"/>
    <w:rsid w:val="03BE7E03"/>
    <w:rsid w:val="03D618D6"/>
    <w:rsid w:val="04253689"/>
    <w:rsid w:val="04466C79"/>
    <w:rsid w:val="04670CA7"/>
    <w:rsid w:val="049E12F8"/>
    <w:rsid w:val="04CE67B6"/>
    <w:rsid w:val="05305A51"/>
    <w:rsid w:val="05557A72"/>
    <w:rsid w:val="0596018D"/>
    <w:rsid w:val="05C33B8C"/>
    <w:rsid w:val="05F23A3F"/>
    <w:rsid w:val="06231E4A"/>
    <w:rsid w:val="06615B6D"/>
    <w:rsid w:val="06BD3726"/>
    <w:rsid w:val="06C70BDF"/>
    <w:rsid w:val="06E15F8D"/>
    <w:rsid w:val="06FD5623"/>
    <w:rsid w:val="074A0890"/>
    <w:rsid w:val="077A1F3E"/>
    <w:rsid w:val="078D3874"/>
    <w:rsid w:val="0791793F"/>
    <w:rsid w:val="07A1593E"/>
    <w:rsid w:val="07E10FD0"/>
    <w:rsid w:val="08024B4A"/>
    <w:rsid w:val="081277EC"/>
    <w:rsid w:val="083520AA"/>
    <w:rsid w:val="08545BC6"/>
    <w:rsid w:val="08920B48"/>
    <w:rsid w:val="08935065"/>
    <w:rsid w:val="08AA3DE4"/>
    <w:rsid w:val="08DA6AC0"/>
    <w:rsid w:val="08E81855"/>
    <w:rsid w:val="09092C22"/>
    <w:rsid w:val="090D1B45"/>
    <w:rsid w:val="091A7535"/>
    <w:rsid w:val="095A6680"/>
    <w:rsid w:val="098944A3"/>
    <w:rsid w:val="09907BA7"/>
    <w:rsid w:val="09A03DFF"/>
    <w:rsid w:val="09F30F99"/>
    <w:rsid w:val="0A27015B"/>
    <w:rsid w:val="0AFA5870"/>
    <w:rsid w:val="0B1C57E6"/>
    <w:rsid w:val="0B224DC6"/>
    <w:rsid w:val="0BD42884"/>
    <w:rsid w:val="0C164EF0"/>
    <w:rsid w:val="0C1722D9"/>
    <w:rsid w:val="0C2A39AE"/>
    <w:rsid w:val="0C2F32F7"/>
    <w:rsid w:val="0C394176"/>
    <w:rsid w:val="0C444873"/>
    <w:rsid w:val="0CE265BB"/>
    <w:rsid w:val="0D082C8B"/>
    <w:rsid w:val="0D164155"/>
    <w:rsid w:val="0D2A7D60"/>
    <w:rsid w:val="0D5B1F41"/>
    <w:rsid w:val="0D705E9B"/>
    <w:rsid w:val="0D9B2C64"/>
    <w:rsid w:val="0DD736F9"/>
    <w:rsid w:val="0E4A19BA"/>
    <w:rsid w:val="0EAB2800"/>
    <w:rsid w:val="0EB72A82"/>
    <w:rsid w:val="0ECA4CFE"/>
    <w:rsid w:val="0ED91C40"/>
    <w:rsid w:val="0EF5276A"/>
    <w:rsid w:val="0EF95E3E"/>
    <w:rsid w:val="0F5B2655"/>
    <w:rsid w:val="0F917E25"/>
    <w:rsid w:val="0FD50659"/>
    <w:rsid w:val="101D790A"/>
    <w:rsid w:val="1034712E"/>
    <w:rsid w:val="10446F77"/>
    <w:rsid w:val="10454D9E"/>
    <w:rsid w:val="1071247F"/>
    <w:rsid w:val="10923E54"/>
    <w:rsid w:val="10F16C99"/>
    <w:rsid w:val="10F558C6"/>
    <w:rsid w:val="113B6304"/>
    <w:rsid w:val="114511B8"/>
    <w:rsid w:val="115F2FD4"/>
    <w:rsid w:val="1173012A"/>
    <w:rsid w:val="118539B9"/>
    <w:rsid w:val="11E9324C"/>
    <w:rsid w:val="123F1DBA"/>
    <w:rsid w:val="12631F4C"/>
    <w:rsid w:val="126801B8"/>
    <w:rsid w:val="12687563"/>
    <w:rsid w:val="12B037A6"/>
    <w:rsid w:val="130B4846"/>
    <w:rsid w:val="13433B2C"/>
    <w:rsid w:val="139C483D"/>
    <w:rsid w:val="13DA7FEC"/>
    <w:rsid w:val="13F605DA"/>
    <w:rsid w:val="14171240"/>
    <w:rsid w:val="143C2A55"/>
    <w:rsid w:val="144B02B5"/>
    <w:rsid w:val="14830684"/>
    <w:rsid w:val="14861F22"/>
    <w:rsid w:val="14A00D6C"/>
    <w:rsid w:val="14F62E54"/>
    <w:rsid w:val="14FD23B2"/>
    <w:rsid w:val="150F1F18"/>
    <w:rsid w:val="1582093B"/>
    <w:rsid w:val="15AA58DF"/>
    <w:rsid w:val="165F6ECF"/>
    <w:rsid w:val="16AE750E"/>
    <w:rsid w:val="16B20DAC"/>
    <w:rsid w:val="16DB47A7"/>
    <w:rsid w:val="177A1A64"/>
    <w:rsid w:val="18440243"/>
    <w:rsid w:val="18C47470"/>
    <w:rsid w:val="19192EAC"/>
    <w:rsid w:val="196640D0"/>
    <w:rsid w:val="196770E8"/>
    <w:rsid w:val="19710772"/>
    <w:rsid w:val="1A7D5B75"/>
    <w:rsid w:val="1A8962C8"/>
    <w:rsid w:val="1A8B18F4"/>
    <w:rsid w:val="1A9A2283"/>
    <w:rsid w:val="1A9A5B22"/>
    <w:rsid w:val="1ABF125E"/>
    <w:rsid w:val="1B313749"/>
    <w:rsid w:val="1B4D5548"/>
    <w:rsid w:val="1B723200"/>
    <w:rsid w:val="1B73052D"/>
    <w:rsid w:val="1B815DB8"/>
    <w:rsid w:val="1B8278A4"/>
    <w:rsid w:val="1BA86C22"/>
    <w:rsid w:val="1BD07A41"/>
    <w:rsid w:val="1BE560E6"/>
    <w:rsid w:val="1C111139"/>
    <w:rsid w:val="1C147D22"/>
    <w:rsid w:val="1C2D1655"/>
    <w:rsid w:val="1CB44478"/>
    <w:rsid w:val="1CBA5D6E"/>
    <w:rsid w:val="1D13631D"/>
    <w:rsid w:val="1D3E118C"/>
    <w:rsid w:val="1D4E55A7"/>
    <w:rsid w:val="1D734C9A"/>
    <w:rsid w:val="1DFA2D1B"/>
    <w:rsid w:val="1E5F6569"/>
    <w:rsid w:val="1E6E4153"/>
    <w:rsid w:val="1E7948A6"/>
    <w:rsid w:val="1EB42760"/>
    <w:rsid w:val="1EB46E6E"/>
    <w:rsid w:val="1EBC72DD"/>
    <w:rsid w:val="1EEE4EA3"/>
    <w:rsid w:val="1EF37062"/>
    <w:rsid w:val="1F114ADE"/>
    <w:rsid w:val="1F9279CD"/>
    <w:rsid w:val="1F963D1B"/>
    <w:rsid w:val="1FD93E57"/>
    <w:rsid w:val="1FE16D25"/>
    <w:rsid w:val="203E179D"/>
    <w:rsid w:val="209354CA"/>
    <w:rsid w:val="20994D8B"/>
    <w:rsid w:val="209B4FA7"/>
    <w:rsid w:val="217001E2"/>
    <w:rsid w:val="219F145C"/>
    <w:rsid w:val="21B76D44"/>
    <w:rsid w:val="21C81682"/>
    <w:rsid w:val="220F4269"/>
    <w:rsid w:val="2254540E"/>
    <w:rsid w:val="2273035C"/>
    <w:rsid w:val="22CB1179"/>
    <w:rsid w:val="22D3067D"/>
    <w:rsid w:val="22F40F66"/>
    <w:rsid w:val="22F9340A"/>
    <w:rsid w:val="23173148"/>
    <w:rsid w:val="23BA5A98"/>
    <w:rsid w:val="23EE3640"/>
    <w:rsid w:val="240707F0"/>
    <w:rsid w:val="243A3E06"/>
    <w:rsid w:val="248B6F10"/>
    <w:rsid w:val="24E92510"/>
    <w:rsid w:val="2516749D"/>
    <w:rsid w:val="253B0DDF"/>
    <w:rsid w:val="256718FC"/>
    <w:rsid w:val="259A141B"/>
    <w:rsid w:val="25DC6146"/>
    <w:rsid w:val="26D1161E"/>
    <w:rsid w:val="270046BB"/>
    <w:rsid w:val="27A4372B"/>
    <w:rsid w:val="27A70D57"/>
    <w:rsid w:val="28291BEE"/>
    <w:rsid w:val="283755B5"/>
    <w:rsid w:val="289A49FA"/>
    <w:rsid w:val="28BB4E60"/>
    <w:rsid w:val="293D1DE4"/>
    <w:rsid w:val="294A08D7"/>
    <w:rsid w:val="29A50C45"/>
    <w:rsid w:val="2A1738F0"/>
    <w:rsid w:val="2A1B7042"/>
    <w:rsid w:val="2A397ADB"/>
    <w:rsid w:val="2A470BC4"/>
    <w:rsid w:val="2A7E3970"/>
    <w:rsid w:val="2ACD470D"/>
    <w:rsid w:val="2ADD714A"/>
    <w:rsid w:val="2AE07893"/>
    <w:rsid w:val="2AFB11C4"/>
    <w:rsid w:val="2B45623B"/>
    <w:rsid w:val="2B795EE5"/>
    <w:rsid w:val="2B7F799F"/>
    <w:rsid w:val="2BB83645"/>
    <w:rsid w:val="2BC940E0"/>
    <w:rsid w:val="2BD40404"/>
    <w:rsid w:val="2BF51A0F"/>
    <w:rsid w:val="2C090452"/>
    <w:rsid w:val="2CC455FF"/>
    <w:rsid w:val="2CD71115"/>
    <w:rsid w:val="2D0143E4"/>
    <w:rsid w:val="2D0D3C5F"/>
    <w:rsid w:val="2D194592"/>
    <w:rsid w:val="2DD60AC7"/>
    <w:rsid w:val="2DD83CCC"/>
    <w:rsid w:val="2DEB0DB2"/>
    <w:rsid w:val="2E0B7921"/>
    <w:rsid w:val="2EBA0CEE"/>
    <w:rsid w:val="2ED303B5"/>
    <w:rsid w:val="2F0D52C2"/>
    <w:rsid w:val="2F2648AA"/>
    <w:rsid w:val="2F946596"/>
    <w:rsid w:val="30137039"/>
    <w:rsid w:val="301C33E8"/>
    <w:rsid w:val="30223781"/>
    <w:rsid w:val="30915A7F"/>
    <w:rsid w:val="30DB4402"/>
    <w:rsid w:val="30FF3436"/>
    <w:rsid w:val="31156E9F"/>
    <w:rsid w:val="316C3D56"/>
    <w:rsid w:val="3189354A"/>
    <w:rsid w:val="31BE28A4"/>
    <w:rsid w:val="31C75FFD"/>
    <w:rsid w:val="3253123E"/>
    <w:rsid w:val="325A24B7"/>
    <w:rsid w:val="32AC75CA"/>
    <w:rsid w:val="33263FCB"/>
    <w:rsid w:val="33634D14"/>
    <w:rsid w:val="3368056A"/>
    <w:rsid w:val="337E38DB"/>
    <w:rsid w:val="339669BA"/>
    <w:rsid w:val="33DE0FDB"/>
    <w:rsid w:val="34711890"/>
    <w:rsid w:val="34897AEF"/>
    <w:rsid w:val="34CB4AF7"/>
    <w:rsid w:val="34CF3B60"/>
    <w:rsid w:val="34DD77B9"/>
    <w:rsid w:val="352757D6"/>
    <w:rsid w:val="352C3FC8"/>
    <w:rsid w:val="35726987"/>
    <w:rsid w:val="35D54660"/>
    <w:rsid w:val="35EA010B"/>
    <w:rsid w:val="363E2D50"/>
    <w:rsid w:val="36B6623F"/>
    <w:rsid w:val="36C4095C"/>
    <w:rsid w:val="36E5096E"/>
    <w:rsid w:val="36F5649D"/>
    <w:rsid w:val="37105007"/>
    <w:rsid w:val="37251710"/>
    <w:rsid w:val="37343B7A"/>
    <w:rsid w:val="377350FF"/>
    <w:rsid w:val="37B24C58"/>
    <w:rsid w:val="37CB2F08"/>
    <w:rsid w:val="37D3697D"/>
    <w:rsid w:val="381352FF"/>
    <w:rsid w:val="38207E14"/>
    <w:rsid w:val="384C6641"/>
    <w:rsid w:val="384C6E5B"/>
    <w:rsid w:val="385C6C0F"/>
    <w:rsid w:val="386341A5"/>
    <w:rsid w:val="38E6379C"/>
    <w:rsid w:val="38EB3FE0"/>
    <w:rsid w:val="39344DF5"/>
    <w:rsid w:val="394458F4"/>
    <w:rsid w:val="39FD0E66"/>
    <w:rsid w:val="39FD336A"/>
    <w:rsid w:val="3A313FD8"/>
    <w:rsid w:val="3A3712E8"/>
    <w:rsid w:val="3A4477AA"/>
    <w:rsid w:val="3A535694"/>
    <w:rsid w:val="3A9066BD"/>
    <w:rsid w:val="3A9E5153"/>
    <w:rsid w:val="3B194FEF"/>
    <w:rsid w:val="3B255741"/>
    <w:rsid w:val="3B9D50C0"/>
    <w:rsid w:val="3BD80A06"/>
    <w:rsid w:val="3C1852A6"/>
    <w:rsid w:val="3C516A50"/>
    <w:rsid w:val="3C6909B6"/>
    <w:rsid w:val="3CB925E5"/>
    <w:rsid w:val="3CED228F"/>
    <w:rsid w:val="3CF26351"/>
    <w:rsid w:val="3CF61143"/>
    <w:rsid w:val="3D163594"/>
    <w:rsid w:val="3D521043"/>
    <w:rsid w:val="3DB173F1"/>
    <w:rsid w:val="3E093E44"/>
    <w:rsid w:val="3E326E8F"/>
    <w:rsid w:val="3E365DBA"/>
    <w:rsid w:val="3E3E149E"/>
    <w:rsid w:val="3E492211"/>
    <w:rsid w:val="3E614CE2"/>
    <w:rsid w:val="3EDD29A9"/>
    <w:rsid w:val="3EF23B8C"/>
    <w:rsid w:val="3EFC3253"/>
    <w:rsid w:val="3F1B1335"/>
    <w:rsid w:val="3F326AFD"/>
    <w:rsid w:val="3F5F13CB"/>
    <w:rsid w:val="3F817431"/>
    <w:rsid w:val="4040706B"/>
    <w:rsid w:val="408E03B9"/>
    <w:rsid w:val="40B96160"/>
    <w:rsid w:val="40E90133"/>
    <w:rsid w:val="410B3A33"/>
    <w:rsid w:val="410F55F1"/>
    <w:rsid w:val="411419E3"/>
    <w:rsid w:val="412160C9"/>
    <w:rsid w:val="416E7E42"/>
    <w:rsid w:val="42415D18"/>
    <w:rsid w:val="4247775C"/>
    <w:rsid w:val="42B1225C"/>
    <w:rsid w:val="42FB6B14"/>
    <w:rsid w:val="431B1D2C"/>
    <w:rsid w:val="431D7CD6"/>
    <w:rsid w:val="43374264"/>
    <w:rsid w:val="43706F55"/>
    <w:rsid w:val="43994F1E"/>
    <w:rsid w:val="443D3AFC"/>
    <w:rsid w:val="445E2A97"/>
    <w:rsid w:val="44D70E0B"/>
    <w:rsid w:val="452832A9"/>
    <w:rsid w:val="4528655A"/>
    <w:rsid w:val="45410CFC"/>
    <w:rsid w:val="454516CB"/>
    <w:rsid w:val="455C6204"/>
    <w:rsid w:val="45D71E03"/>
    <w:rsid w:val="45DA335A"/>
    <w:rsid w:val="4605689B"/>
    <w:rsid w:val="46272DDF"/>
    <w:rsid w:val="46454EEA"/>
    <w:rsid w:val="46656046"/>
    <w:rsid w:val="46681EB0"/>
    <w:rsid w:val="46847E3E"/>
    <w:rsid w:val="46D81D5D"/>
    <w:rsid w:val="46F67532"/>
    <w:rsid w:val="477E6905"/>
    <w:rsid w:val="47A73003"/>
    <w:rsid w:val="47A81BD4"/>
    <w:rsid w:val="47C337F0"/>
    <w:rsid w:val="47CF0F0F"/>
    <w:rsid w:val="47D6229D"/>
    <w:rsid w:val="480D79BB"/>
    <w:rsid w:val="4846767E"/>
    <w:rsid w:val="484A4A5F"/>
    <w:rsid w:val="48570425"/>
    <w:rsid w:val="48855A71"/>
    <w:rsid w:val="48A74306"/>
    <w:rsid w:val="48B54EED"/>
    <w:rsid w:val="48E36096"/>
    <w:rsid w:val="49220C18"/>
    <w:rsid w:val="496E23B4"/>
    <w:rsid w:val="499F00AF"/>
    <w:rsid w:val="49B41657"/>
    <w:rsid w:val="49B4527E"/>
    <w:rsid w:val="49E459A4"/>
    <w:rsid w:val="4A0D18AB"/>
    <w:rsid w:val="4A354385"/>
    <w:rsid w:val="4A3546F0"/>
    <w:rsid w:val="4A621FC3"/>
    <w:rsid w:val="4A742241"/>
    <w:rsid w:val="4A8F7C01"/>
    <w:rsid w:val="4ABA40F8"/>
    <w:rsid w:val="4AD36F68"/>
    <w:rsid w:val="4AF57CD3"/>
    <w:rsid w:val="4B002795"/>
    <w:rsid w:val="4B441EF4"/>
    <w:rsid w:val="4B784F16"/>
    <w:rsid w:val="4B935D75"/>
    <w:rsid w:val="4BB831B5"/>
    <w:rsid w:val="4C014490"/>
    <w:rsid w:val="4C5E1854"/>
    <w:rsid w:val="4C7A0D54"/>
    <w:rsid w:val="4C9856FF"/>
    <w:rsid w:val="4CB9218D"/>
    <w:rsid w:val="4CCD5AED"/>
    <w:rsid w:val="4CDB1D1B"/>
    <w:rsid w:val="4CEE62DB"/>
    <w:rsid w:val="4D2D2440"/>
    <w:rsid w:val="4DF72F6D"/>
    <w:rsid w:val="4E031912"/>
    <w:rsid w:val="4E5B5992"/>
    <w:rsid w:val="4E785E55"/>
    <w:rsid w:val="4EC055AC"/>
    <w:rsid w:val="4F094CE8"/>
    <w:rsid w:val="4F0A15BF"/>
    <w:rsid w:val="4F364929"/>
    <w:rsid w:val="4F365D17"/>
    <w:rsid w:val="4F3D0E54"/>
    <w:rsid w:val="4F9521FD"/>
    <w:rsid w:val="4FC9093A"/>
    <w:rsid w:val="505E4CC8"/>
    <w:rsid w:val="507537AB"/>
    <w:rsid w:val="507B6C2D"/>
    <w:rsid w:val="50854CBB"/>
    <w:rsid w:val="50E05F3B"/>
    <w:rsid w:val="50F1639A"/>
    <w:rsid w:val="51032D0D"/>
    <w:rsid w:val="510A5A60"/>
    <w:rsid w:val="51256043"/>
    <w:rsid w:val="51736423"/>
    <w:rsid w:val="528355FA"/>
    <w:rsid w:val="52AB7F4D"/>
    <w:rsid w:val="52C45EE8"/>
    <w:rsid w:val="53A616BE"/>
    <w:rsid w:val="53D61F2B"/>
    <w:rsid w:val="53DA3BB9"/>
    <w:rsid w:val="53F040F3"/>
    <w:rsid w:val="54080434"/>
    <w:rsid w:val="541327B7"/>
    <w:rsid w:val="54464A06"/>
    <w:rsid w:val="5496599E"/>
    <w:rsid w:val="549A551D"/>
    <w:rsid w:val="54C610F4"/>
    <w:rsid w:val="551249A6"/>
    <w:rsid w:val="551B1C37"/>
    <w:rsid w:val="551B7F9F"/>
    <w:rsid w:val="554A42CB"/>
    <w:rsid w:val="559A4994"/>
    <w:rsid w:val="55EC35D4"/>
    <w:rsid w:val="56102E1E"/>
    <w:rsid w:val="566B274A"/>
    <w:rsid w:val="568F7C36"/>
    <w:rsid w:val="56B9481E"/>
    <w:rsid w:val="56E074E3"/>
    <w:rsid w:val="570010E5"/>
    <w:rsid w:val="572D59E4"/>
    <w:rsid w:val="575239E0"/>
    <w:rsid w:val="5780017C"/>
    <w:rsid w:val="57B602A3"/>
    <w:rsid w:val="57CA5A63"/>
    <w:rsid w:val="585C6CD1"/>
    <w:rsid w:val="586F1E4F"/>
    <w:rsid w:val="587130A7"/>
    <w:rsid w:val="58A922A3"/>
    <w:rsid w:val="58AF6722"/>
    <w:rsid w:val="58C25EDA"/>
    <w:rsid w:val="58F85DEC"/>
    <w:rsid w:val="59480B21"/>
    <w:rsid w:val="594C6863"/>
    <w:rsid w:val="595105F8"/>
    <w:rsid w:val="5A376D05"/>
    <w:rsid w:val="5A392E40"/>
    <w:rsid w:val="5A8D7133"/>
    <w:rsid w:val="5AA93733"/>
    <w:rsid w:val="5ADE0739"/>
    <w:rsid w:val="5B18349B"/>
    <w:rsid w:val="5B59778A"/>
    <w:rsid w:val="5B8370C6"/>
    <w:rsid w:val="5BA033AB"/>
    <w:rsid w:val="5BA109BC"/>
    <w:rsid w:val="5BA739C5"/>
    <w:rsid w:val="5BA748A4"/>
    <w:rsid w:val="5BD45B5A"/>
    <w:rsid w:val="5C2B7526"/>
    <w:rsid w:val="5C2C1C91"/>
    <w:rsid w:val="5C4939B0"/>
    <w:rsid w:val="5C875E04"/>
    <w:rsid w:val="5CD209C4"/>
    <w:rsid w:val="5CD3534A"/>
    <w:rsid w:val="5CF65041"/>
    <w:rsid w:val="5CF70B75"/>
    <w:rsid w:val="5D127168"/>
    <w:rsid w:val="5D891708"/>
    <w:rsid w:val="5E9E6366"/>
    <w:rsid w:val="5F0B77B7"/>
    <w:rsid w:val="5F4955F3"/>
    <w:rsid w:val="5F5727E1"/>
    <w:rsid w:val="5F6662FF"/>
    <w:rsid w:val="5F7A5030"/>
    <w:rsid w:val="5F7D1608"/>
    <w:rsid w:val="5FAF1AEE"/>
    <w:rsid w:val="5FC9520A"/>
    <w:rsid w:val="5FD978F2"/>
    <w:rsid w:val="60E638B3"/>
    <w:rsid w:val="60F5158E"/>
    <w:rsid w:val="613760A4"/>
    <w:rsid w:val="61775605"/>
    <w:rsid w:val="61AE2AE1"/>
    <w:rsid w:val="61C86CA3"/>
    <w:rsid w:val="61FA4082"/>
    <w:rsid w:val="621C6BF0"/>
    <w:rsid w:val="621E7541"/>
    <w:rsid w:val="62366F31"/>
    <w:rsid w:val="6239194F"/>
    <w:rsid w:val="629D1EDE"/>
    <w:rsid w:val="62AC308C"/>
    <w:rsid w:val="62D41677"/>
    <w:rsid w:val="62F24963"/>
    <w:rsid w:val="63071C51"/>
    <w:rsid w:val="63485E67"/>
    <w:rsid w:val="635822A8"/>
    <w:rsid w:val="636D5D54"/>
    <w:rsid w:val="637305AD"/>
    <w:rsid w:val="63864720"/>
    <w:rsid w:val="63AA1FF6"/>
    <w:rsid w:val="63C416EC"/>
    <w:rsid w:val="63DE187D"/>
    <w:rsid w:val="64035C70"/>
    <w:rsid w:val="644E1AF6"/>
    <w:rsid w:val="648D7D15"/>
    <w:rsid w:val="649B41FB"/>
    <w:rsid w:val="64C61E6F"/>
    <w:rsid w:val="64DC42B2"/>
    <w:rsid w:val="651034DB"/>
    <w:rsid w:val="654B1940"/>
    <w:rsid w:val="65921AA2"/>
    <w:rsid w:val="662B52BC"/>
    <w:rsid w:val="66666A8A"/>
    <w:rsid w:val="667C4500"/>
    <w:rsid w:val="66BC7619"/>
    <w:rsid w:val="66F718A3"/>
    <w:rsid w:val="67255A26"/>
    <w:rsid w:val="67A755AC"/>
    <w:rsid w:val="67CF7565"/>
    <w:rsid w:val="682B3AE8"/>
    <w:rsid w:val="686021BE"/>
    <w:rsid w:val="68B0223F"/>
    <w:rsid w:val="68D92CD0"/>
    <w:rsid w:val="68EE3A88"/>
    <w:rsid w:val="68EF185A"/>
    <w:rsid w:val="691439F4"/>
    <w:rsid w:val="6916190A"/>
    <w:rsid w:val="69287CEE"/>
    <w:rsid w:val="69492A51"/>
    <w:rsid w:val="69801B71"/>
    <w:rsid w:val="69833F84"/>
    <w:rsid w:val="69AA3132"/>
    <w:rsid w:val="69BD2E65"/>
    <w:rsid w:val="6A4F2617"/>
    <w:rsid w:val="6A746B99"/>
    <w:rsid w:val="6A8614A9"/>
    <w:rsid w:val="6AF941E9"/>
    <w:rsid w:val="6B1E375C"/>
    <w:rsid w:val="6B225676"/>
    <w:rsid w:val="6B463F87"/>
    <w:rsid w:val="6B481462"/>
    <w:rsid w:val="6B5D6333"/>
    <w:rsid w:val="6B614E80"/>
    <w:rsid w:val="6B713F07"/>
    <w:rsid w:val="6B722451"/>
    <w:rsid w:val="6C5B73FB"/>
    <w:rsid w:val="6C854990"/>
    <w:rsid w:val="6C921DD5"/>
    <w:rsid w:val="6CAF32C0"/>
    <w:rsid w:val="6CFC1EF7"/>
    <w:rsid w:val="6D434C31"/>
    <w:rsid w:val="6D673814"/>
    <w:rsid w:val="6DF20BCA"/>
    <w:rsid w:val="6E513C29"/>
    <w:rsid w:val="6E5378F4"/>
    <w:rsid w:val="6E9248C1"/>
    <w:rsid w:val="6EC407F2"/>
    <w:rsid w:val="6F25749E"/>
    <w:rsid w:val="6F2E2C0F"/>
    <w:rsid w:val="6F680096"/>
    <w:rsid w:val="6F9D176F"/>
    <w:rsid w:val="6FAD74D8"/>
    <w:rsid w:val="6FB504F7"/>
    <w:rsid w:val="6FB67229"/>
    <w:rsid w:val="6FB95E7D"/>
    <w:rsid w:val="6FF43359"/>
    <w:rsid w:val="70476F58"/>
    <w:rsid w:val="705669E9"/>
    <w:rsid w:val="710A45D1"/>
    <w:rsid w:val="71187FDD"/>
    <w:rsid w:val="71440AFB"/>
    <w:rsid w:val="71527DF7"/>
    <w:rsid w:val="71A16BC9"/>
    <w:rsid w:val="71BD2A7C"/>
    <w:rsid w:val="71D63B41"/>
    <w:rsid w:val="71EA0570"/>
    <w:rsid w:val="71EA6DF8"/>
    <w:rsid w:val="72587BCF"/>
    <w:rsid w:val="727E5B59"/>
    <w:rsid w:val="728409C4"/>
    <w:rsid w:val="728F7278"/>
    <w:rsid w:val="72930C07"/>
    <w:rsid w:val="72966949"/>
    <w:rsid w:val="72AF5315"/>
    <w:rsid w:val="72E46728"/>
    <w:rsid w:val="72EE5849"/>
    <w:rsid w:val="73022925"/>
    <w:rsid w:val="73023236"/>
    <w:rsid w:val="73310028"/>
    <w:rsid w:val="73337CF4"/>
    <w:rsid w:val="73B70925"/>
    <w:rsid w:val="73E31B41"/>
    <w:rsid w:val="73F015EA"/>
    <w:rsid w:val="73FB4CB6"/>
    <w:rsid w:val="740140CA"/>
    <w:rsid w:val="741C655A"/>
    <w:rsid w:val="74552C45"/>
    <w:rsid w:val="74591FEB"/>
    <w:rsid w:val="74594A1A"/>
    <w:rsid w:val="74725EC6"/>
    <w:rsid w:val="747D56CB"/>
    <w:rsid w:val="753001ED"/>
    <w:rsid w:val="75462D32"/>
    <w:rsid w:val="75A905F2"/>
    <w:rsid w:val="76650DD9"/>
    <w:rsid w:val="76792E50"/>
    <w:rsid w:val="76810F73"/>
    <w:rsid w:val="76856AB9"/>
    <w:rsid w:val="76950D6D"/>
    <w:rsid w:val="76984A3E"/>
    <w:rsid w:val="76E2745B"/>
    <w:rsid w:val="770C3F72"/>
    <w:rsid w:val="770E6AAE"/>
    <w:rsid w:val="77836141"/>
    <w:rsid w:val="778736FE"/>
    <w:rsid w:val="782B6A4D"/>
    <w:rsid w:val="7879264D"/>
    <w:rsid w:val="78970D25"/>
    <w:rsid w:val="789B7B7D"/>
    <w:rsid w:val="78CF04BF"/>
    <w:rsid w:val="78E03842"/>
    <w:rsid w:val="790456F4"/>
    <w:rsid w:val="79466DE4"/>
    <w:rsid w:val="796F604B"/>
    <w:rsid w:val="798E037A"/>
    <w:rsid w:val="79A03E0B"/>
    <w:rsid w:val="79A575DC"/>
    <w:rsid w:val="79A670BB"/>
    <w:rsid w:val="7A201275"/>
    <w:rsid w:val="7A214D4A"/>
    <w:rsid w:val="7A2D0C57"/>
    <w:rsid w:val="7A3726E2"/>
    <w:rsid w:val="7A3D5A83"/>
    <w:rsid w:val="7A505630"/>
    <w:rsid w:val="7AD80027"/>
    <w:rsid w:val="7AF6348D"/>
    <w:rsid w:val="7B002BB2"/>
    <w:rsid w:val="7B1373E3"/>
    <w:rsid w:val="7B1454F2"/>
    <w:rsid w:val="7B2F4D9C"/>
    <w:rsid w:val="7B4927AB"/>
    <w:rsid w:val="7B892BA7"/>
    <w:rsid w:val="7B944943"/>
    <w:rsid w:val="7BA563C1"/>
    <w:rsid w:val="7C8171C7"/>
    <w:rsid w:val="7CB4634A"/>
    <w:rsid w:val="7D420902"/>
    <w:rsid w:val="7D4B674E"/>
    <w:rsid w:val="7D5471E5"/>
    <w:rsid w:val="7D553689"/>
    <w:rsid w:val="7D5858F6"/>
    <w:rsid w:val="7D793D9E"/>
    <w:rsid w:val="7DC01855"/>
    <w:rsid w:val="7DC93E75"/>
    <w:rsid w:val="7DD565C5"/>
    <w:rsid w:val="7E8D29AE"/>
    <w:rsid w:val="7EB75C7D"/>
    <w:rsid w:val="7EC17A61"/>
    <w:rsid w:val="7EE12CFA"/>
    <w:rsid w:val="7EED2B30"/>
    <w:rsid w:val="7EF56844"/>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line="701" w:lineRule="exact"/>
      <w:ind w:right="310"/>
      <w:jc w:val="center"/>
      <w:outlineLvl w:val="0"/>
    </w:pPr>
    <w:rPr>
      <w:rFonts w:ascii="Microsoft JhengHei" w:hAnsi="Microsoft JhengHei" w:eastAsia="Microsoft JhengHei" w:cs="Microsoft JhengHei"/>
      <w:b/>
      <w:bCs/>
      <w:sz w:val="44"/>
      <w:szCs w:val="44"/>
    </w:rPr>
  </w:style>
  <w:style w:type="paragraph" w:styleId="4">
    <w:name w:val="heading 2"/>
    <w:basedOn w:val="1"/>
    <w:next w:val="1"/>
    <w:qFormat/>
    <w:uiPriority w:val="1"/>
    <w:pPr>
      <w:spacing w:line="527" w:lineRule="exact"/>
      <w:ind w:left="418"/>
      <w:outlineLvl w:val="1"/>
    </w:pPr>
    <w:rPr>
      <w:rFonts w:ascii="Microsoft JhengHei" w:hAnsi="Microsoft JhengHei" w:eastAsia="Microsoft JhengHei" w:cs="Microsoft JhengHei"/>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rFonts w:ascii="Times New Roman"/>
      <w:b/>
      <w:bCs/>
    </w:rPr>
  </w:style>
  <w:style w:type="paragraph" w:styleId="6">
    <w:name w:val="heading 4"/>
    <w:basedOn w:val="1"/>
    <w:next w:val="1"/>
    <w:qFormat/>
    <w:uiPriority w:val="1"/>
    <w:pPr>
      <w:ind w:left="418"/>
      <w:jc w:val="center"/>
      <w:outlineLvl w:val="3"/>
    </w:pPr>
    <w:rPr>
      <w:rFonts w:ascii="微软雅黑" w:hAnsi="微软雅黑" w:eastAsia="微软雅黑" w:cs="微软雅黑"/>
      <w:b/>
      <w:bCs/>
      <w:sz w:val="28"/>
      <w:szCs w:val="28"/>
    </w:rPr>
  </w:style>
  <w:style w:type="paragraph" w:styleId="7">
    <w:name w:val="heading 5"/>
    <w:basedOn w:val="1"/>
    <w:next w:val="1"/>
    <w:qFormat/>
    <w:uiPriority w:val="1"/>
    <w:pPr>
      <w:spacing w:before="152"/>
      <w:ind w:left="1032"/>
      <w:outlineLvl w:val="5"/>
    </w:pPr>
    <w:rPr>
      <w:rFonts w:ascii="宋体" w:hAnsi="宋体" w:eastAsia="宋体" w:cs="宋体"/>
      <w:sz w:val="24"/>
      <w:szCs w:val="24"/>
      <w:lang w:val="zh-CN" w:eastAsia="zh-CN" w:bidi="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8">
    <w:name w:val="Body Text"/>
    <w:basedOn w:val="1"/>
    <w:next w:val="9"/>
    <w:qFormat/>
    <w:uiPriority w:val="1"/>
    <w:rPr>
      <w:sz w:val="24"/>
      <w:szCs w:val="24"/>
    </w:rPr>
  </w:style>
  <w:style w:type="paragraph" w:styleId="9">
    <w:name w:val="Body Text 2"/>
    <w:basedOn w:val="1"/>
    <w:qFormat/>
    <w:uiPriority w:val="0"/>
    <w:pPr>
      <w:jc w:val="center"/>
      <w:outlineLvl w:val="0"/>
    </w:pPr>
    <w:rPr>
      <w:rFonts w:ascii="楷体_GB2312"/>
      <w:sz w:val="30"/>
      <w:szCs w:val="20"/>
    </w:rPr>
  </w:style>
  <w:style w:type="paragraph" w:styleId="10">
    <w:name w:val="Body Text Indent"/>
    <w:basedOn w:val="1"/>
    <w:next w:val="11"/>
    <w:qFormat/>
    <w:uiPriority w:val="0"/>
    <w:pPr>
      <w:spacing w:line="400" w:lineRule="exact"/>
      <w:ind w:left="630"/>
    </w:pPr>
    <w:rPr>
      <w:rFonts w:ascii="楷体_GB2312"/>
      <w:sz w:val="30"/>
      <w:szCs w:val="30"/>
    </w:rPr>
  </w:style>
  <w:style w:type="paragraph" w:styleId="11">
    <w:name w:val="envelope return"/>
    <w:basedOn w:val="1"/>
    <w:qFormat/>
    <w:uiPriority w:val="99"/>
    <w:pPr>
      <w:snapToGrid w:val="0"/>
    </w:pPr>
    <w:rPr>
      <w:rFonts w:ascii="Arial" w:hAnsi="Arial"/>
    </w:rPr>
  </w:style>
  <w:style w:type="paragraph" w:styleId="12">
    <w:name w:val="Block Text"/>
    <w:basedOn w:val="1"/>
    <w:qFormat/>
    <w:uiPriority w:val="0"/>
    <w:pPr>
      <w:spacing w:line="300" w:lineRule="auto"/>
      <w:ind w:left="735" w:right="-26"/>
    </w:pPr>
    <w:rPr>
      <w:rFonts w:ascii="楷体_GB2312" w:eastAsia="楷体_GB2312"/>
      <w:sz w:val="24"/>
    </w:rPr>
  </w:style>
  <w:style w:type="paragraph" w:styleId="13">
    <w:name w:val="footer"/>
    <w:basedOn w:val="1"/>
    <w:qFormat/>
    <w:uiPriority w:val="0"/>
    <w:pPr>
      <w:tabs>
        <w:tab w:val="center" w:pos="4153"/>
        <w:tab w:val="right" w:pos="8306"/>
      </w:tabs>
      <w:snapToGrid w:val="0"/>
    </w:pPr>
    <w:rPr>
      <w:rFonts w:ascii="仿宋_GB2312" w:eastAsia="仿宋_GB2312"/>
      <w:kern w:val="2"/>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rFonts w:ascii="仿宋_GB2312" w:eastAsia="仿宋_GB2312"/>
      <w:kern w:val="2"/>
      <w:sz w:val="18"/>
      <w:szCs w:val="18"/>
    </w:rPr>
  </w:style>
  <w:style w:type="paragraph" w:styleId="15">
    <w:name w:val="toc 1"/>
    <w:basedOn w:val="1"/>
    <w:next w:val="1"/>
    <w:qFormat/>
    <w:uiPriority w:val="1"/>
  </w:style>
  <w:style w:type="paragraph" w:styleId="16">
    <w:name w:val="Normal (Web)"/>
    <w:basedOn w:val="1"/>
    <w:qFormat/>
    <w:uiPriority w:val="0"/>
    <w:pPr>
      <w:widowControl/>
      <w:spacing w:before="100" w:beforeAutospacing="1" w:after="100" w:afterAutospacing="1"/>
    </w:pPr>
    <w:rPr>
      <w:sz w:val="24"/>
      <w:szCs w:val="24"/>
    </w:rPr>
  </w:style>
  <w:style w:type="paragraph" w:styleId="17">
    <w:name w:val="Title"/>
    <w:basedOn w:val="1"/>
    <w:next w:val="1"/>
    <w:qFormat/>
    <w:uiPriority w:val="0"/>
    <w:pPr>
      <w:widowControl/>
      <w:spacing w:before="240" w:beforeLines="0" w:after="60" w:afterLines="0"/>
      <w:jc w:val="center"/>
      <w:outlineLvl w:val="0"/>
    </w:pPr>
    <w:rPr>
      <w:rFonts w:ascii="Cambria" w:hAnsi="Cambria" w:eastAsia="微软雅黑"/>
      <w:b/>
      <w:bCs/>
      <w:kern w:val="28"/>
      <w:lang w:eastAsia="en-US" w:bidi="en-US"/>
    </w:rPr>
  </w:style>
  <w:style w:type="paragraph" w:styleId="18">
    <w:name w:val="Body Text First Indent 2"/>
    <w:basedOn w:val="10"/>
    <w:next w:val="12"/>
    <w:qFormat/>
    <w:uiPriority w:val="0"/>
    <w:pPr>
      <w:spacing w:after="120" w:afterLines="0" w:line="240" w:lineRule="auto"/>
      <w:ind w:left="200" w:leftChars="200" w:firstLine="200" w:firstLineChars="200"/>
    </w:pPr>
  </w:style>
  <w:style w:type="table" w:styleId="20">
    <w:name w:val="Table Grid"/>
    <w:basedOn w:val="19"/>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style>
  <w:style w:type="character" w:styleId="23">
    <w:name w:val="FollowedHyperlink"/>
    <w:basedOn w:val="21"/>
    <w:qFormat/>
    <w:uiPriority w:val="0"/>
    <w:rPr>
      <w:color w:val="800080"/>
      <w:u w:val="none"/>
    </w:rPr>
  </w:style>
  <w:style w:type="character" w:styleId="24">
    <w:name w:val="Emphasis"/>
    <w:basedOn w:val="21"/>
    <w:qFormat/>
    <w:uiPriority w:val="0"/>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qFormat/>
    <w:uiPriority w:val="99"/>
    <w:rPr>
      <w:color w:val="0368A8"/>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ascii="monospace" w:hAnsi="monospace" w:eastAsia="monospace" w:cs="monospace"/>
    </w:rPr>
  </w:style>
  <w:style w:type="paragraph" w:customStyle="1" w:styleId="34">
    <w:name w:val="Default"/>
    <w:next w:val="3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大标题"/>
    <w:basedOn w:val="1"/>
    <w:next w:val="18"/>
    <w:qFormat/>
    <w:uiPriority w:val="0"/>
    <w:pPr>
      <w:jc w:val="center"/>
    </w:pPr>
    <w:rPr>
      <w:rFonts w:ascii="Arial" w:hAnsi="Arial" w:eastAsia="宋体"/>
      <w:b/>
      <w:sz w:val="28"/>
      <w:szCs w:val="24"/>
    </w:rPr>
  </w:style>
  <w:style w:type="paragraph" w:customStyle="1" w:styleId="36">
    <w:name w:val="*正文"/>
    <w:basedOn w:val="1"/>
    <w:next w:val="1"/>
    <w:qFormat/>
    <w:uiPriority w:val="0"/>
    <w:pPr>
      <w:widowControl/>
      <w:ind w:firstLine="482"/>
    </w:pPr>
    <w:rPr>
      <w:rFonts w:ascii="微软雅黑" w:hAnsi="微软雅黑" w:eastAsia="微软雅黑"/>
      <w:sz w:val="21"/>
    </w:rPr>
  </w:style>
  <w:style w:type="paragraph" w:customStyle="1" w:styleId="37">
    <w:name w:val="Table Paragraph"/>
    <w:basedOn w:val="1"/>
    <w:qFormat/>
    <w:uiPriority w:val="1"/>
  </w:style>
  <w:style w:type="paragraph" w:customStyle="1" w:styleId="38">
    <w:name w:val="List Paragraph"/>
    <w:basedOn w:val="1"/>
    <w:qFormat/>
    <w:uiPriority w:val="1"/>
    <w:pPr>
      <w:spacing w:before="192"/>
      <w:ind w:left="418" w:firstLine="420"/>
    </w:pPr>
  </w:style>
  <w:style w:type="paragraph" w:customStyle="1" w:styleId="39">
    <w:name w:val="Normal_9"/>
    <w:qFormat/>
    <w:uiPriority w:val="0"/>
    <w:rPr>
      <w:rFonts w:ascii="黑体" w:hAnsi="黑体" w:eastAsia="黑体" w:cs="Times New Roman"/>
      <w:b/>
      <w:sz w:val="32"/>
      <w:szCs w:val="24"/>
      <w:lang w:val="en-US" w:eastAsia="zh-CN" w:bidi="ar-SA"/>
    </w:rPr>
  </w:style>
  <w:style w:type="paragraph" w:customStyle="1" w:styleId="40">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Body text|1"/>
    <w:basedOn w:val="1"/>
    <w:qFormat/>
    <w:uiPriority w:val="0"/>
    <w:pPr>
      <w:spacing w:after="220" w:line="420" w:lineRule="auto"/>
      <w:ind w:firstLine="400"/>
      <w:jc w:val="left"/>
    </w:pPr>
    <w:rPr>
      <w:rFonts w:ascii="MingLiU" w:hAnsi="MingLiU" w:eastAsia="MingLiU" w:cs="MingLiU"/>
      <w:sz w:val="20"/>
      <w:szCs w:val="20"/>
      <w:lang w:val="zh-TW" w:eastAsia="zh-TW" w:bidi="zh-TW"/>
    </w:rPr>
  </w:style>
  <w:style w:type="paragraph" w:customStyle="1" w:styleId="44">
    <w:name w:val="&quot;Table caption|1&quot;"/>
    <w:basedOn w:val="1"/>
    <w:qFormat/>
    <w:uiPriority w:val="0"/>
    <w:pPr>
      <w:shd w:val="clear" w:color="auto" w:fill="FFFFFF"/>
    </w:pPr>
    <w:rPr>
      <w:rFonts w:ascii="MingLiU" w:hAnsi="MingLiU" w:eastAsia="MingLiU" w:cs="MingLiU"/>
      <w:sz w:val="19"/>
      <w:szCs w:val="19"/>
      <w:lang w:val="zh-TW" w:eastAsia="zh-TW" w:bidi="zh-TW"/>
    </w:rPr>
  </w:style>
  <w:style w:type="paragraph" w:customStyle="1" w:styleId="45">
    <w:name w:val="列出段落1"/>
    <w:basedOn w:val="1"/>
    <w:qFormat/>
    <w:uiPriority w:val="0"/>
    <w:pPr>
      <w:widowControl/>
      <w:spacing w:line="300" w:lineRule="auto"/>
      <w:ind w:firstLine="200" w:firstLineChars="200"/>
    </w:pPr>
    <w:rPr>
      <w:rFonts w:ascii="Arial" w:hAnsi="Arial"/>
      <w:kern w:val="0"/>
      <w:sz w:val="18"/>
    </w:rPr>
  </w:style>
  <w:style w:type="paragraph" w:customStyle="1" w:styleId="46">
    <w:name w:val="_Style 2"/>
    <w:basedOn w:val="1"/>
    <w:qFormat/>
    <w:uiPriority w:val="0"/>
    <w:pPr>
      <w:ind w:firstLine="420" w:firstLineChars="200"/>
    </w:pPr>
    <w:rPr>
      <w:rFonts w:ascii="Calibri" w:hAnsi="Calibri" w:eastAsia="宋体" w:cs="Times New Roman"/>
    </w:rPr>
  </w:style>
  <w:style w:type="paragraph" w:customStyle="1" w:styleId="47">
    <w:name w:val="正文_2_0"/>
    <w:next w:val="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Default_1"/>
    <w:next w:val="4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表格文字_0_0"/>
    <w:basedOn w:val="47"/>
    <w:qFormat/>
    <w:uiPriority w:val="0"/>
    <w:pPr>
      <w:adjustRightInd w:val="0"/>
      <w:spacing w:line="420" w:lineRule="atLeast"/>
      <w:jc w:val="left"/>
    </w:pPr>
    <w:rPr>
      <w:rFonts w:ascii="Times New Roman" w:hAnsi="Times New Roman"/>
      <w:kern w:val="0"/>
      <w:szCs w:val="20"/>
    </w:rPr>
  </w:style>
  <w:style w:type="paragraph" w:customStyle="1" w:styleId="50">
    <w:name w:val="*正文_2_0"/>
    <w:next w:val="51"/>
    <w:qFormat/>
    <w:uiPriority w:val="0"/>
    <w:pPr>
      <w:ind w:firstLine="482"/>
      <w:jc w:val="both"/>
    </w:pPr>
    <w:rPr>
      <w:rFonts w:ascii="微软雅黑" w:hAnsi="微软雅黑" w:eastAsia="微软雅黑" w:cs="Times New Roman"/>
      <w:sz w:val="21"/>
      <w:lang w:val="en-US" w:eastAsia="zh-CN" w:bidi="ar-SA"/>
    </w:rPr>
  </w:style>
  <w:style w:type="paragraph" w:customStyle="1" w:styleId="51">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_0"/>
    <w:next w:val="53"/>
    <w:qFormat/>
    <w:uiPriority w:val="0"/>
    <w:pPr>
      <w:widowControl w:val="0"/>
      <w:jc w:val="both"/>
    </w:pPr>
    <w:rPr>
      <w:rFonts w:ascii="Times New Roman" w:hAnsi="Times New Roman" w:eastAsia="宋体" w:cs="Times New Roman"/>
      <w:lang w:val="en-US" w:eastAsia="zh-CN" w:bidi="ar-SA"/>
    </w:rPr>
  </w:style>
  <w:style w:type="paragraph" w:customStyle="1" w:styleId="53">
    <w:name w:val="正文文本_0"/>
    <w:next w:val="54"/>
    <w:qFormat/>
    <w:uiPriority w:val="0"/>
    <w:pPr>
      <w:widowControl w:val="0"/>
      <w:jc w:val="both"/>
    </w:pPr>
    <w:rPr>
      <w:rFonts w:ascii="Calibri" w:hAnsi="Calibri" w:eastAsia="仿宋_GB2312" w:cs="Times New Roman"/>
      <w:kern w:val="2"/>
      <w:sz w:val="28"/>
      <w:szCs w:val="30"/>
      <w:lang w:val="en-US" w:eastAsia="zh-CN" w:bidi="ar-SA"/>
    </w:rPr>
  </w:style>
  <w:style w:type="paragraph" w:customStyle="1" w:styleId="54">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0"/>
    <w:next w:val="56"/>
    <w:qFormat/>
    <w:uiPriority w:val="0"/>
    <w:pPr>
      <w:widowControl/>
      <w:ind w:firstLine="482"/>
      <w:jc w:val="both"/>
    </w:pPr>
    <w:rPr>
      <w:rFonts w:ascii="微软雅黑" w:hAnsi="微软雅黑" w:eastAsia="微软雅黑" w:cs="Times New Roman"/>
      <w:sz w:val="21"/>
      <w:lang w:val="en-US" w:eastAsia="zh-CN" w:bidi="ar-SA"/>
    </w:rPr>
  </w:style>
  <w:style w:type="paragraph" w:customStyle="1" w:styleId="56">
    <w:name w:val="正文_1"/>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36041</Words>
  <Characters>38833</Characters>
  <Lines>0</Lines>
  <Paragraphs>0</Paragraphs>
  <TotalTime>6</TotalTime>
  <ScaleCrop>false</ScaleCrop>
  <LinksUpToDate>false</LinksUpToDate>
  <CharactersWithSpaces>40582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2021-09-13T02:20:00Z</dcterms:created>
  <dc:creator>郑</dc:creator>
  <cp:lastModifiedBy>郑</cp:lastModifiedBy>
  <dcterms:modified xsi:type="dcterms:W3CDTF">2022-09-05T11:34:24Z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505536B633AC487F8B25386A76883BD6</vt:lpwstr>
  </property>
</Properties>
</file>