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56"/>
        <w:jc w:val="center"/>
        <w:rPr>
          <w:rFonts w:hint="eastAsia" w:ascii="宋体" w:hAnsi="宋体" w:eastAsia="宋体" w:cs="宋体"/>
          <w:color w:val="auto"/>
          <w:spacing w:val="14"/>
          <w:szCs w:val="21"/>
          <w:lang w:val="en-US" w:eastAsia="zh-CN"/>
        </w:rPr>
      </w:pPr>
    </w:p>
    <w:p>
      <w:pPr>
        <w:pStyle w:val="156"/>
        <w:ind w:left="0" w:leftChars="0" w:firstLine="0" w:firstLineChars="0"/>
        <w:jc w:val="center"/>
        <w:rPr>
          <w:rFonts w:hint="eastAsia" w:ascii="宋体" w:hAnsi="宋体" w:eastAsia="宋体" w:cs="宋体"/>
          <w:b/>
          <w:color w:val="auto"/>
          <w:sz w:val="28"/>
          <w:szCs w:val="28"/>
          <w:lang w:eastAsia="zh-CN"/>
        </w:rPr>
      </w:pPr>
    </w:p>
    <w:p>
      <w:pPr>
        <w:jc w:val="center"/>
        <w:rPr>
          <w:rFonts w:hint="eastAsia"/>
          <w:lang w:eastAsia="zh-CN"/>
        </w:rPr>
      </w:pPr>
      <w:r>
        <w:rPr>
          <w:rFonts w:hint="eastAsia" w:cs="宋体"/>
          <w:b/>
          <w:color w:val="auto"/>
          <w:sz w:val="52"/>
          <w:szCs w:val="52"/>
          <w:lang w:eastAsia="zh-CN"/>
        </w:rPr>
        <w:t>中国共产党洛阳市委员会宣传部人民日报人民网河南分公司宣传项目</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jc w:val="center"/>
        <w:rPr>
          <w:rFonts w:hint="eastAsia" w:ascii="宋体" w:hAnsi="宋体" w:eastAsia="宋体" w:cs="宋体"/>
          <w:color w:val="FF0000"/>
          <w:sz w:val="28"/>
          <w:szCs w:val="22"/>
          <w:highlight w:val="none"/>
          <w:lang w:val="en-US" w:eastAsia="zh-CN" w:bidi="ar-SA"/>
        </w:rPr>
      </w:pPr>
      <w:r>
        <w:rPr>
          <w:rFonts w:hint="eastAsia" w:ascii="宋体" w:hAnsi="宋体" w:eastAsia="宋体" w:cs="宋体"/>
          <w:b/>
          <w:color w:val="auto"/>
          <w:sz w:val="72"/>
          <w:szCs w:val="72"/>
        </w:rPr>
        <w:t>单一来源采购</w:t>
      </w:r>
      <w:r>
        <w:rPr>
          <w:rFonts w:hint="eastAsia" w:ascii="宋体" w:hAnsi="宋体" w:eastAsia="宋体" w:cs="宋体"/>
          <w:b/>
          <w:color w:val="auto"/>
          <w:sz w:val="72"/>
          <w:szCs w:val="72"/>
          <w:lang w:eastAsia="zh-CN"/>
        </w:rPr>
        <w:t>邀请函</w:t>
      </w:r>
      <w:r>
        <w:rPr>
          <w:rFonts w:hint="eastAsia" w:ascii="宋体" w:hAnsi="宋体" w:eastAsia="宋体" w:cs="宋体"/>
          <w:color w:val="auto"/>
          <w:sz w:val="28"/>
          <w:szCs w:val="22"/>
          <w:highlight w:val="none"/>
          <w:lang w:val="en-US" w:eastAsia="zh-CN" w:bidi="ar-SA"/>
        </w:rPr>
        <w:t xml:space="preserve"> </w:t>
      </w:r>
      <w:r>
        <w:rPr>
          <w:rFonts w:hint="eastAsia" w:ascii="宋体" w:hAnsi="宋体" w:eastAsia="宋体" w:cs="宋体"/>
          <w:color w:val="FF0000"/>
          <w:sz w:val="28"/>
          <w:szCs w:val="22"/>
          <w:highlight w:val="none"/>
          <w:lang w:val="en-US" w:eastAsia="zh-CN" w:bidi="ar-SA"/>
        </w:rPr>
        <w:t xml:space="preserve"> </w:t>
      </w:r>
    </w:p>
    <w:p>
      <w:pPr>
        <w:pStyle w:val="156"/>
        <w:ind w:left="0" w:leftChars="0" w:firstLine="0" w:firstLineChars="0"/>
        <w:jc w:val="center"/>
        <w:rPr>
          <w:rFonts w:hint="default" w:ascii="宋体" w:hAnsi="宋体" w:eastAsia="宋体" w:cs="宋体"/>
          <w:color w:val="000000"/>
          <w:sz w:val="28"/>
          <w:szCs w:val="22"/>
          <w:highlight w:val="none"/>
          <w:lang w:val="en-US" w:eastAsia="zh-CN" w:bidi="ar-SA"/>
        </w:rPr>
      </w:pPr>
      <w:r>
        <w:rPr>
          <w:rFonts w:hint="eastAsia" w:ascii="宋体" w:hAnsi="宋体" w:eastAsia="宋体" w:cs="宋体"/>
          <w:color w:val="000000"/>
          <w:sz w:val="28"/>
          <w:szCs w:val="22"/>
          <w:highlight w:val="none"/>
          <w:lang w:val="en-US" w:eastAsia="zh-CN" w:bidi="ar-SA"/>
        </w:rPr>
        <w:t>采购编号：洛采单一-2023-28</w:t>
      </w:r>
    </w:p>
    <w:p>
      <w:pPr>
        <w:rPr>
          <w:rFonts w:hint="eastAsia"/>
          <w:lang w:eastAsia="zh-CN"/>
        </w:rPr>
      </w:pPr>
    </w:p>
    <w:p>
      <w:pPr>
        <w:pStyle w:val="156"/>
        <w:ind w:firstLine="2909" w:firstLineChars="1050"/>
        <w:rPr>
          <w:rFonts w:hint="eastAsia" w:ascii="宋体" w:hAnsi="宋体" w:eastAsia="宋体" w:cs="宋体"/>
          <w:color w:val="auto"/>
          <w:spacing w:val="14"/>
          <w:sz w:val="28"/>
          <w:szCs w:val="28"/>
          <w:lang w:eastAsia="zh-CN"/>
        </w:rPr>
      </w:pPr>
    </w:p>
    <w:p>
      <w:pPr>
        <w:pStyle w:val="2"/>
        <w:rPr>
          <w:rFonts w:hint="eastAsia" w:ascii="宋体" w:hAnsi="宋体" w:eastAsia="宋体" w:cs="宋体"/>
          <w:color w:val="auto"/>
          <w:lang w:eastAsia="zh-CN"/>
        </w:rPr>
      </w:pPr>
    </w:p>
    <w:p>
      <w:pPr>
        <w:tabs>
          <w:tab w:val="left" w:pos="6336"/>
        </w:tabs>
        <w:spacing w:line="240" w:lineRule="auto"/>
        <w:jc w:val="center"/>
        <w:rPr>
          <w:rFonts w:hint="eastAsia" w:ascii="宋体" w:hAnsi="宋体" w:eastAsia="宋体" w:cs="宋体"/>
          <w:color w:val="auto"/>
          <w:sz w:val="28"/>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spacing w:line="240" w:lineRule="auto"/>
        <w:jc w:val="center"/>
        <w:rPr>
          <w:rFonts w:hint="eastAsia" w:ascii="宋体" w:hAnsi="宋体" w:eastAsia="宋体" w:cs="宋体"/>
          <w:color w:val="auto"/>
          <w:sz w:val="28"/>
          <w:szCs w:val="22"/>
        </w:rPr>
      </w:pPr>
    </w:p>
    <w:p>
      <w:pPr>
        <w:spacing w:line="240" w:lineRule="auto"/>
        <w:jc w:val="center"/>
        <w:rPr>
          <w:rFonts w:hint="eastAsia" w:ascii="宋体" w:hAnsi="宋体" w:eastAsia="宋体" w:cs="宋体"/>
          <w:color w:val="auto"/>
          <w:sz w:val="28"/>
          <w:szCs w:val="22"/>
        </w:rPr>
      </w:pPr>
    </w:p>
    <w:p>
      <w:pPr>
        <w:spacing w:line="240" w:lineRule="auto"/>
        <w:jc w:val="center"/>
        <w:rPr>
          <w:rFonts w:hint="eastAsia" w:ascii="宋体" w:hAnsi="宋体" w:eastAsia="宋体" w:cs="宋体"/>
          <w:color w:val="auto"/>
          <w:sz w:val="28"/>
          <w:szCs w:val="22"/>
        </w:rPr>
      </w:pPr>
    </w:p>
    <w:p>
      <w:pPr>
        <w:spacing w:line="240" w:lineRule="auto"/>
        <w:jc w:val="center"/>
        <w:rPr>
          <w:rFonts w:hint="eastAsia" w:ascii="宋体" w:hAnsi="宋体" w:eastAsia="宋体" w:cs="宋体"/>
          <w:color w:val="auto"/>
          <w:sz w:val="28"/>
          <w:szCs w:val="22"/>
          <w:lang w:eastAsia="zh-CN"/>
        </w:rPr>
      </w:pPr>
      <w:r>
        <w:rPr>
          <w:rFonts w:hint="eastAsia" w:ascii="宋体" w:hAnsi="宋体" w:eastAsia="宋体" w:cs="宋体"/>
          <w:color w:val="auto"/>
          <w:sz w:val="28"/>
          <w:szCs w:val="22"/>
        </w:rPr>
        <w:t>采</w:t>
      </w:r>
      <w:r>
        <w:rPr>
          <w:rFonts w:hint="eastAsia" w:ascii="宋体" w:hAnsi="宋体" w:eastAsia="宋体" w:cs="宋体"/>
          <w:color w:val="auto"/>
          <w:sz w:val="28"/>
          <w:szCs w:val="22"/>
          <w:lang w:val="en-US" w:eastAsia="zh-CN"/>
        </w:rPr>
        <w:t xml:space="preserve">   </w:t>
      </w:r>
      <w:r>
        <w:rPr>
          <w:rFonts w:hint="eastAsia" w:ascii="宋体" w:hAnsi="宋体" w:eastAsia="宋体" w:cs="宋体"/>
          <w:color w:val="auto"/>
          <w:sz w:val="28"/>
          <w:szCs w:val="22"/>
        </w:rPr>
        <w:t>购</w:t>
      </w:r>
      <w:r>
        <w:rPr>
          <w:rFonts w:hint="eastAsia" w:ascii="宋体" w:hAnsi="宋体" w:eastAsia="宋体" w:cs="宋体"/>
          <w:color w:val="auto"/>
          <w:sz w:val="28"/>
          <w:szCs w:val="22"/>
          <w:lang w:val="en-US" w:eastAsia="zh-CN"/>
        </w:rPr>
        <w:t xml:space="preserve">   </w:t>
      </w:r>
      <w:r>
        <w:rPr>
          <w:rFonts w:hint="eastAsia" w:ascii="宋体" w:hAnsi="宋体" w:eastAsia="宋体" w:cs="宋体"/>
          <w:color w:val="auto"/>
          <w:sz w:val="28"/>
          <w:szCs w:val="22"/>
        </w:rPr>
        <w:t>人：中国共产党洛阳市委员会宣传部</w:t>
      </w:r>
    </w:p>
    <w:p>
      <w:pPr>
        <w:spacing w:line="240" w:lineRule="auto"/>
        <w:jc w:val="center"/>
        <w:rPr>
          <w:rFonts w:hint="eastAsia" w:ascii="宋体" w:hAnsi="宋体" w:eastAsia="宋体" w:cs="宋体"/>
          <w:color w:val="auto"/>
          <w:sz w:val="28"/>
          <w:szCs w:val="22"/>
          <w:lang w:eastAsia="zh-CN"/>
        </w:rPr>
      </w:pPr>
      <w:r>
        <w:rPr>
          <w:rFonts w:hint="eastAsia" w:ascii="宋体" w:hAnsi="宋体" w:eastAsia="宋体" w:cs="宋体"/>
          <w:color w:val="auto"/>
          <w:sz w:val="28"/>
          <w:szCs w:val="22"/>
        </w:rPr>
        <w:t>采购代理机构：</w:t>
      </w:r>
      <w:r>
        <w:rPr>
          <w:rFonts w:hint="eastAsia" w:ascii="宋体" w:hAnsi="宋体" w:eastAsia="宋体" w:cs="宋体"/>
          <w:color w:val="auto"/>
          <w:sz w:val="28"/>
          <w:szCs w:val="22"/>
          <w:lang w:eastAsia="zh-CN"/>
        </w:rPr>
        <w:t>中资国际工程咨询集团有限责任公司</w:t>
      </w:r>
    </w:p>
    <w:p>
      <w:pPr>
        <w:pStyle w:val="156"/>
        <w:ind w:left="0" w:leftChars="0" w:firstLine="0" w:firstLineChars="0"/>
        <w:jc w:val="center"/>
        <w:rPr>
          <w:rFonts w:hint="eastAsia" w:ascii="宋体" w:hAnsi="宋体" w:eastAsia="宋体" w:cs="宋体"/>
          <w:color w:val="auto"/>
          <w:sz w:val="28"/>
          <w:szCs w:val="22"/>
          <w:highlight w:val="none"/>
          <w:lang w:eastAsia="zh-CN"/>
        </w:rPr>
      </w:pPr>
      <w:r>
        <w:rPr>
          <w:rFonts w:hint="eastAsia" w:ascii="宋体" w:hAnsi="宋体" w:eastAsia="宋体" w:cs="宋体"/>
          <w:color w:val="auto"/>
          <w:sz w:val="28"/>
          <w:szCs w:val="22"/>
          <w:lang w:eastAsia="zh-CN"/>
        </w:rPr>
        <w:t>二〇二</w:t>
      </w:r>
      <w:r>
        <w:rPr>
          <w:rFonts w:hint="eastAsia" w:ascii="宋体" w:hAnsi="宋体" w:eastAsia="宋体" w:cs="宋体"/>
          <w:color w:val="auto"/>
          <w:sz w:val="28"/>
          <w:szCs w:val="22"/>
          <w:highlight w:val="none"/>
          <w:lang w:eastAsia="zh-CN"/>
        </w:rPr>
        <w:t>三年十月</w:t>
      </w:r>
    </w:p>
    <w:p>
      <w:pPr>
        <w:pStyle w:val="156"/>
        <w:ind w:left="0" w:leftChars="0" w:firstLine="0" w:firstLineChars="0"/>
        <w:jc w:val="center"/>
        <w:rPr>
          <w:rFonts w:hint="eastAsia" w:ascii="宋体" w:hAnsi="宋体" w:eastAsia="宋体" w:cs="宋体"/>
          <w:color w:val="auto"/>
          <w:sz w:val="28"/>
          <w:szCs w:val="22"/>
          <w:lang w:eastAsia="zh-CN"/>
        </w:rPr>
      </w:pPr>
    </w:p>
    <w:p>
      <w:pPr>
        <w:pStyle w:val="156"/>
        <w:ind w:left="0" w:leftChars="0" w:firstLine="0" w:firstLineChars="0"/>
        <w:jc w:val="center"/>
        <w:rPr>
          <w:rFonts w:hint="eastAsia" w:ascii="宋体" w:hAnsi="宋体" w:eastAsia="宋体" w:cs="宋体"/>
          <w:color w:val="auto"/>
          <w:sz w:val="28"/>
          <w:szCs w:val="22"/>
          <w:lang w:eastAsia="zh-CN"/>
        </w:rPr>
      </w:pPr>
    </w:p>
    <w:p>
      <w:pPr>
        <w:pStyle w:val="156"/>
        <w:ind w:left="0" w:leftChars="0" w:firstLine="0" w:firstLineChars="0"/>
        <w:jc w:val="center"/>
        <w:rPr>
          <w:rFonts w:hint="eastAsia" w:ascii="宋体" w:hAnsi="宋体" w:eastAsia="宋体" w:cs="宋体"/>
          <w:b/>
          <w:color w:val="auto"/>
          <w:spacing w:val="14"/>
          <w:sz w:val="32"/>
          <w:szCs w:val="32"/>
        </w:rPr>
      </w:pPr>
      <w:r>
        <w:rPr>
          <w:rFonts w:hint="eastAsia" w:ascii="宋体" w:hAnsi="宋体" w:eastAsia="宋体" w:cs="宋体"/>
          <w:b/>
          <w:color w:val="auto"/>
          <w:spacing w:val="14"/>
          <w:sz w:val="32"/>
          <w:szCs w:val="32"/>
        </w:rPr>
        <w:br w:type="column"/>
      </w:r>
    </w:p>
    <w:p>
      <w:pPr>
        <w:spacing w:before="0" w:beforeLines="0" w:after="0" w:afterLines="0" w:line="240" w:lineRule="auto"/>
        <w:ind w:left="0" w:leftChars="0" w:right="0" w:rightChars="0" w:firstLine="0" w:firstLineChars="0"/>
        <w:jc w:val="center"/>
        <w:rPr>
          <w:sz w:val="22"/>
          <w:szCs w:val="22"/>
        </w:rPr>
      </w:pPr>
      <w:r>
        <w:rPr>
          <w:rFonts w:ascii="宋体" w:hAnsi="宋体" w:eastAsia="宋体"/>
          <w:sz w:val="44"/>
          <w:szCs w:val="40"/>
        </w:rPr>
        <w:t>目</w:t>
      </w:r>
      <w:r>
        <w:rPr>
          <w:rFonts w:hint="eastAsia" w:ascii="宋体" w:hAnsi="宋体" w:eastAsia="宋体"/>
          <w:sz w:val="44"/>
          <w:szCs w:val="40"/>
          <w:lang w:val="en-US" w:eastAsia="zh-CN"/>
        </w:rPr>
        <w:t xml:space="preserve">  </w:t>
      </w:r>
      <w:r>
        <w:rPr>
          <w:rFonts w:ascii="宋体" w:hAnsi="宋体" w:eastAsia="宋体"/>
          <w:sz w:val="44"/>
          <w:szCs w:val="40"/>
        </w:rPr>
        <w:t>录</w:t>
      </w:r>
    </w:p>
    <w:p>
      <w:pPr>
        <w:pStyle w:val="42"/>
        <w:tabs>
          <w:tab w:val="right" w:leader="dot" w:pos="9241"/>
        </w:tabs>
      </w:pPr>
      <w:r>
        <w:rPr>
          <w:sz w:val="28"/>
          <w:szCs w:val="28"/>
        </w:rPr>
        <w:fldChar w:fldCharType="begin"/>
      </w:r>
      <w:r>
        <w:rPr>
          <w:sz w:val="28"/>
          <w:szCs w:val="28"/>
        </w:rPr>
        <w:instrText xml:space="preserve">TOC \o "1-3" \h \u </w:instrText>
      </w:r>
      <w:r>
        <w:rPr>
          <w:sz w:val="28"/>
          <w:szCs w:val="28"/>
        </w:rPr>
        <w:fldChar w:fldCharType="separate"/>
      </w:r>
      <w:r>
        <w:rPr>
          <w:szCs w:val="28"/>
        </w:rPr>
        <w:fldChar w:fldCharType="begin"/>
      </w:r>
      <w:r>
        <w:rPr>
          <w:szCs w:val="28"/>
        </w:rPr>
        <w:instrText xml:space="preserve"> HYPERLINK \l _Toc6504 </w:instrText>
      </w:r>
      <w:r>
        <w:rPr>
          <w:szCs w:val="28"/>
        </w:rPr>
        <w:fldChar w:fldCharType="separate"/>
      </w:r>
      <w:r>
        <w:rPr>
          <w:rFonts w:hint="eastAsia" w:ascii="宋体" w:hAnsi="宋体" w:eastAsia="宋体" w:cs="宋体"/>
          <w:szCs w:val="16"/>
          <w:lang w:eastAsia="zh-CN"/>
        </w:rPr>
        <w:t>第一章  采购公告</w:t>
      </w:r>
      <w:r>
        <w:tab/>
      </w:r>
      <w:r>
        <w:fldChar w:fldCharType="begin"/>
      </w:r>
      <w:r>
        <w:instrText xml:space="preserve"> PAGEREF _Toc6504 \h </w:instrText>
      </w:r>
      <w:r>
        <w:fldChar w:fldCharType="separate"/>
      </w:r>
      <w:r>
        <w:t>4</w:t>
      </w:r>
      <w:r>
        <w:fldChar w:fldCharType="end"/>
      </w:r>
      <w:r>
        <w:rPr>
          <w:szCs w:val="28"/>
        </w:rPr>
        <w:fldChar w:fldCharType="end"/>
      </w:r>
    </w:p>
    <w:p>
      <w:pPr>
        <w:pStyle w:val="42"/>
        <w:tabs>
          <w:tab w:val="right" w:leader="dot" w:pos="9241"/>
        </w:tabs>
      </w:pPr>
      <w:r>
        <w:rPr>
          <w:szCs w:val="28"/>
        </w:rPr>
        <w:fldChar w:fldCharType="begin"/>
      </w:r>
      <w:r>
        <w:rPr>
          <w:szCs w:val="28"/>
        </w:rPr>
        <w:instrText xml:space="preserve"> HYPERLINK \l _Toc22297 </w:instrText>
      </w:r>
      <w:r>
        <w:rPr>
          <w:szCs w:val="28"/>
        </w:rPr>
        <w:fldChar w:fldCharType="separate"/>
      </w:r>
      <w:r>
        <w:rPr>
          <w:rFonts w:hint="eastAsia" w:ascii="宋体" w:hAnsi="宋体" w:eastAsia="宋体" w:cs="宋体"/>
          <w:spacing w:val="14"/>
          <w:lang w:eastAsia="zh-CN"/>
        </w:rPr>
        <w:t>第二章</w:t>
      </w:r>
      <w:r>
        <w:rPr>
          <w:rFonts w:hint="eastAsia" w:ascii="宋体" w:hAnsi="宋体" w:eastAsia="宋体" w:cs="宋体"/>
          <w:spacing w:val="14"/>
          <w:lang w:val="en-US" w:eastAsia="zh-CN"/>
        </w:rPr>
        <w:t xml:space="preserve"> </w:t>
      </w:r>
      <w:r>
        <w:rPr>
          <w:rFonts w:hint="eastAsia" w:ascii="宋体" w:hAnsi="宋体" w:eastAsia="宋体" w:cs="宋体"/>
          <w:spacing w:val="14"/>
          <w:lang w:eastAsia="zh-CN"/>
        </w:rPr>
        <w:t>供应商须知</w:t>
      </w:r>
      <w:r>
        <w:tab/>
      </w:r>
      <w:r>
        <w:fldChar w:fldCharType="begin"/>
      </w:r>
      <w:r>
        <w:instrText xml:space="preserve"> PAGEREF _Toc22297 \h </w:instrText>
      </w:r>
      <w:r>
        <w:fldChar w:fldCharType="separate"/>
      </w:r>
      <w:r>
        <w:t>6</w:t>
      </w:r>
      <w:r>
        <w:fldChar w:fldCharType="end"/>
      </w:r>
      <w:r>
        <w:rPr>
          <w:szCs w:val="28"/>
        </w:rPr>
        <w:fldChar w:fldCharType="end"/>
      </w:r>
    </w:p>
    <w:p>
      <w:pPr>
        <w:pStyle w:val="42"/>
        <w:tabs>
          <w:tab w:val="right" w:leader="dot" w:pos="9241"/>
        </w:tabs>
      </w:pPr>
      <w:r>
        <w:rPr>
          <w:szCs w:val="28"/>
        </w:rPr>
        <w:fldChar w:fldCharType="begin"/>
      </w:r>
      <w:r>
        <w:rPr>
          <w:szCs w:val="28"/>
        </w:rPr>
        <w:instrText xml:space="preserve"> HYPERLINK \l _Toc1801 </w:instrText>
      </w:r>
      <w:r>
        <w:rPr>
          <w:szCs w:val="28"/>
        </w:rPr>
        <w:fldChar w:fldCharType="separate"/>
      </w:r>
      <w:r>
        <w:rPr>
          <w:rFonts w:hint="eastAsia" w:ascii="宋体" w:hAnsi="宋体" w:eastAsia="宋体" w:cs="宋体"/>
          <w:lang w:eastAsia="zh-CN"/>
        </w:rPr>
        <w:t>第三章  采购需求</w:t>
      </w:r>
      <w:r>
        <w:tab/>
      </w:r>
      <w:r>
        <w:fldChar w:fldCharType="begin"/>
      </w:r>
      <w:r>
        <w:instrText xml:space="preserve"> PAGEREF _Toc1801 \h </w:instrText>
      </w:r>
      <w:r>
        <w:fldChar w:fldCharType="separate"/>
      </w:r>
      <w:r>
        <w:t>26</w:t>
      </w:r>
      <w:r>
        <w:fldChar w:fldCharType="end"/>
      </w:r>
      <w:r>
        <w:rPr>
          <w:szCs w:val="28"/>
        </w:rPr>
        <w:fldChar w:fldCharType="end"/>
      </w:r>
    </w:p>
    <w:p>
      <w:pPr>
        <w:pStyle w:val="42"/>
        <w:tabs>
          <w:tab w:val="right" w:leader="dot" w:pos="9241"/>
        </w:tabs>
      </w:pPr>
      <w:r>
        <w:rPr>
          <w:szCs w:val="28"/>
        </w:rPr>
        <w:fldChar w:fldCharType="begin"/>
      </w:r>
      <w:r>
        <w:rPr>
          <w:szCs w:val="28"/>
        </w:rPr>
        <w:instrText xml:space="preserve"> HYPERLINK \l _Toc18787 </w:instrText>
      </w:r>
      <w:r>
        <w:rPr>
          <w:szCs w:val="28"/>
        </w:rPr>
        <w:fldChar w:fldCharType="separate"/>
      </w:r>
      <w:r>
        <w:rPr>
          <w:rFonts w:hint="eastAsia" w:ascii="宋体" w:hAnsi="宋体" w:eastAsia="宋体" w:cs="宋体"/>
          <w:highlight w:val="none"/>
          <w:lang w:eastAsia="zh-CN"/>
        </w:rPr>
        <w:t>第四章  合同</w:t>
      </w:r>
      <w:r>
        <w:tab/>
      </w:r>
      <w:r>
        <w:fldChar w:fldCharType="begin"/>
      </w:r>
      <w:r>
        <w:instrText xml:space="preserve"> PAGEREF _Toc18787 \h </w:instrText>
      </w:r>
      <w:r>
        <w:fldChar w:fldCharType="separate"/>
      </w:r>
      <w:r>
        <w:t>26</w:t>
      </w:r>
      <w:r>
        <w:fldChar w:fldCharType="end"/>
      </w:r>
      <w:r>
        <w:rPr>
          <w:szCs w:val="28"/>
        </w:rPr>
        <w:fldChar w:fldCharType="end"/>
      </w:r>
    </w:p>
    <w:p>
      <w:pPr>
        <w:pStyle w:val="42"/>
        <w:tabs>
          <w:tab w:val="right" w:leader="dot" w:pos="9241"/>
        </w:tabs>
      </w:pPr>
      <w:r>
        <w:rPr>
          <w:szCs w:val="28"/>
        </w:rPr>
        <w:fldChar w:fldCharType="begin"/>
      </w:r>
      <w:r>
        <w:rPr>
          <w:szCs w:val="28"/>
        </w:rPr>
        <w:instrText xml:space="preserve"> HYPERLINK \l _Toc9283 </w:instrText>
      </w:r>
      <w:r>
        <w:rPr>
          <w:szCs w:val="28"/>
        </w:rPr>
        <w:fldChar w:fldCharType="separate"/>
      </w:r>
      <w:r>
        <w:rPr>
          <w:rFonts w:hint="eastAsia" w:ascii="宋体" w:hAnsi="宋体" w:eastAsia="宋体" w:cs="宋体"/>
          <w:lang w:eastAsia="zh-CN"/>
        </w:rPr>
        <w:t>第五章  资格审查与评审办法</w:t>
      </w:r>
      <w:r>
        <w:tab/>
      </w:r>
      <w:r>
        <w:fldChar w:fldCharType="begin"/>
      </w:r>
      <w:r>
        <w:instrText xml:space="preserve"> PAGEREF _Toc9283 \h </w:instrText>
      </w:r>
      <w:r>
        <w:fldChar w:fldCharType="separate"/>
      </w:r>
      <w:r>
        <w:t>32</w:t>
      </w:r>
      <w:r>
        <w:fldChar w:fldCharType="end"/>
      </w:r>
      <w:r>
        <w:rPr>
          <w:szCs w:val="28"/>
        </w:rPr>
        <w:fldChar w:fldCharType="end"/>
      </w:r>
    </w:p>
    <w:p>
      <w:pPr>
        <w:pStyle w:val="42"/>
        <w:tabs>
          <w:tab w:val="right" w:leader="dot" w:pos="9241"/>
        </w:tabs>
      </w:pPr>
      <w:r>
        <w:rPr>
          <w:szCs w:val="28"/>
        </w:rPr>
        <w:fldChar w:fldCharType="begin"/>
      </w:r>
      <w:r>
        <w:rPr>
          <w:szCs w:val="28"/>
        </w:rPr>
        <w:instrText xml:space="preserve"> HYPERLINK \l _Toc9353 </w:instrText>
      </w:r>
      <w:r>
        <w:rPr>
          <w:szCs w:val="28"/>
        </w:rPr>
        <w:fldChar w:fldCharType="separate"/>
      </w:r>
      <w:r>
        <w:rPr>
          <w:rFonts w:hint="eastAsia" w:ascii="宋体" w:hAnsi="宋体" w:eastAsia="宋体" w:cs="宋体"/>
          <w:lang w:eastAsia="zh-CN"/>
        </w:rPr>
        <w:t>第六章  资格审查与评审标准</w:t>
      </w:r>
      <w:r>
        <w:tab/>
      </w:r>
      <w:r>
        <w:fldChar w:fldCharType="begin"/>
      </w:r>
      <w:r>
        <w:instrText xml:space="preserve"> PAGEREF _Toc9353 \h </w:instrText>
      </w:r>
      <w:r>
        <w:fldChar w:fldCharType="separate"/>
      </w:r>
      <w:r>
        <w:t>35</w:t>
      </w:r>
      <w:r>
        <w:fldChar w:fldCharType="end"/>
      </w:r>
      <w:r>
        <w:rPr>
          <w:szCs w:val="28"/>
        </w:rPr>
        <w:fldChar w:fldCharType="end"/>
      </w:r>
    </w:p>
    <w:p>
      <w:pPr>
        <w:pStyle w:val="42"/>
        <w:tabs>
          <w:tab w:val="right" w:leader="dot" w:pos="9241"/>
        </w:tabs>
      </w:pPr>
      <w:r>
        <w:rPr>
          <w:szCs w:val="28"/>
        </w:rPr>
        <w:fldChar w:fldCharType="begin"/>
      </w:r>
      <w:r>
        <w:rPr>
          <w:szCs w:val="28"/>
        </w:rPr>
        <w:instrText xml:space="preserve"> HYPERLINK \l _Toc19701 </w:instrText>
      </w:r>
      <w:r>
        <w:rPr>
          <w:szCs w:val="28"/>
        </w:rPr>
        <w:fldChar w:fldCharType="separate"/>
      </w:r>
      <w:r>
        <w:rPr>
          <w:rFonts w:hint="eastAsia" w:ascii="宋体" w:hAnsi="宋体" w:eastAsia="宋体" w:cs="宋体"/>
          <w:lang w:eastAsia="zh-CN"/>
        </w:rPr>
        <w:t>第七章  响应文件格式</w:t>
      </w:r>
      <w:r>
        <w:tab/>
      </w:r>
      <w:r>
        <w:fldChar w:fldCharType="begin"/>
      </w:r>
      <w:r>
        <w:instrText xml:space="preserve"> PAGEREF _Toc19701 \h </w:instrText>
      </w:r>
      <w:r>
        <w:fldChar w:fldCharType="separate"/>
      </w:r>
      <w:r>
        <w:t>36</w:t>
      </w:r>
      <w:r>
        <w:fldChar w:fldCharType="end"/>
      </w:r>
      <w:r>
        <w:rPr>
          <w:szCs w:val="28"/>
        </w:rPr>
        <w:fldChar w:fldCharType="end"/>
      </w:r>
    </w:p>
    <w:p>
      <w:pPr>
        <w:pStyle w:val="51"/>
        <w:tabs>
          <w:tab w:val="right" w:leader="dot" w:pos="9241"/>
        </w:tabs>
      </w:pPr>
      <w:r>
        <w:rPr>
          <w:szCs w:val="28"/>
        </w:rPr>
        <w:fldChar w:fldCharType="begin"/>
      </w:r>
      <w:r>
        <w:rPr>
          <w:szCs w:val="28"/>
        </w:rPr>
        <w:instrText xml:space="preserve"> HYPERLINK \l _Toc1065 </w:instrText>
      </w:r>
      <w:r>
        <w:rPr>
          <w:szCs w:val="28"/>
        </w:rPr>
        <w:fldChar w:fldCharType="separate"/>
      </w:r>
      <w:r>
        <w:rPr>
          <w:rFonts w:hint="eastAsia"/>
          <w:bCs/>
          <w:szCs w:val="21"/>
        </w:rPr>
        <w:t>附件1：</w:t>
      </w:r>
      <w:r>
        <w:rPr>
          <w:rFonts w:hint="eastAsia"/>
          <w:bCs/>
          <w:szCs w:val="21"/>
          <w:lang w:eastAsia="zh-CN"/>
        </w:rPr>
        <w:t>响应</w:t>
      </w:r>
      <w:r>
        <w:rPr>
          <w:rFonts w:hint="eastAsia"/>
          <w:bCs/>
          <w:szCs w:val="21"/>
        </w:rPr>
        <w:t>函</w:t>
      </w:r>
      <w:r>
        <w:tab/>
      </w:r>
      <w:r>
        <w:fldChar w:fldCharType="begin"/>
      </w:r>
      <w:r>
        <w:instrText xml:space="preserve"> PAGEREF _Toc1065 \h </w:instrText>
      </w:r>
      <w:r>
        <w:fldChar w:fldCharType="separate"/>
      </w:r>
      <w:r>
        <w:t>37</w:t>
      </w:r>
      <w:r>
        <w:fldChar w:fldCharType="end"/>
      </w:r>
      <w:r>
        <w:rPr>
          <w:szCs w:val="28"/>
        </w:rPr>
        <w:fldChar w:fldCharType="end"/>
      </w:r>
    </w:p>
    <w:p>
      <w:pPr>
        <w:pStyle w:val="51"/>
        <w:tabs>
          <w:tab w:val="right" w:leader="dot" w:pos="9241"/>
        </w:tabs>
      </w:pPr>
      <w:r>
        <w:rPr>
          <w:szCs w:val="28"/>
        </w:rPr>
        <w:fldChar w:fldCharType="begin"/>
      </w:r>
      <w:r>
        <w:rPr>
          <w:szCs w:val="28"/>
        </w:rPr>
        <w:instrText xml:space="preserve"> HYPERLINK \l _Toc2197 </w:instrText>
      </w:r>
      <w:r>
        <w:rPr>
          <w:szCs w:val="28"/>
        </w:rPr>
        <w:fldChar w:fldCharType="separate"/>
      </w:r>
      <w:r>
        <w:rPr>
          <w:rFonts w:hint="eastAsia" w:ascii="宋体" w:hAnsi="宋体" w:eastAsia="宋体" w:cs="Times New Roman"/>
          <w:bCs/>
          <w:szCs w:val="21"/>
          <w:lang w:val="en-US" w:eastAsia="zh-CN" w:bidi="ar-SA"/>
        </w:rPr>
        <w:t>附件2：法定代表人授权书</w:t>
      </w:r>
      <w:r>
        <w:tab/>
      </w:r>
      <w:r>
        <w:fldChar w:fldCharType="begin"/>
      </w:r>
      <w:r>
        <w:instrText xml:space="preserve"> PAGEREF _Toc2197 \h </w:instrText>
      </w:r>
      <w:r>
        <w:fldChar w:fldCharType="separate"/>
      </w:r>
      <w:r>
        <w:t>39</w:t>
      </w:r>
      <w:r>
        <w:fldChar w:fldCharType="end"/>
      </w:r>
      <w:r>
        <w:rPr>
          <w:szCs w:val="28"/>
        </w:rPr>
        <w:fldChar w:fldCharType="end"/>
      </w:r>
    </w:p>
    <w:p>
      <w:pPr>
        <w:pStyle w:val="51"/>
        <w:tabs>
          <w:tab w:val="right" w:leader="dot" w:pos="9241"/>
        </w:tabs>
      </w:pPr>
      <w:r>
        <w:rPr>
          <w:szCs w:val="28"/>
        </w:rPr>
        <w:fldChar w:fldCharType="begin"/>
      </w:r>
      <w:r>
        <w:rPr>
          <w:szCs w:val="28"/>
        </w:rPr>
        <w:instrText xml:space="preserve"> HYPERLINK \l _Toc2792 </w:instrText>
      </w:r>
      <w:r>
        <w:rPr>
          <w:szCs w:val="28"/>
        </w:rPr>
        <w:fldChar w:fldCharType="separate"/>
      </w:r>
      <w:r>
        <w:rPr>
          <w:rFonts w:hint="eastAsia" w:ascii="宋体" w:hAnsi="宋体" w:eastAsia="宋体" w:cs="Times New Roman"/>
          <w:bCs/>
          <w:szCs w:val="21"/>
          <w:lang w:val="en-US" w:eastAsia="zh-CN"/>
        </w:rPr>
        <w:t>附件3：</w:t>
      </w:r>
      <w:r>
        <w:rPr>
          <w:rFonts w:hint="eastAsia" w:ascii="宋体" w:hAnsi="宋体" w:eastAsia="宋体" w:cs="Times New Roman"/>
          <w:bCs/>
          <w:szCs w:val="21"/>
        </w:rPr>
        <w:t>法人被授权人身份证</w:t>
      </w:r>
      <w:r>
        <w:rPr>
          <w:rFonts w:hint="eastAsia" w:ascii="宋体" w:hAnsi="宋体" w:eastAsia="宋体" w:cs="Times New Roman"/>
          <w:bCs/>
          <w:szCs w:val="21"/>
          <w:lang w:val="en-US" w:eastAsia="zh-CN"/>
        </w:rPr>
        <w:t>复印件</w:t>
      </w:r>
      <w:r>
        <w:tab/>
      </w:r>
      <w:r>
        <w:fldChar w:fldCharType="begin"/>
      </w:r>
      <w:r>
        <w:instrText xml:space="preserve"> PAGEREF _Toc2792 \h </w:instrText>
      </w:r>
      <w:r>
        <w:fldChar w:fldCharType="separate"/>
      </w:r>
      <w:r>
        <w:t>39</w:t>
      </w:r>
      <w:r>
        <w:fldChar w:fldCharType="end"/>
      </w:r>
      <w:r>
        <w:rPr>
          <w:szCs w:val="28"/>
        </w:rPr>
        <w:fldChar w:fldCharType="end"/>
      </w:r>
    </w:p>
    <w:p>
      <w:pPr>
        <w:pStyle w:val="51"/>
        <w:tabs>
          <w:tab w:val="right" w:leader="dot" w:pos="9241"/>
        </w:tabs>
      </w:pPr>
      <w:r>
        <w:rPr>
          <w:szCs w:val="28"/>
        </w:rPr>
        <w:fldChar w:fldCharType="begin"/>
      </w:r>
      <w:r>
        <w:rPr>
          <w:szCs w:val="28"/>
        </w:rPr>
        <w:instrText xml:space="preserve"> HYPERLINK \l _Toc27669 </w:instrText>
      </w:r>
      <w:r>
        <w:rPr>
          <w:szCs w:val="28"/>
        </w:rPr>
        <w:fldChar w:fldCharType="separate"/>
      </w:r>
      <w:r>
        <w:rPr>
          <w:rFonts w:hint="eastAsia" w:ascii="宋体" w:hAnsi="宋体" w:eastAsia="宋体" w:cs="Times New Roman"/>
          <w:bCs/>
          <w:szCs w:val="21"/>
          <w:lang w:val="en-US" w:eastAsia="zh-CN"/>
        </w:rPr>
        <w:t>附件4：资格证明材料</w:t>
      </w:r>
      <w:r>
        <w:tab/>
      </w:r>
      <w:r>
        <w:fldChar w:fldCharType="begin"/>
      </w:r>
      <w:r>
        <w:instrText xml:space="preserve"> PAGEREF _Toc27669 \h </w:instrText>
      </w:r>
      <w:r>
        <w:fldChar w:fldCharType="separate"/>
      </w:r>
      <w:r>
        <w:t>40</w:t>
      </w:r>
      <w:r>
        <w:fldChar w:fldCharType="end"/>
      </w:r>
      <w:r>
        <w:rPr>
          <w:szCs w:val="28"/>
        </w:rPr>
        <w:fldChar w:fldCharType="end"/>
      </w:r>
    </w:p>
    <w:p>
      <w:pPr>
        <w:pStyle w:val="51"/>
        <w:tabs>
          <w:tab w:val="right" w:leader="dot" w:pos="9241"/>
        </w:tabs>
      </w:pPr>
      <w:r>
        <w:rPr>
          <w:szCs w:val="28"/>
        </w:rPr>
        <w:fldChar w:fldCharType="begin"/>
      </w:r>
      <w:r>
        <w:rPr>
          <w:szCs w:val="28"/>
        </w:rPr>
        <w:instrText xml:space="preserve"> HYPERLINK \l _Toc2896 </w:instrText>
      </w:r>
      <w:r>
        <w:rPr>
          <w:szCs w:val="28"/>
        </w:rPr>
        <w:fldChar w:fldCharType="separate"/>
      </w:r>
      <w:r>
        <w:rPr>
          <w:rFonts w:hint="eastAsia" w:ascii="宋体" w:hAnsi="宋体" w:eastAsia="宋体" w:cs="Times New Roman"/>
          <w:bCs/>
          <w:szCs w:val="21"/>
          <w:lang w:val="en-US" w:eastAsia="zh-CN"/>
        </w:rPr>
        <w:t>附件5：报价一览表</w:t>
      </w:r>
      <w:r>
        <w:tab/>
      </w:r>
      <w:r>
        <w:fldChar w:fldCharType="begin"/>
      </w:r>
      <w:r>
        <w:instrText xml:space="preserve"> PAGEREF _Toc2896 \h </w:instrText>
      </w:r>
      <w:r>
        <w:fldChar w:fldCharType="separate"/>
      </w:r>
      <w:r>
        <w:t>43</w:t>
      </w:r>
      <w:r>
        <w:fldChar w:fldCharType="end"/>
      </w:r>
      <w:r>
        <w:rPr>
          <w:szCs w:val="28"/>
        </w:rPr>
        <w:fldChar w:fldCharType="end"/>
      </w:r>
    </w:p>
    <w:p>
      <w:pPr>
        <w:pStyle w:val="51"/>
        <w:tabs>
          <w:tab w:val="right" w:leader="dot" w:pos="9241"/>
        </w:tabs>
      </w:pPr>
      <w:r>
        <w:rPr>
          <w:szCs w:val="28"/>
        </w:rPr>
        <w:fldChar w:fldCharType="begin"/>
      </w:r>
      <w:r>
        <w:rPr>
          <w:szCs w:val="28"/>
        </w:rPr>
        <w:instrText xml:space="preserve"> HYPERLINK \l _Toc13260 </w:instrText>
      </w:r>
      <w:r>
        <w:rPr>
          <w:szCs w:val="28"/>
        </w:rPr>
        <w:fldChar w:fldCharType="separate"/>
      </w:r>
      <w:r>
        <w:rPr>
          <w:rFonts w:hint="eastAsia" w:ascii="宋体" w:hAnsi="宋体" w:eastAsia="宋体" w:cs="Times New Roman"/>
          <w:bCs/>
          <w:szCs w:val="21"/>
        </w:rPr>
        <w:t>附件</w:t>
      </w:r>
      <w:r>
        <w:rPr>
          <w:rFonts w:hint="eastAsia" w:ascii="宋体" w:hAnsi="宋体" w:eastAsia="宋体" w:cs="Times New Roman"/>
          <w:bCs/>
          <w:szCs w:val="21"/>
          <w:lang w:val="en-US" w:eastAsia="zh-CN"/>
        </w:rPr>
        <w:t>6</w:t>
      </w:r>
      <w:r>
        <w:rPr>
          <w:rFonts w:hint="eastAsia" w:ascii="宋体" w:hAnsi="宋体" w:eastAsia="宋体" w:cs="Times New Roman"/>
          <w:bCs/>
          <w:szCs w:val="21"/>
        </w:rPr>
        <w:t>：报价明细表</w:t>
      </w:r>
      <w:r>
        <w:tab/>
      </w:r>
      <w:r>
        <w:fldChar w:fldCharType="begin"/>
      </w:r>
      <w:r>
        <w:instrText xml:space="preserve"> PAGEREF _Toc13260 \h </w:instrText>
      </w:r>
      <w:r>
        <w:fldChar w:fldCharType="separate"/>
      </w:r>
      <w:r>
        <w:t>44</w:t>
      </w:r>
      <w:r>
        <w:fldChar w:fldCharType="end"/>
      </w:r>
      <w:r>
        <w:rPr>
          <w:szCs w:val="28"/>
        </w:rPr>
        <w:fldChar w:fldCharType="end"/>
      </w:r>
    </w:p>
    <w:p>
      <w:pPr>
        <w:pStyle w:val="51"/>
        <w:tabs>
          <w:tab w:val="right" w:leader="dot" w:pos="9241"/>
        </w:tabs>
      </w:pPr>
      <w:r>
        <w:rPr>
          <w:szCs w:val="28"/>
        </w:rPr>
        <w:fldChar w:fldCharType="begin"/>
      </w:r>
      <w:r>
        <w:rPr>
          <w:szCs w:val="28"/>
        </w:rPr>
        <w:instrText xml:space="preserve"> HYPERLINK \l _Toc31870 </w:instrText>
      </w:r>
      <w:r>
        <w:rPr>
          <w:szCs w:val="28"/>
        </w:rPr>
        <w:fldChar w:fldCharType="separate"/>
      </w:r>
      <w:r>
        <w:rPr>
          <w:rFonts w:hint="eastAsia" w:ascii="宋体" w:hAnsi="宋体" w:eastAsia="宋体" w:cs="Times New Roman"/>
          <w:bCs/>
          <w:szCs w:val="21"/>
        </w:rPr>
        <w:t>附件</w:t>
      </w:r>
      <w:r>
        <w:rPr>
          <w:rFonts w:hint="eastAsia" w:ascii="宋体" w:hAnsi="宋体" w:eastAsia="宋体" w:cs="Times New Roman"/>
          <w:bCs/>
          <w:szCs w:val="21"/>
          <w:lang w:eastAsia="zh-CN"/>
        </w:rPr>
        <w:t>7-1</w:t>
      </w:r>
      <w:r>
        <w:rPr>
          <w:rFonts w:hint="eastAsia" w:ascii="宋体" w:hAnsi="宋体" w:eastAsia="宋体" w:cs="Times New Roman"/>
          <w:bCs/>
          <w:szCs w:val="21"/>
        </w:rPr>
        <w:t>：中小企业声明函（工程、服务）</w:t>
      </w:r>
      <w:r>
        <w:tab/>
      </w:r>
      <w:r>
        <w:fldChar w:fldCharType="begin"/>
      </w:r>
      <w:r>
        <w:instrText xml:space="preserve"> PAGEREF _Toc31870 \h </w:instrText>
      </w:r>
      <w:r>
        <w:fldChar w:fldCharType="separate"/>
      </w:r>
      <w:r>
        <w:t>46</w:t>
      </w:r>
      <w:r>
        <w:fldChar w:fldCharType="end"/>
      </w:r>
      <w:r>
        <w:rPr>
          <w:szCs w:val="28"/>
        </w:rPr>
        <w:fldChar w:fldCharType="end"/>
      </w:r>
    </w:p>
    <w:p>
      <w:pPr>
        <w:pStyle w:val="51"/>
        <w:tabs>
          <w:tab w:val="right" w:leader="dot" w:pos="9241"/>
        </w:tabs>
      </w:pPr>
      <w:r>
        <w:rPr>
          <w:szCs w:val="28"/>
        </w:rPr>
        <w:fldChar w:fldCharType="begin"/>
      </w:r>
      <w:r>
        <w:rPr>
          <w:szCs w:val="28"/>
        </w:rPr>
        <w:instrText xml:space="preserve"> HYPERLINK \l _Toc7649 </w:instrText>
      </w:r>
      <w:r>
        <w:rPr>
          <w:szCs w:val="28"/>
        </w:rPr>
        <w:fldChar w:fldCharType="separate"/>
      </w:r>
      <w:r>
        <w:rPr>
          <w:rFonts w:hint="eastAsia" w:ascii="宋体" w:hAnsi="宋体" w:eastAsia="宋体" w:cs="Times New Roman"/>
          <w:bCs/>
          <w:szCs w:val="21"/>
          <w:lang w:val="en-US" w:eastAsia="zh-CN"/>
        </w:rPr>
        <w:t>附件7-2：残疾人福利性单位声明函</w:t>
      </w:r>
      <w:r>
        <w:tab/>
      </w:r>
      <w:r>
        <w:fldChar w:fldCharType="begin"/>
      </w:r>
      <w:r>
        <w:instrText xml:space="preserve"> PAGEREF _Toc7649 \h </w:instrText>
      </w:r>
      <w:r>
        <w:fldChar w:fldCharType="separate"/>
      </w:r>
      <w:r>
        <w:t>47</w:t>
      </w:r>
      <w:r>
        <w:fldChar w:fldCharType="end"/>
      </w:r>
      <w:r>
        <w:rPr>
          <w:szCs w:val="28"/>
        </w:rPr>
        <w:fldChar w:fldCharType="end"/>
      </w:r>
    </w:p>
    <w:p>
      <w:pPr>
        <w:pStyle w:val="51"/>
        <w:tabs>
          <w:tab w:val="right" w:leader="dot" w:pos="9241"/>
        </w:tabs>
      </w:pPr>
      <w:r>
        <w:rPr>
          <w:szCs w:val="28"/>
        </w:rPr>
        <w:fldChar w:fldCharType="begin"/>
      </w:r>
      <w:r>
        <w:rPr>
          <w:szCs w:val="28"/>
        </w:rPr>
        <w:instrText xml:space="preserve"> HYPERLINK \l _Toc16767 </w:instrText>
      </w:r>
      <w:r>
        <w:rPr>
          <w:szCs w:val="28"/>
        </w:rPr>
        <w:fldChar w:fldCharType="separate"/>
      </w:r>
      <w:r>
        <w:rPr>
          <w:rFonts w:hint="eastAsia" w:ascii="宋体" w:hAnsi="宋体" w:eastAsia="宋体" w:cs="Times New Roman"/>
          <w:bCs/>
          <w:szCs w:val="21"/>
        </w:rPr>
        <w:t>附件7-</w:t>
      </w:r>
      <w:r>
        <w:rPr>
          <w:rFonts w:hint="eastAsia" w:ascii="宋体" w:hAnsi="宋体" w:eastAsia="宋体" w:cs="Times New Roman"/>
          <w:bCs/>
          <w:szCs w:val="21"/>
          <w:lang w:val="en-US" w:eastAsia="zh-CN"/>
        </w:rPr>
        <w:t>3</w:t>
      </w:r>
      <w:r>
        <w:rPr>
          <w:rFonts w:hint="eastAsia" w:ascii="宋体" w:hAnsi="宋体" w:eastAsia="宋体" w:cs="Times New Roman"/>
          <w:bCs/>
          <w:szCs w:val="21"/>
          <w:lang w:eastAsia="zh-CN"/>
        </w:rPr>
        <w:t>：</w:t>
      </w:r>
      <w:r>
        <w:rPr>
          <w:rFonts w:hint="eastAsia" w:ascii="宋体" w:hAnsi="宋体" w:eastAsia="宋体" w:cs="Times New Roman"/>
          <w:bCs/>
          <w:szCs w:val="21"/>
        </w:rPr>
        <w:t>监狱企业证明文件</w:t>
      </w:r>
      <w:r>
        <w:tab/>
      </w:r>
      <w:r>
        <w:fldChar w:fldCharType="begin"/>
      </w:r>
      <w:r>
        <w:instrText xml:space="preserve"> PAGEREF _Toc16767 \h </w:instrText>
      </w:r>
      <w:r>
        <w:fldChar w:fldCharType="separate"/>
      </w:r>
      <w:r>
        <w:t>47</w:t>
      </w:r>
      <w:r>
        <w:fldChar w:fldCharType="end"/>
      </w:r>
      <w:r>
        <w:rPr>
          <w:szCs w:val="28"/>
        </w:rPr>
        <w:fldChar w:fldCharType="end"/>
      </w:r>
    </w:p>
    <w:p>
      <w:pPr>
        <w:pStyle w:val="51"/>
        <w:tabs>
          <w:tab w:val="right" w:leader="dot" w:pos="9241"/>
        </w:tabs>
      </w:pPr>
      <w:r>
        <w:rPr>
          <w:szCs w:val="28"/>
        </w:rPr>
        <w:fldChar w:fldCharType="begin"/>
      </w:r>
      <w:r>
        <w:rPr>
          <w:szCs w:val="28"/>
        </w:rPr>
        <w:instrText xml:space="preserve"> HYPERLINK \l _Toc4293 </w:instrText>
      </w:r>
      <w:r>
        <w:rPr>
          <w:szCs w:val="28"/>
        </w:rPr>
        <w:fldChar w:fldCharType="separate"/>
      </w:r>
      <w:r>
        <w:rPr>
          <w:rFonts w:hint="eastAsia" w:ascii="宋体" w:hAnsi="宋体" w:eastAsia="宋体" w:cs="Times New Roman"/>
          <w:bCs/>
          <w:szCs w:val="21"/>
        </w:rPr>
        <w:t>附件8：</w:t>
      </w:r>
      <w:r>
        <w:rPr>
          <w:rFonts w:hint="eastAsia" w:ascii="宋体" w:hAnsi="宋体" w:eastAsia="宋体" w:cs="Times New Roman"/>
          <w:bCs/>
          <w:szCs w:val="21"/>
          <w:lang w:eastAsia="zh-CN"/>
        </w:rPr>
        <w:t>服务</w:t>
      </w:r>
      <w:r>
        <w:rPr>
          <w:rFonts w:hint="eastAsia" w:ascii="宋体" w:hAnsi="宋体" w:eastAsia="宋体" w:cs="Times New Roman"/>
          <w:bCs/>
          <w:szCs w:val="21"/>
        </w:rPr>
        <w:t>要求响应与偏差表</w:t>
      </w:r>
      <w:r>
        <w:tab/>
      </w:r>
      <w:r>
        <w:fldChar w:fldCharType="begin"/>
      </w:r>
      <w:r>
        <w:instrText xml:space="preserve"> PAGEREF _Toc4293 \h </w:instrText>
      </w:r>
      <w:r>
        <w:fldChar w:fldCharType="separate"/>
      </w:r>
      <w:r>
        <w:t>48</w:t>
      </w:r>
      <w:r>
        <w:fldChar w:fldCharType="end"/>
      </w:r>
      <w:r>
        <w:rPr>
          <w:szCs w:val="28"/>
        </w:rPr>
        <w:fldChar w:fldCharType="end"/>
      </w:r>
    </w:p>
    <w:p>
      <w:pPr>
        <w:pStyle w:val="51"/>
        <w:tabs>
          <w:tab w:val="right" w:leader="dot" w:pos="9241"/>
        </w:tabs>
      </w:pPr>
      <w:r>
        <w:rPr>
          <w:szCs w:val="28"/>
        </w:rPr>
        <w:fldChar w:fldCharType="begin"/>
      </w:r>
      <w:r>
        <w:rPr>
          <w:szCs w:val="28"/>
        </w:rPr>
        <w:instrText xml:space="preserve"> HYPERLINK \l _Toc16454 </w:instrText>
      </w:r>
      <w:r>
        <w:rPr>
          <w:szCs w:val="28"/>
        </w:rPr>
        <w:fldChar w:fldCharType="separate"/>
      </w:r>
      <w:r>
        <w:rPr>
          <w:rFonts w:hint="eastAsia" w:ascii="宋体" w:hAnsi="宋体" w:eastAsia="宋体" w:cs="Times New Roman"/>
          <w:bCs/>
          <w:szCs w:val="21"/>
        </w:rPr>
        <w:t>附件</w:t>
      </w:r>
      <w:r>
        <w:rPr>
          <w:rFonts w:hint="eastAsia" w:ascii="宋体" w:hAnsi="宋体" w:eastAsia="宋体" w:cs="Times New Roman"/>
          <w:bCs/>
          <w:szCs w:val="21"/>
          <w:lang w:val="en-US" w:eastAsia="zh-CN"/>
        </w:rPr>
        <w:t>9</w:t>
      </w:r>
      <w:r>
        <w:rPr>
          <w:rFonts w:hint="eastAsia" w:ascii="宋体" w:hAnsi="宋体" w:eastAsia="宋体" w:cs="Times New Roman"/>
          <w:bCs/>
          <w:szCs w:val="21"/>
        </w:rPr>
        <w:t>：项目实施方案</w:t>
      </w:r>
      <w:r>
        <w:tab/>
      </w:r>
      <w:r>
        <w:fldChar w:fldCharType="begin"/>
      </w:r>
      <w:r>
        <w:instrText xml:space="preserve"> PAGEREF _Toc16454 \h </w:instrText>
      </w:r>
      <w:r>
        <w:fldChar w:fldCharType="separate"/>
      </w:r>
      <w:r>
        <w:t>49</w:t>
      </w:r>
      <w:r>
        <w:fldChar w:fldCharType="end"/>
      </w:r>
      <w:r>
        <w:rPr>
          <w:szCs w:val="28"/>
        </w:rPr>
        <w:fldChar w:fldCharType="end"/>
      </w:r>
    </w:p>
    <w:p>
      <w:pPr>
        <w:pStyle w:val="51"/>
        <w:tabs>
          <w:tab w:val="right" w:leader="dot" w:pos="9241"/>
        </w:tabs>
      </w:pPr>
      <w:r>
        <w:rPr>
          <w:szCs w:val="28"/>
        </w:rPr>
        <w:fldChar w:fldCharType="begin"/>
      </w:r>
      <w:r>
        <w:rPr>
          <w:szCs w:val="28"/>
        </w:rPr>
        <w:instrText xml:space="preserve"> HYPERLINK \l _Toc14011 </w:instrText>
      </w:r>
      <w:r>
        <w:rPr>
          <w:szCs w:val="28"/>
        </w:rPr>
        <w:fldChar w:fldCharType="separate"/>
      </w:r>
      <w:r>
        <w:rPr>
          <w:rFonts w:hint="eastAsia" w:ascii="宋体" w:hAnsi="宋体" w:eastAsia="宋体" w:cs="Times New Roman"/>
          <w:bCs/>
          <w:szCs w:val="21"/>
        </w:rPr>
        <w:t>附件1</w:t>
      </w:r>
      <w:r>
        <w:rPr>
          <w:rFonts w:hint="eastAsia" w:ascii="宋体" w:hAnsi="宋体" w:eastAsia="宋体" w:cs="Times New Roman"/>
          <w:bCs/>
          <w:szCs w:val="21"/>
          <w:lang w:val="en-US" w:eastAsia="zh-CN"/>
        </w:rPr>
        <w:t>0</w:t>
      </w:r>
      <w:r>
        <w:rPr>
          <w:rFonts w:hint="eastAsia" w:ascii="宋体" w:hAnsi="宋体" w:eastAsia="宋体" w:cs="Times New Roman"/>
          <w:bCs/>
          <w:szCs w:val="21"/>
        </w:rPr>
        <w:t>：其他需要提供的资料</w:t>
      </w:r>
      <w:r>
        <w:tab/>
      </w:r>
      <w:r>
        <w:fldChar w:fldCharType="begin"/>
      </w:r>
      <w:r>
        <w:instrText xml:space="preserve"> PAGEREF _Toc14011 \h </w:instrText>
      </w:r>
      <w:r>
        <w:fldChar w:fldCharType="separate"/>
      </w:r>
      <w:r>
        <w:t>50</w:t>
      </w:r>
      <w:r>
        <w:fldChar w:fldCharType="end"/>
      </w:r>
      <w:r>
        <w:rPr>
          <w:szCs w:val="28"/>
        </w:rPr>
        <w:fldChar w:fldCharType="end"/>
      </w:r>
    </w:p>
    <w:p>
      <w:pPr>
        <w:pStyle w:val="51"/>
        <w:tabs>
          <w:tab w:val="right" w:leader="dot" w:pos="9241"/>
        </w:tabs>
      </w:pPr>
      <w:r>
        <w:rPr>
          <w:szCs w:val="28"/>
        </w:rPr>
        <w:fldChar w:fldCharType="begin"/>
      </w:r>
      <w:r>
        <w:rPr>
          <w:szCs w:val="28"/>
        </w:rPr>
        <w:instrText xml:space="preserve"> HYPERLINK \l _Toc28064 </w:instrText>
      </w:r>
      <w:r>
        <w:rPr>
          <w:szCs w:val="28"/>
        </w:rPr>
        <w:fldChar w:fldCharType="separate"/>
      </w:r>
      <w:r>
        <w:rPr>
          <w:rFonts w:hint="eastAsia" w:ascii="宋体" w:hAnsi="宋体" w:eastAsia="宋体" w:cs="Times New Roman"/>
          <w:bCs/>
          <w:szCs w:val="21"/>
        </w:rPr>
        <w:t>附件1</w:t>
      </w:r>
      <w:r>
        <w:rPr>
          <w:rFonts w:hint="eastAsia" w:ascii="宋体" w:hAnsi="宋体" w:eastAsia="宋体" w:cs="Times New Roman"/>
          <w:bCs/>
          <w:szCs w:val="21"/>
          <w:lang w:val="en-US" w:eastAsia="zh-CN"/>
        </w:rPr>
        <w:t>1</w:t>
      </w:r>
      <w:r>
        <w:rPr>
          <w:rFonts w:hint="eastAsia" w:ascii="宋体" w:hAnsi="宋体" w:eastAsia="宋体" w:cs="Times New Roman"/>
          <w:bCs/>
          <w:szCs w:val="21"/>
        </w:rPr>
        <w:t>：参与评审的合同业绩一览表</w:t>
      </w:r>
      <w:r>
        <w:tab/>
      </w:r>
      <w:r>
        <w:fldChar w:fldCharType="begin"/>
      </w:r>
      <w:r>
        <w:instrText xml:space="preserve"> PAGEREF _Toc28064 \h </w:instrText>
      </w:r>
      <w:r>
        <w:fldChar w:fldCharType="separate"/>
      </w:r>
      <w:r>
        <w:t>51</w:t>
      </w:r>
      <w:r>
        <w:fldChar w:fldCharType="end"/>
      </w:r>
      <w:r>
        <w:rPr>
          <w:szCs w:val="28"/>
        </w:rPr>
        <w:fldChar w:fldCharType="end"/>
      </w:r>
    </w:p>
    <w:p>
      <w:pPr>
        <w:pStyle w:val="51"/>
        <w:tabs>
          <w:tab w:val="right" w:leader="dot" w:pos="9241"/>
        </w:tabs>
      </w:pPr>
      <w:r>
        <w:rPr>
          <w:szCs w:val="28"/>
        </w:rPr>
        <w:fldChar w:fldCharType="begin"/>
      </w:r>
      <w:r>
        <w:rPr>
          <w:szCs w:val="28"/>
        </w:rPr>
        <w:instrText xml:space="preserve"> HYPERLINK \l _Toc16014 </w:instrText>
      </w:r>
      <w:r>
        <w:rPr>
          <w:szCs w:val="28"/>
        </w:rPr>
        <w:fldChar w:fldCharType="separate"/>
      </w:r>
      <w:r>
        <w:rPr>
          <w:rFonts w:hint="eastAsia" w:ascii="宋体" w:hAnsi="宋体" w:eastAsia="宋体" w:cs="Times New Roman"/>
          <w:bCs/>
          <w:szCs w:val="21"/>
        </w:rPr>
        <w:t>附件1</w:t>
      </w:r>
      <w:r>
        <w:rPr>
          <w:rFonts w:hint="eastAsia" w:ascii="宋体" w:hAnsi="宋体" w:eastAsia="宋体" w:cs="Times New Roman"/>
          <w:bCs/>
          <w:szCs w:val="21"/>
          <w:lang w:val="en-US" w:eastAsia="zh-CN"/>
        </w:rPr>
        <w:t>1-</w:t>
      </w:r>
      <w:r>
        <w:rPr>
          <w:rFonts w:hint="eastAsia" w:ascii="宋体" w:hAnsi="宋体" w:eastAsia="宋体" w:cs="Times New Roman"/>
          <w:bCs/>
          <w:szCs w:val="21"/>
          <w:lang w:eastAsia="zh-CN"/>
        </w:rPr>
        <w:t>1</w:t>
      </w:r>
      <w:r>
        <w:rPr>
          <w:rFonts w:hint="eastAsia" w:ascii="宋体" w:hAnsi="宋体" w:eastAsia="宋体" w:cs="Times New Roman"/>
          <w:bCs/>
          <w:szCs w:val="21"/>
        </w:rPr>
        <w:t>：参与评审的合同业绩</w:t>
      </w:r>
      <w:r>
        <w:rPr>
          <w:rFonts w:hint="eastAsia" w:ascii="宋体" w:hAnsi="宋体" w:eastAsia="宋体" w:cs="Times New Roman"/>
          <w:bCs/>
          <w:szCs w:val="21"/>
          <w:lang w:val="en-US" w:eastAsia="zh-CN"/>
        </w:rPr>
        <w:t>复印件</w:t>
      </w:r>
      <w:r>
        <w:tab/>
      </w:r>
      <w:r>
        <w:fldChar w:fldCharType="begin"/>
      </w:r>
      <w:r>
        <w:instrText xml:space="preserve"> PAGEREF _Toc16014 \h </w:instrText>
      </w:r>
      <w:r>
        <w:fldChar w:fldCharType="separate"/>
      </w:r>
      <w:r>
        <w:t>51</w:t>
      </w:r>
      <w:r>
        <w:fldChar w:fldCharType="end"/>
      </w:r>
      <w:r>
        <w:rPr>
          <w:szCs w:val="28"/>
        </w:rPr>
        <w:fldChar w:fldCharType="end"/>
      </w:r>
    </w:p>
    <w:p>
      <w:pPr>
        <w:spacing w:line="360" w:lineRule="auto"/>
      </w:pPr>
      <w:r>
        <w:rPr>
          <w:szCs w:val="28"/>
        </w:rPr>
        <w:fldChar w:fldCharType="end"/>
      </w:r>
    </w:p>
    <w:p>
      <w:pPr>
        <w:jc w:val="center"/>
        <w:rPr>
          <w:rFonts w:hint="eastAsia" w:ascii="宋体" w:hAnsi="宋体" w:eastAsia="宋体" w:cs="宋体"/>
          <w:spacing w:val="14"/>
          <w:lang w:eastAsia="zh-CN"/>
        </w:rPr>
      </w:pPr>
      <w:r>
        <w:rPr>
          <w:rFonts w:hint="eastAsia" w:ascii="宋体" w:hAnsi="宋体" w:eastAsia="宋体" w:cs="宋体"/>
          <w:spacing w:val="14"/>
          <w:lang w:eastAsia="zh-CN"/>
        </w:rPr>
        <w:br w:type="page"/>
      </w:r>
      <w:bookmarkStart w:id="0" w:name="_Toc22997"/>
      <w:bookmarkStart w:id="1" w:name="_Toc23042"/>
      <w:bookmarkStart w:id="2" w:name="_Toc30347"/>
    </w:p>
    <w:p>
      <w:pPr>
        <w:jc w:val="center"/>
        <w:rPr>
          <w:rFonts w:hint="eastAsia" w:ascii="宋体" w:hAnsi="宋体" w:eastAsia="宋体" w:cs="宋体"/>
          <w:spacing w:val="14"/>
          <w:lang w:eastAsia="zh-CN"/>
        </w:rPr>
      </w:pPr>
    </w:p>
    <w:p>
      <w:pPr>
        <w:jc w:val="center"/>
        <w:rPr>
          <w:rFonts w:hint="eastAsia" w:ascii="宋体" w:hAnsi="宋体" w:eastAsia="宋体" w:cs="宋体"/>
          <w:color w:val="auto"/>
          <w:sz w:val="24"/>
          <w:szCs w:val="24"/>
        </w:rPr>
      </w:pPr>
      <w:r>
        <w:rPr>
          <w:rFonts w:hint="eastAsia" w:ascii="宋体" w:hAnsi="宋体" w:eastAsia="宋体" w:cs="宋体"/>
          <w:b/>
          <w:bCs/>
          <w:color w:val="auto"/>
          <w:sz w:val="32"/>
          <w:szCs w:val="32"/>
        </w:rPr>
        <w:t>投标供应商应注意的事项</w:t>
      </w:r>
      <w:bookmarkEnd w:id="0"/>
      <w:bookmarkEnd w:id="1"/>
      <w:bookmarkEnd w:id="2"/>
    </w:p>
    <w:p>
      <w:pPr>
        <w:spacing w:line="500" w:lineRule="exact"/>
        <w:jc w:val="left"/>
        <w:rPr>
          <w:rFonts w:hint="eastAsia" w:ascii="宋体" w:hAnsi="宋体" w:eastAsia="宋体" w:cs="宋体"/>
          <w:b/>
          <w:sz w:val="24"/>
          <w:szCs w:val="24"/>
        </w:rPr>
      </w:pPr>
    </w:p>
    <w:p>
      <w:pPr>
        <w:spacing w:line="500" w:lineRule="exact"/>
        <w:jc w:val="left"/>
        <w:rPr>
          <w:rFonts w:hint="eastAsia" w:ascii="宋体" w:hAnsi="宋体" w:eastAsia="宋体" w:cs="宋体"/>
          <w:b/>
          <w:sz w:val="24"/>
          <w:szCs w:val="24"/>
        </w:rPr>
      </w:pPr>
      <w:r>
        <w:rPr>
          <w:rFonts w:hint="eastAsia" w:ascii="宋体" w:hAnsi="宋体" w:eastAsia="宋体" w:cs="宋体"/>
          <w:b/>
          <w:sz w:val="24"/>
          <w:szCs w:val="24"/>
        </w:rPr>
        <w:t>各投标供应商：</w:t>
      </w:r>
    </w:p>
    <w:p>
      <w:pPr>
        <w:spacing w:line="500" w:lineRule="exact"/>
        <w:ind w:firstLine="418" w:firstLineChars="200"/>
        <w:rPr>
          <w:rFonts w:hint="eastAsia" w:ascii="宋体" w:hAnsi="宋体" w:eastAsia="宋体" w:cs="宋体"/>
          <w:sz w:val="24"/>
          <w:szCs w:val="24"/>
        </w:rPr>
      </w:pPr>
      <w:r>
        <w:rPr>
          <w:rFonts w:hint="eastAsia" w:ascii="宋体" w:hAnsi="宋体" w:eastAsia="宋体" w:cs="宋体"/>
          <w:sz w:val="24"/>
          <w:szCs w:val="24"/>
        </w:rPr>
        <w:t>为保证本次采购项目的顺利进行,减少招标采购过程中,由于</w:t>
      </w:r>
      <w:r>
        <w:rPr>
          <w:rFonts w:hint="eastAsia" w:ascii="宋体" w:hAnsi="宋体" w:eastAsia="宋体" w:cs="宋体"/>
          <w:sz w:val="24"/>
          <w:szCs w:val="24"/>
          <w:lang w:eastAsia="zh-CN"/>
        </w:rPr>
        <w:t>响应文件</w:t>
      </w:r>
      <w:r>
        <w:rPr>
          <w:rFonts w:hint="eastAsia" w:ascii="宋体" w:hAnsi="宋体" w:eastAsia="宋体" w:cs="宋体"/>
          <w:sz w:val="24"/>
          <w:szCs w:val="24"/>
        </w:rPr>
        <w:t>制作不合格等原因导致贵单位投标无效情况的发生,请贵单位仔细阅读</w:t>
      </w:r>
      <w:r>
        <w:rPr>
          <w:rFonts w:hint="eastAsia" w:ascii="宋体" w:hAnsi="宋体" w:eastAsia="宋体" w:cs="宋体"/>
          <w:sz w:val="24"/>
          <w:szCs w:val="24"/>
          <w:lang w:eastAsia="zh-CN"/>
        </w:rPr>
        <w:t>采购文件</w:t>
      </w:r>
      <w:r>
        <w:rPr>
          <w:rFonts w:hint="eastAsia" w:ascii="宋体" w:hAnsi="宋体" w:eastAsia="宋体" w:cs="宋体"/>
          <w:sz w:val="24"/>
          <w:szCs w:val="24"/>
        </w:rPr>
        <w:t>的每一条款,特别注意以下事项</w:t>
      </w:r>
      <w:r>
        <w:rPr>
          <w:rFonts w:hint="eastAsia" w:ascii="宋体" w:hAnsi="宋体" w:eastAsia="宋体" w:cs="宋体"/>
          <w:sz w:val="24"/>
          <w:szCs w:val="24"/>
          <w:lang w:eastAsia="zh-CN"/>
        </w:rPr>
        <w:t>：</w:t>
      </w:r>
    </w:p>
    <w:p>
      <w:pPr>
        <w:spacing w:line="500" w:lineRule="exact"/>
        <w:ind w:firstLine="418"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请严格按照</w:t>
      </w:r>
      <w:r>
        <w:rPr>
          <w:rFonts w:hint="eastAsia" w:ascii="宋体" w:hAnsi="宋体" w:eastAsia="宋体" w:cs="宋体"/>
          <w:sz w:val="24"/>
          <w:szCs w:val="24"/>
          <w:lang w:eastAsia="zh-CN"/>
        </w:rPr>
        <w:t>采购文件</w:t>
      </w:r>
      <w:r>
        <w:rPr>
          <w:rFonts w:hint="eastAsia" w:ascii="宋体" w:hAnsi="宋体" w:eastAsia="宋体" w:cs="宋体"/>
          <w:sz w:val="24"/>
          <w:szCs w:val="24"/>
        </w:rPr>
        <w:t>规定的资格证明文件要求提供每一项证件（特别注明原件或复印件的要求），并严格自审证明材料的有效期、年检、经营期限、签署的有效性等，漏缺一项证明材料或一项证明材料不合格将造成资格审查无法通过，所投标书为无效标书；</w:t>
      </w:r>
      <w:r>
        <w:rPr>
          <w:rFonts w:hint="eastAsia" w:ascii="宋体" w:hAnsi="宋体" w:eastAsia="宋体" w:cs="宋体"/>
          <w:sz w:val="24"/>
          <w:szCs w:val="24"/>
          <w:lang w:eastAsia="zh-CN"/>
        </w:rPr>
        <w:t>采购文件</w:t>
      </w:r>
      <w:r>
        <w:rPr>
          <w:rFonts w:hint="eastAsia" w:ascii="宋体" w:hAnsi="宋体" w:eastAsia="宋体" w:cs="宋体"/>
          <w:sz w:val="24"/>
          <w:szCs w:val="24"/>
        </w:rPr>
        <w:t>要求提供的资格证明材料</w:t>
      </w:r>
      <w:r>
        <w:rPr>
          <w:rFonts w:hint="eastAsia" w:ascii="宋体" w:hAnsi="宋体" w:eastAsia="宋体" w:cs="宋体"/>
          <w:sz w:val="24"/>
          <w:szCs w:val="24"/>
          <w:lang w:eastAsia="zh-CN"/>
        </w:rPr>
        <w:t>及其他</w:t>
      </w:r>
      <w:r>
        <w:rPr>
          <w:rFonts w:hint="eastAsia" w:ascii="宋体" w:hAnsi="宋体" w:eastAsia="宋体" w:cs="宋体"/>
          <w:sz w:val="24"/>
          <w:szCs w:val="24"/>
        </w:rPr>
        <w:t>业绩证明资料务必在开标截止时间前递交给采购代理机构，投标截止时间以后，采购代理机构将不再接受任何资格证明文件</w:t>
      </w:r>
      <w:r>
        <w:rPr>
          <w:rFonts w:hint="eastAsia" w:ascii="宋体" w:hAnsi="宋体" w:eastAsia="宋体" w:cs="宋体"/>
          <w:sz w:val="24"/>
          <w:szCs w:val="24"/>
          <w:lang w:eastAsia="zh-CN"/>
        </w:rPr>
        <w:t>和其他</w:t>
      </w:r>
      <w:r>
        <w:rPr>
          <w:rFonts w:hint="eastAsia" w:ascii="宋体" w:hAnsi="宋体" w:eastAsia="宋体" w:cs="宋体"/>
          <w:sz w:val="24"/>
          <w:szCs w:val="24"/>
        </w:rPr>
        <w:t>证明资料。</w:t>
      </w:r>
    </w:p>
    <w:p>
      <w:pPr>
        <w:spacing w:line="500" w:lineRule="exact"/>
        <w:ind w:firstLine="418"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请认真研究</w:t>
      </w:r>
      <w:r>
        <w:rPr>
          <w:rFonts w:hint="eastAsia" w:ascii="宋体" w:hAnsi="宋体" w:eastAsia="宋体" w:cs="宋体"/>
          <w:sz w:val="24"/>
          <w:szCs w:val="24"/>
          <w:lang w:eastAsia="zh-CN"/>
        </w:rPr>
        <w:t>采购文件</w:t>
      </w:r>
      <w:r>
        <w:rPr>
          <w:rFonts w:hint="eastAsia" w:ascii="宋体" w:hAnsi="宋体" w:eastAsia="宋体" w:cs="宋体"/>
          <w:sz w:val="24"/>
          <w:szCs w:val="24"/>
        </w:rPr>
        <w:t>规定的实质性要求和重大偏差所包括的内容，</w:t>
      </w:r>
      <w:r>
        <w:rPr>
          <w:rFonts w:hint="eastAsia" w:ascii="宋体" w:hAnsi="宋体" w:eastAsia="宋体" w:cs="宋体"/>
          <w:sz w:val="24"/>
          <w:szCs w:val="24"/>
          <w:lang w:eastAsia="zh-CN"/>
        </w:rPr>
        <w:t>响应文件</w:t>
      </w:r>
      <w:r>
        <w:rPr>
          <w:rFonts w:hint="eastAsia" w:ascii="宋体" w:hAnsi="宋体" w:eastAsia="宋体" w:cs="宋体"/>
          <w:sz w:val="24"/>
          <w:szCs w:val="24"/>
        </w:rPr>
        <w:t>未响应</w:t>
      </w:r>
      <w:r>
        <w:rPr>
          <w:rFonts w:hint="eastAsia" w:ascii="宋体" w:hAnsi="宋体" w:eastAsia="宋体" w:cs="宋体"/>
          <w:sz w:val="24"/>
          <w:szCs w:val="24"/>
          <w:lang w:eastAsia="zh-CN"/>
        </w:rPr>
        <w:t>采购文件</w:t>
      </w:r>
      <w:r>
        <w:rPr>
          <w:rFonts w:hint="eastAsia" w:ascii="宋体" w:hAnsi="宋体" w:eastAsia="宋体" w:cs="宋体"/>
          <w:sz w:val="24"/>
          <w:szCs w:val="24"/>
        </w:rPr>
        <w:t>的实质性要求或有重大偏差所列内容之一、经评委认定属实的，将作无效投标处理。</w:t>
      </w:r>
    </w:p>
    <w:p>
      <w:pPr>
        <w:spacing w:line="500" w:lineRule="exact"/>
        <w:ind w:firstLine="418"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为防止意外情况的发生，请在</w:t>
      </w:r>
      <w:r>
        <w:rPr>
          <w:rFonts w:hint="eastAsia" w:ascii="宋体" w:hAnsi="宋体" w:eastAsia="宋体" w:cs="宋体"/>
          <w:sz w:val="24"/>
          <w:szCs w:val="24"/>
          <w:lang w:eastAsia="zh-CN"/>
        </w:rPr>
        <w:t>采购文件</w:t>
      </w:r>
      <w:r>
        <w:rPr>
          <w:rFonts w:hint="eastAsia" w:ascii="宋体" w:hAnsi="宋体" w:eastAsia="宋体" w:cs="宋体"/>
          <w:sz w:val="24"/>
          <w:szCs w:val="24"/>
        </w:rPr>
        <w:t>规定的投标截止时间前半小时到达开标现场，截止时间后递交的</w:t>
      </w:r>
      <w:r>
        <w:rPr>
          <w:rFonts w:hint="eastAsia" w:ascii="宋体" w:hAnsi="宋体" w:eastAsia="宋体" w:cs="宋体"/>
          <w:sz w:val="24"/>
          <w:szCs w:val="24"/>
          <w:lang w:eastAsia="zh-CN"/>
        </w:rPr>
        <w:t>响应文件</w:t>
      </w:r>
      <w:r>
        <w:rPr>
          <w:rFonts w:hint="eastAsia" w:ascii="宋体" w:hAnsi="宋体" w:eastAsia="宋体" w:cs="宋体"/>
          <w:sz w:val="24"/>
          <w:szCs w:val="24"/>
        </w:rPr>
        <w:t>恕不接收。</w:t>
      </w:r>
    </w:p>
    <w:p>
      <w:pPr>
        <w:spacing w:line="500" w:lineRule="exact"/>
        <w:ind w:firstLine="418"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请认真阅读</w:t>
      </w:r>
      <w:r>
        <w:rPr>
          <w:rFonts w:hint="eastAsia" w:ascii="宋体" w:hAnsi="宋体" w:eastAsia="宋体" w:cs="宋体"/>
          <w:sz w:val="24"/>
          <w:szCs w:val="24"/>
          <w:lang w:eastAsia="zh-CN"/>
        </w:rPr>
        <w:t>采购文件</w:t>
      </w:r>
      <w:r>
        <w:rPr>
          <w:rFonts w:hint="eastAsia" w:ascii="宋体" w:hAnsi="宋体" w:eastAsia="宋体" w:cs="宋体"/>
          <w:sz w:val="24"/>
          <w:szCs w:val="24"/>
        </w:rPr>
        <w:t>规定的供货（安装）期、竣工交付日期、服务期、付款方式、质保期等商务条款，制作</w:t>
      </w:r>
      <w:r>
        <w:rPr>
          <w:rFonts w:hint="eastAsia" w:ascii="宋体" w:hAnsi="宋体" w:eastAsia="宋体" w:cs="宋体"/>
          <w:sz w:val="24"/>
          <w:szCs w:val="24"/>
          <w:lang w:eastAsia="zh-CN"/>
        </w:rPr>
        <w:t>响应文件</w:t>
      </w:r>
      <w:r>
        <w:rPr>
          <w:rFonts w:hint="eastAsia" w:ascii="宋体" w:hAnsi="宋体" w:eastAsia="宋体" w:cs="宋体"/>
          <w:sz w:val="24"/>
          <w:szCs w:val="24"/>
        </w:rPr>
        <w:t>时应</w:t>
      </w:r>
      <w:r>
        <w:rPr>
          <w:rFonts w:hint="eastAsia" w:ascii="宋体" w:hAnsi="宋体" w:eastAsia="宋体" w:cs="宋体"/>
          <w:sz w:val="24"/>
          <w:szCs w:val="24"/>
          <w:lang w:eastAsia="zh-CN"/>
        </w:rPr>
        <w:t>做出</w:t>
      </w:r>
      <w:r>
        <w:rPr>
          <w:rFonts w:hint="eastAsia" w:ascii="宋体" w:hAnsi="宋体" w:eastAsia="宋体" w:cs="宋体"/>
          <w:sz w:val="24"/>
          <w:szCs w:val="24"/>
        </w:rPr>
        <w:t>响应商务条款的承诺，不响应的将导致投标无效。</w:t>
      </w:r>
    </w:p>
    <w:p>
      <w:pPr>
        <w:spacing w:line="500" w:lineRule="exact"/>
        <w:ind w:firstLine="418"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对投标供应商的虚假投标、围标串标、无正当理由放弃中标、行贿等违法违规行为，查实后，政府采购监管部门将根据《</w:t>
      </w:r>
      <w:r>
        <w:rPr>
          <w:rFonts w:hint="eastAsia" w:ascii="宋体" w:hAnsi="宋体" w:eastAsia="宋体" w:cs="宋体"/>
          <w:sz w:val="24"/>
          <w:szCs w:val="24"/>
          <w:lang w:eastAsia="zh-CN"/>
        </w:rPr>
        <w:t>中华人民共和国</w:t>
      </w:r>
      <w:r>
        <w:rPr>
          <w:rFonts w:hint="eastAsia" w:ascii="宋体" w:hAnsi="宋体" w:eastAsia="宋体" w:cs="宋体"/>
          <w:sz w:val="24"/>
          <w:szCs w:val="24"/>
        </w:rPr>
        <w:t>政府采购法》等法律法规处以取消本次投标、取消中标资格，罚款，列入不良行为名单，在一至三年内禁止参加政府采购活动的处罚。请各投标供应商严格自律，诚信参与投标。</w:t>
      </w:r>
    </w:p>
    <w:p>
      <w:pPr>
        <w:ind w:firstLine="418" w:firstLineChars="200"/>
        <w:rPr>
          <w:rFonts w:hint="eastAsia" w:ascii="宋体" w:hAnsi="宋体" w:eastAsia="宋体" w:cs="宋体"/>
          <w:b/>
          <w:sz w:val="24"/>
          <w:szCs w:val="24"/>
        </w:rPr>
      </w:pPr>
      <w:r>
        <w:rPr>
          <w:rFonts w:hint="eastAsia" w:ascii="宋体" w:hAnsi="宋体" w:eastAsia="宋体" w:cs="宋体"/>
          <w:b/>
          <w:sz w:val="24"/>
          <w:szCs w:val="24"/>
        </w:rPr>
        <w:t>本提示内容并非</w:t>
      </w:r>
      <w:r>
        <w:rPr>
          <w:rFonts w:hint="eastAsia" w:ascii="宋体" w:hAnsi="宋体" w:eastAsia="宋体" w:cs="宋体"/>
          <w:b/>
          <w:sz w:val="24"/>
          <w:szCs w:val="24"/>
          <w:lang w:eastAsia="zh-CN"/>
        </w:rPr>
        <w:t>采购文件</w:t>
      </w:r>
      <w:r>
        <w:rPr>
          <w:rFonts w:hint="eastAsia" w:ascii="宋体" w:hAnsi="宋体" w:eastAsia="宋体" w:cs="宋体"/>
          <w:b/>
          <w:sz w:val="24"/>
          <w:szCs w:val="24"/>
        </w:rPr>
        <w:t>的组成部分，仅为善意提示，如有与</w:t>
      </w:r>
      <w:r>
        <w:rPr>
          <w:rFonts w:hint="eastAsia" w:ascii="宋体" w:hAnsi="宋体" w:eastAsia="宋体" w:cs="宋体"/>
          <w:b/>
          <w:sz w:val="24"/>
          <w:szCs w:val="24"/>
          <w:lang w:eastAsia="zh-CN"/>
        </w:rPr>
        <w:t>采购文件</w:t>
      </w:r>
      <w:r>
        <w:rPr>
          <w:rFonts w:hint="eastAsia" w:ascii="宋体" w:hAnsi="宋体" w:eastAsia="宋体" w:cs="宋体"/>
          <w:b/>
          <w:sz w:val="24"/>
          <w:szCs w:val="24"/>
        </w:rPr>
        <w:t>不一致之处，以</w:t>
      </w:r>
      <w:r>
        <w:rPr>
          <w:rFonts w:hint="eastAsia" w:ascii="宋体" w:hAnsi="宋体" w:eastAsia="宋体" w:cs="宋体"/>
          <w:b/>
          <w:sz w:val="24"/>
          <w:szCs w:val="24"/>
          <w:lang w:eastAsia="zh-CN"/>
        </w:rPr>
        <w:t>采购文件</w:t>
      </w:r>
      <w:r>
        <w:rPr>
          <w:rFonts w:hint="eastAsia" w:ascii="宋体" w:hAnsi="宋体" w:eastAsia="宋体" w:cs="宋体"/>
          <w:b/>
          <w:sz w:val="24"/>
          <w:szCs w:val="24"/>
        </w:rPr>
        <w:t>为准。</w:t>
      </w:r>
    </w:p>
    <w:p>
      <w:pPr>
        <w:pStyle w:val="156"/>
        <w:ind w:left="0" w:leftChars="0" w:firstLine="0" w:firstLineChars="0"/>
        <w:jc w:val="both"/>
        <w:rPr>
          <w:rFonts w:hint="eastAsia" w:ascii="宋体" w:hAnsi="宋体" w:eastAsia="宋体" w:cs="宋体"/>
          <w:color w:val="auto"/>
        </w:rPr>
      </w:pPr>
      <w:r>
        <w:rPr>
          <w:rFonts w:hint="eastAsia" w:ascii="宋体" w:hAnsi="宋体" w:eastAsia="宋体" w:cs="宋体"/>
          <w:spacing w:val="14"/>
          <w:lang w:eastAsia="zh-CN"/>
        </w:rPr>
        <w:br w:type="page"/>
      </w:r>
    </w:p>
    <w:p>
      <w:pPr>
        <w:pStyle w:val="58"/>
        <w:rPr>
          <w:rFonts w:hint="eastAsia" w:ascii="宋体" w:hAnsi="宋体" w:eastAsia="宋体" w:cs="宋体"/>
          <w:lang w:eastAsia="zh-CN"/>
        </w:rPr>
      </w:pPr>
      <w:bookmarkStart w:id="3" w:name="_Toc22726"/>
      <w:bookmarkStart w:id="4" w:name="_Toc602"/>
      <w:bookmarkStart w:id="5" w:name="_Toc6504"/>
      <w:bookmarkStart w:id="6" w:name="_Toc504741946"/>
      <w:bookmarkStart w:id="7" w:name="_Toc1662497"/>
      <w:r>
        <w:rPr>
          <w:rFonts w:hint="eastAsia" w:ascii="宋体" w:hAnsi="宋体" w:eastAsia="宋体" w:cs="宋体"/>
          <w:sz w:val="36"/>
          <w:szCs w:val="16"/>
          <w:lang w:eastAsia="zh-CN"/>
        </w:rPr>
        <w:t>第一章  采购公告</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一、项目基本情况</w:t>
      </w:r>
    </w:p>
    <w:p>
      <w:pPr>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1.采购编号：洛采单一-2023-28</w:t>
      </w:r>
    </w:p>
    <w:p>
      <w:pPr>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2.采购项目名称：</w:t>
      </w:r>
      <w:r>
        <w:rPr>
          <w:rFonts w:hint="eastAsia" w:cs="宋体"/>
          <w:color w:val="000000"/>
          <w:sz w:val="24"/>
          <w:szCs w:val="24"/>
          <w:highlight w:val="none"/>
          <w:lang w:val="en-US" w:eastAsia="zh-CN"/>
        </w:rPr>
        <w:t>中国共产党洛阳市委员会宣传部人民日报人民网河南分公司宣传项目</w:t>
      </w:r>
    </w:p>
    <w:p>
      <w:pPr>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3.采购方式：单一来源</w:t>
      </w:r>
    </w:p>
    <w:p>
      <w:pPr>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4.预算金额：2700000.00元       最高限价：900000.00元  </w:t>
      </w:r>
    </w:p>
    <w:p>
      <w:pPr>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5.采购项目简要说明：本次采购共一个包。主要通过人民日报人民网进行宣传（详见采购文件）。</w:t>
      </w:r>
    </w:p>
    <w:p>
      <w:pPr>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6.合同履行期限：合同签订之日起至宣传结束。</w:t>
      </w:r>
    </w:p>
    <w:p>
      <w:pPr>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7.本项目是否接受联合体投标：否</w:t>
      </w:r>
    </w:p>
    <w:p>
      <w:pPr>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8.是否接受进口产</w:t>
      </w:r>
      <w:r>
        <w:rPr>
          <w:rFonts w:hint="eastAsia" w:ascii="宋体" w:hAnsi="宋体" w:eastAsia="宋体" w:cs="宋体"/>
          <w:color w:val="000000"/>
          <w:sz w:val="24"/>
          <w:szCs w:val="24"/>
          <w:lang w:val="en-US" w:eastAsia="zh-CN"/>
        </w:rPr>
        <w:t>品：否</w:t>
      </w:r>
    </w:p>
    <w:p>
      <w:pPr>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、申请人资格要求：</w:t>
      </w:r>
    </w:p>
    <w:p>
      <w:pPr>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2.落实政府采购政策满足</w:t>
      </w:r>
      <w:r>
        <w:rPr>
          <w:rFonts w:hint="eastAsia" w:ascii="宋体" w:hAnsi="宋体" w:eastAsia="宋体" w:cs="宋体"/>
          <w:color w:val="000000"/>
          <w:sz w:val="24"/>
          <w:szCs w:val="24"/>
          <w:lang w:val="en-US" w:eastAsia="zh-CN"/>
        </w:rPr>
        <w:t>的</w:t>
      </w:r>
      <w:r>
        <w:rPr>
          <w:rFonts w:hint="eastAsia" w:ascii="宋体" w:hAnsi="宋体" w:eastAsia="宋体" w:cs="宋体"/>
          <w:color w:val="auto"/>
          <w:sz w:val="24"/>
          <w:szCs w:val="24"/>
          <w:lang w:val="en-US" w:eastAsia="zh-CN"/>
        </w:rPr>
        <w:t>资格要求：无。</w:t>
      </w:r>
    </w:p>
    <w:p>
      <w:pPr>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3.本项目的特定资格要求：</w:t>
      </w:r>
      <w:r>
        <w:rPr>
          <w:rFonts w:hint="eastAsia" w:ascii="宋体" w:hAnsi="宋体" w:eastAsia="宋体" w:cs="宋体"/>
          <w:color w:val="auto"/>
          <w:sz w:val="24"/>
          <w:szCs w:val="24"/>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、获取采购文件</w:t>
      </w:r>
    </w:p>
    <w:p>
      <w:pPr>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1.时</w:t>
      </w:r>
      <w:r>
        <w:rPr>
          <w:rFonts w:hint="eastAsia" w:ascii="宋体" w:hAnsi="宋体" w:eastAsia="宋体" w:cs="宋体"/>
          <w:sz w:val="24"/>
          <w:szCs w:val="24"/>
          <w:highlight w:val="none"/>
          <w:lang w:val="en-US" w:eastAsia="zh-CN"/>
        </w:rPr>
        <w:t>间：2023年</w:t>
      </w:r>
      <w:r>
        <w:rPr>
          <w:rFonts w:hint="eastAsia" w:cs="宋体"/>
          <w:sz w:val="24"/>
          <w:szCs w:val="24"/>
          <w:highlight w:val="none"/>
          <w:lang w:val="en-US" w:eastAsia="zh-CN"/>
        </w:rPr>
        <w:t>10</w:t>
      </w:r>
      <w:r>
        <w:rPr>
          <w:rFonts w:hint="eastAsia" w:ascii="宋体" w:hAnsi="宋体" w:eastAsia="宋体" w:cs="宋体"/>
          <w:sz w:val="24"/>
          <w:szCs w:val="24"/>
          <w:highlight w:val="none"/>
          <w:lang w:val="en-US" w:eastAsia="zh-CN"/>
        </w:rPr>
        <w:t>月</w:t>
      </w:r>
      <w:r>
        <w:rPr>
          <w:rFonts w:hint="eastAsia" w:cs="宋体"/>
          <w:sz w:val="24"/>
          <w:szCs w:val="24"/>
          <w:highlight w:val="none"/>
          <w:lang w:val="en-US" w:eastAsia="zh-CN"/>
        </w:rPr>
        <w:t>19</w:t>
      </w:r>
      <w:r>
        <w:rPr>
          <w:rFonts w:hint="eastAsia" w:ascii="宋体" w:hAnsi="宋体" w:eastAsia="宋体" w:cs="宋体"/>
          <w:sz w:val="24"/>
          <w:szCs w:val="24"/>
          <w:highlight w:val="none"/>
          <w:lang w:val="en-US" w:eastAsia="zh-CN"/>
        </w:rPr>
        <w:t>日至2023年</w:t>
      </w:r>
      <w:r>
        <w:rPr>
          <w:rFonts w:hint="eastAsia" w:cs="宋体"/>
          <w:sz w:val="24"/>
          <w:szCs w:val="24"/>
          <w:highlight w:val="none"/>
          <w:lang w:val="en-US" w:eastAsia="zh-CN"/>
        </w:rPr>
        <w:t>10</w:t>
      </w:r>
      <w:r>
        <w:rPr>
          <w:rFonts w:hint="eastAsia" w:ascii="宋体" w:hAnsi="宋体" w:eastAsia="宋体" w:cs="宋体"/>
          <w:sz w:val="24"/>
          <w:szCs w:val="24"/>
          <w:highlight w:val="none"/>
          <w:lang w:val="en-US" w:eastAsia="zh-CN"/>
        </w:rPr>
        <w:t>月</w:t>
      </w:r>
      <w:r>
        <w:rPr>
          <w:rFonts w:hint="eastAsia" w:cs="宋体"/>
          <w:sz w:val="24"/>
          <w:szCs w:val="24"/>
          <w:highlight w:val="none"/>
          <w:lang w:val="en-US" w:eastAsia="zh-CN"/>
        </w:rPr>
        <w:t>20</w:t>
      </w:r>
      <w:r>
        <w:rPr>
          <w:rFonts w:hint="eastAsia" w:ascii="宋体" w:hAnsi="宋体" w:eastAsia="宋体" w:cs="宋体"/>
          <w:sz w:val="24"/>
          <w:szCs w:val="24"/>
          <w:highlight w:val="none"/>
          <w:lang w:val="en-US" w:eastAsia="zh-CN"/>
        </w:rPr>
        <w:t>日，每天上午8：30至12:00，下午1</w:t>
      </w:r>
      <w:r>
        <w:rPr>
          <w:rFonts w:hint="eastAsia"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cs="宋体"/>
          <w:sz w:val="24"/>
          <w:szCs w:val="24"/>
          <w:highlight w:val="none"/>
          <w:lang w:val="en-US" w:eastAsia="zh-CN"/>
        </w:rPr>
        <w:t>3</w:t>
      </w:r>
      <w:r>
        <w:rPr>
          <w:rFonts w:hint="eastAsia" w:ascii="宋体" w:hAnsi="宋体" w:eastAsia="宋体" w:cs="宋体"/>
          <w:sz w:val="24"/>
          <w:szCs w:val="24"/>
          <w:highlight w:val="none"/>
          <w:lang w:val="en-US" w:eastAsia="zh-CN"/>
        </w:rPr>
        <w:t>0至</w:t>
      </w:r>
      <w:r>
        <w:rPr>
          <w:rFonts w:hint="eastAsia" w:cs="宋体"/>
          <w:sz w:val="24"/>
          <w:szCs w:val="24"/>
          <w:highlight w:val="none"/>
          <w:lang w:val="en-US" w:eastAsia="zh-CN"/>
        </w:rPr>
        <w:t>17</w:t>
      </w:r>
      <w:r>
        <w:rPr>
          <w:rFonts w:hint="eastAsia" w:ascii="宋体" w:hAnsi="宋体" w:eastAsia="宋体" w:cs="宋体"/>
          <w:sz w:val="24"/>
          <w:szCs w:val="24"/>
          <w:highlight w:val="none"/>
          <w:lang w:val="en-US" w:eastAsia="zh-CN"/>
        </w:rPr>
        <w:t>:</w:t>
      </w:r>
      <w:r>
        <w:rPr>
          <w:rFonts w:hint="eastAsia" w:cs="宋体"/>
          <w:sz w:val="24"/>
          <w:szCs w:val="24"/>
          <w:highlight w:val="none"/>
          <w:lang w:val="en-US" w:eastAsia="zh-CN"/>
        </w:rPr>
        <w:t>30</w:t>
      </w:r>
      <w:r>
        <w:rPr>
          <w:rFonts w:hint="eastAsia" w:ascii="宋体" w:hAnsi="宋体" w:eastAsia="宋体" w:cs="宋体"/>
          <w:sz w:val="24"/>
          <w:szCs w:val="24"/>
          <w:lang w:val="en-US" w:eastAsia="zh-CN"/>
        </w:rPr>
        <w:t>（北京</w:t>
      </w:r>
      <w:r>
        <w:rPr>
          <w:rFonts w:hint="eastAsia" w:ascii="宋体" w:hAnsi="宋体" w:eastAsia="宋体" w:cs="宋体"/>
          <w:color w:val="auto"/>
          <w:sz w:val="24"/>
          <w:szCs w:val="24"/>
          <w:lang w:val="en-US" w:eastAsia="zh-CN"/>
        </w:rPr>
        <w:t>时间，法定节假日除外）。</w:t>
      </w:r>
    </w:p>
    <w:p>
      <w:pPr>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2.方式：本次采购文件通过电子邮件形式获取，供应商获取时须提供：针对本项目的授权委托书、</w:t>
      </w:r>
      <w:r>
        <w:rPr>
          <w:rFonts w:hint="eastAsia" w:ascii="宋体" w:hAnsi="宋体" w:eastAsia="宋体" w:cs="宋体"/>
          <w:color w:val="auto"/>
          <w:sz w:val="24"/>
          <w:szCs w:val="24"/>
          <w:highlight w:val="none"/>
          <w:lang w:val="en-US" w:eastAsia="zh-CN"/>
        </w:rPr>
        <w:t>邀请函回执单</w:t>
      </w:r>
      <w:r>
        <w:rPr>
          <w:rFonts w:hint="eastAsia" w:ascii="宋体" w:hAnsi="宋体" w:eastAsia="宋体" w:cs="宋体"/>
          <w:color w:val="auto"/>
          <w:sz w:val="24"/>
          <w:szCs w:val="24"/>
          <w:lang w:val="en-US" w:eastAsia="zh-CN"/>
        </w:rPr>
        <w:t>、法人（授权人）和被授权人身份证扫描件并加盖公章。邮箱：</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"mailto:zzgjzbdl@163.com。"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zzgjzbdl@163.com。</w:t>
      </w:r>
      <w:r>
        <w:rPr>
          <w:rFonts w:hint="eastAsia" w:ascii="宋体" w:hAnsi="宋体" w:eastAsia="宋体" w:cs="宋体"/>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、投标截止时间及地点、开标时间及地点</w:t>
      </w:r>
    </w:p>
    <w:p>
      <w:pPr>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.时</w:t>
      </w:r>
      <w:r>
        <w:rPr>
          <w:rFonts w:hint="eastAsia" w:ascii="宋体" w:hAnsi="宋体" w:eastAsia="宋体" w:cs="宋体"/>
          <w:color w:val="auto"/>
          <w:sz w:val="24"/>
          <w:szCs w:val="24"/>
          <w:highlight w:val="none"/>
          <w:lang w:val="en-US" w:eastAsia="zh-CN"/>
        </w:rPr>
        <w:t>间：2023年</w:t>
      </w:r>
      <w:r>
        <w:rPr>
          <w:rFonts w:hint="eastAsia" w:cs="宋体"/>
          <w:sz w:val="24"/>
          <w:szCs w:val="24"/>
          <w:highlight w:val="none"/>
          <w:lang w:val="en-US" w:eastAsia="zh-CN"/>
        </w:rPr>
        <w:t>10</w:t>
      </w:r>
      <w:r>
        <w:rPr>
          <w:rFonts w:hint="eastAsia" w:ascii="宋体" w:hAnsi="宋体" w:eastAsia="宋体" w:cs="宋体"/>
          <w:sz w:val="24"/>
          <w:szCs w:val="24"/>
          <w:highlight w:val="none"/>
          <w:lang w:val="en-US" w:eastAsia="zh-CN"/>
        </w:rPr>
        <w:t>月</w:t>
      </w:r>
      <w:r>
        <w:rPr>
          <w:rFonts w:hint="eastAsia" w:cs="宋体"/>
          <w:sz w:val="24"/>
          <w:szCs w:val="24"/>
          <w:highlight w:val="none"/>
          <w:lang w:val="en-US" w:eastAsia="zh-CN"/>
        </w:rPr>
        <w:t>23</w:t>
      </w:r>
      <w:r>
        <w:rPr>
          <w:rFonts w:hint="eastAsia" w:ascii="宋体" w:hAnsi="宋体" w:eastAsia="宋体" w:cs="宋体"/>
          <w:sz w:val="24"/>
          <w:szCs w:val="24"/>
          <w:highlight w:val="none"/>
          <w:lang w:val="en-US" w:eastAsia="zh-CN"/>
        </w:rPr>
        <w:t>日</w:t>
      </w:r>
      <w:r>
        <w:rPr>
          <w:rFonts w:hint="eastAsia" w:cs="宋体"/>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时</w:t>
      </w:r>
      <w:r>
        <w:rPr>
          <w:rFonts w:hint="eastAsia" w:cs="宋体"/>
          <w:color w:val="auto"/>
          <w:sz w:val="24"/>
          <w:szCs w:val="24"/>
          <w:highlight w:val="none"/>
          <w:lang w:val="en-US" w:eastAsia="zh-CN"/>
        </w:rPr>
        <w:t>00</w:t>
      </w:r>
      <w:r>
        <w:rPr>
          <w:rFonts w:hint="eastAsia" w:ascii="宋体" w:hAnsi="宋体" w:eastAsia="宋体" w:cs="宋体"/>
          <w:color w:val="auto"/>
          <w:sz w:val="24"/>
          <w:szCs w:val="24"/>
          <w:highlight w:val="none"/>
          <w:lang w:val="en-US" w:eastAsia="zh-CN"/>
        </w:rPr>
        <w:t>分（北京时间）</w:t>
      </w:r>
    </w:p>
    <w:p>
      <w:pPr>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.地点：洛阳市洛龙区开元大道262号大曌国际广场二期商铺7-111号（洛阳理工学院东门对面）。</w:t>
      </w:r>
    </w:p>
    <w:p>
      <w:pPr>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五</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开标时间及地点</w:t>
      </w:r>
    </w:p>
    <w:p>
      <w:pPr>
        <w:pStyle w:val="224"/>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1.时间：同投标截止时间</w:t>
      </w:r>
    </w:p>
    <w:p>
      <w:pPr>
        <w:pStyle w:val="224"/>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kern w:val="0"/>
          <w:sz w:val="24"/>
          <w:szCs w:val="24"/>
          <w:lang w:val="en-US" w:eastAsia="zh-CN" w:bidi="ar-SA"/>
        </w:rPr>
      </w:pPr>
      <w:bookmarkStart w:id="8" w:name="_Toc29681"/>
      <w:r>
        <w:rPr>
          <w:rFonts w:hint="eastAsia" w:ascii="宋体" w:hAnsi="宋体" w:eastAsia="宋体" w:cs="宋体"/>
          <w:kern w:val="0"/>
          <w:sz w:val="24"/>
          <w:szCs w:val="24"/>
          <w:lang w:val="en-US" w:eastAsia="zh-CN" w:bidi="ar-SA"/>
        </w:rPr>
        <w:t>2.地点：洛阳市洛龙区开元大道262号大曌国际广场二期商铺7-111号（洛阳理工学院东门对面）。</w:t>
      </w:r>
      <w:bookmarkEnd w:id="8"/>
    </w:p>
    <w:p>
      <w:pPr>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其他补充事宜</w:t>
      </w:r>
    </w:p>
    <w:p>
      <w:pPr>
        <w:pStyle w:val="2"/>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1.拟定单一来源供应商名称及地址</w:t>
      </w:r>
    </w:p>
    <w:p>
      <w:pPr>
        <w:pStyle w:val="2"/>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1.1供应商名称：人民网股份有限公司河南分公司</w:t>
      </w:r>
    </w:p>
    <w:p>
      <w:pPr>
        <w:pStyle w:val="2"/>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1.2供应商地址：郑州市金水区玉凤路226号</w:t>
      </w:r>
    </w:p>
    <w:p>
      <w:pPr>
        <w:pStyle w:val="2"/>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2.本项目采购代理服务费由成交供应商向本代理机构支付。</w:t>
      </w:r>
    </w:p>
    <w:p>
      <w:pPr>
        <w:pStyle w:val="2"/>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3.监督部门及电话：洛阳市财政局政府采购监督管理科、0379-63221264。</w:t>
      </w:r>
    </w:p>
    <w:p>
      <w:pPr>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七、凡是对本次招标提出询问，请按照以下方式联系</w:t>
      </w:r>
    </w:p>
    <w:p>
      <w:pPr>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采购人名称、地址、联系人和电话：</w:t>
      </w:r>
    </w:p>
    <w:p>
      <w:pPr>
        <w:pStyle w:val="224"/>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名  称：中国共产党洛阳市委员会宣传部</w:t>
      </w:r>
    </w:p>
    <w:p>
      <w:pPr>
        <w:pStyle w:val="224"/>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  址：洛阳市洛龙区开元大道228号</w:t>
      </w:r>
    </w:p>
    <w:p>
      <w:pPr>
        <w:pStyle w:val="224"/>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联系人：李女士</w:t>
      </w:r>
    </w:p>
    <w:p>
      <w:pPr>
        <w:pStyle w:val="224"/>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电  话：0379-63333972 </w:t>
      </w:r>
    </w:p>
    <w:p>
      <w:pPr>
        <w:pStyle w:val="224"/>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2.采购代理机构名称、地址、联系人和电话：</w:t>
      </w:r>
    </w:p>
    <w:p>
      <w:pPr>
        <w:pStyle w:val="224"/>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名  称：中资国际工程咨询集团有限责任公司</w:t>
      </w:r>
    </w:p>
    <w:p>
      <w:pPr>
        <w:pStyle w:val="224"/>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  址：洛阳市洛龙区开元大道262号大曌国际广场二期商铺7-111号</w:t>
      </w:r>
    </w:p>
    <w:p>
      <w:pPr>
        <w:pStyle w:val="224"/>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联系人：李烽林</w:t>
      </w:r>
    </w:p>
    <w:p>
      <w:pPr>
        <w:pStyle w:val="224"/>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电  话：0379-80887951、80887952</w:t>
      </w:r>
    </w:p>
    <w:p>
      <w:pPr>
        <w:pStyle w:val="224"/>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邮  箱：zzgjzbdl@163.com</w:t>
      </w:r>
    </w:p>
    <w:p>
      <w:pPr>
        <w:pStyle w:val="224"/>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3.项目联系方式</w:t>
      </w:r>
    </w:p>
    <w:p>
      <w:pPr>
        <w:pStyle w:val="224"/>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项目联系人：李烽林</w:t>
      </w:r>
    </w:p>
    <w:p>
      <w:pPr>
        <w:pStyle w:val="224"/>
        <w:keepNext w:val="0"/>
        <w:keepLines w:val="0"/>
        <w:pageBreakBefore w:val="0"/>
        <w:widowControl w:val="0"/>
        <w:kinsoku/>
        <w:wordWrap/>
        <w:overflowPunct/>
        <w:topLinePunct w:val="0"/>
        <w:autoSpaceDE/>
        <w:autoSpaceDN/>
        <w:bidi w:val="0"/>
        <w:adjustRightInd/>
        <w:snapToGrid/>
        <w:spacing w:line="288" w:lineRule="auto"/>
        <w:ind w:firstLine="418"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联系方式：0379-80887951、80887952</w:t>
      </w:r>
    </w:p>
    <w:p>
      <w:pPr>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中资国际工程咨询集团有限责任公司</w:t>
      </w:r>
    </w:p>
    <w:p>
      <w:pPr>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2023年</w:t>
      </w:r>
      <w:r>
        <w:rPr>
          <w:rFonts w:hint="eastAsia" w:cs="宋体"/>
          <w:sz w:val="24"/>
          <w:szCs w:val="24"/>
          <w:highlight w:val="none"/>
          <w:lang w:val="en-US" w:eastAsia="zh-CN"/>
        </w:rPr>
        <w:t>10</w:t>
      </w:r>
      <w:r>
        <w:rPr>
          <w:rFonts w:hint="eastAsia" w:ascii="宋体" w:hAnsi="宋体" w:eastAsia="宋体" w:cs="宋体"/>
          <w:sz w:val="24"/>
          <w:szCs w:val="24"/>
          <w:highlight w:val="none"/>
          <w:lang w:val="en-US" w:eastAsia="zh-CN"/>
        </w:rPr>
        <w:t>月</w:t>
      </w:r>
      <w:r>
        <w:rPr>
          <w:rFonts w:hint="eastAsia" w:cs="宋体"/>
          <w:sz w:val="24"/>
          <w:szCs w:val="24"/>
          <w:highlight w:val="none"/>
          <w:lang w:val="en-US" w:eastAsia="zh-CN"/>
        </w:rPr>
        <w:t>19</w:t>
      </w:r>
      <w:r>
        <w:rPr>
          <w:rFonts w:hint="eastAsia" w:ascii="宋体" w:hAnsi="宋体" w:eastAsia="宋体" w:cs="宋体"/>
          <w:sz w:val="24"/>
          <w:szCs w:val="24"/>
          <w:highlight w:val="none"/>
        </w:rPr>
        <w:t>日</w:t>
      </w:r>
    </w:p>
    <w:bookmarkEnd w:id="6"/>
    <w:bookmarkEnd w:id="7"/>
    <w:p>
      <w:pPr>
        <w:pStyle w:val="156"/>
        <w:jc w:val="right"/>
        <w:rPr>
          <w:rFonts w:hint="eastAsia" w:ascii="宋体" w:hAnsi="宋体" w:eastAsia="宋体" w:cs="宋体"/>
          <w:color w:val="auto"/>
          <w:spacing w:val="14"/>
          <w:sz w:val="24"/>
          <w:szCs w:val="24"/>
          <w:lang w:eastAsia="zh-CN"/>
        </w:rPr>
        <w:sectPr>
          <w:headerReference r:id="rId3" w:type="default"/>
          <w:footerReference r:id="rId4" w:type="default"/>
          <w:pgSz w:w="11906" w:h="16838"/>
          <w:pgMar w:top="1418" w:right="1247" w:bottom="1418" w:left="1418" w:header="680" w:footer="680" w:gutter="0"/>
          <w:cols w:space="720" w:num="1"/>
          <w:docGrid w:type="linesAndChars" w:linePitch="451" w:charSpace="-6394"/>
        </w:sectPr>
      </w:pPr>
    </w:p>
    <w:p>
      <w:pPr>
        <w:pStyle w:val="156"/>
        <w:ind w:firstLine="0"/>
        <w:rPr>
          <w:rFonts w:hint="eastAsia" w:ascii="宋体" w:hAnsi="宋体" w:eastAsia="宋体" w:cs="宋体"/>
          <w:color w:val="auto"/>
          <w:spacing w:val="14"/>
          <w:szCs w:val="21"/>
          <w:lang w:eastAsia="zh-CN"/>
        </w:rPr>
      </w:pPr>
    </w:p>
    <w:p>
      <w:pPr>
        <w:pStyle w:val="58"/>
        <w:rPr>
          <w:rFonts w:hint="eastAsia" w:ascii="宋体" w:hAnsi="宋体" w:eastAsia="宋体" w:cs="宋体"/>
          <w:color w:val="auto"/>
          <w:spacing w:val="14"/>
          <w:lang w:eastAsia="zh-CN"/>
        </w:rPr>
      </w:pPr>
      <w:bookmarkStart w:id="9" w:name="_Toc504741947"/>
      <w:bookmarkStart w:id="10" w:name="_Toc1662498"/>
      <w:bookmarkStart w:id="11" w:name="_Toc22297"/>
      <w:bookmarkStart w:id="12" w:name="_Toc2960"/>
      <w:bookmarkStart w:id="13" w:name="_Toc3361"/>
      <w:r>
        <w:rPr>
          <w:rFonts w:hint="eastAsia" w:ascii="宋体" w:hAnsi="宋体" w:eastAsia="宋体" w:cs="宋体"/>
          <w:color w:val="auto"/>
          <w:spacing w:val="14"/>
          <w:lang w:eastAsia="zh-CN"/>
        </w:rPr>
        <w:t>第二章</w:t>
      </w:r>
      <w:r>
        <w:rPr>
          <w:rFonts w:hint="eastAsia" w:ascii="宋体" w:hAnsi="宋体" w:eastAsia="宋体" w:cs="宋体"/>
          <w:color w:val="auto"/>
          <w:spacing w:val="14"/>
          <w:lang w:val="en-US" w:eastAsia="zh-CN"/>
        </w:rPr>
        <w:t xml:space="preserve"> </w:t>
      </w:r>
      <w:r>
        <w:rPr>
          <w:rFonts w:hint="eastAsia" w:ascii="宋体" w:hAnsi="宋体" w:eastAsia="宋体" w:cs="宋体"/>
          <w:color w:val="auto"/>
          <w:spacing w:val="14"/>
          <w:lang w:eastAsia="zh-CN"/>
        </w:rPr>
        <w:t>供应商须知</w:t>
      </w:r>
      <w:bookmarkEnd w:id="9"/>
      <w:bookmarkEnd w:id="10"/>
      <w:bookmarkEnd w:id="11"/>
      <w:bookmarkEnd w:id="12"/>
      <w:bookmarkEnd w:id="13"/>
    </w:p>
    <w:p>
      <w:pPr>
        <w:pStyle w:val="156"/>
        <w:jc w:val="center"/>
        <w:rPr>
          <w:rFonts w:hint="eastAsia" w:ascii="宋体" w:hAnsi="宋体" w:eastAsia="宋体" w:cs="宋体"/>
          <w:b/>
          <w:color w:val="auto"/>
          <w:spacing w:val="14"/>
          <w:sz w:val="28"/>
          <w:szCs w:val="28"/>
          <w:lang w:eastAsia="zh-CN"/>
        </w:rPr>
      </w:pPr>
      <w:r>
        <w:rPr>
          <w:rFonts w:hint="eastAsia" w:ascii="宋体" w:hAnsi="宋体" w:eastAsia="宋体" w:cs="宋体"/>
          <w:b/>
          <w:color w:val="auto"/>
          <w:spacing w:val="14"/>
          <w:sz w:val="28"/>
          <w:szCs w:val="28"/>
          <w:lang w:eastAsia="zh-CN"/>
        </w:rPr>
        <w:t>供应商</w:t>
      </w:r>
      <w:r>
        <w:rPr>
          <w:rFonts w:hint="eastAsia" w:ascii="宋体" w:hAnsi="宋体" w:eastAsia="宋体" w:cs="宋体"/>
          <w:b/>
          <w:color w:val="auto"/>
          <w:spacing w:val="14"/>
          <w:sz w:val="28"/>
          <w:szCs w:val="28"/>
        </w:rPr>
        <w:t>须知前附表</w:t>
      </w:r>
    </w:p>
    <w:tbl>
      <w:tblPr>
        <w:tblStyle w:val="6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2665"/>
        <w:gridCol w:w="5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条款号</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名 称</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1.1.2</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采购人</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jc w:val="left"/>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名称：中国共产党洛阳市委员会宣传部</w:t>
            </w:r>
          </w:p>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jc w:val="left"/>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地址：洛阳市洛龙区开元大道228号</w:t>
            </w:r>
          </w:p>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jc w:val="left"/>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联系人：李女士</w:t>
            </w:r>
          </w:p>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jc w:val="left"/>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联系电话：0379-63333972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1.1.3</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u w:val="none" w:color="auto"/>
                <w:lang w:eastAsia="zh-CN"/>
              </w:rPr>
            </w:pPr>
            <w:r>
              <w:rPr>
                <w:rFonts w:hint="eastAsia" w:ascii="宋体" w:hAnsi="宋体" w:eastAsia="宋体" w:cs="宋体"/>
                <w:color w:val="auto"/>
                <w:spacing w:val="14"/>
                <w:sz w:val="24"/>
                <w:szCs w:val="24"/>
                <w:u w:val="none" w:color="auto"/>
                <w:lang w:eastAsia="zh-CN"/>
              </w:rPr>
              <w:t>采购代理机构</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u w:val="none" w:color="auto"/>
                <w:lang w:eastAsia="zh-CN"/>
              </w:rPr>
            </w:pPr>
            <w:r>
              <w:rPr>
                <w:rFonts w:hint="eastAsia" w:ascii="宋体" w:hAnsi="宋体" w:eastAsia="宋体" w:cs="宋体"/>
                <w:color w:val="auto"/>
                <w:spacing w:val="14"/>
                <w:sz w:val="24"/>
                <w:szCs w:val="24"/>
                <w:u w:val="none" w:color="auto"/>
                <w:lang w:eastAsia="zh-CN"/>
              </w:rPr>
              <w:t xml:space="preserve">名称：中资国际工程咨询集团有限责任公司 </w:t>
            </w:r>
          </w:p>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u w:val="none" w:color="auto"/>
                <w:lang w:eastAsia="zh-CN"/>
              </w:rPr>
            </w:pPr>
            <w:r>
              <w:rPr>
                <w:rFonts w:hint="eastAsia" w:ascii="宋体" w:hAnsi="宋体" w:eastAsia="宋体" w:cs="宋体"/>
                <w:color w:val="auto"/>
                <w:spacing w:val="14"/>
                <w:sz w:val="24"/>
                <w:szCs w:val="24"/>
                <w:u w:val="none" w:color="auto"/>
                <w:lang w:eastAsia="zh-CN"/>
              </w:rPr>
              <w:t>地址：洛阳市洛龙区开元大道262号大曌国际广场二期商铺7-111号</w:t>
            </w:r>
          </w:p>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u w:val="none" w:color="auto"/>
                <w:lang w:val="en-US" w:eastAsia="zh-CN"/>
              </w:rPr>
            </w:pPr>
            <w:r>
              <w:rPr>
                <w:rFonts w:hint="eastAsia" w:ascii="宋体" w:hAnsi="宋体" w:eastAsia="宋体" w:cs="宋体"/>
                <w:color w:val="auto"/>
                <w:spacing w:val="14"/>
                <w:sz w:val="24"/>
                <w:szCs w:val="24"/>
                <w:u w:val="none" w:color="auto"/>
                <w:lang w:eastAsia="zh-CN"/>
              </w:rPr>
              <w:t>联系人：李烽林</w:t>
            </w:r>
          </w:p>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u w:val="none" w:color="auto"/>
                <w:lang w:eastAsia="zh-CN"/>
              </w:rPr>
            </w:pPr>
            <w:r>
              <w:rPr>
                <w:rFonts w:hint="eastAsia" w:ascii="宋体" w:hAnsi="宋体" w:eastAsia="宋体" w:cs="宋体"/>
                <w:color w:val="auto"/>
                <w:spacing w:val="14"/>
                <w:sz w:val="24"/>
                <w:szCs w:val="24"/>
                <w:u w:val="none" w:color="auto"/>
                <w:lang w:eastAsia="zh-CN"/>
              </w:rPr>
              <w:t xml:space="preserve">电话：0379-80887951、80887952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1.1.4</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u w:val="none" w:color="auto"/>
                <w:lang w:eastAsia="zh-CN"/>
              </w:rPr>
            </w:pPr>
            <w:r>
              <w:rPr>
                <w:rFonts w:hint="eastAsia" w:ascii="宋体" w:hAnsi="宋体" w:eastAsia="宋体" w:cs="宋体"/>
                <w:color w:val="auto"/>
                <w:spacing w:val="14"/>
                <w:sz w:val="24"/>
                <w:szCs w:val="24"/>
                <w:u w:val="none" w:color="auto"/>
                <w:lang w:eastAsia="zh-CN"/>
              </w:rPr>
              <w:t>采购项目名称</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u w:val="none" w:color="auto"/>
                <w:lang w:eastAsia="zh-CN"/>
              </w:rPr>
            </w:pPr>
            <w:r>
              <w:rPr>
                <w:rFonts w:hint="eastAsia" w:ascii="宋体" w:hAnsi="宋体" w:eastAsia="宋体" w:cs="宋体"/>
                <w:color w:val="auto"/>
                <w:spacing w:val="14"/>
                <w:sz w:val="24"/>
                <w:szCs w:val="24"/>
                <w:u w:val="none" w:color="auto"/>
                <w:lang w:val="en-US" w:eastAsia="zh-CN"/>
              </w:rPr>
              <w:t>中国共产党洛阳市委员会宣传部人民日报人民网河南分公司宣传项目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1.1.5</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落实政府采购政策要求</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000000"/>
                <w:spacing w:val="14"/>
                <w:sz w:val="24"/>
                <w:szCs w:val="24"/>
              </w:rPr>
            </w:pPr>
            <w:r>
              <w:rPr>
                <w:rFonts w:hint="eastAsia" w:ascii="宋体" w:hAnsi="宋体" w:eastAsia="宋体" w:cs="宋体"/>
                <w:color w:val="000000"/>
                <w:spacing w:val="14"/>
                <w:sz w:val="24"/>
                <w:szCs w:val="24"/>
                <w:u w:val="none" w:color="auto"/>
                <w:lang w:val="en-US" w:eastAsia="zh-CN"/>
              </w:rPr>
              <w:t>支持中小企业采购。根据《政府采购促进中小企业发展管理办法》(财库〔2020〕46号)规定，本项目属于该办法第六条第</w:t>
            </w:r>
            <w:r>
              <w:rPr>
                <w:rFonts w:hint="eastAsia" w:ascii="宋体" w:hAnsi="宋体" w:eastAsia="宋体" w:cs="宋体"/>
                <w:color w:val="000000"/>
                <w:spacing w:val="14"/>
                <w:sz w:val="24"/>
                <w:szCs w:val="24"/>
                <w:u w:val="single" w:color="auto"/>
                <w:lang w:val="en-US" w:eastAsia="zh-CN"/>
              </w:rPr>
              <w:t>（二）</w:t>
            </w:r>
            <w:r>
              <w:rPr>
                <w:rFonts w:hint="eastAsia" w:ascii="宋体" w:hAnsi="宋体" w:eastAsia="宋体" w:cs="宋体"/>
                <w:color w:val="000000"/>
                <w:spacing w:val="14"/>
                <w:sz w:val="24"/>
                <w:szCs w:val="24"/>
                <w:u w:val="none" w:color="auto"/>
                <w:lang w:val="en-US" w:eastAsia="zh-CN"/>
              </w:rPr>
              <w:t>款规定情形，不专门面向中小企业采购，对符合该办法规定的小微企业报价给予</w:t>
            </w:r>
            <w:r>
              <w:rPr>
                <w:rFonts w:hint="eastAsia" w:ascii="宋体" w:hAnsi="宋体" w:eastAsia="宋体" w:cs="宋体"/>
                <w:color w:val="000000"/>
                <w:spacing w:val="14"/>
                <w:sz w:val="24"/>
                <w:szCs w:val="24"/>
                <w:u w:val="single" w:color="auto"/>
                <w:lang w:val="en-US" w:eastAsia="zh-CN"/>
              </w:rPr>
              <w:t xml:space="preserve"> 20 </w:t>
            </w:r>
            <w:r>
              <w:rPr>
                <w:rFonts w:hint="eastAsia" w:ascii="宋体" w:hAnsi="宋体" w:eastAsia="宋体" w:cs="宋体"/>
                <w:color w:val="000000"/>
                <w:spacing w:val="14"/>
                <w:sz w:val="24"/>
                <w:szCs w:val="24"/>
                <w:u w:val="none" w:color="auto"/>
                <w:lang w:val="en-US" w:eastAsia="zh-CN"/>
              </w:rPr>
              <w:t>%的扣除，用扣除后的价格参加评审。监狱企业、残疾人福利性单位视同小型、微型企业。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000000"/>
                <w:spacing w:val="14"/>
                <w:sz w:val="24"/>
                <w:szCs w:val="24"/>
                <w:highlight w:val="none"/>
                <w:lang w:eastAsia="zh-CN"/>
              </w:rPr>
            </w:pPr>
            <w:r>
              <w:rPr>
                <w:rFonts w:hint="eastAsia" w:ascii="宋体" w:hAnsi="宋体" w:eastAsia="宋体" w:cs="宋体"/>
                <w:color w:val="000000"/>
                <w:spacing w:val="14"/>
                <w:sz w:val="24"/>
                <w:szCs w:val="24"/>
                <w:highlight w:val="none"/>
                <w:lang w:eastAsia="zh-CN"/>
              </w:rPr>
              <w:t>1.1.</w:t>
            </w:r>
            <w:r>
              <w:rPr>
                <w:rFonts w:hint="eastAsia" w:ascii="宋体" w:hAnsi="宋体" w:eastAsia="宋体" w:cs="宋体"/>
                <w:color w:val="000000"/>
                <w:spacing w:val="14"/>
                <w:sz w:val="24"/>
                <w:szCs w:val="24"/>
                <w:highlight w:val="none"/>
                <w:lang w:val="en-US" w:eastAsia="zh-CN"/>
              </w:rPr>
              <w:t>6</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000000"/>
                <w:spacing w:val="14"/>
                <w:sz w:val="24"/>
                <w:szCs w:val="24"/>
                <w:highlight w:val="none"/>
              </w:rPr>
            </w:pPr>
            <w:r>
              <w:rPr>
                <w:rFonts w:hint="eastAsia" w:ascii="宋体" w:hAnsi="宋体" w:eastAsia="宋体" w:cs="宋体"/>
                <w:color w:val="000000"/>
                <w:spacing w:val="14"/>
                <w:sz w:val="24"/>
                <w:szCs w:val="24"/>
                <w:highlight w:val="none"/>
                <w:lang w:eastAsia="zh-CN"/>
              </w:rPr>
              <w:t>采购</w:t>
            </w:r>
            <w:r>
              <w:rPr>
                <w:rFonts w:hint="eastAsia" w:ascii="宋体" w:hAnsi="宋体" w:eastAsia="宋体" w:cs="宋体"/>
                <w:color w:val="000000"/>
                <w:spacing w:val="14"/>
                <w:sz w:val="24"/>
                <w:szCs w:val="24"/>
                <w:highlight w:val="none"/>
              </w:rPr>
              <w:t>编号</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000000"/>
                <w:spacing w:val="14"/>
                <w:sz w:val="24"/>
                <w:szCs w:val="24"/>
                <w:highlight w:val="none"/>
                <w:u w:val="none" w:color="auto"/>
                <w:lang w:val="en-US" w:eastAsia="zh-CN"/>
              </w:rPr>
            </w:pPr>
            <w:r>
              <w:rPr>
                <w:rFonts w:hint="eastAsia" w:ascii="宋体" w:hAnsi="宋体" w:eastAsia="宋体" w:cs="宋体"/>
                <w:color w:val="000000"/>
                <w:spacing w:val="14"/>
                <w:sz w:val="24"/>
                <w:szCs w:val="24"/>
                <w:highlight w:val="none"/>
                <w:u w:val="none" w:color="auto"/>
                <w:lang w:val="en-US" w:eastAsia="zh-CN"/>
              </w:rPr>
              <w:t>洛采单一-2023-28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1.1.</w:t>
            </w:r>
            <w:r>
              <w:rPr>
                <w:rFonts w:hint="eastAsia" w:ascii="宋体" w:hAnsi="宋体" w:eastAsia="宋体" w:cs="宋体"/>
                <w:color w:val="auto"/>
                <w:spacing w:val="14"/>
                <w:sz w:val="24"/>
                <w:szCs w:val="24"/>
                <w:lang w:val="en-US" w:eastAsia="zh-CN"/>
              </w:rPr>
              <w:t>7</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包划分</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000000"/>
                <w:spacing w:val="14"/>
                <w:sz w:val="24"/>
                <w:szCs w:val="24"/>
              </w:rPr>
            </w:pPr>
            <w:r>
              <w:rPr>
                <w:rFonts w:hint="eastAsia" w:ascii="宋体" w:hAnsi="宋体" w:eastAsia="宋体" w:cs="宋体"/>
                <w:color w:val="000000"/>
                <w:spacing w:val="14"/>
                <w:sz w:val="24"/>
                <w:szCs w:val="24"/>
              </w:rPr>
              <w:t>本次采购共一个包。</w:t>
            </w:r>
          </w:p>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000000"/>
                <w:spacing w:val="14"/>
                <w:sz w:val="24"/>
                <w:szCs w:val="24"/>
              </w:rPr>
            </w:pPr>
            <w:r>
              <w:rPr>
                <w:rFonts w:hint="eastAsia" w:ascii="宋体" w:hAnsi="宋体" w:eastAsia="宋体" w:cs="宋体"/>
                <w:color w:val="000000"/>
                <w:spacing w:val="14"/>
                <w:sz w:val="24"/>
                <w:szCs w:val="24"/>
              </w:rPr>
              <w:t>供应商应就该项目进行完整响应，不得将一个包拆开响应，否则将不被接受。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1.2.1</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资金来源</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000000"/>
                <w:spacing w:val="14"/>
                <w:sz w:val="24"/>
                <w:szCs w:val="24"/>
                <w:u w:val="single" w:color="000000"/>
              </w:rPr>
            </w:pPr>
            <w:r>
              <w:rPr>
                <w:rFonts w:hint="eastAsia" w:ascii="宋体" w:hAnsi="宋体" w:eastAsia="宋体" w:cs="宋体"/>
                <w:color w:val="000000"/>
                <w:spacing w:val="14"/>
                <w:sz w:val="24"/>
                <w:szCs w:val="24"/>
                <w:u w:val="none" w:color="auto"/>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1.2.2</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highlight w:val="none"/>
                <w:u w:val="none" w:color="auto"/>
              </w:rPr>
            </w:pPr>
            <w:r>
              <w:rPr>
                <w:rFonts w:hint="eastAsia" w:ascii="宋体" w:hAnsi="宋体" w:eastAsia="宋体" w:cs="宋体"/>
                <w:color w:val="000000"/>
                <w:spacing w:val="14"/>
                <w:sz w:val="24"/>
                <w:szCs w:val="24"/>
                <w:highlight w:val="none"/>
                <w:u w:val="none" w:color="auto"/>
              </w:rPr>
              <w:t>付款方式</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000000"/>
                <w:spacing w:val="14"/>
                <w:sz w:val="24"/>
                <w:szCs w:val="24"/>
                <w:highlight w:val="none"/>
                <w:u w:val="none" w:color="auto"/>
                <w:lang w:eastAsia="zh-CN"/>
              </w:rPr>
            </w:pPr>
            <w:r>
              <w:rPr>
                <w:rFonts w:hint="eastAsia" w:ascii="宋体" w:hAnsi="宋体" w:eastAsia="宋体" w:cs="宋体"/>
                <w:color w:val="000000"/>
                <w:spacing w:val="14"/>
                <w:sz w:val="24"/>
                <w:szCs w:val="24"/>
                <w:highlight w:val="none"/>
                <w:u w:val="none" w:color="auto"/>
                <w:lang w:eastAsia="zh-CN"/>
              </w:rPr>
              <w:t>由采购人付款，成交供应商开具正规发票后，待市财政局拨款到采购人账户30日内付款。不接受该付款方式的响应将不接受。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1.3.1</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合同履行期限</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highlight w:val="none"/>
                <w:u w:val="none"/>
                <w:lang w:val="en-US" w:eastAsia="zh-CN"/>
              </w:rPr>
            </w:pPr>
            <w:r>
              <w:rPr>
                <w:rFonts w:hint="eastAsia" w:ascii="宋体" w:hAnsi="宋体" w:eastAsia="宋体" w:cs="宋体"/>
                <w:color w:val="auto"/>
                <w:spacing w:val="14"/>
                <w:sz w:val="24"/>
                <w:szCs w:val="24"/>
                <w:highlight w:val="none"/>
                <w:u w:val="none"/>
                <w:lang w:val="en-US" w:eastAsia="zh-CN"/>
              </w:rPr>
              <w:t>合同签订之日起至宣传结束。在政策允许及年度预算有保障的前提下，根据服务质量评价情况由采购人决定是否续签合同。通过一年一续签方式与成交供应商签订合同，期限总长不得超过三年。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rPr>
              <w:t>1.3.</w:t>
            </w:r>
            <w:r>
              <w:rPr>
                <w:rFonts w:hint="eastAsia" w:ascii="宋体" w:hAnsi="宋体" w:eastAsia="宋体" w:cs="宋体"/>
                <w:color w:val="auto"/>
                <w:spacing w:val="14"/>
                <w:sz w:val="24"/>
                <w:szCs w:val="24"/>
                <w:lang w:val="en-US" w:eastAsia="zh-CN"/>
              </w:rPr>
              <w:t>2</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jc w:val="left"/>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履约验收</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jc w:val="left"/>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采购人根据国家有关规定、</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文件、成交供应商的响应文件以及合同约定的内容和验收标准进行验收。验收情况作为支付</w:t>
            </w:r>
            <w:r>
              <w:rPr>
                <w:rFonts w:hint="eastAsia" w:ascii="宋体" w:hAnsi="宋体" w:eastAsia="宋体" w:cs="宋体"/>
                <w:color w:val="auto"/>
                <w:spacing w:val="14"/>
                <w:sz w:val="24"/>
                <w:szCs w:val="24"/>
                <w:lang w:eastAsia="zh-CN"/>
              </w:rPr>
              <w:t>价</w:t>
            </w:r>
            <w:r>
              <w:rPr>
                <w:rFonts w:hint="eastAsia" w:ascii="宋体" w:hAnsi="宋体" w:eastAsia="宋体" w:cs="宋体"/>
                <w:color w:val="auto"/>
                <w:spacing w:val="14"/>
                <w:sz w:val="24"/>
                <w:szCs w:val="24"/>
              </w:rPr>
              <w:t>款的依据。如有异议，以相关质量技术检验检测机构的检验结果为准，如产生检验检测费用，则该费用由过失方承担。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1.4.1</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供应商</w:t>
            </w:r>
            <w:r>
              <w:rPr>
                <w:rFonts w:hint="eastAsia" w:ascii="宋体" w:hAnsi="宋体" w:eastAsia="宋体" w:cs="宋体"/>
                <w:color w:val="auto"/>
                <w:spacing w:val="14"/>
                <w:sz w:val="24"/>
                <w:szCs w:val="24"/>
              </w:rPr>
              <w:t>资格要求</w:t>
            </w:r>
          </w:p>
        </w:tc>
        <w:tc>
          <w:tcPr>
            <w:tcW w:w="5297" w:type="dxa"/>
            <w:noWrap w:val="0"/>
            <w:vAlign w:val="center"/>
          </w:tcPr>
          <w:p>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宋体" w:hAnsi="宋体" w:eastAsia="宋体" w:cs="宋体"/>
                <w:spacing w:val="14"/>
                <w:sz w:val="24"/>
                <w:szCs w:val="24"/>
                <w:lang w:val="en-US" w:eastAsia="zh-CN" w:bidi="ar-SA"/>
              </w:rPr>
            </w:pPr>
            <w:r>
              <w:rPr>
                <w:rFonts w:hint="eastAsia" w:ascii="宋体" w:hAnsi="宋体" w:eastAsia="宋体" w:cs="宋体"/>
                <w:spacing w:val="14"/>
                <w:sz w:val="24"/>
                <w:szCs w:val="24"/>
                <w:lang w:val="en-US" w:eastAsia="zh-CN" w:bidi="ar-SA"/>
              </w:rPr>
              <w:t>1.供应商应满足《中华人民共和国政府采购法》第二十二条规定</w:t>
            </w:r>
            <w:r>
              <w:rPr>
                <w:rFonts w:hint="eastAsia" w:ascii="宋体" w:hAnsi="宋体" w:eastAsia="宋体" w:cs="宋体"/>
                <w:b/>
                <w:bCs/>
                <w:spacing w:val="14"/>
                <w:sz w:val="24"/>
                <w:szCs w:val="24"/>
                <w:lang w:val="en-US" w:eastAsia="zh-CN" w:bidi="ar-SA"/>
              </w:rPr>
              <w:t>（在响应文件中附《洛阳市政府采购供应商信用承诺函（资格承诺函）》，采购人有权在签订合同前要求成交供应商提供相关证明材料以核实成交供应商承诺事项的真实性）。</w:t>
            </w:r>
          </w:p>
          <w:p>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宋体" w:hAnsi="宋体" w:eastAsia="宋体" w:cs="宋体"/>
                <w:spacing w:val="14"/>
                <w:sz w:val="24"/>
                <w:szCs w:val="24"/>
                <w:highlight w:val="yellow"/>
                <w:lang w:val="en-US" w:eastAsia="zh-CN" w:bidi="ar-SA"/>
              </w:rPr>
            </w:pPr>
            <w:r>
              <w:rPr>
                <w:rFonts w:hint="eastAsia" w:ascii="宋体" w:hAnsi="宋体" w:eastAsia="宋体" w:cs="宋体"/>
                <w:spacing w:val="14"/>
                <w:sz w:val="24"/>
                <w:szCs w:val="24"/>
                <w:lang w:val="en-US" w:eastAsia="zh-CN" w:bidi="ar-SA"/>
              </w:rPr>
              <w:t>2.落实政府采购</w:t>
            </w:r>
            <w:r>
              <w:rPr>
                <w:rFonts w:hint="eastAsia" w:ascii="宋体" w:hAnsi="宋体" w:eastAsia="宋体" w:cs="宋体"/>
                <w:spacing w:val="14"/>
                <w:sz w:val="24"/>
                <w:szCs w:val="24"/>
                <w:highlight w:val="none"/>
                <w:lang w:val="en-US" w:eastAsia="zh-CN" w:bidi="ar-SA"/>
              </w:rPr>
              <w:t>政策需满足的资格要求：</w:t>
            </w:r>
            <w:r>
              <w:rPr>
                <w:rFonts w:hint="eastAsia" w:ascii="宋体" w:hAnsi="宋体" w:eastAsia="宋体" w:cs="宋体"/>
                <w:spacing w:val="14"/>
                <w:sz w:val="24"/>
                <w:szCs w:val="24"/>
                <w:lang w:val="en-US" w:eastAsia="zh-CN" w:bidi="ar-SA"/>
              </w:rPr>
              <w:t>无。</w:t>
            </w:r>
          </w:p>
          <w:p>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spacing w:val="14"/>
                <w:sz w:val="24"/>
                <w:szCs w:val="24"/>
                <w:lang w:val="en-US" w:eastAsia="zh-CN" w:bidi="ar-SA"/>
              </w:rPr>
              <w:t>3.本项目的特定资格要求：无。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1.4.2</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是否接受联合体</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u w:val="single" w:color="000000"/>
              </w:rPr>
            </w:pPr>
            <w:r>
              <w:rPr>
                <w:rFonts w:hint="eastAsia" w:ascii="宋体" w:hAnsi="宋体" w:eastAsia="宋体" w:cs="宋体"/>
                <w:sz w:val="24"/>
                <w:szCs w:val="24"/>
                <w:highlight w:val="none"/>
              </w:rPr>
              <w:t xml:space="preserve">不接受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1.4.3</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供应商</w:t>
            </w:r>
            <w:r>
              <w:rPr>
                <w:rFonts w:hint="eastAsia" w:ascii="宋体" w:hAnsi="宋体" w:eastAsia="宋体" w:cs="宋体"/>
                <w:color w:val="auto"/>
                <w:spacing w:val="14"/>
                <w:sz w:val="24"/>
                <w:szCs w:val="24"/>
              </w:rPr>
              <w:t>不得存在的其他情形</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1.9.1</w:t>
            </w:r>
          </w:p>
        </w:tc>
        <w:tc>
          <w:tcPr>
            <w:tcW w:w="2665" w:type="dxa"/>
            <w:noWrap w:val="0"/>
            <w:vAlign w:val="center"/>
          </w:tcPr>
          <w:p>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踏勘现场</w:t>
            </w:r>
          </w:p>
        </w:tc>
        <w:tc>
          <w:tcPr>
            <w:tcW w:w="5297" w:type="dxa"/>
            <w:noWrap w:val="0"/>
            <w:vAlign w:val="center"/>
          </w:tcPr>
          <w:p>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pacing w:val="14"/>
                <w:sz w:val="24"/>
                <w:szCs w:val="24"/>
                <w:lang w:val="en-US" w:eastAsia="zh-CN" w:bidi="ar-SA"/>
              </w:rPr>
              <w:t>不组织，供应商在得到采购文件后根据需要自主决定是否到本项目所在地察看现场,以获取有关编制响应文件所需的各种资料，如场地现状、周边环境等因素，按现场实际情况结合投标单位自身经验，将此费用考虑到投标报价中，如有疑问，</w:t>
            </w:r>
            <w:r>
              <w:rPr>
                <w:rFonts w:hint="eastAsia" w:ascii="宋体" w:hAnsi="宋体" w:eastAsia="宋体" w:cs="宋体"/>
                <w:color w:val="auto"/>
                <w:spacing w:val="14"/>
                <w:sz w:val="24"/>
                <w:szCs w:val="24"/>
                <w:highlight w:val="none"/>
                <w:lang w:val="en-US" w:eastAsia="zh-CN" w:bidi="ar-SA"/>
              </w:rPr>
              <w:t>可在</w:t>
            </w:r>
            <w:r>
              <w:rPr>
                <w:rFonts w:hint="eastAsia" w:cs="宋体"/>
                <w:color w:val="auto"/>
                <w:spacing w:val="14"/>
                <w:sz w:val="24"/>
                <w:szCs w:val="24"/>
                <w:highlight w:val="none"/>
                <w:lang w:val="en-US" w:eastAsia="zh-CN" w:bidi="ar-SA"/>
              </w:rPr>
              <w:t>谈判</w:t>
            </w:r>
            <w:r>
              <w:rPr>
                <w:rFonts w:hint="eastAsia" w:ascii="宋体" w:hAnsi="宋体" w:eastAsia="宋体" w:cs="宋体"/>
                <w:color w:val="auto"/>
                <w:spacing w:val="14"/>
                <w:sz w:val="24"/>
                <w:szCs w:val="24"/>
                <w:highlight w:val="none"/>
                <w:lang w:val="en-US" w:eastAsia="zh-CN" w:bidi="ar-SA"/>
              </w:rPr>
              <w:t>前问询采购人或代理机构，一经中标，不</w:t>
            </w:r>
            <w:r>
              <w:rPr>
                <w:rFonts w:hint="eastAsia" w:ascii="宋体" w:hAnsi="宋体" w:eastAsia="宋体" w:cs="宋体"/>
                <w:color w:val="auto"/>
                <w:spacing w:val="14"/>
                <w:sz w:val="24"/>
                <w:szCs w:val="24"/>
                <w:lang w:val="en-US" w:eastAsia="zh-CN" w:bidi="ar-SA"/>
              </w:rPr>
              <w:t>得以不完全了解现场情况为借口，而提出延长合同履行期限和提高预算等要求。供应商应承担现场踏勘的责任、失误和风险，踏勘现场的费用由供应商承担。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1.10.1</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预备会</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left="0" w:leftChars="0" w:firstLine="0" w:firstLineChars="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1.10.2</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供应商</w:t>
            </w:r>
            <w:r>
              <w:rPr>
                <w:rFonts w:hint="eastAsia" w:ascii="宋体" w:hAnsi="宋体" w:eastAsia="宋体" w:cs="宋体"/>
                <w:color w:val="auto"/>
                <w:spacing w:val="14"/>
                <w:sz w:val="24"/>
                <w:szCs w:val="24"/>
              </w:rPr>
              <w:t>在</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预备会前提出问题</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rPr>
              <w:t>时间：</w:t>
            </w:r>
            <w:r>
              <w:rPr>
                <w:rFonts w:hint="eastAsia" w:ascii="宋体" w:hAnsi="宋体" w:eastAsia="宋体" w:cs="宋体"/>
                <w:color w:val="auto"/>
                <w:spacing w:val="14"/>
                <w:sz w:val="24"/>
                <w:szCs w:val="24"/>
                <w:lang w:eastAsia="zh-CN"/>
              </w:rPr>
              <w:t>/</w:t>
            </w:r>
          </w:p>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rPr>
              <w:t>形式：</w:t>
            </w:r>
            <w:r>
              <w:rPr>
                <w:rFonts w:hint="eastAsia" w:ascii="宋体" w:hAnsi="宋体" w:eastAsia="宋体" w:cs="宋体"/>
                <w:color w:val="auto"/>
                <w:spacing w:val="14"/>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1.11.1</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textAlignment w:val="auto"/>
              <w:rPr>
                <w:rFonts w:hint="eastAsia" w:ascii="宋体" w:hAnsi="宋体" w:eastAsia="宋体" w:cs="宋体"/>
                <w:color w:val="auto"/>
                <w:spacing w:val="14"/>
                <w:sz w:val="24"/>
                <w:szCs w:val="24"/>
                <w:highlight w:val="yellow"/>
              </w:rPr>
            </w:pPr>
            <w:r>
              <w:rPr>
                <w:rFonts w:hint="eastAsia" w:ascii="宋体" w:hAnsi="宋体" w:eastAsia="宋体" w:cs="宋体"/>
                <w:color w:val="auto"/>
                <w:spacing w:val="14"/>
                <w:sz w:val="24"/>
                <w:szCs w:val="24"/>
              </w:rPr>
              <w:t>分包</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left="0" w:leftChars="0" w:firstLine="0" w:firstLineChars="0"/>
              <w:textAlignment w:val="auto"/>
              <w:rPr>
                <w:rFonts w:hint="eastAsia" w:ascii="宋体" w:hAnsi="宋体" w:eastAsia="宋体" w:cs="宋体"/>
                <w:color w:val="auto"/>
                <w:spacing w:val="14"/>
                <w:sz w:val="24"/>
                <w:szCs w:val="24"/>
                <w:highlight w:val="yellow"/>
              </w:rPr>
            </w:pPr>
            <w:r>
              <w:rPr>
                <w:rFonts w:hint="eastAsia" w:ascii="宋体" w:hAnsi="宋体" w:eastAsia="宋体" w:cs="宋体"/>
                <w:color w:val="auto"/>
                <w:spacing w:val="14"/>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jc w:val="center"/>
              <w:textAlignment w:val="auto"/>
              <w:rPr>
                <w:rFonts w:hint="eastAsia" w:ascii="宋体" w:hAnsi="宋体" w:eastAsia="宋体" w:cs="宋体"/>
                <w:color w:val="000000"/>
                <w:spacing w:val="14"/>
                <w:sz w:val="24"/>
                <w:szCs w:val="24"/>
                <w:lang w:eastAsia="zh-CN"/>
              </w:rPr>
            </w:pPr>
            <w:r>
              <w:rPr>
                <w:rFonts w:hint="eastAsia" w:ascii="宋体" w:hAnsi="宋体" w:eastAsia="宋体" w:cs="宋体"/>
                <w:color w:val="000000"/>
                <w:spacing w:val="14"/>
                <w:sz w:val="24"/>
                <w:szCs w:val="24"/>
                <w:lang w:eastAsia="zh-CN"/>
              </w:rPr>
              <w:t>1.11.4</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jc w:val="left"/>
              <w:textAlignment w:val="auto"/>
              <w:rPr>
                <w:rFonts w:hint="eastAsia" w:ascii="宋体" w:hAnsi="宋体" w:eastAsia="宋体" w:cs="宋体"/>
                <w:b/>
                <w:color w:val="000000"/>
                <w:spacing w:val="14"/>
                <w:sz w:val="24"/>
                <w:szCs w:val="24"/>
              </w:rPr>
            </w:pPr>
            <w:r>
              <w:rPr>
                <w:rFonts w:hint="eastAsia" w:ascii="宋体" w:hAnsi="宋体" w:eastAsia="宋体" w:cs="宋体"/>
                <w:color w:val="000000"/>
                <w:spacing w:val="14"/>
                <w:sz w:val="24"/>
                <w:szCs w:val="24"/>
              </w:rPr>
              <w:t>偏差</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left"/>
              <w:textAlignment w:val="auto"/>
              <w:rPr>
                <w:rFonts w:hint="eastAsia" w:ascii="宋体" w:hAnsi="宋体" w:eastAsia="宋体" w:cs="宋体"/>
                <w:color w:val="000000"/>
                <w:spacing w:val="14"/>
                <w:sz w:val="24"/>
                <w:szCs w:val="24"/>
              </w:rPr>
            </w:pPr>
            <w:r>
              <w:rPr>
                <w:rFonts w:hint="eastAsia" w:ascii="宋体" w:hAnsi="宋体" w:eastAsia="宋体" w:cs="宋体"/>
                <w:color w:val="000000"/>
                <w:spacing w:val="14"/>
                <w:sz w:val="24"/>
                <w:szCs w:val="24"/>
                <w:lang w:eastAsia="zh-CN"/>
              </w:rPr>
              <w:sym w:font="Wingdings 2" w:char="00A3"/>
            </w:r>
            <w:r>
              <w:rPr>
                <w:rFonts w:hint="eastAsia" w:ascii="宋体" w:hAnsi="宋体" w:eastAsia="宋体" w:cs="宋体"/>
                <w:color w:val="000000"/>
                <w:spacing w:val="14"/>
                <w:sz w:val="24"/>
                <w:szCs w:val="24"/>
              </w:rPr>
              <w:t>不允许</w:t>
            </w:r>
          </w:p>
          <w:p>
            <w:pPr>
              <w:pStyle w:val="156"/>
              <w:keepNext w:val="0"/>
              <w:keepLines w:val="0"/>
              <w:pageBreakBefore w:val="0"/>
              <w:kinsoku/>
              <w:wordWrap/>
              <w:overflowPunct/>
              <w:topLinePunct w:val="0"/>
              <w:autoSpaceDE/>
              <w:autoSpaceDN/>
              <w:bidi w:val="0"/>
              <w:adjustRightInd w:val="0"/>
              <w:snapToGrid w:val="0"/>
              <w:spacing w:line="264" w:lineRule="auto"/>
              <w:ind w:firstLine="0"/>
              <w:jc w:val="left"/>
              <w:textAlignment w:val="auto"/>
              <w:rPr>
                <w:rFonts w:hint="eastAsia" w:ascii="宋体" w:hAnsi="宋体" w:eastAsia="宋体" w:cs="宋体"/>
                <w:color w:val="000000"/>
                <w:spacing w:val="14"/>
                <w:sz w:val="24"/>
                <w:szCs w:val="24"/>
                <w:lang w:eastAsia="zh-CN"/>
              </w:rPr>
            </w:pPr>
            <w:r>
              <w:rPr>
                <w:rFonts w:hint="eastAsia" w:ascii="宋体" w:hAnsi="宋体" w:eastAsia="宋体" w:cs="宋体"/>
                <w:color w:val="000000"/>
                <w:spacing w:val="14"/>
                <w:sz w:val="24"/>
                <w:szCs w:val="24"/>
                <w:lang w:eastAsia="zh-CN"/>
              </w:rPr>
              <w:sym w:font="Wingdings 2" w:char="0052"/>
            </w:r>
            <w:r>
              <w:rPr>
                <w:rFonts w:hint="eastAsia" w:ascii="宋体" w:hAnsi="宋体" w:eastAsia="宋体" w:cs="宋体"/>
                <w:color w:val="000000"/>
                <w:spacing w:val="14"/>
                <w:sz w:val="24"/>
                <w:szCs w:val="24"/>
              </w:rPr>
              <w:t>允许，偏差范围：仅接受正偏离</w:t>
            </w:r>
          </w:p>
          <w:p>
            <w:pPr>
              <w:pStyle w:val="156"/>
              <w:keepNext w:val="0"/>
              <w:keepLines w:val="0"/>
              <w:pageBreakBefore w:val="0"/>
              <w:kinsoku/>
              <w:wordWrap/>
              <w:overflowPunct/>
              <w:topLinePunct w:val="0"/>
              <w:autoSpaceDE/>
              <w:autoSpaceDN/>
              <w:bidi w:val="0"/>
              <w:adjustRightInd w:val="0"/>
              <w:snapToGrid w:val="0"/>
              <w:spacing w:line="264" w:lineRule="auto"/>
              <w:ind w:firstLine="482" w:firstLineChars="0"/>
              <w:jc w:val="left"/>
              <w:textAlignment w:val="auto"/>
              <w:rPr>
                <w:rFonts w:hint="eastAsia" w:ascii="宋体" w:hAnsi="宋体" w:eastAsia="宋体" w:cs="宋体"/>
                <w:color w:val="000000"/>
                <w:spacing w:val="14"/>
                <w:sz w:val="24"/>
                <w:szCs w:val="24"/>
                <w:lang w:eastAsia="zh-CN"/>
              </w:rPr>
            </w:pPr>
            <w:r>
              <w:rPr>
                <w:rFonts w:hint="eastAsia" w:ascii="宋体" w:hAnsi="宋体" w:eastAsia="宋体" w:cs="宋体"/>
                <w:color w:val="000000"/>
                <w:spacing w:val="14"/>
                <w:sz w:val="24"/>
                <w:szCs w:val="24"/>
              </w:rPr>
              <w:t xml:space="preserve">   </w:t>
            </w:r>
            <w:r>
              <w:rPr>
                <w:rFonts w:hint="eastAsia" w:ascii="宋体" w:hAnsi="宋体" w:eastAsia="宋体" w:cs="宋体"/>
                <w:color w:val="000000"/>
                <w:spacing w:val="14"/>
                <w:sz w:val="24"/>
                <w:szCs w:val="24"/>
                <w:lang w:val="en-US" w:eastAsia="zh-CN"/>
              </w:rPr>
              <w:t xml:space="preserve"> </w:t>
            </w:r>
            <w:r>
              <w:rPr>
                <w:rFonts w:hint="eastAsia" w:ascii="宋体" w:hAnsi="宋体" w:eastAsia="宋体" w:cs="宋体"/>
                <w:color w:val="000000"/>
                <w:spacing w:val="14"/>
                <w:sz w:val="24"/>
                <w:szCs w:val="24"/>
              </w:rPr>
              <w:t>最高项数：</w:t>
            </w:r>
            <w:r>
              <w:rPr>
                <w:rFonts w:hint="eastAsia" w:ascii="宋体" w:hAnsi="宋体" w:eastAsia="宋体" w:cs="宋体"/>
                <w:color w:val="000000"/>
                <w:spacing w:val="14"/>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jc w:val="center"/>
              <w:textAlignment w:val="auto"/>
              <w:rPr>
                <w:rFonts w:hint="eastAsia" w:ascii="宋体" w:hAnsi="宋体" w:eastAsia="宋体" w:cs="宋体"/>
                <w:spacing w:val="14"/>
                <w:sz w:val="24"/>
                <w:szCs w:val="24"/>
              </w:rPr>
            </w:pPr>
            <w:r>
              <w:rPr>
                <w:rFonts w:hint="eastAsia" w:ascii="宋体" w:hAnsi="宋体" w:eastAsia="宋体" w:cs="宋体"/>
                <w:color w:val="auto"/>
                <w:spacing w:val="14"/>
                <w:sz w:val="24"/>
                <w:szCs w:val="24"/>
                <w:lang w:eastAsia="zh-CN"/>
              </w:rPr>
              <w:t>1.12.1</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textAlignment w:val="auto"/>
              <w:rPr>
                <w:rFonts w:hint="eastAsia" w:ascii="宋体" w:hAnsi="宋体" w:eastAsia="宋体" w:cs="宋体"/>
                <w:spacing w:val="14"/>
                <w:sz w:val="24"/>
                <w:szCs w:val="24"/>
              </w:rPr>
            </w:pPr>
            <w:r>
              <w:rPr>
                <w:rFonts w:hint="eastAsia" w:ascii="宋体" w:hAnsi="宋体" w:eastAsia="宋体" w:cs="宋体"/>
                <w:b/>
                <w:color w:val="auto"/>
                <w:spacing w:val="14"/>
                <w:sz w:val="24"/>
                <w:szCs w:val="24"/>
              </w:rPr>
              <w:t>实质性要求和条件</w:t>
            </w:r>
          </w:p>
        </w:tc>
        <w:tc>
          <w:tcPr>
            <w:tcW w:w="5297" w:type="dxa"/>
            <w:noWrap w:val="0"/>
            <w:vAlign w:val="center"/>
          </w:tcPr>
          <w:p>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合同履行期限</w:t>
            </w:r>
            <w:r>
              <w:rPr>
                <w:rFonts w:hint="eastAsia" w:ascii="宋体" w:hAnsi="宋体" w:eastAsia="宋体" w:cs="宋体"/>
                <w:b/>
                <w:color w:val="auto"/>
                <w:sz w:val="24"/>
                <w:szCs w:val="24"/>
              </w:rPr>
              <w:t xml:space="preserve">； </w:t>
            </w:r>
          </w:p>
          <w:p>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付款方式；</w:t>
            </w:r>
          </w:p>
          <w:p>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宋体" w:hAnsi="宋体" w:eastAsia="宋体" w:cs="宋体"/>
                <w:b/>
                <w:strike/>
                <w:color w:val="auto"/>
                <w:sz w:val="24"/>
                <w:szCs w:val="24"/>
              </w:rPr>
            </w:pPr>
            <w:r>
              <w:rPr>
                <w:rFonts w:hint="eastAsia" w:ascii="宋体" w:hAnsi="宋体" w:eastAsia="宋体" w:cs="宋体"/>
                <w:b/>
                <w:color w:val="auto"/>
                <w:sz w:val="24"/>
                <w:szCs w:val="24"/>
              </w:rPr>
              <w:t>服务要求；</w:t>
            </w:r>
          </w:p>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textAlignment w:val="auto"/>
              <w:rPr>
                <w:rFonts w:hint="eastAsia" w:ascii="宋体" w:hAnsi="宋体" w:eastAsia="宋体" w:cs="宋体"/>
                <w:spacing w:val="14"/>
                <w:sz w:val="24"/>
                <w:szCs w:val="24"/>
              </w:rPr>
            </w:pPr>
            <w:r>
              <w:rPr>
                <w:rFonts w:hint="eastAsia" w:ascii="宋体" w:hAnsi="宋体" w:eastAsia="宋体" w:cs="宋体"/>
                <w:b/>
                <w:color w:val="auto"/>
                <w:sz w:val="24"/>
                <w:szCs w:val="24"/>
              </w:rPr>
              <w:t>其他：</w:t>
            </w:r>
            <w:r>
              <w:rPr>
                <w:rFonts w:hint="eastAsia" w:ascii="宋体" w:hAnsi="宋体" w:eastAsia="宋体" w:cs="宋体"/>
                <w:b/>
                <w:color w:val="auto"/>
                <w:spacing w:val="14"/>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2.1</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构</w:t>
            </w:r>
            <w:r>
              <w:rPr>
                <w:rFonts w:hint="eastAsia" w:ascii="宋体" w:hAnsi="宋体" w:eastAsia="宋体" w:cs="宋体"/>
                <w:color w:val="auto"/>
                <w:spacing w:val="14"/>
                <w:sz w:val="24"/>
                <w:szCs w:val="24"/>
                <w:highlight w:val="none"/>
              </w:rPr>
              <w:t>成</w:t>
            </w:r>
            <w:r>
              <w:rPr>
                <w:rFonts w:hint="eastAsia" w:ascii="宋体" w:hAnsi="宋体" w:eastAsia="宋体" w:cs="宋体"/>
                <w:color w:val="auto"/>
                <w:spacing w:val="14"/>
                <w:sz w:val="24"/>
                <w:szCs w:val="24"/>
                <w:highlight w:val="none"/>
                <w:lang w:eastAsia="zh-CN"/>
              </w:rPr>
              <w:t>采购</w:t>
            </w:r>
            <w:r>
              <w:rPr>
                <w:rFonts w:hint="eastAsia" w:ascii="宋体" w:hAnsi="宋体" w:eastAsia="宋体" w:cs="宋体"/>
                <w:color w:val="auto"/>
                <w:spacing w:val="14"/>
                <w:sz w:val="24"/>
                <w:szCs w:val="24"/>
                <w:highlight w:val="none"/>
              </w:rPr>
              <w:t>文件的</w:t>
            </w:r>
            <w:r>
              <w:rPr>
                <w:rFonts w:hint="eastAsia" w:ascii="宋体" w:hAnsi="宋体" w:eastAsia="宋体" w:cs="宋体"/>
                <w:color w:val="auto"/>
                <w:spacing w:val="14"/>
                <w:sz w:val="24"/>
                <w:szCs w:val="24"/>
              </w:rPr>
              <w:t>其他资料</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2.2.1</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供应商</w:t>
            </w:r>
            <w:r>
              <w:rPr>
                <w:rFonts w:hint="eastAsia" w:ascii="宋体" w:hAnsi="宋体" w:eastAsia="宋体" w:cs="宋体"/>
                <w:color w:val="auto"/>
                <w:spacing w:val="14"/>
                <w:sz w:val="24"/>
                <w:szCs w:val="24"/>
              </w:rPr>
              <w:t>提出问题或要求澄清</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文件的截止时间</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提交响应文件截止时间</w:t>
            </w:r>
            <w:r>
              <w:rPr>
                <w:rFonts w:hint="eastAsia" w:ascii="宋体" w:hAnsi="宋体" w:eastAsia="宋体" w:cs="宋体"/>
                <w:color w:val="auto"/>
                <w:spacing w:val="14"/>
                <w:sz w:val="24"/>
                <w:szCs w:val="24"/>
                <w:lang w:eastAsia="zh-CN"/>
              </w:rPr>
              <w:t>2个工作</w:t>
            </w:r>
            <w:r>
              <w:rPr>
                <w:rFonts w:hint="eastAsia" w:ascii="宋体" w:hAnsi="宋体" w:eastAsia="宋体" w:cs="宋体"/>
                <w:color w:val="auto"/>
                <w:spacing w:val="14"/>
                <w:sz w:val="24"/>
                <w:szCs w:val="24"/>
              </w:rPr>
              <w:t>日前，由供应商的被授权人提交书面材料（盖供应商公章）。</w:t>
            </w:r>
          </w:p>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在提交响应文件截止时间前</w:t>
            </w:r>
            <w:r>
              <w:rPr>
                <w:rFonts w:hint="eastAsia" w:ascii="宋体" w:hAnsi="宋体" w:eastAsia="宋体" w:cs="宋体"/>
                <w:color w:val="auto"/>
                <w:spacing w:val="14"/>
                <w:sz w:val="24"/>
                <w:szCs w:val="24"/>
                <w:lang w:eastAsia="zh-CN"/>
              </w:rPr>
              <w:t>2个工作</w:t>
            </w:r>
            <w:r>
              <w:rPr>
                <w:rFonts w:hint="eastAsia" w:ascii="宋体" w:hAnsi="宋体" w:eastAsia="宋体" w:cs="宋体"/>
                <w:color w:val="auto"/>
                <w:spacing w:val="14"/>
                <w:sz w:val="24"/>
                <w:szCs w:val="24"/>
              </w:rPr>
              <w:t>日内，采购人、采购代理机构不再受理供应商提出的问题。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2.2.2</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文件澄清</w:t>
            </w:r>
            <w:r>
              <w:rPr>
                <w:rFonts w:hint="eastAsia" w:ascii="宋体" w:hAnsi="宋体" w:eastAsia="宋体" w:cs="宋体"/>
                <w:color w:val="auto"/>
                <w:spacing w:val="14"/>
                <w:sz w:val="24"/>
                <w:szCs w:val="24"/>
                <w:lang w:eastAsia="zh-CN"/>
              </w:rPr>
              <w:t>、修改</w:t>
            </w:r>
            <w:r>
              <w:rPr>
                <w:rFonts w:hint="eastAsia" w:ascii="宋体" w:hAnsi="宋体" w:eastAsia="宋体" w:cs="宋体"/>
                <w:color w:val="auto"/>
                <w:spacing w:val="14"/>
                <w:sz w:val="24"/>
                <w:szCs w:val="24"/>
              </w:rPr>
              <w:t>发出的形式</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spacing w:val="14"/>
                <w:sz w:val="24"/>
                <w:szCs w:val="24"/>
                <w:lang w:eastAsia="zh-CN"/>
              </w:rPr>
              <w:t>采购</w:t>
            </w:r>
            <w:r>
              <w:rPr>
                <w:rFonts w:hint="eastAsia" w:ascii="宋体" w:hAnsi="宋体" w:eastAsia="宋体" w:cs="宋体"/>
                <w:spacing w:val="14"/>
                <w:sz w:val="24"/>
                <w:szCs w:val="24"/>
              </w:rPr>
              <w:t>文件的澄清、修改将</w:t>
            </w:r>
            <w:r>
              <w:rPr>
                <w:rFonts w:hint="eastAsia" w:ascii="宋体" w:hAnsi="宋体" w:eastAsia="宋体" w:cs="宋体"/>
                <w:spacing w:val="14"/>
                <w:sz w:val="24"/>
                <w:szCs w:val="24"/>
                <w:lang w:eastAsia="zh-CN"/>
              </w:rPr>
              <w:t>统一电话、邮箱通知供应商。</w:t>
            </w:r>
            <w:r>
              <w:rPr>
                <w:rFonts w:hint="eastAsia" w:ascii="宋体" w:hAnsi="宋体" w:eastAsia="宋体" w:cs="宋体"/>
                <w:spacing w:val="14"/>
                <w:sz w:val="24"/>
                <w:szCs w:val="24"/>
              </w:rPr>
              <w:t>如不以最新发布的“答疑文件”编制</w:t>
            </w:r>
            <w:r>
              <w:rPr>
                <w:rFonts w:hint="eastAsia" w:ascii="宋体" w:hAnsi="宋体" w:eastAsia="宋体" w:cs="宋体"/>
                <w:spacing w:val="14"/>
                <w:sz w:val="24"/>
                <w:szCs w:val="24"/>
                <w:lang w:eastAsia="zh-CN"/>
              </w:rPr>
              <w:t>响应</w:t>
            </w:r>
            <w:r>
              <w:rPr>
                <w:rFonts w:hint="eastAsia" w:ascii="宋体" w:hAnsi="宋体" w:eastAsia="宋体" w:cs="宋体"/>
                <w:spacing w:val="14"/>
                <w:sz w:val="24"/>
                <w:szCs w:val="24"/>
              </w:rPr>
              <w:t>文件，造成</w:t>
            </w:r>
            <w:r>
              <w:rPr>
                <w:rFonts w:hint="eastAsia" w:ascii="宋体" w:hAnsi="宋体" w:eastAsia="宋体" w:cs="宋体"/>
                <w:spacing w:val="14"/>
                <w:sz w:val="24"/>
                <w:szCs w:val="24"/>
                <w:lang w:eastAsia="zh-CN"/>
              </w:rPr>
              <w:t>响应</w:t>
            </w:r>
            <w:r>
              <w:rPr>
                <w:rFonts w:hint="eastAsia" w:ascii="宋体" w:hAnsi="宋体" w:eastAsia="宋体" w:cs="宋体"/>
                <w:spacing w:val="14"/>
                <w:sz w:val="24"/>
                <w:szCs w:val="24"/>
              </w:rPr>
              <w:t>无效的后果由</w:t>
            </w:r>
            <w:r>
              <w:rPr>
                <w:rFonts w:hint="eastAsia" w:ascii="宋体" w:hAnsi="宋体" w:eastAsia="宋体" w:cs="宋体"/>
                <w:spacing w:val="14"/>
                <w:sz w:val="24"/>
                <w:szCs w:val="24"/>
                <w:lang w:eastAsia="zh-CN"/>
              </w:rPr>
              <w:t>供应商</w:t>
            </w:r>
            <w:r>
              <w:rPr>
                <w:rFonts w:hint="eastAsia" w:ascii="宋体" w:hAnsi="宋体" w:eastAsia="宋体" w:cs="宋体"/>
                <w:spacing w:val="14"/>
                <w:sz w:val="24"/>
                <w:szCs w:val="24"/>
              </w:rPr>
              <w:t>自己承担。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3.1.1</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构成</w:t>
            </w:r>
            <w:r>
              <w:rPr>
                <w:rFonts w:hint="eastAsia" w:ascii="宋体" w:hAnsi="宋体" w:eastAsia="宋体" w:cs="宋体"/>
                <w:color w:val="auto"/>
                <w:spacing w:val="14"/>
                <w:sz w:val="24"/>
                <w:szCs w:val="24"/>
                <w:lang w:eastAsia="zh-CN"/>
              </w:rPr>
              <w:t>响应</w:t>
            </w:r>
            <w:r>
              <w:rPr>
                <w:rFonts w:hint="eastAsia" w:ascii="宋体" w:hAnsi="宋体" w:eastAsia="宋体" w:cs="宋体"/>
                <w:color w:val="auto"/>
                <w:spacing w:val="14"/>
                <w:sz w:val="24"/>
                <w:szCs w:val="24"/>
              </w:rPr>
              <w:t>文件的其他资料</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textAlignment w:val="auto"/>
              <w:rPr>
                <w:rFonts w:hint="eastAsia" w:ascii="宋体" w:hAnsi="宋体" w:eastAsia="宋体" w:cs="宋体"/>
                <w:color w:val="auto"/>
                <w:spacing w:val="14"/>
                <w:sz w:val="24"/>
                <w:szCs w:val="24"/>
              </w:rPr>
            </w:pPr>
            <w:r>
              <w:rPr>
                <w:rFonts w:hint="eastAsia" w:ascii="宋体" w:hAnsi="宋体" w:eastAsia="宋体" w:cs="宋体"/>
                <w:spacing w:val="14"/>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keepNext w:val="0"/>
              <w:keepLines w:val="0"/>
              <w:pageBreakBefore w:val="0"/>
              <w:kinsoku/>
              <w:wordWrap/>
              <w:overflowPunct/>
              <w:topLinePunct w:val="0"/>
              <w:autoSpaceDE/>
              <w:autoSpaceDN/>
              <w:bidi w:val="0"/>
              <w:adjustRightInd w:val="0"/>
              <w:snapToGrid w:val="0"/>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3.2.3</w:t>
            </w:r>
          </w:p>
        </w:tc>
        <w:tc>
          <w:tcPr>
            <w:tcW w:w="2665" w:type="dxa"/>
            <w:noWrap w:val="0"/>
            <w:vAlign w:val="center"/>
          </w:tcPr>
          <w:p>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报价方式</w:t>
            </w:r>
          </w:p>
        </w:tc>
        <w:tc>
          <w:tcPr>
            <w:tcW w:w="5297" w:type="dxa"/>
            <w:noWrap w:val="0"/>
            <w:vAlign w:val="center"/>
          </w:tcPr>
          <w:p>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3.2.4</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000000"/>
                <w:spacing w:val="14"/>
                <w:sz w:val="24"/>
                <w:szCs w:val="24"/>
              </w:rPr>
            </w:pPr>
            <w:r>
              <w:rPr>
                <w:rFonts w:hint="eastAsia" w:ascii="宋体" w:hAnsi="宋体" w:eastAsia="宋体" w:cs="宋体"/>
                <w:color w:val="000000"/>
                <w:spacing w:val="14"/>
                <w:sz w:val="24"/>
                <w:szCs w:val="24"/>
              </w:rPr>
              <w:t>预算控制金额</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000000"/>
                <w:spacing w:val="14"/>
                <w:sz w:val="24"/>
                <w:szCs w:val="24"/>
                <w:highlight w:val="none"/>
                <w:lang w:eastAsia="zh-CN"/>
              </w:rPr>
            </w:pPr>
            <w:r>
              <w:rPr>
                <w:rFonts w:hint="eastAsia" w:ascii="宋体" w:hAnsi="宋体" w:eastAsia="宋体" w:cs="宋体"/>
                <w:color w:val="000000"/>
                <w:spacing w:val="14"/>
                <w:sz w:val="24"/>
                <w:szCs w:val="24"/>
              </w:rPr>
              <w:t>预</w:t>
            </w:r>
            <w:r>
              <w:rPr>
                <w:rFonts w:hint="eastAsia" w:ascii="宋体" w:hAnsi="宋体" w:eastAsia="宋体" w:cs="宋体"/>
                <w:color w:val="000000"/>
                <w:spacing w:val="14"/>
                <w:sz w:val="24"/>
                <w:szCs w:val="24"/>
                <w:lang w:eastAsia="zh-CN"/>
              </w:rPr>
              <w:t>算控</w:t>
            </w:r>
            <w:r>
              <w:rPr>
                <w:rFonts w:hint="eastAsia" w:ascii="宋体" w:hAnsi="宋体" w:eastAsia="宋体" w:cs="宋体"/>
                <w:color w:val="000000"/>
                <w:spacing w:val="14"/>
                <w:sz w:val="24"/>
                <w:szCs w:val="24"/>
                <w:highlight w:val="none"/>
                <w:lang w:eastAsia="zh-CN"/>
              </w:rPr>
              <w:t>制金额2700000.00元</w:t>
            </w:r>
            <w:r>
              <w:rPr>
                <w:rFonts w:hint="eastAsia" w:ascii="宋体" w:hAnsi="宋体" w:eastAsia="宋体" w:cs="宋体"/>
                <w:color w:val="000000"/>
                <w:spacing w:val="14"/>
                <w:sz w:val="24"/>
                <w:szCs w:val="24"/>
                <w:highlight w:val="none"/>
                <w:lang w:val="en-US" w:eastAsia="zh-CN"/>
              </w:rPr>
              <w:t>（三年），最高限价900000.00元。</w:t>
            </w:r>
          </w:p>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000000"/>
                <w:spacing w:val="14"/>
                <w:sz w:val="24"/>
                <w:szCs w:val="24"/>
              </w:rPr>
            </w:pPr>
            <w:r>
              <w:rPr>
                <w:rFonts w:hint="eastAsia" w:ascii="宋体" w:hAnsi="宋体" w:eastAsia="宋体" w:cs="宋体"/>
                <w:strike w:val="0"/>
                <w:dstrike w:val="0"/>
                <w:color w:val="000000"/>
                <w:spacing w:val="14"/>
                <w:sz w:val="24"/>
                <w:szCs w:val="24"/>
                <w:highlight w:val="none"/>
                <w:lang w:eastAsia="zh-CN"/>
              </w:rPr>
              <w:t>供应商的投标报价不得超过预算金额（预算金额和最高限价不一致时，不得超过最高限价），否则其投标将被否决。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spacing w:val="14"/>
                <w:sz w:val="24"/>
                <w:szCs w:val="24"/>
              </w:rPr>
              <w:t>3.2.5</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jc w:val="left"/>
              <w:textAlignment w:val="auto"/>
              <w:rPr>
                <w:rFonts w:hint="eastAsia" w:ascii="宋体" w:hAnsi="宋体" w:eastAsia="宋体" w:cs="宋体"/>
                <w:color w:val="auto"/>
                <w:spacing w:val="14"/>
                <w:sz w:val="24"/>
                <w:szCs w:val="24"/>
              </w:rPr>
            </w:pPr>
            <w:r>
              <w:rPr>
                <w:rFonts w:hint="eastAsia" w:ascii="宋体" w:hAnsi="宋体" w:eastAsia="宋体" w:cs="宋体"/>
                <w:spacing w:val="14"/>
                <w:sz w:val="24"/>
                <w:szCs w:val="24"/>
              </w:rPr>
              <w:t>报价的其他要求</w:t>
            </w:r>
          </w:p>
        </w:tc>
        <w:tc>
          <w:tcPr>
            <w:tcW w:w="5297" w:type="dxa"/>
            <w:noWrap w:val="0"/>
            <w:vAlign w:val="top"/>
          </w:tcPr>
          <w:p>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报价应包含为完成本项目所需要的全部费用和税金。报价应是根据</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文件所确定的</w:t>
            </w:r>
            <w:r>
              <w:rPr>
                <w:rFonts w:hint="eastAsia" w:ascii="宋体" w:hAnsi="宋体" w:eastAsia="宋体" w:cs="宋体"/>
                <w:color w:val="auto"/>
                <w:spacing w:val="14"/>
                <w:sz w:val="24"/>
                <w:szCs w:val="24"/>
                <w:lang w:eastAsia="zh-CN"/>
              </w:rPr>
              <w:t>采购需求</w:t>
            </w:r>
            <w:r>
              <w:rPr>
                <w:rFonts w:hint="eastAsia" w:ascii="宋体" w:hAnsi="宋体" w:eastAsia="宋体" w:cs="宋体"/>
                <w:color w:val="auto"/>
                <w:spacing w:val="14"/>
                <w:sz w:val="24"/>
                <w:szCs w:val="24"/>
              </w:rPr>
              <w:t>内的全部工作内容的价</w:t>
            </w:r>
            <w:r>
              <w:rPr>
                <w:rFonts w:hint="eastAsia" w:ascii="宋体" w:hAnsi="宋体" w:eastAsia="宋体" w:cs="宋体"/>
                <w:color w:val="auto"/>
                <w:spacing w:val="14"/>
                <w:sz w:val="24"/>
                <w:szCs w:val="24"/>
                <w:lang w:eastAsia="zh-CN"/>
              </w:rPr>
              <w:t>值</w:t>
            </w:r>
            <w:r>
              <w:rPr>
                <w:rFonts w:hint="eastAsia" w:ascii="宋体" w:hAnsi="宋体" w:eastAsia="宋体" w:cs="宋体"/>
                <w:color w:val="auto"/>
                <w:spacing w:val="14"/>
                <w:sz w:val="24"/>
                <w:szCs w:val="24"/>
              </w:rPr>
              <w:t>体现，应包括完成本项目所需要的全部费用和税金等各项应有费用，以及为完成</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文件规定的工作所涉及到的相关费用。</w:t>
            </w:r>
            <w:r>
              <w:rPr>
                <w:rFonts w:hint="eastAsia" w:ascii="宋体" w:hAnsi="宋体" w:eastAsia="宋体" w:cs="宋体"/>
                <w:color w:val="auto"/>
                <w:spacing w:val="14"/>
                <w:sz w:val="24"/>
                <w:szCs w:val="24"/>
                <w:lang w:eastAsia="zh-CN"/>
              </w:rPr>
              <w:t>供应商</w:t>
            </w:r>
            <w:r>
              <w:rPr>
                <w:rFonts w:hint="eastAsia" w:ascii="宋体" w:hAnsi="宋体" w:eastAsia="宋体" w:cs="宋体"/>
                <w:color w:val="auto"/>
                <w:spacing w:val="14"/>
                <w:sz w:val="24"/>
                <w:szCs w:val="24"/>
              </w:rPr>
              <w:t>报价时必须充分考虑所有可能影响到报价的价格因素。一旦确定为</w:t>
            </w:r>
            <w:r>
              <w:rPr>
                <w:rFonts w:hint="eastAsia" w:ascii="宋体" w:hAnsi="宋体" w:eastAsia="宋体" w:cs="宋体"/>
                <w:color w:val="auto"/>
                <w:spacing w:val="14"/>
                <w:sz w:val="24"/>
                <w:szCs w:val="24"/>
                <w:lang w:eastAsia="zh-CN"/>
              </w:rPr>
              <w:t>成交供应商</w:t>
            </w:r>
            <w:r>
              <w:rPr>
                <w:rFonts w:hint="eastAsia" w:ascii="宋体" w:hAnsi="宋体" w:eastAsia="宋体" w:cs="宋体"/>
                <w:color w:val="auto"/>
                <w:spacing w:val="14"/>
                <w:sz w:val="24"/>
                <w:szCs w:val="24"/>
              </w:rPr>
              <w:t>，总价将包定，不予调整。如发生漏、缺、少项，都将被认为是</w:t>
            </w:r>
            <w:r>
              <w:rPr>
                <w:rFonts w:hint="eastAsia" w:ascii="宋体" w:hAnsi="宋体" w:eastAsia="宋体" w:cs="宋体"/>
                <w:color w:val="auto"/>
                <w:spacing w:val="14"/>
                <w:sz w:val="24"/>
                <w:szCs w:val="24"/>
                <w:lang w:eastAsia="zh-CN"/>
              </w:rPr>
              <w:t>成交供应商</w:t>
            </w:r>
            <w:r>
              <w:rPr>
                <w:rFonts w:hint="eastAsia" w:ascii="宋体" w:hAnsi="宋体" w:eastAsia="宋体" w:cs="宋体"/>
                <w:color w:val="auto"/>
                <w:spacing w:val="14"/>
                <w:sz w:val="24"/>
                <w:szCs w:val="24"/>
              </w:rPr>
              <w:t>的报价让利行为，损失自负。</w:t>
            </w:r>
          </w:p>
          <w:p>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3.3.1</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left"/>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响应文件</w:t>
            </w:r>
            <w:r>
              <w:rPr>
                <w:rFonts w:hint="eastAsia" w:ascii="宋体" w:hAnsi="宋体" w:eastAsia="宋体" w:cs="宋体"/>
                <w:color w:val="auto"/>
                <w:spacing w:val="14"/>
                <w:sz w:val="24"/>
                <w:szCs w:val="24"/>
              </w:rPr>
              <w:t>有效期</w:t>
            </w:r>
          </w:p>
        </w:tc>
        <w:tc>
          <w:tcPr>
            <w:tcW w:w="5297" w:type="dxa"/>
            <w:noWrap w:val="0"/>
            <w:vAlign w:val="top"/>
          </w:tcPr>
          <w:p>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提交响应文件截止时间后</w:t>
            </w:r>
            <w:r>
              <w:rPr>
                <w:rFonts w:hint="eastAsia" w:ascii="宋体" w:hAnsi="宋体" w:eastAsia="宋体" w:cs="宋体"/>
                <w:color w:val="auto"/>
                <w:spacing w:val="14"/>
                <w:sz w:val="24"/>
                <w:szCs w:val="24"/>
                <w:lang w:val="en-US" w:eastAsia="zh-CN"/>
              </w:rPr>
              <w:t>6</w:t>
            </w:r>
            <w:r>
              <w:rPr>
                <w:rFonts w:hint="eastAsia" w:ascii="宋体" w:hAnsi="宋体" w:eastAsia="宋体" w:cs="宋体"/>
                <w:color w:val="auto"/>
                <w:spacing w:val="14"/>
                <w:sz w:val="24"/>
                <w:szCs w:val="24"/>
              </w:rPr>
              <w:t>0天，有效期短于该期限的响应将被拒绝。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3.4.1</w:t>
            </w:r>
          </w:p>
        </w:tc>
        <w:tc>
          <w:tcPr>
            <w:tcW w:w="2665" w:type="dxa"/>
            <w:noWrap w:val="0"/>
            <w:vAlign w:val="center"/>
          </w:tcPr>
          <w:p>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保证金</w:t>
            </w:r>
          </w:p>
        </w:tc>
        <w:tc>
          <w:tcPr>
            <w:tcW w:w="5297" w:type="dxa"/>
            <w:noWrap w:val="0"/>
            <w:vAlign w:val="center"/>
          </w:tcPr>
          <w:p>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3.4.4</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其他可以不予退还</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保证金的情形</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3.5.3</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资格审查资料的特殊要求</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z w:val="24"/>
                <w:szCs w:val="24"/>
              </w:rPr>
              <w:t>☑</w:t>
            </w:r>
            <w:r>
              <w:rPr>
                <w:rFonts w:hint="eastAsia" w:ascii="宋体" w:hAnsi="宋体" w:eastAsia="宋体" w:cs="宋体"/>
                <w:color w:val="auto"/>
                <w:spacing w:val="14"/>
                <w:sz w:val="24"/>
                <w:szCs w:val="24"/>
              </w:rPr>
              <w:t>无</w:t>
            </w:r>
          </w:p>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3.6.1</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是否允许提交备选方案</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val="en-US" w:eastAsia="zh-CN"/>
              </w:rPr>
              <w:t>3.7.6</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val="en-US" w:eastAsia="zh-CN"/>
              </w:rPr>
              <w:t>响应文件份数及其他要求</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供应商应提交响应文件一份正</w:t>
            </w:r>
            <w:r>
              <w:rPr>
                <w:rFonts w:hint="eastAsia" w:ascii="宋体" w:hAnsi="宋体" w:eastAsia="宋体" w:cs="宋体"/>
                <w:color w:val="000000"/>
                <w:spacing w:val="14"/>
                <w:sz w:val="24"/>
                <w:szCs w:val="24"/>
                <w:highlight w:val="none"/>
                <w:lang w:val="en-US" w:eastAsia="zh-CN"/>
              </w:rPr>
              <w:t>本和两份</w:t>
            </w:r>
            <w:r>
              <w:rPr>
                <w:rFonts w:hint="eastAsia" w:ascii="宋体" w:hAnsi="宋体" w:eastAsia="宋体" w:cs="宋体"/>
                <w:color w:val="auto"/>
                <w:spacing w:val="14"/>
                <w:sz w:val="24"/>
                <w:szCs w:val="24"/>
                <w:lang w:val="en-US" w:eastAsia="zh-CN"/>
              </w:rPr>
              <w:t>副本，U盘一份，在每一份响应文件上要明确注明“正本”或“副本”字样。</w:t>
            </w:r>
          </w:p>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电子版响应文件与纸质版正本响应文件不一致的，以纸质版正本响应文件为准。</w:t>
            </w:r>
          </w:p>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如遇多个包，应按包分开包装。</w:t>
            </w:r>
            <w:r>
              <w:rPr>
                <w:rFonts w:hint="eastAsia" w:ascii="宋体" w:hAnsi="宋体" w:eastAsia="宋体" w:cs="宋体"/>
                <w:color w:val="auto"/>
                <w:spacing w:val="14"/>
                <w:sz w:val="24"/>
                <w:szCs w:val="24"/>
              </w:rPr>
              <w:t>本次</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不退还</w:t>
            </w:r>
            <w:r>
              <w:rPr>
                <w:rFonts w:hint="eastAsia" w:ascii="宋体" w:hAnsi="宋体" w:eastAsia="宋体" w:cs="宋体"/>
                <w:color w:val="auto"/>
                <w:spacing w:val="14"/>
                <w:sz w:val="24"/>
                <w:szCs w:val="24"/>
                <w:lang w:val="en-US" w:eastAsia="zh-CN"/>
              </w:rPr>
              <w:t>响应</w:t>
            </w:r>
            <w:r>
              <w:rPr>
                <w:rFonts w:hint="eastAsia" w:ascii="宋体" w:hAnsi="宋体" w:eastAsia="宋体" w:cs="宋体"/>
                <w:color w:val="auto"/>
                <w:spacing w:val="14"/>
                <w:sz w:val="24"/>
                <w:szCs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4.1.1</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jc w:val="left"/>
              <w:textAlignment w:val="auto"/>
              <w:rPr>
                <w:rFonts w:hint="eastAsia" w:ascii="宋体" w:hAnsi="宋体" w:eastAsia="宋体" w:cs="宋体"/>
                <w:spacing w:val="14"/>
                <w:sz w:val="24"/>
                <w:szCs w:val="24"/>
                <w:lang w:val="en-US" w:eastAsia="zh-CN" w:bidi="ar-SA"/>
              </w:rPr>
            </w:pPr>
            <w:r>
              <w:rPr>
                <w:rFonts w:hint="eastAsia" w:ascii="宋体" w:hAnsi="宋体" w:eastAsia="宋体" w:cs="宋体"/>
                <w:spacing w:val="14"/>
                <w:sz w:val="24"/>
                <w:szCs w:val="24"/>
              </w:rPr>
              <w:t>封套上的密封和标记</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jc w:val="left"/>
              <w:textAlignment w:val="auto"/>
              <w:rPr>
                <w:rFonts w:hint="eastAsia" w:ascii="宋体" w:hAnsi="宋体" w:eastAsia="宋体" w:cs="宋体"/>
                <w:spacing w:val="14"/>
                <w:sz w:val="24"/>
                <w:szCs w:val="24"/>
                <w:lang w:val="en-US" w:eastAsia="zh-CN" w:bidi="ar-SA"/>
              </w:rPr>
            </w:pPr>
            <w:r>
              <w:rPr>
                <w:rFonts w:hint="eastAsia" w:ascii="宋体" w:hAnsi="宋体" w:eastAsia="宋体" w:cs="宋体"/>
                <w:color w:val="000000"/>
                <w:spacing w:val="14"/>
                <w:sz w:val="24"/>
                <w:szCs w:val="24"/>
                <w:highlight w:val="none"/>
              </w:rPr>
              <w:t>响应文件正本和副本分别用非透明文件袋或包装材料密封包装，外包装材料上注明项目名称、并加盖供应商公章。如遇多标段，应按标段分开包装。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keepNext w:val="0"/>
              <w:keepLines w:val="0"/>
              <w:pageBreakBefore w:val="0"/>
              <w:kinsoku/>
              <w:wordWrap/>
              <w:overflowPunct/>
              <w:topLinePunct w:val="0"/>
              <w:autoSpaceDE/>
              <w:autoSpaceDN/>
              <w:bidi w:val="0"/>
              <w:adjustRightInd w:val="0"/>
              <w:snapToGrid w:val="0"/>
              <w:spacing w:line="264" w:lineRule="auto"/>
              <w:jc w:val="center"/>
              <w:textAlignment w:val="auto"/>
              <w:rPr>
                <w:rFonts w:hint="eastAsia" w:ascii="宋体" w:hAnsi="宋体" w:eastAsia="宋体" w:cs="宋体"/>
                <w:color w:val="auto"/>
                <w:spacing w:val="14"/>
                <w:sz w:val="24"/>
                <w:szCs w:val="24"/>
                <w:lang w:val="en-US" w:eastAsia="zh-CN" w:bidi="ar-SA"/>
              </w:rPr>
            </w:pPr>
            <w:r>
              <w:rPr>
                <w:rFonts w:hint="eastAsia" w:ascii="宋体" w:hAnsi="宋体" w:eastAsia="宋体" w:cs="宋体"/>
                <w:color w:val="auto"/>
                <w:spacing w:val="14"/>
                <w:sz w:val="24"/>
                <w:szCs w:val="24"/>
                <w:lang w:val="en-US" w:eastAsia="zh-CN" w:bidi="ar-SA"/>
              </w:rPr>
              <w:t>4.1.2</w:t>
            </w:r>
          </w:p>
        </w:tc>
        <w:tc>
          <w:tcPr>
            <w:tcW w:w="2665" w:type="dxa"/>
            <w:noWrap w:val="0"/>
            <w:vAlign w:val="center"/>
          </w:tcPr>
          <w:p>
            <w:pPr>
              <w:keepNext w:val="0"/>
              <w:keepLines w:val="0"/>
              <w:pageBreakBefore w:val="0"/>
              <w:kinsoku/>
              <w:wordWrap/>
              <w:overflowPunct/>
              <w:topLinePunct w:val="0"/>
              <w:autoSpaceDE/>
              <w:autoSpaceDN/>
              <w:bidi w:val="0"/>
              <w:adjustRightInd w:val="0"/>
              <w:snapToGrid w:val="0"/>
              <w:spacing w:line="264" w:lineRule="auto"/>
              <w:jc w:val="both"/>
              <w:textAlignment w:val="auto"/>
              <w:rPr>
                <w:rFonts w:hint="eastAsia" w:ascii="宋体" w:hAnsi="宋体" w:eastAsia="宋体" w:cs="宋体"/>
                <w:color w:val="auto"/>
                <w:spacing w:val="14"/>
                <w:sz w:val="24"/>
                <w:szCs w:val="24"/>
                <w:lang w:val="en-US" w:eastAsia="zh-CN" w:bidi="ar-SA"/>
              </w:rPr>
            </w:pPr>
            <w:r>
              <w:rPr>
                <w:rFonts w:hint="eastAsia" w:ascii="宋体" w:hAnsi="宋体" w:eastAsia="宋体" w:cs="宋体"/>
                <w:color w:val="auto"/>
                <w:spacing w:val="14"/>
                <w:sz w:val="24"/>
                <w:szCs w:val="24"/>
                <w:lang w:val="en-US" w:eastAsia="zh-CN" w:bidi="ar-SA"/>
              </w:rPr>
              <w:t>响应文件装订要求</w:t>
            </w:r>
          </w:p>
        </w:tc>
        <w:tc>
          <w:tcPr>
            <w:tcW w:w="5297" w:type="dxa"/>
            <w:noWrap w:val="0"/>
            <w:vAlign w:val="center"/>
          </w:tcPr>
          <w:p>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pacing w:val="14"/>
                <w:sz w:val="24"/>
                <w:szCs w:val="24"/>
                <w:lang w:val="en-US" w:eastAsia="zh-CN" w:bidi="ar-SA"/>
              </w:rPr>
            </w:pPr>
            <w:r>
              <w:rPr>
                <w:rFonts w:hint="eastAsia" w:ascii="宋体" w:hAnsi="宋体" w:eastAsia="宋体" w:cs="宋体"/>
                <w:color w:val="auto"/>
                <w:spacing w:val="14"/>
                <w:sz w:val="24"/>
                <w:szCs w:val="24"/>
                <w:lang w:val="en-US" w:eastAsia="zh-CN" w:bidi="ar-SA"/>
              </w:rPr>
              <w:t>供应商应将响应文件装订成册（胶装，牢固，不接受活页装订）。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4.2.1</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提交响应文件截止时间</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见第一章</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4.2.2</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提交</w:t>
            </w:r>
            <w:r>
              <w:rPr>
                <w:rFonts w:hint="eastAsia" w:ascii="宋体" w:hAnsi="宋体" w:eastAsia="宋体" w:cs="宋体"/>
                <w:color w:val="auto"/>
                <w:spacing w:val="14"/>
                <w:sz w:val="24"/>
                <w:szCs w:val="24"/>
                <w:lang w:eastAsia="zh-CN"/>
              </w:rPr>
              <w:t>响应</w:t>
            </w:r>
            <w:r>
              <w:rPr>
                <w:rFonts w:hint="eastAsia" w:ascii="宋体" w:hAnsi="宋体" w:eastAsia="宋体" w:cs="宋体"/>
                <w:color w:val="auto"/>
                <w:spacing w:val="14"/>
                <w:sz w:val="24"/>
                <w:szCs w:val="24"/>
              </w:rPr>
              <w:t>文件地点</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见第一章</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4.2.5</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textAlignment w:val="auto"/>
              <w:rPr>
                <w:rFonts w:hint="eastAsia" w:ascii="宋体" w:hAnsi="宋体" w:eastAsia="宋体" w:cs="宋体"/>
                <w:strike/>
                <w:dstrike w:val="0"/>
                <w:color w:val="auto"/>
                <w:spacing w:val="14"/>
                <w:sz w:val="24"/>
                <w:szCs w:val="24"/>
              </w:rPr>
            </w:pPr>
            <w:r>
              <w:rPr>
                <w:rFonts w:hint="eastAsia" w:ascii="宋体" w:hAnsi="宋体" w:eastAsia="宋体" w:cs="宋体"/>
                <w:strike w:val="0"/>
                <w:dstrike w:val="0"/>
                <w:color w:val="auto"/>
                <w:spacing w:val="14"/>
                <w:sz w:val="24"/>
                <w:szCs w:val="24"/>
                <w:lang w:eastAsia="zh-CN"/>
              </w:rPr>
              <w:t>响应</w:t>
            </w:r>
            <w:r>
              <w:rPr>
                <w:rFonts w:hint="eastAsia" w:ascii="宋体" w:hAnsi="宋体" w:eastAsia="宋体" w:cs="宋体"/>
                <w:strike w:val="0"/>
                <w:dstrike w:val="0"/>
                <w:color w:val="auto"/>
                <w:spacing w:val="14"/>
                <w:sz w:val="24"/>
                <w:szCs w:val="24"/>
              </w:rPr>
              <w:t>文件问题联系方式</w:t>
            </w:r>
          </w:p>
        </w:tc>
        <w:tc>
          <w:tcPr>
            <w:tcW w:w="5297" w:type="dxa"/>
            <w:noWrap w:val="0"/>
            <w:vAlign w:val="center"/>
          </w:tcPr>
          <w:p>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4"/>
                <w:sz w:val="24"/>
                <w:szCs w:val="24"/>
              </w:rPr>
              <w:t>联系方式：0379-80887951</w:t>
            </w:r>
            <w:r>
              <w:rPr>
                <w:rFonts w:hint="eastAsia" w:ascii="宋体" w:hAnsi="宋体" w:eastAsia="宋体" w:cs="宋体"/>
                <w:color w:val="auto"/>
                <w:spacing w:val="14"/>
                <w:sz w:val="24"/>
                <w:szCs w:val="24"/>
                <w:lang w:eastAsia="zh-CN"/>
              </w:rPr>
              <w:t>、</w:t>
            </w:r>
            <w:r>
              <w:rPr>
                <w:rFonts w:hint="eastAsia" w:ascii="宋体" w:hAnsi="宋体" w:eastAsia="宋体" w:cs="宋体"/>
                <w:color w:val="auto"/>
                <w:spacing w:val="14"/>
                <w:sz w:val="24"/>
                <w:szCs w:val="24"/>
              </w:rPr>
              <w:t>80887952。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4.2.6</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响应</w:t>
            </w:r>
            <w:r>
              <w:rPr>
                <w:rFonts w:hint="eastAsia" w:ascii="宋体" w:hAnsi="宋体" w:eastAsia="宋体" w:cs="宋体"/>
                <w:color w:val="auto"/>
                <w:spacing w:val="14"/>
                <w:sz w:val="24"/>
                <w:szCs w:val="24"/>
              </w:rPr>
              <w:t>文件是否退还</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不</w:t>
            </w:r>
            <w:r>
              <w:rPr>
                <w:rFonts w:hint="eastAsia" w:ascii="宋体" w:hAnsi="宋体" w:eastAsia="宋体" w:cs="宋体"/>
                <w:color w:val="auto"/>
                <w:spacing w:val="14"/>
                <w:sz w:val="24"/>
                <w:szCs w:val="24"/>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5.1</w:t>
            </w:r>
          </w:p>
        </w:tc>
        <w:tc>
          <w:tcPr>
            <w:tcW w:w="2665" w:type="dxa"/>
            <w:noWrap w:val="0"/>
            <w:vAlign w:val="center"/>
          </w:tcPr>
          <w:p>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开启时间和地点</w:t>
            </w:r>
          </w:p>
        </w:tc>
        <w:tc>
          <w:tcPr>
            <w:tcW w:w="5297" w:type="dxa"/>
            <w:noWrap w:val="0"/>
            <w:vAlign w:val="center"/>
          </w:tcPr>
          <w:p>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开启时间：同提交响应文件截止时间</w:t>
            </w:r>
          </w:p>
          <w:p>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开启地点：同提交响应文件地点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val="en-US" w:eastAsia="zh-CN"/>
              </w:rPr>
              <w:t>5.2.1</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jc w:val="left"/>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采购开启规定</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jc w:val="left"/>
              <w:textAlignment w:val="auto"/>
              <w:rPr>
                <w:rFonts w:hint="eastAsia" w:ascii="宋体" w:hAnsi="宋体" w:eastAsia="宋体" w:cs="宋体"/>
                <w:color w:val="auto"/>
                <w:spacing w:val="14"/>
                <w:sz w:val="24"/>
                <w:szCs w:val="24"/>
                <w:u w:val="none" w:color="auto"/>
              </w:rPr>
            </w:pPr>
            <w:r>
              <w:rPr>
                <w:rFonts w:hint="eastAsia" w:ascii="宋体" w:hAnsi="宋体" w:eastAsia="宋体" w:cs="宋体"/>
                <w:b/>
                <w:bCs/>
                <w:spacing w:val="14"/>
                <w:sz w:val="24"/>
                <w:szCs w:val="24"/>
              </w:rPr>
              <w:t>本项目采用远程不见面开标的模式。开标当日，供应商提交响应文件后无需到响应文件开启地点参加开标会议，供应商可以在投标截止时间前，登录全时云会议手机APP，在线准时参加开标活动等。请参照全时云会议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6.1.1</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谈判小组</w:t>
            </w:r>
            <w:r>
              <w:rPr>
                <w:rFonts w:hint="eastAsia" w:ascii="宋体" w:hAnsi="宋体" w:eastAsia="宋体" w:cs="宋体"/>
                <w:color w:val="auto"/>
                <w:spacing w:val="14"/>
                <w:sz w:val="24"/>
                <w:szCs w:val="24"/>
              </w:rPr>
              <w:t>的组建</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eastAsia="zh-CN"/>
              </w:rPr>
              <w:t>谈判小组</w:t>
            </w:r>
            <w:r>
              <w:rPr>
                <w:rFonts w:hint="eastAsia" w:ascii="宋体" w:hAnsi="宋体" w:eastAsia="宋体" w:cs="宋体"/>
                <w:color w:val="auto"/>
                <w:spacing w:val="14"/>
                <w:sz w:val="24"/>
                <w:szCs w:val="24"/>
              </w:rPr>
              <w:t>构成</w:t>
            </w:r>
            <w:r>
              <w:rPr>
                <w:rFonts w:hint="eastAsia" w:ascii="宋体" w:hAnsi="宋体" w:eastAsia="宋体" w:cs="宋体"/>
                <w:color w:val="auto"/>
                <w:spacing w:val="14"/>
                <w:sz w:val="24"/>
                <w:szCs w:val="24"/>
                <w:u w:val="none" w:color="auto"/>
              </w:rPr>
              <w:t>：</w:t>
            </w:r>
            <w:r>
              <w:rPr>
                <w:rFonts w:hint="eastAsia" w:ascii="宋体" w:hAnsi="宋体" w:eastAsia="宋体" w:cs="宋体"/>
                <w:color w:val="auto"/>
                <w:spacing w:val="14"/>
                <w:sz w:val="24"/>
                <w:szCs w:val="24"/>
                <w:u w:val="none" w:color="auto"/>
                <w:lang w:eastAsia="zh-CN"/>
              </w:rPr>
              <w:t>由采购人代表和评审专家共</w:t>
            </w:r>
            <w:r>
              <w:rPr>
                <w:rFonts w:hint="eastAsia" w:ascii="宋体" w:hAnsi="宋体" w:eastAsia="宋体" w:cs="宋体"/>
                <w:color w:val="auto"/>
                <w:spacing w:val="14"/>
                <w:sz w:val="24"/>
                <w:szCs w:val="24"/>
                <w:u w:val="none" w:color="auto"/>
                <w:lang w:val="en-US" w:eastAsia="zh-CN"/>
              </w:rPr>
              <w:t>3</w:t>
            </w:r>
            <w:r>
              <w:rPr>
                <w:rFonts w:hint="eastAsia" w:ascii="宋体" w:hAnsi="宋体" w:eastAsia="宋体" w:cs="宋体"/>
                <w:color w:val="auto"/>
                <w:spacing w:val="14"/>
                <w:sz w:val="24"/>
                <w:szCs w:val="24"/>
                <w:u w:val="none" w:color="auto"/>
              </w:rPr>
              <w:t>人</w:t>
            </w:r>
            <w:r>
              <w:rPr>
                <w:rFonts w:hint="eastAsia" w:ascii="宋体" w:hAnsi="宋体" w:eastAsia="宋体" w:cs="宋体"/>
                <w:color w:val="auto"/>
                <w:spacing w:val="14"/>
                <w:sz w:val="24"/>
                <w:szCs w:val="24"/>
                <w:u w:val="none" w:color="auto"/>
                <w:lang w:val="en-US" w:eastAsia="zh-CN"/>
              </w:rPr>
              <w:t>(含）以上单数组成。其中评审专家人数不得少于谈判小组成员总数的2/3。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6.3.2</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谈判小组</w:t>
            </w:r>
            <w:r>
              <w:rPr>
                <w:rFonts w:hint="eastAsia" w:ascii="宋体" w:hAnsi="宋体" w:eastAsia="宋体" w:cs="宋体"/>
                <w:color w:val="auto"/>
                <w:spacing w:val="14"/>
                <w:sz w:val="24"/>
                <w:szCs w:val="24"/>
              </w:rPr>
              <w:t>推荐</w:t>
            </w:r>
            <w:r>
              <w:rPr>
                <w:rFonts w:hint="eastAsia" w:ascii="宋体" w:hAnsi="宋体" w:eastAsia="宋体" w:cs="宋体"/>
                <w:color w:val="auto"/>
                <w:spacing w:val="14"/>
                <w:sz w:val="24"/>
                <w:szCs w:val="24"/>
                <w:lang w:eastAsia="zh-CN"/>
              </w:rPr>
              <w:t>成交</w:t>
            </w:r>
            <w:r>
              <w:rPr>
                <w:rFonts w:hint="eastAsia" w:ascii="宋体" w:hAnsi="宋体" w:eastAsia="宋体" w:cs="宋体"/>
                <w:color w:val="auto"/>
                <w:spacing w:val="14"/>
                <w:sz w:val="24"/>
                <w:szCs w:val="24"/>
              </w:rPr>
              <w:t>候选人的人数</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7.1.1</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是否授权</w:t>
            </w:r>
            <w:r>
              <w:rPr>
                <w:rFonts w:hint="eastAsia" w:ascii="宋体" w:hAnsi="宋体" w:eastAsia="宋体" w:cs="宋体"/>
                <w:color w:val="auto"/>
                <w:spacing w:val="14"/>
                <w:sz w:val="24"/>
                <w:szCs w:val="24"/>
                <w:lang w:eastAsia="zh-CN"/>
              </w:rPr>
              <w:t>谈判小组</w:t>
            </w:r>
            <w:r>
              <w:rPr>
                <w:rFonts w:hint="eastAsia" w:ascii="宋体" w:hAnsi="宋体" w:eastAsia="宋体" w:cs="宋体"/>
                <w:color w:val="auto"/>
                <w:spacing w:val="14"/>
                <w:sz w:val="24"/>
                <w:szCs w:val="24"/>
              </w:rPr>
              <w:t>确定</w:t>
            </w:r>
            <w:r>
              <w:rPr>
                <w:rFonts w:hint="eastAsia" w:ascii="宋体" w:hAnsi="宋体" w:eastAsia="宋体" w:cs="宋体"/>
                <w:color w:val="auto"/>
                <w:spacing w:val="14"/>
                <w:sz w:val="24"/>
                <w:szCs w:val="24"/>
                <w:lang w:eastAsia="zh-CN"/>
              </w:rPr>
              <w:t>成交</w:t>
            </w:r>
            <w:r>
              <w:rPr>
                <w:rFonts w:hint="eastAsia" w:ascii="宋体" w:hAnsi="宋体" w:eastAsia="宋体" w:cs="宋体"/>
                <w:color w:val="auto"/>
                <w:spacing w:val="14"/>
                <w:sz w:val="24"/>
                <w:szCs w:val="24"/>
              </w:rPr>
              <w:t>供应商</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z w:val="24"/>
                <w:szCs w:val="24"/>
              </w:rPr>
              <w:t>☑</w:t>
            </w:r>
            <w:r>
              <w:rPr>
                <w:rFonts w:hint="eastAsia" w:ascii="宋体" w:hAnsi="宋体" w:eastAsia="宋体" w:cs="宋体"/>
                <w:color w:val="auto"/>
                <w:spacing w:val="14"/>
                <w:sz w:val="24"/>
                <w:szCs w:val="24"/>
              </w:rPr>
              <w:t>是</w:t>
            </w:r>
          </w:p>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7.1.2</w:t>
            </w:r>
          </w:p>
        </w:tc>
        <w:tc>
          <w:tcPr>
            <w:tcW w:w="2665" w:type="dxa"/>
            <w:noWrap w:val="0"/>
            <w:vAlign w:val="center"/>
          </w:tcPr>
          <w:p>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确定成交的原则</w:t>
            </w:r>
          </w:p>
        </w:tc>
        <w:tc>
          <w:tcPr>
            <w:tcW w:w="5297" w:type="dxa"/>
            <w:noWrap w:val="0"/>
            <w:vAlign w:val="center"/>
          </w:tcPr>
          <w:p>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w:t>
            </w:r>
            <w:r>
              <w:rPr>
                <w:rFonts w:hint="eastAsia" w:ascii="宋体" w:hAnsi="宋体" w:eastAsia="宋体" w:cs="宋体"/>
                <w:color w:val="auto"/>
                <w:spacing w:val="14"/>
                <w:sz w:val="24"/>
                <w:szCs w:val="24"/>
                <w:lang w:val="en-US" w:eastAsia="zh-CN"/>
              </w:rPr>
              <w:t>.</w:t>
            </w:r>
            <w:r>
              <w:rPr>
                <w:rFonts w:hint="eastAsia" w:ascii="宋体" w:hAnsi="宋体" w:eastAsia="宋体" w:cs="宋体"/>
                <w:color w:val="auto"/>
                <w:spacing w:val="14"/>
                <w:sz w:val="24"/>
                <w:szCs w:val="24"/>
              </w:rPr>
              <w:t>谈判小组根据价格、质量、供应商实力及服务承诺等因素确定成交供应商。</w:t>
            </w:r>
          </w:p>
          <w:p>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2</w:t>
            </w:r>
            <w:r>
              <w:rPr>
                <w:rFonts w:hint="eastAsia" w:ascii="宋体" w:hAnsi="宋体" w:eastAsia="宋体" w:cs="宋体"/>
                <w:color w:val="auto"/>
                <w:spacing w:val="14"/>
                <w:sz w:val="24"/>
                <w:szCs w:val="24"/>
                <w:lang w:val="en-US" w:eastAsia="zh-CN"/>
              </w:rPr>
              <w:t>.</w:t>
            </w:r>
            <w:r>
              <w:rPr>
                <w:rFonts w:hint="eastAsia" w:ascii="宋体" w:hAnsi="宋体" w:eastAsia="宋体" w:cs="宋体"/>
                <w:color w:val="auto"/>
                <w:spacing w:val="14"/>
                <w:sz w:val="24"/>
                <w:szCs w:val="24"/>
              </w:rPr>
              <w:t>成交供应商应报价合理，质量和服务均能满足采购文件实质性要求。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7.2</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成交结果公布媒介及期限</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left"/>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公布媒</w:t>
            </w:r>
            <w:r>
              <w:rPr>
                <w:rFonts w:hint="eastAsia" w:ascii="宋体" w:hAnsi="宋体" w:eastAsia="宋体" w:cs="宋体"/>
                <w:color w:val="000000"/>
                <w:spacing w:val="14"/>
                <w:sz w:val="24"/>
                <w:szCs w:val="24"/>
              </w:rPr>
              <w:t>介：</w:t>
            </w:r>
            <w:r>
              <w:rPr>
                <w:rFonts w:hint="eastAsia" w:ascii="宋体" w:hAnsi="宋体" w:eastAsia="宋体" w:cs="宋体"/>
                <w:color w:val="000000"/>
                <w:spacing w:val="14"/>
                <w:sz w:val="24"/>
                <w:szCs w:val="24"/>
                <w:lang w:eastAsia="zh-CN"/>
              </w:rPr>
              <w:t>《洛阳市</w:t>
            </w:r>
            <w:r>
              <w:rPr>
                <w:rFonts w:hint="eastAsia" w:ascii="宋体" w:hAnsi="宋体" w:eastAsia="宋体" w:cs="宋体"/>
                <w:color w:val="000000"/>
                <w:spacing w:val="14"/>
                <w:sz w:val="24"/>
                <w:szCs w:val="24"/>
              </w:rPr>
              <w:t>政府采购网</w:t>
            </w:r>
            <w:r>
              <w:rPr>
                <w:rFonts w:hint="eastAsia" w:ascii="宋体" w:hAnsi="宋体" w:eastAsia="宋体" w:cs="宋体"/>
                <w:color w:val="000000"/>
                <w:spacing w:val="14"/>
                <w:sz w:val="24"/>
                <w:szCs w:val="24"/>
                <w:lang w:eastAsia="zh-CN"/>
              </w:rPr>
              <w:t>》</w:t>
            </w:r>
            <w:r>
              <w:rPr>
                <w:rFonts w:hint="eastAsia" w:ascii="宋体" w:hAnsi="宋体" w:eastAsia="宋体" w:cs="宋体"/>
                <w:color w:val="000000"/>
                <w:spacing w:val="14"/>
                <w:sz w:val="24"/>
                <w:szCs w:val="24"/>
              </w:rPr>
              <w:t>上</w:t>
            </w:r>
            <w:r>
              <w:rPr>
                <w:rFonts w:hint="eastAsia" w:ascii="宋体" w:hAnsi="宋体" w:eastAsia="宋体" w:cs="宋体"/>
                <w:color w:val="auto"/>
                <w:spacing w:val="14"/>
                <w:sz w:val="24"/>
                <w:szCs w:val="24"/>
              </w:rPr>
              <w:t>公布。</w:t>
            </w:r>
          </w:p>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7.4.1</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履约保证金</w:t>
            </w:r>
          </w:p>
        </w:tc>
        <w:tc>
          <w:tcPr>
            <w:tcW w:w="5297"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243"/>
              <w:keepNext w:val="0"/>
              <w:keepLines w:val="0"/>
              <w:pageBreakBefore w:val="0"/>
              <w:kinsoku/>
              <w:wordWrap/>
              <w:overflowPunct/>
              <w:topLinePunct w:val="0"/>
              <w:autoSpaceDE/>
              <w:autoSpaceDN/>
              <w:bidi w:val="0"/>
              <w:adjustRightInd w:val="0"/>
              <w:snapToGrid w:val="0"/>
              <w:spacing w:line="264" w:lineRule="auto"/>
              <w:ind w:firstLine="0" w:firstLineChars="0"/>
              <w:jc w:val="center"/>
              <w:textAlignment w:val="auto"/>
              <w:rPr>
                <w:rFonts w:hint="eastAsia" w:ascii="宋体" w:hAnsi="宋体" w:eastAsia="宋体" w:cs="宋体"/>
                <w:color w:val="auto"/>
                <w:spacing w:val="14"/>
                <w:kern w:val="0"/>
                <w:sz w:val="24"/>
                <w:szCs w:val="24"/>
                <w:highlight w:val="none"/>
                <w:lang w:val="en-US" w:eastAsia="zh-CN" w:bidi="ar-SA"/>
              </w:rPr>
            </w:pPr>
            <w:r>
              <w:rPr>
                <w:rFonts w:hint="eastAsia" w:ascii="宋体" w:hAnsi="宋体" w:eastAsia="宋体" w:cs="宋体"/>
                <w:color w:val="auto"/>
                <w:spacing w:val="14"/>
                <w:kern w:val="0"/>
                <w:sz w:val="24"/>
                <w:szCs w:val="24"/>
                <w:highlight w:val="none"/>
                <w:lang w:val="en-US" w:eastAsia="zh-CN" w:bidi="ar-SA"/>
              </w:rPr>
              <w:t>7.5.4</w:t>
            </w:r>
          </w:p>
        </w:tc>
        <w:tc>
          <w:tcPr>
            <w:tcW w:w="2665" w:type="dxa"/>
            <w:noWrap w:val="0"/>
            <w:vAlign w:val="center"/>
          </w:tcPr>
          <w:p>
            <w:pPr>
              <w:pStyle w:val="243"/>
              <w:keepNext w:val="0"/>
              <w:keepLines w:val="0"/>
              <w:pageBreakBefore w:val="0"/>
              <w:kinsoku/>
              <w:wordWrap/>
              <w:overflowPunct/>
              <w:topLinePunct w:val="0"/>
              <w:autoSpaceDE/>
              <w:autoSpaceDN/>
              <w:bidi w:val="0"/>
              <w:adjustRightInd w:val="0"/>
              <w:snapToGrid w:val="0"/>
              <w:spacing w:line="264" w:lineRule="auto"/>
              <w:ind w:firstLine="0" w:firstLineChars="0"/>
              <w:jc w:val="left"/>
              <w:textAlignment w:val="auto"/>
              <w:rPr>
                <w:rFonts w:hint="eastAsia" w:ascii="宋体" w:hAnsi="宋体" w:eastAsia="宋体" w:cs="宋体"/>
                <w:color w:val="auto"/>
                <w:spacing w:val="14"/>
                <w:kern w:val="0"/>
                <w:sz w:val="24"/>
                <w:szCs w:val="24"/>
                <w:highlight w:val="none"/>
                <w:lang w:val="en-US" w:eastAsia="zh-CN" w:bidi="ar-SA"/>
              </w:rPr>
            </w:pPr>
            <w:r>
              <w:rPr>
                <w:rFonts w:hint="eastAsia" w:ascii="宋体" w:hAnsi="宋体" w:eastAsia="宋体" w:cs="宋体"/>
                <w:color w:val="auto"/>
                <w:spacing w:val="14"/>
                <w:kern w:val="0"/>
                <w:sz w:val="24"/>
                <w:szCs w:val="24"/>
                <w:highlight w:val="none"/>
                <w:lang w:val="en-US" w:eastAsia="zh-CN" w:bidi="ar-SA"/>
              </w:rPr>
              <w:t>合同</w:t>
            </w:r>
          </w:p>
        </w:tc>
        <w:tc>
          <w:tcPr>
            <w:tcW w:w="5297" w:type="dxa"/>
            <w:noWrap w:val="0"/>
            <w:vAlign w:val="center"/>
          </w:tcPr>
          <w:p>
            <w:pPr>
              <w:pStyle w:val="224"/>
              <w:keepNext w:val="0"/>
              <w:keepLines w:val="0"/>
              <w:pageBreakBefore w:val="0"/>
              <w:widowControl w:val="0"/>
              <w:kinsoku/>
              <w:wordWrap w:val="0"/>
              <w:overflowPunct/>
              <w:topLinePunct w:val="0"/>
              <w:autoSpaceDE/>
              <w:autoSpaceDN/>
              <w:bidi w:val="0"/>
              <w:adjustRightInd w:val="0"/>
              <w:snapToGrid w:val="0"/>
              <w:spacing w:line="264" w:lineRule="auto"/>
              <w:jc w:val="left"/>
              <w:textAlignment w:val="auto"/>
              <w:rPr>
                <w:rFonts w:hint="eastAsia" w:ascii="宋体" w:hAnsi="宋体" w:eastAsia="宋体" w:cs="宋体"/>
                <w:spacing w:val="14"/>
                <w:kern w:val="2"/>
                <w:sz w:val="24"/>
                <w:szCs w:val="24"/>
                <w:lang w:val="en-US" w:eastAsia="zh-CN" w:bidi="ar-SA"/>
              </w:rPr>
            </w:pPr>
            <w:r>
              <w:rPr>
                <w:rFonts w:hint="eastAsia" w:ascii="宋体" w:hAnsi="宋体" w:eastAsia="宋体" w:cs="宋体"/>
                <w:color w:val="auto"/>
                <w:spacing w:val="14"/>
                <w:kern w:val="0"/>
                <w:sz w:val="24"/>
                <w:szCs w:val="24"/>
                <w:highlight w:val="none"/>
                <w:lang w:val="en-US" w:eastAsia="zh-CN" w:bidi="ar-SA"/>
              </w:rPr>
              <w:t>依据《政府采购促进中小企业发展管理办法》(财库〔2020〕46号)规定享受扶持政策获得政府采购合同的，小微企业不得将合同分包给大中型企业，中型企业不得将合同分包给大型企业。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jc w:val="center"/>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8.5.2</w:t>
            </w:r>
          </w:p>
        </w:tc>
        <w:tc>
          <w:tcPr>
            <w:tcW w:w="2665" w:type="dxa"/>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质疑函的递交方式</w:t>
            </w:r>
          </w:p>
        </w:tc>
        <w:tc>
          <w:tcPr>
            <w:tcW w:w="5297" w:type="dxa"/>
            <w:noWrap w:val="0"/>
            <w:vAlign w:val="center"/>
          </w:tcPr>
          <w:p>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质疑函应当面递交；因情况特殊而邮寄的，交邮前应通知采购人、采购代理机构。接受质疑函的采购人、采购代理机构的联系部门、联系电话和通讯地址详见本项目采购公告和供应商须知前附表。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Merge w:val="restart"/>
            <w:tcBorders>
              <w:left w:val="single" w:color="auto" w:sz="4" w:space="0"/>
              <w:right w:val="single" w:color="auto" w:sz="4" w:space="0"/>
            </w:tcBorders>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left="0" w:leftChars="0" w:firstLine="237" w:firstLineChars="100"/>
              <w:jc w:val="center"/>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9</w:t>
            </w:r>
          </w:p>
        </w:tc>
        <w:tc>
          <w:tcPr>
            <w:tcW w:w="2665" w:type="dxa"/>
            <w:vMerge w:val="restart"/>
            <w:tcBorders>
              <w:left w:val="single" w:color="auto" w:sz="4" w:space="0"/>
              <w:right w:val="single" w:color="auto" w:sz="4" w:space="0"/>
            </w:tcBorders>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需要补充的其他内容</w:t>
            </w:r>
          </w:p>
        </w:tc>
        <w:tc>
          <w:tcPr>
            <w:tcW w:w="5297" w:type="dxa"/>
            <w:tcBorders>
              <w:top w:val="single" w:color="auto" w:sz="4" w:space="0"/>
              <w:left w:val="single" w:color="auto" w:sz="4" w:space="0"/>
              <w:bottom w:val="single" w:color="auto" w:sz="4" w:space="0"/>
              <w:right w:val="single" w:color="auto" w:sz="4" w:space="0"/>
            </w:tcBorders>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rPr>
              <w:t>监督部门及电话：</w:t>
            </w:r>
            <w:r>
              <w:rPr>
                <w:rFonts w:hint="eastAsia" w:ascii="宋体" w:hAnsi="宋体" w:eastAsia="宋体" w:cs="宋体"/>
                <w:color w:val="auto"/>
                <w:spacing w:val="14"/>
                <w:sz w:val="24"/>
                <w:szCs w:val="24"/>
                <w:lang w:eastAsia="zh-CN"/>
              </w:rPr>
              <w:t>洛阳市财政局政府采购监督管理科</w:t>
            </w:r>
            <w:r>
              <w:rPr>
                <w:rFonts w:hint="eastAsia" w:ascii="宋体" w:hAnsi="宋体" w:eastAsia="宋体" w:cs="宋体"/>
                <w:color w:val="auto"/>
                <w:spacing w:val="14"/>
                <w:sz w:val="24"/>
                <w:szCs w:val="24"/>
                <w:lang w:val="en-US" w:eastAsia="zh-CN"/>
              </w:rPr>
              <w:t xml:space="preserve">、0379-63221264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Merge w:val="continue"/>
            <w:tcBorders>
              <w:left w:val="single" w:color="auto" w:sz="4" w:space="0"/>
              <w:right w:val="single" w:color="auto" w:sz="4" w:space="0"/>
            </w:tcBorders>
            <w:noWrap w:val="0"/>
            <w:vAlign w:val="top"/>
          </w:tcPr>
          <w:p>
            <w:pPr>
              <w:pStyle w:val="156"/>
              <w:keepNext w:val="0"/>
              <w:keepLines w:val="0"/>
              <w:pageBreakBefore w:val="0"/>
              <w:kinsoku/>
              <w:wordWrap/>
              <w:overflowPunct/>
              <w:topLinePunct w:val="0"/>
              <w:autoSpaceDE/>
              <w:autoSpaceDN/>
              <w:bidi w:val="0"/>
              <w:adjustRightInd w:val="0"/>
              <w:snapToGrid w:val="0"/>
              <w:spacing w:line="264" w:lineRule="auto"/>
              <w:ind w:firstLine="237" w:firstLineChars="100"/>
              <w:jc w:val="left"/>
              <w:textAlignment w:val="auto"/>
              <w:rPr>
                <w:rFonts w:hint="eastAsia" w:ascii="宋体" w:hAnsi="宋体" w:eastAsia="宋体" w:cs="宋体"/>
                <w:color w:val="auto"/>
                <w:spacing w:val="14"/>
                <w:sz w:val="24"/>
                <w:szCs w:val="24"/>
                <w:lang w:val="en-US" w:eastAsia="zh-CN"/>
              </w:rPr>
            </w:pPr>
          </w:p>
        </w:tc>
        <w:tc>
          <w:tcPr>
            <w:tcW w:w="2665" w:type="dxa"/>
            <w:vMerge w:val="continue"/>
            <w:tcBorders>
              <w:left w:val="single" w:color="auto" w:sz="4" w:space="0"/>
              <w:right w:val="single" w:color="auto" w:sz="4" w:space="0"/>
            </w:tcBorders>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highlight w:val="none"/>
              </w:rPr>
            </w:pPr>
          </w:p>
        </w:tc>
        <w:tc>
          <w:tcPr>
            <w:tcW w:w="5297" w:type="dxa"/>
            <w:tcBorders>
              <w:top w:val="single" w:color="auto" w:sz="4" w:space="0"/>
              <w:left w:val="single" w:color="auto" w:sz="4" w:space="0"/>
              <w:bottom w:val="single" w:color="auto" w:sz="4" w:space="0"/>
              <w:right w:val="single" w:color="auto" w:sz="4" w:space="0"/>
            </w:tcBorders>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textAlignment w:val="auto"/>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踏勘现场</w:t>
            </w: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lang w:val="en-US" w:eastAsia="zh-CN"/>
              </w:rPr>
              <w:t>不组织，供应商在得到采购文件后根据需要自主决定是否到本项目所在地察看现场,以获取有关编制响应文件所需的各种资料，如场地现状、周边环境等因素，按现场实际情况结合投标单位自身经验，将此费用考虑到投标报价中，如有疑问，可在采购开启前问询采购人或代理机构，一经中标，不得以不完全了解现场情况为借口，而提出延长合同履行期限和提高预算等要求。供应商应承担现场踏勘的责任、失误和风险，踏勘现场的费用由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Merge w:val="continue"/>
            <w:tcBorders>
              <w:left w:val="single" w:color="auto" w:sz="4" w:space="0"/>
              <w:right w:val="single" w:color="auto" w:sz="4" w:space="0"/>
            </w:tcBorders>
            <w:noWrap w:val="0"/>
            <w:vAlign w:val="top"/>
          </w:tcPr>
          <w:p>
            <w:pPr>
              <w:pStyle w:val="156"/>
              <w:keepNext w:val="0"/>
              <w:keepLines w:val="0"/>
              <w:pageBreakBefore w:val="0"/>
              <w:kinsoku/>
              <w:wordWrap/>
              <w:overflowPunct/>
              <w:topLinePunct w:val="0"/>
              <w:autoSpaceDE/>
              <w:autoSpaceDN/>
              <w:bidi w:val="0"/>
              <w:adjustRightInd w:val="0"/>
              <w:snapToGrid w:val="0"/>
              <w:spacing w:line="264" w:lineRule="auto"/>
              <w:ind w:firstLine="237" w:firstLineChars="100"/>
              <w:jc w:val="left"/>
              <w:textAlignment w:val="auto"/>
              <w:rPr>
                <w:rFonts w:hint="eastAsia" w:ascii="宋体" w:hAnsi="宋体" w:eastAsia="宋体" w:cs="宋体"/>
                <w:color w:val="auto"/>
                <w:spacing w:val="14"/>
                <w:sz w:val="24"/>
                <w:szCs w:val="24"/>
                <w:lang w:val="en-US" w:eastAsia="zh-CN"/>
              </w:rPr>
            </w:pPr>
          </w:p>
        </w:tc>
        <w:tc>
          <w:tcPr>
            <w:tcW w:w="2665" w:type="dxa"/>
            <w:vMerge w:val="continue"/>
            <w:tcBorders>
              <w:left w:val="single" w:color="auto" w:sz="4" w:space="0"/>
              <w:right w:val="single" w:color="auto" w:sz="4" w:space="0"/>
            </w:tcBorders>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textAlignment w:val="auto"/>
              <w:rPr>
                <w:rFonts w:hint="eastAsia" w:ascii="宋体" w:hAnsi="宋体" w:eastAsia="宋体" w:cs="宋体"/>
                <w:color w:val="auto"/>
                <w:spacing w:val="14"/>
                <w:sz w:val="24"/>
                <w:szCs w:val="24"/>
                <w:highlight w:val="none"/>
              </w:rPr>
            </w:pPr>
          </w:p>
        </w:tc>
        <w:tc>
          <w:tcPr>
            <w:tcW w:w="5297" w:type="dxa"/>
            <w:tcBorders>
              <w:top w:val="single" w:color="auto" w:sz="4" w:space="0"/>
              <w:left w:val="single" w:color="auto" w:sz="4" w:space="0"/>
              <w:bottom w:val="single" w:color="auto" w:sz="4" w:space="0"/>
              <w:right w:val="single" w:color="auto" w:sz="4" w:space="0"/>
            </w:tcBorders>
            <w:noWrap w:val="0"/>
            <w:vAlign w:val="center"/>
          </w:tcPr>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textAlignment w:val="auto"/>
              <w:rPr>
                <w:rFonts w:hint="eastAsia" w:ascii="宋体" w:hAnsi="宋体" w:eastAsia="宋体" w:cs="宋体"/>
                <w:color w:val="000000"/>
                <w:spacing w:val="14"/>
                <w:sz w:val="24"/>
                <w:szCs w:val="24"/>
                <w:highlight w:val="none"/>
                <w:lang w:val="en-US" w:eastAsia="zh-CN"/>
              </w:rPr>
            </w:pPr>
            <w:r>
              <w:rPr>
                <w:rFonts w:hint="eastAsia" w:ascii="宋体" w:hAnsi="宋体" w:eastAsia="宋体" w:cs="宋体"/>
                <w:color w:val="000000"/>
                <w:spacing w:val="14"/>
                <w:sz w:val="24"/>
                <w:szCs w:val="24"/>
                <w:highlight w:val="none"/>
                <w:lang w:val="en-US" w:eastAsia="zh-CN"/>
              </w:rPr>
              <w:t>本项目代理服务费6000元由成交供应商支付，支付标准依据洛财购[2019]3号文件执行；论证费3000元。</w:t>
            </w:r>
          </w:p>
          <w:p>
            <w:pPr>
              <w:pStyle w:val="156"/>
              <w:keepNext w:val="0"/>
              <w:keepLines w:val="0"/>
              <w:pageBreakBefore w:val="0"/>
              <w:kinsoku/>
              <w:wordWrap/>
              <w:overflowPunct/>
              <w:topLinePunct w:val="0"/>
              <w:autoSpaceDE/>
              <w:autoSpaceDN/>
              <w:bidi w:val="0"/>
              <w:adjustRightInd w:val="0"/>
              <w:snapToGrid w:val="0"/>
              <w:spacing w:line="264" w:lineRule="auto"/>
              <w:ind w:firstLine="0" w:firstLineChars="0"/>
              <w:textAlignment w:val="auto"/>
              <w:rPr>
                <w:rFonts w:hint="eastAsia" w:ascii="宋体" w:hAnsi="宋体" w:eastAsia="宋体" w:cs="宋体"/>
                <w:color w:val="FF0000"/>
                <w:spacing w:val="14"/>
                <w:sz w:val="24"/>
                <w:szCs w:val="24"/>
                <w:highlight w:val="none"/>
              </w:rPr>
            </w:pPr>
            <w:r>
              <w:rPr>
                <w:rFonts w:hint="eastAsia" w:ascii="宋体" w:hAnsi="宋体" w:eastAsia="宋体" w:cs="宋体"/>
                <w:color w:val="000000"/>
                <w:spacing w:val="14"/>
                <w:sz w:val="24"/>
                <w:szCs w:val="24"/>
                <w:highlight w:val="none"/>
                <w:lang w:val="en-US" w:eastAsia="zh-CN"/>
              </w:rPr>
              <w:t>评审专家费依据豫财购[2017]9号执行。</w:t>
            </w:r>
          </w:p>
        </w:tc>
      </w:tr>
    </w:tbl>
    <w:p>
      <w:pPr>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总则</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pacing w:val="14"/>
          <w:sz w:val="24"/>
          <w:szCs w:val="24"/>
        </w:rPr>
      </w:pPr>
      <w:bookmarkStart w:id="14" w:name="_Toc1662500"/>
      <w:r>
        <w:rPr>
          <w:rFonts w:hint="eastAsia" w:ascii="宋体" w:hAnsi="宋体" w:eastAsia="宋体" w:cs="宋体"/>
          <w:b/>
          <w:bCs/>
          <w:color w:val="auto"/>
          <w:sz w:val="24"/>
          <w:szCs w:val="24"/>
        </w:rPr>
        <w:t>1.1</w:t>
      </w:r>
      <w:r>
        <w:rPr>
          <w:rFonts w:hint="eastAsia" w:ascii="宋体" w:hAnsi="宋体" w:eastAsia="宋体" w:cs="宋体"/>
          <w:b/>
          <w:bCs/>
          <w:color w:val="auto"/>
          <w:sz w:val="24"/>
          <w:szCs w:val="24"/>
          <w:lang w:eastAsia="zh-CN"/>
        </w:rPr>
        <w:t>采购</w:t>
      </w:r>
      <w:r>
        <w:rPr>
          <w:rFonts w:hint="eastAsia" w:ascii="宋体" w:hAnsi="宋体" w:eastAsia="宋体" w:cs="宋体"/>
          <w:b/>
          <w:bCs/>
          <w:color w:val="auto"/>
          <w:sz w:val="24"/>
          <w:szCs w:val="24"/>
        </w:rPr>
        <w:t>项目概况</w:t>
      </w:r>
      <w:bookmarkEnd w:id="14"/>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1.1.1根据《中华人民共和国政府采购法》《中华人民共和国政府采购法实施条例》《政府采购非招标采购方式管理办法》等有关</w:t>
      </w:r>
      <w:r>
        <w:rPr>
          <w:rFonts w:hint="eastAsia" w:ascii="宋体" w:hAnsi="宋体" w:eastAsia="宋体" w:cs="宋体"/>
          <w:color w:val="auto"/>
          <w:spacing w:val="14"/>
          <w:sz w:val="24"/>
          <w:szCs w:val="24"/>
          <w:lang w:eastAsia="zh-CN"/>
        </w:rPr>
        <w:t>法律法规</w:t>
      </w:r>
      <w:r>
        <w:rPr>
          <w:rFonts w:hint="eastAsia" w:ascii="宋体" w:hAnsi="宋体" w:eastAsia="宋体" w:cs="宋体"/>
          <w:color w:val="auto"/>
          <w:spacing w:val="14"/>
          <w:sz w:val="24"/>
          <w:szCs w:val="24"/>
        </w:rPr>
        <w:t>和规章的规定，本采购项目已具备采购条件，现进行采购。</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1.1.2采购人：见供应商须知前附表。</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1.1.3采购代理机构：见供应商须知前附表。</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1.1.4采购项目名称：见供应商须知前附表。</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1.1.5落实政府采购政策要求</w:t>
      </w:r>
      <w:r>
        <w:rPr>
          <w:rFonts w:hint="eastAsia" w:ascii="宋体" w:hAnsi="宋体" w:eastAsia="宋体" w:cs="宋体"/>
          <w:color w:val="auto"/>
          <w:spacing w:val="14"/>
          <w:sz w:val="24"/>
          <w:szCs w:val="24"/>
          <w:lang w:eastAsia="zh-CN"/>
        </w:rPr>
        <w:t>：</w:t>
      </w:r>
      <w:r>
        <w:rPr>
          <w:rFonts w:hint="eastAsia" w:ascii="宋体" w:hAnsi="宋体" w:eastAsia="宋体" w:cs="宋体"/>
          <w:color w:val="auto"/>
          <w:spacing w:val="14"/>
          <w:sz w:val="24"/>
          <w:szCs w:val="24"/>
        </w:rPr>
        <w:t>见供应商须知前附表。</w:t>
      </w:r>
    </w:p>
    <w:p>
      <w:pPr>
        <w:pStyle w:val="156"/>
        <w:keepNext w:val="0"/>
        <w:keepLines w:val="0"/>
        <w:pageBreakBefore w:val="0"/>
        <w:numPr>
          <w:ilvl w:val="0"/>
          <w:numId w:val="0"/>
        </w:numPr>
        <w:kinsoku/>
        <w:wordWrap/>
        <w:overflowPunct/>
        <w:topLinePunct w:val="0"/>
        <w:autoSpaceDE/>
        <w:autoSpaceDN/>
        <w:bidi w:val="0"/>
        <w:adjustRightInd/>
        <w:snapToGrid/>
        <w:spacing w:line="264" w:lineRule="auto"/>
        <w:ind w:firstLine="474" w:firstLineChars="200"/>
        <w:textAlignment w:val="auto"/>
        <w:rPr>
          <w:rFonts w:hint="eastAsia" w:ascii="宋体" w:hAnsi="宋体" w:eastAsia="宋体" w:cs="宋体"/>
          <w:color w:val="auto"/>
          <w:spacing w:val="14"/>
          <w:sz w:val="24"/>
          <w:szCs w:val="24"/>
        </w:rPr>
      </w:pPr>
      <w:bookmarkStart w:id="15" w:name="_Toc1662501"/>
      <w:r>
        <w:rPr>
          <w:rFonts w:hint="eastAsia" w:ascii="宋体" w:hAnsi="宋体" w:eastAsia="宋体" w:cs="宋体"/>
          <w:color w:val="auto"/>
          <w:spacing w:val="14"/>
          <w:sz w:val="24"/>
          <w:szCs w:val="24"/>
          <w:lang w:val="en-US" w:eastAsia="zh-CN" w:bidi="ar-SA"/>
        </w:rPr>
        <w:t>（1）</w:t>
      </w:r>
      <w:r>
        <w:rPr>
          <w:rFonts w:hint="eastAsia" w:ascii="宋体" w:hAnsi="宋体" w:eastAsia="宋体" w:cs="宋体"/>
          <w:color w:val="auto"/>
          <w:spacing w:val="14"/>
          <w:sz w:val="24"/>
          <w:szCs w:val="24"/>
        </w:rPr>
        <w:t xml:space="preserve">如果本项目报经政府采购管理部门批准允许采购进口产品，投标人可投进口产品，也可投国产产品。但进口货物及其有关服务必须符合原产地和/或中华人民共和国的设计和制造生产标准或行业标准。进口的货物必须具有合法的进口手续和途径，并通过中华人民共和国商检部门检验。 </w:t>
      </w:r>
    </w:p>
    <w:p>
      <w:pPr>
        <w:pStyle w:val="156"/>
        <w:keepNext w:val="0"/>
        <w:keepLines w:val="0"/>
        <w:pageBreakBefore w:val="0"/>
        <w:numPr>
          <w:ilvl w:val="0"/>
          <w:numId w:val="0"/>
        </w:numPr>
        <w:kinsoku/>
        <w:wordWrap/>
        <w:overflowPunct/>
        <w:topLinePunct w:val="0"/>
        <w:autoSpaceDE/>
        <w:autoSpaceDN/>
        <w:bidi w:val="0"/>
        <w:adjustRightInd/>
        <w:snapToGrid/>
        <w:spacing w:line="264" w:lineRule="auto"/>
        <w:ind w:firstLine="474" w:firstLineChars="20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val="en-US" w:eastAsia="zh-CN" w:bidi="ar-SA"/>
        </w:rPr>
        <w:t>（2）</w:t>
      </w:r>
      <w:r>
        <w:rPr>
          <w:rFonts w:hint="eastAsia" w:ascii="宋体" w:hAnsi="宋体" w:eastAsia="宋体" w:cs="宋体"/>
          <w:color w:val="auto"/>
          <w:spacing w:val="14"/>
          <w:sz w:val="24"/>
          <w:szCs w:val="24"/>
        </w:rPr>
        <w:t xml:space="preserve">本项目执行财政部、工业和信息化部《政府采购促进中小企业发展管理办法》（财库〔2020〕46号）的规定。 </w:t>
      </w:r>
    </w:p>
    <w:p>
      <w:pPr>
        <w:pStyle w:val="156"/>
        <w:keepNext w:val="0"/>
        <w:keepLines w:val="0"/>
        <w:pageBreakBefore w:val="0"/>
        <w:numPr>
          <w:ilvl w:val="0"/>
          <w:numId w:val="0"/>
        </w:numPr>
        <w:kinsoku/>
        <w:wordWrap/>
        <w:overflowPunct/>
        <w:topLinePunct w:val="0"/>
        <w:autoSpaceDE/>
        <w:autoSpaceDN/>
        <w:bidi w:val="0"/>
        <w:adjustRightInd/>
        <w:snapToGrid/>
        <w:spacing w:line="264" w:lineRule="auto"/>
        <w:ind w:firstLine="474" w:firstLineChars="20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156"/>
        <w:keepNext w:val="0"/>
        <w:keepLines w:val="0"/>
        <w:pageBreakBefore w:val="0"/>
        <w:numPr>
          <w:ilvl w:val="0"/>
          <w:numId w:val="0"/>
        </w:numPr>
        <w:kinsoku/>
        <w:wordWrap/>
        <w:overflowPunct/>
        <w:topLinePunct w:val="0"/>
        <w:autoSpaceDE/>
        <w:autoSpaceDN/>
        <w:bidi w:val="0"/>
        <w:adjustRightInd/>
        <w:snapToGrid/>
        <w:spacing w:line="264" w:lineRule="auto"/>
        <w:ind w:firstLine="474" w:firstLineChars="20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在服务采购项目中，服务由中小企业承接，即提供服务的人员为中小企业依照《</w:t>
      </w:r>
      <w:r>
        <w:rPr>
          <w:rFonts w:hint="eastAsia" w:ascii="宋体" w:hAnsi="宋体" w:eastAsia="宋体" w:cs="宋体"/>
          <w:color w:val="auto"/>
          <w:spacing w:val="14"/>
          <w:sz w:val="24"/>
          <w:szCs w:val="24"/>
          <w:lang w:eastAsia="zh-CN"/>
        </w:rPr>
        <w:t>中华人民共和国民法典</w:t>
      </w:r>
      <w:r>
        <w:rPr>
          <w:rFonts w:hint="eastAsia" w:ascii="宋体" w:hAnsi="宋体" w:eastAsia="宋体" w:cs="宋体"/>
          <w:color w:val="auto"/>
          <w:spacing w:val="14"/>
          <w:sz w:val="24"/>
          <w:szCs w:val="24"/>
        </w:rPr>
        <w:t>》订立劳动合同的从业人员。</w:t>
      </w:r>
    </w:p>
    <w:p>
      <w:pPr>
        <w:pStyle w:val="156"/>
        <w:keepNext w:val="0"/>
        <w:keepLines w:val="0"/>
        <w:pageBreakBefore w:val="0"/>
        <w:numPr>
          <w:ilvl w:val="0"/>
          <w:numId w:val="0"/>
        </w:numPr>
        <w:kinsoku/>
        <w:wordWrap/>
        <w:overflowPunct/>
        <w:topLinePunct w:val="0"/>
        <w:autoSpaceDE/>
        <w:autoSpaceDN/>
        <w:bidi w:val="0"/>
        <w:adjustRightInd/>
        <w:snapToGrid/>
        <w:spacing w:line="264" w:lineRule="auto"/>
        <w:ind w:firstLine="474" w:firstLineChars="20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 xml:space="preserve">非专门面向中小企业采购的采购项目（采购包）对符合《政府采购促进中小企业发展管理办法》规定的小微企业报价给予扣除（扣除比例详见投标人须知前附表）；专门面向中小企业采购的采购项目（采购包），不执行价格扣除政策。 </w:t>
      </w:r>
    </w:p>
    <w:p>
      <w:pPr>
        <w:pStyle w:val="156"/>
        <w:keepNext w:val="0"/>
        <w:keepLines w:val="0"/>
        <w:pageBreakBefore w:val="0"/>
        <w:numPr>
          <w:ilvl w:val="0"/>
          <w:numId w:val="0"/>
        </w:numPr>
        <w:kinsoku/>
        <w:wordWrap/>
        <w:overflowPunct/>
        <w:topLinePunct w:val="0"/>
        <w:autoSpaceDE/>
        <w:autoSpaceDN/>
        <w:bidi w:val="0"/>
        <w:adjustRightInd/>
        <w:snapToGrid/>
        <w:spacing w:line="264" w:lineRule="auto"/>
        <w:ind w:left="0" w:leftChars="0" w:firstLine="482" w:firstLineChars="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val="en-US" w:eastAsia="zh-CN" w:bidi="ar-SA"/>
        </w:rPr>
        <w:t>（3）</w:t>
      </w:r>
      <w:r>
        <w:rPr>
          <w:rFonts w:hint="eastAsia" w:ascii="宋体" w:hAnsi="宋体" w:eastAsia="宋体" w:cs="宋体"/>
          <w:color w:val="auto"/>
          <w:spacing w:val="14"/>
          <w:sz w:val="24"/>
          <w:szCs w:val="24"/>
        </w:rPr>
        <w:t>根据财政部司法部《关于政府采购支持监狱企业发展有关问题的通知》（财库〔2014〕68号）规定，监狱企业视同小型、微型企业，享受评审中价格扣除等政府采购促进中小企业发展的政府采购政策。</w:t>
      </w:r>
    </w:p>
    <w:p>
      <w:pPr>
        <w:pStyle w:val="156"/>
        <w:keepNext w:val="0"/>
        <w:keepLines w:val="0"/>
        <w:pageBreakBefore w:val="0"/>
        <w:numPr>
          <w:ilvl w:val="0"/>
          <w:numId w:val="0"/>
        </w:numPr>
        <w:kinsoku/>
        <w:wordWrap/>
        <w:overflowPunct/>
        <w:topLinePunct w:val="0"/>
        <w:autoSpaceDE/>
        <w:autoSpaceDN/>
        <w:bidi w:val="0"/>
        <w:adjustRightInd/>
        <w:snapToGrid/>
        <w:spacing w:line="264" w:lineRule="auto"/>
        <w:ind w:left="0" w:leftChars="0" w:firstLine="482" w:firstLineChars="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val="en-US" w:eastAsia="zh-CN" w:bidi="ar-SA"/>
        </w:rPr>
        <w:t>（4）</w:t>
      </w:r>
      <w:r>
        <w:rPr>
          <w:rFonts w:hint="eastAsia" w:ascii="宋体" w:hAnsi="宋体" w:eastAsia="宋体" w:cs="宋体"/>
          <w:color w:val="auto"/>
          <w:spacing w:val="14"/>
          <w:sz w:val="24"/>
          <w:szCs w:val="24"/>
        </w:rPr>
        <w:t xml:space="preserve">根据财政部民政部中国残疾人联合会《关于促进残疾人就业政府采购政策的通知》（财库〔2017〕141号）规定，残疾人福利性单位视同小型、微型企业，享受评审中价格扣除等政府采购促进中小企业发展的政府采购政策。 </w:t>
      </w:r>
    </w:p>
    <w:p>
      <w:pPr>
        <w:pStyle w:val="156"/>
        <w:keepNext w:val="0"/>
        <w:keepLines w:val="0"/>
        <w:pageBreakBefore w:val="0"/>
        <w:numPr>
          <w:ilvl w:val="0"/>
          <w:numId w:val="0"/>
        </w:numPr>
        <w:kinsoku/>
        <w:wordWrap/>
        <w:overflowPunct/>
        <w:topLinePunct w:val="0"/>
        <w:autoSpaceDE/>
        <w:autoSpaceDN/>
        <w:bidi w:val="0"/>
        <w:adjustRightInd/>
        <w:snapToGrid/>
        <w:spacing w:line="264" w:lineRule="auto"/>
        <w:ind w:left="0" w:leftChars="0" w:firstLine="482" w:firstLineChars="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val="en-US" w:eastAsia="zh-CN" w:bidi="ar-SA"/>
        </w:rPr>
        <w:t>（5）</w:t>
      </w:r>
      <w:r>
        <w:rPr>
          <w:rFonts w:hint="eastAsia" w:ascii="宋体" w:hAnsi="宋体" w:eastAsia="宋体" w:cs="宋体"/>
          <w:color w:val="auto"/>
          <w:spacing w:val="14"/>
          <w:sz w:val="24"/>
          <w:szCs w:val="24"/>
        </w:rPr>
        <w:t>同一投标人（包括联合体），中小微企业产品、监狱企业产品、残疾人福利性单位产品价格扣除优惠只享受一次，不得重复享受。</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1.1.6采购编号</w:t>
      </w:r>
      <w:r>
        <w:rPr>
          <w:rFonts w:hint="eastAsia" w:ascii="宋体" w:hAnsi="宋体" w:eastAsia="宋体" w:cs="宋体"/>
          <w:color w:val="auto"/>
          <w:spacing w:val="14"/>
          <w:sz w:val="24"/>
          <w:szCs w:val="24"/>
          <w:lang w:eastAsia="zh-CN"/>
        </w:rPr>
        <w:t>：</w:t>
      </w:r>
      <w:r>
        <w:rPr>
          <w:rFonts w:hint="eastAsia" w:ascii="宋体" w:hAnsi="宋体" w:eastAsia="宋体" w:cs="宋体"/>
          <w:color w:val="auto"/>
          <w:spacing w:val="14"/>
          <w:sz w:val="24"/>
          <w:szCs w:val="24"/>
        </w:rPr>
        <w:t>见供应商须知前附表。</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1.1.</w:t>
      </w:r>
      <w:r>
        <w:rPr>
          <w:rFonts w:hint="eastAsia" w:ascii="宋体" w:hAnsi="宋体" w:eastAsia="宋体" w:cs="宋体"/>
          <w:color w:val="auto"/>
          <w:spacing w:val="14"/>
          <w:sz w:val="24"/>
          <w:szCs w:val="24"/>
          <w:lang w:eastAsia="zh-CN"/>
        </w:rPr>
        <w:t>7项目</w:t>
      </w:r>
      <w:r>
        <w:rPr>
          <w:rFonts w:hint="eastAsia" w:ascii="宋体" w:hAnsi="宋体" w:eastAsia="宋体" w:cs="宋体"/>
          <w:color w:val="auto"/>
          <w:spacing w:val="14"/>
          <w:sz w:val="24"/>
          <w:szCs w:val="24"/>
        </w:rPr>
        <w:t>编号</w:t>
      </w:r>
      <w:r>
        <w:rPr>
          <w:rFonts w:hint="eastAsia" w:ascii="宋体" w:hAnsi="宋体" w:eastAsia="宋体" w:cs="宋体"/>
          <w:color w:val="auto"/>
          <w:spacing w:val="14"/>
          <w:sz w:val="24"/>
          <w:szCs w:val="24"/>
          <w:lang w:eastAsia="zh-CN"/>
        </w:rPr>
        <w:t>：</w:t>
      </w:r>
      <w:r>
        <w:rPr>
          <w:rFonts w:hint="eastAsia" w:ascii="宋体" w:hAnsi="宋体" w:eastAsia="宋体" w:cs="宋体"/>
          <w:color w:val="auto"/>
          <w:spacing w:val="14"/>
          <w:sz w:val="24"/>
          <w:szCs w:val="24"/>
        </w:rPr>
        <w:t>见供应商须知前附表。</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1.1.</w:t>
      </w:r>
      <w:r>
        <w:rPr>
          <w:rFonts w:hint="eastAsia" w:ascii="宋体" w:hAnsi="宋体" w:eastAsia="宋体" w:cs="宋体"/>
          <w:color w:val="auto"/>
          <w:spacing w:val="14"/>
          <w:sz w:val="24"/>
          <w:szCs w:val="24"/>
          <w:lang w:eastAsia="zh-CN"/>
        </w:rPr>
        <w:t>8</w:t>
      </w:r>
      <w:r>
        <w:rPr>
          <w:rFonts w:hint="eastAsia" w:ascii="宋体" w:hAnsi="宋体" w:eastAsia="宋体" w:cs="宋体"/>
          <w:color w:val="auto"/>
          <w:spacing w:val="14"/>
          <w:sz w:val="24"/>
          <w:szCs w:val="24"/>
        </w:rPr>
        <w:t>采购包划分</w:t>
      </w:r>
      <w:r>
        <w:rPr>
          <w:rFonts w:hint="eastAsia" w:ascii="宋体" w:hAnsi="宋体" w:eastAsia="宋体" w:cs="宋体"/>
          <w:color w:val="auto"/>
          <w:spacing w:val="14"/>
          <w:sz w:val="24"/>
          <w:szCs w:val="24"/>
          <w:lang w:eastAsia="zh-CN"/>
        </w:rPr>
        <w:t>：</w:t>
      </w:r>
      <w:r>
        <w:rPr>
          <w:rFonts w:hint="eastAsia" w:ascii="宋体" w:hAnsi="宋体" w:eastAsia="宋体" w:cs="宋体"/>
          <w:color w:val="auto"/>
          <w:spacing w:val="14"/>
          <w:sz w:val="24"/>
          <w:szCs w:val="24"/>
        </w:rPr>
        <w:t>见供应商须知前附表。</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1.2采购项目的资金来源及付款方式</w:t>
      </w:r>
      <w:bookmarkEnd w:id="15"/>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1.2.1资金来源</w:t>
      </w:r>
      <w:r>
        <w:rPr>
          <w:rFonts w:hint="eastAsia" w:ascii="宋体" w:hAnsi="宋体" w:eastAsia="宋体" w:cs="宋体"/>
          <w:color w:val="auto"/>
          <w:spacing w:val="14"/>
          <w:sz w:val="24"/>
          <w:szCs w:val="24"/>
          <w:lang w:eastAsia="zh-CN"/>
        </w:rPr>
        <w:t>：</w:t>
      </w:r>
      <w:r>
        <w:rPr>
          <w:rFonts w:hint="eastAsia" w:ascii="宋体" w:hAnsi="宋体" w:eastAsia="宋体" w:cs="宋体"/>
          <w:color w:val="auto"/>
          <w:spacing w:val="14"/>
          <w:sz w:val="24"/>
          <w:szCs w:val="24"/>
        </w:rPr>
        <w:t>见供应商须知前附表。</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1.2.2付款方式</w:t>
      </w:r>
      <w:r>
        <w:rPr>
          <w:rFonts w:hint="eastAsia" w:ascii="宋体" w:hAnsi="宋体" w:eastAsia="宋体" w:cs="宋体"/>
          <w:color w:val="auto"/>
          <w:spacing w:val="14"/>
          <w:sz w:val="24"/>
          <w:szCs w:val="24"/>
          <w:lang w:eastAsia="zh-CN"/>
        </w:rPr>
        <w:t>：</w:t>
      </w:r>
      <w:r>
        <w:rPr>
          <w:rFonts w:hint="eastAsia" w:ascii="宋体" w:hAnsi="宋体" w:eastAsia="宋体" w:cs="宋体"/>
          <w:color w:val="auto"/>
          <w:spacing w:val="14"/>
          <w:sz w:val="24"/>
          <w:szCs w:val="24"/>
        </w:rPr>
        <w:t>见供应商须知前附表，不接受该条件的响应将被否决。</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bookmarkStart w:id="16" w:name="_Toc1662503"/>
      <w:r>
        <w:rPr>
          <w:rFonts w:hint="eastAsia" w:ascii="宋体" w:hAnsi="宋体" w:eastAsia="宋体" w:cs="宋体"/>
          <w:b/>
          <w:bCs/>
          <w:color w:val="auto"/>
          <w:sz w:val="24"/>
          <w:szCs w:val="24"/>
        </w:rPr>
        <w:t>1.3服务期及履约验收</w:t>
      </w:r>
    </w:p>
    <w:p>
      <w:pPr>
        <w:keepNext w:val="0"/>
        <w:keepLines w:val="0"/>
        <w:pageBreakBefore w:val="0"/>
        <w:kinsoku/>
        <w:wordWrap/>
        <w:overflowPunct/>
        <w:topLinePunct w:val="0"/>
        <w:autoSpaceDE/>
        <w:autoSpaceDN/>
        <w:bidi w:val="0"/>
        <w:adjustRightInd/>
        <w:snapToGrid/>
        <w:spacing w:line="264" w:lineRule="auto"/>
        <w:ind w:firstLine="474" w:firstLineChars="200"/>
        <w:textAlignment w:val="auto"/>
        <w:outlineLvl w:val="9"/>
        <w:rPr>
          <w:rFonts w:hint="eastAsia" w:ascii="宋体" w:hAnsi="宋体" w:eastAsia="宋体" w:cs="宋体"/>
          <w:b w:val="0"/>
          <w:bCs w:val="0"/>
          <w:color w:val="auto"/>
          <w:spacing w:val="14"/>
          <w:sz w:val="24"/>
          <w:szCs w:val="24"/>
          <w:lang w:val="en-US" w:eastAsia="zh-CN" w:bidi="ar-SA"/>
        </w:rPr>
      </w:pPr>
      <w:r>
        <w:rPr>
          <w:rFonts w:hint="eastAsia" w:ascii="宋体" w:hAnsi="宋体" w:eastAsia="宋体" w:cs="宋体"/>
          <w:b w:val="0"/>
          <w:bCs w:val="0"/>
          <w:color w:val="auto"/>
          <w:spacing w:val="14"/>
          <w:sz w:val="24"/>
          <w:szCs w:val="24"/>
          <w:lang w:val="en-US" w:eastAsia="zh-CN" w:bidi="ar-SA"/>
        </w:rPr>
        <w:t>1.3.1服务期：见供应商须知前附表，不接受该条件的响应将被否决。</w:t>
      </w:r>
    </w:p>
    <w:p>
      <w:pPr>
        <w:keepNext w:val="0"/>
        <w:keepLines w:val="0"/>
        <w:pageBreakBefore w:val="0"/>
        <w:kinsoku/>
        <w:wordWrap/>
        <w:overflowPunct/>
        <w:topLinePunct w:val="0"/>
        <w:autoSpaceDE/>
        <w:autoSpaceDN/>
        <w:bidi w:val="0"/>
        <w:adjustRightInd/>
        <w:snapToGrid/>
        <w:spacing w:line="264" w:lineRule="auto"/>
        <w:ind w:firstLine="474" w:firstLineChars="200"/>
        <w:textAlignment w:val="auto"/>
        <w:outlineLvl w:val="9"/>
        <w:rPr>
          <w:rFonts w:hint="eastAsia" w:ascii="宋体" w:hAnsi="宋体" w:eastAsia="宋体" w:cs="宋体"/>
          <w:b w:val="0"/>
          <w:bCs w:val="0"/>
          <w:color w:val="auto"/>
          <w:spacing w:val="14"/>
          <w:sz w:val="24"/>
          <w:szCs w:val="24"/>
          <w:lang w:val="en-US" w:eastAsia="zh-CN" w:bidi="ar-SA"/>
        </w:rPr>
      </w:pPr>
      <w:r>
        <w:rPr>
          <w:rFonts w:hint="eastAsia" w:ascii="宋体" w:hAnsi="宋体" w:eastAsia="宋体" w:cs="宋体"/>
          <w:b w:val="0"/>
          <w:bCs w:val="0"/>
          <w:color w:val="auto"/>
          <w:spacing w:val="14"/>
          <w:sz w:val="24"/>
          <w:szCs w:val="24"/>
          <w:lang w:val="en-US" w:eastAsia="zh-CN" w:bidi="ar-SA"/>
        </w:rPr>
        <w:t>1.3.2履约验收</w:t>
      </w:r>
      <w:r>
        <w:rPr>
          <w:rFonts w:hint="eastAsia" w:cs="宋体"/>
          <w:b w:val="0"/>
          <w:bCs w:val="0"/>
          <w:color w:val="auto"/>
          <w:spacing w:val="14"/>
          <w:sz w:val="24"/>
          <w:szCs w:val="24"/>
          <w:lang w:val="en-US" w:eastAsia="zh-CN" w:bidi="ar-SA"/>
        </w:rPr>
        <w:t>：</w:t>
      </w:r>
      <w:r>
        <w:rPr>
          <w:rFonts w:hint="eastAsia" w:ascii="宋体" w:hAnsi="宋体" w:eastAsia="宋体" w:cs="宋体"/>
          <w:b w:val="0"/>
          <w:bCs w:val="0"/>
          <w:color w:val="auto"/>
          <w:spacing w:val="14"/>
          <w:sz w:val="24"/>
          <w:szCs w:val="24"/>
          <w:lang w:val="en-US" w:eastAsia="zh-CN" w:bidi="ar-SA"/>
        </w:rPr>
        <w:t>见供应商须知前附表。</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1.4 </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资格要求</w:t>
      </w:r>
      <w:bookmarkEnd w:id="16"/>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1.4.1供应商资格要求：供应商应当符合《</w:t>
      </w:r>
      <w:r>
        <w:rPr>
          <w:rFonts w:hint="eastAsia" w:ascii="宋体" w:hAnsi="宋体" w:eastAsia="宋体" w:cs="宋体"/>
          <w:color w:val="auto"/>
          <w:spacing w:val="14"/>
          <w:sz w:val="24"/>
          <w:szCs w:val="24"/>
          <w:lang w:eastAsia="zh-CN"/>
        </w:rPr>
        <w:t>中华人民共和国政府采购法</w:t>
      </w:r>
      <w:r>
        <w:rPr>
          <w:rFonts w:hint="eastAsia" w:ascii="宋体" w:hAnsi="宋体" w:eastAsia="宋体" w:cs="宋体"/>
          <w:color w:val="auto"/>
          <w:spacing w:val="14"/>
          <w:sz w:val="24"/>
          <w:szCs w:val="24"/>
        </w:rPr>
        <w:t>》第二十二条第一款规定的条件，具体见供应商须知前附表。</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1.4.2供应商须知前附表规定接受联合体的，联合体除应符合本章第 1.4.1 项和供应商须知前附表的要求外，还应遵守以下规定：</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（1）联合体各方应按</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提供的格式签订联合体协议书，明确联合体牵头人和各方权利义务，并承诺就成交项目向采购人承担连带责任；</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（2）两个以上的自然人、法人或者其他组织可以组成一个联合体，以一个供应商的身份共同参加政府采购。</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（3）联合体各方均应当符合《</w:t>
      </w:r>
      <w:r>
        <w:rPr>
          <w:rFonts w:hint="eastAsia" w:ascii="宋体" w:hAnsi="宋体" w:eastAsia="宋体" w:cs="宋体"/>
          <w:color w:val="auto"/>
          <w:spacing w:val="14"/>
          <w:sz w:val="24"/>
          <w:szCs w:val="24"/>
          <w:lang w:eastAsia="zh-CN"/>
        </w:rPr>
        <w:t>中华人民共和国政府采购法</w:t>
      </w:r>
      <w:r>
        <w:rPr>
          <w:rFonts w:hint="eastAsia" w:ascii="宋体" w:hAnsi="宋体" w:eastAsia="宋体" w:cs="宋体"/>
          <w:color w:val="auto"/>
          <w:spacing w:val="14"/>
          <w:sz w:val="24"/>
          <w:szCs w:val="24"/>
        </w:rPr>
        <w:t>》第二十二条第一款规定的条件，根据采购项目的特殊要求规定供应商特定条件的，联合体各方中至少应当有一方符合采购公告规定的供应商资格条件。联合体中有同类资质的供应商按照联合体分工承担相同工作的，应当按照资质等级较低的供应商确定资质等级。</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（4）联合体各方不得再以自己名义单独或参加其他联合体在本采购项目中参与，否则各相关响应文件均无效。</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1.4.3供应商不得存在下列情形之一：</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bookmarkStart w:id="17" w:name="_Toc1662504"/>
      <w:r>
        <w:rPr>
          <w:rFonts w:hint="eastAsia" w:ascii="宋体" w:hAnsi="宋体" w:eastAsia="宋体" w:cs="宋体"/>
          <w:color w:val="auto"/>
          <w:spacing w:val="14"/>
          <w:sz w:val="24"/>
          <w:szCs w:val="24"/>
        </w:rPr>
        <w:t>（1）与采购人存在利害关系且可能影响采购公正性；</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（2）与本采购项目的其他供应商为同一个单位负责人；</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（3）与本采购项目的其他供应商存在直接控股、管理关系；</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（4）为本采购项目提供整体设计、规范编制或者项目管理、监理、检测等服务；</w:t>
      </w:r>
    </w:p>
    <w:p>
      <w:pPr>
        <w:pStyle w:val="156"/>
        <w:keepNext w:val="0"/>
        <w:keepLines w:val="0"/>
        <w:pageBreakBefore w:val="0"/>
        <w:widowControl/>
        <w:kinsoku/>
        <w:wordWrap w:val="0"/>
        <w:overflowPunct/>
        <w:topLinePunct w:val="0"/>
        <w:autoSpaceDE/>
        <w:autoSpaceDN/>
        <w:bidi w:val="0"/>
        <w:adjustRightInd/>
        <w:snapToGrid/>
        <w:spacing w:line="264" w:lineRule="auto"/>
        <w:ind w:firstLine="482"/>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（5）为本采购项目的采购代理机构或与采购代理机构同为一个法定代表人；</w:t>
      </w:r>
    </w:p>
    <w:p>
      <w:pPr>
        <w:pStyle w:val="156"/>
        <w:keepNext w:val="0"/>
        <w:keepLines w:val="0"/>
        <w:pageBreakBefore w:val="0"/>
        <w:widowControl/>
        <w:kinsoku/>
        <w:wordWrap w:val="0"/>
        <w:overflowPunct/>
        <w:topLinePunct w:val="0"/>
        <w:autoSpaceDE/>
        <w:autoSpaceDN/>
        <w:bidi w:val="0"/>
        <w:adjustRightInd/>
        <w:snapToGrid/>
        <w:spacing w:line="264" w:lineRule="auto"/>
        <w:ind w:firstLine="482"/>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rPr>
        <w:t>（6）依据《财政部关于在政府采购活动中查询及使用信用记录有关问题的通知》（财库〔2016〕125号），供应商被“信用中国”网站（www.creditchina.gov.cn）列入严重失信主体名单的；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信息公布栏查询”的。</w:t>
      </w:r>
      <w:r>
        <w:rPr>
          <w:rFonts w:hint="eastAsia" w:ascii="宋体" w:hAnsi="宋体" w:eastAsia="宋体" w:cs="宋体"/>
          <w:b/>
          <w:bCs/>
          <w:color w:val="auto"/>
          <w:spacing w:val="14"/>
          <w:sz w:val="24"/>
          <w:szCs w:val="24"/>
        </w:rPr>
        <w:t>（供应商无需提供证明材料）</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（7）因违法经营受到刑事处罚或者责令停产停业、吊销许可证或者执照、较大数额罚款等行政处罚；</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（8）进入清算程序，或被宣告破产，或其他丧失履约能力的情形；</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（9）法律法规或供应商须知前附表规定的其他情形。</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1.5 费用承担</w:t>
      </w:r>
      <w:bookmarkEnd w:id="17"/>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供应商</w:t>
      </w:r>
      <w:r>
        <w:rPr>
          <w:rFonts w:hint="eastAsia" w:ascii="宋体" w:hAnsi="宋体" w:eastAsia="宋体" w:cs="宋体"/>
          <w:color w:val="auto"/>
          <w:spacing w:val="14"/>
          <w:sz w:val="24"/>
          <w:szCs w:val="24"/>
        </w:rPr>
        <w:t>准备和参加</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活动发生的费用自理。</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bookmarkStart w:id="18" w:name="_Toc1662505"/>
      <w:r>
        <w:rPr>
          <w:rFonts w:hint="eastAsia" w:ascii="宋体" w:hAnsi="宋体" w:eastAsia="宋体" w:cs="宋体"/>
          <w:b/>
          <w:bCs/>
          <w:color w:val="auto"/>
          <w:sz w:val="24"/>
          <w:szCs w:val="24"/>
        </w:rPr>
        <w:t>1.6 保密</w:t>
      </w:r>
      <w:bookmarkEnd w:id="18"/>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参与采购活动的各方应对</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和响应文件中的商业和技术等秘密保密，否则应承担相应的法律责任。</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bookmarkStart w:id="19" w:name="_Toc1662506"/>
      <w:r>
        <w:rPr>
          <w:rFonts w:hint="eastAsia" w:ascii="宋体" w:hAnsi="宋体" w:eastAsia="宋体" w:cs="宋体"/>
          <w:b/>
          <w:bCs/>
          <w:color w:val="auto"/>
          <w:sz w:val="24"/>
          <w:szCs w:val="24"/>
        </w:rPr>
        <w:t>1.7 语言文字</w:t>
      </w:r>
      <w:bookmarkEnd w:id="19"/>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、响应文件使用的语言文字为中文。专用术语使用外文的，应附有中文注释。</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bookmarkStart w:id="20" w:name="_Toc1662507"/>
      <w:r>
        <w:rPr>
          <w:rFonts w:hint="eastAsia" w:ascii="宋体" w:hAnsi="宋体" w:eastAsia="宋体" w:cs="宋体"/>
          <w:b/>
          <w:bCs/>
          <w:color w:val="auto"/>
          <w:sz w:val="24"/>
          <w:szCs w:val="24"/>
        </w:rPr>
        <w:t>1.8 计量单位</w:t>
      </w:r>
      <w:bookmarkEnd w:id="20"/>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rPr>
        <w:t>所有计量均</w:t>
      </w:r>
      <w:r>
        <w:rPr>
          <w:rFonts w:hint="eastAsia" w:ascii="宋体" w:hAnsi="宋体" w:eastAsia="宋体" w:cs="宋体"/>
          <w:color w:val="auto"/>
          <w:spacing w:val="14"/>
          <w:sz w:val="24"/>
          <w:szCs w:val="24"/>
          <w:lang w:val="en-US" w:eastAsia="zh-CN"/>
        </w:rPr>
        <w:t>采用中华人民共和国法定计量单位。</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lang w:val="en-US" w:eastAsia="zh-CN"/>
        </w:rPr>
      </w:pPr>
      <w:bookmarkStart w:id="21" w:name="_Toc1720959"/>
      <w:r>
        <w:rPr>
          <w:rFonts w:hint="eastAsia" w:ascii="宋体" w:hAnsi="宋体" w:eastAsia="宋体" w:cs="宋体"/>
          <w:b/>
          <w:bCs/>
          <w:color w:val="auto"/>
          <w:sz w:val="24"/>
          <w:szCs w:val="24"/>
          <w:lang w:val="en-US" w:eastAsia="zh-CN"/>
        </w:rPr>
        <w:t>1.9踏勘现场</w:t>
      </w:r>
      <w:bookmarkEnd w:id="21"/>
    </w:p>
    <w:p>
      <w:pPr>
        <w:keepNext w:val="0"/>
        <w:keepLines w:val="0"/>
        <w:pageBreakBefore w:val="0"/>
        <w:kinsoku/>
        <w:wordWrap/>
        <w:overflowPunct/>
        <w:topLinePunct w:val="0"/>
        <w:autoSpaceDE/>
        <w:autoSpaceDN/>
        <w:bidi w:val="0"/>
        <w:adjustRightInd/>
        <w:snapToGrid/>
        <w:spacing w:line="264" w:lineRule="auto"/>
        <w:ind w:firstLine="474" w:firstLineChars="200"/>
        <w:textAlignment w:val="auto"/>
        <w:rPr>
          <w:rFonts w:hint="eastAsia" w:ascii="宋体" w:hAnsi="宋体" w:eastAsia="宋体" w:cs="宋体"/>
          <w:color w:val="auto"/>
          <w:spacing w:val="14"/>
          <w:sz w:val="24"/>
          <w:szCs w:val="24"/>
          <w:lang w:val="en-US" w:eastAsia="zh-CN" w:bidi="ar-SA"/>
        </w:rPr>
      </w:pPr>
      <w:r>
        <w:rPr>
          <w:rFonts w:hint="eastAsia" w:ascii="宋体" w:hAnsi="宋体" w:eastAsia="宋体" w:cs="宋体"/>
          <w:color w:val="auto"/>
          <w:spacing w:val="14"/>
          <w:sz w:val="24"/>
          <w:szCs w:val="24"/>
          <w:lang w:val="en-US" w:eastAsia="zh-CN" w:bidi="ar-SA"/>
        </w:rPr>
        <w:t>1.9.1 供应商须知前附表规定组织踏勘现场的，采购人按供应商须知前附表规定的时间、地点组织供应商踏勘项目现场。部分供应商未按时参加踏勘现场的，不影响踏勘现场的正常进行。</w:t>
      </w:r>
    </w:p>
    <w:p>
      <w:pPr>
        <w:keepNext w:val="0"/>
        <w:keepLines w:val="0"/>
        <w:pageBreakBefore w:val="0"/>
        <w:kinsoku/>
        <w:wordWrap/>
        <w:overflowPunct/>
        <w:topLinePunct w:val="0"/>
        <w:autoSpaceDE/>
        <w:autoSpaceDN/>
        <w:bidi w:val="0"/>
        <w:adjustRightInd/>
        <w:snapToGrid/>
        <w:spacing w:line="264" w:lineRule="auto"/>
        <w:ind w:firstLine="474" w:firstLineChars="200"/>
        <w:textAlignment w:val="auto"/>
        <w:rPr>
          <w:rFonts w:hint="eastAsia" w:ascii="宋体" w:hAnsi="宋体" w:eastAsia="宋体" w:cs="宋体"/>
          <w:color w:val="auto"/>
          <w:spacing w:val="14"/>
          <w:sz w:val="24"/>
          <w:szCs w:val="24"/>
          <w:lang w:val="en-US" w:eastAsia="zh-CN" w:bidi="ar-SA"/>
        </w:rPr>
      </w:pPr>
      <w:r>
        <w:rPr>
          <w:rFonts w:hint="eastAsia" w:ascii="宋体" w:hAnsi="宋体" w:eastAsia="宋体" w:cs="宋体"/>
          <w:color w:val="auto"/>
          <w:spacing w:val="14"/>
          <w:sz w:val="24"/>
          <w:szCs w:val="24"/>
          <w:lang w:val="en-US" w:eastAsia="zh-CN" w:bidi="ar-SA"/>
        </w:rPr>
        <w:t>1.9.2 供应商踏勘现场发生的费用自理。</w:t>
      </w:r>
    </w:p>
    <w:p>
      <w:pPr>
        <w:keepNext w:val="0"/>
        <w:keepLines w:val="0"/>
        <w:pageBreakBefore w:val="0"/>
        <w:kinsoku/>
        <w:wordWrap/>
        <w:overflowPunct/>
        <w:topLinePunct w:val="0"/>
        <w:autoSpaceDE/>
        <w:autoSpaceDN/>
        <w:bidi w:val="0"/>
        <w:adjustRightInd/>
        <w:snapToGrid/>
        <w:spacing w:line="264" w:lineRule="auto"/>
        <w:ind w:firstLine="474" w:firstLineChars="200"/>
        <w:textAlignment w:val="auto"/>
        <w:rPr>
          <w:rFonts w:hint="eastAsia" w:ascii="宋体" w:hAnsi="宋体" w:eastAsia="宋体" w:cs="宋体"/>
          <w:color w:val="auto"/>
          <w:spacing w:val="14"/>
          <w:sz w:val="24"/>
          <w:szCs w:val="24"/>
          <w:lang w:val="en-US" w:eastAsia="zh-CN" w:bidi="ar-SA"/>
        </w:rPr>
      </w:pPr>
      <w:r>
        <w:rPr>
          <w:rFonts w:hint="eastAsia" w:ascii="宋体" w:hAnsi="宋体" w:eastAsia="宋体" w:cs="宋体"/>
          <w:color w:val="auto"/>
          <w:spacing w:val="14"/>
          <w:sz w:val="24"/>
          <w:szCs w:val="24"/>
          <w:lang w:val="en-US" w:eastAsia="zh-CN" w:bidi="ar-SA"/>
        </w:rPr>
        <w:t>1.9.3 除采购人的原因外，供应商自行负责在踏勘现场中所发生的人员伤亡和财产损失。</w:t>
      </w:r>
    </w:p>
    <w:p>
      <w:pPr>
        <w:keepNext w:val="0"/>
        <w:keepLines w:val="0"/>
        <w:pageBreakBefore w:val="0"/>
        <w:kinsoku/>
        <w:wordWrap/>
        <w:overflowPunct/>
        <w:topLinePunct w:val="0"/>
        <w:autoSpaceDE/>
        <w:autoSpaceDN/>
        <w:bidi w:val="0"/>
        <w:adjustRightInd/>
        <w:snapToGrid/>
        <w:spacing w:line="264" w:lineRule="auto"/>
        <w:ind w:firstLine="474" w:firstLineChars="20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val="en-US" w:eastAsia="zh-CN" w:bidi="ar-SA"/>
        </w:rPr>
        <w:t>1.9.4 采购人在踏勘现场中介绍的工程场地和相关的周边环境情况，供供应商在编制响应文件时参考，采购人不对供应商据此作出的判断和决策负责。</w:t>
      </w:r>
      <w:bookmarkStart w:id="22" w:name="_Toc1662508"/>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eastAsia="zh-CN"/>
        </w:rPr>
        <w:t>采购</w:t>
      </w:r>
      <w:r>
        <w:rPr>
          <w:rFonts w:hint="eastAsia" w:ascii="宋体" w:hAnsi="宋体" w:eastAsia="宋体" w:cs="宋体"/>
          <w:b/>
          <w:bCs/>
          <w:color w:val="auto"/>
          <w:sz w:val="24"/>
          <w:szCs w:val="24"/>
        </w:rPr>
        <w:t>预备会</w:t>
      </w:r>
      <w:bookmarkEnd w:id="22"/>
      <w:bookmarkStart w:id="23" w:name="_Toc1662509"/>
    </w:p>
    <w:p>
      <w:pPr>
        <w:keepNext w:val="0"/>
        <w:keepLines w:val="0"/>
        <w:pageBreakBefore w:val="0"/>
        <w:kinsoku/>
        <w:wordWrap/>
        <w:overflowPunct/>
        <w:topLinePunct w:val="0"/>
        <w:autoSpaceDE/>
        <w:autoSpaceDN/>
        <w:bidi w:val="0"/>
        <w:adjustRightInd/>
        <w:snapToGrid/>
        <w:spacing w:line="264" w:lineRule="auto"/>
        <w:ind w:firstLine="474" w:firstLineChars="200"/>
        <w:textAlignment w:val="auto"/>
        <w:rPr>
          <w:rFonts w:hint="eastAsia" w:ascii="宋体" w:hAnsi="宋体" w:eastAsia="宋体" w:cs="宋体"/>
          <w:b w:val="0"/>
          <w:bCs w:val="0"/>
          <w:color w:val="auto"/>
          <w:spacing w:val="14"/>
          <w:sz w:val="24"/>
          <w:szCs w:val="24"/>
        </w:rPr>
      </w:pPr>
      <w:r>
        <w:rPr>
          <w:rFonts w:hint="eastAsia" w:ascii="宋体" w:hAnsi="宋体" w:eastAsia="宋体" w:cs="宋体"/>
          <w:b w:val="0"/>
          <w:bCs w:val="0"/>
          <w:color w:val="auto"/>
          <w:spacing w:val="14"/>
          <w:sz w:val="24"/>
          <w:szCs w:val="24"/>
        </w:rPr>
        <w:t>1.10.1供应商须知前附表规定召开</w:t>
      </w:r>
      <w:r>
        <w:rPr>
          <w:rFonts w:hint="eastAsia" w:ascii="宋体" w:hAnsi="宋体" w:eastAsia="宋体" w:cs="宋体"/>
          <w:b w:val="0"/>
          <w:bCs w:val="0"/>
          <w:color w:val="auto"/>
          <w:spacing w:val="14"/>
          <w:sz w:val="24"/>
          <w:szCs w:val="24"/>
          <w:lang w:eastAsia="zh-CN"/>
        </w:rPr>
        <w:t>采购</w:t>
      </w:r>
      <w:r>
        <w:rPr>
          <w:rFonts w:hint="eastAsia" w:ascii="宋体" w:hAnsi="宋体" w:eastAsia="宋体" w:cs="宋体"/>
          <w:b w:val="0"/>
          <w:bCs w:val="0"/>
          <w:color w:val="auto"/>
          <w:spacing w:val="14"/>
          <w:sz w:val="24"/>
          <w:szCs w:val="24"/>
        </w:rPr>
        <w:t>预备会的，采购人按供应商须知前附表规定的时间和地点召开</w:t>
      </w:r>
      <w:r>
        <w:rPr>
          <w:rFonts w:hint="eastAsia" w:ascii="宋体" w:hAnsi="宋体" w:eastAsia="宋体" w:cs="宋体"/>
          <w:b w:val="0"/>
          <w:bCs w:val="0"/>
          <w:color w:val="auto"/>
          <w:spacing w:val="14"/>
          <w:sz w:val="24"/>
          <w:szCs w:val="24"/>
          <w:lang w:eastAsia="zh-CN"/>
        </w:rPr>
        <w:t>采购</w:t>
      </w:r>
      <w:r>
        <w:rPr>
          <w:rFonts w:hint="eastAsia" w:ascii="宋体" w:hAnsi="宋体" w:eastAsia="宋体" w:cs="宋体"/>
          <w:b w:val="0"/>
          <w:bCs w:val="0"/>
          <w:color w:val="auto"/>
          <w:spacing w:val="14"/>
          <w:sz w:val="24"/>
          <w:szCs w:val="24"/>
        </w:rPr>
        <w:t>预备会，澄清供应商提出的问题。</w:t>
      </w:r>
    </w:p>
    <w:p>
      <w:pPr>
        <w:keepNext w:val="0"/>
        <w:keepLines w:val="0"/>
        <w:pageBreakBefore w:val="0"/>
        <w:kinsoku/>
        <w:wordWrap/>
        <w:overflowPunct/>
        <w:topLinePunct w:val="0"/>
        <w:autoSpaceDE/>
        <w:autoSpaceDN/>
        <w:bidi w:val="0"/>
        <w:adjustRightInd/>
        <w:snapToGrid/>
        <w:spacing w:line="264" w:lineRule="auto"/>
        <w:ind w:firstLine="474" w:firstLineChars="200"/>
        <w:textAlignment w:val="auto"/>
        <w:rPr>
          <w:rFonts w:hint="eastAsia" w:ascii="宋体" w:hAnsi="宋体" w:eastAsia="宋体" w:cs="宋体"/>
          <w:b w:val="0"/>
          <w:bCs w:val="0"/>
          <w:color w:val="auto"/>
          <w:spacing w:val="14"/>
          <w:sz w:val="24"/>
          <w:szCs w:val="24"/>
        </w:rPr>
      </w:pPr>
      <w:r>
        <w:rPr>
          <w:rFonts w:hint="eastAsia" w:ascii="宋体" w:hAnsi="宋体" w:eastAsia="宋体" w:cs="宋体"/>
          <w:b w:val="0"/>
          <w:bCs w:val="0"/>
          <w:color w:val="auto"/>
          <w:spacing w:val="14"/>
          <w:sz w:val="24"/>
          <w:szCs w:val="24"/>
        </w:rPr>
        <w:t>1.10.2供应商应按供应商须知前附表规定的时间和形式将提出的问题送达采购人，以便采购人在会议期间澄清。</w:t>
      </w:r>
    </w:p>
    <w:p>
      <w:pPr>
        <w:keepNext w:val="0"/>
        <w:keepLines w:val="0"/>
        <w:pageBreakBefore w:val="0"/>
        <w:kinsoku/>
        <w:wordWrap/>
        <w:overflowPunct/>
        <w:topLinePunct w:val="0"/>
        <w:autoSpaceDE/>
        <w:autoSpaceDN/>
        <w:bidi w:val="0"/>
        <w:adjustRightInd/>
        <w:snapToGrid/>
        <w:spacing w:line="264" w:lineRule="auto"/>
        <w:ind w:firstLine="474" w:firstLineChars="200"/>
        <w:textAlignment w:val="auto"/>
        <w:rPr>
          <w:rFonts w:hint="eastAsia" w:ascii="宋体" w:hAnsi="宋体" w:eastAsia="宋体" w:cs="宋体"/>
          <w:b w:val="0"/>
          <w:bCs w:val="0"/>
          <w:color w:val="auto"/>
          <w:spacing w:val="14"/>
          <w:sz w:val="24"/>
          <w:szCs w:val="24"/>
        </w:rPr>
      </w:pPr>
      <w:r>
        <w:rPr>
          <w:rFonts w:hint="eastAsia" w:ascii="宋体" w:hAnsi="宋体" w:eastAsia="宋体" w:cs="宋体"/>
          <w:b w:val="0"/>
          <w:bCs w:val="0"/>
          <w:color w:val="auto"/>
          <w:spacing w:val="14"/>
          <w:sz w:val="24"/>
          <w:szCs w:val="24"/>
        </w:rPr>
        <w:t>1.10.3</w:t>
      </w:r>
      <w:r>
        <w:rPr>
          <w:rFonts w:hint="eastAsia" w:ascii="宋体" w:hAnsi="宋体" w:eastAsia="宋体" w:cs="宋体"/>
          <w:b w:val="0"/>
          <w:bCs w:val="0"/>
          <w:color w:val="auto"/>
          <w:spacing w:val="14"/>
          <w:sz w:val="24"/>
          <w:szCs w:val="24"/>
          <w:lang w:eastAsia="zh-CN"/>
        </w:rPr>
        <w:t>采购</w:t>
      </w:r>
      <w:r>
        <w:rPr>
          <w:rFonts w:hint="eastAsia" w:ascii="宋体" w:hAnsi="宋体" w:eastAsia="宋体" w:cs="宋体"/>
          <w:b w:val="0"/>
          <w:bCs w:val="0"/>
          <w:color w:val="auto"/>
          <w:spacing w:val="14"/>
          <w:sz w:val="24"/>
          <w:szCs w:val="24"/>
        </w:rPr>
        <w:t>预备会后，采购人对供应商所提问题的澄清为</w:t>
      </w:r>
      <w:r>
        <w:rPr>
          <w:rFonts w:hint="eastAsia" w:ascii="宋体" w:hAnsi="宋体" w:eastAsia="宋体" w:cs="宋体"/>
          <w:b w:val="0"/>
          <w:bCs w:val="0"/>
          <w:color w:val="auto"/>
          <w:spacing w:val="14"/>
          <w:sz w:val="24"/>
          <w:szCs w:val="24"/>
          <w:lang w:eastAsia="zh-CN"/>
        </w:rPr>
        <w:t>采购</w:t>
      </w:r>
      <w:r>
        <w:rPr>
          <w:rFonts w:hint="eastAsia" w:ascii="宋体" w:hAnsi="宋体" w:eastAsia="宋体" w:cs="宋体"/>
          <w:b w:val="0"/>
          <w:bCs w:val="0"/>
          <w:color w:val="auto"/>
          <w:spacing w:val="14"/>
          <w:sz w:val="24"/>
          <w:szCs w:val="24"/>
        </w:rPr>
        <w:t>文件的组成部分。</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分包</w:t>
      </w:r>
      <w:bookmarkEnd w:id="23"/>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1.11.1供应商拟在成交后将成交项目的非主体内容进行分包的，应符合供应商须知前附表规定的分包内容、分包金额和资质要求等限制性条件，除供应商须知前附表规定的非主体内容外，其他工作不得分包。</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1.11.2成交供应商不得向他人转让成交项目，接受分包的人不得再次分包。成交供应商应当就分包项目向采购人负责，接受分包的人就分包项目承担连带责任。</w:t>
      </w:r>
      <w:bookmarkStart w:id="24" w:name="_Toc1662510"/>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1.12 响应和偏差</w:t>
      </w:r>
      <w:bookmarkEnd w:id="24"/>
      <w:bookmarkStart w:id="25" w:name="_Toc1662511"/>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1.12.1响应文件应当对</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文件的实质性要求和条件作出满足性或更有利于采购人的响应，否则，供应商的响应将被否决。实质性要求和条件见供应商须知前附表。</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1.12.2供应商应根据</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文件的要求提供服务要求响应与偏差表、商务要求响应与偏差表等内容以对</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文件作出响应。</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1.12.3供应商须知前附表规定了可以偏差的范围和最高偏差项数的，偏差应当符合供应商须知前附表规定的偏差范围和最高项数，超出偏差范围和最高偏差项数的响应将被否决。</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1.12.4响应文件对</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文件的全部偏差，均应在响应文件的服务要求响应与偏差表、商务要求响应与偏差表中列明。</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1.12.5如响应文件服务要求响应与偏差表、商务要求响应与偏差表中列明的内容与响应文件的其他地方存在不一致，以服务要求响应与偏差表、商务要求响应与偏差表中列明的内容为准。</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pacing w:val="14"/>
          <w:sz w:val="24"/>
          <w:szCs w:val="24"/>
        </w:rPr>
      </w:pPr>
      <w:r>
        <w:rPr>
          <w:rFonts w:hint="eastAsia" w:ascii="宋体" w:hAnsi="宋体" w:eastAsia="宋体" w:cs="宋体"/>
          <w:b/>
          <w:bCs/>
          <w:color w:val="auto"/>
          <w:sz w:val="24"/>
          <w:szCs w:val="24"/>
        </w:rPr>
        <w:t>2</w:t>
      </w:r>
      <w:bookmarkEnd w:id="25"/>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eastAsia="zh-CN"/>
        </w:rPr>
        <w:t>采购文件</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pacing w:val="14"/>
          <w:sz w:val="24"/>
          <w:szCs w:val="24"/>
        </w:rPr>
      </w:pPr>
      <w:bookmarkStart w:id="26" w:name="_Toc1662512"/>
      <w:r>
        <w:rPr>
          <w:rFonts w:hint="eastAsia" w:ascii="宋体" w:hAnsi="宋体" w:eastAsia="宋体" w:cs="宋体"/>
          <w:b/>
          <w:bCs/>
          <w:color w:val="auto"/>
          <w:sz w:val="24"/>
          <w:szCs w:val="24"/>
        </w:rPr>
        <w:t xml:space="preserve">2.1 </w:t>
      </w:r>
      <w:r>
        <w:rPr>
          <w:rFonts w:hint="eastAsia" w:ascii="宋体" w:hAnsi="宋体" w:eastAsia="宋体" w:cs="宋体"/>
          <w:b/>
          <w:bCs/>
          <w:color w:val="auto"/>
          <w:sz w:val="24"/>
          <w:szCs w:val="24"/>
          <w:lang w:eastAsia="zh-CN"/>
        </w:rPr>
        <w:t>采购文件</w:t>
      </w:r>
      <w:r>
        <w:rPr>
          <w:rFonts w:hint="eastAsia" w:ascii="宋体" w:hAnsi="宋体" w:eastAsia="宋体" w:cs="宋体"/>
          <w:b/>
          <w:bCs/>
          <w:color w:val="auto"/>
          <w:sz w:val="24"/>
          <w:szCs w:val="24"/>
        </w:rPr>
        <w:t>的组成</w:t>
      </w:r>
      <w:bookmarkEnd w:id="26"/>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本</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包括：</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（1）采购公告；</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 xml:space="preserve">（2）供应商须知； </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rPr>
        <w:t>（3）采购需求；</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w:t>
      </w:r>
      <w:r>
        <w:rPr>
          <w:rFonts w:hint="eastAsia" w:ascii="宋体" w:hAnsi="宋体" w:eastAsia="宋体" w:cs="宋体"/>
          <w:color w:val="auto"/>
          <w:spacing w:val="14"/>
          <w:sz w:val="24"/>
          <w:szCs w:val="24"/>
          <w:lang w:eastAsia="zh-CN"/>
        </w:rPr>
        <w:t>4</w:t>
      </w:r>
      <w:r>
        <w:rPr>
          <w:rFonts w:hint="eastAsia" w:ascii="宋体" w:hAnsi="宋体" w:eastAsia="宋体" w:cs="宋体"/>
          <w:color w:val="auto"/>
          <w:spacing w:val="14"/>
          <w:sz w:val="24"/>
          <w:szCs w:val="24"/>
        </w:rPr>
        <w:t>）合同；</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rPr>
        <w:t>（</w:t>
      </w:r>
      <w:r>
        <w:rPr>
          <w:rFonts w:hint="eastAsia" w:ascii="宋体" w:hAnsi="宋体" w:eastAsia="宋体" w:cs="宋体"/>
          <w:color w:val="auto"/>
          <w:spacing w:val="14"/>
          <w:sz w:val="24"/>
          <w:szCs w:val="24"/>
          <w:lang w:eastAsia="zh-CN"/>
        </w:rPr>
        <w:t>5</w:t>
      </w:r>
      <w:r>
        <w:rPr>
          <w:rFonts w:hint="eastAsia" w:ascii="宋体" w:hAnsi="宋体" w:eastAsia="宋体" w:cs="宋体"/>
          <w:color w:val="auto"/>
          <w:spacing w:val="14"/>
          <w:sz w:val="24"/>
          <w:szCs w:val="24"/>
        </w:rPr>
        <w:t>）</w:t>
      </w:r>
      <w:r>
        <w:rPr>
          <w:rFonts w:hint="eastAsia" w:ascii="宋体" w:hAnsi="宋体" w:eastAsia="宋体" w:cs="宋体"/>
          <w:color w:val="auto"/>
          <w:spacing w:val="14"/>
          <w:sz w:val="24"/>
          <w:szCs w:val="24"/>
          <w:lang w:eastAsia="zh-CN"/>
        </w:rPr>
        <w:t>资格</w:t>
      </w:r>
      <w:r>
        <w:rPr>
          <w:rFonts w:hint="eastAsia" w:ascii="宋体" w:hAnsi="宋体" w:eastAsia="宋体" w:cs="宋体"/>
          <w:color w:val="auto"/>
          <w:spacing w:val="14"/>
          <w:sz w:val="24"/>
          <w:szCs w:val="24"/>
        </w:rPr>
        <w:t>审查与评审办法；</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w:t>
      </w:r>
      <w:r>
        <w:rPr>
          <w:rFonts w:hint="eastAsia" w:ascii="宋体" w:hAnsi="宋体" w:eastAsia="宋体" w:cs="宋体"/>
          <w:color w:val="auto"/>
          <w:spacing w:val="14"/>
          <w:sz w:val="24"/>
          <w:szCs w:val="24"/>
          <w:lang w:eastAsia="zh-CN"/>
        </w:rPr>
        <w:t>6</w:t>
      </w:r>
      <w:r>
        <w:rPr>
          <w:rFonts w:hint="eastAsia" w:ascii="宋体" w:hAnsi="宋体" w:eastAsia="宋体" w:cs="宋体"/>
          <w:color w:val="auto"/>
          <w:spacing w:val="14"/>
          <w:sz w:val="24"/>
          <w:szCs w:val="24"/>
        </w:rPr>
        <w:t>）</w:t>
      </w:r>
      <w:r>
        <w:rPr>
          <w:rFonts w:hint="eastAsia" w:ascii="宋体" w:hAnsi="宋体" w:eastAsia="宋体" w:cs="宋体"/>
          <w:color w:val="auto"/>
          <w:spacing w:val="14"/>
          <w:sz w:val="24"/>
          <w:szCs w:val="24"/>
          <w:lang w:eastAsia="zh-CN"/>
        </w:rPr>
        <w:t>资格</w:t>
      </w:r>
      <w:r>
        <w:rPr>
          <w:rFonts w:hint="eastAsia" w:ascii="宋体" w:hAnsi="宋体" w:eastAsia="宋体" w:cs="宋体"/>
          <w:color w:val="auto"/>
          <w:spacing w:val="14"/>
          <w:sz w:val="24"/>
          <w:szCs w:val="24"/>
        </w:rPr>
        <w:t>审查与评审标准</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w:t>
      </w:r>
      <w:r>
        <w:rPr>
          <w:rFonts w:hint="eastAsia" w:ascii="宋体" w:hAnsi="宋体" w:eastAsia="宋体" w:cs="宋体"/>
          <w:color w:val="auto"/>
          <w:spacing w:val="14"/>
          <w:sz w:val="24"/>
          <w:szCs w:val="24"/>
          <w:lang w:eastAsia="zh-CN"/>
        </w:rPr>
        <w:t>7</w:t>
      </w:r>
      <w:r>
        <w:rPr>
          <w:rFonts w:hint="eastAsia" w:ascii="宋体" w:hAnsi="宋体" w:eastAsia="宋体" w:cs="宋体"/>
          <w:color w:val="auto"/>
          <w:spacing w:val="14"/>
          <w:sz w:val="24"/>
          <w:szCs w:val="24"/>
        </w:rPr>
        <w:t>）响应文件格式；</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w:t>
      </w:r>
      <w:r>
        <w:rPr>
          <w:rFonts w:hint="eastAsia" w:ascii="宋体" w:hAnsi="宋体" w:eastAsia="宋体" w:cs="宋体"/>
          <w:color w:val="auto"/>
          <w:spacing w:val="14"/>
          <w:sz w:val="24"/>
          <w:szCs w:val="24"/>
          <w:lang w:eastAsia="zh-CN"/>
        </w:rPr>
        <w:t>8</w:t>
      </w:r>
      <w:r>
        <w:rPr>
          <w:rFonts w:hint="eastAsia" w:ascii="宋体" w:hAnsi="宋体" w:eastAsia="宋体" w:cs="宋体"/>
          <w:color w:val="auto"/>
          <w:spacing w:val="14"/>
          <w:sz w:val="24"/>
          <w:szCs w:val="24"/>
        </w:rPr>
        <w:t>）供应商须知前附表规定的其他资料。</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根据本章第2.2款对</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所作的澄清、修改，构成</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的组成部分。</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pacing w:val="14"/>
          <w:sz w:val="24"/>
          <w:szCs w:val="24"/>
        </w:rPr>
      </w:pPr>
      <w:bookmarkStart w:id="27" w:name="_Toc1662513"/>
      <w:r>
        <w:rPr>
          <w:rFonts w:hint="eastAsia" w:ascii="宋体" w:hAnsi="宋体" w:eastAsia="宋体" w:cs="宋体"/>
          <w:b/>
          <w:bCs/>
          <w:color w:val="auto"/>
          <w:sz w:val="24"/>
          <w:szCs w:val="24"/>
        </w:rPr>
        <w:t xml:space="preserve">2.2 </w:t>
      </w:r>
      <w:r>
        <w:rPr>
          <w:rFonts w:hint="eastAsia" w:ascii="宋体" w:hAnsi="宋体" w:eastAsia="宋体" w:cs="宋体"/>
          <w:b/>
          <w:bCs/>
          <w:color w:val="auto"/>
          <w:sz w:val="24"/>
          <w:szCs w:val="24"/>
          <w:lang w:eastAsia="zh-CN"/>
        </w:rPr>
        <w:t>采购文件</w:t>
      </w:r>
      <w:r>
        <w:rPr>
          <w:rFonts w:hint="eastAsia" w:ascii="宋体" w:hAnsi="宋体" w:eastAsia="宋体" w:cs="宋体"/>
          <w:b/>
          <w:bCs/>
          <w:color w:val="auto"/>
          <w:sz w:val="24"/>
          <w:szCs w:val="24"/>
        </w:rPr>
        <w:t>的澄清</w:t>
      </w:r>
      <w:bookmarkEnd w:id="27"/>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rPr>
        <w:t>2.2.1</w:t>
      </w:r>
      <w:r>
        <w:rPr>
          <w:rFonts w:hint="eastAsia" w:ascii="宋体" w:hAnsi="宋体" w:eastAsia="宋体" w:cs="宋体"/>
          <w:color w:val="auto"/>
          <w:spacing w:val="14"/>
          <w:sz w:val="24"/>
          <w:szCs w:val="24"/>
          <w:lang w:eastAsia="zh-CN"/>
        </w:rPr>
        <w:t>供应商</w:t>
      </w:r>
      <w:r>
        <w:rPr>
          <w:rFonts w:hint="eastAsia" w:ascii="宋体" w:hAnsi="宋体" w:eastAsia="宋体" w:cs="宋体"/>
          <w:color w:val="auto"/>
          <w:spacing w:val="14"/>
          <w:sz w:val="24"/>
          <w:szCs w:val="24"/>
        </w:rPr>
        <w:t>应仔细阅读和检查</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的全部内容。如发现缺页或附件不全，应及时向采购代理机构提出，以便补齐。如有疑问，应按</w:t>
      </w:r>
      <w:r>
        <w:rPr>
          <w:rFonts w:hint="eastAsia" w:ascii="宋体" w:hAnsi="宋体" w:eastAsia="宋体" w:cs="宋体"/>
          <w:color w:val="auto"/>
          <w:spacing w:val="14"/>
          <w:sz w:val="24"/>
          <w:szCs w:val="24"/>
          <w:lang w:eastAsia="zh-CN"/>
        </w:rPr>
        <w:t>供应商</w:t>
      </w:r>
      <w:r>
        <w:rPr>
          <w:rFonts w:hint="eastAsia" w:ascii="宋体" w:hAnsi="宋体" w:eastAsia="宋体" w:cs="宋体"/>
          <w:color w:val="auto"/>
          <w:spacing w:val="14"/>
          <w:sz w:val="24"/>
          <w:szCs w:val="24"/>
        </w:rPr>
        <w:t>须知前附表规定的时间和形式将提出的问题送达采购代理机构，要求对</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予以澄清</w:t>
      </w:r>
      <w:r>
        <w:rPr>
          <w:rFonts w:hint="eastAsia" w:ascii="宋体" w:hAnsi="宋体" w:eastAsia="宋体" w:cs="宋体"/>
          <w:color w:val="auto"/>
          <w:spacing w:val="14"/>
          <w:sz w:val="24"/>
          <w:szCs w:val="24"/>
          <w:lang w:eastAsia="zh-CN"/>
        </w:rPr>
        <w:t>。</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 xml:space="preserve">2.2.2 </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的澄清、修改按</w:t>
      </w:r>
      <w:r>
        <w:rPr>
          <w:rFonts w:hint="eastAsia" w:ascii="宋体" w:hAnsi="宋体" w:eastAsia="宋体" w:cs="宋体"/>
          <w:color w:val="auto"/>
          <w:spacing w:val="14"/>
          <w:sz w:val="24"/>
          <w:szCs w:val="24"/>
          <w:lang w:eastAsia="zh-CN"/>
        </w:rPr>
        <w:t>供应商</w:t>
      </w:r>
      <w:r>
        <w:rPr>
          <w:rFonts w:hint="eastAsia" w:ascii="宋体" w:hAnsi="宋体" w:eastAsia="宋体" w:cs="宋体"/>
          <w:color w:val="auto"/>
          <w:spacing w:val="14"/>
          <w:sz w:val="24"/>
          <w:szCs w:val="24"/>
        </w:rPr>
        <w:t>须知前附表规定的形式发出。澄清、修改发出的时间距提交响应文件截止时间不足</w:t>
      </w:r>
      <w:r>
        <w:rPr>
          <w:rFonts w:hint="eastAsia" w:ascii="宋体" w:hAnsi="宋体" w:eastAsia="宋体" w:cs="宋体"/>
          <w:color w:val="auto"/>
          <w:spacing w:val="14"/>
          <w:sz w:val="24"/>
          <w:szCs w:val="24"/>
          <w:lang w:eastAsia="zh-CN"/>
        </w:rPr>
        <w:t>3个工作日</w:t>
      </w:r>
      <w:r>
        <w:rPr>
          <w:rFonts w:hint="eastAsia" w:ascii="宋体" w:hAnsi="宋体" w:eastAsia="宋体" w:cs="宋体"/>
          <w:color w:val="auto"/>
          <w:spacing w:val="14"/>
          <w:sz w:val="24"/>
          <w:szCs w:val="24"/>
        </w:rPr>
        <w:t>的，并且修改内容可能影响</w:t>
      </w:r>
      <w:r>
        <w:rPr>
          <w:rFonts w:hint="eastAsia" w:ascii="宋体" w:hAnsi="宋体" w:eastAsia="宋体" w:cs="宋体"/>
          <w:color w:val="auto"/>
          <w:spacing w:val="14"/>
          <w:sz w:val="24"/>
          <w:szCs w:val="24"/>
          <w:lang w:eastAsia="zh-CN"/>
        </w:rPr>
        <w:t>响应</w:t>
      </w:r>
      <w:r>
        <w:rPr>
          <w:rFonts w:hint="eastAsia" w:ascii="宋体" w:hAnsi="宋体" w:eastAsia="宋体" w:cs="宋体"/>
          <w:color w:val="auto"/>
          <w:spacing w:val="14"/>
          <w:sz w:val="24"/>
          <w:szCs w:val="24"/>
        </w:rPr>
        <w:t>文件编制的，将相应延长提交响应文件截止时间。</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2.2.3 除非采购人认为确有必要答复，否则，采购人有权拒绝回复</w:t>
      </w:r>
      <w:r>
        <w:rPr>
          <w:rFonts w:hint="eastAsia" w:ascii="宋体" w:hAnsi="宋体" w:eastAsia="宋体" w:cs="宋体"/>
          <w:color w:val="auto"/>
          <w:spacing w:val="14"/>
          <w:sz w:val="24"/>
          <w:szCs w:val="24"/>
          <w:lang w:eastAsia="zh-CN"/>
        </w:rPr>
        <w:t>供应商</w:t>
      </w:r>
      <w:r>
        <w:rPr>
          <w:rFonts w:hint="eastAsia" w:ascii="宋体" w:hAnsi="宋体" w:eastAsia="宋体" w:cs="宋体"/>
          <w:color w:val="auto"/>
          <w:spacing w:val="14"/>
          <w:sz w:val="24"/>
          <w:szCs w:val="24"/>
        </w:rPr>
        <w:t>在本章第2.2.1项规定的时间后的任何澄清要求。</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pacing w:val="14"/>
          <w:sz w:val="24"/>
          <w:szCs w:val="24"/>
        </w:rPr>
      </w:pPr>
      <w:bookmarkStart w:id="28" w:name="_Toc1662514"/>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eastAsia="zh-CN"/>
        </w:rPr>
        <w:t>3</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eastAsia="zh-CN"/>
        </w:rPr>
        <w:t>采购文件</w:t>
      </w:r>
      <w:r>
        <w:rPr>
          <w:rFonts w:hint="eastAsia" w:ascii="宋体" w:hAnsi="宋体" w:eastAsia="宋体" w:cs="宋体"/>
          <w:b/>
          <w:bCs/>
          <w:color w:val="auto"/>
          <w:sz w:val="24"/>
          <w:szCs w:val="24"/>
        </w:rPr>
        <w:t>的异议</w:t>
      </w:r>
      <w:bookmarkEnd w:id="28"/>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供应商</w:t>
      </w:r>
      <w:r>
        <w:rPr>
          <w:rFonts w:hint="eastAsia" w:ascii="宋体" w:hAnsi="宋体" w:eastAsia="宋体" w:cs="宋体"/>
          <w:color w:val="auto"/>
          <w:spacing w:val="14"/>
          <w:sz w:val="24"/>
          <w:szCs w:val="24"/>
        </w:rPr>
        <w:t>或者其他利害关系人对</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有质疑的，应当在提交响应文件截止时间</w:t>
      </w:r>
      <w:r>
        <w:rPr>
          <w:rFonts w:hint="eastAsia" w:ascii="宋体" w:hAnsi="宋体" w:eastAsia="宋体" w:cs="宋体"/>
          <w:color w:val="auto"/>
          <w:spacing w:val="14"/>
          <w:sz w:val="24"/>
          <w:szCs w:val="24"/>
          <w:lang w:eastAsia="zh-CN"/>
        </w:rPr>
        <w:t>2个工作</w:t>
      </w:r>
      <w:r>
        <w:rPr>
          <w:rFonts w:hint="eastAsia" w:ascii="宋体" w:hAnsi="宋体" w:eastAsia="宋体" w:cs="宋体"/>
          <w:color w:val="auto"/>
          <w:spacing w:val="14"/>
          <w:sz w:val="24"/>
          <w:szCs w:val="24"/>
        </w:rPr>
        <w:t>日前以书面形式提出。</w:t>
      </w:r>
    </w:p>
    <w:p>
      <w:pPr>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b/>
          <w:bCs/>
          <w:color w:val="auto"/>
          <w:sz w:val="24"/>
          <w:szCs w:val="24"/>
        </w:rPr>
      </w:pPr>
      <w:bookmarkStart w:id="29" w:name="_Toc1662515"/>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eastAsia="zh-CN"/>
        </w:rPr>
        <w:t>响应</w:t>
      </w:r>
      <w:r>
        <w:rPr>
          <w:rFonts w:hint="eastAsia" w:ascii="宋体" w:hAnsi="宋体" w:eastAsia="宋体" w:cs="宋体"/>
          <w:b/>
          <w:bCs/>
          <w:color w:val="auto"/>
          <w:sz w:val="24"/>
          <w:szCs w:val="24"/>
        </w:rPr>
        <w:t>文件</w:t>
      </w:r>
      <w:bookmarkEnd w:id="29"/>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bookmarkStart w:id="30" w:name="_Toc1662516"/>
      <w:r>
        <w:rPr>
          <w:rFonts w:hint="eastAsia" w:ascii="宋体" w:hAnsi="宋体" w:eastAsia="宋体" w:cs="宋体"/>
          <w:b/>
          <w:bCs/>
          <w:color w:val="auto"/>
          <w:sz w:val="24"/>
          <w:szCs w:val="24"/>
        </w:rPr>
        <w:t>3.1</w:t>
      </w:r>
      <w:r>
        <w:rPr>
          <w:rFonts w:hint="eastAsia" w:ascii="宋体" w:hAnsi="宋体" w:eastAsia="宋体" w:cs="宋体"/>
          <w:b/>
          <w:bCs/>
          <w:color w:val="auto"/>
          <w:sz w:val="24"/>
          <w:szCs w:val="24"/>
          <w:lang w:eastAsia="zh-CN"/>
        </w:rPr>
        <w:t>响应</w:t>
      </w:r>
      <w:r>
        <w:rPr>
          <w:rFonts w:hint="eastAsia" w:ascii="宋体" w:hAnsi="宋体" w:eastAsia="宋体" w:cs="宋体"/>
          <w:b/>
          <w:bCs/>
          <w:color w:val="auto"/>
          <w:sz w:val="24"/>
          <w:szCs w:val="24"/>
        </w:rPr>
        <w:t>文件的组成</w:t>
      </w:r>
      <w:bookmarkEnd w:id="30"/>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3.1.1</w:t>
      </w:r>
      <w:r>
        <w:rPr>
          <w:rFonts w:hint="eastAsia" w:ascii="宋体" w:hAnsi="宋体" w:eastAsia="宋体" w:cs="宋体"/>
          <w:color w:val="auto"/>
          <w:spacing w:val="14"/>
          <w:sz w:val="24"/>
          <w:szCs w:val="24"/>
          <w:lang w:eastAsia="zh-CN"/>
        </w:rPr>
        <w:t>响应</w:t>
      </w:r>
      <w:r>
        <w:rPr>
          <w:rFonts w:hint="eastAsia" w:ascii="宋体" w:hAnsi="宋体" w:eastAsia="宋体" w:cs="宋体"/>
          <w:color w:val="auto"/>
          <w:spacing w:val="14"/>
          <w:sz w:val="24"/>
          <w:szCs w:val="24"/>
        </w:rPr>
        <w:t>文件应包括下列内容（详见</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第</w:t>
      </w:r>
      <w:r>
        <w:rPr>
          <w:rFonts w:hint="eastAsia" w:ascii="宋体" w:hAnsi="宋体" w:eastAsia="宋体" w:cs="宋体"/>
          <w:color w:val="auto"/>
          <w:spacing w:val="14"/>
          <w:sz w:val="24"/>
          <w:szCs w:val="24"/>
          <w:lang w:eastAsia="zh-CN"/>
        </w:rPr>
        <w:t>七</w:t>
      </w:r>
      <w:r>
        <w:rPr>
          <w:rFonts w:hint="eastAsia" w:ascii="宋体" w:hAnsi="宋体" w:eastAsia="宋体" w:cs="宋体"/>
          <w:color w:val="auto"/>
          <w:spacing w:val="14"/>
          <w:sz w:val="24"/>
          <w:szCs w:val="24"/>
        </w:rPr>
        <w:t>章“</w:t>
      </w:r>
      <w:r>
        <w:rPr>
          <w:rFonts w:hint="eastAsia" w:ascii="宋体" w:hAnsi="宋体" w:eastAsia="宋体" w:cs="宋体"/>
          <w:color w:val="auto"/>
          <w:spacing w:val="14"/>
          <w:sz w:val="24"/>
          <w:szCs w:val="24"/>
          <w:lang w:eastAsia="zh-CN"/>
        </w:rPr>
        <w:t>响应</w:t>
      </w:r>
      <w:r>
        <w:rPr>
          <w:rFonts w:hint="eastAsia" w:ascii="宋体" w:hAnsi="宋体" w:eastAsia="宋体" w:cs="宋体"/>
          <w:color w:val="auto"/>
          <w:spacing w:val="14"/>
          <w:sz w:val="24"/>
          <w:szCs w:val="24"/>
        </w:rPr>
        <w:t>文件格式”）：</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（1）响应函；</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（2）法定代表人授权书；</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（3）法定代表人和被授权人身份证复印件；</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（4）资格证明材料；</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（5）报价一览表；</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（6）报价明细表；</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（7-1）中小企业声明函（工程、服务）；</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（7-2）残疾人福利性单位声明函；</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（7-3）监狱企业证明文件；</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（8）服务要求响应与偏差表；</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（9）项目实施方案；</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（10）其他需要提供的资料；</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val="en-US" w:eastAsia="zh-CN"/>
        </w:rPr>
        <w:t>（11）参与评审的合同业绩一览表；</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w:t>
      </w:r>
      <w:r>
        <w:rPr>
          <w:rFonts w:hint="eastAsia" w:ascii="宋体" w:hAnsi="宋体" w:eastAsia="宋体" w:cs="宋体"/>
          <w:color w:val="auto"/>
          <w:spacing w:val="14"/>
          <w:sz w:val="24"/>
          <w:szCs w:val="24"/>
          <w:lang w:val="en-US" w:eastAsia="zh-CN"/>
        </w:rPr>
        <w:t>11-1</w:t>
      </w:r>
      <w:r>
        <w:rPr>
          <w:rFonts w:hint="eastAsia" w:ascii="宋体" w:hAnsi="宋体" w:eastAsia="宋体" w:cs="宋体"/>
          <w:color w:val="auto"/>
          <w:spacing w:val="14"/>
          <w:sz w:val="24"/>
          <w:szCs w:val="24"/>
          <w:lang w:eastAsia="zh-CN"/>
        </w:rPr>
        <w:t>）</w:t>
      </w:r>
      <w:r>
        <w:rPr>
          <w:rFonts w:hint="eastAsia" w:ascii="宋体" w:hAnsi="宋体" w:eastAsia="宋体" w:cs="宋体"/>
          <w:color w:val="auto"/>
          <w:spacing w:val="14"/>
          <w:sz w:val="24"/>
          <w:szCs w:val="24"/>
          <w:lang w:val="en-US" w:eastAsia="zh-CN"/>
        </w:rPr>
        <w:t>参与评审的合同业绩复印件。</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供应商</w:t>
      </w:r>
      <w:r>
        <w:rPr>
          <w:rFonts w:hint="eastAsia" w:ascii="宋体" w:hAnsi="宋体" w:eastAsia="宋体" w:cs="宋体"/>
          <w:color w:val="auto"/>
          <w:spacing w:val="14"/>
          <w:sz w:val="24"/>
          <w:szCs w:val="24"/>
        </w:rPr>
        <w:t>在</w:t>
      </w:r>
      <w:r>
        <w:rPr>
          <w:rFonts w:hint="eastAsia" w:ascii="宋体" w:hAnsi="宋体" w:eastAsia="宋体" w:cs="宋体"/>
          <w:color w:val="auto"/>
          <w:spacing w:val="14"/>
          <w:sz w:val="24"/>
          <w:szCs w:val="24"/>
          <w:lang w:eastAsia="zh-CN"/>
        </w:rPr>
        <w:t>评审</w:t>
      </w:r>
      <w:r>
        <w:rPr>
          <w:rFonts w:hint="eastAsia" w:ascii="宋体" w:hAnsi="宋体" w:eastAsia="宋体" w:cs="宋体"/>
          <w:color w:val="auto"/>
          <w:spacing w:val="14"/>
          <w:sz w:val="24"/>
          <w:szCs w:val="24"/>
        </w:rPr>
        <w:t>过程中作出的符合法律法规和</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规定的澄清确认，构成</w:t>
      </w:r>
      <w:r>
        <w:rPr>
          <w:rFonts w:hint="eastAsia" w:ascii="宋体" w:hAnsi="宋体" w:eastAsia="宋体" w:cs="宋体"/>
          <w:color w:val="auto"/>
          <w:spacing w:val="14"/>
          <w:sz w:val="24"/>
          <w:szCs w:val="24"/>
          <w:lang w:eastAsia="zh-CN"/>
        </w:rPr>
        <w:t>响应</w:t>
      </w:r>
      <w:r>
        <w:rPr>
          <w:rFonts w:hint="eastAsia" w:ascii="宋体" w:hAnsi="宋体" w:eastAsia="宋体" w:cs="宋体"/>
          <w:color w:val="auto"/>
          <w:spacing w:val="14"/>
          <w:sz w:val="24"/>
          <w:szCs w:val="24"/>
        </w:rPr>
        <w:t>文件的组成部分。</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bookmarkStart w:id="31" w:name="_Toc1662517"/>
      <w:r>
        <w:rPr>
          <w:rFonts w:hint="eastAsia" w:ascii="宋体" w:hAnsi="宋体" w:eastAsia="宋体" w:cs="宋体"/>
          <w:b/>
          <w:bCs/>
          <w:color w:val="auto"/>
          <w:sz w:val="24"/>
          <w:szCs w:val="24"/>
        </w:rPr>
        <w:t>3.2报价</w:t>
      </w:r>
      <w:bookmarkEnd w:id="31"/>
    </w:p>
    <w:p>
      <w:pPr>
        <w:keepNext w:val="0"/>
        <w:keepLines w:val="0"/>
        <w:pageBreakBefore w:val="0"/>
        <w:kinsoku/>
        <w:wordWrap/>
        <w:overflowPunct/>
        <w:topLinePunct w:val="0"/>
        <w:autoSpaceDE/>
        <w:autoSpaceDN/>
        <w:bidi w:val="0"/>
        <w:adjustRightInd/>
        <w:snapToGrid/>
        <w:spacing w:line="264" w:lineRule="auto"/>
        <w:ind w:firstLine="472" w:firstLineChars="199"/>
        <w:textAlignment w:val="auto"/>
        <w:rPr>
          <w:rFonts w:hint="eastAsia" w:ascii="宋体" w:hAnsi="宋体" w:eastAsia="宋体" w:cs="宋体"/>
          <w:b w:val="0"/>
          <w:bCs/>
          <w:color w:val="auto"/>
          <w:spacing w:val="14"/>
          <w:sz w:val="24"/>
          <w:szCs w:val="24"/>
        </w:rPr>
      </w:pPr>
      <w:r>
        <w:rPr>
          <w:rFonts w:hint="eastAsia" w:ascii="宋体" w:hAnsi="宋体" w:eastAsia="宋体" w:cs="宋体"/>
          <w:b w:val="0"/>
          <w:bCs/>
          <w:color w:val="auto"/>
          <w:spacing w:val="14"/>
          <w:sz w:val="24"/>
          <w:szCs w:val="24"/>
        </w:rPr>
        <w:t>3.2.1报价涉及货币的应为人民币，包括国家规定的增值税税金。</w:t>
      </w:r>
      <w:r>
        <w:rPr>
          <w:rFonts w:hint="eastAsia" w:ascii="宋体" w:hAnsi="宋体" w:eastAsia="宋体" w:cs="宋体"/>
          <w:b w:val="0"/>
          <w:bCs/>
          <w:color w:val="auto"/>
          <w:spacing w:val="14"/>
          <w:sz w:val="24"/>
          <w:szCs w:val="24"/>
          <w:lang w:eastAsia="zh-CN"/>
        </w:rPr>
        <w:t>供应商</w:t>
      </w:r>
      <w:r>
        <w:rPr>
          <w:rFonts w:hint="eastAsia" w:ascii="宋体" w:hAnsi="宋体" w:eastAsia="宋体" w:cs="宋体"/>
          <w:b w:val="0"/>
          <w:bCs/>
          <w:color w:val="auto"/>
          <w:spacing w:val="14"/>
          <w:sz w:val="24"/>
          <w:szCs w:val="24"/>
        </w:rPr>
        <w:t>应按第</w:t>
      </w:r>
      <w:r>
        <w:rPr>
          <w:rFonts w:hint="eastAsia" w:ascii="宋体" w:hAnsi="宋体" w:eastAsia="宋体" w:cs="宋体"/>
          <w:b w:val="0"/>
          <w:bCs/>
          <w:color w:val="auto"/>
          <w:spacing w:val="14"/>
          <w:sz w:val="24"/>
          <w:szCs w:val="24"/>
          <w:lang w:eastAsia="zh-CN"/>
        </w:rPr>
        <w:t>七</w:t>
      </w:r>
      <w:r>
        <w:rPr>
          <w:rFonts w:hint="eastAsia" w:ascii="宋体" w:hAnsi="宋体" w:eastAsia="宋体" w:cs="宋体"/>
          <w:b w:val="0"/>
          <w:bCs/>
          <w:color w:val="auto"/>
          <w:spacing w:val="14"/>
          <w:sz w:val="24"/>
          <w:szCs w:val="24"/>
        </w:rPr>
        <w:t>章“响应文件格式”的要求进行报价并填写报价明细表。</w:t>
      </w:r>
    </w:p>
    <w:p>
      <w:pPr>
        <w:keepNext w:val="0"/>
        <w:keepLines w:val="0"/>
        <w:pageBreakBefore w:val="0"/>
        <w:kinsoku/>
        <w:wordWrap/>
        <w:overflowPunct/>
        <w:topLinePunct w:val="0"/>
        <w:autoSpaceDE/>
        <w:autoSpaceDN/>
        <w:bidi w:val="0"/>
        <w:adjustRightInd/>
        <w:snapToGrid/>
        <w:spacing w:line="264" w:lineRule="auto"/>
        <w:ind w:firstLine="472" w:firstLineChars="199"/>
        <w:textAlignment w:val="auto"/>
        <w:rPr>
          <w:rFonts w:hint="eastAsia" w:ascii="宋体" w:hAnsi="宋体" w:eastAsia="宋体" w:cs="宋体"/>
          <w:b w:val="0"/>
          <w:bCs/>
          <w:color w:val="auto"/>
          <w:spacing w:val="14"/>
          <w:sz w:val="24"/>
          <w:szCs w:val="24"/>
        </w:rPr>
      </w:pPr>
      <w:r>
        <w:rPr>
          <w:rFonts w:hint="eastAsia" w:ascii="宋体" w:hAnsi="宋体" w:eastAsia="宋体" w:cs="宋体"/>
          <w:b w:val="0"/>
          <w:bCs/>
          <w:color w:val="auto"/>
          <w:spacing w:val="14"/>
          <w:sz w:val="24"/>
          <w:szCs w:val="24"/>
        </w:rPr>
        <w:t>3.2.2供应商应充分了解该项目的总体情况以及影响报价的其他要素。总报价为各分项报价金额之和，总报价与分项报价的合价不一致的，应以各分项合价累计数为准，修正</w:t>
      </w:r>
      <w:r>
        <w:rPr>
          <w:rFonts w:hint="eastAsia" w:ascii="宋体" w:hAnsi="宋体" w:eastAsia="宋体" w:cs="宋体"/>
          <w:b w:val="0"/>
          <w:bCs/>
          <w:color w:val="auto"/>
          <w:spacing w:val="14"/>
          <w:sz w:val="24"/>
          <w:szCs w:val="24"/>
          <w:lang w:eastAsia="zh-CN"/>
        </w:rPr>
        <w:t>总</w:t>
      </w:r>
      <w:r>
        <w:rPr>
          <w:rFonts w:hint="eastAsia" w:ascii="宋体" w:hAnsi="宋体" w:eastAsia="宋体" w:cs="宋体"/>
          <w:b w:val="0"/>
          <w:bCs/>
          <w:color w:val="auto"/>
          <w:spacing w:val="14"/>
          <w:sz w:val="24"/>
          <w:szCs w:val="24"/>
        </w:rPr>
        <w:t>报价；如分项报价中存在缺漏项，则视为缺漏项价格已包含在其他分项报价之中。</w:t>
      </w:r>
    </w:p>
    <w:p>
      <w:pPr>
        <w:keepNext w:val="0"/>
        <w:keepLines w:val="0"/>
        <w:pageBreakBefore w:val="0"/>
        <w:kinsoku/>
        <w:wordWrap/>
        <w:overflowPunct/>
        <w:topLinePunct w:val="0"/>
        <w:autoSpaceDE/>
        <w:autoSpaceDN/>
        <w:bidi w:val="0"/>
        <w:adjustRightInd/>
        <w:snapToGrid/>
        <w:spacing w:line="264" w:lineRule="auto"/>
        <w:ind w:firstLine="472" w:firstLineChars="199"/>
        <w:textAlignment w:val="auto"/>
        <w:rPr>
          <w:rFonts w:hint="eastAsia" w:ascii="宋体" w:hAnsi="宋体" w:eastAsia="宋体" w:cs="宋体"/>
          <w:b w:val="0"/>
          <w:bCs/>
          <w:color w:val="auto"/>
          <w:spacing w:val="14"/>
          <w:sz w:val="24"/>
          <w:szCs w:val="24"/>
        </w:rPr>
      </w:pPr>
      <w:r>
        <w:rPr>
          <w:rFonts w:hint="eastAsia" w:ascii="宋体" w:hAnsi="宋体" w:eastAsia="宋体" w:cs="宋体"/>
          <w:b w:val="0"/>
          <w:bCs/>
          <w:color w:val="auto"/>
          <w:spacing w:val="14"/>
          <w:sz w:val="24"/>
          <w:szCs w:val="24"/>
        </w:rPr>
        <w:t>3.2.3本项目的报价方式见</w:t>
      </w:r>
      <w:r>
        <w:rPr>
          <w:rFonts w:hint="eastAsia" w:ascii="宋体" w:hAnsi="宋体" w:eastAsia="宋体" w:cs="宋体"/>
          <w:b w:val="0"/>
          <w:bCs/>
          <w:color w:val="auto"/>
          <w:spacing w:val="14"/>
          <w:sz w:val="24"/>
          <w:szCs w:val="24"/>
          <w:lang w:eastAsia="zh-CN"/>
        </w:rPr>
        <w:t>供应商</w:t>
      </w:r>
      <w:r>
        <w:rPr>
          <w:rFonts w:hint="eastAsia" w:ascii="宋体" w:hAnsi="宋体" w:eastAsia="宋体" w:cs="宋体"/>
          <w:b w:val="0"/>
          <w:bCs/>
          <w:color w:val="auto"/>
          <w:spacing w:val="14"/>
          <w:sz w:val="24"/>
          <w:szCs w:val="24"/>
        </w:rPr>
        <w:t>须知前附表。</w:t>
      </w:r>
    </w:p>
    <w:p>
      <w:pPr>
        <w:keepNext w:val="0"/>
        <w:keepLines w:val="0"/>
        <w:pageBreakBefore w:val="0"/>
        <w:kinsoku/>
        <w:wordWrap/>
        <w:overflowPunct/>
        <w:topLinePunct w:val="0"/>
        <w:autoSpaceDE/>
        <w:autoSpaceDN/>
        <w:bidi w:val="0"/>
        <w:adjustRightInd/>
        <w:snapToGrid/>
        <w:spacing w:line="264" w:lineRule="auto"/>
        <w:ind w:firstLine="472" w:firstLineChars="199"/>
        <w:textAlignment w:val="auto"/>
        <w:rPr>
          <w:rFonts w:hint="eastAsia" w:ascii="宋体" w:hAnsi="宋体" w:eastAsia="宋体" w:cs="宋体"/>
          <w:b w:val="0"/>
          <w:bCs/>
          <w:color w:val="auto"/>
          <w:spacing w:val="14"/>
          <w:sz w:val="24"/>
          <w:szCs w:val="24"/>
        </w:rPr>
      </w:pPr>
      <w:r>
        <w:rPr>
          <w:rFonts w:hint="eastAsia" w:ascii="宋体" w:hAnsi="宋体" w:eastAsia="宋体" w:cs="宋体"/>
          <w:b w:val="0"/>
          <w:bCs/>
          <w:color w:val="auto"/>
          <w:spacing w:val="14"/>
          <w:sz w:val="24"/>
          <w:szCs w:val="24"/>
        </w:rPr>
        <w:t>3.2.4采购人设有预算控制金额的，</w:t>
      </w:r>
      <w:r>
        <w:rPr>
          <w:rFonts w:hint="eastAsia" w:ascii="宋体" w:hAnsi="宋体" w:eastAsia="宋体" w:cs="宋体"/>
          <w:b w:val="0"/>
          <w:bCs/>
          <w:color w:val="auto"/>
          <w:spacing w:val="14"/>
          <w:sz w:val="24"/>
          <w:szCs w:val="24"/>
          <w:lang w:eastAsia="zh-CN"/>
        </w:rPr>
        <w:t>供应商</w:t>
      </w:r>
      <w:r>
        <w:rPr>
          <w:rFonts w:hint="eastAsia" w:ascii="宋体" w:hAnsi="宋体" w:eastAsia="宋体" w:cs="宋体"/>
          <w:b w:val="0"/>
          <w:bCs/>
          <w:color w:val="auto"/>
          <w:spacing w:val="14"/>
          <w:sz w:val="24"/>
          <w:szCs w:val="24"/>
        </w:rPr>
        <w:t>的报价不得超过预算控制金额，预算控制金额在</w:t>
      </w:r>
      <w:r>
        <w:rPr>
          <w:rFonts w:hint="eastAsia" w:ascii="宋体" w:hAnsi="宋体" w:eastAsia="宋体" w:cs="宋体"/>
          <w:b w:val="0"/>
          <w:bCs/>
          <w:color w:val="auto"/>
          <w:spacing w:val="14"/>
          <w:sz w:val="24"/>
          <w:szCs w:val="24"/>
          <w:lang w:eastAsia="zh-CN"/>
        </w:rPr>
        <w:t>供应商</w:t>
      </w:r>
      <w:r>
        <w:rPr>
          <w:rFonts w:hint="eastAsia" w:ascii="宋体" w:hAnsi="宋体" w:eastAsia="宋体" w:cs="宋体"/>
          <w:b w:val="0"/>
          <w:bCs/>
          <w:color w:val="auto"/>
          <w:spacing w:val="14"/>
          <w:sz w:val="24"/>
          <w:szCs w:val="24"/>
        </w:rPr>
        <w:t>须知前附表中载明。</w:t>
      </w:r>
    </w:p>
    <w:p>
      <w:pPr>
        <w:keepNext w:val="0"/>
        <w:keepLines w:val="0"/>
        <w:pageBreakBefore w:val="0"/>
        <w:kinsoku/>
        <w:wordWrap/>
        <w:overflowPunct/>
        <w:topLinePunct w:val="0"/>
        <w:autoSpaceDE/>
        <w:autoSpaceDN/>
        <w:bidi w:val="0"/>
        <w:adjustRightInd/>
        <w:snapToGrid/>
        <w:spacing w:line="264" w:lineRule="auto"/>
        <w:ind w:firstLine="472" w:firstLineChars="199"/>
        <w:textAlignment w:val="auto"/>
        <w:rPr>
          <w:rFonts w:hint="eastAsia" w:ascii="宋体" w:hAnsi="宋体" w:eastAsia="宋体" w:cs="宋体"/>
          <w:b w:val="0"/>
          <w:bCs/>
          <w:color w:val="auto"/>
          <w:spacing w:val="14"/>
          <w:sz w:val="24"/>
          <w:szCs w:val="24"/>
          <w:lang w:eastAsia="zh-CN"/>
        </w:rPr>
      </w:pPr>
      <w:r>
        <w:rPr>
          <w:rFonts w:hint="eastAsia" w:ascii="宋体" w:hAnsi="宋体" w:eastAsia="宋体" w:cs="宋体"/>
          <w:b w:val="0"/>
          <w:bCs/>
          <w:color w:val="auto"/>
          <w:spacing w:val="14"/>
          <w:sz w:val="24"/>
          <w:szCs w:val="24"/>
        </w:rPr>
        <w:t>3.2.5报价的其他要求见</w:t>
      </w:r>
      <w:r>
        <w:rPr>
          <w:rFonts w:hint="eastAsia" w:ascii="宋体" w:hAnsi="宋体" w:eastAsia="宋体" w:cs="宋体"/>
          <w:b w:val="0"/>
          <w:bCs/>
          <w:color w:val="auto"/>
          <w:spacing w:val="14"/>
          <w:sz w:val="24"/>
          <w:szCs w:val="24"/>
          <w:lang w:eastAsia="zh-CN"/>
        </w:rPr>
        <w:t>供应商</w:t>
      </w:r>
      <w:r>
        <w:rPr>
          <w:rFonts w:hint="eastAsia" w:ascii="宋体" w:hAnsi="宋体" w:eastAsia="宋体" w:cs="宋体"/>
          <w:b w:val="0"/>
          <w:bCs/>
          <w:color w:val="auto"/>
          <w:spacing w:val="14"/>
          <w:sz w:val="24"/>
          <w:szCs w:val="24"/>
        </w:rPr>
        <w:t>须知前附表。</w:t>
      </w:r>
    </w:p>
    <w:p>
      <w:pPr>
        <w:keepNext w:val="0"/>
        <w:keepLines w:val="0"/>
        <w:pageBreakBefore w:val="0"/>
        <w:kinsoku/>
        <w:wordWrap/>
        <w:overflowPunct/>
        <w:topLinePunct w:val="0"/>
        <w:autoSpaceDE/>
        <w:autoSpaceDN/>
        <w:bidi w:val="0"/>
        <w:adjustRightInd/>
        <w:snapToGrid/>
        <w:spacing w:line="264" w:lineRule="auto"/>
        <w:ind w:firstLine="472" w:firstLineChars="199"/>
        <w:textAlignment w:val="auto"/>
        <w:rPr>
          <w:rFonts w:hint="eastAsia" w:ascii="宋体" w:hAnsi="宋体" w:eastAsia="宋体" w:cs="宋体"/>
          <w:b/>
          <w:bCs w:val="0"/>
          <w:color w:val="auto"/>
          <w:spacing w:val="14"/>
          <w:sz w:val="24"/>
          <w:szCs w:val="24"/>
        </w:rPr>
      </w:pPr>
      <w:r>
        <w:rPr>
          <w:rFonts w:hint="eastAsia" w:ascii="宋体" w:hAnsi="宋体" w:eastAsia="宋体" w:cs="宋体"/>
          <w:b/>
          <w:bCs w:val="0"/>
          <w:color w:val="auto"/>
          <w:spacing w:val="14"/>
          <w:sz w:val="24"/>
          <w:szCs w:val="24"/>
        </w:rPr>
        <w:t>3.2.6本次采购为</w:t>
      </w:r>
      <w:r>
        <w:rPr>
          <w:rFonts w:hint="eastAsia" w:ascii="宋体" w:hAnsi="宋体" w:eastAsia="宋体" w:cs="宋体"/>
          <w:b/>
          <w:bCs w:val="0"/>
          <w:color w:val="auto"/>
          <w:spacing w:val="14"/>
          <w:sz w:val="24"/>
          <w:szCs w:val="24"/>
          <w:lang w:eastAsia="zh-CN"/>
        </w:rPr>
        <w:t>单一来源</w:t>
      </w:r>
      <w:r>
        <w:rPr>
          <w:rFonts w:hint="eastAsia" w:ascii="宋体" w:hAnsi="宋体" w:eastAsia="宋体" w:cs="宋体"/>
          <w:b/>
          <w:bCs w:val="0"/>
          <w:color w:val="auto"/>
          <w:spacing w:val="14"/>
          <w:sz w:val="24"/>
          <w:szCs w:val="24"/>
        </w:rPr>
        <w:t>采购，允许符合要求的供应商在规定的时间提交最后报价。</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bookmarkStart w:id="32" w:name="_Toc1662518"/>
      <w:r>
        <w:rPr>
          <w:rFonts w:hint="eastAsia" w:ascii="宋体" w:hAnsi="宋体" w:eastAsia="宋体" w:cs="宋体"/>
          <w:b/>
          <w:bCs/>
          <w:color w:val="auto"/>
          <w:sz w:val="24"/>
          <w:szCs w:val="24"/>
        </w:rPr>
        <w:t>3.3</w:t>
      </w:r>
      <w:r>
        <w:rPr>
          <w:rFonts w:hint="eastAsia" w:ascii="宋体" w:hAnsi="宋体" w:eastAsia="宋体" w:cs="宋体"/>
          <w:b/>
          <w:bCs/>
          <w:color w:val="auto"/>
          <w:sz w:val="24"/>
          <w:szCs w:val="24"/>
          <w:lang w:eastAsia="zh-CN"/>
        </w:rPr>
        <w:t>响应</w:t>
      </w:r>
      <w:r>
        <w:rPr>
          <w:rFonts w:hint="eastAsia" w:ascii="宋体" w:hAnsi="宋体" w:eastAsia="宋体" w:cs="宋体"/>
          <w:b/>
          <w:bCs/>
          <w:color w:val="auto"/>
          <w:sz w:val="24"/>
          <w:szCs w:val="24"/>
        </w:rPr>
        <w:t>文件有效期</w:t>
      </w:r>
      <w:bookmarkEnd w:id="32"/>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3.3.1除供应商须知前附表另有规定外，响应文件有效期为</w:t>
      </w:r>
      <w:r>
        <w:rPr>
          <w:rFonts w:hint="eastAsia" w:ascii="宋体" w:hAnsi="宋体" w:eastAsia="宋体" w:cs="宋体"/>
          <w:color w:val="auto"/>
          <w:spacing w:val="14"/>
          <w:sz w:val="24"/>
          <w:szCs w:val="24"/>
          <w:lang w:val="en-US" w:eastAsia="zh-CN"/>
        </w:rPr>
        <w:t>6</w:t>
      </w:r>
      <w:r>
        <w:rPr>
          <w:rFonts w:hint="eastAsia" w:ascii="宋体" w:hAnsi="宋体" w:eastAsia="宋体" w:cs="宋体"/>
          <w:color w:val="auto"/>
          <w:spacing w:val="14"/>
          <w:sz w:val="24"/>
          <w:szCs w:val="24"/>
        </w:rPr>
        <w:t>0天。</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3.3.2在响应文件有效期内，供应商撤销响应文件的，应承担</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和法律规定的责任。</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highlight w:val="yellow"/>
        </w:rPr>
      </w:pPr>
      <w:r>
        <w:rPr>
          <w:rFonts w:hint="eastAsia" w:ascii="宋体" w:hAnsi="宋体" w:eastAsia="宋体" w:cs="宋体"/>
          <w:color w:val="auto"/>
          <w:spacing w:val="14"/>
          <w:sz w:val="24"/>
          <w:szCs w:val="24"/>
        </w:rPr>
        <w:t>3.3.3出现特殊情况需要延长响应文件有效期的，采购人以书面形式通知所有供应商延长响应文件有效期。供应商应予以书面答复，同意延长的，应相应延长其</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保证金的有效期，但不得要求或被允许修改其响应文件；供应商拒绝</w:t>
      </w:r>
      <w:r>
        <w:rPr>
          <w:rFonts w:hint="eastAsia" w:ascii="宋体" w:hAnsi="宋体" w:eastAsia="宋体" w:cs="宋体"/>
          <w:color w:val="auto"/>
          <w:spacing w:val="14"/>
          <w:sz w:val="24"/>
          <w:szCs w:val="24"/>
          <w:highlight w:val="none"/>
        </w:rPr>
        <w:t>延长的，其响应失效，但供应商有权收回其</w:t>
      </w:r>
      <w:r>
        <w:rPr>
          <w:rFonts w:hint="eastAsia" w:ascii="宋体" w:hAnsi="宋体" w:eastAsia="宋体" w:cs="宋体"/>
          <w:color w:val="auto"/>
          <w:spacing w:val="14"/>
          <w:sz w:val="24"/>
          <w:szCs w:val="24"/>
          <w:highlight w:val="none"/>
          <w:lang w:eastAsia="zh-CN"/>
        </w:rPr>
        <w:t>采购</w:t>
      </w:r>
      <w:r>
        <w:rPr>
          <w:rFonts w:hint="eastAsia" w:ascii="宋体" w:hAnsi="宋体" w:eastAsia="宋体" w:cs="宋体"/>
          <w:color w:val="auto"/>
          <w:spacing w:val="14"/>
          <w:sz w:val="24"/>
          <w:szCs w:val="24"/>
          <w:highlight w:val="none"/>
        </w:rPr>
        <w:t>保证金。</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bookmarkStart w:id="33" w:name="_Toc1662519"/>
      <w:r>
        <w:rPr>
          <w:rFonts w:hint="eastAsia" w:ascii="宋体" w:hAnsi="宋体" w:eastAsia="宋体" w:cs="宋体"/>
          <w:b/>
          <w:bCs/>
          <w:color w:val="auto"/>
          <w:sz w:val="24"/>
          <w:szCs w:val="24"/>
        </w:rPr>
        <w:t>3.4</w:t>
      </w:r>
      <w:r>
        <w:rPr>
          <w:rFonts w:hint="eastAsia" w:ascii="宋体" w:hAnsi="宋体" w:eastAsia="宋体" w:cs="宋体"/>
          <w:b/>
          <w:bCs/>
          <w:color w:val="auto"/>
          <w:sz w:val="24"/>
          <w:szCs w:val="24"/>
          <w:lang w:eastAsia="zh-CN"/>
        </w:rPr>
        <w:t>采购</w:t>
      </w:r>
      <w:r>
        <w:rPr>
          <w:rFonts w:hint="eastAsia" w:ascii="宋体" w:hAnsi="宋体" w:eastAsia="宋体" w:cs="宋体"/>
          <w:b/>
          <w:bCs/>
          <w:color w:val="auto"/>
          <w:sz w:val="24"/>
          <w:szCs w:val="24"/>
        </w:rPr>
        <w:t>保证金</w:t>
      </w:r>
      <w:bookmarkEnd w:id="33"/>
    </w:p>
    <w:p>
      <w:pPr>
        <w:keepNext w:val="0"/>
        <w:keepLines w:val="0"/>
        <w:pageBreakBefore w:val="0"/>
        <w:kinsoku/>
        <w:wordWrap/>
        <w:overflowPunct/>
        <w:topLinePunct w:val="0"/>
        <w:autoSpaceDE/>
        <w:autoSpaceDN/>
        <w:bidi w:val="0"/>
        <w:adjustRightInd/>
        <w:snapToGrid/>
        <w:spacing w:line="264" w:lineRule="auto"/>
        <w:ind w:firstLine="474" w:firstLineChars="200"/>
        <w:textAlignment w:val="auto"/>
        <w:outlineLvl w:val="9"/>
        <w:rPr>
          <w:rFonts w:hint="eastAsia" w:ascii="宋体" w:hAnsi="宋体" w:eastAsia="宋体" w:cs="宋体"/>
          <w:b w:val="0"/>
          <w:bCs w:val="0"/>
          <w:color w:val="auto"/>
          <w:spacing w:val="14"/>
          <w:sz w:val="24"/>
          <w:szCs w:val="24"/>
          <w:highlight w:val="none"/>
        </w:rPr>
      </w:pPr>
      <w:bookmarkStart w:id="34" w:name="_Toc1662520"/>
      <w:r>
        <w:rPr>
          <w:rFonts w:hint="eastAsia" w:ascii="宋体" w:hAnsi="宋体" w:eastAsia="宋体" w:cs="宋体"/>
          <w:b w:val="0"/>
          <w:bCs w:val="0"/>
          <w:color w:val="auto"/>
          <w:spacing w:val="14"/>
          <w:sz w:val="24"/>
          <w:szCs w:val="24"/>
          <w:highlight w:val="none"/>
        </w:rPr>
        <w:t>根据河南省财政厅发布的《关于优化政府采购营商环境有关问题的通知》（豫财购[2019]4号），本项目不收取采购保证金。</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3.5资格审查资料</w:t>
      </w:r>
      <w:bookmarkEnd w:id="34"/>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3.5.1根据</w:t>
      </w:r>
      <w:r>
        <w:rPr>
          <w:rFonts w:hint="eastAsia" w:ascii="宋体" w:hAnsi="宋体" w:eastAsia="宋体" w:cs="宋体"/>
          <w:color w:val="auto"/>
          <w:spacing w:val="14"/>
          <w:sz w:val="24"/>
          <w:szCs w:val="24"/>
          <w:highlight w:val="none"/>
          <w:lang w:eastAsia="zh-CN"/>
        </w:rPr>
        <w:t>第</w:t>
      </w:r>
      <w:r>
        <w:rPr>
          <w:rFonts w:hint="eastAsia" w:ascii="宋体" w:hAnsi="宋体" w:eastAsia="宋体" w:cs="宋体"/>
          <w:color w:val="auto"/>
          <w:spacing w:val="14"/>
          <w:sz w:val="24"/>
          <w:szCs w:val="24"/>
          <w:highlight w:val="none"/>
        </w:rPr>
        <w:t>六章内容提供证明材料。</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3.5.2供应商须知前附表规定接受联合体的，联合体各方均应提供资格审查资料。</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3.5.3资格审查资料的特殊要求见供应商须知前附表。</w:t>
      </w:r>
      <w:bookmarkStart w:id="35" w:name="_Toc1662521"/>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3.6备选方案</w:t>
      </w:r>
      <w:bookmarkEnd w:id="35"/>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3.6.1除供应商须知前附表规定允许外，供应商不得提交备选方案，否则其响应将被否决。</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3.6.2允许供应商提交备选方案的，只有成交供应商所提交的备选方案方可予以考虑。</w:t>
      </w:r>
      <w:r>
        <w:rPr>
          <w:rFonts w:hint="eastAsia" w:ascii="宋体" w:hAnsi="宋体" w:eastAsia="宋体" w:cs="宋体"/>
          <w:color w:val="auto"/>
          <w:spacing w:val="14"/>
          <w:sz w:val="24"/>
          <w:szCs w:val="24"/>
          <w:lang w:eastAsia="zh-CN"/>
        </w:rPr>
        <w:t>谈判小组</w:t>
      </w:r>
      <w:r>
        <w:rPr>
          <w:rFonts w:hint="eastAsia" w:ascii="宋体" w:hAnsi="宋体" w:eastAsia="宋体" w:cs="宋体"/>
          <w:color w:val="auto"/>
          <w:spacing w:val="14"/>
          <w:sz w:val="24"/>
          <w:szCs w:val="24"/>
        </w:rPr>
        <w:t>认为成交供应商的备选方案优于其按照</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要求编制的响应方案的，采购人可以接受该备选方案。</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3.6.3供应商提供两个或两个以上报价，或者在响应文件中提供一个报价，但同时提供两个或两个以上供货方案的，视为提供备选方案。</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lang w:eastAsia="zh-CN"/>
        </w:rPr>
      </w:pPr>
      <w:bookmarkStart w:id="36" w:name="_Toc1662522"/>
      <w:r>
        <w:rPr>
          <w:rFonts w:hint="eastAsia" w:ascii="宋体" w:hAnsi="宋体" w:eastAsia="宋体" w:cs="宋体"/>
          <w:b/>
          <w:bCs/>
          <w:color w:val="auto"/>
          <w:sz w:val="24"/>
          <w:szCs w:val="24"/>
        </w:rPr>
        <w:t>3.7</w:t>
      </w:r>
      <w:r>
        <w:rPr>
          <w:rFonts w:hint="eastAsia" w:ascii="宋体" w:hAnsi="宋体" w:eastAsia="宋体" w:cs="宋体"/>
          <w:b/>
          <w:bCs/>
          <w:color w:val="auto"/>
          <w:sz w:val="24"/>
          <w:szCs w:val="24"/>
          <w:lang w:eastAsia="zh-CN"/>
        </w:rPr>
        <w:t>响应</w:t>
      </w:r>
      <w:r>
        <w:rPr>
          <w:rFonts w:hint="eastAsia" w:ascii="宋体" w:hAnsi="宋体" w:eastAsia="宋体" w:cs="宋体"/>
          <w:b/>
          <w:bCs/>
          <w:color w:val="auto"/>
          <w:sz w:val="24"/>
          <w:szCs w:val="24"/>
        </w:rPr>
        <w:t>文件的</w:t>
      </w:r>
      <w:r>
        <w:rPr>
          <w:rFonts w:hint="eastAsia" w:ascii="宋体" w:hAnsi="宋体" w:eastAsia="宋体" w:cs="宋体"/>
          <w:b/>
          <w:bCs/>
          <w:color w:val="auto"/>
          <w:sz w:val="24"/>
          <w:szCs w:val="24"/>
          <w:lang w:eastAsia="zh-CN"/>
        </w:rPr>
        <w:t>制作</w:t>
      </w:r>
      <w:bookmarkEnd w:id="36"/>
    </w:p>
    <w:p>
      <w:pPr>
        <w:keepNext w:val="0"/>
        <w:keepLines w:val="0"/>
        <w:pageBreakBefore w:val="0"/>
        <w:tabs>
          <w:tab w:val="left" w:pos="630"/>
        </w:tabs>
        <w:kinsoku/>
        <w:wordWrap/>
        <w:overflowPunct/>
        <w:topLinePunct w:val="0"/>
        <w:autoSpaceDE/>
        <w:autoSpaceDN/>
        <w:bidi w:val="0"/>
        <w:adjustRightInd/>
        <w:snapToGrid/>
        <w:spacing w:line="264" w:lineRule="auto"/>
        <w:ind w:firstLine="474" w:firstLineChars="200"/>
        <w:textAlignment w:val="auto"/>
        <w:outlineLvl w:val="9"/>
        <w:rPr>
          <w:rFonts w:hint="eastAsia" w:ascii="宋体" w:hAnsi="宋体" w:eastAsia="宋体" w:cs="宋体"/>
          <w:color w:val="auto"/>
          <w:spacing w:val="14"/>
          <w:sz w:val="24"/>
          <w:szCs w:val="24"/>
          <w:lang w:val="en-US" w:eastAsia="zh-CN" w:bidi="ar-SA"/>
        </w:rPr>
      </w:pPr>
      <w:bookmarkStart w:id="37" w:name="_Toc15102"/>
      <w:bookmarkStart w:id="38" w:name="_Toc1668"/>
      <w:bookmarkStart w:id="39" w:name="_Toc13685"/>
      <w:bookmarkStart w:id="40" w:name="_Toc1662523"/>
      <w:r>
        <w:rPr>
          <w:rFonts w:hint="eastAsia" w:ascii="宋体" w:hAnsi="宋体" w:eastAsia="宋体" w:cs="宋体"/>
          <w:color w:val="auto"/>
          <w:spacing w:val="14"/>
          <w:sz w:val="24"/>
          <w:szCs w:val="24"/>
          <w:lang w:val="en-US" w:eastAsia="zh-CN" w:bidi="ar-SA"/>
        </w:rPr>
        <w:t>3.7.1供应商应仔细阅读采购文件的所有内容，按采购文件的要求提供响应文件，并保证所提供的全部资料的真实性，以使其对采购文件做出实质性响应，否则，其响应文件可能被拒绝。</w:t>
      </w:r>
      <w:bookmarkEnd w:id="37"/>
      <w:bookmarkEnd w:id="38"/>
      <w:bookmarkEnd w:id="39"/>
    </w:p>
    <w:p>
      <w:pPr>
        <w:keepNext w:val="0"/>
        <w:keepLines w:val="0"/>
        <w:pageBreakBefore w:val="0"/>
        <w:tabs>
          <w:tab w:val="left" w:pos="630"/>
        </w:tabs>
        <w:kinsoku/>
        <w:wordWrap/>
        <w:overflowPunct/>
        <w:topLinePunct w:val="0"/>
        <w:autoSpaceDE/>
        <w:autoSpaceDN/>
        <w:bidi w:val="0"/>
        <w:adjustRightInd/>
        <w:snapToGrid/>
        <w:spacing w:line="264" w:lineRule="auto"/>
        <w:ind w:firstLine="465" w:firstLineChars="196"/>
        <w:textAlignment w:val="auto"/>
        <w:outlineLvl w:val="9"/>
        <w:rPr>
          <w:rFonts w:hint="eastAsia" w:ascii="宋体" w:hAnsi="宋体" w:eastAsia="宋体" w:cs="宋体"/>
          <w:color w:val="auto"/>
          <w:spacing w:val="14"/>
          <w:sz w:val="24"/>
          <w:szCs w:val="24"/>
          <w:lang w:val="en-US" w:eastAsia="zh-CN" w:bidi="ar-SA"/>
        </w:rPr>
      </w:pPr>
      <w:bookmarkStart w:id="41" w:name="_Toc27264"/>
      <w:bookmarkStart w:id="42" w:name="_Toc9312"/>
      <w:bookmarkStart w:id="43" w:name="_Toc1689"/>
      <w:r>
        <w:rPr>
          <w:rFonts w:hint="eastAsia" w:ascii="宋体" w:hAnsi="宋体" w:eastAsia="宋体" w:cs="宋体"/>
          <w:color w:val="auto"/>
          <w:spacing w:val="14"/>
          <w:sz w:val="24"/>
          <w:szCs w:val="24"/>
          <w:lang w:val="en-US" w:eastAsia="zh-CN" w:bidi="ar-SA"/>
        </w:rPr>
        <w:t>3.7.2响应文件应按采购文件中“响应文件格式”编写、签署和盖章。供应商认为需加以说明</w:t>
      </w:r>
      <w:r>
        <w:rPr>
          <w:rFonts w:hint="eastAsia" w:cs="宋体"/>
          <w:color w:val="auto"/>
          <w:spacing w:val="14"/>
          <w:sz w:val="24"/>
          <w:szCs w:val="24"/>
          <w:lang w:val="en-US" w:eastAsia="zh-CN" w:bidi="ar-SA"/>
        </w:rPr>
        <w:t>的其他内容</w:t>
      </w:r>
      <w:r>
        <w:rPr>
          <w:rFonts w:hint="eastAsia" w:ascii="宋体" w:hAnsi="宋体" w:eastAsia="宋体" w:cs="宋体"/>
          <w:color w:val="auto"/>
          <w:spacing w:val="14"/>
          <w:sz w:val="24"/>
          <w:szCs w:val="24"/>
          <w:lang w:val="en-US" w:eastAsia="zh-CN" w:bidi="ar-SA"/>
        </w:rPr>
        <w:t>可自行增加。供应商因不按要求编制响应文件，响应文件内容不完整、表述不明确、编排混乱、格式不规范、字迹模糊不清、目录与页码不对应等编制质量方面的问题，导致响应文件被认定为无效响应，或漏读、误读或查不到相关内容的，供应商自行承担由此产生的后果。</w:t>
      </w:r>
      <w:bookmarkEnd w:id="41"/>
      <w:bookmarkEnd w:id="42"/>
      <w:bookmarkEnd w:id="43"/>
    </w:p>
    <w:p>
      <w:pPr>
        <w:keepNext w:val="0"/>
        <w:keepLines w:val="0"/>
        <w:pageBreakBefore w:val="0"/>
        <w:tabs>
          <w:tab w:val="left" w:pos="630"/>
        </w:tabs>
        <w:kinsoku/>
        <w:wordWrap/>
        <w:overflowPunct/>
        <w:topLinePunct w:val="0"/>
        <w:autoSpaceDE/>
        <w:autoSpaceDN/>
        <w:bidi w:val="0"/>
        <w:adjustRightInd/>
        <w:snapToGrid/>
        <w:spacing w:line="264" w:lineRule="auto"/>
        <w:ind w:firstLine="465" w:firstLineChars="196"/>
        <w:textAlignment w:val="auto"/>
        <w:outlineLvl w:val="9"/>
        <w:rPr>
          <w:rFonts w:hint="eastAsia" w:ascii="宋体" w:hAnsi="宋体" w:eastAsia="宋体" w:cs="宋体"/>
          <w:color w:val="auto"/>
          <w:spacing w:val="14"/>
          <w:sz w:val="24"/>
          <w:szCs w:val="24"/>
          <w:lang w:val="en-US" w:eastAsia="zh-CN" w:bidi="ar-SA"/>
        </w:rPr>
      </w:pPr>
      <w:bookmarkStart w:id="44" w:name="_Toc29342"/>
      <w:bookmarkStart w:id="45" w:name="_Toc21322"/>
      <w:bookmarkStart w:id="46" w:name="_Toc6113"/>
      <w:r>
        <w:rPr>
          <w:rFonts w:hint="eastAsia" w:ascii="宋体" w:hAnsi="宋体" w:eastAsia="宋体" w:cs="宋体"/>
          <w:color w:val="auto"/>
          <w:spacing w:val="14"/>
          <w:sz w:val="24"/>
          <w:szCs w:val="24"/>
          <w:lang w:val="en-US" w:eastAsia="zh-CN" w:bidi="ar-SA"/>
        </w:rPr>
        <w:t>3.7.3响应文件文字：响应文件均以中文印刷体，中文以外的文字应正确翻译为中文，中外文不符时，以中文为准。因未翻译为中文，或</w:t>
      </w:r>
      <w:r>
        <w:rPr>
          <w:rFonts w:hint="eastAsia" w:cs="宋体"/>
          <w:color w:val="auto"/>
          <w:spacing w:val="14"/>
          <w:sz w:val="24"/>
          <w:szCs w:val="24"/>
          <w:lang w:val="en-US" w:eastAsia="zh-CN" w:bidi="ar-SA"/>
        </w:rPr>
        <w:t>翻译得不准</w:t>
      </w:r>
      <w:r>
        <w:rPr>
          <w:rFonts w:hint="eastAsia" w:ascii="宋体" w:hAnsi="宋体" w:eastAsia="宋体" w:cs="宋体"/>
          <w:color w:val="auto"/>
          <w:spacing w:val="14"/>
          <w:sz w:val="24"/>
          <w:szCs w:val="24"/>
          <w:lang w:val="en-US" w:eastAsia="zh-CN" w:bidi="ar-SA"/>
        </w:rPr>
        <w:t>确的，导致响应文件被错读误解的，供应商自行承担由此产生的后果</w:t>
      </w:r>
      <w:bookmarkEnd w:id="44"/>
      <w:bookmarkEnd w:id="45"/>
      <w:bookmarkEnd w:id="46"/>
    </w:p>
    <w:p>
      <w:pPr>
        <w:keepNext w:val="0"/>
        <w:keepLines w:val="0"/>
        <w:pageBreakBefore w:val="0"/>
        <w:tabs>
          <w:tab w:val="left" w:pos="630"/>
        </w:tabs>
        <w:kinsoku/>
        <w:wordWrap/>
        <w:overflowPunct/>
        <w:topLinePunct w:val="0"/>
        <w:autoSpaceDE/>
        <w:autoSpaceDN/>
        <w:bidi w:val="0"/>
        <w:adjustRightInd/>
        <w:snapToGrid/>
        <w:spacing w:line="264" w:lineRule="auto"/>
        <w:ind w:firstLine="465" w:firstLineChars="196"/>
        <w:textAlignment w:val="auto"/>
        <w:outlineLvl w:val="9"/>
        <w:rPr>
          <w:rFonts w:hint="eastAsia" w:ascii="宋体" w:hAnsi="宋体" w:eastAsia="宋体" w:cs="宋体"/>
          <w:color w:val="auto"/>
          <w:spacing w:val="14"/>
          <w:sz w:val="24"/>
          <w:szCs w:val="24"/>
          <w:lang w:val="en-US" w:eastAsia="zh-CN" w:bidi="ar-SA"/>
        </w:rPr>
      </w:pPr>
      <w:bookmarkStart w:id="47" w:name="_Toc2388"/>
      <w:bookmarkStart w:id="48" w:name="_Toc3552"/>
      <w:bookmarkStart w:id="49" w:name="_Toc16371"/>
      <w:r>
        <w:rPr>
          <w:rFonts w:hint="eastAsia" w:ascii="宋体" w:hAnsi="宋体" w:eastAsia="宋体" w:cs="宋体"/>
          <w:color w:val="auto"/>
          <w:spacing w:val="14"/>
          <w:sz w:val="24"/>
          <w:szCs w:val="24"/>
          <w:lang w:val="en-US" w:eastAsia="zh-CN" w:bidi="ar-SA"/>
        </w:rPr>
        <w:t>3.7.4响应文件中计量单位：除在采购文件的技术规格中另有规定外，计量单位使用中华人民共和国法定计量单位。</w:t>
      </w:r>
      <w:bookmarkEnd w:id="47"/>
      <w:bookmarkEnd w:id="48"/>
      <w:bookmarkEnd w:id="49"/>
    </w:p>
    <w:p>
      <w:pPr>
        <w:keepNext w:val="0"/>
        <w:keepLines w:val="0"/>
        <w:pageBreakBefore w:val="0"/>
        <w:tabs>
          <w:tab w:val="left" w:pos="630"/>
        </w:tabs>
        <w:kinsoku/>
        <w:wordWrap/>
        <w:overflowPunct/>
        <w:topLinePunct w:val="0"/>
        <w:autoSpaceDE/>
        <w:autoSpaceDN/>
        <w:bidi w:val="0"/>
        <w:adjustRightInd/>
        <w:snapToGrid/>
        <w:spacing w:line="264" w:lineRule="auto"/>
        <w:ind w:firstLine="465" w:firstLineChars="196"/>
        <w:textAlignment w:val="auto"/>
        <w:outlineLvl w:val="9"/>
        <w:rPr>
          <w:rFonts w:hint="eastAsia" w:ascii="宋体" w:hAnsi="宋体" w:eastAsia="宋体" w:cs="宋体"/>
          <w:color w:val="auto"/>
          <w:spacing w:val="14"/>
          <w:sz w:val="24"/>
          <w:szCs w:val="24"/>
          <w:lang w:val="en-US" w:eastAsia="zh-CN" w:bidi="ar-SA"/>
        </w:rPr>
      </w:pPr>
      <w:bookmarkStart w:id="50" w:name="_Toc21655"/>
      <w:bookmarkStart w:id="51" w:name="_Toc30600"/>
      <w:bookmarkStart w:id="52" w:name="_Toc11919"/>
      <w:r>
        <w:rPr>
          <w:rFonts w:hint="eastAsia" w:ascii="宋体" w:hAnsi="宋体" w:eastAsia="宋体" w:cs="宋体"/>
          <w:color w:val="auto"/>
          <w:spacing w:val="14"/>
          <w:sz w:val="24"/>
          <w:szCs w:val="24"/>
          <w:lang w:val="en-US" w:eastAsia="zh-CN" w:bidi="ar-SA"/>
        </w:rPr>
        <w:t>3.7.5响应文件正本必须由供应商的法定代表人或其委托代理人按要求在规定处签字或加盖公章。响应文件中不应有加行、涂抹或改写。如有修改错漏处，必须由供应商法定代表人或其委托代理人签字或加盖公章。</w:t>
      </w:r>
      <w:bookmarkEnd w:id="50"/>
      <w:bookmarkEnd w:id="51"/>
      <w:bookmarkEnd w:id="52"/>
    </w:p>
    <w:p>
      <w:pPr>
        <w:keepNext w:val="0"/>
        <w:keepLines w:val="0"/>
        <w:pageBreakBefore w:val="0"/>
        <w:tabs>
          <w:tab w:val="left" w:pos="630"/>
        </w:tabs>
        <w:kinsoku/>
        <w:wordWrap/>
        <w:overflowPunct/>
        <w:topLinePunct w:val="0"/>
        <w:autoSpaceDE/>
        <w:autoSpaceDN/>
        <w:bidi w:val="0"/>
        <w:adjustRightInd/>
        <w:snapToGrid/>
        <w:spacing w:line="264" w:lineRule="auto"/>
        <w:ind w:firstLine="465" w:firstLineChars="196"/>
        <w:textAlignment w:val="auto"/>
        <w:outlineLvl w:val="9"/>
        <w:rPr>
          <w:rFonts w:hint="eastAsia" w:ascii="宋体" w:hAnsi="宋体" w:eastAsia="宋体" w:cs="宋体"/>
          <w:b w:val="0"/>
          <w:bCs w:val="0"/>
          <w:color w:val="auto"/>
          <w:spacing w:val="14"/>
          <w:sz w:val="24"/>
          <w:szCs w:val="24"/>
          <w:lang w:val="en-US" w:eastAsia="zh-CN" w:bidi="ar-SA"/>
        </w:rPr>
      </w:pPr>
      <w:bookmarkStart w:id="53" w:name="_Toc12793"/>
      <w:bookmarkStart w:id="54" w:name="_Toc22456"/>
      <w:bookmarkStart w:id="55" w:name="_Toc989"/>
      <w:r>
        <w:rPr>
          <w:rFonts w:hint="eastAsia" w:ascii="宋体" w:hAnsi="宋体" w:eastAsia="宋体" w:cs="宋体"/>
          <w:b w:val="0"/>
          <w:bCs w:val="0"/>
          <w:color w:val="auto"/>
          <w:spacing w:val="14"/>
          <w:sz w:val="24"/>
          <w:szCs w:val="24"/>
          <w:lang w:val="en-US" w:eastAsia="zh-CN" w:bidi="ar-SA"/>
        </w:rPr>
        <w:t>3.7.6响应文件的数量要求见前附表。在每一份响应文件上要明确注明“正本”或“副本”字样。正本与副本如有不一致之处，则以正本为准</w:t>
      </w:r>
      <w:bookmarkEnd w:id="53"/>
      <w:bookmarkEnd w:id="54"/>
      <w:bookmarkEnd w:id="55"/>
      <w:bookmarkStart w:id="56" w:name="_Toc19819"/>
      <w:bookmarkStart w:id="57" w:name="_Toc9176"/>
      <w:bookmarkStart w:id="58" w:name="_Toc9821"/>
    </w:p>
    <w:p>
      <w:pPr>
        <w:keepNext w:val="0"/>
        <w:keepLines w:val="0"/>
        <w:pageBreakBefore w:val="0"/>
        <w:tabs>
          <w:tab w:val="left" w:pos="630"/>
        </w:tabs>
        <w:kinsoku/>
        <w:wordWrap/>
        <w:overflowPunct/>
        <w:topLinePunct w:val="0"/>
        <w:autoSpaceDE/>
        <w:autoSpaceDN/>
        <w:bidi w:val="0"/>
        <w:adjustRightInd/>
        <w:snapToGrid/>
        <w:spacing w:line="264" w:lineRule="auto"/>
        <w:ind w:firstLine="410" w:firstLineChars="196"/>
        <w:textAlignment w:val="auto"/>
        <w:outlineLvl w:val="9"/>
        <w:rPr>
          <w:rFonts w:hint="eastAsia" w:ascii="宋体" w:hAnsi="宋体" w:eastAsia="宋体" w:cs="宋体"/>
          <w:sz w:val="24"/>
          <w:szCs w:val="24"/>
          <w:lang w:eastAsia="zh-CN"/>
        </w:rPr>
      </w:pPr>
      <w:r>
        <w:rPr>
          <w:rFonts w:hint="eastAsia" w:ascii="宋体" w:hAnsi="宋体" w:eastAsia="宋体" w:cs="宋体"/>
          <w:b w:val="0"/>
          <w:bCs w:val="0"/>
          <w:color w:val="000000"/>
          <w:sz w:val="24"/>
          <w:szCs w:val="24"/>
          <w:lang w:val="en-US" w:eastAsia="zh-CN"/>
        </w:rPr>
        <w:t>3.7.</w:t>
      </w:r>
      <w:r>
        <w:rPr>
          <w:rFonts w:hint="eastAsia" w:ascii="宋体" w:hAnsi="宋体" w:eastAsia="宋体" w:cs="宋体"/>
          <w:b w:val="0"/>
          <w:bCs w:val="0"/>
          <w:color w:val="000000"/>
          <w:sz w:val="24"/>
          <w:szCs w:val="24"/>
        </w:rPr>
        <w:t>7响应文件的装订要求见前附表。</w:t>
      </w:r>
      <w:bookmarkEnd w:id="56"/>
      <w:bookmarkEnd w:id="57"/>
      <w:bookmarkEnd w:id="58"/>
    </w:p>
    <w:p>
      <w:pPr>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响应文件提交</w:t>
      </w:r>
      <w:bookmarkEnd w:id="40"/>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bookmarkStart w:id="59" w:name="_Toc1662524"/>
      <w:r>
        <w:rPr>
          <w:rFonts w:hint="eastAsia" w:ascii="宋体" w:hAnsi="宋体" w:eastAsia="宋体" w:cs="宋体"/>
          <w:b/>
          <w:bCs/>
          <w:color w:val="auto"/>
          <w:sz w:val="24"/>
          <w:szCs w:val="24"/>
        </w:rPr>
        <w:t>4.1</w:t>
      </w:r>
      <w:r>
        <w:rPr>
          <w:rFonts w:hint="eastAsia" w:ascii="宋体" w:hAnsi="宋体" w:eastAsia="宋体" w:cs="宋体"/>
          <w:b/>
          <w:bCs/>
          <w:color w:val="auto"/>
          <w:sz w:val="24"/>
          <w:szCs w:val="24"/>
          <w:lang w:eastAsia="zh-CN"/>
        </w:rPr>
        <w:t>响应</w:t>
      </w:r>
      <w:r>
        <w:rPr>
          <w:rFonts w:hint="eastAsia" w:ascii="宋体" w:hAnsi="宋体" w:eastAsia="宋体" w:cs="宋体"/>
          <w:b/>
          <w:bCs/>
          <w:color w:val="auto"/>
          <w:sz w:val="24"/>
          <w:szCs w:val="24"/>
        </w:rPr>
        <w:t>文件的密封和标记</w:t>
      </w:r>
      <w:bookmarkEnd w:id="59"/>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4.1.1</w:t>
      </w:r>
      <w:r>
        <w:rPr>
          <w:rFonts w:hint="eastAsia" w:ascii="宋体" w:hAnsi="宋体" w:eastAsia="宋体" w:cs="宋体"/>
          <w:color w:val="auto"/>
          <w:spacing w:val="14"/>
          <w:sz w:val="24"/>
          <w:szCs w:val="24"/>
          <w:lang w:eastAsia="zh-CN"/>
        </w:rPr>
        <w:t>响应</w:t>
      </w:r>
      <w:r>
        <w:rPr>
          <w:rFonts w:hint="eastAsia" w:ascii="宋体" w:hAnsi="宋体" w:eastAsia="宋体" w:cs="宋体"/>
          <w:color w:val="auto"/>
          <w:spacing w:val="14"/>
          <w:sz w:val="24"/>
          <w:szCs w:val="24"/>
        </w:rPr>
        <w:t>文件的密封和标记的要求：见</w:t>
      </w:r>
      <w:r>
        <w:rPr>
          <w:rFonts w:hint="eastAsia" w:ascii="宋体" w:hAnsi="宋体" w:eastAsia="宋体" w:cs="宋体"/>
          <w:color w:val="auto"/>
          <w:spacing w:val="14"/>
          <w:sz w:val="24"/>
          <w:szCs w:val="24"/>
          <w:lang w:eastAsia="zh-CN"/>
        </w:rPr>
        <w:t>供应商</w:t>
      </w:r>
      <w:r>
        <w:rPr>
          <w:rFonts w:hint="eastAsia" w:ascii="宋体" w:hAnsi="宋体" w:eastAsia="宋体" w:cs="宋体"/>
          <w:color w:val="auto"/>
          <w:spacing w:val="14"/>
          <w:sz w:val="24"/>
          <w:szCs w:val="24"/>
        </w:rPr>
        <w:t>须知前附表。</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4.1.2未按要求密封和标记的</w:t>
      </w:r>
      <w:r>
        <w:rPr>
          <w:rFonts w:hint="eastAsia" w:ascii="宋体" w:hAnsi="宋体" w:eastAsia="宋体" w:cs="宋体"/>
          <w:color w:val="auto"/>
          <w:spacing w:val="14"/>
          <w:sz w:val="24"/>
          <w:szCs w:val="24"/>
          <w:lang w:eastAsia="zh-CN"/>
        </w:rPr>
        <w:t>响应</w:t>
      </w:r>
      <w:r>
        <w:rPr>
          <w:rFonts w:hint="eastAsia" w:ascii="宋体" w:hAnsi="宋体" w:eastAsia="宋体" w:cs="宋体"/>
          <w:color w:val="auto"/>
          <w:spacing w:val="14"/>
          <w:sz w:val="24"/>
          <w:szCs w:val="24"/>
        </w:rPr>
        <w:t>文件，采购人将予以拒收。</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bookmarkStart w:id="60" w:name="_Toc1662525"/>
      <w:r>
        <w:rPr>
          <w:rFonts w:hint="eastAsia" w:ascii="宋体" w:hAnsi="宋体" w:eastAsia="宋体" w:cs="宋体"/>
          <w:b/>
          <w:bCs/>
          <w:color w:val="auto"/>
          <w:sz w:val="24"/>
          <w:szCs w:val="24"/>
        </w:rPr>
        <w:t>4.2</w:t>
      </w:r>
      <w:r>
        <w:rPr>
          <w:rFonts w:hint="eastAsia" w:ascii="宋体" w:hAnsi="宋体" w:eastAsia="宋体" w:cs="宋体"/>
          <w:b/>
          <w:bCs/>
          <w:color w:val="auto"/>
          <w:sz w:val="24"/>
          <w:szCs w:val="24"/>
          <w:lang w:eastAsia="zh-CN"/>
        </w:rPr>
        <w:t>响应</w:t>
      </w:r>
      <w:r>
        <w:rPr>
          <w:rFonts w:hint="eastAsia" w:ascii="宋体" w:hAnsi="宋体" w:eastAsia="宋体" w:cs="宋体"/>
          <w:b/>
          <w:bCs/>
          <w:color w:val="auto"/>
          <w:sz w:val="24"/>
          <w:szCs w:val="24"/>
        </w:rPr>
        <w:t>文件的提交</w:t>
      </w:r>
      <w:bookmarkEnd w:id="60"/>
    </w:p>
    <w:p>
      <w:pPr>
        <w:keepNext w:val="0"/>
        <w:keepLines w:val="0"/>
        <w:pageBreakBefore w:val="0"/>
        <w:kinsoku/>
        <w:wordWrap/>
        <w:overflowPunct/>
        <w:topLinePunct w:val="0"/>
        <w:autoSpaceDE/>
        <w:autoSpaceDN/>
        <w:bidi w:val="0"/>
        <w:adjustRightInd/>
        <w:snapToGrid/>
        <w:spacing w:line="264" w:lineRule="auto"/>
        <w:ind w:firstLine="450"/>
        <w:textAlignment w:val="auto"/>
        <w:rPr>
          <w:rFonts w:hint="eastAsia" w:ascii="宋体" w:hAnsi="宋体" w:eastAsia="宋体" w:cs="宋体"/>
          <w:color w:val="auto"/>
          <w:spacing w:val="14"/>
          <w:sz w:val="24"/>
          <w:szCs w:val="24"/>
          <w:highlight w:val="none"/>
          <w:lang w:val="en-US" w:eastAsia="zh-CN" w:bidi="ar-SA"/>
        </w:rPr>
      </w:pPr>
      <w:bookmarkStart w:id="61" w:name="_Toc1662526"/>
      <w:r>
        <w:rPr>
          <w:rFonts w:hint="eastAsia" w:ascii="宋体" w:hAnsi="宋体" w:eastAsia="宋体" w:cs="宋体"/>
          <w:color w:val="auto"/>
          <w:spacing w:val="14"/>
          <w:sz w:val="24"/>
          <w:szCs w:val="24"/>
          <w:highlight w:val="none"/>
          <w:lang w:val="en-US" w:eastAsia="zh-CN" w:bidi="ar-SA"/>
        </w:rPr>
        <w:t>4.2.1供应商应将响应文件按规定密封后，按前附表规定的时间和地点递交给采购代理机构。未按上述规定密封的响应文件，采购人、采购代理机构不承担响应文件错放或提前开封的责任，由此造成的提前开封的响应文件将予以拒绝，并退还给供应商。</w:t>
      </w:r>
    </w:p>
    <w:p>
      <w:pPr>
        <w:keepNext w:val="0"/>
        <w:keepLines w:val="0"/>
        <w:pageBreakBefore w:val="0"/>
        <w:kinsoku/>
        <w:wordWrap/>
        <w:overflowPunct/>
        <w:topLinePunct w:val="0"/>
        <w:autoSpaceDE/>
        <w:autoSpaceDN/>
        <w:bidi w:val="0"/>
        <w:adjustRightInd/>
        <w:snapToGrid/>
        <w:spacing w:line="264" w:lineRule="auto"/>
        <w:ind w:firstLine="450"/>
        <w:textAlignment w:val="auto"/>
        <w:rPr>
          <w:rFonts w:hint="eastAsia" w:ascii="宋体" w:hAnsi="宋体" w:eastAsia="宋体" w:cs="宋体"/>
          <w:color w:val="auto"/>
          <w:spacing w:val="14"/>
          <w:sz w:val="24"/>
          <w:szCs w:val="24"/>
          <w:highlight w:val="none"/>
          <w:lang w:val="en-US" w:eastAsia="zh-CN" w:bidi="ar-SA"/>
        </w:rPr>
      </w:pPr>
      <w:r>
        <w:rPr>
          <w:rFonts w:hint="eastAsia" w:ascii="宋体" w:hAnsi="宋体" w:eastAsia="宋体" w:cs="宋体"/>
          <w:color w:val="auto"/>
          <w:spacing w:val="14"/>
          <w:sz w:val="24"/>
          <w:szCs w:val="24"/>
          <w:highlight w:val="none"/>
          <w:lang w:val="en-US" w:eastAsia="zh-CN" w:bidi="ar-SA"/>
        </w:rPr>
        <w:t>4.2.2逾期送达或未送达指定地点的响应文件，采购人、采购代理机构不予受理。</w:t>
      </w:r>
    </w:p>
    <w:p>
      <w:pPr>
        <w:keepNext w:val="0"/>
        <w:keepLines w:val="0"/>
        <w:pageBreakBefore w:val="0"/>
        <w:kinsoku/>
        <w:wordWrap/>
        <w:overflowPunct/>
        <w:topLinePunct w:val="0"/>
        <w:autoSpaceDE/>
        <w:autoSpaceDN/>
        <w:bidi w:val="0"/>
        <w:adjustRightInd/>
        <w:snapToGrid/>
        <w:spacing w:line="264" w:lineRule="auto"/>
        <w:ind w:firstLine="450"/>
        <w:textAlignment w:val="auto"/>
        <w:rPr>
          <w:rFonts w:hint="eastAsia" w:ascii="宋体" w:hAnsi="宋体" w:eastAsia="宋体" w:cs="宋体"/>
          <w:color w:val="auto"/>
          <w:spacing w:val="14"/>
          <w:sz w:val="24"/>
          <w:szCs w:val="24"/>
          <w:highlight w:val="none"/>
          <w:lang w:val="en-US" w:eastAsia="zh-CN" w:bidi="ar-SA"/>
        </w:rPr>
      </w:pPr>
      <w:r>
        <w:rPr>
          <w:rFonts w:hint="eastAsia" w:ascii="宋体" w:hAnsi="宋体" w:eastAsia="宋体" w:cs="宋体"/>
          <w:color w:val="auto"/>
          <w:spacing w:val="14"/>
          <w:sz w:val="24"/>
          <w:szCs w:val="24"/>
          <w:highlight w:val="none"/>
          <w:lang w:val="en-US" w:eastAsia="zh-CN" w:bidi="ar-SA"/>
        </w:rPr>
        <w:t>4.2.3电报、电话、传真、电子邮件形式的响应文件概不接受。</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4.3响应文件的修改与撤回</w:t>
      </w:r>
      <w:bookmarkEnd w:id="61"/>
      <w:bookmarkStart w:id="62" w:name="_Toc1662527"/>
    </w:p>
    <w:p>
      <w:pPr>
        <w:keepNext w:val="0"/>
        <w:keepLines w:val="0"/>
        <w:pageBreakBefore w:val="0"/>
        <w:kinsoku/>
        <w:wordWrap/>
        <w:overflowPunct/>
        <w:topLinePunct w:val="0"/>
        <w:autoSpaceDE/>
        <w:autoSpaceDN/>
        <w:bidi w:val="0"/>
        <w:adjustRightInd/>
        <w:snapToGrid/>
        <w:spacing w:line="264" w:lineRule="auto"/>
        <w:ind w:firstLine="450"/>
        <w:textAlignment w:val="auto"/>
        <w:rPr>
          <w:rFonts w:hint="eastAsia" w:ascii="宋体" w:hAnsi="宋体" w:eastAsia="宋体" w:cs="宋体"/>
          <w:color w:val="auto"/>
          <w:spacing w:val="14"/>
          <w:sz w:val="24"/>
          <w:szCs w:val="24"/>
          <w:highlight w:val="none"/>
          <w:lang w:val="en-US" w:eastAsia="zh-CN" w:bidi="ar-SA"/>
        </w:rPr>
      </w:pPr>
      <w:r>
        <w:rPr>
          <w:rFonts w:hint="eastAsia" w:ascii="宋体" w:hAnsi="宋体" w:eastAsia="宋体" w:cs="宋体"/>
          <w:color w:val="auto"/>
          <w:spacing w:val="14"/>
          <w:sz w:val="24"/>
          <w:szCs w:val="24"/>
          <w:highlight w:val="none"/>
          <w:lang w:val="en-US" w:eastAsia="zh-CN" w:bidi="ar-SA"/>
        </w:rPr>
        <w:t>4.3.1供应商在提交响应文件后可对其响应文件进行修改并重新上传响应文件或在洛阳市电子招投标交易平台上进行撤回响应文件的操作。</w:t>
      </w:r>
    </w:p>
    <w:p>
      <w:pPr>
        <w:keepNext w:val="0"/>
        <w:keepLines w:val="0"/>
        <w:pageBreakBefore w:val="0"/>
        <w:kinsoku/>
        <w:wordWrap/>
        <w:overflowPunct/>
        <w:topLinePunct w:val="0"/>
        <w:autoSpaceDE/>
        <w:autoSpaceDN/>
        <w:bidi w:val="0"/>
        <w:adjustRightInd/>
        <w:snapToGrid/>
        <w:spacing w:line="264" w:lineRule="auto"/>
        <w:ind w:firstLine="450"/>
        <w:textAlignment w:val="auto"/>
        <w:rPr>
          <w:rFonts w:hint="eastAsia" w:ascii="宋体" w:hAnsi="宋体" w:eastAsia="宋体" w:cs="宋体"/>
          <w:color w:val="auto"/>
          <w:spacing w:val="14"/>
          <w:sz w:val="24"/>
          <w:szCs w:val="24"/>
          <w:highlight w:val="none"/>
          <w:lang w:val="en-US" w:eastAsia="zh-CN" w:bidi="ar-SA"/>
        </w:rPr>
      </w:pPr>
      <w:r>
        <w:rPr>
          <w:rFonts w:hint="eastAsia" w:ascii="宋体" w:hAnsi="宋体" w:eastAsia="宋体" w:cs="宋体"/>
          <w:color w:val="auto"/>
          <w:spacing w:val="14"/>
          <w:sz w:val="24"/>
          <w:szCs w:val="24"/>
          <w:highlight w:val="none"/>
          <w:lang w:val="en-US" w:eastAsia="zh-CN" w:bidi="ar-SA"/>
        </w:rPr>
        <w:t>4.3.2提交响应文件截止时间以后不得修改响应文件。</w:t>
      </w:r>
    </w:p>
    <w:p>
      <w:pPr>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eastAsia="zh-CN"/>
        </w:rPr>
        <w:t>采购开启</w:t>
      </w:r>
      <w:bookmarkEnd w:id="62"/>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bookmarkStart w:id="63" w:name="_Toc1662528"/>
      <w:r>
        <w:rPr>
          <w:rFonts w:hint="eastAsia" w:ascii="宋体" w:hAnsi="宋体" w:eastAsia="宋体" w:cs="宋体"/>
          <w:b/>
          <w:bCs/>
          <w:color w:val="auto"/>
          <w:sz w:val="24"/>
          <w:szCs w:val="24"/>
        </w:rPr>
        <w:t>5.1</w:t>
      </w:r>
      <w:r>
        <w:rPr>
          <w:rFonts w:hint="eastAsia" w:ascii="宋体" w:hAnsi="宋体" w:eastAsia="宋体" w:cs="宋体"/>
          <w:b/>
          <w:bCs/>
          <w:color w:val="auto"/>
          <w:sz w:val="24"/>
          <w:szCs w:val="24"/>
          <w:lang w:eastAsia="zh-CN"/>
        </w:rPr>
        <w:t>采购开启</w:t>
      </w:r>
      <w:r>
        <w:rPr>
          <w:rFonts w:hint="eastAsia" w:ascii="宋体" w:hAnsi="宋体" w:eastAsia="宋体" w:cs="宋体"/>
          <w:b/>
          <w:bCs/>
          <w:color w:val="auto"/>
          <w:sz w:val="24"/>
          <w:szCs w:val="24"/>
        </w:rPr>
        <w:t>时间和地点</w:t>
      </w:r>
      <w:bookmarkEnd w:id="63"/>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采购人在本章第4.2.1项规定的提交响应文件截止时间和供应商须知前附表规定的地点</w:t>
      </w:r>
      <w:r>
        <w:rPr>
          <w:rFonts w:hint="eastAsia" w:ascii="宋体" w:hAnsi="宋体" w:eastAsia="宋体" w:cs="宋体"/>
          <w:color w:val="auto"/>
          <w:spacing w:val="14"/>
          <w:sz w:val="24"/>
          <w:szCs w:val="24"/>
          <w:lang w:eastAsia="zh-CN"/>
        </w:rPr>
        <w:t>开启采购</w:t>
      </w:r>
      <w:r>
        <w:rPr>
          <w:rFonts w:hint="eastAsia" w:ascii="宋体" w:hAnsi="宋体" w:eastAsia="宋体" w:cs="宋体"/>
          <w:color w:val="auto"/>
          <w:spacing w:val="14"/>
          <w:sz w:val="24"/>
          <w:szCs w:val="24"/>
        </w:rPr>
        <w:t>活动。</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lang w:eastAsia="zh-CN"/>
        </w:rPr>
      </w:pPr>
      <w:bookmarkStart w:id="64" w:name="_Toc1662529"/>
      <w:r>
        <w:rPr>
          <w:rFonts w:hint="eastAsia" w:ascii="宋体" w:hAnsi="宋体" w:eastAsia="宋体" w:cs="宋体"/>
          <w:b/>
          <w:bCs/>
          <w:color w:val="auto"/>
          <w:sz w:val="24"/>
          <w:szCs w:val="24"/>
        </w:rPr>
        <w:t>5.2</w:t>
      </w:r>
      <w:r>
        <w:rPr>
          <w:rFonts w:hint="eastAsia" w:ascii="宋体" w:hAnsi="宋体" w:eastAsia="宋体" w:cs="宋体"/>
          <w:b/>
          <w:bCs/>
          <w:color w:val="auto"/>
          <w:sz w:val="24"/>
          <w:szCs w:val="24"/>
          <w:lang w:eastAsia="zh-CN"/>
        </w:rPr>
        <w:t>采购开启规定</w:t>
      </w:r>
      <w:bookmarkEnd w:id="64"/>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eastAsia="zh-CN"/>
        </w:rPr>
      </w:pPr>
      <w:bookmarkStart w:id="65" w:name="_Toc1662530"/>
      <w:r>
        <w:rPr>
          <w:rFonts w:hint="eastAsia" w:ascii="宋体" w:hAnsi="宋体" w:eastAsia="宋体" w:cs="宋体"/>
          <w:color w:val="auto"/>
          <w:spacing w:val="14"/>
          <w:sz w:val="24"/>
          <w:szCs w:val="24"/>
          <w:lang w:val="en-US" w:eastAsia="zh-CN"/>
        </w:rPr>
        <w:t>见供应商须知前附表规定</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pacing w:val="14"/>
          <w:sz w:val="24"/>
          <w:szCs w:val="24"/>
          <w:lang w:eastAsia="zh-CN"/>
        </w:rPr>
      </w:pPr>
      <w:r>
        <w:rPr>
          <w:rFonts w:hint="eastAsia" w:ascii="宋体" w:hAnsi="宋体" w:eastAsia="宋体" w:cs="宋体"/>
          <w:b/>
          <w:bCs/>
          <w:color w:val="auto"/>
          <w:sz w:val="24"/>
          <w:szCs w:val="24"/>
        </w:rPr>
        <w:t>6</w:t>
      </w:r>
      <w:bookmarkEnd w:id="65"/>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eastAsia="zh-CN"/>
        </w:rPr>
        <w:t>采购</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pacing w:val="14"/>
          <w:sz w:val="24"/>
          <w:szCs w:val="24"/>
          <w:lang w:eastAsia="zh-CN"/>
        </w:rPr>
      </w:pPr>
      <w:bookmarkStart w:id="66" w:name="_Toc1662531"/>
      <w:r>
        <w:rPr>
          <w:rFonts w:hint="eastAsia" w:ascii="宋体" w:hAnsi="宋体" w:eastAsia="宋体" w:cs="宋体"/>
          <w:b/>
          <w:bCs/>
          <w:color w:val="auto"/>
          <w:sz w:val="24"/>
          <w:szCs w:val="24"/>
        </w:rPr>
        <w:t>6.1</w:t>
      </w:r>
      <w:bookmarkEnd w:id="66"/>
      <w:r>
        <w:rPr>
          <w:rFonts w:hint="eastAsia" w:ascii="宋体" w:hAnsi="宋体" w:eastAsia="宋体" w:cs="宋体"/>
          <w:b/>
          <w:bCs/>
          <w:color w:val="auto"/>
          <w:sz w:val="24"/>
          <w:szCs w:val="24"/>
          <w:lang w:eastAsia="zh-CN"/>
        </w:rPr>
        <w:t>谈判小组</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eastAsia="zh-CN"/>
        </w:rPr>
      </w:pPr>
      <w:bookmarkStart w:id="67" w:name="_Toc531934441"/>
      <w:bookmarkStart w:id="68" w:name="_Hlt531934718"/>
      <w:r>
        <w:rPr>
          <w:rFonts w:hint="eastAsia" w:ascii="宋体" w:hAnsi="宋体" w:eastAsia="宋体" w:cs="宋体"/>
          <w:color w:val="auto"/>
          <w:spacing w:val="14"/>
          <w:sz w:val="24"/>
          <w:szCs w:val="24"/>
          <w:lang w:eastAsia="zh-CN"/>
        </w:rPr>
        <w:t>6.1.1评审由采购人依法组建的谈判小组负责。谈判小组由采购人代表以及评审专家组成。谈判小组成员人数以及评审专家的确定方式见供应商须知前附表。</w:t>
      </w:r>
      <w:bookmarkEnd w:id="67"/>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eastAsia="zh-CN"/>
        </w:rPr>
      </w:pPr>
      <w:bookmarkStart w:id="69" w:name="_Toc531934442"/>
      <w:r>
        <w:rPr>
          <w:rFonts w:hint="eastAsia" w:ascii="宋体" w:hAnsi="宋体" w:eastAsia="宋体" w:cs="宋体"/>
          <w:color w:val="auto"/>
          <w:spacing w:val="14"/>
          <w:sz w:val="24"/>
          <w:szCs w:val="24"/>
          <w:lang w:eastAsia="zh-CN"/>
        </w:rPr>
        <w:t>6.1.2谈判小组成员有下列情形之一的，应当回避：</w:t>
      </w:r>
      <w:bookmarkEnd w:id="69"/>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eastAsia="zh-CN"/>
        </w:rPr>
      </w:pPr>
      <w:bookmarkStart w:id="70" w:name="_Toc531934443"/>
      <w:r>
        <w:rPr>
          <w:rFonts w:hint="eastAsia" w:ascii="宋体" w:hAnsi="宋体" w:eastAsia="宋体" w:cs="宋体"/>
          <w:color w:val="auto"/>
          <w:spacing w:val="14"/>
          <w:sz w:val="24"/>
          <w:szCs w:val="24"/>
          <w:lang w:eastAsia="zh-CN"/>
        </w:rPr>
        <w:t>（1）参加采购活动前3年内与供应商存在劳动关系；</w:t>
      </w:r>
      <w:bookmarkEnd w:id="70"/>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eastAsia="zh-CN"/>
        </w:rPr>
      </w:pPr>
      <w:bookmarkStart w:id="71" w:name="_Toc531934444"/>
      <w:r>
        <w:rPr>
          <w:rFonts w:hint="eastAsia" w:ascii="宋体" w:hAnsi="宋体" w:eastAsia="宋体" w:cs="宋体"/>
          <w:color w:val="auto"/>
          <w:spacing w:val="14"/>
          <w:sz w:val="24"/>
          <w:szCs w:val="24"/>
          <w:lang w:eastAsia="zh-CN"/>
        </w:rPr>
        <w:t>（2）参加采购活动前3年内担任供应商的董事、监事；</w:t>
      </w:r>
      <w:bookmarkEnd w:id="71"/>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eastAsia="zh-CN"/>
        </w:rPr>
      </w:pPr>
      <w:bookmarkStart w:id="72" w:name="_Toc531934445"/>
      <w:r>
        <w:rPr>
          <w:rFonts w:hint="eastAsia" w:ascii="宋体" w:hAnsi="宋体" w:eastAsia="宋体" w:cs="宋体"/>
          <w:color w:val="auto"/>
          <w:spacing w:val="14"/>
          <w:sz w:val="24"/>
          <w:szCs w:val="24"/>
          <w:lang w:eastAsia="zh-CN"/>
        </w:rPr>
        <w:t>（3）参加采购活动前3年内是供应商的控股股东或者实际控制人；</w:t>
      </w:r>
      <w:bookmarkEnd w:id="72"/>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eastAsia="zh-CN"/>
        </w:rPr>
      </w:pPr>
      <w:bookmarkStart w:id="73" w:name="_Toc531934446"/>
      <w:r>
        <w:rPr>
          <w:rFonts w:hint="eastAsia" w:ascii="宋体" w:hAnsi="宋体" w:eastAsia="宋体" w:cs="宋体"/>
          <w:color w:val="auto"/>
          <w:spacing w:val="14"/>
          <w:sz w:val="24"/>
          <w:szCs w:val="24"/>
          <w:lang w:eastAsia="zh-CN"/>
        </w:rPr>
        <w:t>（4）与供应商的法定代表人或者负责人有夫妻、直系血亲、三代以内旁系血亲或者近姻亲关系；</w:t>
      </w:r>
      <w:bookmarkEnd w:id="73"/>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eastAsia="zh-CN"/>
        </w:rPr>
      </w:pPr>
      <w:bookmarkStart w:id="74" w:name="_Toc531934447"/>
      <w:r>
        <w:rPr>
          <w:rFonts w:hint="eastAsia" w:ascii="宋体" w:hAnsi="宋体" w:eastAsia="宋体" w:cs="宋体"/>
          <w:color w:val="auto"/>
          <w:spacing w:val="14"/>
          <w:sz w:val="24"/>
          <w:szCs w:val="24"/>
          <w:lang w:eastAsia="zh-CN"/>
        </w:rPr>
        <w:t>（5）与供应商有其他可能影响政府采购活动公平、公正进行的关系。</w:t>
      </w:r>
      <w:bookmarkEnd w:id="74"/>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6.1.3评审过程中，谈判小组成员有回避事由、擅离职守或者因健康等原因不能继续评审的，采购人有权更换。被更换的谈判小组成员作出的评审结论无效，由更换后的谈判小组成员重新进行评审。</w:t>
      </w:r>
    </w:p>
    <w:bookmarkEnd w:id="68"/>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bookmarkStart w:id="75" w:name="_Toc1662532"/>
      <w:r>
        <w:rPr>
          <w:rFonts w:hint="eastAsia" w:ascii="宋体" w:hAnsi="宋体" w:eastAsia="宋体" w:cs="宋体"/>
          <w:b/>
          <w:bCs/>
          <w:color w:val="auto"/>
          <w:sz w:val="24"/>
          <w:szCs w:val="24"/>
        </w:rPr>
        <w:t>6.2</w:t>
      </w:r>
      <w:r>
        <w:rPr>
          <w:rFonts w:hint="eastAsia" w:ascii="宋体" w:hAnsi="宋体" w:eastAsia="宋体" w:cs="宋体"/>
          <w:b/>
          <w:bCs/>
          <w:color w:val="auto"/>
          <w:sz w:val="24"/>
          <w:szCs w:val="24"/>
          <w:lang w:eastAsia="zh-CN"/>
        </w:rPr>
        <w:t>采购程序</w:t>
      </w:r>
      <w:bookmarkEnd w:id="75"/>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6</w:t>
      </w:r>
      <w:r>
        <w:rPr>
          <w:rFonts w:hint="eastAsia" w:ascii="宋体" w:hAnsi="宋体" w:eastAsia="宋体" w:cs="宋体"/>
          <w:color w:val="auto"/>
          <w:spacing w:val="14"/>
          <w:sz w:val="24"/>
          <w:szCs w:val="24"/>
        </w:rPr>
        <w:t>.2.1</w:t>
      </w:r>
      <w:r>
        <w:rPr>
          <w:rFonts w:hint="eastAsia" w:ascii="宋体" w:hAnsi="宋体" w:eastAsia="宋体" w:cs="宋体"/>
          <w:color w:val="auto"/>
          <w:spacing w:val="14"/>
          <w:sz w:val="24"/>
          <w:szCs w:val="24"/>
          <w:lang w:eastAsia="zh-CN"/>
        </w:rPr>
        <w:t>谈判小组</w:t>
      </w:r>
      <w:r>
        <w:rPr>
          <w:rFonts w:hint="eastAsia" w:ascii="宋体" w:hAnsi="宋体" w:eastAsia="宋体" w:cs="宋体"/>
          <w:color w:val="auto"/>
          <w:spacing w:val="14"/>
          <w:sz w:val="24"/>
          <w:szCs w:val="24"/>
        </w:rPr>
        <w:t>对响应文件的有效性、完整性和响应程度进行资格性审查及符合性审查。</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6</w:t>
      </w:r>
      <w:r>
        <w:rPr>
          <w:rFonts w:hint="eastAsia" w:ascii="宋体" w:hAnsi="宋体" w:eastAsia="宋体" w:cs="宋体"/>
          <w:color w:val="auto"/>
          <w:spacing w:val="14"/>
          <w:sz w:val="24"/>
          <w:szCs w:val="24"/>
        </w:rPr>
        <w:t>.2.2</w:t>
      </w:r>
      <w:r>
        <w:rPr>
          <w:rFonts w:hint="eastAsia" w:ascii="宋体" w:hAnsi="宋体" w:eastAsia="宋体" w:cs="宋体"/>
          <w:color w:val="auto"/>
          <w:spacing w:val="14"/>
          <w:sz w:val="24"/>
          <w:szCs w:val="24"/>
          <w:lang w:eastAsia="zh-CN"/>
        </w:rPr>
        <w:t>谈判小组</w:t>
      </w:r>
      <w:r>
        <w:rPr>
          <w:rFonts w:hint="eastAsia" w:ascii="宋体" w:hAnsi="宋体" w:eastAsia="宋体" w:cs="宋体"/>
          <w:color w:val="auto"/>
          <w:spacing w:val="14"/>
          <w:sz w:val="24"/>
          <w:szCs w:val="24"/>
        </w:rPr>
        <w:t>所有成员集中与单一供应商分别进行</w:t>
      </w:r>
      <w:r>
        <w:rPr>
          <w:rFonts w:hint="eastAsia" w:ascii="宋体" w:hAnsi="宋体" w:eastAsia="宋体" w:cs="宋体"/>
          <w:color w:val="auto"/>
          <w:spacing w:val="14"/>
          <w:sz w:val="24"/>
          <w:szCs w:val="24"/>
          <w:lang w:eastAsia="zh-CN"/>
        </w:rPr>
        <w:t>谈判</w:t>
      </w:r>
      <w:r>
        <w:rPr>
          <w:rFonts w:hint="eastAsia" w:ascii="宋体" w:hAnsi="宋体" w:eastAsia="宋体" w:cs="宋体"/>
          <w:color w:val="auto"/>
          <w:spacing w:val="14"/>
          <w:sz w:val="24"/>
          <w:szCs w:val="24"/>
        </w:rPr>
        <w:t>，并给予所有参加</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的供应商平等的</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机会。</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6</w:t>
      </w:r>
      <w:r>
        <w:rPr>
          <w:rFonts w:hint="eastAsia" w:ascii="宋体" w:hAnsi="宋体" w:eastAsia="宋体" w:cs="宋体"/>
          <w:color w:val="auto"/>
          <w:spacing w:val="14"/>
          <w:sz w:val="24"/>
          <w:szCs w:val="24"/>
        </w:rPr>
        <w:t>.2.3在</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过程中，</w:t>
      </w:r>
      <w:r>
        <w:rPr>
          <w:rFonts w:hint="eastAsia" w:ascii="宋体" w:hAnsi="宋体" w:eastAsia="宋体" w:cs="宋体"/>
          <w:color w:val="auto"/>
          <w:spacing w:val="14"/>
          <w:sz w:val="24"/>
          <w:szCs w:val="24"/>
          <w:lang w:eastAsia="zh-CN"/>
        </w:rPr>
        <w:t>谈判小组</w:t>
      </w:r>
      <w:r>
        <w:rPr>
          <w:rFonts w:hint="eastAsia" w:ascii="宋体" w:hAnsi="宋体" w:eastAsia="宋体" w:cs="宋体"/>
          <w:color w:val="auto"/>
          <w:spacing w:val="14"/>
          <w:sz w:val="24"/>
          <w:szCs w:val="24"/>
        </w:rPr>
        <w:t>可以根据</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和</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情况实质性变动采购需求中的技术、服务要求以及合同草案条款，但不得变动</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中的其他内容。实质性变动的内容，须经采购人代表确认。对</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作出的实质性变动是</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的有效组成部分，</w:t>
      </w:r>
      <w:r>
        <w:rPr>
          <w:rFonts w:hint="eastAsia" w:ascii="宋体" w:hAnsi="宋体" w:eastAsia="宋体" w:cs="宋体"/>
          <w:color w:val="auto"/>
          <w:spacing w:val="14"/>
          <w:sz w:val="24"/>
          <w:szCs w:val="24"/>
          <w:lang w:eastAsia="zh-CN"/>
        </w:rPr>
        <w:t>谈判小组</w:t>
      </w:r>
      <w:r>
        <w:rPr>
          <w:rFonts w:hint="eastAsia" w:ascii="宋体" w:hAnsi="宋体" w:eastAsia="宋体" w:cs="宋体"/>
          <w:color w:val="auto"/>
          <w:spacing w:val="14"/>
          <w:sz w:val="24"/>
          <w:szCs w:val="24"/>
        </w:rPr>
        <w:t>应当及时以书面形式同时通知所有参加</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的供应商。</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6</w:t>
      </w:r>
      <w:r>
        <w:rPr>
          <w:rFonts w:hint="eastAsia" w:ascii="宋体" w:hAnsi="宋体" w:eastAsia="宋体" w:cs="宋体"/>
          <w:color w:val="auto"/>
          <w:spacing w:val="14"/>
          <w:sz w:val="24"/>
          <w:szCs w:val="24"/>
        </w:rPr>
        <w:t>.2.4供应商应当按照</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的变动情况和</w:t>
      </w:r>
      <w:r>
        <w:rPr>
          <w:rFonts w:hint="eastAsia" w:ascii="宋体" w:hAnsi="宋体" w:eastAsia="宋体" w:cs="宋体"/>
          <w:color w:val="auto"/>
          <w:spacing w:val="14"/>
          <w:sz w:val="24"/>
          <w:szCs w:val="24"/>
          <w:lang w:eastAsia="zh-CN"/>
        </w:rPr>
        <w:t>谈判小组</w:t>
      </w:r>
      <w:r>
        <w:rPr>
          <w:rFonts w:hint="eastAsia" w:ascii="宋体" w:hAnsi="宋体" w:eastAsia="宋体" w:cs="宋体"/>
          <w:color w:val="auto"/>
          <w:spacing w:val="14"/>
          <w:sz w:val="24"/>
          <w:szCs w:val="24"/>
        </w:rPr>
        <w:t>的要求重新提交响应文件（如果有），并由其法定代表人或其授权代表签字或者加盖公章。</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6</w:t>
      </w:r>
      <w:r>
        <w:rPr>
          <w:rFonts w:hint="eastAsia" w:ascii="宋体" w:hAnsi="宋体" w:eastAsia="宋体" w:cs="宋体"/>
          <w:color w:val="auto"/>
          <w:spacing w:val="14"/>
          <w:sz w:val="24"/>
          <w:szCs w:val="24"/>
        </w:rPr>
        <w:t>.2.5</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能够详细列明采购项目的技术、服务要求后，</w:t>
      </w:r>
      <w:r>
        <w:rPr>
          <w:rFonts w:hint="eastAsia" w:ascii="宋体" w:hAnsi="宋体" w:eastAsia="宋体" w:cs="宋体"/>
          <w:color w:val="auto"/>
          <w:spacing w:val="14"/>
          <w:sz w:val="24"/>
          <w:szCs w:val="24"/>
          <w:lang w:eastAsia="zh-CN"/>
        </w:rPr>
        <w:t>谈判小组</w:t>
      </w:r>
      <w:r>
        <w:rPr>
          <w:rFonts w:hint="eastAsia" w:ascii="宋体" w:hAnsi="宋体" w:eastAsia="宋体" w:cs="宋体"/>
          <w:color w:val="auto"/>
          <w:spacing w:val="14"/>
          <w:sz w:val="24"/>
          <w:szCs w:val="24"/>
        </w:rPr>
        <w:t>要求所有实质性响应的供应商在规定时间内提交最后报价。通过资格性审查及符合性审查的供应商有均等的最后报价机会，供应商应在</w:t>
      </w:r>
      <w:r>
        <w:rPr>
          <w:rFonts w:hint="eastAsia" w:ascii="宋体" w:hAnsi="宋体" w:eastAsia="宋体" w:cs="宋体"/>
          <w:color w:val="auto"/>
          <w:spacing w:val="14"/>
          <w:sz w:val="24"/>
          <w:szCs w:val="24"/>
          <w:lang w:eastAsia="zh-CN"/>
        </w:rPr>
        <w:t>谈判小组</w:t>
      </w:r>
      <w:r>
        <w:rPr>
          <w:rFonts w:hint="eastAsia" w:ascii="宋体" w:hAnsi="宋体" w:eastAsia="宋体" w:cs="宋体"/>
          <w:color w:val="auto"/>
          <w:spacing w:val="14"/>
          <w:sz w:val="24"/>
          <w:szCs w:val="24"/>
        </w:rPr>
        <w:t>规定的时间内完成报价。每一轮报价全部为书面形式，并须由供应商法定代表人或其委托代理人签字或者加盖公章，作为响应文件的一部分，对供应商具有约束力。</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在未对</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作出实质性变动的情况下，供应商提交的最后报价不得高于其前一次报价。在</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作出实质性变动但供应商的响应文件未作出相应实质性变动的情况下，该供应商提交的最后报价也不得高于其前一次报价。</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6</w:t>
      </w:r>
      <w:r>
        <w:rPr>
          <w:rFonts w:hint="eastAsia" w:ascii="宋体" w:hAnsi="宋体" w:eastAsia="宋体" w:cs="宋体"/>
          <w:color w:val="auto"/>
          <w:spacing w:val="14"/>
          <w:sz w:val="24"/>
          <w:szCs w:val="24"/>
        </w:rPr>
        <w:t>.2.6最后报价是供应商响应文件的有效组成部分，未按要求进行最后报价的，其响应文件将被否决。</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6</w:t>
      </w:r>
      <w:r>
        <w:rPr>
          <w:rFonts w:hint="eastAsia" w:ascii="宋体" w:hAnsi="宋体" w:eastAsia="宋体" w:cs="宋体"/>
          <w:color w:val="auto"/>
          <w:spacing w:val="14"/>
          <w:sz w:val="24"/>
          <w:szCs w:val="24"/>
        </w:rPr>
        <w:t>.2.7经</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确定最终采购需求和提交最后报价的供应商后，谈判小组根据价格、质量、供应商实力及服务承诺等因素确定成交供应商。</w:t>
      </w:r>
      <w:bookmarkStart w:id="76" w:name="_Toc1662533"/>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6.3评审原则</w:t>
      </w:r>
      <w:bookmarkEnd w:id="76"/>
    </w:p>
    <w:p>
      <w:pPr>
        <w:pStyle w:val="156"/>
        <w:keepNext w:val="0"/>
        <w:keepLines w:val="0"/>
        <w:pageBreakBefore w:val="0"/>
        <w:kinsoku/>
        <w:wordWrap/>
        <w:overflowPunct/>
        <w:topLinePunct w:val="0"/>
        <w:autoSpaceDE/>
        <w:autoSpaceDN/>
        <w:bidi w:val="0"/>
        <w:adjustRightInd/>
        <w:snapToGrid/>
        <w:spacing w:line="264" w:lineRule="auto"/>
        <w:ind w:left="0" w:leftChars="0" w:firstLine="474" w:firstLineChars="200"/>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6.3.1</w:t>
      </w:r>
      <w:r>
        <w:rPr>
          <w:rFonts w:hint="eastAsia" w:ascii="宋体" w:hAnsi="宋体" w:eastAsia="宋体" w:cs="宋体"/>
          <w:color w:val="auto"/>
          <w:spacing w:val="14"/>
          <w:sz w:val="24"/>
          <w:szCs w:val="24"/>
          <w:lang w:eastAsia="zh-CN"/>
        </w:rPr>
        <w:t>谈判小组</w:t>
      </w:r>
      <w:r>
        <w:rPr>
          <w:rFonts w:hint="eastAsia" w:ascii="宋体" w:hAnsi="宋体" w:eastAsia="宋体" w:cs="宋体"/>
          <w:color w:val="auto"/>
          <w:spacing w:val="14"/>
          <w:sz w:val="24"/>
          <w:szCs w:val="24"/>
        </w:rPr>
        <w:t>按照第</w:t>
      </w:r>
      <w:r>
        <w:rPr>
          <w:rFonts w:hint="eastAsia" w:ascii="宋体" w:hAnsi="宋体" w:eastAsia="宋体" w:cs="宋体"/>
          <w:color w:val="auto"/>
          <w:spacing w:val="14"/>
          <w:sz w:val="24"/>
          <w:szCs w:val="24"/>
          <w:lang w:eastAsia="zh-CN"/>
        </w:rPr>
        <w:t>五</w:t>
      </w:r>
      <w:r>
        <w:rPr>
          <w:rFonts w:hint="eastAsia" w:ascii="宋体" w:hAnsi="宋体" w:eastAsia="宋体" w:cs="宋体"/>
          <w:color w:val="auto"/>
          <w:spacing w:val="14"/>
          <w:sz w:val="24"/>
          <w:szCs w:val="24"/>
        </w:rPr>
        <w:t>章“</w:t>
      </w:r>
      <w:r>
        <w:rPr>
          <w:rFonts w:hint="eastAsia" w:ascii="宋体" w:hAnsi="宋体" w:eastAsia="宋体" w:cs="宋体"/>
          <w:color w:val="auto"/>
          <w:spacing w:val="14"/>
          <w:sz w:val="24"/>
          <w:szCs w:val="24"/>
          <w:lang w:eastAsia="zh-CN"/>
        </w:rPr>
        <w:t>评审</w:t>
      </w:r>
      <w:r>
        <w:rPr>
          <w:rFonts w:hint="eastAsia" w:ascii="宋体" w:hAnsi="宋体" w:eastAsia="宋体" w:cs="宋体"/>
          <w:color w:val="auto"/>
          <w:spacing w:val="14"/>
          <w:sz w:val="24"/>
          <w:szCs w:val="24"/>
        </w:rPr>
        <w:t>办法”规定的方法、因素、标准和程序对供应商</w:t>
      </w:r>
      <w:r>
        <w:rPr>
          <w:rFonts w:hint="eastAsia" w:ascii="宋体" w:hAnsi="宋体" w:eastAsia="宋体" w:cs="宋体"/>
          <w:color w:val="auto"/>
          <w:spacing w:val="14"/>
          <w:sz w:val="24"/>
          <w:szCs w:val="24"/>
          <w:lang w:eastAsia="zh-CN"/>
        </w:rPr>
        <w:t>的</w:t>
      </w:r>
      <w:r>
        <w:rPr>
          <w:rFonts w:hint="eastAsia" w:ascii="宋体" w:hAnsi="宋体" w:eastAsia="宋体" w:cs="宋体"/>
          <w:color w:val="auto"/>
          <w:spacing w:val="14"/>
          <w:sz w:val="24"/>
          <w:szCs w:val="24"/>
        </w:rPr>
        <w:t>响应文件进行评审。没有规定的方法、因素和标准，不得作为</w:t>
      </w:r>
      <w:r>
        <w:rPr>
          <w:rFonts w:hint="eastAsia" w:ascii="宋体" w:hAnsi="宋体" w:eastAsia="宋体" w:cs="宋体"/>
          <w:color w:val="auto"/>
          <w:spacing w:val="14"/>
          <w:sz w:val="24"/>
          <w:szCs w:val="24"/>
          <w:lang w:eastAsia="zh-CN"/>
        </w:rPr>
        <w:t>评审</w:t>
      </w:r>
      <w:r>
        <w:rPr>
          <w:rFonts w:hint="eastAsia" w:ascii="宋体" w:hAnsi="宋体" w:eastAsia="宋体" w:cs="宋体"/>
          <w:color w:val="auto"/>
          <w:spacing w:val="14"/>
          <w:sz w:val="24"/>
          <w:szCs w:val="24"/>
        </w:rPr>
        <w:t>依据。未实质性响应</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的响应文件按无效响应处理，谈判小组应当告知提交响应文件的供应商。</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6.3.2评</w:t>
      </w:r>
      <w:r>
        <w:rPr>
          <w:rFonts w:hint="eastAsia" w:ascii="宋体" w:hAnsi="宋体" w:eastAsia="宋体" w:cs="宋体"/>
          <w:color w:val="auto"/>
          <w:spacing w:val="14"/>
          <w:sz w:val="24"/>
          <w:szCs w:val="24"/>
          <w:lang w:eastAsia="zh-CN"/>
        </w:rPr>
        <w:t>审</w:t>
      </w:r>
      <w:r>
        <w:rPr>
          <w:rFonts w:hint="eastAsia" w:ascii="宋体" w:hAnsi="宋体" w:eastAsia="宋体" w:cs="宋体"/>
          <w:color w:val="auto"/>
          <w:spacing w:val="14"/>
          <w:sz w:val="24"/>
          <w:szCs w:val="24"/>
        </w:rPr>
        <w:t>完成后，</w:t>
      </w:r>
      <w:r>
        <w:rPr>
          <w:rFonts w:hint="eastAsia" w:ascii="宋体" w:hAnsi="宋体" w:eastAsia="宋体" w:cs="宋体"/>
          <w:color w:val="auto"/>
          <w:spacing w:val="14"/>
          <w:sz w:val="24"/>
          <w:szCs w:val="24"/>
          <w:lang w:eastAsia="zh-CN"/>
        </w:rPr>
        <w:t>谈判小组</w:t>
      </w:r>
      <w:r>
        <w:rPr>
          <w:rFonts w:hint="eastAsia" w:ascii="宋体" w:hAnsi="宋体" w:eastAsia="宋体" w:cs="宋体"/>
          <w:color w:val="auto"/>
          <w:spacing w:val="14"/>
          <w:sz w:val="24"/>
          <w:szCs w:val="24"/>
        </w:rPr>
        <w:t>应当提交书面</w:t>
      </w:r>
      <w:r>
        <w:rPr>
          <w:rFonts w:hint="eastAsia" w:ascii="宋体" w:hAnsi="宋体" w:eastAsia="宋体" w:cs="宋体"/>
          <w:color w:val="auto"/>
          <w:spacing w:val="14"/>
          <w:sz w:val="24"/>
          <w:szCs w:val="24"/>
          <w:lang w:eastAsia="zh-CN"/>
        </w:rPr>
        <w:t>评审</w:t>
      </w:r>
      <w:r>
        <w:rPr>
          <w:rFonts w:hint="eastAsia" w:ascii="宋体" w:hAnsi="宋体" w:eastAsia="宋体" w:cs="宋体"/>
          <w:color w:val="auto"/>
          <w:spacing w:val="14"/>
          <w:sz w:val="24"/>
          <w:szCs w:val="24"/>
        </w:rPr>
        <w:t>报告和</w:t>
      </w:r>
      <w:r>
        <w:rPr>
          <w:rFonts w:hint="eastAsia" w:ascii="宋体" w:hAnsi="宋体" w:eastAsia="宋体" w:cs="宋体"/>
          <w:color w:val="auto"/>
          <w:spacing w:val="14"/>
          <w:sz w:val="24"/>
          <w:szCs w:val="24"/>
          <w:lang w:eastAsia="zh-CN"/>
        </w:rPr>
        <w:t>成交</w:t>
      </w:r>
      <w:r>
        <w:rPr>
          <w:rFonts w:hint="eastAsia" w:ascii="宋体" w:hAnsi="宋体" w:eastAsia="宋体" w:cs="宋体"/>
          <w:color w:val="auto"/>
          <w:spacing w:val="14"/>
          <w:sz w:val="24"/>
          <w:szCs w:val="24"/>
        </w:rPr>
        <w:t>候选人名单。</w:t>
      </w:r>
      <w:r>
        <w:rPr>
          <w:rFonts w:hint="eastAsia" w:ascii="宋体" w:hAnsi="宋体" w:eastAsia="宋体" w:cs="宋体"/>
          <w:color w:val="auto"/>
          <w:spacing w:val="14"/>
          <w:sz w:val="24"/>
          <w:szCs w:val="24"/>
          <w:lang w:eastAsia="zh-CN"/>
        </w:rPr>
        <w:t>谈判小组</w:t>
      </w:r>
      <w:r>
        <w:rPr>
          <w:rFonts w:hint="eastAsia" w:ascii="宋体" w:hAnsi="宋体" w:eastAsia="宋体" w:cs="宋体"/>
          <w:color w:val="auto"/>
          <w:spacing w:val="14"/>
          <w:sz w:val="24"/>
          <w:szCs w:val="24"/>
        </w:rPr>
        <w:t>推荐</w:t>
      </w:r>
      <w:r>
        <w:rPr>
          <w:rFonts w:hint="eastAsia" w:ascii="宋体" w:hAnsi="宋体" w:eastAsia="宋体" w:cs="宋体"/>
          <w:color w:val="auto"/>
          <w:spacing w:val="14"/>
          <w:sz w:val="24"/>
          <w:szCs w:val="24"/>
          <w:lang w:eastAsia="zh-CN"/>
        </w:rPr>
        <w:t>成交</w:t>
      </w:r>
      <w:r>
        <w:rPr>
          <w:rFonts w:hint="eastAsia" w:ascii="宋体" w:hAnsi="宋体" w:eastAsia="宋体" w:cs="宋体"/>
          <w:color w:val="auto"/>
          <w:spacing w:val="14"/>
          <w:sz w:val="24"/>
          <w:szCs w:val="24"/>
        </w:rPr>
        <w:t>候选人的人数见供应商须知前附表。</w:t>
      </w:r>
      <w:bookmarkStart w:id="77" w:name="_Toc1662534"/>
    </w:p>
    <w:p>
      <w:pPr>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7.确定成交及合同授予</w:t>
      </w:r>
      <w:bookmarkEnd w:id="77"/>
      <w:bookmarkStart w:id="78" w:name="_Toc1662535"/>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7.1确定成交的原则</w:t>
      </w:r>
      <w:bookmarkEnd w:id="78"/>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7.1.1按照供应商须知前附表的规定，采购人或采购人授权的</w:t>
      </w:r>
      <w:r>
        <w:rPr>
          <w:rFonts w:hint="eastAsia" w:ascii="宋体" w:hAnsi="宋体" w:eastAsia="宋体" w:cs="宋体"/>
          <w:color w:val="auto"/>
          <w:spacing w:val="14"/>
          <w:sz w:val="24"/>
          <w:szCs w:val="24"/>
          <w:lang w:eastAsia="zh-CN"/>
        </w:rPr>
        <w:t>谈判小组</w:t>
      </w:r>
      <w:r>
        <w:rPr>
          <w:rFonts w:hint="eastAsia" w:ascii="宋体" w:hAnsi="宋体" w:eastAsia="宋体" w:cs="宋体"/>
          <w:color w:val="auto"/>
          <w:spacing w:val="14"/>
          <w:sz w:val="24"/>
          <w:szCs w:val="24"/>
        </w:rPr>
        <w:t>依法确定成交供应商。</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7.1.2按供应商须知前附表的规定的原则确定成交供应商。</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bookmarkStart w:id="79" w:name="_Toc1662536"/>
      <w:r>
        <w:rPr>
          <w:rFonts w:hint="eastAsia" w:ascii="宋体" w:hAnsi="宋体" w:eastAsia="宋体" w:cs="宋体"/>
          <w:b/>
          <w:bCs/>
          <w:color w:val="auto"/>
          <w:sz w:val="24"/>
          <w:szCs w:val="24"/>
        </w:rPr>
        <w:t>7.2</w:t>
      </w:r>
      <w:r>
        <w:rPr>
          <w:rFonts w:hint="eastAsia" w:ascii="宋体" w:hAnsi="宋体" w:eastAsia="宋体" w:cs="宋体"/>
          <w:b/>
          <w:bCs/>
          <w:color w:val="auto"/>
          <w:sz w:val="24"/>
          <w:szCs w:val="24"/>
          <w:lang w:eastAsia="zh-CN"/>
        </w:rPr>
        <w:t>成交</w:t>
      </w:r>
      <w:r>
        <w:rPr>
          <w:rFonts w:hint="eastAsia" w:ascii="宋体" w:hAnsi="宋体" w:eastAsia="宋体" w:cs="宋体"/>
          <w:b/>
          <w:bCs/>
          <w:color w:val="auto"/>
          <w:sz w:val="24"/>
          <w:szCs w:val="24"/>
        </w:rPr>
        <w:t>结果</w:t>
      </w:r>
      <w:bookmarkEnd w:id="79"/>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自成交供应商确定之日起2个工作日内，在供应商须知前附表规定的媒体上公告</w:t>
      </w:r>
      <w:r>
        <w:rPr>
          <w:rFonts w:hint="eastAsia" w:ascii="宋体" w:hAnsi="宋体" w:eastAsia="宋体" w:cs="宋体"/>
          <w:color w:val="auto"/>
          <w:spacing w:val="14"/>
          <w:sz w:val="24"/>
          <w:szCs w:val="24"/>
          <w:lang w:eastAsia="zh-CN"/>
        </w:rPr>
        <w:t>成交</w:t>
      </w:r>
      <w:r>
        <w:rPr>
          <w:rFonts w:hint="eastAsia" w:ascii="宋体" w:hAnsi="宋体" w:eastAsia="宋体" w:cs="宋体"/>
          <w:color w:val="auto"/>
          <w:spacing w:val="14"/>
          <w:sz w:val="24"/>
          <w:szCs w:val="24"/>
        </w:rPr>
        <w:t>结果，</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随</w:t>
      </w:r>
      <w:r>
        <w:rPr>
          <w:rFonts w:hint="eastAsia" w:ascii="宋体" w:hAnsi="宋体" w:eastAsia="宋体" w:cs="宋体"/>
          <w:color w:val="auto"/>
          <w:spacing w:val="14"/>
          <w:sz w:val="24"/>
          <w:szCs w:val="24"/>
          <w:lang w:eastAsia="zh-CN"/>
        </w:rPr>
        <w:t>成交</w:t>
      </w:r>
      <w:r>
        <w:rPr>
          <w:rFonts w:hint="eastAsia" w:ascii="宋体" w:hAnsi="宋体" w:eastAsia="宋体" w:cs="宋体"/>
          <w:color w:val="auto"/>
          <w:spacing w:val="14"/>
          <w:sz w:val="24"/>
          <w:szCs w:val="24"/>
        </w:rPr>
        <w:t>结果同时公告。</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bookmarkStart w:id="80" w:name="_Toc1662537"/>
      <w:r>
        <w:rPr>
          <w:rFonts w:hint="eastAsia" w:ascii="宋体" w:hAnsi="宋体" w:eastAsia="宋体" w:cs="宋体"/>
          <w:b/>
          <w:bCs/>
          <w:color w:val="auto"/>
          <w:sz w:val="24"/>
          <w:szCs w:val="24"/>
        </w:rPr>
        <w:t>7.3</w:t>
      </w:r>
      <w:r>
        <w:rPr>
          <w:rFonts w:hint="eastAsia" w:ascii="宋体" w:hAnsi="宋体" w:eastAsia="宋体" w:cs="宋体"/>
          <w:b/>
          <w:bCs/>
          <w:color w:val="auto"/>
          <w:sz w:val="24"/>
          <w:szCs w:val="24"/>
          <w:lang w:eastAsia="zh-CN"/>
        </w:rPr>
        <w:t>成交</w:t>
      </w:r>
      <w:r>
        <w:rPr>
          <w:rFonts w:hint="eastAsia" w:ascii="宋体" w:hAnsi="宋体" w:eastAsia="宋体" w:cs="宋体"/>
          <w:b/>
          <w:bCs/>
          <w:color w:val="auto"/>
          <w:sz w:val="24"/>
          <w:szCs w:val="24"/>
        </w:rPr>
        <w:t>通知</w:t>
      </w:r>
      <w:bookmarkEnd w:id="80"/>
      <w:bookmarkStart w:id="81" w:name="_Toc1662538"/>
    </w:p>
    <w:p>
      <w:pPr>
        <w:keepNext w:val="0"/>
        <w:keepLines w:val="0"/>
        <w:pageBreakBefore w:val="0"/>
        <w:kinsoku/>
        <w:wordWrap/>
        <w:overflowPunct/>
        <w:topLinePunct w:val="0"/>
        <w:autoSpaceDE/>
        <w:autoSpaceDN/>
        <w:bidi w:val="0"/>
        <w:adjustRightInd/>
        <w:snapToGrid/>
        <w:spacing w:line="264" w:lineRule="auto"/>
        <w:ind w:firstLine="474" w:firstLineChars="200"/>
        <w:textAlignment w:val="auto"/>
        <w:outlineLvl w:val="9"/>
        <w:rPr>
          <w:rFonts w:hint="eastAsia" w:ascii="宋体" w:hAnsi="宋体" w:eastAsia="宋体" w:cs="宋体"/>
          <w:color w:val="auto"/>
          <w:spacing w:val="14"/>
          <w:kern w:val="0"/>
          <w:sz w:val="24"/>
          <w:szCs w:val="24"/>
          <w:lang w:val="en-US" w:eastAsia="zh-CN" w:bidi="ar-SA"/>
        </w:rPr>
      </w:pPr>
      <w:r>
        <w:rPr>
          <w:rFonts w:hint="eastAsia" w:ascii="宋体" w:hAnsi="宋体" w:eastAsia="宋体" w:cs="宋体"/>
          <w:color w:val="auto"/>
          <w:spacing w:val="14"/>
          <w:kern w:val="0"/>
          <w:sz w:val="24"/>
          <w:szCs w:val="24"/>
          <w:lang w:val="en-US" w:eastAsia="zh-CN" w:bidi="ar-SA"/>
        </w:rPr>
        <w:t>7.3.1</w:t>
      </w:r>
      <w:r>
        <w:rPr>
          <w:rFonts w:hint="eastAsia" w:ascii="宋体" w:hAnsi="宋体" w:eastAsia="宋体" w:cs="宋体"/>
          <w:spacing w:val="14"/>
          <w:kern w:val="0"/>
          <w:sz w:val="24"/>
          <w:szCs w:val="24"/>
          <w:lang w:val="en-US" w:eastAsia="zh-CN" w:bidi="ar-SA"/>
        </w:rPr>
        <w:t>由本项目代理机构向成交供应商发出《成交通知书》，成交供应商应在发布成交结果公告后的2个工作日内领取成交通知书，逾期未领的，视同第1个工作日内已领取。《成交通知书》对采购人和成交供应商均具有法律效力。</w:t>
      </w:r>
    </w:p>
    <w:p>
      <w:pPr>
        <w:keepNext w:val="0"/>
        <w:keepLines w:val="0"/>
        <w:pageBreakBefore w:val="0"/>
        <w:kinsoku/>
        <w:wordWrap/>
        <w:overflowPunct/>
        <w:topLinePunct w:val="0"/>
        <w:autoSpaceDE/>
        <w:autoSpaceDN/>
        <w:bidi w:val="0"/>
        <w:adjustRightInd/>
        <w:snapToGrid/>
        <w:spacing w:line="264" w:lineRule="auto"/>
        <w:ind w:firstLine="474" w:firstLineChars="200"/>
        <w:textAlignment w:val="auto"/>
        <w:outlineLvl w:val="9"/>
        <w:rPr>
          <w:rFonts w:hint="eastAsia" w:ascii="宋体" w:hAnsi="宋体" w:eastAsia="宋体" w:cs="宋体"/>
          <w:b w:val="0"/>
          <w:bCs w:val="0"/>
          <w:color w:val="auto"/>
          <w:spacing w:val="14"/>
          <w:kern w:val="0"/>
          <w:sz w:val="24"/>
          <w:szCs w:val="24"/>
          <w:highlight w:val="none"/>
          <w:lang w:val="en-US" w:eastAsia="zh-CN" w:bidi="ar-SA"/>
        </w:rPr>
      </w:pPr>
      <w:r>
        <w:rPr>
          <w:rFonts w:hint="eastAsia" w:ascii="宋体" w:hAnsi="宋体" w:eastAsia="宋体" w:cs="宋体"/>
          <w:b w:val="0"/>
          <w:bCs w:val="0"/>
          <w:color w:val="auto"/>
          <w:spacing w:val="14"/>
          <w:kern w:val="0"/>
          <w:sz w:val="24"/>
          <w:szCs w:val="24"/>
          <w:lang w:val="en-US" w:eastAsia="zh-CN" w:bidi="ar-SA"/>
        </w:rPr>
        <w:t>7.3.2《成交通知书》、采购文件、成交供应商的响应文件及其澄清文件均为签订合同的依据</w:t>
      </w:r>
      <w:r>
        <w:rPr>
          <w:rFonts w:hint="eastAsia" w:ascii="宋体" w:hAnsi="宋体" w:eastAsia="宋体" w:cs="宋体"/>
          <w:b w:val="0"/>
          <w:bCs w:val="0"/>
          <w:color w:val="auto"/>
          <w:spacing w:val="14"/>
          <w:kern w:val="0"/>
          <w:sz w:val="24"/>
          <w:szCs w:val="24"/>
          <w:highlight w:val="none"/>
          <w:lang w:val="en-US" w:eastAsia="zh-CN" w:bidi="ar-SA"/>
        </w:rPr>
        <w:t>。</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7.4履约保证金</w:t>
      </w:r>
      <w:bookmarkEnd w:id="81"/>
    </w:p>
    <w:p>
      <w:pPr>
        <w:pStyle w:val="223"/>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spacing w:val="14"/>
          <w:kern w:val="0"/>
          <w:sz w:val="24"/>
          <w:szCs w:val="24"/>
          <w:lang w:val="en-US" w:eastAsia="zh-CN" w:bidi="ar-SA"/>
        </w:rPr>
      </w:pPr>
      <w:bookmarkStart w:id="82" w:name="_Toc1662539"/>
      <w:r>
        <w:rPr>
          <w:rFonts w:hint="eastAsia" w:ascii="宋体" w:hAnsi="宋体" w:eastAsia="宋体" w:cs="宋体"/>
          <w:spacing w:val="14"/>
          <w:kern w:val="0"/>
          <w:sz w:val="24"/>
          <w:szCs w:val="24"/>
          <w:lang w:val="en-US" w:eastAsia="zh-CN" w:bidi="ar-SA"/>
        </w:rPr>
        <w:t>本项目免收履约保证金</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7.5签订合同</w:t>
      </w:r>
      <w:bookmarkEnd w:id="82"/>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7.5.1采购人</w:t>
      </w:r>
      <w:r>
        <w:rPr>
          <w:rFonts w:hint="eastAsia" w:ascii="宋体" w:hAnsi="宋体" w:eastAsia="宋体" w:cs="宋体"/>
          <w:color w:val="auto"/>
          <w:spacing w:val="14"/>
          <w:sz w:val="24"/>
          <w:szCs w:val="24"/>
          <w:lang w:eastAsia="zh-CN"/>
        </w:rPr>
        <w:t>和成交供应商</w:t>
      </w:r>
      <w:r>
        <w:rPr>
          <w:rFonts w:hint="eastAsia" w:ascii="宋体" w:hAnsi="宋体" w:eastAsia="宋体" w:cs="宋体"/>
          <w:color w:val="auto"/>
          <w:spacing w:val="14"/>
          <w:sz w:val="24"/>
          <w:szCs w:val="24"/>
        </w:rPr>
        <w:t>应当在</w:t>
      </w:r>
      <w:r>
        <w:rPr>
          <w:rFonts w:hint="eastAsia" w:ascii="宋体" w:hAnsi="宋体" w:eastAsia="宋体" w:cs="宋体"/>
          <w:color w:val="auto"/>
          <w:spacing w:val="14"/>
          <w:sz w:val="24"/>
          <w:szCs w:val="24"/>
          <w:lang w:eastAsia="zh-CN"/>
        </w:rPr>
        <w:t>成交</w:t>
      </w:r>
      <w:r>
        <w:rPr>
          <w:rFonts w:hint="eastAsia" w:ascii="宋体" w:hAnsi="宋体" w:eastAsia="宋体" w:cs="宋体"/>
          <w:color w:val="auto"/>
          <w:spacing w:val="14"/>
          <w:sz w:val="24"/>
          <w:szCs w:val="24"/>
        </w:rPr>
        <w:t>通知书发出之日起</w:t>
      </w:r>
      <w:r>
        <w:rPr>
          <w:rFonts w:hint="eastAsia" w:ascii="宋体" w:hAnsi="宋体" w:eastAsia="宋体" w:cs="宋体"/>
          <w:color w:val="auto"/>
          <w:spacing w:val="14"/>
          <w:sz w:val="24"/>
          <w:szCs w:val="24"/>
          <w:lang w:val="en-US" w:eastAsia="zh-CN"/>
        </w:rPr>
        <w:t>1个工作</w:t>
      </w:r>
      <w:r>
        <w:rPr>
          <w:rFonts w:hint="eastAsia" w:ascii="宋体" w:hAnsi="宋体" w:eastAsia="宋体" w:cs="宋体"/>
          <w:color w:val="auto"/>
          <w:spacing w:val="14"/>
          <w:sz w:val="24"/>
          <w:szCs w:val="24"/>
        </w:rPr>
        <w:t>日内，根据</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和成交供应商的响应文件订立书面合同。成交供应商无正当理由拒签合同，在签订合同时向采购人提出附加条件，或者不按照</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要求提交履约保证金的，采购人有权取消其</w:t>
      </w:r>
      <w:r>
        <w:rPr>
          <w:rFonts w:hint="eastAsia" w:ascii="宋体" w:hAnsi="宋体" w:eastAsia="宋体" w:cs="宋体"/>
          <w:color w:val="auto"/>
          <w:spacing w:val="14"/>
          <w:sz w:val="24"/>
          <w:szCs w:val="24"/>
          <w:lang w:eastAsia="zh-CN"/>
        </w:rPr>
        <w:t>成交</w:t>
      </w:r>
      <w:r>
        <w:rPr>
          <w:rFonts w:hint="eastAsia" w:ascii="宋体" w:hAnsi="宋体" w:eastAsia="宋体" w:cs="宋体"/>
          <w:color w:val="auto"/>
          <w:spacing w:val="14"/>
          <w:sz w:val="24"/>
          <w:szCs w:val="24"/>
        </w:rPr>
        <w:t>资格，其</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保证金不予退还；给采购人造成的损失超过</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保证金数额的，成交供应商还应当对超过部分予以赔偿。</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7.5.2发出</w:t>
      </w:r>
      <w:r>
        <w:rPr>
          <w:rFonts w:hint="eastAsia" w:ascii="宋体" w:hAnsi="宋体" w:eastAsia="宋体" w:cs="宋体"/>
          <w:color w:val="auto"/>
          <w:spacing w:val="14"/>
          <w:sz w:val="24"/>
          <w:szCs w:val="24"/>
          <w:lang w:eastAsia="zh-CN"/>
        </w:rPr>
        <w:t>成交</w:t>
      </w:r>
      <w:r>
        <w:rPr>
          <w:rFonts w:hint="eastAsia" w:ascii="宋体" w:hAnsi="宋体" w:eastAsia="宋体" w:cs="宋体"/>
          <w:color w:val="auto"/>
          <w:spacing w:val="14"/>
          <w:sz w:val="24"/>
          <w:szCs w:val="24"/>
        </w:rPr>
        <w:t>通知书后，采购人无正当理由拒签合同，或者在签订合同时向成交供应商提出附加条件的，采购人向成交供应商退还</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保证金；给成交供应商造成损失的，还应当赔偿损失。</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7.5.3联合体</w:t>
      </w:r>
      <w:r>
        <w:rPr>
          <w:rFonts w:hint="eastAsia" w:ascii="宋体" w:hAnsi="宋体" w:eastAsia="宋体" w:cs="宋体"/>
          <w:color w:val="auto"/>
          <w:spacing w:val="14"/>
          <w:sz w:val="24"/>
          <w:szCs w:val="24"/>
          <w:lang w:eastAsia="zh-CN"/>
        </w:rPr>
        <w:t>成交</w:t>
      </w:r>
      <w:r>
        <w:rPr>
          <w:rFonts w:hint="eastAsia" w:ascii="宋体" w:hAnsi="宋体" w:eastAsia="宋体" w:cs="宋体"/>
          <w:color w:val="auto"/>
          <w:spacing w:val="14"/>
          <w:sz w:val="24"/>
          <w:szCs w:val="24"/>
        </w:rPr>
        <w:t>的，联合体各方应当共同与采购人签订合同，就</w:t>
      </w:r>
      <w:r>
        <w:rPr>
          <w:rFonts w:hint="eastAsia" w:ascii="宋体" w:hAnsi="宋体" w:eastAsia="宋体" w:cs="宋体"/>
          <w:color w:val="auto"/>
          <w:spacing w:val="14"/>
          <w:sz w:val="24"/>
          <w:szCs w:val="24"/>
          <w:lang w:eastAsia="zh-CN"/>
        </w:rPr>
        <w:t>成交</w:t>
      </w:r>
      <w:r>
        <w:rPr>
          <w:rFonts w:hint="eastAsia" w:ascii="宋体" w:hAnsi="宋体" w:eastAsia="宋体" w:cs="宋体"/>
          <w:color w:val="auto"/>
          <w:spacing w:val="14"/>
          <w:sz w:val="24"/>
          <w:szCs w:val="24"/>
        </w:rPr>
        <w:t>项目向采购人承担连带责任。</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7.5.4签订合同的其他要求见供应商须知前附表。</w:t>
      </w:r>
    </w:p>
    <w:p>
      <w:pPr>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b/>
          <w:bCs/>
          <w:color w:val="auto"/>
          <w:sz w:val="24"/>
          <w:szCs w:val="24"/>
        </w:rPr>
      </w:pPr>
      <w:bookmarkStart w:id="83" w:name="_Toc1662540"/>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纪律和监督</w:t>
      </w:r>
      <w:bookmarkEnd w:id="83"/>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bookmarkStart w:id="84" w:name="_Toc1662541"/>
      <w:r>
        <w:rPr>
          <w:rFonts w:hint="eastAsia" w:ascii="宋体" w:hAnsi="宋体" w:eastAsia="宋体" w:cs="宋体"/>
          <w:b/>
          <w:bCs/>
          <w:color w:val="auto"/>
          <w:sz w:val="24"/>
          <w:szCs w:val="24"/>
        </w:rPr>
        <w:t>8.1对采购人的纪律要求</w:t>
      </w:r>
      <w:bookmarkEnd w:id="84"/>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8.1.1不得以不合理的条件对供应商实行差别待遇或者歧视待遇，排斥其他供应商公平参与竞争；</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8.1.2不得与供应商或采购代理机构串通损害国家利益、社会公共利益或者他人合法权益；</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8.1.3不得诱导、干预或影响谈判小组依法依规评审，不得诱导、干预或影响评审专家依法依规独立评审；</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8.1.4不得泄漏采购活动中应当保密的情况和资料；</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8.1.5不得接受供应商或采购代理机构的贿赂，或获取其他不正当利益；</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8.1.6不得无正当理拒绝与成交供应商签订合同；</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8.1.7参与采购活动的相关人员与供应商有利害关系的应当回避；</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8.1.8采购过程中，不得有其他违法违规行为。</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bookmarkStart w:id="85" w:name="_Toc1662542"/>
      <w:r>
        <w:rPr>
          <w:rFonts w:hint="eastAsia" w:ascii="宋体" w:hAnsi="宋体" w:eastAsia="宋体" w:cs="宋体"/>
          <w:b/>
          <w:bCs/>
          <w:color w:val="auto"/>
          <w:sz w:val="24"/>
          <w:szCs w:val="24"/>
        </w:rPr>
        <w:t>8.2对供应商的纪律要求</w:t>
      </w:r>
      <w:bookmarkEnd w:id="85"/>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8.2.1不得以他人名义参加政府采购活动；</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8.2.2供应商不得相互串通，不得与采购人、与采购代理机构串通；</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8.2.3不得向采购人或者谈判小组成员行贿，或提供其他不正当利益谋取成交；</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8.2.4不得弄虚作假骗取成交，不得虚假响应，不得恶意低价响应；</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8.2.5供应商不得以任何方式干扰、影响评审工作；</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8.2.6不得无正当理由放弃成交或成交后拒绝与采购人签订合同；</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8.2.7不得恶意诋毁其他供应商、采购人或采购代理机构；</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8.2.8在参与政府采购活动中，不得有其他违法违规行为。</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bookmarkStart w:id="86" w:name="_Toc1662543"/>
      <w:r>
        <w:rPr>
          <w:rFonts w:hint="eastAsia" w:ascii="宋体" w:hAnsi="宋体" w:eastAsia="宋体" w:cs="宋体"/>
          <w:b/>
          <w:bCs/>
          <w:color w:val="auto"/>
          <w:sz w:val="24"/>
          <w:szCs w:val="24"/>
        </w:rPr>
        <w:t>8.3对</w:t>
      </w:r>
      <w:r>
        <w:rPr>
          <w:rFonts w:hint="eastAsia" w:ascii="宋体" w:hAnsi="宋体" w:eastAsia="宋体" w:cs="宋体"/>
          <w:b/>
          <w:bCs/>
          <w:color w:val="auto"/>
          <w:sz w:val="24"/>
          <w:szCs w:val="24"/>
          <w:lang w:eastAsia="zh-CN"/>
        </w:rPr>
        <w:t>谈判小组</w:t>
      </w:r>
      <w:r>
        <w:rPr>
          <w:rFonts w:hint="eastAsia" w:ascii="宋体" w:hAnsi="宋体" w:eastAsia="宋体" w:cs="宋体"/>
          <w:b/>
          <w:bCs/>
          <w:color w:val="auto"/>
          <w:sz w:val="24"/>
          <w:szCs w:val="24"/>
        </w:rPr>
        <w:t>成员的纪律要求</w:t>
      </w:r>
      <w:bookmarkEnd w:id="86"/>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8.3.1确定参与评审至评审结束前，不得私自接触供应商；</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8.3.2不得与供应商或采购代理机构串通损害国家利益、社会公共利益或者他人合法权益；</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8.3.3不得接受供应商提出的与响应文件不一致的澄清和说明；</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8.3.4不得征询采购人的倾向性意见；</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8.3.5不得对主观评审因素协商评分；</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8.3.6不得对客观评审因素评分不一致；</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8.3.7谈判小组成员不得接受供应商、采购人和采购代理机构等他人的贿赂或者其他不正当利益；</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8.3.8不得以不合理的条件对供应商实行差别待遇或者歧视待遇，排斥其他供应商公平参与竞争；</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8.3.9不得使用</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没有规定的评审方法和评审标准进行评审；</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8.3.10不得诱导、干预或影响其他评审专家依法依规独立评审；</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8.3.11在评审活动中，谈判小组成员不得擅离职守，影响评审工作正常进行；</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8.3.12不得记录、复制或带走任何评审资料；</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8.3.13不得泄露评审过程中获悉的对响应文件的评审和比较、成交候选人的推荐情况以及与评审有关的应当保密的情况和资料；</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8.3.14谈判小组成员与供应商存在利害关系应当回避；</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8.3.15在参与政府采购评审活动中，不得有其他违法违规行为。</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bookmarkStart w:id="87" w:name="_Toc1662544"/>
      <w:r>
        <w:rPr>
          <w:rFonts w:hint="eastAsia" w:ascii="宋体" w:hAnsi="宋体" w:eastAsia="宋体" w:cs="宋体"/>
          <w:b/>
          <w:bCs/>
          <w:color w:val="auto"/>
          <w:sz w:val="24"/>
          <w:szCs w:val="24"/>
        </w:rPr>
        <w:t>8.4对与评</w:t>
      </w:r>
      <w:r>
        <w:rPr>
          <w:rFonts w:hint="eastAsia" w:ascii="宋体" w:hAnsi="宋体" w:eastAsia="宋体" w:cs="宋体"/>
          <w:b/>
          <w:bCs/>
          <w:color w:val="auto"/>
          <w:sz w:val="24"/>
          <w:szCs w:val="24"/>
          <w:lang w:eastAsia="zh-CN"/>
        </w:rPr>
        <w:t>审</w:t>
      </w:r>
      <w:r>
        <w:rPr>
          <w:rFonts w:hint="eastAsia" w:ascii="宋体" w:hAnsi="宋体" w:eastAsia="宋体" w:cs="宋体"/>
          <w:b/>
          <w:bCs/>
          <w:color w:val="auto"/>
          <w:sz w:val="24"/>
          <w:szCs w:val="24"/>
        </w:rPr>
        <w:t>活动有关的工作人员的纪律要求</w:t>
      </w:r>
      <w:bookmarkEnd w:id="87"/>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8.4.1不得接受供应商、采购人和采购代理机构等他人的贿赂或者其他不正当利益；</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8.4.2不得与供应商、采购代理机构或评审专家串通损害国家利益、社会公共利益或者他人合法权益；</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8.4.3不得以不合理的条件对供应商实行差别待遇或者歧视待遇，排斥其他供应商公平参与竞争；</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8.4.4不得诱导、干预或影响谈判小组及其成员依法依规独立评审；</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8.4.5不得擅离职守，影响评审工作正常进行；</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8.4.6不得泄漏采购活动中应当保密的情况和资料；</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8.4.7与供应商有利害关系的应当回避；</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8.4.8在参与或服务政府采购活动中，不得有其他违法违规行为。</w:t>
      </w:r>
    </w:p>
    <w:p>
      <w:pPr>
        <w:keepNext w:val="0"/>
        <w:keepLines w:val="0"/>
        <w:pageBreakBefore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color w:val="auto"/>
          <w:sz w:val="24"/>
          <w:szCs w:val="24"/>
        </w:rPr>
      </w:pPr>
      <w:bookmarkStart w:id="88" w:name="_Toc1662545"/>
      <w:r>
        <w:rPr>
          <w:rFonts w:hint="eastAsia" w:ascii="宋体" w:hAnsi="宋体" w:eastAsia="宋体" w:cs="宋体"/>
          <w:b/>
          <w:bCs/>
          <w:color w:val="auto"/>
          <w:sz w:val="24"/>
          <w:szCs w:val="24"/>
        </w:rPr>
        <w:t>8.5质疑和投诉</w:t>
      </w:r>
      <w:bookmarkEnd w:id="88"/>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8.5.1供应商认为本次</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活动的</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、采购过程和</w:t>
      </w:r>
      <w:r>
        <w:rPr>
          <w:rFonts w:hint="eastAsia" w:ascii="宋体" w:hAnsi="宋体" w:eastAsia="宋体" w:cs="宋体"/>
          <w:color w:val="auto"/>
          <w:spacing w:val="14"/>
          <w:sz w:val="24"/>
          <w:szCs w:val="24"/>
          <w:lang w:eastAsia="zh-CN"/>
        </w:rPr>
        <w:t>成交</w:t>
      </w:r>
      <w:r>
        <w:rPr>
          <w:rFonts w:hint="eastAsia" w:ascii="宋体" w:hAnsi="宋体" w:eastAsia="宋体" w:cs="宋体"/>
          <w:color w:val="auto"/>
          <w:spacing w:val="14"/>
          <w:sz w:val="24"/>
          <w:szCs w:val="24"/>
        </w:rPr>
        <w:t>结果使自己的权益受到损害的，在知道或应知其权益受到损害之日起7个工作日内有权在法定质疑期内，按规定的程序针对同一采购程序环节一次性实名向采购人、采购代理机构提出书面质疑。质疑函应采用中华人民共和国财政部制定的范本（见附件：质疑函范本）。质疑函及授权委托书应按规定签字并加盖公章。</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rPr>
        <w:t>8.5.2质疑函的递交方式：见供应商须知前附表。</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8.5.3对采购人、采购代理机构的答复不满意或者采购人、采购代理机构未在规定的时间内作出答复的，供应商可以在质疑答复期满后15个工作日内实名向（项目所属）同级政府采购监督管理部门投诉。</w:t>
      </w:r>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8.5.4质疑和投诉应有具体的质疑（投诉）事项和必要的证明材料或事实根据，供应商对其质疑和投诉内容的真实性及其来源的合法性承担法律责任。</w:t>
      </w:r>
    </w:p>
    <w:p>
      <w:pPr>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b/>
          <w:bCs/>
          <w:color w:val="auto"/>
          <w:sz w:val="24"/>
          <w:szCs w:val="24"/>
        </w:rPr>
      </w:pPr>
      <w:bookmarkStart w:id="89" w:name="_Toc1662546"/>
      <w:r>
        <w:rPr>
          <w:rFonts w:hint="eastAsia" w:ascii="宋体" w:hAnsi="宋体" w:eastAsia="宋体" w:cs="宋体"/>
          <w:b/>
          <w:bCs/>
          <w:color w:val="auto"/>
          <w:sz w:val="24"/>
          <w:szCs w:val="24"/>
        </w:rPr>
        <w:t>9</w:t>
      </w:r>
      <w:bookmarkEnd w:id="89"/>
      <w:bookmarkStart w:id="90" w:name="_Toc1662548"/>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需要补充的其他内容</w:t>
      </w:r>
      <w:bookmarkEnd w:id="90"/>
    </w:p>
    <w:p>
      <w:pPr>
        <w:pStyle w:val="156"/>
        <w:keepNext w:val="0"/>
        <w:keepLines w:val="0"/>
        <w:pageBreakBefore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rPr>
        <w:t>需要补充的其他内容：见供应商须知前附表。</w:t>
      </w:r>
    </w:p>
    <w:p>
      <w:pPr>
        <w:outlineLvl w:val="9"/>
        <w:rPr>
          <w:rFonts w:hint="eastAsia" w:ascii="宋体" w:hAnsi="宋体" w:eastAsia="宋体" w:cs="宋体"/>
          <w:color w:val="auto"/>
        </w:rPr>
      </w:pPr>
      <w:r>
        <w:rPr>
          <w:rFonts w:hint="eastAsia" w:ascii="宋体" w:hAnsi="宋体" w:eastAsia="宋体" w:cs="宋体"/>
          <w:color w:val="auto"/>
        </w:rPr>
        <w:br w:type="page"/>
      </w:r>
      <w:bookmarkStart w:id="91" w:name="_Toc1662549"/>
      <w:bookmarkStart w:id="92" w:name="_Toc27620"/>
      <w:bookmarkStart w:id="93" w:name="_Toc28838"/>
      <w:bookmarkStart w:id="94" w:name="_Toc30776"/>
    </w:p>
    <w:p>
      <w:pPr>
        <w:outlineLvl w:val="9"/>
        <w:rPr>
          <w:rFonts w:hint="eastAsia" w:ascii="宋体" w:hAnsi="宋体" w:eastAsia="宋体" w:cs="宋体"/>
          <w:b/>
          <w:bCs/>
          <w:color w:val="auto"/>
          <w:spacing w:val="14"/>
          <w:sz w:val="24"/>
          <w:szCs w:val="24"/>
          <w:lang w:eastAsia="zh-CN"/>
        </w:rPr>
      </w:pPr>
      <w:r>
        <w:rPr>
          <w:rFonts w:hint="eastAsia" w:ascii="宋体" w:hAnsi="宋体" w:eastAsia="宋体" w:cs="宋体"/>
          <w:b/>
          <w:bCs/>
          <w:color w:val="auto"/>
          <w:spacing w:val="14"/>
          <w:sz w:val="24"/>
          <w:szCs w:val="24"/>
        </w:rPr>
        <w:t>附件：质疑函范本</w:t>
      </w:r>
      <w:bookmarkEnd w:id="91"/>
      <w:bookmarkEnd w:id="92"/>
      <w:bookmarkEnd w:id="93"/>
      <w:bookmarkEnd w:id="94"/>
    </w:p>
    <w:p>
      <w:pPr>
        <w:spacing w:line="360" w:lineRule="exact"/>
        <w:jc w:val="center"/>
        <w:rPr>
          <w:rFonts w:hint="eastAsia" w:ascii="宋体" w:hAnsi="宋体" w:eastAsia="宋体" w:cs="宋体"/>
          <w:b/>
          <w:color w:val="auto"/>
          <w:spacing w:val="14"/>
          <w:sz w:val="28"/>
          <w:szCs w:val="28"/>
        </w:rPr>
      </w:pPr>
      <w:r>
        <w:rPr>
          <w:rFonts w:hint="eastAsia" w:ascii="宋体" w:hAnsi="宋体" w:eastAsia="宋体" w:cs="宋体"/>
          <w:b/>
          <w:color w:val="auto"/>
          <w:spacing w:val="14"/>
          <w:sz w:val="28"/>
          <w:szCs w:val="28"/>
        </w:rPr>
        <w:t>质疑函</w:t>
      </w:r>
    </w:p>
    <w:p>
      <w:pPr>
        <w:pStyle w:val="156"/>
        <w:spacing w:line="280" w:lineRule="exact"/>
        <w:ind w:firstLine="0"/>
        <w:rPr>
          <w:rFonts w:hint="eastAsia" w:ascii="宋体" w:hAnsi="宋体" w:eastAsia="宋体" w:cs="宋体"/>
          <w:color w:val="auto"/>
          <w:sz w:val="24"/>
          <w:szCs w:val="24"/>
        </w:rPr>
      </w:pPr>
      <w:r>
        <w:rPr>
          <w:rFonts w:hint="eastAsia" w:ascii="宋体" w:hAnsi="宋体" w:eastAsia="宋体" w:cs="宋体"/>
          <w:color w:val="auto"/>
          <w:sz w:val="24"/>
          <w:szCs w:val="24"/>
        </w:rPr>
        <w:t>一、质疑供应商基本信息</w:t>
      </w:r>
    </w:p>
    <w:p>
      <w:pPr>
        <w:pStyle w:val="156"/>
        <w:spacing w:line="280" w:lineRule="exact"/>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质疑供应商：</w:t>
      </w:r>
      <w:r>
        <w:rPr>
          <w:rFonts w:hint="eastAsia" w:ascii="宋体" w:hAnsi="宋体" w:eastAsia="宋体" w:cs="宋体"/>
          <w:color w:val="auto"/>
          <w:sz w:val="24"/>
          <w:szCs w:val="24"/>
          <w:u w:val="dotted"/>
        </w:rPr>
        <w:t xml:space="preserve">                                        </w:t>
      </w:r>
    </w:p>
    <w:p>
      <w:pPr>
        <w:pStyle w:val="156"/>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邮编：</w:t>
      </w:r>
      <w:r>
        <w:rPr>
          <w:rFonts w:hint="eastAsia" w:ascii="宋体" w:hAnsi="宋体" w:eastAsia="宋体" w:cs="宋体"/>
          <w:color w:val="auto"/>
          <w:sz w:val="24"/>
          <w:szCs w:val="24"/>
          <w:u w:val="dotted"/>
        </w:rPr>
        <w:t xml:space="preserve">              </w:t>
      </w:r>
    </w:p>
    <w:p>
      <w:pPr>
        <w:pStyle w:val="156"/>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dotted"/>
        </w:rPr>
        <w:t xml:space="preserve">            </w:t>
      </w:r>
    </w:p>
    <w:p>
      <w:pPr>
        <w:pStyle w:val="156"/>
        <w:spacing w:line="280" w:lineRule="exact"/>
        <w:rPr>
          <w:rFonts w:hint="eastAsia" w:ascii="宋体" w:hAnsi="宋体" w:eastAsia="宋体" w:cs="宋体"/>
          <w:color w:val="auto"/>
          <w:sz w:val="24"/>
          <w:szCs w:val="24"/>
          <w:u w:val="dotted"/>
        </w:rPr>
      </w:pPr>
      <w:r>
        <w:rPr>
          <w:rFonts w:hint="eastAsia" w:ascii="宋体" w:hAnsi="宋体" w:eastAsia="宋体" w:cs="宋体"/>
          <w:color w:val="auto"/>
          <w:sz w:val="24"/>
          <w:szCs w:val="24"/>
        </w:rPr>
        <w:t>授权代表：</w:t>
      </w:r>
      <w:r>
        <w:rPr>
          <w:rFonts w:hint="eastAsia" w:ascii="宋体" w:hAnsi="宋体" w:eastAsia="宋体" w:cs="宋体"/>
          <w:color w:val="auto"/>
          <w:sz w:val="24"/>
          <w:szCs w:val="24"/>
          <w:u w:val="dotted"/>
        </w:rPr>
        <w:t xml:space="preserve">                                          </w:t>
      </w:r>
    </w:p>
    <w:p>
      <w:pPr>
        <w:pStyle w:val="156"/>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 xml:space="preserve"> </w:t>
      </w:r>
    </w:p>
    <w:p>
      <w:pPr>
        <w:pStyle w:val="156"/>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邮编：</w:t>
      </w:r>
      <w:r>
        <w:rPr>
          <w:rFonts w:hint="eastAsia" w:ascii="宋体" w:hAnsi="宋体" w:eastAsia="宋体" w:cs="宋体"/>
          <w:color w:val="auto"/>
          <w:sz w:val="24"/>
          <w:szCs w:val="24"/>
          <w:u w:val="dotted"/>
        </w:rPr>
        <w:t xml:space="preserve">               </w:t>
      </w:r>
    </w:p>
    <w:p>
      <w:pPr>
        <w:pStyle w:val="156"/>
        <w:spacing w:line="280" w:lineRule="exact"/>
        <w:ind w:firstLine="0"/>
        <w:rPr>
          <w:rFonts w:hint="eastAsia" w:ascii="宋体" w:hAnsi="宋体" w:eastAsia="宋体" w:cs="宋体"/>
          <w:color w:val="auto"/>
          <w:sz w:val="24"/>
          <w:szCs w:val="24"/>
        </w:rPr>
      </w:pPr>
      <w:r>
        <w:rPr>
          <w:rFonts w:hint="eastAsia" w:ascii="宋体" w:hAnsi="宋体" w:eastAsia="宋体" w:cs="宋体"/>
          <w:color w:val="auto"/>
          <w:sz w:val="24"/>
          <w:szCs w:val="24"/>
        </w:rPr>
        <w:t>二、质疑项目基本情况</w:t>
      </w:r>
    </w:p>
    <w:p>
      <w:pPr>
        <w:pStyle w:val="156"/>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质疑项目的名称：</w:t>
      </w:r>
      <w:r>
        <w:rPr>
          <w:rFonts w:hint="eastAsia" w:ascii="宋体" w:hAnsi="宋体" w:eastAsia="宋体" w:cs="宋体"/>
          <w:color w:val="auto"/>
          <w:sz w:val="24"/>
          <w:szCs w:val="24"/>
          <w:u w:val="dotted"/>
        </w:rPr>
        <w:t xml:space="preserve">                                    </w:t>
      </w:r>
    </w:p>
    <w:p>
      <w:pPr>
        <w:pStyle w:val="156"/>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质疑项目的编号：</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包号：</w:t>
      </w:r>
      <w:r>
        <w:rPr>
          <w:rFonts w:hint="eastAsia" w:ascii="宋体" w:hAnsi="宋体" w:eastAsia="宋体" w:cs="宋体"/>
          <w:color w:val="auto"/>
          <w:sz w:val="24"/>
          <w:szCs w:val="24"/>
          <w:u w:val="dotted"/>
        </w:rPr>
        <w:t xml:space="preserve">               </w:t>
      </w:r>
    </w:p>
    <w:p>
      <w:pPr>
        <w:pStyle w:val="156"/>
        <w:spacing w:line="280" w:lineRule="exact"/>
        <w:rPr>
          <w:rFonts w:hint="eastAsia" w:ascii="宋体" w:hAnsi="宋体" w:eastAsia="宋体" w:cs="宋体"/>
          <w:color w:val="auto"/>
          <w:sz w:val="24"/>
          <w:szCs w:val="24"/>
          <w:u w:val="dotted"/>
        </w:rPr>
      </w:pPr>
      <w:r>
        <w:rPr>
          <w:rFonts w:hint="eastAsia" w:ascii="宋体" w:hAnsi="宋体" w:eastAsia="宋体" w:cs="宋体"/>
          <w:color w:val="auto"/>
          <w:sz w:val="24"/>
          <w:szCs w:val="24"/>
        </w:rPr>
        <w:t>采购人名称：</w:t>
      </w:r>
      <w:r>
        <w:rPr>
          <w:rFonts w:hint="eastAsia" w:ascii="宋体" w:hAnsi="宋体" w:eastAsia="宋体" w:cs="宋体"/>
          <w:color w:val="auto"/>
          <w:sz w:val="24"/>
          <w:szCs w:val="24"/>
          <w:u w:val="dotted"/>
        </w:rPr>
        <w:t xml:space="preserve">                                        </w:t>
      </w:r>
    </w:p>
    <w:p>
      <w:pPr>
        <w:pStyle w:val="156"/>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采购文件获取日期：</w:t>
      </w:r>
      <w:r>
        <w:rPr>
          <w:rFonts w:hint="eastAsia" w:ascii="宋体" w:hAnsi="宋体" w:eastAsia="宋体" w:cs="宋体"/>
          <w:color w:val="auto"/>
          <w:sz w:val="24"/>
          <w:szCs w:val="24"/>
          <w:u w:val="dotted"/>
        </w:rPr>
        <w:t xml:space="preserve">                                  </w:t>
      </w:r>
    </w:p>
    <w:p>
      <w:pPr>
        <w:pStyle w:val="156"/>
        <w:spacing w:line="280" w:lineRule="exact"/>
        <w:ind w:firstLine="0"/>
        <w:rPr>
          <w:rFonts w:hint="eastAsia" w:ascii="宋体" w:hAnsi="宋体" w:eastAsia="宋体" w:cs="宋体"/>
          <w:color w:val="auto"/>
          <w:sz w:val="24"/>
          <w:szCs w:val="24"/>
        </w:rPr>
      </w:pPr>
      <w:r>
        <w:rPr>
          <w:rFonts w:hint="eastAsia" w:ascii="宋体" w:hAnsi="宋体" w:eastAsia="宋体" w:cs="宋体"/>
          <w:color w:val="auto"/>
          <w:sz w:val="24"/>
          <w:szCs w:val="24"/>
        </w:rPr>
        <w:t>三、质疑事项具体内容</w:t>
      </w:r>
    </w:p>
    <w:p>
      <w:pPr>
        <w:pStyle w:val="156"/>
        <w:spacing w:line="280" w:lineRule="exact"/>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质疑事项1：</w:t>
      </w:r>
      <w:r>
        <w:rPr>
          <w:rFonts w:hint="eastAsia" w:ascii="宋体" w:hAnsi="宋体" w:eastAsia="宋体" w:cs="宋体"/>
          <w:color w:val="auto"/>
          <w:sz w:val="24"/>
          <w:szCs w:val="24"/>
          <w:u w:val="dotted"/>
        </w:rPr>
        <w:t xml:space="preserve">                                        </w:t>
      </w:r>
    </w:p>
    <w:p>
      <w:pPr>
        <w:pStyle w:val="156"/>
        <w:spacing w:line="280" w:lineRule="exact"/>
        <w:rPr>
          <w:rFonts w:hint="eastAsia" w:ascii="宋体" w:hAnsi="宋体" w:eastAsia="宋体" w:cs="宋体"/>
          <w:color w:val="auto"/>
          <w:sz w:val="24"/>
          <w:szCs w:val="24"/>
          <w:u w:val="dotted"/>
        </w:rPr>
      </w:pPr>
      <w:r>
        <w:rPr>
          <w:rFonts w:hint="eastAsia" w:ascii="宋体" w:hAnsi="宋体" w:eastAsia="宋体" w:cs="宋体"/>
          <w:color w:val="auto"/>
          <w:sz w:val="24"/>
          <w:szCs w:val="24"/>
        </w:rPr>
        <w:t>事实依据：</w:t>
      </w:r>
      <w:r>
        <w:rPr>
          <w:rFonts w:hint="eastAsia" w:ascii="宋体" w:hAnsi="宋体" w:eastAsia="宋体" w:cs="宋体"/>
          <w:color w:val="auto"/>
          <w:sz w:val="24"/>
          <w:szCs w:val="24"/>
          <w:u w:val="dotted"/>
        </w:rPr>
        <w:t xml:space="preserve">                                         </w:t>
      </w:r>
    </w:p>
    <w:p>
      <w:pPr>
        <w:pStyle w:val="156"/>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u w:val="dotted"/>
        </w:rPr>
        <w:t xml:space="preserve">                                                   </w:t>
      </w:r>
    </w:p>
    <w:p>
      <w:pPr>
        <w:pStyle w:val="156"/>
        <w:spacing w:line="280" w:lineRule="exact"/>
        <w:rPr>
          <w:rFonts w:hint="eastAsia" w:ascii="宋体" w:hAnsi="宋体" w:eastAsia="宋体" w:cs="宋体"/>
          <w:color w:val="auto"/>
          <w:sz w:val="24"/>
          <w:szCs w:val="24"/>
          <w:u w:val="dotted"/>
        </w:rPr>
      </w:pPr>
      <w:r>
        <w:rPr>
          <w:rFonts w:hint="eastAsia" w:ascii="宋体" w:hAnsi="宋体" w:eastAsia="宋体" w:cs="宋体"/>
          <w:color w:val="auto"/>
          <w:sz w:val="24"/>
          <w:szCs w:val="24"/>
        </w:rPr>
        <w:t>法律依据：</w:t>
      </w:r>
      <w:r>
        <w:rPr>
          <w:rFonts w:hint="eastAsia" w:ascii="宋体" w:hAnsi="宋体" w:eastAsia="宋体" w:cs="宋体"/>
          <w:color w:val="auto"/>
          <w:sz w:val="24"/>
          <w:szCs w:val="24"/>
          <w:u w:val="dotted"/>
        </w:rPr>
        <w:t xml:space="preserve">                                         </w:t>
      </w:r>
    </w:p>
    <w:p>
      <w:pPr>
        <w:pStyle w:val="156"/>
        <w:spacing w:line="280" w:lineRule="exact"/>
        <w:rPr>
          <w:rFonts w:hint="eastAsia" w:ascii="宋体" w:hAnsi="宋体" w:eastAsia="宋体" w:cs="宋体"/>
          <w:color w:val="auto"/>
          <w:sz w:val="24"/>
          <w:szCs w:val="24"/>
          <w:u w:val="dotted"/>
        </w:rPr>
      </w:pPr>
      <w:r>
        <w:rPr>
          <w:rFonts w:hint="eastAsia" w:ascii="宋体" w:hAnsi="宋体" w:eastAsia="宋体" w:cs="宋体"/>
          <w:color w:val="auto"/>
          <w:sz w:val="24"/>
          <w:szCs w:val="24"/>
          <w:u w:val="dotted"/>
        </w:rPr>
        <w:t xml:space="preserve">                                                   </w:t>
      </w:r>
    </w:p>
    <w:p>
      <w:pPr>
        <w:pStyle w:val="156"/>
        <w:spacing w:line="280" w:lineRule="exact"/>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质疑事项2</w:t>
      </w:r>
    </w:p>
    <w:p>
      <w:pPr>
        <w:pStyle w:val="156"/>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56"/>
        <w:spacing w:line="280" w:lineRule="exact"/>
        <w:ind w:firstLine="0"/>
        <w:rPr>
          <w:rFonts w:hint="eastAsia" w:ascii="宋体" w:hAnsi="宋体" w:eastAsia="宋体" w:cs="宋体"/>
          <w:color w:val="auto"/>
          <w:sz w:val="24"/>
          <w:szCs w:val="24"/>
        </w:rPr>
      </w:pPr>
      <w:r>
        <w:rPr>
          <w:rFonts w:hint="eastAsia" w:ascii="宋体" w:hAnsi="宋体" w:eastAsia="宋体" w:cs="宋体"/>
          <w:color w:val="auto"/>
          <w:sz w:val="24"/>
          <w:szCs w:val="24"/>
        </w:rPr>
        <w:t>四、与质疑事项相关的质疑请求</w:t>
      </w:r>
    </w:p>
    <w:p>
      <w:pPr>
        <w:pStyle w:val="156"/>
        <w:spacing w:line="280" w:lineRule="exact"/>
        <w:rPr>
          <w:rFonts w:hint="eastAsia" w:ascii="宋体" w:hAnsi="宋体" w:eastAsia="宋体" w:cs="宋体"/>
          <w:color w:val="auto"/>
          <w:sz w:val="24"/>
          <w:szCs w:val="24"/>
          <w:u w:val="dotted"/>
        </w:rPr>
      </w:pPr>
      <w:r>
        <w:rPr>
          <w:rFonts w:hint="eastAsia" w:ascii="宋体" w:hAnsi="宋体" w:eastAsia="宋体" w:cs="宋体"/>
          <w:color w:val="auto"/>
          <w:sz w:val="24"/>
          <w:szCs w:val="24"/>
        </w:rPr>
        <w:t>请求：</w:t>
      </w:r>
      <w:r>
        <w:rPr>
          <w:rFonts w:hint="eastAsia" w:ascii="宋体" w:hAnsi="宋体" w:eastAsia="宋体" w:cs="宋体"/>
          <w:color w:val="auto"/>
          <w:sz w:val="24"/>
          <w:szCs w:val="24"/>
          <w:u w:val="dotted"/>
        </w:rPr>
        <w:t xml:space="preserve">                                              </w:t>
      </w:r>
    </w:p>
    <w:p>
      <w:pPr>
        <w:pStyle w:val="156"/>
        <w:spacing w:line="280" w:lineRule="exact"/>
        <w:rPr>
          <w:rFonts w:hint="eastAsia" w:ascii="宋体" w:hAnsi="宋体" w:eastAsia="宋体" w:cs="宋体"/>
          <w:color w:val="auto"/>
          <w:sz w:val="24"/>
          <w:szCs w:val="24"/>
        </w:rPr>
      </w:pPr>
    </w:p>
    <w:p>
      <w:pPr>
        <w:pStyle w:val="156"/>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签字(签章)：                   公章： </w:t>
      </w:r>
    </w:p>
    <w:p>
      <w:pPr>
        <w:pStyle w:val="156"/>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w:t>
      </w:r>
    </w:p>
    <w:p>
      <w:pPr>
        <w:pStyle w:val="156"/>
        <w:spacing w:line="280" w:lineRule="exact"/>
        <w:rPr>
          <w:rFonts w:hint="eastAsia" w:ascii="宋体" w:hAnsi="宋体" w:eastAsia="宋体" w:cs="宋体"/>
          <w:color w:val="auto"/>
          <w:sz w:val="24"/>
          <w:szCs w:val="24"/>
          <w:lang w:eastAsia="zh-CN"/>
        </w:rPr>
      </w:pPr>
    </w:p>
    <w:p>
      <w:pPr>
        <w:rPr>
          <w:rFonts w:hint="eastAsia" w:ascii="宋体" w:hAnsi="宋体" w:eastAsia="宋体" w:cs="宋体"/>
          <w:color w:val="auto"/>
          <w:sz w:val="24"/>
          <w:szCs w:val="24"/>
        </w:rPr>
      </w:pPr>
    </w:p>
    <w:p>
      <w:pPr>
        <w:pStyle w:val="156"/>
        <w:spacing w:line="240" w:lineRule="exact"/>
        <w:rPr>
          <w:rFonts w:hint="eastAsia" w:ascii="宋体" w:hAnsi="宋体" w:eastAsia="宋体" w:cs="宋体"/>
          <w:color w:val="auto"/>
          <w:sz w:val="24"/>
          <w:szCs w:val="24"/>
        </w:rPr>
      </w:pPr>
      <w:r>
        <w:rPr>
          <w:rFonts w:hint="eastAsia" w:ascii="宋体" w:hAnsi="宋体" w:eastAsia="宋体" w:cs="宋体"/>
          <w:color w:val="auto"/>
          <w:sz w:val="24"/>
          <w:szCs w:val="24"/>
        </w:rPr>
        <w:t>质疑函制作说明：</w:t>
      </w:r>
    </w:p>
    <w:p>
      <w:pPr>
        <w:pStyle w:val="156"/>
        <w:rPr>
          <w:rFonts w:hint="eastAsia" w:ascii="宋体" w:hAnsi="宋体" w:eastAsia="宋体" w:cs="宋体"/>
          <w:color w:val="auto"/>
          <w:sz w:val="24"/>
          <w:szCs w:val="24"/>
        </w:rPr>
      </w:pPr>
      <w:r>
        <w:rPr>
          <w:rFonts w:hint="eastAsia" w:ascii="宋体" w:hAnsi="宋体" w:eastAsia="宋体" w:cs="宋体"/>
          <w:color w:val="auto"/>
          <w:sz w:val="24"/>
          <w:szCs w:val="24"/>
        </w:rPr>
        <w:t>1.供应商提出质疑时，应提交质疑函和必要的证明材料。</w:t>
      </w:r>
    </w:p>
    <w:p>
      <w:pPr>
        <w:pStyle w:val="156"/>
        <w:rPr>
          <w:rFonts w:hint="eastAsia" w:ascii="宋体" w:hAnsi="宋体" w:eastAsia="宋体" w:cs="宋体"/>
          <w:color w:val="auto"/>
          <w:sz w:val="24"/>
          <w:szCs w:val="24"/>
        </w:rPr>
      </w:pPr>
      <w:r>
        <w:rPr>
          <w:rFonts w:hint="eastAsia" w:ascii="宋体" w:hAnsi="宋体" w:eastAsia="宋体" w:cs="宋体"/>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56"/>
        <w:rPr>
          <w:rFonts w:hint="eastAsia" w:ascii="宋体" w:hAnsi="宋体" w:eastAsia="宋体" w:cs="宋体"/>
          <w:color w:val="auto"/>
          <w:sz w:val="24"/>
          <w:szCs w:val="24"/>
        </w:rPr>
      </w:pPr>
      <w:r>
        <w:rPr>
          <w:rFonts w:hint="eastAsia" w:ascii="宋体" w:hAnsi="宋体" w:eastAsia="宋体" w:cs="宋体"/>
          <w:color w:val="auto"/>
          <w:sz w:val="24"/>
          <w:szCs w:val="24"/>
        </w:rPr>
        <w:t>3.质疑供应商若对项目的某一分包进行质疑，质疑函中应列明具体分包号。</w:t>
      </w:r>
    </w:p>
    <w:p>
      <w:pPr>
        <w:pStyle w:val="156"/>
        <w:rPr>
          <w:rFonts w:hint="eastAsia" w:ascii="宋体" w:hAnsi="宋体" w:eastAsia="宋体" w:cs="宋体"/>
          <w:color w:val="auto"/>
          <w:sz w:val="24"/>
          <w:szCs w:val="24"/>
        </w:rPr>
      </w:pPr>
      <w:r>
        <w:rPr>
          <w:rFonts w:hint="eastAsia" w:ascii="宋体" w:hAnsi="宋体" w:eastAsia="宋体" w:cs="宋体"/>
          <w:color w:val="auto"/>
          <w:sz w:val="24"/>
          <w:szCs w:val="24"/>
        </w:rPr>
        <w:t>4.质疑函的质疑事项应具体、明确，并有必要的事实依据和法律依据。</w:t>
      </w:r>
    </w:p>
    <w:p>
      <w:pPr>
        <w:pStyle w:val="156"/>
        <w:rPr>
          <w:rFonts w:hint="eastAsia" w:ascii="宋体" w:hAnsi="宋体" w:eastAsia="宋体" w:cs="宋体"/>
          <w:color w:val="auto"/>
          <w:sz w:val="24"/>
          <w:szCs w:val="24"/>
        </w:rPr>
      </w:pPr>
      <w:r>
        <w:rPr>
          <w:rFonts w:hint="eastAsia" w:ascii="宋体" w:hAnsi="宋体" w:eastAsia="宋体" w:cs="宋体"/>
          <w:color w:val="auto"/>
          <w:sz w:val="24"/>
          <w:szCs w:val="24"/>
        </w:rPr>
        <w:t>5.质疑函的质疑请求应与质疑事项相关。</w:t>
      </w:r>
    </w:p>
    <w:p>
      <w:pPr>
        <w:pStyle w:val="156"/>
        <w:rPr>
          <w:rFonts w:hint="eastAsia" w:ascii="宋体" w:hAnsi="宋体" w:eastAsia="宋体" w:cs="宋体"/>
          <w:color w:val="auto"/>
          <w:sz w:val="24"/>
          <w:szCs w:val="24"/>
        </w:rPr>
      </w:pPr>
      <w:r>
        <w:rPr>
          <w:rFonts w:hint="eastAsia" w:ascii="宋体" w:hAnsi="宋体" w:eastAsia="宋体" w:cs="宋体"/>
          <w:color w:val="auto"/>
          <w:sz w:val="24"/>
          <w:szCs w:val="24"/>
        </w:rPr>
        <w:t>6.质疑供应商为自然人的，质疑函应由本人签字；质疑供应商为法人或者其他组织的，质疑函应由法定代表人、主要负责人，或者其授权代表签字或者盖章，并加盖公章。</w:t>
      </w:r>
    </w:p>
    <w:p>
      <w:pPr>
        <w:rPr>
          <w:rFonts w:hint="eastAsia" w:ascii="宋体" w:hAnsi="宋体" w:eastAsia="宋体" w:cs="宋体"/>
          <w:color w:val="auto"/>
        </w:rPr>
      </w:pPr>
      <w:r>
        <w:rPr>
          <w:rFonts w:hint="eastAsia" w:ascii="宋体" w:hAnsi="宋体" w:eastAsia="宋体" w:cs="宋体"/>
          <w:color w:val="auto"/>
        </w:rPr>
        <w:br w:type="page"/>
      </w:r>
    </w:p>
    <w:p>
      <w:pPr>
        <w:pStyle w:val="58"/>
        <w:rPr>
          <w:rFonts w:hint="eastAsia" w:ascii="宋体" w:hAnsi="宋体" w:eastAsia="宋体" w:cs="宋体"/>
          <w:color w:val="auto"/>
          <w:lang w:eastAsia="zh-CN"/>
        </w:rPr>
      </w:pPr>
      <w:bookmarkStart w:id="95" w:name="_Toc6214"/>
      <w:bookmarkStart w:id="96" w:name="_Toc1662550"/>
      <w:bookmarkStart w:id="97" w:name="_Toc9954"/>
      <w:bookmarkStart w:id="98" w:name="_Toc1801"/>
      <w:r>
        <w:rPr>
          <w:rFonts w:hint="eastAsia" w:ascii="宋体" w:hAnsi="宋体" w:eastAsia="宋体" w:cs="宋体"/>
          <w:color w:val="auto"/>
          <w:lang w:eastAsia="zh-CN"/>
        </w:rPr>
        <w:t>第三章  采购需求</w:t>
      </w:r>
      <w:bookmarkEnd w:id="95"/>
      <w:bookmarkEnd w:id="96"/>
      <w:bookmarkEnd w:id="97"/>
      <w:bookmarkEnd w:id="98"/>
    </w:p>
    <w:p>
      <w:pPr>
        <w:outlineLvl w:val="9"/>
        <w:rPr>
          <w:rFonts w:hint="eastAsia" w:ascii="宋体" w:hAnsi="宋体" w:eastAsia="宋体" w:cs="宋体"/>
          <w:b/>
          <w:bCs/>
          <w:color w:val="auto"/>
          <w:sz w:val="28"/>
          <w:szCs w:val="28"/>
        </w:rPr>
      </w:pPr>
      <w:bookmarkStart w:id="99" w:name="_Toc16377"/>
      <w:bookmarkStart w:id="100" w:name="_Toc14201"/>
      <w:bookmarkStart w:id="101" w:name="_Toc1662551"/>
      <w:bookmarkStart w:id="102" w:name="_Toc21495"/>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、项目概况</w:t>
      </w:r>
      <w:bookmarkEnd w:id="99"/>
      <w:bookmarkEnd w:id="100"/>
      <w:bookmarkEnd w:id="101"/>
      <w:bookmarkEnd w:id="102"/>
    </w:p>
    <w:p>
      <w:pPr>
        <w:pStyle w:val="226"/>
        <w:spacing w:line="240" w:lineRule="auto"/>
        <w:ind w:firstLine="474" w:firstLineChars="20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本次</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项目为</w:t>
      </w:r>
      <w:r>
        <w:rPr>
          <w:rFonts w:hint="eastAsia" w:ascii="宋体" w:hAnsi="宋体" w:cs="宋体"/>
          <w:color w:val="auto"/>
          <w:spacing w:val="14"/>
          <w:sz w:val="24"/>
          <w:szCs w:val="24"/>
          <w:lang w:eastAsia="zh-CN"/>
        </w:rPr>
        <w:t>中国共产党洛阳市委员会宣传部人民日报人民网河南分公司宣传项目</w:t>
      </w:r>
      <w:r>
        <w:rPr>
          <w:rFonts w:hint="eastAsia" w:ascii="宋体" w:hAnsi="宋体" w:eastAsia="宋体" w:cs="宋体"/>
          <w:color w:val="auto"/>
          <w:spacing w:val="14"/>
          <w:sz w:val="24"/>
          <w:szCs w:val="24"/>
        </w:rPr>
        <w:t>，共</w:t>
      </w:r>
      <w:r>
        <w:rPr>
          <w:rFonts w:hint="eastAsia" w:ascii="宋体" w:hAnsi="宋体" w:eastAsia="宋体" w:cs="宋体"/>
          <w:color w:val="auto"/>
          <w:spacing w:val="14"/>
          <w:sz w:val="24"/>
          <w:szCs w:val="24"/>
          <w:lang w:val="en-US" w:eastAsia="zh-CN"/>
        </w:rPr>
        <w:t>一</w:t>
      </w:r>
      <w:r>
        <w:rPr>
          <w:rFonts w:hint="eastAsia" w:ascii="宋体" w:hAnsi="宋体" w:eastAsia="宋体" w:cs="宋体"/>
          <w:color w:val="auto"/>
          <w:spacing w:val="14"/>
          <w:sz w:val="24"/>
          <w:szCs w:val="24"/>
        </w:rPr>
        <w:t>个</w:t>
      </w:r>
      <w:r>
        <w:rPr>
          <w:rFonts w:hint="eastAsia" w:ascii="宋体" w:hAnsi="宋体" w:eastAsia="宋体" w:cs="宋体"/>
          <w:color w:val="auto"/>
          <w:spacing w:val="14"/>
          <w:sz w:val="24"/>
          <w:szCs w:val="24"/>
          <w:lang w:eastAsia="zh-CN"/>
        </w:rPr>
        <w:t>包</w:t>
      </w:r>
      <w:r>
        <w:rPr>
          <w:rFonts w:hint="eastAsia" w:ascii="宋体" w:hAnsi="宋体" w:eastAsia="宋体" w:cs="宋体"/>
          <w:color w:val="auto"/>
          <w:spacing w:val="14"/>
          <w:sz w:val="24"/>
          <w:szCs w:val="24"/>
        </w:rPr>
        <w:t>。</w:t>
      </w:r>
    </w:p>
    <w:p>
      <w:pPr>
        <w:pStyle w:val="226"/>
        <w:spacing w:line="240" w:lineRule="auto"/>
        <w:ind w:firstLine="474" w:firstLineChars="200"/>
        <w:rPr>
          <w:rFonts w:hint="default"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lang w:eastAsia="zh-CN"/>
        </w:rPr>
        <w:t>根据工业和信息化部、国家统计局、国家发展改革委、财政部《关于印发中小企业划型标准规定的通知》（</w:t>
      </w:r>
      <w:r>
        <w:rPr>
          <w:rFonts w:hint="eastAsia" w:ascii="宋体" w:hAnsi="宋体" w:eastAsia="宋体" w:cs="宋体"/>
          <w:color w:val="000000"/>
          <w:spacing w:val="14"/>
          <w:sz w:val="24"/>
          <w:szCs w:val="24"/>
          <w:lang w:eastAsia="zh-CN"/>
        </w:rPr>
        <w:t>工信部联企业〔2011〕300号），</w:t>
      </w:r>
      <w:r>
        <w:rPr>
          <w:rFonts w:hint="eastAsia" w:ascii="宋体" w:hAnsi="宋体" w:eastAsia="宋体" w:cs="宋体"/>
          <w:color w:val="000000"/>
          <w:spacing w:val="14"/>
          <w:sz w:val="24"/>
          <w:szCs w:val="24"/>
          <w:highlight w:val="none"/>
          <w:lang w:eastAsia="zh-CN"/>
        </w:rPr>
        <w:t>本次采购标的（服务）对应的中小企业划分标准均属于</w:t>
      </w:r>
      <w:r>
        <w:rPr>
          <w:rFonts w:hint="eastAsia" w:ascii="宋体" w:hAnsi="宋体" w:eastAsia="宋体" w:cs="宋体"/>
          <w:b/>
          <w:bCs/>
          <w:color w:val="000000"/>
          <w:spacing w:val="14"/>
          <w:sz w:val="24"/>
          <w:szCs w:val="24"/>
          <w:highlight w:val="none"/>
          <w:u w:val="single"/>
          <w:lang w:val="en-US" w:eastAsia="zh-CN"/>
        </w:rPr>
        <w:t xml:space="preserve"> </w:t>
      </w:r>
      <w:r>
        <w:rPr>
          <w:rFonts w:hint="eastAsia" w:ascii="宋体" w:hAnsi="宋体" w:cs="宋体"/>
          <w:b/>
          <w:bCs/>
          <w:color w:val="000000"/>
          <w:spacing w:val="14"/>
          <w:sz w:val="24"/>
          <w:szCs w:val="24"/>
          <w:highlight w:val="none"/>
          <w:u w:val="single"/>
          <w:lang w:val="en-US" w:eastAsia="zh-CN"/>
        </w:rPr>
        <w:t xml:space="preserve">其他未列明行业 </w:t>
      </w:r>
      <w:r>
        <w:rPr>
          <w:rFonts w:hint="eastAsia" w:ascii="宋体" w:hAnsi="宋体" w:eastAsia="宋体" w:cs="宋体"/>
          <w:color w:val="000000"/>
          <w:spacing w:val="14"/>
          <w:sz w:val="24"/>
          <w:szCs w:val="24"/>
          <w:highlight w:val="none"/>
          <w:lang w:val="en-US" w:eastAsia="zh-CN"/>
        </w:rPr>
        <w:t>。</w:t>
      </w:r>
    </w:p>
    <w:p>
      <w:pPr>
        <w:outlineLvl w:val="9"/>
        <w:rPr>
          <w:rFonts w:hint="eastAsia" w:ascii="宋体" w:hAnsi="宋体" w:eastAsia="宋体" w:cs="宋体"/>
          <w:b/>
          <w:bCs/>
          <w:color w:val="auto"/>
          <w:sz w:val="28"/>
          <w:szCs w:val="28"/>
          <w:lang w:val="en-US" w:eastAsia="zh-CN"/>
        </w:rPr>
      </w:pPr>
      <w:bookmarkStart w:id="103" w:name="_Toc238530903"/>
      <w:r>
        <w:rPr>
          <w:rFonts w:hint="eastAsia" w:ascii="宋体" w:hAnsi="宋体" w:eastAsia="宋体" w:cs="宋体"/>
          <w:b/>
          <w:bCs/>
          <w:color w:val="auto"/>
          <w:sz w:val="28"/>
          <w:szCs w:val="28"/>
          <w:lang w:eastAsia="zh-CN"/>
        </w:rPr>
        <w:t>二、采购内容及服务要求</w:t>
      </w:r>
      <w:bookmarkEnd w:id="103"/>
      <w:bookmarkStart w:id="104" w:name="_Toc1662553"/>
      <w:bookmarkStart w:id="105" w:name="_Toc18187"/>
    </w:p>
    <w:bookmarkEnd w:id="104"/>
    <w:bookmarkEnd w:id="105"/>
    <w:p>
      <w:pPr>
        <w:pStyle w:val="226"/>
        <w:spacing w:line="240" w:lineRule="auto"/>
        <w:ind w:firstLine="474" w:firstLineChars="200"/>
        <w:rPr>
          <w:rFonts w:hint="eastAsia" w:ascii="宋体" w:hAnsi="宋体" w:eastAsia="宋体" w:cs="宋体"/>
          <w:color w:val="auto"/>
          <w:spacing w:val="14"/>
          <w:sz w:val="24"/>
          <w:szCs w:val="24"/>
          <w:lang w:val="en-US" w:eastAsia="zh-CN"/>
        </w:rPr>
      </w:pPr>
      <w:bookmarkStart w:id="106" w:name="_Toc28925"/>
      <w:bookmarkStart w:id="107" w:name="_Toc504741950"/>
      <w:bookmarkStart w:id="108" w:name="_Toc31708"/>
      <w:bookmarkStart w:id="109" w:name="_Toc1662554"/>
      <w:bookmarkStart w:id="110" w:name="_Toc18787"/>
      <w:r>
        <w:rPr>
          <w:rFonts w:hint="eastAsia" w:ascii="宋体" w:hAnsi="宋体" w:eastAsia="宋体" w:cs="宋体"/>
          <w:color w:val="auto"/>
          <w:spacing w:val="14"/>
          <w:sz w:val="24"/>
          <w:szCs w:val="24"/>
          <w:lang w:val="en-US" w:eastAsia="zh-CN"/>
        </w:rPr>
        <w:t>1、《人民日报》是世界十大报纸之一，人民网建设的以新闻为主的大型网上信息发布平台，是国家重点新闻网站，也是互联网上最大的中文新闻网站之一。人民网以向世界传播中国的声音为己任，在保持人民日报权威性的同时，充分发挥互联网特性，增强吸引力、可读性、亲和力。经过多年努力，人民网以新闻报道的权威性、及时性、多样性和评论性等特色，在网民中树立起了“权威媒体、大众网站”的形象。</w:t>
      </w:r>
    </w:p>
    <w:p>
      <w:pPr>
        <w:pStyle w:val="226"/>
        <w:spacing w:line="240" w:lineRule="auto"/>
        <w:ind w:firstLine="474" w:firstLineChars="200"/>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2、人民网河南频道(人民网股份有限公司河南分公司)是人民网在河南开设的分支机构，是人民网的重要组成部分。多年来致力于全省各地市政治、思想、经济、文化等宣传服务工作，积极推动新闻宣传服务发展大局，且洛阳市委宣传部与人民网河南频道有持续多年的战略合作关系。合作对洛阳市委市政府决策，对洛阳宣传服务工作发展发挥了独特的不可替代的作用。</w:t>
      </w:r>
    </w:p>
    <w:p>
      <w:pPr>
        <w:pStyle w:val="226"/>
        <w:spacing w:line="240" w:lineRule="auto"/>
        <w:ind w:firstLine="474" w:firstLineChars="200"/>
        <w:rPr>
          <w:rFonts w:hint="eastAsia" w:ascii="宋体" w:hAnsi="宋体" w:eastAsia="宋体" w:cs="宋体"/>
          <w:b w:val="0"/>
          <w:bCs w:val="0"/>
          <w:sz w:val="24"/>
          <w:szCs w:val="24"/>
          <w:vertAlign w:val="baseline"/>
          <w:lang w:val="en-US" w:eastAsia="zh-CN"/>
        </w:rPr>
      </w:pPr>
      <w:r>
        <w:rPr>
          <w:rFonts w:hint="eastAsia" w:ascii="宋体" w:hAnsi="宋体" w:eastAsia="宋体" w:cs="宋体"/>
          <w:color w:val="auto"/>
          <w:spacing w:val="14"/>
          <w:sz w:val="24"/>
          <w:szCs w:val="24"/>
          <w:lang w:val="en-US" w:eastAsia="zh-CN"/>
        </w:rPr>
        <w:t>3、服务内容及要求：</w:t>
      </w:r>
    </w:p>
    <w:tbl>
      <w:tblPr>
        <w:tblStyle w:val="63"/>
        <w:tblW w:w="6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7"/>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987" w:type="dxa"/>
            <w:noWrap w:val="0"/>
            <w:vAlign w:val="center"/>
          </w:tcPr>
          <w:p>
            <w:pPr>
              <w:keepNext w:val="0"/>
              <w:keepLines w:val="0"/>
              <w:pageBreakBefore w:val="0"/>
              <w:widowControl w:val="0"/>
              <w:tabs>
                <w:tab w:val="left" w:pos="993"/>
              </w:tabs>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sz w:val="24"/>
                <w:szCs w:val="24"/>
              </w:rPr>
              <w:t>发布位置</w:t>
            </w:r>
          </w:p>
        </w:tc>
        <w:tc>
          <w:tcPr>
            <w:tcW w:w="3932" w:type="dxa"/>
            <w:noWrap w:val="0"/>
            <w:vAlign w:val="center"/>
          </w:tcPr>
          <w:p>
            <w:pPr>
              <w:keepNext w:val="0"/>
              <w:keepLines w:val="0"/>
              <w:pageBreakBefore w:val="0"/>
              <w:widowControl w:val="0"/>
              <w:tabs>
                <w:tab w:val="left" w:pos="993"/>
              </w:tabs>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sz w:val="24"/>
                <w:szCs w:val="24"/>
              </w:rPr>
              <w:t>广告类型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987" w:type="dxa"/>
            <w:noWrap w:val="0"/>
            <w:vAlign w:val="center"/>
          </w:tcPr>
          <w:p>
            <w:pPr>
              <w:keepNext w:val="0"/>
              <w:keepLines w:val="0"/>
              <w:pageBreakBefore w:val="0"/>
              <w:widowControl w:val="0"/>
              <w:tabs>
                <w:tab w:val="left" w:pos="993"/>
              </w:tabs>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sz w:val="24"/>
                <w:szCs w:val="24"/>
              </w:rPr>
              <w:t>人民网新浪官方微博</w:t>
            </w:r>
          </w:p>
        </w:tc>
        <w:tc>
          <w:tcPr>
            <w:tcW w:w="3932" w:type="dxa"/>
            <w:noWrap w:val="0"/>
            <w:vAlign w:val="center"/>
          </w:tcPr>
          <w:p>
            <w:pPr>
              <w:keepNext w:val="0"/>
              <w:keepLines w:val="0"/>
              <w:pageBreakBefore w:val="0"/>
              <w:widowControl w:val="0"/>
              <w:tabs>
                <w:tab w:val="left" w:pos="993"/>
              </w:tabs>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sz w:val="24"/>
                <w:szCs w:val="24"/>
              </w:rPr>
              <w:t>图片、文字微博</w:t>
            </w:r>
          </w:p>
        </w:tc>
      </w:tr>
    </w:tbl>
    <w:p>
      <w:pPr>
        <w:pStyle w:val="226"/>
        <w:spacing w:line="240" w:lineRule="auto"/>
        <w:ind w:firstLine="474" w:firstLineChars="200"/>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3.1由人民网创建话题页面，并依据微博话题页面特点进行头像、导语（140字以内，含标点符号）制作，经确认后进行发布（素材由客户提供）。</w:t>
      </w:r>
    </w:p>
    <w:p>
      <w:pPr>
        <w:pStyle w:val="226"/>
        <w:spacing w:line="240" w:lineRule="auto"/>
        <w:ind w:firstLine="474" w:firstLineChars="200"/>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3.2人民网法人微博带本#话题#发布2条微博（话题页面搭建7日内），相关广告内容由客户提供。所有微博广告内容均需经确认后进行发布。</w:t>
      </w:r>
    </w:p>
    <w:p>
      <w:pPr>
        <w:pStyle w:val="226"/>
        <w:spacing w:line="240" w:lineRule="auto"/>
        <w:ind w:firstLine="474" w:firstLineChars="200"/>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3.3上述广告内容发布时应依法在显著位置标明“广告”。</w:t>
      </w:r>
    </w:p>
    <w:p>
      <w:pPr>
        <w:pStyle w:val="226"/>
        <w:spacing w:line="240" w:lineRule="auto"/>
        <w:ind w:firstLine="474" w:firstLineChars="200"/>
        <w:rPr>
          <w:rFonts w:hint="eastAsia" w:ascii="宋体" w:hAnsi="宋体" w:eastAsia="宋体" w:cs="宋体"/>
          <w:color w:val="auto"/>
          <w:spacing w:val="14"/>
          <w:kern w:val="2"/>
          <w:sz w:val="24"/>
          <w:szCs w:val="24"/>
          <w:lang w:val="en-US" w:eastAsia="zh-CN" w:bidi="ar-SA"/>
        </w:rPr>
      </w:pPr>
      <w:r>
        <w:rPr>
          <w:rFonts w:hint="eastAsia" w:ascii="宋体" w:hAnsi="宋体" w:eastAsia="宋体" w:cs="宋体"/>
          <w:color w:val="auto"/>
          <w:spacing w:val="14"/>
          <w:sz w:val="24"/>
          <w:szCs w:val="24"/>
          <w:lang w:val="en-US" w:eastAsia="zh-CN"/>
        </w:rPr>
        <w:t>合同履行期限：合同签订之日起至宣传结束。在政策允许及年度预算有保障的前提下，根据服务质量评价情况由采购人决定是否续签合同。通过一年一续签方式与成交供应商签订合同，期限总长不得超过三年。</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pStyle w:val="58"/>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第四章  合同</w:t>
      </w:r>
      <w:bookmarkEnd w:id="106"/>
      <w:bookmarkEnd w:id="107"/>
      <w:bookmarkEnd w:id="108"/>
      <w:bookmarkEnd w:id="109"/>
      <w:bookmarkEnd w:id="110"/>
    </w:p>
    <w:p>
      <w:pPr>
        <w:tabs>
          <w:tab w:val="left" w:pos="993"/>
        </w:tabs>
        <w:spacing w:line="360" w:lineRule="auto"/>
        <w:jc w:val="center"/>
        <w:rPr>
          <w:rFonts w:hint="eastAsia" w:ascii="宋体" w:hAnsi="宋体" w:eastAsia="宋体" w:cs="宋体"/>
          <w:b/>
          <w:bCs/>
          <w:sz w:val="30"/>
          <w:szCs w:val="30"/>
        </w:rPr>
      </w:pPr>
      <w:bookmarkStart w:id="111" w:name="_Toc504741948"/>
      <w:bookmarkStart w:id="112" w:name="_Toc11377"/>
      <w:bookmarkStart w:id="113" w:name="_Toc1662555"/>
      <w:bookmarkStart w:id="114" w:name="_Toc4066"/>
      <w:r>
        <w:rPr>
          <w:rFonts w:hint="eastAsia" w:ascii="宋体" w:hAnsi="宋体" w:eastAsia="宋体" w:cs="宋体"/>
          <w:b/>
          <w:bCs/>
          <w:sz w:val="30"/>
          <w:szCs w:val="30"/>
          <w:lang w:eastAsia="zh-CN"/>
        </w:rPr>
        <w:t>《人民日报人民网河南分公司宣传项目》</w:t>
      </w:r>
      <w:r>
        <w:rPr>
          <w:rFonts w:hint="eastAsia" w:ascii="宋体" w:hAnsi="宋体" w:eastAsia="宋体" w:cs="宋体"/>
          <w:b/>
          <w:bCs/>
          <w:sz w:val="30"/>
          <w:szCs w:val="30"/>
        </w:rPr>
        <w:t>合同</w:t>
      </w:r>
    </w:p>
    <w:p>
      <w:pPr>
        <w:wordWrap w:val="0"/>
        <w:spacing w:line="240" w:lineRule="auto"/>
        <w:jc w:val="right"/>
        <w:rPr>
          <w:rFonts w:hint="eastAsia" w:ascii="宋体" w:hAnsi="宋体" w:eastAsia="宋体" w:cs="宋体"/>
          <w:kern w:val="0"/>
          <w:sz w:val="24"/>
          <w:szCs w:val="24"/>
          <w:lang w:val="en-US" w:eastAsia="zh-CN"/>
        </w:rPr>
      </w:pPr>
      <w:r>
        <w:rPr>
          <w:rFonts w:hint="eastAsia" w:ascii="宋体" w:hAnsi="宋体" w:eastAsia="宋体" w:cs="宋体"/>
          <w:sz w:val="24"/>
          <w:szCs w:val="24"/>
        </w:rPr>
        <w:t>合同编号：</w:t>
      </w:r>
      <w:r>
        <w:rPr>
          <w:rFonts w:hint="eastAsia" w:ascii="宋体" w:hAnsi="宋体" w:eastAsia="宋体" w:cs="宋体"/>
          <w:kern w:val="0"/>
          <w:sz w:val="24"/>
          <w:szCs w:val="24"/>
          <w:lang w:val="en-US" w:eastAsia="zh-CN"/>
        </w:rPr>
        <w:t xml:space="preserve">            </w:t>
      </w:r>
    </w:p>
    <w:p>
      <w:pPr>
        <w:tabs>
          <w:tab w:val="left" w:pos="993"/>
        </w:tabs>
        <w:spacing w:line="240" w:lineRule="auto"/>
        <w:ind w:firstLine="418" w:firstLineChars="200"/>
        <w:rPr>
          <w:rFonts w:hint="eastAsia" w:ascii="宋体" w:hAnsi="宋体" w:eastAsia="宋体" w:cs="宋体"/>
          <w:b/>
          <w:bCs/>
          <w:sz w:val="24"/>
          <w:szCs w:val="24"/>
        </w:rPr>
      </w:pPr>
    </w:p>
    <w:p>
      <w:pPr>
        <w:spacing w:line="24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甲方（委托方）∶</w:t>
      </w:r>
      <w:r>
        <w:rPr>
          <w:rFonts w:hint="eastAsia" w:ascii="宋体" w:hAnsi="宋体" w:eastAsia="宋体" w:cs="宋体"/>
          <w:b w:val="0"/>
          <w:bCs w:val="0"/>
          <w:sz w:val="24"/>
          <w:szCs w:val="24"/>
          <w:lang w:val="en-US" w:eastAsia="zh-CN"/>
        </w:rPr>
        <w:t xml:space="preserve"> </w:t>
      </w:r>
    </w:p>
    <w:p>
      <w:pPr>
        <w:spacing w:line="24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统一社会信用代码：</w:t>
      </w:r>
      <w:r>
        <w:rPr>
          <w:rFonts w:hint="eastAsia" w:ascii="宋体" w:hAnsi="宋体" w:eastAsia="宋体" w:cs="宋体"/>
          <w:b w:val="0"/>
          <w:bCs w:val="0"/>
          <w:sz w:val="24"/>
          <w:szCs w:val="24"/>
          <w:lang w:val="en-US" w:eastAsia="zh-CN"/>
        </w:rPr>
        <w:t xml:space="preserve"> </w:t>
      </w:r>
    </w:p>
    <w:p>
      <w:pPr>
        <w:spacing w:line="24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住所地：</w:t>
      </w:r>
      <w:r>
        <w:rPr>
          <w:rFonts w:hint="eastAsia" w:ascii="宋体" w:hAnsi="宋体" w:eastAsia="宋体" w:cs="宋体"/>
          <w:b w:val="0"/>
          <w:bCs w:val="0"/>
          <w:sz w:val="24"/>
          <w:szCs w:val="24"/>
          <w:lang w:val="en-US" w:eastAsia="zh-CN"/>
        </w:rPr>
        <w:t xml:space="preserve"> </w:t>
      </w:r>
    </w:p>
    <w:p>
      <w:pPr>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法定授权代理人：</w:t>
      </w:r>
      <w:r>
        <w:rPr>
          <w:rFonts w:hint="eastAsia" w:ascii="宋体" w:hAnsi="宋体" w:eastAsia="宋体" w:cs="宋体"/>
          <w:b w:val="0"/>
          <w:bCs w:val="0"/>
          <w:sz w:val="24"/>
          <w:szCs w:val="24"/>
          <w:lang w:val="en-US" w:eastAsia="zh-CN"/>
        </w:rPr>
        <w:t xml:space="preserve"> </w:t>
      </w:r>
    </w:p>
    <w:p>
      <w:pPr>
        <w:spacing w:line="240" w:lineRule="auto"/>
        <w:rPr>
          <w:rFonts w:hint="eastAsia" w:ascii="宋体" w:hAnsi="宋体" w:eastAsia="宋体" w:cs="宋体"/>
          <w:b w:val="0"/>
          <w:bCs w:val="0"/>
          <w:sz w:val="24"/>
          <w:szCs w:val="24"/>
        </w:rPr>
      </w:pPr>
    </w:p>
    <w:p>
      <w:pPr>
        <w:spacing w:line="24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乙方（受托方）∶</w:t>
      </w:r>
      <w:r>
        <w:rPr>
          <w:rFonts w:hint="eastAsia" w:ascii="宋体" w:hAnsi="宋体" w:eastAsia="宋体" w:cs="宋体"/>
          <w:b w:val="0"/>
          <w:bCs w:val="0"/>
          <w:sz w:val="24"/>
          <w:szCs w:val="24"/>
          <w:lang w:val="en-US" w:eastAsia="zh-CN"/>
        </w:rPr>
        <w:t xml:space="preserve"> </w:t>
      </w:r>
    </w:p>
    <w:p>
      <w:pPr>
        <w:spacing w:line="24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统一社会信用代码：</w:t>
      </w:r>
      <w:r>
        <w:rPr>
          <w:rFonts w:hint="eastAsia" w:ascii="宋体" w:hAnsi="宋体" w:eastAsia="宋体" w:cs="宋体"/>
          <w:b w:val="0"/>
          <w:bCs w:val="0"/>
          <w:sz w:val="24"/>
          <w:szCs w:val="24"/>
          <w:lang w:val="en-US" w:eastAsia="zh-CN"/>
        </w:rPr>
        <w:t xml:space="preserve"> </w:t>
      </w:r>
    </w:p>
    <w:p>
      <w:pPr>
        <w:spacing w:line="24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住所地：</w:t>
      </w:r>
      <w:r>
        <w:rPr>
          <w:rFonts w:hint="eastAsia" w:ascii="宋体" w:hAnsi="宋体" w:eastAsia="宋体" w:cs="宋体"/>
          <w:b w:val="0"/>
          <w:bCs w:val="0"/>
          <w:sz w:val="24"/>
          <w:szCs w:val="24"/>
          <w:lang w:val="en-US" w:eastAsia="zh-CN"/>
        </w:rPr>
        <w:t xml:space="preserve"> </w:t>
      </w:r>
    </w:p>
    <w:p>
      <w:pPr>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法定代表人：</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 xml:space="preserve"> </w:t>
      </w:r>
    </w:p>
    <w:p>
      <w:pPr>
        <w:spacing w:line="240" w:lineRule="auto"/>
        <w:rPr>
          <w:rFonts w:hint="eastAsia" w:ascii="宋体" w:hAnsi="宋体" w:eastAsia="宋体" w:cs="宋体"/>
          <w:sz w:val="24"/>
          <w:szCs w:val="24"/>
        </w:rPr>
      </w:pP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根据《中华人民共和国民法典》、《中华人民共和国政府采购法》及相关法律法规，甲方为履行日常政务活动或满足公共服务的需要，委托乙方进行政府服务项目，双方经友好协商，达成合作事宜如下：</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一、合作内容</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乙方在其网站【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】或其他运营主体上，为甲方或甲方客户进行广告宣传，具体内容如下：</w:t>
      </w:r>
    </w:p>
    <w:tbl>
      <w:tblPr>
        <w:tblStyle w:val="62"/>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9"/>
        <w:gridCol w:w="2268"/>
        <w:gridCol w:w="1559"/>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2509"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tabs>
                <w:tab w:val="left" w:pos="993"/>
              </w:tabs>
              <w:spacing w:line="240" w:lineRule="auto"/>
              <w:jc w:val="center"/>
              <w:rPr>
                <w:rFonts w:hint="eastAsia" w:ascii="宋体" w:hAnsi="宋体" w:eastAsia="宋体" w:cs="宋体"/>
                <w:sz w:val="24"/>
                <w:szCs w:val="24"/>
              </w:rPr>
            </w:pPr>
            <w:r>
              <w:rPr>
                <w:rFonts w:hint="eastAsia" w:ascii="宋体" w:hAnsi="宋体" w:eastAsia="宋体" w:cs="宋体"/>
                <w:sz w:val="24"/>
                <w:szCs w:val="24"/>
              </w:rPr>
              <w:t>发布位置</w:t>
            </w:r>
          </w:p>
        </w:tc>
        <w:tc>
          <w:tcPr>
            <w:tcW w:w="2268"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tabs>
                <w:tab w:val="left" w:pos="993"/>
              </w:tabs>
              <w:spacing w:line="240" w:lineRule="auto"/>
              <w:jc w:val="center"/>
              <w:rPr>
                <w:rFonts w:hint="eastAsia" w:ascii="宋体" w:hAnsi="宋体" w:eastAsia="宋体" w:cs="宋体"/>
                <w:sz w:val="24"/>
                <w:szCs w:val="24"/>
              </w:rPr>
            </w:pPr>
            <w:r>
              <w:rPr>
                <w:rFonts w:hint="eastAsia" w:ascii="宋体" w:hAnsi="宋体" w:eastAsia="宋体" w:cs="宋体"/>
                <w:sz w:val="24"/>
                <w:szCs w:val="24"/>
              </w:rPr>
              <w:t>广告类型</w:t>
            </w:r>
          </w:p>
        </w:tc>
        <w:tc>
          <w:tcPr>
            <w:tcW w:w="1559"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tabs>
                <w:tab w:val="left" w:pos="993"/>
              </w:tabs>
              <w:spacing w:line="240" w:lineRule="auto"/>
              <w:jc w:val="center"/>
              <w:rPr>
                <w:rFonts w:hint="eastAsia" w:ascii="宋体" w:hAnsi="宋体" w:eastAsia="宋体" w:cs="宋体"/>
                <w:sz w:val="24"/>
                <w:szCs w:val="24"/>
              </w:rPr>
            </w:pPr>
            <w:r>
              <w:rPr>
                <w:rFonts w:hint="eastAsia" w:ascii="宋体" w:hAnsi="宋体" w:eastAsia="宋体" w:cs="宋体"/>
                <w:sz w:val="24"/>
                <w:szCs w:val="24"/>
              </w:rPr>
              <w:t>投放周期</w:t>
            </w:r>
          </w:p>
        </w:tc>
        <w:tc>
          <w:tcPr>
            <w:tcW w:w="1884"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tabs>
                <w:tab w:val="left" w:pos="993"/>
              </w:tabs>
              <w:spacing w:line="240" w:lineRule="auto"/>
              <w:jc w:val="center"/>
              <w:rPr>
                <w:rFonts w:hint="eastAsia" w:ascii="宋体" w:hAnsi="宋体" w:eastAsia="宋体" w:cs="宋体"/>
                <w:sz w:val="24"/>
                <w:szCs w:val="24"/>
              </w:rPr>
            </w:pPr>
            <w:r>
              <w:rPr>
                <w:rFonts w:hint="eastAsia" w:ascii="宋体" w:hAnsi="宋体" w:eastAsia="宋体" w:cs="宋体"/>
                <w:sz w:val="24"/>
                <w:szCs w:val="24"/>
              </w:rPr>
              <w:t>投放时间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2509" w:type="dxa"/>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240" w:lineRule="auto"/>
              <w:jc w:val="center"/>
              <w:rPr>
                <w:rFonts w:hint="eastAsia" w:ascii="宋体" w:hAnsi="宋体" w:eastAsia="宋体" w:cs="宋体"/>
                <w:sz w:val="24"/>
                <w:szCs w:val="24"/>
              </w:rPr>
            </w:pPr>
            <w:r>
              <w:rPr>
                <w:rFonts w:hint="eastAsia" w:ascii="宋体" w:hAnsi="宋体" w:eastAsia="宋体" w:cs="宋体"/>
                <w:sz w:val="24"/>
                <w:szCs w:val="24"/>
              </w:rPr>
              <w:t>人民网新浪官方微博</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240" w:lineRule="auto"/>
              <w:jc w:val="center"/>
              <w:rPr>
                <w:rFonts w:hint="eastAsia" w:ascii="宋体" w:hAnsi="宋体" w:eastAsia="宋体" w:cs="宋体"/>
                <w:sz w:val="24"/>
                <w:szCs w:val="24"/>
              </w:rPr>
            </w:pPr>
            <w:r>
              <w:rPr>
                <w:rFonts w:hint="eastAsia" w:ascii="宋体" w:hAnsi="宋体" w:eastAsia="宋体" w:cs="宋体"/>
                <w:sz w:val="24"/>
                <w:szCs w:val="24"/>
              </w:rPr>
              <w:t>图片、文字微博</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509" w:type="dxa"/>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240" w:lineRule="auto"/>
              <w:jc w:val="center"/>
              <w:rPr>
                <w:rFonts w:hint="eastAsia" w:ascii="宋体" w:hAnsi="宋体" w:eastAsia="宋体" w:cs="宋体"/>
                <w:sz w:val="24"/>
                <w:szCs w:val="24"/>
              </w:rPr>
            </w:pPr>
            <w:r>
              <w:rPr>
                <w:rFonts w:hint="eastAsia" w:ascii="宋体" w:hAnsi="宋体" w:eastAsia="宋体" w:cs="宋体"/>
                <w:sz w:val="24"/>
                <w:szCs w:val="24"/>
              </w:rPr>
              <w:t>总发布费用(大写)</w:t>
            </w:r>
          </w:p>
        </w:tc>
        <w:tc>
          <w:tcPr>
            <w:tcW w:w="5711"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240" w:lineRule="auto"/>
              <w:ind w:firstLine="418"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2509" w:type="dxa"/>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240" w:lineRule="auto"/>
              <w:jc w:val="center"/>
              <w:rPr>
                <w:rFonts w:hint="eastAsia" w:ascii="宋体" w:hAnsi="宋体" w:eastAsia="宋体" w:cs="宋体"/>
                <w:sz w:val="24"/>
                <w:szCs w:val="24"/>
              </w:rPr>
            </w:pPr>
            <w:r>
              <w:rPr>
                <w:rFonts w:hint="eastAsia" w:ascii="宋体" w:hAnsi="宋体" w:eastAsia="宋体" w:cs="宋体"/>
                <w:sz w:val="24"/>
                <w:szCs w:val="24"/>
              </w:rPr>
              <w:t>投放广告内容</w:t>
            </w:r>
          </w:p>
        </w:tc>
        <w:tc>
          <w:tcPr>
            <w:tcW w:w="5711"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240" w:lineRule="auto"/>
              <w:ind w:firstLine="418"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2509" w:type="dxa"/>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240" w:lineRule="auto"/>
              <w:ind w:firstLine="418" w:firstLineChars="200"/>
              <w:jc w:val="center"/>
              <w:rPr>
                <w:rFonts w:hint="eastAsia" w:ascii="宋体" w:hAnsi="宋体" w:eastAsia="宋体" w:cs="宋体"/>
                <w:sz w:val="24"/>
                <w:szCs w:val="24"/>
              </w:rPr>
            </w:pPr>
            <w:r>
              <w:rPr>
                <w:rFonts w:hint="eastAsia" w:ascii="宋体" w:hAnsi="宋体" w:eastAsia="宋体" w:cs="宋体"/>
                <w:sz w:val="24"/>
                <w:szCs w:val="24"/>
              </w:rPr>
              <w:t>备注</w:t>
            </w:r>
          </w:p>
        </w:tc>
        <w:tc>
          <w:tcPr>
            <w:tcW w:w="5711"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240" w:lineRule="auto"/>
              <w:jc w:val="left"/>
              <w:rPr>
                <w:rFonts w:hint="eastAsia" w:ascii="宋体" w:hAnsi="宋体" w:eastAsia="宋体" w:cs="宋体"/>
                <w:sz w:val="24"/>
                <w:szCs w:val="24"/>
              </w:rPr>
            </w:pPr>
          </w:p>
        </w:tc>
      </w:tr>
    </w:tbl>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二、费用及付款</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1.本合同项下广告发布总费用（含税）为人民币【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p>
    <w:p>
      <w:pPr>
        <w:tabs>
          <w:tab w:val="left" w:pos="993"/>
        </w:tabs>
        <w:spacing w:line="240" w:lineRule="auto"/>
        <w:ind w:firstLine="418" w:firstLineChars="200"/>
        <w:rPr>
          <w:rFonts w:hint="eastAsia" w:ascii="宋体" w:hAnsi="宋体" w:eastAsia="宋体" w:cs="宋体"/>
          <w:color w:val="FF0000"/>
          <w:sz w:val="24"/>
          <w:szCs w:val="24"/>
        </w:rPr>
      </w:pPr>
      <w:r>
        <w:rPr>
          <w:rFonts w:hint="eastAsia" w:ascii="宋体" w:hAnsi="宋体" w:eastAsia="宋体" w:cs="宋体"/>
          <w:sz w:val="24"/>
          <w:szCs w:val="24"/>
        </w:rPr>
        <w:t>2.付款方式：乙方开具正规发票后，待甲方市财政局拨款到账户5日内，甲方一次性全额支付乙方。</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3.支付方式：甲方应向乙方指定的账号以银行转账或支票的方式支付广告款项。</w:t>
      </w:r>
    </w:p>
    <w:p>
      <w:pPr>
        <w:spacing w:line="240" w:lineRule="auto"/>
        <w:ind w:left="210" w:hanging="209" w:hangingChars="100"/>
        <w:rPr>
          <w:rFonts w:hint="eastAsia" w:ascii="宋体" w:hAnsi="宋体" w:eastAsia="宋体" w:cs="宋体"/>
          <w:color w:val="FF0000"/>
          <w:sz w:val="24"/>
          <w:szCs w:val="24"/>
        </w:rPr>
      </w:pPr>
      <w:r>
        <w:rPr>
          <w:rFonts w:hint="eastAsia" w:ascii="宋体" w:hAnsi="宋体" w:eastAsia="宋体" w:cs="宋体"/>
          <w:sz w:val="24"/>
          <w:szCs w:val="24"/>
        </w:rPr>
        <w:t xml:space="preserve">    户名：【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spacing w:line="240" w:lineRule="auto"/>
        <w:ind w:left="210" w:hanging="209" w:hangingChars="100"/>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开户银行：【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spacing w:line="240" w:lineRule="auto"/>
        <w:ind w:left="210" w:hanging="209" w:hangingChars="100"/>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账号：【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汇款用途：【</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三、广告排期及内容提供</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1.在本合同有效期限内，甲方应在广告刊发日【3】个工作日前通过邮件形式向乙方预定广告版面，最终以乙方确认的版面排期为准。</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2.甲方应按照乙方的要求，在广告刊发日【3】个工作日前提交广告的内容。该文件的格式、大小等应当符合乙方的规定，否则乙方有权要求甲方进行更换。</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3. 乙方根据双方确定的发布时间进行广告发布，无须另行告知甲方。如因特殊原因不能按确定的时间发布，乙方应当及时告知甲方。</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四、双方的权利和义务</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（一）甲方的权利和义务</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1. 甲方应保证其具有广告发布的主体资格，并可以提供相应的资质证明文件。若乙方需要，甲方应积极配合提供，包括但不限于：广告主的营业执照、产品说明及其它生产、经营资格证明文件；质量检验机构对广告中有关商品质量内容出具的证明文件；广告审批机构对特殊产品或服务广告内容出具的广告批准文件；确认广告内容真实性的其它证明文件；甲方的营业执照和委托代理合同书。甲方承诺其提供的上述文件真实、合法、有效，不违反法律规定，不侵犯他人的合法权利。</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2.甲方应保证其提供的广告、素材或其他内容不存在虚假、夸大宣传等违反法律、法规、政策及公序良俗、道德准则的情形，也不会损害任何第三方及乙方的合法权益。因本合同约定的广告发布事项引发的任何与第三者纠纷或者行政处罚一律由甲方承担全部责任，并赔偿因此给乙方造成的损失。</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3. 甲方应按本合同第二条约定，按时向乙方支付合同款，否则乙方有权追究甲方的违约责任。</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4. 甲方可以委托乙方为其设计广告图形，设计费用由甲、乙双方协商确定。在甲方决定采纳乙方所设计的广告图形，并支付相应的费用后，该广告图形的著作权归甲方所有。</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5. 广告按甲乙双方确认的排期日整体发布后10日内，甲方应对广告发布进行验收确认，甲方如在前述规定时间内没有书面提出异议并提供证据给乙方，则视为乙方已合格履行完本合同项下所有义务。</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highlight w:val="none"/>
        </w:rPr>
        <w:t>服务</w:t>
      </w:r>
      <w:r>
        <w:rPr>
          <w:rFonts w:hint="eastAsia" w:cs="宋体"/>
          <w:sz w:val="24"/>
          <w:szCs w:val="24"/>
          <w:highlight w:val="none"/>
          <w:lang w:eastAsia="zh-CN"/>
        </w:rPr>
        <w:t>一年</w:t>
      </w:r>
      <w:r>
        <w:rPr>
          <w:rFonts w:hint="eastAsia" w:ascii="宋体" w:hAnsi="宋体" w:eastAsia="宋体" w:cs="宋体"/>
          <w:sz w:val="24"/>
          <w:szCs w:val="24"/>
          <w:highlight w:val="none"/>
        </w:rPr>
        <w:t>期满后，</w:t>
      </w:r>
      <w:r>
        <w:rPr>
          <w:rFonts w:hint="eastAsia" w:ascii="宋体" w:hAnsi="宋体" w:eastAsia="宋体" w:cs="宋体"/>
          <w:sz w:val="24"/>
          <w:szCs w:val="24"/>
        </w:rPr>
        <w:t>在政策允许及年度预算有保障的前提下，根据服务质量评价情况由采购人决定是否续签合同。通过一年一续签方式与成交供应商签订合</w:t>
      </w:r>
      <w:bookmarkStart w:id="176" w:name="_GoBack"/>
      <w:bookmarkEnd w:id="176"/>
      <w:r>
        <w:rPr>
          <w:rFonts w:hint="eastAsia" w:ascii="宋体" w:hAnsi="宋体" w:eastAsia="宋体" w:cs="宋体"/>
          <w:sz w:val="24"/>
          <w:szCs w:val="24"/>
        </w:rPr>
        <w:t>同，期限总长不得超过三年。</w:t>
      </w:r>
    </w:p>
    <w:p>
      <w:pPr>
        <w:tabs>
          <w:tab w:val="left" w:pos="993"/>
        </w:tabs>
        <w:spacing w:line="240" w:lineRule="auto"/>
        <w:ind w:firstLine="418" w:firstLineChars="200"/>
        <w:rPr>
          <w:rFonts w:hint="eastAsia" w:ascii="宋体" w:hAnsi="宋体" w:eastAsia="宋体" w:cs="宋体"/>
          <w:sz w:val="24"/>
          <w:szCs w:val="24"/>
          <w:lang w:eastAsia="zh-CN"/>
        </w:rPr>
      </w:pPr>
      <w:r>
        <w:rPr>
          <w:rFonts w:hint="eastAsia" w:ascii="宋体" w:hAnsi="宋体" w:eastAsia="宋体" w:cs="宋体"/>
          <w:sz w:val="24"/>
          <w:szCs w:val="24"/>
        </w:rPr>
        <w:t>（二）乙方的权利和义务</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1. 乙方应按本合同的约定，按时为甲方发布广告。如乙方出现错发、漏发的情况，除特殊原因另有约定外，甲方可以追究乙方的违约责任。</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2. 乙方有权审查甲方提供的广告内容，对于不符合法律、法规或乙方有理由相信如果发布广告将给乙方带来不利影响的广告内容和表现形式，乙方有权暂停发布并要求甲方做出修改。甲方应当在刊发前修改完毕并及时提供给乙方，若因甲方延迟修改，造成广告不能按时发布，乙方不承担违约责任。若由此给乙方造成损失的，甲方应承担赔偿责任。</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若因甲方不具备签订、履行本合同的相关资质或资质有瑕疵的，乙方有权单方面终止本合同，如造成损失的，乙方有权要求甲方承担赔偿责任。</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乙方根据本合同对甲方资质及广告内容的审查，并不免除或减轻甲方在本合同中相关的义务和责任，同时也不代表乙方就该审查、修改等向甲方或其他第三方承担任何法律责任。</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3.为了网站的正常运行，乙方需要定期或不定期地对网站进行停机维护，因此类情况而造成的正常服务中断，甲方应该予以理解，乙方有义务尽量避免服务中断或将中断时间限制在最短时间内。</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4.因不可抗力或上级主管部门要求乙方发布其他规定内容或提出管制等特殊情形，造成甲方广告不能如期发布，乙方应提前通知甲方，双方协商另行约定广告发布事宜。</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5.在广告刊登期限内，如乙方更新其网站，且原广告位置不再存在，乙方可将甲方广告图形放置在其新网站的同等重要位置。</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6. 本合同约定的资源及服务应在合同有效期内执行完毕。如甲方有正当理由或因乙方的原因导致甲方资源或服务未能执行，则双方友好协商后，可以顺延执行，但期限最多不超过三个月。</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五、违约责任</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1. 因甲方未按期向乙方提供广告内容，致使本合同无法按期履行的，由甲方承担违约责任，经乙方催告后3个工作日内甲方仍不能提供广告内容的，乙方有权单方解除合同，但甲方仍需按本合同约定支付全部费用。</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2. 双方不得擅自更改或撤销订单或变更广告位置。如因特别原因需要撤销发布订单或变更广告位置的，应在广告发布日三个工作日前以书面形式通知对方，并取得对方的同意。未及时通知的，守约方有权追究对方的违约责任。</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3. 若甲方未按本合同约定履行付款义务的，乙方有权暂停广告刊发。甲方每迟延一日，应向乙方支付合同总金额千分之一的违约金，如甲方迟延支付超过15日的，乙方有权解除本合同，并要求甲方支付全部广告费用，由此给乙方造成损失的，甲方应当予以赔偿。</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4. 乙方应按期为甲方发布广告，如果出现漏发、错发，则乙方应按相同形式以“漏一补一”、“错一补二” 的方式进行补偿，该补偿日期由双方协商确定。</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5.甲方有下列行为之一的，乙方有权解除本合同，所收取的费用不予退还；同时由此引发的一切责任由甲方承担，并赔偿因此给乙方造成的全部损失：</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（1）甲方及甲方的工作人员以人民日报或人民日报编辑、记者和工作人员名义，对外开展或参加任何活动的；</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（2）甲方及甲方的工作人员以“人民网”、“人民网xx频道”名义或“人民网”工作人员的名义对外开展或参加规定业务范围以外的任何活动的；</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6. 本合同中提及的损失包括但不限于守约方经济利益的减损、守约方为证实违约方之违约行为所支出的各项调查取证、公证费用，守约方为寻求救济而支付的诉讼费用、保全费、律师代理费、咨询费以及法院执行费用等。</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六、保密条款</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为保障双方的权益，双方有义务做好合同的保密工作。未经对方同意，不得向任何第三方披露本合同的相关内容及由合作而知悉的对方商业秘密。否则守约方有权追究违约方相应的法律责任。本条款在本合同终止或解除后仍继续有效。</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七、不可抗力</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1. “不可抗力”是指本合同双方不能合理控制、不可预见或即使预见亦无法避免的行为或事件，该行为或事件妨碍、影响或延误任何一方根据本合同履行其全部或部分义务。其包括但不限于政府行为、自然灾害、战争、网络堵塞或中断、黑客袭击、其他运营商造成的或任何其它类似事件。</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2. 遭受不可抗力事件的一方可中止履行本合同项下的义务直至不可抗力的影响消除为止，并且无需为此而承担违约责任。但应尽最大努力克服该行为或事件，采取必要的措施避免损失扩大，并将不可抗力事件及时通知对方。因怠于通知或采取必要措施，给对方造成损失的，不免除遭受不可抗力事件一方应当承担的损害赔偿责任。</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八、争议解决方式</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甲乙双方应严格遵守本合同。在合同履行过程中发生争议的，双方应本着互谅互让的精神协商解决。如协商不成，有权将争议提交甲方住所地人民法院通过诉讼方式解决。</w:t>
      </w:r>
    </w:p>
    <w:p>
      <w:pPr>
        <w:tabs>
          <w:tab w:val="left" w:pos="993"/>
        </w:tabs>
        <w:spacing w:line="240" w:lineRule="auto"/>
        <w:ind w:firstLine="418" w:firstLineChars="200"/>
        <w:rPr>
          <w:rFonts w:hint="eastAsia" w:ascii="宋体" w:hAnsi="宋体" w:eastAsia="宋体" w:cs="宋体"/>
          <w:sz w:val="24"/>
          <w:szCs w:val="24"/>
        </w:rPr>
      </w:pPr>
      <w:r>
        <w:rPr>
          <w:rFonts w:hint="eastAsia" w:ascii="宋体" w:hAnsi="宋体" w:eastAsia="宋体" w:cs="宋体"/>
          <w:sz w:val="24"/>
          <w:szCs w:val="24"/>
        </w:rPr>
        <w:t>九、合同期限及生效</w:t>
      </w:r>
    </w:p>
    <w:p>
      <w:pPr>
        <w:tabs>
          <w:tab w:val="left" w:pos="993"/>
        </w:tabs>
        <w:spacing w:line="240" w:lineRule="auto"/>
        <w:ind w:firstLine="418" w:firstLineChars="200"/>
        <w:rPr>
          <w:rFonts w:hint="eastAsia" w:ascii="宋体" w:hAnsi="宋体" w:eastAsia="宋体" w:cs="宋体"/>
          <w:color w:val="auto"/>
          <w:sz w:val="24"/>
          <w:szCs w:val="24"/>
        </w:rPr>
      </w:pPr>
      <w:r>
        <w:rPr>
          <w:rFonts w:hint="eastAsia" w:ascii="宋体" w:hAnsi="宋体" w:eastAsia="宋体" w:cs="宋体"/>
          <w:sz w:val="24"/>
          <w:szCs w:val="24"/>
        </w:rPr>
        <w:t>本合同有效期为【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日】。自双方法定代表人或授权代表人签字并</w:t>
      </w:r>
      <w:r>
        <w:rPr>
          <w:rFonts w:hint="eastAsia" w:ascii="宋体" w:hAnsi="宋体" w:eastAsia="宋体" w:cs="宋体"/>
          <w:color w:val="auto"/>
          <w:sz w:val="24"/>
          <w:szCs w:val="24"/>
        </w:rPr>
        <w:t>加盖公章或合同专用章之日起生效，一式四份，甲乙双方各持二份，具有同等法律效力。对于合同生效前，双方基于本合同目的已实际履行合同义务的行为受本合同约束。</w:t>
      </w:r>
    </w:p>
    <w:p>
      <w:pPr>
        <w:tabs>
          <w:tab w:val="left" w:pos="993"/>
        </w:tabs>
        <w:spacing w:line="240" w:lineRule="auto"/>
        <w:ind w:firstLine="418"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十、合同附件</w:t>
      </w:r>
    </w:p>
    <w:p>
      <w:pPr>
        <w:tabs>
          <w:tab w:val="left" w:pos="993"/>
        </w:tabs>
        <w:spacing w:line="240" w:lineRule="auto"/>
        <w:ind w:firstLine="418"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1.本合同的注解、附件、补充协议为本合同的组成部分，与本合同具有同等法律效力。</w:t>
      </w:r>
    </w:p>
    <w:p>
      <w:pPr>
        <w:tabs>
          <w:tab w:val="left" w:pos="993"/>
        </w:tabs>
        <w:spacing w:line="240" w:lineRule="auto"/>
        <w:ind w:firstLine="418"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2.本合同附件：【无】</w:t>
      </w:r>
    </w:p>
    <w:p>
      <w:pPr>
        <w:tabs>
          <w:tab w:val="left" w:pos="993"/>
        </w:tabs>
        <w:spacing w:line="240" w:lineRule="auto"/>
        <w:ind w:firstLine="418"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十一、双方联系人：</w:t>
      </w:r>
    </w:p>
    <w:p>
      <w:pPr>
        <w:tabs>
          <w:tab w:val="left" w:pos="993"/>
        </w:tabs>
        <w:spacing w:line="240" w:lineRule="auto"/>
        <w:ind w:firstLine="418" w:firstLineChars="200"/>
        <w:rPr>
          <w:rFonts w:hint="default" w:ascii="宋体" w:hAnsi="宋体" w:eastAsia="宋体"/>
          <w:color w:val="auto"/>
          <w:sz w:val="24"/>
          <w:szCs w:val="24"/>
          <w:u w:val="single"/>
          <w:lang w:val="en-US" w:eastAsia="zh-CN"/>
        </w:rPr>
      </w:pP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auto"/>
          <w:sz w:val="24"/>
          <w:szCs w:val="24"/>
          <w:u w:val="single"/>
          <w:lang w:val="en-US" w:eastAsia="zh-CN"/>
        </w:rPr>
        <w:t xml:space="preserve">                                        </w:t>
      </w:r>
    </w:p>
    <w:p>
      <w:pPr>
        <w:spacing w:line="240" w:lineRule="auto"/>
        <w:ind w:firstLine="418" w:firstLineChars="200"/>
        <w:rPr>
          <w:rFonts w:ascii="宋体" w:hAnsi="宋体"/>
          <w:color w:val="auto"/>
          <w:sz w:val="24"/>
          <w:szCs w:val="24"/>
        </w:rPr>
      </w:pPr>
      <w:r>
        <w:rPr>
          <w:rFonts w:hint="eastAsia" w:ascii="宋体" w:hAnsi="宋体"/>
          <w:color w:val="auto"/>
          <w:sz w:val="24"/>
          <w:szCs w:val="24"/>
        </w:rPr>
        <w:t>（以下无正文，为本合同之签署页）</w:t>
      </w:r>
    </w:p>
    <w:p>
      <w:pPr>
        <w:tabs>
          <w:tab w:val="left" w:pos="993"/>
        </w:tabs>
        <w:spacing w:line="240" w:lineRule="auto"/>
        <w:rPr>
          <w:rFonts w:hint="eastAsia" w:ascii="宋体" w:hAnsi="宋体"/>
          <w:sz w:val="24"/>
          <w:szCs w:val="24"/>
        </w:rPr>
      </w:pPr>
    </w:p>
    <w:p>
      <w:pPr>
        <w:tabs>
          <w:tab w:val="left" w:pos="993"/>
        </w:tabs>
        <w:spacing w:line="240" w:lineRule="auto"/>
        <w:rPr>
          <w:rFonts w:hint="eastAsia" w:ascii="宋体" w:hAnsi="宋体" w:eastAsia="宋体"/>
          <w:b w:val="0"/>
          <w:bCs/>
          <w:sz w:val="24"/>
          <w:szCs w:val="24"/>
          <w:lang w:eastAsia="zh-CN"/>
        </w:rPr>
      </w:pPr>
      <w:r>
        <w:rPr>
          <w:rFonts w:hint="eastAsia" w:ascii="宋体" w:hAnsi="宋体"/>
          <w:b w:val="0"/>
          <w:bCs/>
          <w:sz w:val="24"/>
          <w:szCs w:val="24"/>
        </w:rPr>
        <w:t>甲方：</w:t>
      </w:r>
      <w:r>
        <w:rPr>
          <w:rFonts w:hint="eastAsia" w:ascii="宋体" w:hAnsi="宋体"/>
          <w:b w:val="0"/>
          <w:bCs/>
          <w:sz w:val="24"/>
          <w:szCs w:val="24"/>
          <w:lang w:val="en-US" w:eastAsia="zh-CN"/>
        </w:rPr>
        <w:t xml:space="preserve">                               </w:t>
      </w:r>
      <w:r>
        <w:rPr>
          <w:rFonts w:ascii="宋体" w:hAnsi="宋体"/>
          <w:b w:val="0"/>
          <w:bCs/>
          <w:sz w:val="24"/>
          <w:szCs w:val="24"/>
        </w:rPr>
        <w:t xml:space="preserve"> </w:t>
      </w:r>
      <w:r>
        <w:rPr>
          <w:rFonts w:ascii="宋体" w:hAnsi="宋体"/>
          <w:b w:val="0"/>
          <w:bCs/>
          <w:sz w:val="24"/>
          <w:szCs w:val="24"/>
        </w:rPr>
        <w:tab/>
      </w:r>
      <w:r>
        <w:rPr>
          <w:rFonts w:hint="eastAsia" w:ascii="宋体" w:hAnsi="宋体"/>
          <w:b w:val="0"/>
          <w:bCs/>
          <w:sz w:val="24"/>
          <w:szCs w:val="24"/>
          <w:lang w:val="en-US" w:eastAsia="zh-CN"/>
        </w:rPr>
        <w:t xml:space="preserve"> </w:t>
      </w:r>
      <w:r>
        <w:rPr>
          <w:rFonts w:hint="eastAsia" w:ascii="宋体" w:hAnsi="宋体"/>
          <w:b w:val="0"/>
          <w:bCs/>
          <w:sz w:val="24"/>
          <w:szCs w:val="24"/>
        </w:rPr>
        <w:t>乙方：</w:t>
      </w:r>
      <w:r>
        <w:rPr>
          <w:rFonts w:hint="eastAsia" w:ascii="宋体" w:hAnsi="宋体"/>
          <w:b w:val="0"/>
          <w:bCs/>
          <w:sz w:val="24"/>
          <w:szCs w:val="24"/>
          <w:lang w:val="en-US" w:eastAsia="zh-CN"/>
        </w:rPr>
        <w:t xml:space="preserve"> </w:t>
      </w:r>
    </w:p>
    <w:p>
      <w:pPr>
        <w:tabs>
          <w:tab w:val="left" w:pos="993"/>
        </w:tabs>
        <w:spacing w:line="240" w:lineRule="auto"/>
        <w:rPr>
          <w:rFonts w:hint="eastAsia" w:ascii="宋体" w:hAnsi="宋体"/>
          <w:b w:val="0"/>
          <w:bCs/>
          <w:sz w:val="24"/>
          <w:szCs w:val="24"/>
        </w:rPr>
      </w:pPr>
    </w:p>
    <w:p>
      <w:pPr>
        <w:tabs>
          <w:tab w:val="left" w:pos="993"/>
        </w:tabs>
        <w:spacing w:line="240" w:lineRule="auto"/>
        <w:rPr>
          <w:rFonts w:hint="eastAsia" w:ascii="宋体" w:hAnsi="宋体"/>
          <w:b w:val="0"/>
          <w:bCs/>
          <w:sz w:val="24"/>
          <w:szCs w:val="24"/>
        </w:rPr>
      </w:pPr>
    </w:p>
    <w:p>
      <w:pPr>
        <w:tabs>
          <w:tab w:val="left" w:pos="993"/>
        </w:tabs>
        <w:spacing w:line="240" w:lineRule="auto"/>
        <w:rPr>
          <w:rFonts w:ascii="宋体" w:hAnsi="宋体"/>
          <w:b w:val="0"/>
          <w:bCs/>
          <w:sz w:val="24"/>
          <w:szCs w:val="24"/>
        </w:rPr>
      </w:pPr>
      <w:r>
        <w:rPr>
          <w:rFonts w:hint="eastAsia" w:ascii="宋体" w:hAnsi="宋体"/>
          <w:b w:val="0"/>
          <w:bCs/>
          <w:sz w:val="24"/>
          <w:szCs w:val="24"/>
        </w:rPr>
        <w:t>法定代表人或授权代表（签字）：</w:t>
      </w:r>
      <w:r>
        <w:rPr>
          <w:rFonts w:ascii="宋体" w:hAnsi="宋体"/>
          <w:b w:val="0"/>
          <w:bCs/>
          <w:sz w:val="24"/>
          <w:szCs w:val="24"/>
        </w:rPr>
        <w:tab/>
      </w:r>
      <w:r>
        <w:rPr>
          <w:rFonts w:ascii="宋体" w:hAnsi="宋体"/>
          <w:b w:val="0"/>
          <w:bCs/>
          <w:sz w:val="24"/>
          <w:szCs w:val="24"/>
        </w:rPr>
        <w:tab/>
      </w:r>
      <w:r>
        <w:rPr>
          <w:rFonts w:ascii="宋体" w:hAnsi="宋体"/>
          <w:b w:val="0"/>
          <w:bCs/>
          <w:sz w:val="24"/>
          <w:szCs w:val="24"/>
        </w:rPr>
        <w:tab/>
      </w:r>
      <w:r>
        <w:rPr>
          <w:rFonts w:hint="eastAsia" w:ascii="宋体" w:hAnsi="宋体"/>
          <w:b w:val="0"/>
          <w:bCs/>
          <w:sz w:val="24"/>
          <w:szCs w:val="24"/>
          <w:lang w:val="en-US" w:eastAsia="zh-CN"/>
        </w:rPr>
        <w:t xml:space="preserve"> </w:t>
      </w:r>
      <w:r>
        <w:rPr>
          <w:rFonts w:hint="eastAsia" w:ascii="宋体" w:hAnsi="宋体"/>
          <w:b w:val="0"/>
          <w:bCs/>
          <w:sz w:val="24"/>
          <w:szCs w:val="24"/>
        </w:rPr>
        <w:t xml:space="preserve">法定代表人或授权代表（签字）：                </w:t>
      </w:r>
    </w:p>
    <w:p>
      <w:pPr>
        <w:tabs>
          <w:tab w:val="left" w:pos="993"/>
        </w:tabs>
        <w:spacing w:line="240" w:lineRule="auto"/>
        <w:rPr>
          <w:rFonts w:hint="eastAsia" w:ascii="宋体" w:hAnsi="宋体"/>
          <w:b w:val="0"/>
          <w:bCs/>
          <w:sz w:val="24"/>
          <w:szCs w:val="24"/>
        </w:rPr>
      </w:pPr>
    </w:p>
    <w:p>
      <w:pPr>
        <w:tabs>
          <w:tab w:val="left" w:pos="993"/>
        </w:tabs>
        <w:spacing w:line="240" w:lineRule="auto"/>
        <w:rPr>
          <w:rFonts w:hint="eastAsia" w:ascii="宋体" w:hAnsi="宋体"/>
          <w:b w:val="0"/>
          <w:bCs/>
          <w:sz w:val="24"/>
          <w:szCs w:val="24"/>
        </w:rPr>
      </w:pPr>
    </w:p>
    <w:p>
      <w:pPr>
        <w:tabs>
          <w:tab w:val="left" w:pos="993"/>
        </w:tabs>
        <w:spacing w:line="240" w:lineRule="auto"/>
        <w:rPr>
          <w:rFonts w:hint="eastAsia" w:ascii="宋体" w:hAnsi="宋体"/>
          <w:b w:val="0"/>
          <w:bCs/>
          <w:sz w:val="24"/>
          <w:szCs w:val="24"/>
        </w:rPr>
      </w:pPr>
      <w:r>
        <w:rPr>
          <w:rFonts w:hint="eastAsia" w:ascii="宋体" w:hAnsi="宋体"/>
          <w:b w:val="0"/>
          <w:bCs/>
          <w:sz w:val="24"/>
          <w:szCs w:val="24"/>
        </w:rPr>
        <w:t>签订日期：</w:t>
      </w:r>
      <w:r>
        <w:rPr>
          <w:rFonts w:hint="eastAsia" w:ascii="宋体" w:hAnsi="宋体"/>
          <w:b w:val="0"/>
          <w:bCs/>
          <w:sz w:val="24"/>
          <w:szCs w:val="24"/>
        </w:rPr>
        <w:tab/>
      </w:r>
      <w:r>
        <w:rPr>
          <w:rFonts w:hint="eastAsia" w:ascii="宋体" w:hAnsi="宋体"/>
          <w:b w:val="0"/>
          <w:bCs/>
          <w:sz w:val="24"/>
          <w:szCs w:val="24"/>
        </w:rPr>
        <w:tab/>
      </w:r>
      <w:r>
        <w:rPr>
          <w:rFonts w:ascii="宋体" w:hAnsi="宋体"/>
          <w:b w:val="0"/>
          <w:bCs/>
          <w:sz w:val="24"/>
          <w:szCs w:val="24"/>
        </w:rPr>
        <w:tab/>
      </w:r>
      <w:r>
        <w:rPr>
          <w:rFonts w:ascii="宋体" w:hAnsi="宋体"/>
          <w:b w:val="0"/>
          <w:bCs/>
          <w:sz w:val="24"/>
          <w:szCs w:val="24"/>
        </w:rPr>
        <w:tab/>
      </w:r>
      <w:r>
        <w:rPr>
          <w:rFonts w:ascii="宋体" w:hAnsi="宋体"/>
          <w:b w:val="0"/>
          <w:bCs/>
          <w:sz w:val="24"/>
          <w:szCs w:val="24"/>
        </w:rPr>
        <w:tab/>
      </w:r>
      <w:r>
        <w:rPr>
          <w:rFonts w:ascii="宋体" w:hAnsi="宋体"/>
          <w:b w:val="0"/>
          <w:bCs/>
          <w:sz w:val="24"/>
          <w:szCs w:val="24"/>
        </w:rPr>
        <w:tab/>
      </w:r>
      <w:r>
        <w:rPr>
          <w:rFonts w:ascii="宋体" w:hAnsi="宋体"/>
          <w:b w:val="0"/>
          <w:bCs/>
          <w:sz w:val="24"/>
          <w:szCs w:val="24"/>
        </w:rPr>
        <w:tab/>
      </w:r>
      <w:r>
        <w:rPr>
          <w:rFonts w:ascii="宋体" w:hAnsi="宋体"/>
          <w:b w:val="0"/>
          <w:bCs/>
          <w:sz w:val="24"/>
          <w:szCs w:val="24"/>
        </w:rPr>
        <w:tab/>
      </w:r>
      <w:r>
        <w:rPr>
          <w:rFonts w:hint="eastAsia" w:ascii="宋体" w:hAnsi="宋体"/>
          <w:b w:val="0"/>
          <w:bCs/>
          <w:sz w:val="24"/>
          <w:szCs w:val="24"/>
          <w:lang w:val="en-US" w:eastAsia="zh-CN"/>
        </w:rPr>
        <w:t xml:space="preserve"> </w:t>
      </w:r>
      <w:r>
        <w:rPr>
          <w:rFonts w:hint="eastAsia" w:ascii="宋体" w:hAnsi="宋体"/>
          <w:b w:val="0"/>
          <w:bCs/>
          <w:sz w:val="24"/>
          <w:szCs w:val="24"/>
        </w:rPr>
        <w:t>签订日期：</w:t>
      </w:r>
      <w:r>
        <w:rPr>
          <w:rFonts w:hint="eastAsia" w:ascii="宋体" w:hAnsi="宋体"/>
          <w:b w:val="0"/>
          <w:bCs/>
          <w:sz w:val="24"/>
          <w:szCs w:val="24"/>
        </w:rPr>
        <w:tab/>
      </w:r>
    </w:p>
    <w:p>
      <w:pPr>
        <w:bidi w:val="0"/>
        <w:spacing w:line="240" w:lineRule="auto"/>
        <w:rPr>
          <w:rFonts w:hint="eastAsia"/>
          <w:lang w:eastAsia="zh-CN"/>
        </w:rPr>
      </w:pPr>
    </w:p>
    <w:p>
      <w:pPr>
        <w:spacing w:line="240" w:lineRule="auto"/>
        <w:rPr>
          <w:rFonts w:hint="eastAsia" w:ascii="宋体" w:hAnsi="宋体" w:eastAsia="宋体" w:cs="宋体"/>
          <w:color w:val="auto"/>
          <w:lang w:eastAsia="zh-CN"/>
        </w:rPr>
      </w:pPr>
      <w:bookmarkStart w:id="115" w:name="_Toc9283"/>
      <w:r>
        <w:rPr>
          <w:rFonts w:hint="eastAsia" w:ascii="宋体" w:hAnsi="宋体" w:eastAsia="宋体" w:cs="宋体"/>
          <w:color w:val="auto"/>
          <w:lang w:eastAsia="zh-CN"/>
        </w:rPr>
        <w:br w:type="page"/>
      </w:r>
    </w:p>
    <w:p>
      <w:pPr>
        <w:pStyle w:val="58"/>
        <w:rPr>
          <w:rFonts w:hint="eastAsia" w:ascii="宋体" w:hAnsi="宋体" w:eastAsia="宋体" w:cs="宋体"/>
          <w:color w:val="auto"/>
          <w:lang w:eastAsia="zh-CN"/>
        </w:rPr>
      </w:pPr>
      <w:r>
        <w:rPr>
          <w:rFonts w:hint="eastAsia" w:ascii="宋体" w:hAnsi="宋体" w:eastAsia="宋体" w:cs="宋体"/>
          <w:color w:val="auto"/>
          <w:lang w:eastAsia="zh-CN"/>
        </w:rPr>
        <w:t xml:space="preserve">第五章  </w:t>
      </w:r>
      <w:bookmarkEnd w:id="111"/>
      <w:r>
        <w:rPr>
          <w:rFonts w:hint="eastAsia" w:ascii="宋体" w:hAnsi="宋体" w:eastAsia="宋体" w:cs="宋体"/>
          <w:color w:val="auto"/>
          <w:lang w:eastAsia="zh-CN"/>
        </w:rPr>
        <w:t>资格审查与评审办法</w:t>
      </w:r>
      <w:bookmarkEnd w:id="112"/>
      <w:bookmarkEnd w:id="113"/>
      <w:bookmarkEnd w:id="114"/>
      <w:bookmarkEnd w:id="115"/>
    </w:p>
    <w:p>
      <w:pPr>
        <w:keepNext w:val="0"/>
        <w:keepLines w:val="0"/>
        <w:pageBreakBefore w:val="0"/>
        <w:kinsoku/>
        <w:wordWrap w:val="0"/>
        <w:overflowPunct/>
        <w:topLinePunct w:val="0"/>
        <w:autoSpaceDE/>
        <w:autoSpaceDN/>
        <w:bidi w:val="0"/>
        <w:adjustRightInd/>
        <w:snapToGrid/>
        <w:spacing w:line="288" w:lineRule="auto"/>
        <w:textAlignment w:val="auto"/>
        <w:outlineLvl w:val="9"/>
        <w:rPr>
          <w:rFonts w:hint="eastAsia" w:ascii="宋体" w:hAnsi="宋体" w:eastAsia="宋体" w:cs="宋体"/>
          <w:color w:val="auto"/>
          <w:sz w:val="24"/>
          <w:szCs w:val="24"/>
        </w:rPr>
      </w:pPr>
      <w:bookmarkStart w:id="116" w:name="_Toc10091"/>
      <w:bookmarkStart w:id="117" w:name="_Toc26237"/>
      <w:bookmarkStart w:id="118" w:name="_Toc1662556"/>
      <w:bookmarkStart w:id="119" w:name="_Toc11103"/>
      <w:r>
        <w:rPr>
          <w:rFonts w:hint="eastAsia" w:ascii="宋体" w:hAnsi="宋体" w:eastAsia="宋体" w:cs="宋体"/>
          <w:b/>
          <w:bCs/>
          <w:color w:val="auto"/>
          <w:sz w:val="28"/>
          <w:szCs w:val="28"/>
        </w:rPr>
        <w:t>1</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lang w:eastAsia="zh-CN"/>
        </w:rPr>
        <w:t>评审</w:t>
      </w:r>
      <w:r>
        <w:rPr>
          <w:rFonts w:hint="eastAsia" w:ascii="宋体" w:hAnsi="宋体" w:eastAsia="宋体" w:cs="宋体"/>
          <w:b/>
          <w:bCs/>
          <w:color w:val="auto"/>
          <w:sz w:val="28"/>
          <w:szCs w:val="28"/>
        </w:rPr>
        <w:t>方法及标准</w:t>
      </w:r>
      <w:bookmarkEnd w:id="116"/>
      <w:bookmarkEnd w:id="117"/>
      <w:bookmarkEnd w:id="118"/>
      <w:bookmarkEnd w:id="119"/>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本次资格审查和符合性审查采用合格制，评审方法采用</w:t>
      </w:r>
      <w:r>
        <w:rPr>
          <w:rFonts w:hint="eastAsia" w:ascii="宋体" w:hAnsi="宋体" w:eastAsia="宋体" w:cs="宋体"/>
          <w:color w:val="auto"/>
          <w:spacing w:val="14"/>
          <w:sz w:val="24"/>
          <w:szCs w:val="24"/>
          <w:lang w:eastAsia="zh-CN"/>
        </w:rPr>
        <w:t>最低评审价</w:t>
      </w:r>
      <w:r>
        <w:rPr>
          <w:rFonts w:hint="eastAsia" w:ascii="宋体" w:hAnsi="宋体" w:eastAsia="宋体" w:cs="宋体"/>
          <w:color w:val="auto"/>
          <w:spacing w:val="14"/>
          <w:sz w:val="24"/>
          <w:szCs w:val="24"/>
        </w:rPr>
        <w:t>法。谈判小组对满足</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实质性要求的响应文件，按</w:t>
      </w:r>
      <w:r>
        <w:rPr>
          <w:rFonts w:hint="eastAsia" w:ascii="宋体" w:hAnsi="宋体" w:eastAsia="宋体" w:cs="宋体"/>
          <w:color w:val="auto"/>
          <w:spacing w:val="14"/>
          <w:sz w:val="24"/>
          <w:szCs w:val="24"/>
          <w:lang w:eastAsia="zh-CN"/>
        </w:rPr>
        <w:t>评审报价</w:t>
      </w:r>
      <w:r>
        <w:rPr>
          <w:rFonts w:hint="eastAsia" w:ascii="宋体" w:hAnsi="宋体" w:eastAsia="宋体" w:cs="宋体"/>
          <w:color w:val="auto"/>
          <w:spacing w:val="14"/>
          <w:sz w:val="24"/>
          <w:szCs w:val="24"/>
        </w:rPr>
        <w:t>由低到高顺序推荐成交候选人，或根据采购人授权直接确定成交供应商，但最后报价明显低于其他通过符合性审查供应商的报价，有可能影响产品质量或者不能诚信履约的除外。</w:t>
      </w:r>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资格性审查</w:t>
      </w:r>
      <w:r>
        <w:rPr>
          <w:rFonts w:hint="eastAsia" w:ascii="宋体" w:hAnsi="宋体" w:eastAsia="宋体" w:cs="宋体"/>
          <w:color w:val="auto"/>
          <w:spacing w:val="14"/>
          <w:sz w:val="24"/>
          <w:szCs w:val="24"/>
          <w:lang w:eastAsia="zh-CN"/>
        </w:rPr>
        <w:t>及</w:t>
      </w:r>
      <w:r>
        <w:rPr>
          <w:rFonts w:hint="eastAsia" w:ascii="宋体" w:hAnsi="宋体" w:eastAsia="宋体" w:cs="宋体"/>
          <w:color w:val="auto"/>
          <w:spacing w:val="14"/>
          <w:sz w:val="24"/>
          <w:szCs w:val="24"/>
        </w:rPr>
        <w:t>符合性审查标准：见</w:t>
      </w:r>
      <w:r>
        <w:rPr>
          <w:rFonts w:hint="eastAsia" w:ascii="宋体" w:hAnsi="宋体" w:eastAsia="宋体" w:cs="宋体"/>
          <w:color w:val="auto"/>
          <w:spacing w:val="14"/>
          <w:sz w:val="24"/>
          <w:szCs w:val="24"/>
          <w:lang w:eastAsia="zh-CN"/>
        </w:rPr>
        <w:t>第六章</w:t>
      </w:r>
      <w:r>
        <w:rPr>
          <w:rFonts w:hint="eastAsia" w:ascii="宋体" w:hAnsi="宋体" w:eastAsia="宋体" w:cs="宋体"/>
          <w:color w:val="auto"/>
          <w:spacing w:val="14"/>
          <w:sz w:val="24"/>
          <w:szCs w:val="24"/>
        </w:rPr>
        <w:t>。</w:t>
      </w:r>
    </w:p>
    <w:p>
      <w:pPr>
        <w:keepNext w:val="0"/>
        <w:keepLines w:val="0"/>
        <w:pageBreakBefore w:val="0"/>
        <w:kinsoku/>
        <w:wordWrap w:val="0"/>
        <w:overflowPunct/>
        <w:topLinePunct w:val="0"/>
        <w:autoSpaceDE/>
        <w:autoSpaceDN/>
        <w:bidi w:val="0"/>
        <w:adjustRightInd/>
        <w:snapToGrid/>
        <w:spacing w:line="288" w:lineRule="auto"/>
        <w:textAlignment w:val="auto"/>
        <w:outlineLvl w:val="9"/>
        <w:rPr>
          <w:rFonts w:hint="eastAsia" w:ascii="宋体" w:hAnsi="宋体" w:eastAsia="宋体" w:cs="宋体"/>
          <w:b/>
          <w:bCs/>
          <w:color w:val="auto"/>
          <w:sz w:val="28"/>
          <w:szCs w:val="28"/>
          <w:lang w:val="en-US" w:eastAsia="zh-CN" w:bidi="ar-SA"/>
        </w:rPr>
      </w:pPr>
      <w:bookmarkStart w:id="120" w:name="_Toc14563"/>
      <w:bookmarkStart w:id="121" w:name="_Toc1662557"/>
      <w:bookmarkStart w:id="122" w:name="_Toc3801"/>
      <w:bookmarkStart w:id="123" w:name="_Toc17763"/>
      <w:r>
        <w:rPr>
          <w:rFonts w:hint="eastAsia" w:ascii="宋体" w:hAnsi="宋体" w:eastAsia="宋体" w:cs="宋体"/>
          <w:b/>
          <w:bCs/>
          <w:color w:val="auto"/>
          <w:sz w:val="28"/>
          <w:szCs w:val="28"/>
          <w:lang w:val="en-US" w:eastAsia="zh-CN" w:bidi="ar-SA"/>
        </w:rPr>
        <w:t>2.评审程序</w:t>
      </w:r>
      <w:bookmarkEnd w:id="120"/>
      <w:bookmarkEnd w:id="121"/>
      <w:bookmarkEnd w:id="122"/>
      <w:bookmarkEnd w:id="123"/>
    </w:p>
    <w:p>
      <w:pPr>
        <w:keepNext w:val="0"/>
        <w:keepLines w:val="0"/>
        <w:pageBreakBefore w:val="0"/>
        <w:kinsoku/>
        <w:wordWrap w:val="0"/>
        <w:overflowPunct/>
        <w:topLinePunct w:val="0"/>
        <w:autoSpaceDE/>
        <w:autoSpaceDN/>
        <w:bidi w:val="0"/>
        <w:adjustRightInd/>
        <w:snapToGrid/>
        <w:spacing w:line="288" w:lineRule="auto"/>
        <w:textAlignment w:val="auto"/>
        <w:outlineLvl w:val="9"/>
        <w:rPr>
          <w:rFonts w:hint="eastAsia" w:ascii="宋体" w:hAnsi="宋体" w:eastAsia="宋体" w:cs="宋体"/>
          <w:b/>
          <w:bCs/>
          <w:color w:val="auto"/>
          <w:sz w:val="24"/>
          <w:szCs w:val="24"/>
        </w:rPr>
      </w:pPr>
      <w:bookmarkStart w:id="124" w:name="_Toc1662558"/>
      <w:r>
        <w:rPr>
          <w:rFonts w:hint="eastAsia" w:ascii="宋体" w:hAnsi="宋体" w:eastAsia="宋体" w:cs="宋体"/>
          <w:b/>
          <w:bCs/>
          <w:color w:val="auto"/>
          <w:sz w:val="24"/>
          <w:szCs w:val="24"/>
          <w:lang w:eastAsia="zh-CN"/>
        </w:rPr>
        <w:t>2</w:t>
      </w:r>
      <w:r>
        <w:rPr>
          <w:rFonts w:hint="eastAsia" w:ascii="宋体" w:hAnsi="宋体" w:eastAsia="宋体" w:cs="宋体"/>
          <w:b/>
          <w:bCs/>
          <w:color w:val="auto"/>
          <w:sz w:val="24"/>
          <w:szCs w:val="24"/>
        </w:rPr>
        <w:t>.1 资格性审查与符合性审查</w:t>
      </w:r>
      <w:bookmarkEnd w:id="124"/>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2</w:t>
      </w:r>
      <w:r>
        <w:rPr>
          <w:rFonts w:hint="eastAsia" w:ascii="宋体" w:hAnsi="宋体" w:eastAsia="宋体" w:cs="宋体"/>
          <w:color w:val="auto"/>
          <w:spacing w:val="14"/>
          <w:sz w:val="24"/>
          <w:szCs w:val="24"/>
        </w:rPr>
        <w:t>.1.1</w:t>
      </w:r>
      <w:r>
        <w:rPr>
          <w:rFonts w:hint="eastAsia" w:ascii="宋体" w:hAnsi="宋体" w:eastAsia="宋体" w:cs="宋体"/>
          <w:color w:val="auto"/>
          <w:spacing w:val="14"/>
          <w:sz w:val="24"/>
          <w:szCs w:val="24"/>
          <w:lang w:eastAsia="zh-CN"/>
        </w:rPr>
        <w:t>谈判小组</w:t>
      </w:r>
      <w:r>
        <w:rPr>
          <w:rFonts w:hint="eastAsia" w:ascii="宋体" w:hAnsi="宋体" w:eastAsia="宋体" w:cs="宋体"/>
          <w:color w:val="auto"/>
          <w:spacing w:val="14"/>
          <w:sz w:val="24"/>
          <w:szCs w:val="24"/>
        </w:rPr>
        <w:t>依据</w:t>
      </w:r>
      <w:r>
        <w:rPr>
          <w:rFonts w:hint="eastAsia" w:ascii="宋体" w:hAnsi="宋体" w:eastAsia="宋体" w:cs="宋体"/>
          <w:color w:val="auto"/>
          <w:spacing w:val="14"/>
          <w:sz w:val="24"/>
          <w:szCs w:val="24"/>
          <w:lang w:eastAsia="zh-CN"/>
        </w:rPr>
        <w:t>第六</w:t>
      </w:r>
      <w:r>
        <w:rPr>
          <w:rFonts w:hint="eastAsia" w:ascii="宋体" w:hAnsi="宋体" w:eastAsia="宋体" w:cs="宋体"/>
          <w:color w:val="auto"/>
          <w:spacing w:val="14"/>
          <w:sz w:val="24"/>
          <w:szCs w:val="24"/>
        </w:rPr>
        <w:t>章规定的标准对响应文件进行审查。有一项不符合审查标准的，应当否决其</w:t>
      </w:r>
      <w:r>
        <w:rPr>
          <w:rFonts w:hint="eastAsia" w:ascii="宋体" w:hAnsi="宋体" w:eastAsia="宋体" w:cs="宋体"/>
          <w:color w:val="auto"/>
          <w:spacing w:val="14"/>
          <w:sz w:val="24"/>
          <w:szCs w:val="24"/>
          <w:lang w:eastAsia="zh-CN"/>
        </w:rPr>
        <w:t>响应文件</w:t>
      </w:r>
      <w:r>
        <w:rPr>
          <w:rFonts w:hint="eastAsia" w:ascii="宋体" w:hAnsi="宋体" w:eastAsia="宋体" w:cs="宋体"/>
          <w:color w:val="auto"/>
          <w:spacing w:val="14"/>
          <w:sz w:val="24"/>
          <w:szCs w:val="24"/>
        </w:rPr>
        <w:t>。</w:t>
      </w:r>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2</w:t>
      </w:r>
      <w:r>
        <w:rPr>
          <w:rFonts w:hint="eastAsia" w:ascii="宋体" w:hAnsi="宋体" w:eastAsia="宋体" w:cs="宋体"/>
          <w:color w:val="auto"/>
          <w:spacing w:val="14"/>
          <w:sz w:val="24"/>
          <w:szCs w:val="24"/>
        </w:rPr>
        <w:t>.1.2 供应商有以下情形之一的，</w:t>
      </w:r>
      <w:r>
        <w:rPr>
          <w:rFonts w:hint="eastAsia" w:ascii="宋体" w:hAnsi="宋体" w:eastAsia="宋体" w:cs="宋体"/>
          <w:color w:val="auto"/>
          <w:spacing w:val="14"/>
          <w:sz w:val="24"/>
          <w:szCs w:val="24"/>
          <w:lang w:eastAsia="zh-CN"/>
        </w:rPr>
        <w:t>谈判小组</w:t>
      </w:r>
      <w:r>
        <w:rPr>
          <w:rFonts w:hint="eastAsia" w:ascii="宋体" w:hAnsi="宋体" w:eastAsia="宋体" w:cs="宋体"/>
          <w:color w:val="auto"/>
          <w:spacing w:val="14"/>
          <w:sz w:val="24"/>
          <w:szCs w:val="24"/>
        </w:rPr>
        <w:t>应当否决其</w:t>
      </w:r>
      <w:r>
        <w:rPr>
          <w:rFonts w:hint="eastAsia" w:ascii="宋体" w:hAnsi="宋体" w:eastAsia="宋体" w:cs="宋体"/>
          <w:color w:val="auto"/>
          <w:spacing w:val="14"/>
          <w:sz w:val="24"/>
          <w:szCs w:val="24"/>
          <w:lang w:eastAsia="zh-CN"/>
        </w:rPr>
        <w:t>响应文件</w:t>
      </w:r>
      <w:r>
        <w:rPr>
          <w:rFonts w:hint="eastAsia" w:ascii="宋体" w:hAnsi="宋体" w:eastAsia="宋体" w:cs="宋体"/>
          <w:color w:val="auto"/>
          <w:spacing w:val="14"/>
          <w:sz w:val="24"/>
          <w:szCs w:val="24"/>
        </w:rPr>
        <w:t>：</w:t>
      </w:r>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（1）响应文件没有对</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的实质性要求和条件作出响应，或者对</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的偏差超出</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规定的偏差范围或最高项数；</w:t>
      </w:r>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（2）有串通、弄虚作假、行贿等违法行为。</w:t>
      </w:r>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2</w:t>
      </w:r>
      <w:r>
        <w:rPr>
          <w:rFonts w:hint="eastAsia" w:ascii="宋体" w:hAnsi="宋体" w:eastAsia="宋体" w:cs="宋体"/>
          <w:color w:val="auto"/>
          <w:spacing w:val="14"/>
          <w:sz w:val="24"/>
          <w:szCs w:val="24"/>
        </w:rPr>
        <w:t>.1.3有下列情形之一的，视为供应商串通，其</w:t>
      </w:r>
      <w:r>
        <w:rPr>
          <w:rFonts w:hint="eastAsia" w:ascii="宋体" w:hAnsi="宋体" w:eastAsia="宋体" w:cs="宋体"/>
          <w:color w:val="auto"/>
          <w:spacing w:val="14"/>
          <w:sz w:val="24"/>
          <w:szCs w:val="24"/>
          <w:lang w:eastAsia="zh-CN"/>
        </w:rPr>
        <w:t>响应文件</w:t>
      </w:r>
      <w:r>
        <w:rPr>
          <w:rFonts w:hint="eastAsia" w:ascii="宋体" w:hAnsi="宋体" w:eastAsia="宋体" w:cs="宋体"/>
          <w:color w:val="auto"/>
          <w:spacing w:val="14"/>
          <w:sz w:val="24"/>
          <w:szCs w:val="24"/>
        </w:rPr>
        <w:t>无效：</w:t>
      </w:r>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val="en-US" w:eastAsia="zh-CN"/>
        </w:rPr>
        <w:t>（1）不同供应商的电子投标（响应）文件上传计算机的网卡MAC地址、CPU序列号和硬盘序列号等硬件信息相同的；</w:t>
      </w:r>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val="en-US" w:eastAsia="zh-CN"/>
        </w:rPr>
        <w:t>（2）不同供应商的投标（响应）文件由同一电子设备编制、打印加密或者上传；</w:t>
      </w:r>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val="en-US" w:eastAsia="zh-CN"/>
        </w:rPr>
        <w:t>（3）不同供应商的投标（响应）文件由同一电子设备打印、复印；</w:t>
      </w:r>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val="en-US" w:eastAsia="zh-CN"/>
        </w:rPr>
        <w:t>（4）不同供应商的投标（响应）文件由同一人送达或者分发，或者不同供应商联系人为同一人或不同联系人的联系电话一致的；</w:t>
      </w:r>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val="en-US" w:eastAsia="zh-CN"/>
        </w:rPr>
        <w:t>（5）不同供应商的投标（响应）文件的内容存在两处以上细节错误一致；</w:t>
      </w:r>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val="en-US" w:eastAsia="zh-CN"/>
        </w:rPr>
        <w:t>（6）不同供应商的法定代表人、委托代理人、项目经理、项目负责人等由同一个单位缴纳社会保险或者领取报酬的；</w:t>
      </w:r>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val="en-US" w:eastAsia="zh-CN"/>
        </w:rPr>
        <w:t>（7）不同供应商投标（响应）文件中法定代表人或者负责人签字出自同一人之手；</w:t>
      </w:r>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val="en-US" w:eastAsia="zh-CN"/>
        </w:rPr>
        <w:t>（8）其他涉嫌串通的情形。</w:t>
      </w:r>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2</w:t>
      </w:r>
      <w:r>
        <w:rPr>
          <w:rFonts w:hint="eastAsia" w:ascii="宋体" w:hAnsi="宋体" w:eastAsia="宋体" w:cs="宋体"/>
          <w:color w:val="auto"/>
          <w:spacing w:val="14"/>
          <w:sz w:val="24"/>
          <w:szCs w:val="24"/>
        </w:rPr>
        <w:t>.1.4响应文件报价出现前后不一致的</w:t>
      </w:r>
      <w:r>
        <w:rPr>
          <w:rFonts w:hint="eastAsia" w:ascii="宋体" w:hAnsi="宋体" w:eastAsia="宋体" w:cs="宋体"/>
          <w:color w:val="auto"/>
          <w:spacing w:val="14"/>
          <w:sz w:val="24"/>
          <w:szCs w:val="24"/>
          <w:lang w:eastAsia="zh-CN"/>
        </w:rPr>
        <w:t>，谈判小组</w:t>
      </w:r>
      <w:r>
        <w:rPr>
          <w:rFonts w:hint="eastAsia" w:ascii="宋体" w:hAnsi="宋体" w:eastAsia="宋体" w:cs="宋体"/>
          <w:color w:val="auto"/>
          <w:spacing w:val="14"/>
          <w:sz w:val="24"/>
          <w:szCs w:val="24"/>
        </w:rPr>
        <w:t>按以下原则要求供应商对报价进行修正，并要求供应商书面澄清确认。供应商拒不澄清确认的，</w:t>
      </w:r>
      <w:r>
        <w:rPr>
          <w:rFonts w:hint="eastAsia" w:ascii="宋体" w:hAnsi="宋体" w:eastAsia="宋体" w:cs="宋体"/>
          <w:color w:val="auto"/>
          <w:spacing w:val="14"/>
          <w:sz w:val="24"/>
          <w:szCs w:val="24"/>
          <w:lang w:eastAsia="zh-CN"/>
        </w:rPr>
        <w:t>谈判小组</w:t>
      </w:r>
      <w:r>
        <w:rPr>
          <w:rFonts w:hint="eastAsia" w:ascii="宋体" w:hAnsi="宋体" w:eastAsia="宋体" w:cs="宋体"/>
          <w:color w:val="auto"/>
          <w:spacing w:val="14"/>
          <w:sz w:val="24"/>
          <w:szCs w:val="24"/>
        </w:rPr>
        <w:t>应当否决其</w:t>
      </w:r>
      <w:r>
        <w:rPr>
          <w:rFonts w:hint="eastAsia" w:ascii="宋体" w:hAnsi="宋体" w:eastAsia="宋体" w:cs="宋体"/>
          <w:color w:val="auto"/>
          <w:spacing w:val="14"/>
          <w:sz w:val="24"/>
          <w:szCs w:val="24"/>
          <w:lang w:eastAsia="zh-CN"/>
        </w:rPr>
        <w:t>响应文件</w:t>
      </w:r>
      <w:r>
        <w:rPr>
          <w:rFonts w:hint="eastAsia" w:ascii="宋体" w:hAnsi="宋体" w:eastAsia="宋体" w:cs="宋体"/>
          <w:color w:val="auto"/>
          <w:spacing w:val="14"/>
          <w:sz w:val="24"/>
          <w:szCs w:val="24"/>
        </w:rPr>
        <w:t>：</w:t>
      </w:r>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（1）响应文件中</w:t>
      </w:r>
      <w:r>
        <w:rPr>
          <w:rFonts w:hint="eastAsia" w:ascii="宋体" w:hAnsi="宋体" w:eastAsia="宋体" w:cs="宋体"/>
          <w:color w:val="auto"/>
          <w:spacing w:val="14"/>
          <w:sz w:val="24"/>
          <w:szCs w:val="24"/>
          <w:lang w:eastAsia="zh-CN"/>
        </w:rPr>
        <w:t>报价</w:t>
      </w:r>
      <w:r>
        <w:rPr>
          <w:rFonts w:hint="eastAsia" w:ascii="宋体" w:hAnsi="宋体" w:eastAsia="宋体" w:cs="宋体"/>
          <w:color w:val="auto"/>
          <w:spacing w:val="14"/>
          <w:sz w:val="24"/>
          <w:szCs w:val="24"/>
        </w:rPr>
        <w:t>一览表内容与响应文件中相应内容不一致的，以</w:t>
      </w:r>
      <w:r>
        <w:rPr>
          <w:rFonts w:hint="eastAsia" w:ascii="宋体" w:hAnsi="宋体" w:eastAsia="宋体" w:cs="宋体"/>
          <w:color w:val="auto"/>
          <w:spacing w:val="14"/>
          <w:sz w:val="24"/>
          <w:szCs w:val="24"/>
          <w:lang w:eastAsia="zh-CN"/>
        </w:rPr>
        <w:t>报价</w:t>
      </w:r>
      <w:r>
        <w:rPr>
          <w:rFonts w:hint="eastAsia" w:ascii="宋体" w:hAnsi="宋体" w:eastAsia="宋体" w:cs="宋体"/>
          <w:color w:val="auto"/>
          <w:spacing w:val="14"/>
          <w:sz w:val="24"/>
          <w:szCs w:val="24"/>
        </w:rPr>
        <w:t>一览表为准；</w:t>
      </w:r>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（2）大写金额和小写金额不一致的，以大写金额为准；</w:t>
      </w:r>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（3）单价金额小数点或者百分比有明显错位的，以</w:t>
      </w:r>
      <w:r>
        <w:rPr>
          <w:rFonts w:hint="eastAsia" w:ascii="宋体" w:hAnsi="宋体" w:eastAsia="宋体" w:cs="宋体"/>
          <w:color w:val="auto"/>
          <w:spacing w:val="14"/>
          <w:sz w:val="24"/>
          <w:szCs w:val="24"/>
          <w:lang w:eastAsia="zh-CN"/>
        </w:rPr>
        <w:t>报价</w:t>
      </w:r>
      <w:r>
        <w:rPr>
          <w:rFonts w:hint="eastAsia" w:ascii="宋体" w:hAnsi="宋体" w:eastAsia="宋体" w:cs="宋体"/>
          <w:color w:val="auto"/>
          <w:spacing w:val="14"/>
          <w:sz w:val="24"/>
          <w:szCs w:val="24"/>
        </w:rPr>
        <w:t>一览表的总价为准，并修改单价；</w:t>
      </w:r>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（4）总价金额与按单价汇总金额不一致的，以单价金额计算结果为准。</w:t>
      </w:r>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同时出现两种以上不一致的，按照前款规定的顺序修正。</w:t>
      </w:r>
    </w:p>
    <w:p>
      <w:pPr>
        <w:keepNext w:val="0"/>
        <w:keepLines w:val="0"/>
        <w:pageBreakBefore w:val="0"/>
        <w:kinsoku/>
        <w:wordWrap w:val="0"/>
        <w:overflowPunct/>
        <w:topLinePunct w:val="0"/>
        <w:autoSpaceDE/>
        <w:autoSpaceDN/>
        <w:bidi w:val="0"/>
        <w:adjustRightInd/>
        <w:snapToGrid/>
        <w:spacing w:line="288" w:lineRule="auto"/>
        <w:textAlignment w:val="auto"/>
        <w:outlineLvl w:val="9"/>
        <w:rPr>
          <w:rFonts w:hint="eastAsia" w:ascii="宋体" w:hAnsi="宋体" w:eastAsia="宋体" w:cs="宋体"/>
          <w:b/>
          <w:bCs/>
          <w:color w:val="auto"/>
          <w:sz w:val="24"/>
          <w:szCs w:val="24"/>
          <w:lang w:eastAsia="zh-CN"/>
        </w:rPr>
      </w:pPr>
      <w:bookmarkStart w:id="125" w:name="_Toc1662559"/>
      <w:r>
        <w:rPr>
          <w:rFonts w:hint="eastAsia" w:ascii="宋体" w:hAnsi="宋体" w:eastAsia="宋体" w:cs="宋体"/>
          <w:b/>
          <w:bCs/>
          <w:color w:val="auto"/>
          <w:sz w:val="24"/>
          <w:szCs w:val="24"/>
          <w:lang w:eastAsia="zh-CN"/>
        </w:rPr>
        <w:t>2.2 响应文件的澄清</w:t>
      </w:r>
      <w:bookmarkEnd w:id="125"/>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2</w:t>
      </w:r>
      <w:r>
        <w:rPr>
          <w:rFonts w:hint="eastAsia" w:ascii="宋体" w:hAnsi="宋体" w:eastAsia="宋体" w:cs="宋体"/>
          <w:color w:val="auto"/>
          <w:spacing w:val="14"/>
          <w:sz w:val="24"/>
          <w:szCs w:val="24"/>
        </w:rPr>
        <w:t>.</w:t>
      </w:r>
      <w:r>
        <w:rPr>
          <w:rFonts w:hint="eastAsia" w:ascii="宋体" w:hAnsi="宋体" w:eastAsia="宋体" w:cs="宋体"/>
          <w:color w:val="auto"/>
          <w:spacing w:val="14"/>
          <w:sz w:val="24"/>
          <w:szCs w:val="24"/>
          <w:lang w:eastAsia="zh-CN"/>
        </w:rPr>
        <w:t>2</w:t>
      </w:r>
      <w:r>
        <w:rPr>
          <w:rFonts w:hint="eastAsia" w:ascii="宋体" w:hAnsi="宋体" w:eastAsia="宋体" w:cs="宋体"/>
          <w:color w:val="auto"/>
          <w:spacing w:val="14"/>
          <w:sz w:val="24"/>
          <w:szCs w:val="24"/>
        </w:rPr>
        <w:t>.1 在评审过程中，谈判小组可以书面形式要求供应商对响应文件中含义不明确、对同类问题表述不一致或者有明显文字和计算错误的内容作必要的澄清、说明或补正。澄清、说明或补正应以书面方式进行。谈判小组不接受供应商主动提出的澄清、说明或补正。</w:t>
      </w:r>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2</w:t>
      </w:r>
      <w:r>
        <w:rPr>
          <w:rFonts w:hint="eastAsia" w:ascii="宋体" w:hAnsi="宋体" w:eastAsia="宋体" w:cs="宋体"/>
          <w:color w:val="auto"/>
          <w:spacing w:val="14"/>
          <w:sz w:val="24"/>
          <w:szCs w:val="24"/>
        </w:rPr>
        <w:t>.</w:t>
      </w:r>
      <w:r>
        <w:rPr>
          <w:rFonts w:hint="eastAsia" w:ascii="宋体" w:hAnsi="宋体" w:eastAsia="宋体" w:cs="宋体"/>
          <w:color w:val="auto"/>
          <w:spacing w:val="14"/>
          <w:sz w:val="24"/>
          <w:szCs w:val="24"/>
          <w:lang w:eastAsia="zh-CN"/>
        </w:rPr>
        <w:t>2</w:t>
      </w:r>
      <w:r>
        <w:rPr>
          <w:rFonts w:hint="eastAsia" w:ascii="宋体" w:hAnsi="宋体" w:eastAsia="宋体" w:cs="宋体"/>
          <w:color w:val="auto"/>
          <w:spacing w:val="14"/>
          <w:sz w:val="24"/>
          <w:szCs w:val="24"/>
        </w:rPr>
        <w:t>.2 澄清、说明或补正不得超出响应文件的范围且不得改变响应文件的实质性内容，并构成响应文件的组成部分。</w:t>
      </w:r>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2</w:t>
      </w:r>
      <w:r>
        <w:rPr>
          <w:rFonts w:hint="eastAsia" w:ascii="宋体" w:hAnsi="宋体" w:eastAsia="宋体" w:cs="宋体"/>
          <w:color w:val="auto"/>
          <w:spacing w:val="14"/>
          <w:sz w:val="24"/>
          <w:szCs w:val="24"/>
        </w:rPr>
        <w:t>.</w:t>
      </w:r>
      <w:r>
        <w:rPr>
          <w:rFonts w:hint="eastAsia" w:ascii="宋体" w:hAnsi="宋体" w:eastAsia="宋体" w:cs="宋体"/>
          <w:color w:val="auto"/>
          <w:spacing w:val="14"/>
          <w:sz w:val="24"/>
          <w:szCs w:val="24"/>
          <w:lang w:eastAsia="zh-CN"/>
        </w:rPr>
        <w:t>2</w:t>
      </w:r>
      <w:r>
        <w:rPr>
          <w:rFonts w:hint="eastAsia" w:ascii="宋体" w:hAnsi="宋体" w:eastAsia="宋体" w:cs="宋体"/>
          <w:color w:val="auto"/>
          <w:spacing w:val="14"/>
          <w:sz w:val="24"/>
          <w:szCs w:val="24"/>
        </w:rPr>
        <w:t>.3 谈判小组对供应商提交的澄清、说明或补正有疑问的，可以要求供应商进一步澄清、说明或补正，直至满足谈判小组的要求。</w:t>
      </w:r>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2</w:t>
      </w:r>
      <w:r>
        <w:rPr>
          <w:rFonts w:hint="eastAsia" w:ascii="宋体" w:hAnsi="宋体" w:eastAsia="宋体" w:cs="宋体"/>
          <w:color w:val="auto"/>
          <w:spacing w:val="14"/>
          <w:sz w:val="24"/>
          <w:szCs w:val="24"/>
        </w:rPr>
        <w:t>.</w:t>
      </w:r>
      <w:r>
        <w:rPr>
          <w:rFonts w:hint="eastAsia" w:ascii="宋体" w:hAnsi="宋体" w:eastAsia="宋体" w:cs="宋体"/>
          <w:color w:val="auto"/>
          <w:spacing w:val="14"/>
          <w:sz w:val="24"/>
          <w:szCs w:val="24"/>
          <w:lang w:eastAsia="zh-CN"/>
        </w:rPr>
        <w:t>2</w:t>
      </w:r>
      <w:r>
        <w:rPr>
          <w:rFonts w:hint="eastAsia" w:ascii="宋体" w:hAnsi="宋体" w:eastAsia="宋体" w:cs="宋体"/>
          <w:color w:val="auto"/>
          <w:spacing w:val="14"/>
          <w:sz w:val="24"/>
          <w:szCs w:val="24"/>
        </w:rPr>
        <w:t>.4若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其作为无效响应文件处理。</w:t>
      </w:r>
    </w:p>
    <w:p>
      <w:pPr>
        <w:keepNext w:val="0"/>
        <w:keepLines w:val="0"/>
        <w:pageBreakBefore w:val="0"/>
        <w:kinsoku/>
        <w:wordWrap w:val="0"/>
        <w:overflowPunct/>
        <w:topLinePunct w:val="0"/>
        <w:autoSpaceDE/>
        <w:autoSpaceDN/>
        <w:bidi w:val="0"/>
        <w:adjustRightInd/>
        <w:snapToGrid/>
        <w:spacing w:line="288" w:lineRule="auto"/>
        <w:textAlignment w:val="auto"/>
        <w:outlineLvl w:val="9"/>
        <w:rPr>
          <w:rFonts w:hint="eastAsia" w:ascii="宋体" w:hAnsi="宋体" w:eastAsia="宋体" w:cs="宋体"/>
          <w:b/>
          <w:bCs/>
          <w:color w:val="auto"/>
          <w:sz w:val="24"/>
          <w:szCs w:val="24"/>
          <w:lang w:eastAsia="zh-CN"/>
        </w:rPr>
      </w:pPr>
      <w:bookmarkStart w:id="126" w:name="_Toc1662560"/>
      <w:r>
        <w:rPr>
          <w:rFonts w:hint="eastAsia" w:ascii="宋体" w:hAnsi="宋体" w:eastAsia="宋体" w:cs="宋体"/>
          <w:b/>
          <w:bCs/>
          <w:color w:val="auto"/>
          <w:sz w:val="24"/>
          <w:szCs w:val="24"/>
          <w:lang w:eastAsia="zh-CN"/>
        </w:rPr>
        <w:t>2.3价格扣除和评审报价</w:t>
      </w:r>
      <w:bookmarkEnd w:id="126"/>
      <w:r>
        <w:rPr>
          <w:rFonts w:hint="eastAsia" w:ascii="宋体" w:hAnsi="宋体" w:eastAsia="宋体" w:cs="宋体"/>
          <w:b/>
          <w:bCs/>
          <w:color w:val="auto"/>
          <w:sz w:val="24"/>
          <w:szCs w:val="24"/>
          <w:lang w:eastAsia="zh-CN"/>
        </w:rPr>
        <w:t xml:space="preserve"> </w:t>
      </w:r>
    </w:p>
    <w:p>
      <w:pPr>
        <w:pStyle w:val="156"/>
        <w:keepNext w:val="0"/>
        <w:keepLines w:val="0"/>
        <w:pageBreakBefore w:val="0"/>
        <w:kinsoku/>
        <w:wordWrap w:val="0"/>
        <w:overflowPunct/>
        <w:topLinePunct w:val="0"/>
        <w:autoSpaceDE/>
        <w:autoSpaceDN/>
        <w:bidi w:val="0"/>
        <w:adjustRightInd/>
        <w:snapToGrid/>
        <w:spacing w:line="288" w:lineRule="auto"/>
        <w:textAlignment w:val="auto"/>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lang w:eastAsia="zh-CN"/>
        </w:rPr>
        <w:t>2</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14"/>
          <w:sz w:val="24"/>
          <w:szCs w:val="24"/>
          <w:highlight w:val="none"/>
          <w:lang w:eastAsia="zh-CN"/>
        </w:rPr>
        <w:t>3</w:t>
      </w:r>
      <w:r>
        <w:rPr>
          <w:rFonts w:hint="eastAsia" w:ascii="宋体" w:hAnsi="宋体" w:eastAsia="宋体" w:cs="宋体"/>
          <w:color w:val="auto"/>
          <w:spacing w:val="14"/>
          <w:sz w:val="24"/>
          <w:szCs w:val="24"/>
          <w:highlight w:val="none"/>
        </w:rPr>
        <w:t>.1价格扣除</w:t>
      </w:r>
    </w:p>
    <w:p>
      <w:pPr>
        <w:keepNext w:val="0"/>
        <w:keepLines w:val="0"/>
        <w:pageBreakBefore w:val="0"/>
        <w:kinsoku/>
        <w:wordWrap w:val="0"/>
        <w:overflowPunct/>
        <w:topLinePunct w:val="0"/>
        <w:autoSpaceDE/>
        <w:autoSpaceDN/>
        <w:bidi w:val="0"/>
        <w:adjustRightInd/>
        <w:snapToGrid/>
        <w:spacing w:line="288" w:lineRule="auto"/>
        <w:ind w:firstLine="474" w:firstLineChars="200"/>
        <w:textAlignment w:val="auto"/>
        <w:rPr>
          <w:rFonts w:hint="eastAsia" w:ascii="宋体" w:hAnsi="宋体" w:eastAsia="宋体" w:cs="宋体"/>
          <w:color w:val="auto"/>
          <w:spacing w:val="14"/>
          <w:sz w:val="24"/>
          <w:szCs w:val="24"/>
          <w:lang w:val="en-US" w:eastAsia="zh-CN" w:bidi="ar-SA"/>
        </w:rPr>
      </w:pPr>
      <w:r>
        <w:rPr>
          <w:rFonts w:hint="eastAsia" w:ascii="宋体" w:hAnsi="宋体" w:eastAsia="宋体" w:cs="宋体"/>
          <w:color w:val="auto"/>
          <w:spacing w:val="14"/>
          <w:sz w:val="24"/>
          <w:szCs w:val="24"/>
          <w:lang w:val="en-US" w:eastAsia="zh-CN" w:bidi="ar-SA"/>
        </w:rPr>
        <w:t xml:space="preserve">货物全部由小微企业制造的，对符合《政府采购促进中小企业发展管理办法》规定的小微企业报价给予扣除（扣除比例详见供应商须知前附表），用扣除后的价格参与评审。参加投标的企业，应当按照《政府采购促进中小企业发展管理办法》（财库〔2020〕46号）的规定提供《中小企业声明函》（中小企业划分标准详见《关于印发中小企业划型标准规定的通知》工信部联企业〔2011〕300号）。   </w:t>
      </w:r>
    </w:p>
    <w:p>
      <w:pPr>
        <w:keepNext w:val="0"/>
        <w:keepLines w:val="0"/>
        <w:pageBreakBefore w:val="0"/>
        <w:kinsoku/>
        <w:wordWrap w:val="0"/>
        <w:overflowPunct/>
        <w:topLinePunct w:val="0"/>
        <w:autoSpaceDE/>
        <w:autoSpaceDN/>
        <w:bidi w:val="0"/>
        <w:adjustRightInd/>
        <w:snapToGrid/>
        <w:spacing w:line="288" w:lineRule="auto"/>
        <w:ind w:firstLine="474" w:firstLineChars="200"/>
        <w:textAlignment w:val="auto"/>
        <w:rPr>
          <w:rFonts w:hint="eastAsia" w:ascii="宋体" w:hAnsi="宋体" w:eastAsia="宋体" w:cs="宋体"/>
          <w:color w:val="auto"/>
          <w:spacing w:val="14"/>
          <w:sz w:val="24"/>
          <w:szCs w:val="24"/>
          <w:lang w:val="en-US" w:eastAsia="zh-CN" w:bidi="ar-SA"/>
        </w:rPr>
      </w:pPr>
      <w:r>
        <w:rPr>
          <w:rFonts w:hint="eastAsia" w:ascii="宋体" w:hAnsi="宋体" w:eastAsia="宋体" w:cs="宋体"/>
          <w:color w:val="auto"/>
          <w:spacing w:val="14"/>
          <w:sz w:val="24"/>
          <w:szCs w:val="24"/>
          <w:lang w:val="en-US" w:eastAsia="zh-CN" w:bidi="ar-SA"/>
        </w:rPr>
        <w:t>根据财政部司法部《关于政府采购支持监狱企业发展有关问题的通知》（财库〔2014〕68号）规定，本项目在评审中对监狱企业视同小型、微型企业，享受价格扣除政策。监狱企业参加政府采购活动时，应当提供由省级以上监狱管理局、戒毒管理局(含新疆生产建设兵团)出具的属于监狱企业的证明文件。</w:t>
      </w:r>
    </w:p>
    <w:p>
      <w:pPr>
        <w:keepNext w:val="0"/>
        <w:keepLines w:val="0"/>
        <w:pageBreakBefore w:val="0"/>
        <w:kinsoku/>
        <w:wordWrap w:val="0"/>
        <w:overflowPunct/>
        <w:topLinePunct w:val="0"/>
        <w:autoSpaceDE/>
        <w:autoSpaceDN/>
        <w:bidi w:val="0"/>
        <w:adjustRightInd/>
        <w:snapToGrid/>
        <w:spacing w:line="288" w:lineRule="auto"/>
        <w:ind w:firstLine="474" w:firstLineChars="200"/>
        <w:textAlignment w:val="auto"/>
        <w:rPr>
          <w:rFonts w:hint="eastAsia" w:ascii="宋体" w:hAnsi="宋体" w:eastAsia="宋体" w:cs="宋体"/>
          <w:color w:val="auto"/>
          <w:spacing w:val="14"/>
          <w:sz w:val="24"/>
          <w:szCs w:val="24"/>
          <w:lang w:val="en-US" w:eastAsia="zh-CN" w:bidi="ar-SA"/>
        </w:rPr>
      </w:pPr>
      <w:r>
        <w:rPr>
          <w:rFonts w:hint="eastAsia" w:ascii="宋体" w:hAnsi="宋体" w:eastAsia="宋体" w:cs="宋体"/>
          <w:color w:val="auto"/>
          <w:spacing w:val="14"/>
          <w:sz w:val="24"/>
          <w:szCs w:val="24"/>
          <w:lang w:val="en-US" w:eastAsia="zh-CN" w:bidi="ar-SA"/>
        </w:rPr>
        <w:t xml:space="preserve"> 根据财政部民政部中国残疾人联合会《关于促进残疾人就业政府采购政策的通知》（财库〔2017〕141号）规定，本项目在评审中对残疾人福利性单位视同小型、微型企业，享受价格扣除政策。残疾人福利性单位参加政府采购活动时，应当提供《残疾人福利性单位声明函》。</w:t>
      </w:r>
    </w:p>
    <w:p>
      <w:pPr>
        <w:keepNext w:val="0"/>
        <w:keepLines w:val="0"/>
        <w:pageBreakBefore w:val="0"/>
        <w:kinsoku/>
        <w:wordWrap w:val="0"/>
        <w:overflowPunct/>
        <w:topLinePunct w:val="0"/>
        <w:autoSpaceDE/>
        <w:autoSpaceDN/>
        <w:bidi w:val="0"/>
        <w:adjustRightInd/>
        <w:snapToGrid/>
        <w:spacing w:line="288" w:lineRule="auto"/>
        <w:ind w:firstLine="474" w:firstLineChars="200"/>
        <w:textAlignment w:val="auto"/>
        <w:rPr>
          <w:rFonts w:hint="eastAsia" w:ascii="宋体" w:hAnsi="宋体" w:eastAsia="宋体" w:cs="宋体"/>
          <w:color w:val="auto"/>
          <w:spacing w:val="14"/>
          <w:sz w:val="24"/>
          <w:szCs w:val="24"/>
          <w:lang w:val="en-US" w:eastAsia="zh-CN" w:bidi="ar-SA"/>
        </w:rPr>
      </w:pPr>
      <w:r>
        <w:rPr>
          <w:rFonts w:hint="eastAsia" w:ascii="宋体" w:hAnsi="宋体" w:eastAsia="宋体" w:cs="宋体"/>
          <w:color w:val="auto"/>
          <w:spacing w:val="14"/>
          <w:sz w:val="24"/>
          <w:szCs w:val="24"/>
          <w:lang w:val="en-US" w:eastAsia="zh-CN" w:bidi="ar-SA"/>
        </w:rPr>
        <w:t>同一供应商（包括联合体），中小微企业产品、监狱企业产品、残疾人福利性单位产品价格扣除优惠只享受一次，不得重复享受。专门面向中小企业采购的采购项目（采购包），不执行价格扣除政策。</w:t>
      </w:r>
    </w:p>
    <w:p>
      <w:pPr>
        <w:keepNext w:val="0"/>
        <w:keepLines w:val="0"/>
        <w:pageBreakBefore w:val="0"/>
        <w:kinsoku/>
        <w:wordWrap w:val="0"/>
        <w:overflowPunct/>
        <w:topLinePunct w:val="0"/>
        <w:autoSpaceDE/>
        <w:autoSpaceDN/>
        <w:bidi w:val="0"/>
        <w:adjustRightInd/>
        <w:snapToGrid/>
        <w:spacing w:line="288" w:lineRule="auto"/>
        <w:ind w:firstLine="474" w:firstLineChars="200"/>
        <w:textAlignment w:val="auto"/>
        <w:rPr>
          <w:rFonts w:hint="eastAsia" w:ascii="宋体" w:hAnsi="宋体" w:eastAsia="宋体" w:cs="宋体"/>
          <w:color w:val="auto"/>
          <w:spacing w:val="14"/>
          <w:sz w:val="24"/>
          <w:szCs w:val="24"/>
          <w:lang w:val="en-US" w:eastAsia="zh-CN" w:bidi="ar-SA"/>
        </w:rPr>
      </w:pPr>
      <w:bookmarkStart w:id="127" w:name="_Toc1662561"/>
      <w:r>
        <w:rPr>
          <w:rFonts w:hint="eastAsia" w:ascii="宋体" w:hAnsi="宋体" w:eastAsia="宋体" w:cs="宋体"/>
          <w:color w:val="auto"/>
          <w:spacing w:val="14"/>
          <w:sz w:val="24"/>
          <w:szCs w:val="24"/>
          <w:lang w:val="en-US" w:eastAsia="zh-CN" w:bidi="ar-SA"/>
        </w:rPr>
        <w:t>4.1.2评标报价=最后报价×（1-价格扣除）</w:t>
      </w:r>
    </w:p>
    <w:p>
      <w:pPr>
        <w:keepNext w:val="0"/>
        <w:keepLines w:val="0"/>
        <w:pageBreakBefore w:val="0"/>
        <w:kinsoku/>
        <w:wordWrap w:val="0"/>
        <w:overflowPunct/>
        <w:topLinePunct w:val="0"/>
        <w:autoSpaceDE/>
        <w:autoSpaceDN/>
        <w:bidi w:val="0"/>
        <w:adjustRightInd/>
        <w:snapToGrid/>
        <w:spacing w:line="288" w:lineRule="auto"/>
        <w:ind w:firstLine="474" w:firstLineChars="200"/>
        <w:textAlignment w:val="auto"/>
        <w:rPr>
          <w:rFonts w:hint="eastAsia" w:ascii="宋体" w:hAnsi="宋体" w:eastAsia="宋体" w:cs="宋体"/>
          <w:color w:val="auto"/>
          <w:spacing w:val="14"/>
          <w:sz w:val="24"/>
          <w:szCs w:val="24"/>
          <w:lang w:val="en-US" w:eastAsia="zh-CN" w:bidi="ar-SA"/>
        </w:rPr>
      </w:pPr>
      <w:r>
        <w:rPr>
          <w:rFonts w:hint="eastAsia" w:ascii="宋体" w:hAnsi="宋体" w:eastAsia="宋体" w:cs="宋体"/>
          <w:color w:val="auto"/>
          <w:spacing w:val="14"/>
          <w:sz w:val="24"/>
          <w:szCs w:val="24"/>
          <w:lang w:val="en-US" w:eastAsia="zh-CN" w:bidi="ar-SA"/>
        </w:rPr>
        <w:t>注：首次报价、价格扣除均依据响应文件中的报价数据。</w:t>
      </w:r>
    </w:p>
    <w:p>
      <w:pPr>
        <w:keepNext w:val="0"/>
        <w:keepLines w:val="0"/>
        <w:pageBreakBefore w:val="0"/>
        <w:kinsoku/>
        <w:wordWrap w:val="0"/>
        <w:overflowPunct/>
        <w:topLinePunct w:val="0"/>
        <w:autoSpaceDE/>
        <w:autoSpaceDN/>
        <w:bidi w:val="0"/>
        <w:adjustRightInd/>
        <w:snapToGrid/>
        <w:spacing w:line="288" w:lineRule="auto"/>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2.4 评审结果</w:t>
      </w:r>
      <w:bookmarkEnd w:id="127"/>
    </w:p>
    <w:p>
      <w:pPr>
        <w:keepNext w:val="0"/>
        <w:keepLines w:val="0"/>
        <w:pageBreakBefore w:val="0"/>
        <w:kinsoku/>
        <w:wordWrap w:val="0"/>
        <w:overflowPunct/>
        <w:topLinePunct w:val="0"/>
        <w:autoSpaceDE/>
        <w:autoSpaceDN/>
        <w:bidi w:val="0"/>
        <w:adjustRightInd/>
        <w:snapToGrid/>
        <w:spacing w:line="288" w:lineRule="auto"/>
        <w:ind w:firstLine="474" w:firstLineChars="200"/>
        <w:textAlignment w:val="auto"/>
        <w:rPr>
          <w:rFonts w:hint="eastAsia" w:ascii="宋体" w:hAnsi="宋体" w:eastAsia="宋体" w:cs="宋体"/>
          <w:color w:val="auto"/>
          <w:spacing w:val="14"/>
          <w:sz w:val="24"/>
          <w:szCs w:val="24"/>
          <w:lang w:val="en-US" w:eastAsia="zh-CN" w:bidi="ar-SA"/>
        </w:rPr>
      </w:pPr>
      <w:r>
        <w:rPr>
          <w:rFonts w:hint="eastAsia" w:ascii="宋体" w:hAnsi="宋体" w:eastAsia="宋体" w:cs="宋体"/>
          <w:color w:val="auto"/>
          <w:spacing w:val="14"/>
          <w:sz w:val="24"/>
          <w:szCs w:val="24"/>
          <w:lang w:val="en-US" w:eastAsia="zh-CN" w:bidi="ar-SA"/>
        </w:rPr>
        <w:t>2.4.1谈判小组根据价格、质量、供应商实力及服务承诺等因素确定成交供应商。</w:t>
      </w:r>
    </w:p>
    <w:p>
      <w:pPr>
        <w:keepNext w:val="0"/>
        <w:keepLines w:val="0"/>
        <w:pageBreakBefore w:val="0"/>
        <w:kinsoku/>
        <w:wordWrap w:val="0"/>
        <w:overflowPunct/>
        <w:topLinePunct w:val="0"/>
        <w:autoSpaceDE/>
        <w:autoSpaceDN/>
        <w:bidi w:val="0"/>
        <w:adjustRightInd/>
        <w:snapToGrid/>
        <w:spacing w:line="288" w:lineRule="auto"/>
        <w:ind w:firstLine="474" w:firstLineChars="200"/>
        <w:textAlignment w:val="auto"/>
        <w:rPr>
          <w:rFonts w:hint="eastAsia" w:ascii="宋体" w:hAnsi="宋体" w:eastAsia="宋体" w:cs="宋体"/>
          <w:color w:val="auto"/>
          <w:spacing w:val="14"/>
          <w:sz w:val="24"/>
          <w:szCs w:val="24"/>
          <w:lang w:val="en-US" w:eastAsia="zh-CN" w:bidi="ar-SA"/>
        </w:rPr>
      </w:pPr>
      <w:bookmarkStart w:id="128" w:name="_Toc9388"/>
      <w:bookmarkStart w:id="129" w:name="_Toc32342"/>
      <w:bookmarkStart w:id="130" w:name="_Toc29403"/>
      <w:r>
        <w:rPr>
          <w:rFonts w:hint="eastAsia" w:ascii="宋体" w:hAnsi="宋体" w:eastAsia="宋体" w:cs="宋体"/>
          <w:color w:val="auto"/>
          <w:spacing w:val="14"/>
          <w:sz w:val="24"/>
          <w:szCs w:val="24"/>
          <w:lang w:val="en-US" w:eastAsia="zh-CN" w:bidi="ar-SA"/>
        </w:rPr>
        <w:t>2.4.2成交供应商应报价合理，质量和服务均能满足采购文件实质性要求。</w:t>
      </w:r>
      <w:bookmarkEnd w:id="128"/>
      <w:bookmarkEnd w:id="129"/>
      <w:bookmarkEnd w:id="130"/>
    </w:p>
    <w:p>
      <w:pPr>
        <w:pStyle w:val="58"/>
        <w:ind w:firstLine="474" w:firstLineChars="200"/>
        <w:jc w:val="center"/>
        <w:rPr>
          <w:rFonts w:hint="eastAsia" w:ascii="宋体" w:hAnsi="宋体" w:eastAsia="宋体" w:cs="宋体"/>
          <w:color w:val="auto"/>
          <w:lang w:eastAsia="zh-CN"/>
        </w:rPr>
      </w:pPr>
      <w:r>
        <w:rPr>
          <w:rFonts w:hint="eastAsia" w:ascii="宋体" w:hAnsi="宋体" w:eastAsia="宋体" w:cs="宋体"/>
          <w:color w:val="auto"/>
          <w:spacing w:val="14"/>
          <w:sz w:val="24"/>
          <w:szCs w:val="24"/>
          <w:lang w:val="en-US" w:eastAsia="zh-CN" w:bidi="ar-SA"/>
        </w:rPr>
        <w:br w:type="page"/>
      </w:r>
      <w:bookmarkStart w:id="131" w:name="_Toc30749"/>
      <w:bookmarkStart w:id="132" w:name="_Toc15408"/>
      <w:bookmarkStart w:id="133" w:name="_Toc1662562"/>
      <w:bookmarkStart w:id="134" w:name="_Toc9353"/>
      <w:r>
        <w:rPr>
          <w:rFonts w:hint="eastAsia" w:ascii="宋体" w:hAnsi="宋体" w:eastAsia="宋体" w:cs="宋体"/>
          <w:color w:val="auto"/>
          <w:lang w:eastAsia="zh-CN"/>
        </w:rPr>
        <w:t>第六章  资格审查与评审标准</w:t>
      </w:r>
      <w:bookmarkEnd w:id="131"/>
      <w:bookmarkEnd w:id="132"/>
      <w:bookmarkEnd w:id="133"/>
      <w:bookmarkEnd w:id="134"/>
    </w:p>
    <w:p>
      <w:pPr>
        <w:bidi w:val="0"/>
        <w:rPr>
          <w:rFonts w:hint="eastAsia"/>
        </w:rPr>
      </w:pPr>
    </w:p>
    <w:tbl>
      <w:tblPr>
        <w:tblStyle w:val="62"/>
        <w:tblW w:w="935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261"/>
        <w:gridCol w:w="5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5" w:type="dxa"/>
            <w:noWrap/>
            <w:vAlign w:val="center"/>
          </w:tcPr>
          <w:p>
            <w:pPr>
              <w:pStyle w:val="156"/>
              <w:ind w:firstLine="0"/>
              <w:jc w:val="center"/>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条款</w:t>
            </w:r>
          </w:p>
        </w:tc>
        <w:tc>
          <w:tcPr>
            <w:tcW w:w="2261" w:type="dxa"/>
            <w:noWrap/>
            <w:vAlign w:val="center"/>
          </w:tcPr>
          <w:p>
            <w:pPr>
              <w:pStyle w:val="156"/>
              <w:ind w:firstLine="0"/>
              <w:jc w:val="center"/>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评审因素</w:t>
            </w:r>
          </w:p>
        </w:tc>
        <w:tc>
          <w:tcPr>
            <w:tcW w:w="5535" w:type="dxa"/>
            <w:noWrap/>
            <w:vAlign w:val="center"/>
          </w:tcPr>
          <w:p>
            <w:pPr>
              <w:pStyle w:val="156"/>
              <w:ind w:firstLine="0"/>
              <w:jc w:val="center"/>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5" w:type="dxa"/>
            <w:vMerge w:val="restart"/>
            <w:noWrap/>
            <w:vAlign w:val="center"/>
          </w:tcPr>
          <w:p>
            <w:pPr>
              <w:pStyle w:val="156"/>
              <w:ind w:left="0" w:leftChars="0" w:firstLine="0" w:firstLineChars="0"/>
              <w:jc w:val="center"/>
              <w:rPr>
                <w:rFonts w:hint="eastAsia" w:ascii="宋体" w:hAnsi="宋体" w:eastAsia="宋体" w:cs="宋体"/>
                <w:b/>
                <w:bCs/>
                <w:color w:val="auto"/>
                <w:spacing w:val="14"/>
                <w:sz w:val="24"/>
                <w:szCs w:val="24"/>
              </w:rPr>
            </w:pPr>
            <w:r>
              <w:rPr>
                <w:rFonts w:hint="eastAsia" w:ascii="宋体" w:hAnsi="宋体" w:eastAsia="宋体" w:cs="宋体"/>
                <w:color w:val="auto"/>
                <w:spacing w:val="14"/>
                <w:sz w:val="24"/>
                <w:szCs w:val="24"/>
              </w:rPr>
              <w:t>1</w:t>
            </w:r>
            <w:r>
              <w:rPr>
                <w:rFonts w:hint="eastAsia" w:ascii="宋体" w:hAnsi="宋体" w:eastAsia="宋体" w:cs="宋体"/>
                <w:color w:val="auto"/>
                <w:spacing w:val="14"/>
                <w:sz w:val="24"/>
                <w:szCs w:val="24"/>
                <w:lang w:val="en-US" w:eastAsia="zh-CN"/>
              </w:rPr>
              <w:t>.</w:t>
            </w:r>
            <w:r>
              <w:rPr>
                <w:rFonts w:hint="eastAsia" w:ascii="宋体" w:hAnsi="宋体" w:eastAsia="宋体" w:cs="宋体"/>
                <w:color w:val="auto"/>
                <w:spacing w:val="14"/>
                <w:sz w:val="24"/>
                <w:szCs w:val="24"/>
              </w:rPr>
              <w:t>资格性审查标准</w:t>
            </w:r>
          </w:p>
        </w:tc>
        <w:tc>
          <w:tcPr>
            <w:tcW w:w="2261" w:type="dxa"/>
            <w:noWrap/>
            <w:vAlign w:val="center"/>
          </w:tcPr>
          <w:p>
            <w:pPr>
              <w:pStyle w:val="156"/>
              <w:ind w:firstLine="0"/>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rPr>
              <w:t>满足《中华人民共和国政府采购法》第二十二条规定</w:t>
            </w:r>
          </w:p>
        </w:tc>
        <w:tc>
          <w:tcPr>
            <w:tcW w:w="5535" w:type="dxa"/>
            <w:noWrap/>
            <w:vAlign w:val="center"/>
          </w:tcPr>
          <w:p>
            <w:pPr>
              <w:pStyle w:val="156"/>
              <w:ind w:firstLine="0"/>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rPr>
              <w:t>符合投标人须知前附表的规定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5" w:type="dxa"/>
            <w:vMerge w:val="continue"/>
            <w:noWrap w:val="0"/>
            <w:vAlign w:val="center"/>
          </w:tcPr>
          <w:p>
            <w:pPr>
              <w:pStyle w:val="156"/>
              <w:jc w:val="center"/>
              <w:rPr>
                <w:rFonts w:hint="eastAsia" w:ascii="宋体" w:hAnsi="宋体" w:eastAsia="宋体" w:cs="宋体"/>
                <w:color w:val="auto"/>
                <w:spacing w:val="14"/>
                <w:sz w:val="24"/>
                <w:szCs w:val="24"/>
              </w:rPr>
            </w:pPr>
          </w:p>
        </w:tc>
        <w:tc>
          <w:tcPr>
            <w:tcW w:w="2261" w:type="dxa"/>
            <w:noWrap/>
            <w:vAlign w:val="center"/>
          </w:tcPr>
          <w:p>
            <w:pPr>
              <w:pStyle w:val="156"/>
              <w:ind w:firstLine="0"/>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现场信用查询</w:t>
            </w:r>
          </w:p>
        </w:tc>
        <w:tc>
          <w:tcPr>
            <w:tcW w:w="5535" w:type="dxa"/>
            <w:noWrap/>
            <w:vAlign w:val="center"/>
          </w:tcPr>
          <w:p>
            <w:pPr>
              <w:pStyle w:val="156"/>
              <w:ind w:firstLine="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符合供应商须知</w:t>
            </w:r>
            <w:r>
              <w:rPr>
                <w:rFonts w:hint="eastAsia" w:ascii="宋体" w:hAnsi="宋体" w:eastAsia="宋体" w:cs="宋体"/>
                <w:color w:val="auto"/>
                <w:spacing w:val="14"/>
                <w:sz w:val="24"/>
                <w:szCs w:val="24"/>
                <w:lang w:eastAsia="zh-CN"/>
              </w:rPr>
              <w:t>总则</w:t>
            </w:r>
            <w:r>
              <w:rPr>
                <w:rFonts w:hint="eastAsia" w:ascii="宋体" w:hAnsi="宋体" w:eastAsia="宋体" w:cs="宋体"/>
                <w:color w:val="auto"/>
                <w:spacing w:val="14"/>
                <w:sz w:val="24"/>
                <w:szCs w:val="24"/>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5" w:type="dxa"/>
            <w:vMerge w:val="continue"/>
            <w:noWrap w:val="0"/>
            <w:vAlign w:val="center"/>
          </w:tcPr>
          <w:p>
            <w:pPr>
              <w:pStyle w:val="156"/>
              <w:jc w:val="center"/>
              <w:rPr>
                <w:rFonts w:hint="eastAsia" w:ascii="宋体" w:hAnsi="宋体" w:eastAsia="宋体" w:cs="宋体"/>
                <w:color w:val="auto"/>
                <w:spacing w:val="14"/>
                <w:sz w:val="24"/>
                <w:szCs w:val="24"/>
              </w:rPr>
            </w:pPr>
          </w:p>
        </w:tc>
        <w:tc>
          <w:tcPr>
            <w:tcW w:w="2261" w:type="dxa"/>
            <w:noWrap/>
            <w:vAlign w:val="center"/>
          </w:tcPr>
          <w:p>
            <w:pPr>
              <w:pStyle w:val="156"/>
              <w:ind w:firstLine="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联合体投标</w:t>
            </w:r>
          </w:p>
        </w:tc>
        <w:tc>
          <w:tcPr>
            <w:tcW w:w="5535" w:type="dxa"/>
            <w:noWrap/>
            <w:vAlign w:val="center"/>
          </w:tcPr>
          <w:p>
            <w:pPr>
              <w:pStyle w:val="156"/>
              <w:ind w:firstLine="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5" w:type="dxa"/>
            <w:vMerge w:val="continue"/>
            <w:noWrap w:val="0"/>
            <w:vAlign w:val="center"/>
          </w:tcPr>
          <w:p>
            <w:pPr>
              <w:pStyle w:val="156"/>
              <w:jc w:val="center"/>
              <w:rPr>
                <w:rFonts w:hint="eastAsia" w:ascii="宋体" w:hAnsi="宋体" w:eastAsia="宋体" w:cs="宋体"/>
                <w:color w:val="auto"/>
                <w:spacing w:val="14"/>
                <w:sz w:val="24"/>
                <w:szCs w:val="24"/>
              </w:rPr>
            </w:pPr>
          </w:p>
        </w:tc>
        <w:tc>
          <w:tcPr>
            <w:tcW w:w="2261" w:type="dxa"/>
            <w:noWrap/>
            <w:vAlign w:val="center"/>
          </w:tcPr>
          <w:p>
            <w:pPr>
              <w:pStyle w:val="156"/>
              <w:ind w:firstLine="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不存在禁止投标的情形</w:t>
            </w:r>
          </w:p>
        </w:tc>
        <w:tc>
          <w:tcPr>
            <w:tcW w:w="5535" w:type="dxa"/>
            <w:noWrap/>
            <w:vAlign w:val="center"/>
          </w:tcPr>
          <w:p>
            <w:pPr>
              <w:pStyle w:val="156"/>
              <w:ind w:firstLine="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不存在第二章“供应商须知”第 1.4.3 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555" w:type="dxa"/>
            <w:vMerge w:val="restart"/>
            <w:noWrap w:val="0"/>
            <w:vAlign w:val="center"/>
          </w:tcPr>
          <w:p>
            <w:pPr>
              <w:pStyle w:val="156"/>
              <w:ind w:left="0" w:leftChars="0" w:firstLine="0" w:firstLineChars="0"/>
              <w:jc w:val="center"/>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2</w:t>
            </w:r>
            <w:r>
              <w:rPr>
                <w:rFonts w:hint="eastAsia" w:ascii="宋体" w:hAnsi="宋体" w:eastAsia="宋体" w:cs="宋体"/>
                <w:color w:val="auto"/>
                <w:spacing w:val="14"/>
                <w:sz w:val="24"/>
                <w:szCs w:val="24"/>
                <w:lang w:val="en-US" w:eastAsia="zh-CN"/>
              </w:rPr>
              <w:t>.</w:t>
            </w:r>
            <w:r>
              <w:rPr>
                <w:rFonts w:hint="eastAsia" w:ascii="宋体" w:hAnsi="宋体" w:eastAsia="宋体" w:cs="宋体"/>
                <w:color w:val="auto"/>
                <w:spacing w:val="14"/>
                <w:sz w:val="24"/>
                <w:szCs w:val="24"/>
              </w:rPr>
              <w:t>符合性审查标准</w:t>
            </w:r>
          </w:p>
        </w:tc>
        <w:tc>
          <w:tcPr>
            <w:tcW w:w="2261" w:type="dxa"/>
            <w:noWrap/>
            <w:vAlign w:val="center"/>
          </w:tcPr>
          <w:p>
            <w:pPr>
              <w:pStyle w:val="156"/>
              <w:ind w:firstLine="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供应商名称</w:t>
            </w:r>
          </w:p>
        </w:tc>
        <w:tc>
          <w:tcPr>
            <w:tcW w:w="5535" w:type="dxa"/>
            <w:noWrap/>
            <w:vAlign w:val="center"/>
          </w:tcPr>
          <w:p>
            <w:pPr>
              <w:pStyle w:val="156"/>
              <w:ind w:firstLine="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与</w:t>
            </w:r>
            <w:r>
              <w:rPr>
                <w:rFonts w:hint="eastAsia" w:ascii="宋体" w:hAnsi="宋体" w:eastAsia="宋体" w:cs="宋体"/>
                <w:color w:val="auto"/>
                <w:spacing w:val="14"/>
                <w:sz w:val="24"/>
                <w:szCs w:val="24"/>
                <w:lang w:eastAsia="zh-CN"/>
              </w:rPr>
              <w:t>其所提供资料证明材料</w:t>
            </w:r>
            <w:r>
              <w:rPr>
                <w:rFonts w:hint="eastAsia" w:ascii="宋体" w:hAnsi="宋体" w:eastAsia="宋体" w:cs="宋体"/>
                <w:color w:val="auto"/>
                <w:spacing w:val="14"/>
                <w:sz w:val="24"/>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555" w:type="dxa"/>
            <w:vMerge w:val="continue"/>
            <w:noWrap w:val="0"/>
            <w:vAlign w:val="center"/>
          </w:tcPr>
          <w:p>
            <w:pPr>
              <w:pStyle w:val="156"/>
              <w:rPr>
                <w:rFonts w:hint="eastAsia" w:ascii="宋体" w:hAnsi="宋体" w:eastAsia="宋体" w:cs="宋体"/>
                <w:color w:val="auto"/>
                <w:spacing w:val="14"/>
                <w:sz w:val="24"/>
                <w:szCs w:val="24"/>
              </w:rPr>
            </w:pPr>
          </w:p>
        </w:tc>
        <w:tc>
          <w:tcPr>
            <w:tcW w:w="2261" w:type="dxa"/>
            <w:noWrap/>
            <w:vAlign w:val="center"/>
          </w:tcPr>
          <w:p>
            <w:pPr>
              <w:pStyle w:val="156"/>
              <w:ind w:firstLine="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响应文件签字盖章</w:t>
            </w:r>
          </w:p>
        </w:tc>
        <w:tc>
          <w:tcPr>
            <w:tcW w:w="5535" w:type="dxa"/>
            <w:noWrap/>
            <w:vAlign w:val="center"/>
          </w:tcPr>
          <w:p>
            <w:pPr>
              <w:pStyle w:val="156"/>
              <w:ind w:firstLine="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符合</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5" w:type="dxa"/>
            <w:vMerge w:val="continue"/>
            <w:noWrap/>
            <w:vAlign w:val="center"/>
          </w:tcPr>
          <w:p>
            <w:pPr>
              <w:pStyle w:val="156"/>
              <w:ind w:left="0" w:leftChars="0" w:firstLine="0" w:firstLineChars="0"/>
              <w:rPr>
                <w:rFonts w:hint="eastAsia" w:ascii="宋体" w:hAnsi="宋体" w:eastAsia="宋体" w:cs="宋体"/>
                <w:color w:val="auto"/>
                <w:spacing w:val="14"/>
                <w:sz w:val="24"/>
                <w:szCs w:val="24"/>
              </w:rPr>
            </w:pPr>
          </w:p>
        </w:tc>
        <w:tc>
          <w:tcPr>
            <w:tcW w:w="2261" w:type="dxa"/>
            <w:noWrap/>
            <w:vAlign w:val="center"/>
          </w:tcPr>
          <w:p>
            <w:pPr>
              <w:pStyle w:val="156"/>
              <w:ind w:firstLine="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报价</w:t>
            </w:r>
          </w:p>
        </w:tc>
        <w:tc>
          <w:tcPr>
            <w:tcW w:w="5535" w:type="dxa"/>
            <w:noWrap/>
            <w:vAlign w:val="center"/>
          </w:tcPr>
          <w:p>
            <w:pPr>
              <w:pStyle w:val="156"/>
              <w:ind w:firstLine="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只能有一个有效报价，且未超过</w:t>
            </w:r>
            <w:r>
              <w:rPr>
                <w:rFonts w:hint="eastAsia" w:ascii="宋体" w:hAnsi="宋体" w:eastAsia="宋体" w:cs="宋体"/>
                <w:color w:val="auto"/>
                <w:spacing w:val="14"/>
                <w:sz w:val="24"/>
                <w:szCs w:val="24"/>
                <w:lang w:eastAsia="zh-CN"/>
              </w:rPr>
              <w:t>各包</w:t>
            </w:r>
            <w:r>
              <w:rPr>
                <w:rFonts w:hint="eastAsia" w:ascii="宋体" w:hAnsi="宋体" w:eastAsia="宋体" w:cs="宋体"/>
                <w:color w:val="auto"/>
                <w:spacing w:val="14"/>
                <w:sz w:val="24"/>
                <w:szCs w:val="24"/>
              </w:rPr>
              <w:t>预算单价或预算总价，并按规定填报</w:t>
            </w:r>
            <w:r>
              <w:rPr>
                <w:rFonts w:hint="eastAsia" w:ascii="宋体" w:hAnsi="宋体" w:eastAsia="宋体" w:cs="宋体"/>
                <w:color w:val="auto"/>
                <w:spacing w:val="14"/>
                <w:sz w:val="24"/>
                <w:szCs w:val="24"/>
                <w:lang w:eastAsia="zh-CN"/>
              </w:rPr>
              <w:t>报价</w:t>
            </w:r>
            <w:r>
              <w:rPr>
                <w:rFonts w:hint="eastAsia" w:ascii="宋体" w:hAnsi="宋体" w:eastAsia="宋体" w:cs="宋体"/>
                <w:color w:val="auto"/>
                <w:spacing w:val="14"/>
                <w:sz w:val="24"/>
                <w:szCs w:val="24"/>
              </w:rPr>
              <w:t>表一览表、报价明细表。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5" w:type="dxa"/>
            <w:vMerge w:val="continue"/>
            <w:noWrap/>
            <w:vAlign w:val="center"/>
          </w:tcPr>
          <w:p>
            <w:pPr>
              <w:pStyle w:val="156"/>
              <w:rPr>
                <w:rFonts w:hint="eastAsia" w:ascii="宋体" w:hAnsi="宋体" w:eastAsia="宋体" w:cs="宋体"/>
                <w:color w:val="auto"/>
                <w:spacing w:val="14"/>
                <w:sz w:val="24"/>
                <w:szCs w:val="24"/>
              </w:rPr>
            </w:pPr>
          </w:p>
        </w:tc>
        <w:tc>
          <w:tcPr>
            <w:tcW w:w="2261" w:type="dxa"/>
            <w:noWrap/>
            <w:vAlign w:val="center"/>
          </w:tcPr>
          <w:p>
            <w:pPr>
              <w:pStyle w:val="156"/>
              <w:ind w:firstLine="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响应文件</w:t>
            </w:r>
            <w:r>
              <w:rPr>
                <w:rFonts w:hint="eastAsia" w:ascii="宋体" w:hAnsi="宋体" w:eastAsia="宋体" w:cs="宋体"/>
                <w:color w:val="auto"/>
                <w:spacing w:val="14"/>
                <w:sz w:val="24"/>
                <w:szCs w:val="24"/>
              </w:rPr>
              <w:t>有效期</w:t>
            </w:r>
          </w:p>
        </w:tc>
        <w:tc>
          <w:tcPr>
            <w:tcW w:w="5535" w:type="dxa"/>
            <w:noWrap/>
            <w:vAlign w:val="top"/>
          </w:tcPr>
          <w:p>
            <w:pPr>
              <w:pStyle w:val="156"/>
              <w:ind w:firstLine="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5" w:type="dxa"/>
            <w:vMerge w:val="continue"/>
            <w:noWrap w:val="0"/>
            <w:vAlign w:val="center"/>
          </w:tcPr>
          <w:p>
            <w:pPr>
              <w:pStyle w:val="156"/>
              <w:rPr>
                <w:rFonts w:hint="eastAsia" w:ascii="宋体" w:hAnsi="宋体" w:eastAsia="宋体" w:cs="宋体"/>
                <w:color w:val="auto"/>
                <w:spacing w:val="14"/>
                <w:sz w:val="24"/>
                <w:szCs w:val="24"/>
              </w:rPr>
            </w:pPr>
          </w:p>
        </w:tc>
        <w:tc>
          <w:tcPr>
            <w:tcW w:w="2261" w:type="dxa"/>
            <w:noWrap/>
            <w:vAlign w:val="center"/>
          </w:tcPr>
          <w:p>
            <w:pPr>
              <w:pStyle w:val="156"/>
              <w:ind w:firstLine="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分包</w:t>
            </w:r>
          </w:p>
        </w:tc>
        <w:tc>
          <w:tcPr>
            <w:tcW w:w="5535" w:type="dxa"/>
            <w:noWrap/>
            <w:vAlign w:val="center"/>
          </w:tcPr>
          <w:p>
            <w:pPr>
              <w:pStyle w:val="156"/>
              <w:ind w:firstLine="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5" w:type="dxa"/>
            <w:vMerge w:val="continue"/>
            <w:noWrap w:val="0"/>
            <w:vAlign w:val="center"/>
          </w:tcPr>
          <w:p>
            <w:pPr>
              <w:pStyle w:val="156"/>
              <w:rPr>
                <w:rFonts w:hint="eastAsia" w:ascii="宋体" w:hAnsi="宋体" w:eastAsia="宋体" w:cs="宋体"/>
                <w:color w:val="auto"/>
                <w:spacing w:val="14"/>
                <w:sz w:val="24"/>
                <w:szCs w:val="24"/>
              </w:rPr>
            </w:pPr>
          </w:p>
        </w:tc>
        <w:tc>
          <w:tcPr>
            <w:tcW w:w="2261" w:type="dxa"/>
            <w:noWrap/>
            <w:vAlign w:val="center"/>
          </w:tcPr>
          <w:p>
            <w:pPr>
              <w:pStyle w:val="156"/>
              <w:ind w:firstLine="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备选方案</w:t>
            </w:r>
          </w:p>
        </w:tc>
        <w:tc>
          <w:tcPr>
            <w:tcW w:w="5535" w:type="dxa"/>
            <w:noWrap/>
            <w:vAlign w:val="center"/>
          </w:tcPr>
          <w:p>
            <w:pPr>
              <w:pStyle w:val="156"/>
              <w:ind w:firstLine="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除</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明确允许提交备选方案外，供应商不得提交备选方案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5" w:type="dxa"/>
            <w:vMerge w:val="continue"/>
            <w:noWrap w:val="0"/>
            <w:vAlign w:val="center"/>
          </w:tcPr>
          <w:p>
            <w:pPr>
              <w:pStyle w:val="156"/>
              <w:rPr>
                <w:rFonts w:hint="eastAsia" w:ascii="宋体" w:hAnsi="宋体" w:eastAsia="宋体" w:cs="宋体"/>
                <w:color w:val="auto"/>
                <w:spacing w:val="14"/>
                <w:sz w:val="24"/>
                <w:szCs w:val="24"/>
              </w:rPr>
            </w:pPr>
          </w:p>
        </w:tc>
        <w:tc>
          <w:tcPr>
            <w:tcW w:w="2261" w:type="dxa"/>
            <w:noWrap/>
            <w:vAlign w:val="center"/>
          </w:tcPr>
          <w:p>
            <w:pPr>
              <w:pStyle w:val="156"/>
              <w:ind w:firstLine="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实质性要求和条件</w:t>
            </w:r>
          </w:p>
        </w:tc>
        <w:tc>
          <w:tcPr>
            <w:tcW w:w="5535" w:type="dxa"/>
            <w:noWrap/>
            <w:vAlign w:val="center"/>
          </w:tcPr>
          <w:p>
            <w:pPr>
              <w:pStyle w:val="156"/>
              <w:ind w:firstLine="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55" w:type="dxa"/>
            <w:vMerge w:val="continue"/>
            <w:noWrap w:val="0"/>
            <w:vAlign w:val="center"/>
          </w:tcPr>
          <w:p>
            <w:pPr>
              <w:pStyle w:val="156"/>
              <w:rPr>
                <w:rFonts w:hint="eastAsia" w:ascii="宋体" w:hAnsi="宋体" w:eastAsia="宋体" w:cs="宋体"/>
                <w:color w:val="auto"/>
                <w:spacing w:val="14"/>
                <w:sz w:val="24"/>
                <w:szCs w:val="24"/>
              </w:rPr>
            </w:pPr>
          </w:p>
        </w:tc>
        <w:tc>
          <w:tcPr>
            <w:tcW w:w="2261" w:type="dxa"/>
            <w:noWrap/>
            <w:vAlign w:val="center"/>
          </w:tcPr>
          <w:p>
            <w:pPr>
              <w:pStyle w:val="156"/>
              <w:ind w:firstLine="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偏差</w:t>
            </w:r>
          </w:p>
        </w:tc>
        <w:tc>
          <w:tcPr>
            <w:tcW w:w="5535" w:type="dxa"/>
            <w:noWrap/>
            <w:vAlign w:val="center"/>
          </w:tcPr>
          <w:p>
            <w:pPr>
              <w:pStyle w:val="156"/>
              <w:ind w:firstLine="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val="en-US" w:eastAsia="zh-CN"/>
              </w:rPr>
              <w:t>符合供应商须知前附表的规定</w:t>
            </w:r>
          </w:p>
        </w:tc>
      </w:tr>
    </w:tbl>
    <w:p>
      <w:pPr>
        <w:pStyle w:val="156"/>
        <w:rPr>
          <w:rFonts w:hint="eastAsia" w:ascii="宋体" w:hAnsi="宋体" w:eastAsia="宋体" w:cs="宋体"/>
          <w:color w:val="auto"/>
          <w:spacing w:val="14"/>
          <w:szCs w:val="21"/>
          <w:lang w:val="en-US"/>
        </w:rPr>
      </w:pPr>
    </w:p>
    <w:p>
      <w:pPr>
        <w:bidi w:val="0"/>
        <w:rPr>
          <w:rFonts w:hint="eastAsia"/>
          <w:lang w:eastAsia="zh-CN"/>
        </w:rPr>
      </w:pPr>
      <w:bookmarkStart w:id="135" w:name="_Toc504741949"/>
      <w:r>
        <w:rPr>
          <w:rFonts w:hint="eastAsia"/>
          <w:lang w:eastAsia="zh-CN"/>
        </w:rPr>
        <w:br w:type="page"/>
      </w:r>
      <w:bookmarkEnd w:id="135"/>
      <w:bookmarkStart w:id="136" w:name="_Toc1662563"/>
      <w:bookmarkStart w:id="137" w:name="_Toc504741951"/>
    </w:p>
    <w:p>
      <w:pPr>
        <w:pStyle w:val="58"/>
        <w:rPr>
          <w:rFonts w:hint="eastAsia" w:ascii="宋体" w:hAnsi="宋体" w:eastAsia="宋体" w:cs="宋体"/>
          <w:color w:val="auto"/>
          <w:lang w:eastAsia="zh-CN"/>
        </w:rPr>
      </w:pPr>
      <w:bookmarkStart w:id="138" w:name="_Toc19701"/>
      <w:bookmarkStart w:id="139" w:name="_Toc32460"/>
      <w:bookmarkStart w:id="140" w:name="_Toc6553"/>
      <w:r>
        <w:rPr>
          <w:rFonts w:hint="eastAsia" w:ascii="宋体" w:hAnsi="宋体" w:eastAsia="宋体" w:cs="宋体"/>
          <w:color w:val="auto"/>
          <w:lang w:eastAsia="zh-CN"/>
        </w:rPr>
        <w:t>第七章  响应文件格式</w:t>
      </w:r>
      <w:bookmarkEnd w:id="136"/>
      <w:bookmarkEnd w:id="137"/>
      <w:bookmarkEnd w:id="138"/>
      <w:bookmarkEnd w:id="139"/>
      <w:bookmarkEnd w:id="140"/>
    </w:p>
    <w:p>
      <w:pPr>
        <w:rPr>
          <w:rFonts w:hint="eastAsia" w:ascii="宋体" w:hAnsi="宋体" w:eastAsia="宋体" w:cs="宋体"/>
          <w:color w:val="auto"/>
        </w:rPr>
      </w:pPr>
    </w:p>
    <w:p>
      <w:pPr>
        <w:rPr>
          <w:rFonts w:hint="eastAsia" w:ascii="宋体" w:hAnsi="宋体" w:eastAsia="宋体" w:cs="宋体"/>
          <w:color w:val="auto"/>
        </w:rPr>
      </w:pPr>
    </w:p>
    <w:p>
      <w:pPr>
        <w:pStyle w:val="156"/>
        <w:ind w:firstLine="0"/>
        <w:jc w:val="center"/>
        <w:rPr>
          <w:rFonts w:hint="eastAsia" w:ascii="宋体" w:hAnsi="宋体" w:eastAsia="宋体" w:cs="宋体"/>
          <w:b/>
          <w:color w:val="auto"/>
          <w:spacing w:val="14"/>
          <w:sz w:val="84"/>
          <w:szCs w:val="84"/>
        </w:rPr>
      </w:pPr>
    </w:p>
    <w:p>
      <w:pPr>
        <w:pStyle w:val="156"/>
        <w:ind w:firstLine="0"/>
        <w:jc w:val="center"/>
        <w:rPr>
          <w:rFonts w:hint="eastAsia" w:ascii="宋体" w:hAnsi="宋体" w:eastAsia="宋体" w:cs="宋体"/>
          <w:b/>
          <w:color w:val="auto"/>
          <w:spacing w:val="14"/>
          <w:sz w:val="84"/>
          <w:szCs w:val="84"/>
        </w:rPr>
      </w:pPr>
      <w:r>
        <w:rPr>
          <w:rFonts w:hint="eastAsia" w:ascii="宋体" w:hAnsi="宋体" w:eastAsia="宋体" w:cs="宋体"/>
          <w:b/>
          <w:color w:val="auto"/>
          <w:spacing w:val="14"/>
          <w:sz w:val="84"/>
          <w:szCs w:val="84"/>
        </w:rPr>
        <w:t>响应文件</w:t>
      </w:r>
    </w:p>
    <w:p>
      <w:pPr>
        <w:pStyle w:val="156"/>
        <w:ind w:firstLine="420"/>
        <w:rPr>
          <w:rFonts w:hint="eastAsia" w:ascii="宋体" w:hAnsi="宋体" w:eastAsia="宋体" w:cs="宋体"/>
          <w:color w:val="auto"/>
          <w:spacing w:val="14"/>
          <w:sz w:val="30"/>
          <w:szCs w:val="30"/>
        </w:rPr>
      </w:pPr>
    </w:p>
    <w:p>
      <w:pPr>
        <w:pStyle w:val="156"/>
        <w:ind w:firstLine="420"/>
        <w:rPr>
          <w:rFonts w:hint="eastAsia" w:ascii="宋体" w:hAnsi="宋体" w:eastAsia="宋体" w:cs="宋体"/>
          <w:color w:val="auto"/>
          <w:spacing w:val="14"/>
          <w:sz w:val="30"/>
          <w:szCs w:val="30"/>
        </w:rPr>
      </w:pPr>
      <w:r>
        <w:rPr>
          <w:rFonts w:hint="eastAsia" w:ascii="宋体" w:hAnsi="宋体" w:eastAsia="宋体" w:cs="宋体"/>
          <w:color w:val="auto"/>
          <w:spacing w:val="14"/>
          <w:sz w:val="30"/>
          <w:szCs w:val="30"/>
        </w:rPr>
        <w:t>项目名称：</w:t>
      </w:r>
    </w:p>
    <w:p>
      <w:pPr>
        <w:pStyle w:val="156"/>
        <w:ind w:firstLine="420"/>
        <w:rPr>
          <w:rFonts w:hint="eastAsia" w:ascii="宋体" w:hAnsi="宋体" w:eastAsia="宋体" w:cs="宋体"/>
          <w:color w:val="auto"/>
          <w:spacing w:val="14"/>
          <w:sz w:val="28"/>
          <w:szCs w:val="28"/>
        </w:rPr>
      </w:pPr>
      <w:r>
        <w:rPr>
          <w:rFonts w:hint="eastAsia" w:ascii="宋体" w:hAnsi="宋体" w:eastAsia="宋体" w:cs="宋体"/>
          <w:color w:val="auto"/>
          <w:spacing w:val="14"/>
          <w:sz w:val="28"/>
          <w:szCs w:val="28"/>
        </w:rPr>
        <w:t>采购编号：</w:t>
      </w:r>
    </w:p>
    <w:p>
      <w:pPr>
        <w:pStyle w:val="156"/>
        <w:ind w:firstLine="0"/>
        <w:rPr>
          <w:rFonts w:hint="eastAsia" w:ascii="宋体" w:hAnsi="宋体" w:eastAsia="宋体" w:cs="宋体"/>
          <w:color w:val="auto"/>
          <w:spacing w:val="14"/>
          <w:sz w:val="30"/>
          <w:szCs w:val="30"/>
        </w:rPr>
      </w:pPr>
    </w:p>
    <w:p>
      <w:pPr>
        <w:pStyle w:val="156"/>
        <w:ind w:firstLine="0"/>
        <w:rPr>
          <w:rFonts w:hint="eastAsia" w:ascii="宋体" w:hAnsi="宋体" w:eastAsia="宋体" w:cs="宋体"/>
          <w:color w:val="auto"/>
          <w:spacing w:val="14"/>
          <w:sz w:val="30"/>
          <w:szCs w:val="30"/>
        </w:rPr>
      </w:pPr>
    </w:p>
    <w:p>
      <w:pPr>
        <w:pStyle w:val="156"/>
        <w:ind w:firstLine="0"/>
        <w:rPr>
          <w:rFonts w:hint="eastAsia" w:ascii="宋体" w:hAnsi="宋体" w:eastAsia="宋体" w:cs="宋体"/>
          <w:color w:val="auto"/>
          <w:spacing w:val="14"/>
          <w:sz w:val="30"/>
          <w:szCs w:val="30"/>
        </w:rPr>
      </w:pPr>
    </w:p>
    <w:p>
      <w:pPr>
        <w:pStyle w:val="156"/>
        <w:ind w:firstLine="0"/>
        <w:rPr>
          <w:rFonts w:hint="eastAsia" w:ascii="宋体" w:hAnsi="宋体" w:eastAsia="宋体" w:cs="宋体"/>
          <w:color w:val="auto"/>
          <w:spacing w:val="14"/>
          <w:sz w:val="30"/>
          <w:szCs w:val="30"/>
        </w:rPr>
      </w:pPr>
    </w:p>
    <w:p>
      <w:pPr>
        <w:pStyle w:val="156"/>
        <w:ind w:firstLine="0"/>
        <w:rPr>
          <w:rFonts w:hint="eastAsia" w:ascii="宋体" w:hAnsi="宋体" w:eastAsia="宋体" w:cs="宋体"/>
          <w:color w:val="auto"/>
          <w:spacing w:val="14"/>
          <w:sz w:val="30"/>
          <w:szCs w:val="30"/>
        </w:rPr>
      </w:pPr>
    </w:p>
    <w:p>
      <w:pPr>
        <w:rPr>
          <w:rFonts w:hint="eastAsia" w:ascii="宋体" w:hAnsi="宋体" w:eastAsia="宋体" w:cs="宋体"/>
          <w:color w:val="auto"/>
        </w:rPr>
      </w:pPr>
    </w:p>
    <w:p>
      <w:pPr>
        <w:rPr>
          <w:rFonts w:hint="eastAsia" w:ascii="宋体" w:hAnsi="宋体" w:eastAsia="宋体" w:cs="宋体"/>
          <w:color w:val="auto"/>
        </w:rPr>
      </w:pPr>
    </w:p>
    <w:p>
      <w:pPr>
        <w:pStyle w:val="156"/>
        <w:ind w:firstLine="0"/>
        <w:rPr>
          <w:rFonts w:hint="eastAsia" w:ascii="宋体" w:hAnsi="宋体" w:eastAsia="宋体" w:cs="宋体"/>
          <w:color w:val="auto"/>
          <w:spacing w:val="14"/>
          <w:sz w:val="30"/>
          <w:szCs w:val="30"/>
        </w:rPr>
      </w:pPr>
    </w:p>
    <w:p>
      <w:pPr>
        <w:pStyle w:val="156"/>
        <w:ind w:firstLine="0"/>
        <w:rPr>
          <w:rFonts w:hint="eastAsia" w:ascii="宋体" w:hAnsi="宋体" w:eastAsia="宋体" w:cs="宋体"/>
          <w:color w:val="auto"/>
          <w:spacing w:val="14"/>
          <w:sz w:val="30"/>
          <w:szCs w:val="30"/>
        </w:rPr>
      </w:pPr>
    </w:p>
    <w:p>
      <w:pPr>
        <w:pStyle w:val="156"/>
        <w:spacing w:line="360" w:lineRule="auto"/>
        <w:ind w:firstLine="420"/>
        <w:rPr>
          <w:rFonts w:hint="eastAsia" w:ascii="宋体" w:hAnsi="宋体" w:eastAsia="宋体" w:cs="宋体"/>
          <w:spacing w:val="14"/>
          <w:sz w:val="30"/>
          <w:szCs w:val="30"/>
          <w:u w:val="none"/>
          <w:lang w:val="en-US" w:eastAsia="zh-CN"/>
        </w:rPr>
      </w:pPr>
      <w:bookmarkStart w:id="141" w:name="_Toc2354_WPSOffice_Level1"/>
      <w:bookmarkStart w:id="142" w:name="_Toc8311_WPSOffice_Level1"/>
      <w:bookmarkStart w:id="143" w:name="_Toc13177_WPSOffice_Level1"/>
      <w:bookmarkStart w:id="144" w:name="_Toc634_WPSOffice_Level1"/>
      <w:r>
        <w:rPr>
          <w:rFonts w:hint="eastAsia" w:ascii="宋体" w:hAnsi="宋体" w:eastAsia="宋体" w:cs="宋体"/>
          <w:color w:val="auto"/>
          <w:spacing w:val="14"/>
          <w:sz w:val="30"/>
          <w:szCs w:val="30"/>
        </w:rPr>
        <w:t>供应商名称：</w:t>
      </w:r>
      <w:bookmarkEnd w:id="141"/>
      <w:r>
        <w:rPr>
          <w:rFonts w:hint="eastAsia" w:ascii="宋体" w:hAnsi="宋体" w:eastAsia="宋体" w:cs="宋体"/>
          <w:color w:val="auto"/>
          <w:spacing w:val="14"/>
          <w:sz w:val="30"/>
          <w:szCs w:val="30"/>
          <w:lang w:val="en-US" w:eastAsia="zh-CN"/>
        </w:rPr>
        <w:t xml:space="preserve"> </w:t>
      </w:r>
      <w:r>
        <w:rPr>
          <w:rFonts w:hint="eastAsia" w:ascii="宋体" w:hAnsi="宋体" w:eastAsia="宋体" w:cs="宋体"/>
          <w:color w:val="auto"/>
          <w:spacing w:val="14"/>
          <w:sz w:val="30"/>
          <w:szCs w:val="30"/>
          <w:u w:val="single"/>
          <w:lang w:val="en-US" w:eastAsia="zh-CN"/>
        </w:rPr>
        <w:t xml:space="preserve">                  </w:t>
      </w:r>
      <w:bookmarkEnd w:id="142"/>
      <w:r>
        <w:rPr>
          <w:rFonts w:hint="eastAsia" w:ascii="宋体" w:hAnsi="宋体" w:eastAsia="宋体" w:cs="宋体"/>
          <w:color w:val="auto"/>
          <w:spacing w:val="14"/>
          <w:sz w:val="30"/>
          <w:szCs w:val="30"/>
          <w:u w:val="none"/>
          <w:lang w:val="en-US" w:eastAsia="zh-CN"/>
        </w:rPr>
        <w:t>（公章</w:t>
      </w:r>
      <w:r>
        <w:rPr>
          <w:rFonts w:hint="eastAsia" w:ascii="宋体" w:hAnsi="宋体" w:eastAsia="宋体" w:cs="宋体"/>
          <w:spacing w:val="14"/>
          <w:sz w:val="30"/>
          <w:szCs w:val="30"/>
          <w:u w:val="none"/>
          <w:lang w:val="en-US" w:eastAsia="zh-CN"/>
        </w:rPr>
        <w:t>）</w:t>
      </w:r>
      <w:bookmarkEnd w:id="143"/>
      <w:bookmarkEnd w:id="144"/>
      <w:bookmarkStart w:id="145" w:name="_Toc28905_WPSOffice_Level1"/>
      <w:bookmarkStart w:id="146" w:name="_Toc704_WPSOffice_Level1"/>
      <w:bookmarkStart w:id="147" w:name="_Toc19364_WPSOffice_Level1"/>
    </w:p>
    <w:p>
      <w:pPr>
        <w:pStyle w:val="156"/>
        <w:spacing w:line="360" w:lineRule="auto"/>
        <w:ind w:firstLine="420"/>
        <w:rPr>
          <w:rFonts w:hint="default" w:ascii="宋体" w:hAnsi="宋体" w:eastAsia="宋体" w:cs="宋体"/>
          <w:color w:val="auto"/>
          <w:spacing w:val="14"/>
          <w:szCs w:val="21"/>
          <w:lang w:val="en-US" w:eastAsia="zh-CN"/>
        </w:rPr>
      </w:pPr>
      <w:r>
        <w:rPr>
          <w:rFonts w:hint="eastAsia" w:ascii="宋体" w:hAnsi="宋体" w:eastAsia="宋体" w:cs="宋体"/>
          <w:color w:val="auto"/>
          <w:spacing w:val="14"/>
          <w:sz w:val="30"/>
          <w:szCs w:val="30"/>
        </w:rPr>
        <w:t>日期：</w:t>
      </w:r>
      <w:bookmarkEnd w:id="145"/>
      <w:bookmarkEnd w:id="146"/>
      <w:bookmarkEnd w:id="147"/>
      <w:r>
        <w:rPr>
          <w:rFonts w:hint="eastAsia" w:ascii="宋体" w:hAnsi="宋体" w:eastAsia="宋体" w:cs="宋体"/>
          <w:color w:val="auto"/>
          <w:spacing w:val="14"/>
          <w:szCs w:val="21"/>
          <w:u w:val="single"/>
          <w:lang w:val="en-US" w:eastAsia="zh-CN"/>
        </w:rPr>
        <w:t xml:space="preserve">                                          </w:t>
      </w:r>
    </w:p>
    <w:p>
      <w:pPr>
        <w:pStyle w:val="156"/>
        <w:ind w:firstLine="0"/>
        <w:rPr>
          <w:rFonts w:hint="eastAsia" w:ascii="宋体" w:hAnsi="宋体" w:eastAsia="宋体" w:cs="宋体"/>
          <w:color w:val="auto"/>
          <w:spacing w:val="14"/>
          <w:szCs w:val="21"/>
          <w:lang w:eastAsia="zh-CN"/>
        </w:rPr>
      </w:pPr>
    </w:p>
    <w:p>
      <w:pPr>
        <w:pStyle w:val="156"/>
        <w:ind w:firstLine="0"/>
        <w:rPr>
          <w:rFonts w:hint="eastAsia" w:ascii="宋体" w:hAnsi="宋体" w:eastAsia="宋体" w:cs="宋体"/>
          <w:color w:val="auto"/>
          <w:spacing w:val="14"/>
          <w:szCs w:val="21"/>
          <w:lang w:eastAsia="zh-CN"/>
        </w:rPr>
      </w:pPr>
    </w:p>
    <w:p>
      <w:pPr>
        <w:rPr>
          <w:rFonts w:hint="eastAsia" w:ascii="宋体" w:hAnsi="宋体" w:eastAsia="宋体" w:cs="宋体"/>
          <w:color w:val="auto"/>
        </w:rPr>
      </w:pPr>
    </w:p>
    <w:p>
      <w:pPr>
        <w:bidi w:val="0"/>
        <w:rPr>
          <w:rFonts w:hint="eastAsia"/>
        </w:rPr>
      </w:pPr>
      <w:bookmarkStart w:id="148" w:name="_Toc1662564"/>
    </w:p>
    <w:p>
      <w:pPr>
        <w:rPr>
          <w:rFonts w:hint="eastAsia"/>
          <w:b/>
          <w:bCs/>
          <w:sz w:val="28"/>
          <w:szCs w:val="21"/>
        </w:rPr>
      </w:pPr>
      <w:r>
        <w:rPr>
          <w:rFonts w:hint="eastAsia"/>
          <w:b/>
          <w:bCs/>
          <w:sz w:val="28"/>
          <w:szCs w:val="21"/>
        </w:rPr>
        <w:br w:type="page"/>
      </w:r>
    </w:p>
    <w:p>
      <w:pPr>
        <w:bidi w:val="0"/>
        <w:outlineLvl w:val="1"/>
        <w:rPr>
          <w:rFonts w:hint="eastAsia"/>
          <w:b/>
          <w:bCs/>
          <w:sz w:val="28"/>
          <w:szCs w:val="21"/>
          <w:lang w:eastAsia="zh-CN"/>
        </w:rPr>
      </w:pPr>
      <w:bookmarkStart w:id="149" w:name="_Toc1065"/>
      <w:r>
        <w:rPr>
          <w:rFonts w:hint="eastAsia"/>
          <w:b/>
          <w:bCs/>
          <w:sz w:val="28"/>
          <w:szCs w:val="21"/>
        </w:rPr>
        <w:t>附件1：</w:t>
      </w:r>
      <w:r>
        <w:rPr>
          <w:rFonts w:hint="eastAsia"/>
          <w:b/>
          <w:bCs/>
          <w:sz w:val="28"/>
          <w:szCs w:val="21"/>
          <w:lang w:eastAsia="zh-CN"/>
        </w:rPr>
        <w:t>响应</w:t>
      </w:r>
      <w:r>
        <w:rPr>
          <w:rFonts w:hint="eastAsia"/>
          <w:b/>
          <w:bCs/>
          <w:sz w:val="28"/>
          <w:szCs w:val="21"/>
        </w:rPr>
        <w:t>函</w:t>
      </w:r>
      <w:bookmarkEnd w:id="148"/>
      <w:bookmarkEnd w:id="149"/>
    </w:p>
    <w:p>
      <w:pPr>
        <w:pStyle w:val="156"/>
        <w:ind w:firstLine="0"/>
        <w:jc w:val="center"/>
        <w:rPr>
          <w:rFonts w:hint="eastAsia" w:ascii="宋体" w:hAnsi="宋体" w:eastAsia="宋体" w:cs="宋体"/>
          <w:color w:val="auto"/>
          <w:spacing w:val="14"/>
          <w:sz w:val="28"/>
          <w:szCs w:val="28"/>
          <w:lang w:eastAsia="zh-CN"/>
        </w:rPr>
      </w:pPr>
    </w:p>
    <w:p>
      <w:pPr>
        <w:pStyle w:val="156"/>
        <w:ind w:firstLine="0"/>
        <w:jc w:val="center"/>
        <w:rPr>
          <w:rFonts w:hint="eastAsia" w:ascii="宋体" w:hAnsi="宋体" w:eastAsia="宋体" w:cs="宋体"/>
          <w:color w:val="auto"/>
          <w:spacing w:val="14"/>
          <w:sz w:val="28"/>
          <w:szCs w:val="28"/>
        </w:rPr>
      </w:pPr>
      <w:r>
        <w:rPr>
          <w:rFonts w:hint="eastAsia" w:ascii="宋体" w:hAnsi="宋体" w:eastAsia="宋体" w:cs="宋体"/>
          <w:color w:val="auto"/>
          <w:spacing w:val="14"/>
          <w:sz w:val="28"/>
          <w:szCs w:val="28"/>
          <w:lang w:eastAsia="zh-CN"/>
        </w:rPr>
        <w:t>响应函</w:t>
      </w:r>
    </w:p>
    <w:p>
      <w:pPr>
        <w:pStyle w:val="156"/>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rPr>
        <w:t>致：</w:t>
      </w:r>
      <w:r>
        <w:rPr>
          <w:rFonts w:hint="eastAsia" w:ascii="宋体" w:hAnsi="宋体" w:eastAsia="宋体" w:cs="宋体"/>
          <w:color w:val="auto"/>
          <w:spacing w:val="14"/>
          <w:sz w:val="24"/>
          <w:szCs w:val="24"/>
          <w:u w:val="single" w:color="000000"/>
          <w:lang w:eastAsia="zh-CN"/>
        </w:rPr>
        <w:t>（采购人）</w:t>
      </w:r>
    </w:p>
    <w:p>
      <w:pPr>
        <w:pStyle w:val="156"/>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根据贵方</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编号为</w:t>
      </w:r>
      <w:r>
        <w:rPr>
          <w:rFonts w:hint="eastAsia" w:ascii="宋体" w:hAnsi="宋体" w:eastAsia="宋体" w:cs="宋体"/>
          <w:color w:val="auto"/>
          <w:spacing w:val="14"/>
          <w:sz w:val="24"/>
          <w:szCs w:val="24"/>
          <w:u w:val="single" w:color="000000"/>
          <w:lang w:eastAsia="zh-CN"/>
        </w:rPr>
        <w:t xml:space="preserve">                </w:t>
      </w:r>
      <w:r>
        <w:rPr>
          <w:rFonts w:hint="eastAsia" w:ascii="宋体" w:hAnsi="宋体" w:eastAsia="宋体" w:cs="宋体"/>
          <w:color w:val="auto"/>
          <w:spacing w:val="14"/>
          <w:sz w:val="24"/>
          <w:szCs w:val="24"/>
        </w:rPr>
        <w:t>的</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公告，我方签字代表经正式授权并代表供应商提交响应文件及相关资料，并对之负法律责任。</w:t>
      </w:r>
    </w:p>
    <w:p>
      <w:pPr>
        <w:pStyle w:val="156"/>
        <w:ind w:firstLine="474" w:firstLineChars="20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据此函，签字代表宣布同意如下：</w:t>
      </w:r>
    </w:p>
    <w:p>
      <w:pPr>
        <w:pStyle w:val="156"/>
        <w:numPr>
          <w:ilvl w:val="0"/>
          <w:numId w:val="0"/>
        </w:numPr>
        <w:ind w:left="425" w:leftChars="0" w:firstLine="474" w:firstLineChars="200"/>
        <w:rPr>
          <w:rFonts w:hint="eastAsia" w:ascii="宋体" w:hAnsi="宋体" w:eastAsia="宋体" w:cs="宋体"/>
          <w:color w:val="auto"/>
          <w:spacing w:val="14"/>
          <w:sz w:val="24"/>
          <w:szCs w:val="24"/>
        </w:rPr>
      </w:pPr>
      <w:r>
        <w:rPr>
          <w:rFonts w:hint="default" w:ascii="宋体" w:hAnsi="宋体" w:eastAsia="宋体" w:cs="宋体"/>
          <w:color w:val="auto"/>
          <w:spacing w:val="14"/>
          <w:sz w:val="24"/>
          <w:szCs w:val="24"/>
          <w:lang w:val="en-US" w:eastAsia="zh-CN" w:bidi="ar-SA"/>
        </w:rPr>
        <w:t>1.</w:t>
      </w:r>
      <w:r>
        <w:rPr>
          <w:rFonts w:hint="eastAsia" w:ascii="宋体" w:hAnsi="宋体" w:eastAsia="宋体" w:cs="宋体"/>
          <w:color w:val="auto"/>
          <w:spacing w:val="14"/>
          <w:sz w:val="24"/>
          <w:szCs w:val="24"/>
        </w:rPr>
        <w:t>依法依规、诚实守信、公平竞争参加本次</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活动。</w:t>
      </w:r>
    </w:p>
    <w:p>
      <w:pPr>
        <w:pStyle w:val="156"/>
        <w:numPr>
          <w:ilvl w:val="0"/>
          <w:numId w:val="0"/>
        </w:numPr>
        <w:ind w:left="425" w:leftChars="0" w:firstLine="474" w:firstLineChars="200"/>
        <w:rPr>
          <w:rFonts w:hint="eastAsia" w:ascii="宋体" w:hAnsi="宋体" w:eastAsia="宋体" w:cs="宋体"/>
          <w:color w:val="auto"/>
          <w:spacing w:val="14"/>
          <w:sz w:val="24"/>
          <w:szCs w:val="24"/>
        </w:rPr>
      </w:pPr>
      <w:r>
        <w:rPr>
          <w:rFonts w:hint="default" w:ascii="宋体" w:hAnsi="宋体" w:eastAsia="宋体" w:cs="宋体"/>
          <w:color w:val="auto"/>
          <w:spacing w:val="14"/>
          <w:sz w:val="24"/>
          <w:szCs w:val="24"/>
          <w:lang w:val="en-US" w:eastAsia="zh-CN" w:bidi="ar-SA"/>
        </w:rPr>
        <w:t>2.</w:t>
      </w:r>
      <w:r>
        <w:rPr>
          <w:rFonts w:hint="eastAsia" w:ascii="宋体" w:hAnsi="宋体" w:eastAsia="宋体" w:cs="宋体"/>
          <w:color w:val="auto"/>
          <w:spacing w:val="14"/>
          <w:sz w:val="24"/>
          <w:szCs w:val="24"/>
        </w:rPr>
        <w:t>我方保证响应文件中的所有资料均为真实、准确、完整、有效的，且不具有任何误导性，否则，我方承诺响应文件无效并自愿承担一切法律责任。</w:t>
      </w:r>
    </w:p>
    <w:p>
      <w:pPr>
        <w:pStyle w:val="156"/>
        <w:numPr>
          <w:ilvl w:val="0"/>
          <w:numId w:val="0"/>
        </w:numPr>
        <w:ind w:left="425" w:leftChars="0" w:firstLine="474" w:firstLineChars="200"/>
        <w:rPr>
          <w:rFonts w:hint="eastAsia" w:ascii="宋体" w:hAnsi="宋体" w:eastAsia="宋体" w:cs="宋体"/>
          <w:color w:val="auto"/>
          <w:spacing w:val="14"/>
          <w:sz w:val="24"/>
          <w:szCs w:val="24"/>
        </w:rPr>
      </w:pPr>
      <w:r>
        <w:rPr>
          <w:rFonts w:hint="default" w:ascii="宋体" w:hAnsi="宋体" w:eastAsia="宋体" w:cs="宋体"/>
          <w:color w:val="auto"/>
          <w:spacing w:val="14"/>
          <w:sz w:val="24"/>
          <w:szCs w:val="24"/>
          <w:lang w:val="en-US" w:eastAsia="zh-CN" w:bidi="ar-SA"/>
        </w:rPr>
        <w:t>3.</w:t>
      </w:r>
      <w:r>
        <w:rPr>
          <w:rFonts w:hint="eastAsia" w:ascii="宋体" w:hAnsi="宋体" w:eastAsia="宋体" w:cs="宋体"/>
          <w:color w:val="auto"/>
          <w:spacing w:val="14"/>
          <w:sz w:val="24"/>
          <w:szCs w:val="24"/>
        </w:rPr>
        <w:t>我方的报价详见</w:t>
      </w:r>
      <w:r>
        <w:rPr>
          <w:rFonts w:hint="eastAsia" w:ascii="宋体" w:hAnsi="宋体" w:eastAsia="宋体" w:cs="宋体"/>
          <w:color w:val="auto"/>
          <w:spacing w:val="14"/>
          <w:sz w:val="24"/>
          <w:szCs w:val="24"/>
          <w:lang w:eastAsia="zh-CN"/>
        </w:rPr>
        <w:t>报价</w:t>
      </w:r>
      <w:r>
        <w:rPr>
          <w:rFonts w:hint="eastAsia" w:ascii="宋体" w:hAnsi="宋体" w:eastAsia="宋体" w:cs="宋体"/>
          <w:color w:val="auto"/>
          <w:spacing w:val="14"/>
          <w:sz w:val="24"/>
          <w:szCs w:val="24"/>
        </w:rPr>
        <w:t>一览表。</w:t>
      </w:r>
    </w:p>
    <w:p>
      <w:pPr>
        <w:pStyle w:val="156"/>
        <w:numPr>
          <w:ilvl w:val="0"/>
          <w:numId w:val="0"/>
        </w:numPr>
        <w:ind w:left="425" w:leftChars="0" w:firstLine="474" w:firstLineChars="200"/>
        <w:rPr>
          <w:rFonts w:hint="eastAsia" w:ascii="宋体" w:hAnsi="宋体" w:eastAsia="宋体" w:cs="宋体"/>
          <w:color w:val="auto"/>
          <w:spacing w:val="14"/>
          <w:sz w:val="24"/>
          <w:szCs w:val="24"/>
        </w:rPr>
      </w:pPr>
      <w:r>
        <w:rPr>
          <w:rFonts w:hint="default" w:ascii="宋体" w:hAnsi="宋体" w:eastAsia="宋体" w:cs="宋体"/>
          <w:color w:val="auto"/>
          <w:spacing w:val="14"/>
          <w:sz w:val="24"/>
          <w:szCs w:val="24"/>
          <w:lang w:val="en-US" w:eastAsia="zh-CN" w:bidi="ar-SA"/>
        </w:rPr>
        <w:t>4.</w:t>
      </w:r>
      <w:r>
        <w:rPr>
          <w:rFonts w:hint="eastAsia" w:ascii="宋体" w:hAnsi="宋体" w:eastAsia="宋体" w:cs="宋体"/>
          <w:color w:val="auto"/>
          <w:spacing w:val="14"/>
          <w:sz w:val="24"/>
          <w:szCs w:val="24"/>
        </w:rPr>
        <w:t>我方承诺除技术要求响应与偏差表、商务要求响应与偏差表列出的偏差外，我方响应</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的全部要求。</w:t>
      </w:r>
    </w:p>
    <w:p>
      <w:pPr>
        <w:pStyle w:val="156"/>
        <w:numPr>
          <w:ilvl w:val="0"/>
          <w:numId w:val="0"/>
        </w:numPr>
        <w:ind w:left="425" w:leftChars="0" w:firstLine="474" w:firstLineChars="200"/>
        <w:rPr>
          <w:rFonts w:hint="eastAsia" w:ascii="宋体" w:hAnsi="宋体" w:eastAsia="宋体" w:cs="宋体"/>
          <w:color w:val="auto"/>
          <w:spacing w:val="14"/>
          <w:sz w:val="24"/>
          <w:szCs w:val="24"/>
        </w:rPr>
      </w:pPr>
      <w:r>
        <w:rPr>
          <w:rFonts w:hint="default" w:ascii="宋体" w:hAnsi="宋体" w:eastAsia="宋体" w:cs="宋体"/>
          <w:color w:val="auto"/>
          <w:spacing w:val="14"/>
          <w:sz w:val="24"/>
          <w:szCs w:val="24"/>
          <w:lang w:val="en-US" w:eastAsia="zh-CN" w:bidi="ar-SA"/>
        </w:rPr>
        <w:t>5.</w:t>
      </w:r>
      <w:r>
        <w:rPr>
          <w:rFonts w:hint="eastAsia" w:ascii="宋体" w:hAnsi="宋体" w:eastAsia="宋体" w:cs="宋体"/>
          <w:color w:val="auto"/>
          <w:spacing w:val="14"/>
          <w:sz w:val="24"/>
          <w:szCs w:val="24"/>
        </w:rPr>
        <w:t>我方愿遵守《中华人民共和国政府采购法》及相关的政府采购法律法规，按《中华人民共和国合同法》履行我方的全部责任。</w:t>
      </w:r>
    </w:p>
    <w:p>
      <w:pPr>
        <w:pStyle w:val="156"/>
        <w:numPr>
          <w:ilvl w:val="0"/>
          <w:numId w:val="0"/>
        </w:numPr>
        <w:ind w:left="425" w:leftChars="0" w:firstLine="474" w:firstLineChars="200"/>
        <w:rPr>
          <w:rFonts w:hint="eastAsia" w:ascii="宋体" w:hAnsi="宋体" w:eastAsia="宋体" w:cs="宋体"/>
          <w:color w:val="auto"/>
          <w:spacing w:val="14"/>
          <w:kern w:val="2"/>
          <w:sz w:val="24"/>
          <w:szCs w:val="24"/>
        </w:rPr>
      </w:pPr>
      <w:r>
        <w:rPr>
          <w:rFonts w:hint="default" w:ascii="宋体" w:hAnsi="宋体" w:eastAsia="宋体" w:cs="宋体"/>
          <w:color w:val="auto"/>
          <w:spacing w:val="14"/>
          <w:kern w:val="2"/>
          <w:sz w:val="24"/>
          <w:szCs w:val="24"/>
          <w:lang w:val="en-US" w:eastAsia="zh-CN" w:bidi="ar-SA"/>
        </w:rPr>
        <w:t>6.</w:t>
      </w:r>
      <w:r>
        <w:rPr>
          <w:rFonts w:hint="eastAsia" w:ascii="宋体" w:hAnsi="宋体" w:eastAsia="宋体" w:cs="宋体"/>
          <w:color w:val="auto"/>
          <w:spacing w:val="14"/>
          <w:kern w:val="2"/>
          <w:sz w:val="24"/>
          <w:szCs w:val="24"/>
        </w:rPr>
        <w:t>我方已认真仔细研究</w:t>
      </w:r>
      <w:r>
        <w:rPr>
          <w:rFonts w:hint="eastAsia" w:ascii="宋体" w:hAnsi="宋体" w:eastAsia="宋体" w:cs="宋体"/>
          <w:color w:val="auto"/>
          <w:spacing w:val="14"/>
          <w:kern w:val="2"/>
          <w:sz w:val="24"/>
          <w:szCs w:val="24"/>
          <w:lang w:eastAsia="zh-CN"/>
        </w:rPr>
        <w:t>采购文件</w:t>
      </w:r>
      <w:r>
        <w:rPr>
          <w:rFonts w:hint="eastAsia" w:ascii="宋体" w:hAnsi="宋体" w:eastAsia="宋体" w:cs="宋体"/>
          <w:color w:val="auto"/>
          <w:spacing w:val="14"/>
          <w:kern w:val="2"/>
          <w:sz w:val="24"/>
          <w:szCs w:val="24"/>
        </w:rPr>
        <w:t>全部内容，包括修改文件以及全部参考资料和有关附件。我们完全理解并同意放弃对这方面有不明及误解的权力。</w:t>
      </w:r>
    </w:p>
    <w:p>
      <w:pPr>
        <w:pStyle w:val="156"/>
        <w:numPr>
          <w:ilvl w:val="0"/>
          <w:numId w:val="0"/>
        </w:numPr>
        <w:ind w:left="425" w:leftChars="0" w:firstLine="474" w:firstLineChars="200"/>
        <w:rPr>
          <w:rFonts w:hint="eastAsia" w:ascii="宋体" w:hAnsi="宋体" w:eastAsia="宋体" w:cs="宋体"/>
          <w:color w:val="auto"/>
          <w:spacing w:val="14"/>
          <w:sz w:val="24"/>
          <w:szCs w:val="24"/>
        </w:rPr>
      </w:pPr>
      <w:r>
        <w:rPr>
          <w:rFonts w:hint="default" w:ascii="宋体" w:hAnsi="宋体" w:eastAsia="宋体" w:cs="宋体"/>
          <w:color w:val="auto"/>
          <w:spacing w:val="14"/>
          <w:sz w:val="24"/>
          <w:szCs w:val="24"/>
          <w:lang w:val="en-US" w:eastAsia="zh-CN" w:bidi="ar-SA"/>
        </w:rPr>
        <w:t>7.</w:t>
      </w:r>
      <w:r>
        <w:rPr>
          <w:rFonts w:hint="eastAsia" w:ascii="宋体" w:hAnsi="宋体" w:eastAsia="宋体" w:cs="宋体"/>
          <w:color w:val="auto"/>
          <w:spacing w:val="14"/>
          <w:sz w:val="24"/>
          <w:szCs w:val="24"/>
        </w:rPr>
        <w:t>我方承诺</w:t>
      </w:r>
      <w:r>
        <w:rPr>
          <w:rFonts w:hint="eastAsia" w:ascii="宋体" w:hAnsi="宋体" w:eastAsia="宋体" w:cs="宋体"/>
          <w:color w:val="auto"/>
          <w:spacing w:val="14"/>
          <w:sz w:val="24"/>
          <w:szCs w:val="24"/>
          <w:lang w:eastAsia="zh-CN"/>
        </w:rPr>
        <w:t>响应文件</w:t>
      </w:r>
      <w:r>
        <w:rPr>
          <w:rFonts w:hint="eastAsia" w:ascii="宋体" w:hAnsi="宋体" w:eastAsia="宋体" w:cs="宋体"/>
          <w:color w:val="auto"/>
          <w:spacing w:val="14"/>
          <w:sz w:val="24"/>
          <w:szCs w:val="24"/>
        </w:rPr>
        <w:t>有效期为提交响应文件截止时间后</w:t>
      </w:r>
      <w:r>
        <w:rPr>
          <w:rFonts w:hint="eastAsia" w:ascii="宋体" w:hAnsi="宋体" w:eastAsia="宋体" w:cs="宋体"/>
          <w:color w:val="auto"/>
          <w:spacing w:val="14"/>
          <w:sz w:val="24"/>
          <w:szCs w:val="24"/>
          <w:lang w:val="en-US" w:eastAsia="zh-CN"/>
        </w:rPr>
        <w:t>6</w:t>
      </w:r>
      <w:r>
        <w:rPr>
          <w:rFonts w:hint="eastAsia" w:ascii="宋体" w:hAnsi="宋体" w:eastAsia="宋体" w:cs="宋体"/>
          <w:color w:val="auto"/>
          <w:spacing w:val="14"/>
          <w:sz w:val="24"/>
          <w:szCs w:val="24"/>
        </w:rPr>
        <w:t>0天，并在</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规定的有效期内不撤销响应文件。</w:t>
      </w:r>
    </w:p>
    <w:p>
      <w:pPr>
        <w:pStyle w:val="156"/>
        <w:numPr>
          <w:ilvl w:val="0"/>
          <w:numId w:val="0"/>
        </w:numPr>
        <w:ind w:left="425" w:leftChars="0" w:firstLine="474" w:firstLineChars="200"/>
        <w:rPr>
          <w:rFonts w:hint="eastAsia" w:ascii="宋体" w:hAnsi="宋体" w:eastAsia="宋体" w:cs="宋体"/>
          <w:color w:val="auto"/>
          <w:spacing w:val="14"/>
          <w:sz w:val="24"/>
          <w:szCs w:val="24"/>
        </w:rPr>
      </w:pPr>
      <w:r>
        <w:rPr>
          <w:rFonts w:hint="default" w:ascii="宋体" w:hAnsi="宋体" w:eastAsia="宋体" w:cs="宋体"/>
          <w:color w:val="auto"/>
          <w:spacing w:val="14"/>
          <w:sz w:val="24"/>
          <w:szCs w:val="24"/>
          <w:lang w:val="en-US" w:eastAsia="zh-CN" w:bidi="ar-SA"/>
        </w:rPr>
        <w:t>8.</w:t>
      </w:r>
      <w:r>
        <w:rPr>
          <w:rFonts w:hint="eastAsia" w:ascii="宋体" w:hAnsi="宋体" w:eastAsia="宋体" w:cs="宋体"/>
          <w:color w:val="auto"/>
          <w:spacing w:val="14"/>
          <w:sz w:val="24"/>
          <w:szCs w:val="24"/>
        </w:rPr>
        <w:t>如果我方的行为符合本</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规定的</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保证金不予退还情形的，我方同意不退还我方提交的</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保证金。</w:t>
      </w:r>
    </w:p>
    <w:p>
      <w:pPr>
        <w:pStyle w:val="156"/>
        <w:numPr>
          <w:ilvl w:val="0"/>
          <w:numId w:val="0"/>
        </w:numPr>
        <w:ind w:left="425" w:leftChars="0" w:firstLine="474" w:firstLineChars="200"/>
        <w:rPr>
          <w:rFonts w:hint="eastAsia" w:ascii="宋体" w:hAnsi="宋体" w:eastAsia="宋体" w:cs="宋体"/>
          <w:color w:val="auto"/>
          <w:spacing w:val="14"/>
          <w:sz w:val="24"/>
          <w:szCs w:val="24"/>
        </w:rPr>
      </w:pPr>
      <w:r>
        <w:rPr>
          <w:rFonts w:hint="default" w:ascii="宋体" w:hAnsi="宋体" w:eastAsia="宋体" w:cs="宋体"/>
          <w:color w:val="auto"/>
          <w:spacing w:val="14"/>
          <w:sz w:val="24"/>
          <w:szCs w:val="24"/>
          <w:lang w:val="en-US" w:eastAsia="zh-CN" w:bidi="ar-SA"/>
        </w:rPr>
        <w:t>9.</w:t>
      </w:r>
      <w:r>
        <w:rPr>
          <w:rFonts w:hint="eastAsia" w:ascii="宋体" w:hAnsi="宋体" w:eastAsia="宋体" w:cs="宋体"/>
          <w:color w:val="auto"/>
          <w:spacing w:val="14"/>
          <w:sz w:val="24"/>
          <w:szCs w:val="24"/>
        </w:rPr>
        <w:t>我方同意按照贵方的要求提供与</w:t>
      </w:r>
      <w:r>
        <w:rPr>
          <w:rFonts w:hint="eastAsia" w:ascii="宋体" w:hAnsi="宋体" w:eastAsia="宋体" w:cs="宋体"/>
          <w:color w:val="auto"/>
          <w:spacing w:val="14"/>
          <w:sz w:val="24"/>
          <w:szCs w:val="24"/>
          <w:lang w:eastAsia="zh-CN"/>
        </w:rPr>
        <w:t>采购活动</w:t>
      </w:r>
      <w:r>
        <w:rPr>
          <w:rFonts w:hint="eastAsia" w:ascii="宋体" w:hAnsi="宋体" w:eastAsia="宋体" w:cs="宋体"/>
          <w:color w:val="auto"/>
          <w:spacing w:val="14"/>
          <w:sz w:val="24"/>
          <w:szCs w:val="24"/>
        </w:rPr>
        <w:t>有关的一切数据或资料，理解贵方不一定接受最低报价的</w:t>
      </w:r>
      <w:r>
        <w:rPr>
          <w:rFonts w:hint="eastAsia" w:ascii="宋体" w:hAnsi="宋体" w:eastAsia="宋体" w:cs="宋体"/>
          <w:color w:val="auto"/>
          <w:spacing w:val="14"/>
          <w:sz w:val="24"/>
          <w:szCs w:val="24"/>
          <w:lang w:eastAsia="zh-CN"/>
        </w:rPr>
        <w:t>响应文件</w:t>
      </w:r>
      <w:r>
        <w:rPr>
          <w:rFonts w:hint="eastAsia" w:ascii="宋体" w:hAnsi="宋体" w:eastAsia="宋体" w:cs="宋体"/>
          <w:color w:val="auto"/>
          <w:spacing w:val="14"/>
          <w:sz w:val="24"/>
          <w:szCs w:val="24"/>
        </w:rPr>
        <w:t>或收到的任何</w:t>
      </w:r>
      <w:r>
        <w:rPr>
          <w:rFonts w:hint="eastAsia" w:ascii="宋体" w:hAnsi="宋体" w:eastAsia="宋体" w:cs="宋体"/>
          <w:color w:val="auto"/>
          <w:spacing w:val="14"/>
          <w:sz w:val="24"/>
          <w:szCs w:val="24"/>
          <w:lang w:eastAsia="zh-CN"/>
        </w:rPr>
        <w:t>响应文件</w:t>
      </w:r>
      <w:r>
        <w:rPr>
          <w:rFonts w:hint="eastAsia" w:ascii="宋体" w:hAnsi="宋体" w:eastAsia="宋体" w:cs="宋体"/>
          <w:color w:val="auto"/>
          <w:spacing w:val="14"/>
          <w:sz w:val="24"/>
          <w:szCs w:val="24"/>
        </w:rPr>
        <w:t>。</w:t>
      </w:r>
    </w:p>
    <w:p>
      <w:pPr>
        <w:pStyle w:val="156"/>
        <w:numPr>
          <w:ilvl w:val="0"/>
          <w:numId w:val="0"/>
        </w:numPr>
        <w:ind w:left="425" w:leftChars="0" w:firstLine="474" w:firstLineChars="200"/>
        <w:rPr>
          <w:rFonts w:hint="eastAsia" w:ascii="宋体" w:hAnsi="宋体" w:eastAsia="宋体" w:cs="宋体"/>
          <w:color w:val="auto"/>
          <w:spacing w:val="14"/>
          <w:sz w:val="24"/>
          <w:szCs w:val="24"/>
        </w:rPr>
      </w:pPr>
      <w:r>
        <w:rPr>
          <w:rFonts w:hint="default" w:ascii="宋体" w:hAnsi="宋体" w:eastAsia="宋体" w:cs="宋体"/>
          <w:color w:val="auto"/>
          <w:spacing w:val="14"/>
          <w:sz w:val="24"/>
          <w:szCs w:val="24"/>
          <w:lang w:val="en-US" w:eastAsia="zh-CN" w:bidi="ar-SA"/>
        </w:rPr>
        <w:t>10.我方在此声明，所提交的响应文件及有关资料内容完整、真实和准确，且不存在第二章“供应商须知”第 1.4.3 项规定的任何一种情形；在本项目非联合体投标；不分包本项目；不提交备选方案。</w:t>
      </w:r>
    </w:p>
    <w:p>
      <w:pPr>
        <w:pStyle w:val="156"/>
        <w:numPr>
          <w:ilvl w:val="0"/>
          <w:numId w:val="0"/>
        </w:numPr>
        <w:ind w:left="425" w:leftChars="0" w:firstLine="474" w:firstLineChars="200"/>
        <w:rPr>
          <w:rFonts w:hint="eastAsia" w:ascii="宋体" w:hAnsi="宋体" w:eastAsia="宋体" w:cs="宋体"/>
          <w:bCs/>
          <w:color w:val="auto"/>
          <w:spacing w:val="14"/>
          <w:sz w:val="24"/>
          <w:szCs w:val="24"/>
        </w:rPr>
      </w:pPr>
      <w:r>
        <w:rPr>
          <w:rFonts w:hint="default" w:ascii="宋体" w:hAnsi="宋体" w:eastAsia="宋体" w:cs="宋体"/>
          <w:bCs/>
          <w:color w:val="auto"/>
          <w:spacing w:val="14"/>
          <w:sz w:val="24"/>
          <w:szCs w:val="24"/>
          <w:lang w:val="en-US" w:eastAsia="zh-CN" w:bidi="ar-SA"/>
        </w:rPr>
        <w:t>11.</w:t>
      </w:r>
      <w:r>
        <w:rPr>
          <w:rFonts w:hint="eastAsia" w:ascii="宋体" w:hAnsi="宋体" w:eastAsia="宋体" w:cs="宋体"/>
          <w:bCs/>
          <w:color w:val="auto"/>
          <w:spacing w:val="14"/>
          <w:sz w:val="24"/>
          <w:szCs w:val="24"/>
        </w:rPr>
        <w:t>如果我方被确定为成交供应商，我方愿意按</w:t>
      </w:r>
      <w:r>
        <w:rPr>
          <w:rFonts w:hint="eastAsia" w:ascii="宋体" w:hAnsi="宋体" w:eastAsia="宋体" w:cs="宋体"/>
          <w:bCs/>
          <w:color w:val="auto"/>
          <w:spacing w:val="14"/>
          <w:sz w:val="24"/>
          <w:szCs w:val="24"/>
          <w:lang w:eastAsia="zh-CN"/>
        </w:rPr>
        <w:t>采购文件</w:t>
      </w:r>
      <w:r>
        <w:rPr>
          <w:rFonts w:hint="eastAsia" w:ascii="宋体" w:hAnsi="宋体" w:eastAsia="宋体" w:cs="宋体"/>
          <w:bCs/>
          <w:color w:val="auto"/>
          <w:spacing w:val="14"/>
          <w:sz w:val="24"/>
          <w:szCs w:val="24"/>
        </w:rPr>
        <w:t>的规定</w:t>
      </w:r>
      <w:r>
        <w:rPr>
          <w:rFonts w:hint="eastAsia" w:ascii="宋体" w:hAnsi="宋体" w:eastAsia="宋体" w:cs="宋体"/>
          <w:bCs/>
          <w:color w:val="auto"/>
          <w:spacing w:val="14"/>
          <w:sz w:val="24"/>
          <w:szCs w:val="24"/>
          <w:lang w:eastAsia="zh-CN"/>
        </w:rPr>
        <w:t>缴纳</w:t>
      </w:r>
      <w:r>
        <w:rPr>
          <w:rFonts w:hint="eastAsia" w:ascii="宋体" w:hAnsi="宋体" w:eastAsia="宋体" w:cs="宋体"/>
          <w:bCs/>
          <w:color w:val="auto"/>
          <w:spacing w:val="14"/>
          <w:sz w:val="24"/>
          <w:szCs w:val="24"/>
        </w:rPr>
        <w:t>履约保证金。我方如无不可抗力，放弃</w:t>
      </w:r>
      <w:r>
        <w:rPr>
          <w:rFonts w:hint="eastAsia" w:ascii="宋体" w:hAnsi="宋体" w:eastAsia="宋体" w:cs="宋体"/>
          <w:bCs/>
          <w:color w:val="auto"/>
          <w:spacing w:val="14"/>
          <w:sz w:val="24"/>
          <w:szCs w:val="24"/>
          <w:lang w:eastAsia="zh-CN"/>
        </w:rPr>
        <w:t>成交</w:t>
      </w:r>
      <w:r>
        <w:rPr>
          <w:rFonts w:hint="eastAsia" w:ascii="宋体" w:hAnsi="宋体" w:eastAsia="宋体" w:cs="宋体"/>
          <w:bCs/>
          <w:color w:val="auto"/>
          <w:spacing w:val="14"/>
          <w:sz w:val="24"/>
          <w:szCs w:val="24"/>
        </w:rPr>
        <w:t>资格，或者未履行</w:t>
      </w:r>
      <w:r>
        <w:rPr>
          <w:rFonts w:hint="eastAsia" w:ascii="宋体" w:hAnsi="宋体" w:eastAsia="宋体" w:cs="宋体"/>
          <w:bCs/>
          <w:color w:val="auto"/>
          <w:spacing w:val="14"/>
          <w:sz w:val="24"/>
          <w:szCs w:val="24"/>
          <w:lang w:eastAsia="zh-CN"/>
        </w:rPr>
        <w:t>采购文件</w:t>
      </w:r>
      <w:r>
        <w:rPr>
          <w:rFonts w:hint="eastAsia" w:ascii="宋体" w:hAnsi="宋体" w:eastAsia="宋体" w:cs="宋体"/>
          <w:bCs/>
          <w:color w:val="auto"/>
          <w:spacing w:val="14"/>
          <w:sz w:val="24"/>
          <w:szCs w:val="24"/>
        </w:rPr>
        <w:t>、响应文件和合同条款的，一经查实，我方愿意赔偿由此而造成的一切损失，并同意接受按相关法律法规和</w:t>
      </w:r>
      <w:r>
        <w:rPr>
          <w:rFonts w:hint="eastAsia" w:ascii="宋体" w:hAnsi="宋体" w:eastAsia="宋体" w:cs="宋体"/>
          <w:bCs/>
          <w:color w:val="auto"/>
          <w:spacing w:val="14"/>
          <w:sz w:val="24"/>
          <w:szCs w:val="24"/>
          <w:lang w:eastAsia="zh-CN"/>
        </w:rPr>
        <w:t>采购文件</w:t>
      </w:r>
      <w:r>
        <w:rPr>
          <w:rFonts w:hint="eastAsia" w:ascii="宋体" w:hAnsi="宋体" w:eastAsia="宋体" w:cs="宋体"/>
          <w:bCs/>
          <w:color w:val="auto"/>
          <w:spacing w:val="14"/>
          <w:sz w:val="24"/>
          <w:szCs w:val="24"/>
        </w:rPr>
        <w:t>的相关要求对我方进行的处罚。</w:t>
      </w:r>
    </w:p>
    <w:p>
      <w:pPr>
        <w:pStyle w:val="156"/>
        <w:numPr>
          <w:ilvl w:val="0"/>
          <w:numId w:val="0"/>
        </w:numPr>
        <w:ind w:left="425" w:leftChars="0" w:firstLine="474" w:firstLineChars="200"/>
        <w:rPr>
          <w:rFonts w:hint="eastAsia" w:ascii="宋体" w:hAnsi="宋体" w:eastAsia="宋体" w:cs="宋体"/>
          <w:bCs/>
          <w:color w:val="auto"/>
          <w:spacing w:val="14"/>
          <w:sz w:val="24"/>
          <w:szCs w:val="24"/>
        </w:rPr>
      </w:pPr>
      <w:r>
        <w:rPr>
          <w:rFonts w:hint="default" w:ascii="宋体" w:hAnsi="宋体" w:eastAsia="宋体" w:cs="宋体"/>
          <w:bCs/>
          <w:color w:val="auto"/>
          <w:spacing w:val="14"/>
          <w:sz w:val="24"/>
          <w:szCs w:val="24"/>
          <w:lang w:val="en-US" w:eastAsia="zh-CN" w:bidi="ar-SA"/>
        </w:rPr>
        <w:t>12.</w:t>
      </w:r>
      <w:r>
        <w:rPr>
          <w:rFonts w:hint="eastAsia" w:ascii="宋体" w:hAnsi="宋体" w:eastAsia="宋体" w:cs="宋体"/>
          <w:bCs/>
          <w:color w:val="auto"/>
          <w:spacing w:val="14"/>
          <w:sz w:val="24"/>
          <w:szCs w:val="24"/>
        </w:rPr>
        <w:t>采购人若需追加采购本项目</w:t>
      </w:r>
      <w:r>
        <w:rPr>
          <w:rFonts w:hint="eastAsia" w:ascii="宋体" w:hAnsi="宋体" w:eastAsia="宋体" w:cs="宋体"/>
          <w:bCs/>
          <w:color w:val="auto"/>
          <w:spacing w:val="14"/>
          <w:sz w:val="24"/>
          <w:szCs w:val="24"/>
          <w:lang w:eastAsia="zh-CN"/>
        </w:rPr>
        <w:t>采购文件</w:t>
      </w:r>
      <w:r>
        <w:rPr>
          <w:rFonts w:hint="eastAsia" w:ascii="宋体" w:hAnsi="宋体" w:eastAsia="宋体" w:cs="宋体"/>
          <w:bCs/>
          <w:color w:val="auto"/>
          <w:spacing w:val="14"/>
          <w:sz w:val="24"/>
          <w:szCs w:val="24"/>
        </w:rPr>
        <w:t>所列货物及相关伴随服务的，在不改变合同其他实质性条款的前提下，我方将按相同或更优惠的折扣率保证供货。</w:t>
      </w:r>
    </w:p>
    <w:p>
      <w:pPr>
        <w:pStyle w:val="156"/>
        <w:numPr>
          <w:ilvl w:val="0"/>
          <w:numId w:val="0"/>
        </w:numPr>
        <w:ind w:left="425" w:leftChars="0" w:firstLine="474" w:firstLineChars="200"/>
        <w:rPr>
          <w:rFonts w:hint="eastAsia" w:ascii="宋体" w:hAnsi="宋体" w:eastAsia="宋体" w:cs="宋体"/>
          <w:bCs/>
          <w:color w:val="auto"/>
          <w:spacing w:val="14"/>
          <w:sz w:val="24"/>
          <w:szCs w:val="24"/>
        </w:rPr>
      </w:pPr>
      <w:r>
        <w:rPr>
          <w:rFonts w:hint="default" w:ascii="宋体" w:hAnsi="宋体" w:eastAsia="宋体" w:cs="宋体"/>
          <w:bCs/>
          <w:color w:val="auto"/>
          <w:spacing w:val="14"/>
          <w:sz w:val="24"/>
          <w:szCs w:val="24"/>
          <w:lang w:val="en-US" w:eastAsia="zh-CN" w:bidi="ar-SA"/>
        </w:rPr>
        <w:t>13.</w:t>
      </w:r>
      <w:r>
        <w:rPr>
          <w:rFonts w:hint="eastAsia" w:ascii="宋体" w:hAnsi="宋体" w:eastAsia="宋体" w:cs="宋体"/>
          <w:bCs/>
          <w:color w:val="auto"/>
          <w:spacing w:val="14"/>
          <w:sz w:val="24"/>
          <w:szCs w:val="24"/>
        </w:rPr>
        <w:t>我公司保证所</w:t>
      </w:r>
      <w:r>
        <w:rPr>
          <w:rFonts w:hint="eastAsia" w:ascii="宋体" w:hAnsi="宋体" w:eastAsia="宋体" w:cs="宋体"/>
          <w:bCs/>
          <w:color w:val="auto"/>
          <w:spacing w:val="14"/>
          <w:sz w:val="24"/>
          <w:szCs w:val="24"/>
          <w:lang w:eastAsia="zh-CN"/>
        </w:rPr>
        <w:t>报</w:t>
      </w:r>
      <w:r>
        <w:rPr>
          <w:rFonts w:hint="eastAsia" w:ascii="宋体" w:hAnsi="宋体" w:eastAsia="宋体" w:cs="宋体"/>
          <w:bCs/>
          <w:color w:val="auto"/>
          <w:spacing w:val="14"/>
          <w:sz w:val="24"/>
          <w:szCs w:val="24"/>
        </w:rPr>
        <w:t>产品来自合法的供货渠道，若</w:t>
      </w:r>
      <w:r>
        <w:rPr>
          <w:rFonts w:hint="eastAsia" w:ascii="宋体" w:hAnsi="宋体" w:eastAsia="宋体" w:cs="宋体"/>
          <w:bCs/>
          <w:color w:val="auto"/>
          <w:spacing w:val="14"/>
          <w:sz w:val="24"/>
          <w:szCs w:val="24"/>
          <w:lang w:eastAsia="zh-CN"/>
        </w:rPr>
        <w:t>成交</w:t>
      </w:r>
      <w:r>
        <w:rPr>
          <w:rFonts w:hint="eastAsia" w:ascii="宋体" w:hAnsi="宋体" w:eastAsia="宋体" w:cs="宋体"/>
          <w:bCs/>
          <w:color w:val="auto"/>
          <w:spacing w:val="14"/>
          <w:sz w:val="24"/>
          <w:szCs w:val="24"/>
        </w:rPr>
        <w:t>，则有义务向采购人提供其要求的有效书面证明资料。如果提供非法渠道的商品，视为欺诈，并承担相关责任。</w:t>
      </w:r>
    </w:p>
    <w:p>
      <w:pPr>
        <w:pStyle w:val="156"/>
        <w:numPr>
          <w:ilvl w:val="0"/>
          <w:numId w:val="0"/>
        </w:numPr>
        <w:ind w:left="425" w:leftChars="0" w:firstLine="474" w:firstLineChars="200"/>
        <w:rPr>
          <w:rFonts w:hint="eastAsia" w:ascii="宋体" w:hAnsi="宋体" w:eastAsia="宋体" w:cs="宋体"/>
          <w:bCs/>
          <w:color w:val="auto"/>
          <w:spacing w:val="14"/>
          <w:sz w:val="24"/>
          <w:szCs w:val="24"/>
        </w:rPr>
      </w:pPr>
      <w:r>
        <w:rPr>
          <w:rFonts w:hint="default" w:ascii="宋体" w:hAnsi="宋体" w:eastAsia="宋体" w:cs="宋体"/>
          <w:bCs/>
          <w:color w:val="auto"/>
          <w:spacing w:val="14"/>
          <w:sz w:val="24"/>
          <w:szCs w:val="24"/>
          <w:lang w:val="en-US" w:eastAsia="zh-CN" w:bidi="ar-SA"/>
        </w:rPr>
        <w:t>14.</w:t>
      </w:r>
      <w:r>
        <w:rPr>
          <w:rFonts w:hint="eastAsia" w:ascii="宋体" w:hAnsi="宋体" w:eastAsia="宋体" w:cs="宋体"/>
          <w:bCs/>
          <w:color w:val="auto"/>
          <w:spacing w:val="14"/>
          <w:sz w:val="24"/>
          <w:szCs w:val="24"/>
        </w:rPr>
        <w:t>我方决不提供虚假资料谋取</w:t>
      </w:r>
      <w:r>
        <w:rPr>
          <w:rFonts w:hint="eastAsia" w:ascii="宋体" w:hAnsi="宋体" w:eastAsia="宋体" w:cs="宋体"/>
          <w:bCs/>
          <w:color w:val="auto"/>
          <w:spacing w:val="14"/>
          <w:sz w:val="24"/>
          <w:szCs w:val="24"/>
          <w:lang w:eastAsia="zh-CN"/>
        </w:rPr>
        <w:t>成交</w:t>
      </w:r>
      <w:r>
        <w:rPr>
          <w:rFonts w:hint="eastAsia" w:ascii="宋体" w:hAnsi="宋体" w:eastAsia="宋体" w:cs="宋体"/>
          <w:bCs/>
          <w:color w:val="auto"/>
          <w:spacing w:val="14"/>
          <w:sz w:val="24"/>
          <w:szCs w:val="24"/>
        </w:rPr>
        <w:t>，决不采取不正当手段诋毁、排挤其他供应商，决不与采购人、采购代理机构</w:t>
      </w:r>
      <w:r>
        <w:rPr>
          <w:rFonts w:hint="eastAsia" w:ascii="宋体" w:hAnsi="宋体" w:eastAsia="宋体" w:cs="宋体"/>
          <w:bCs/>
          <w:color w:val="auto"/>
          <w:spacing w:val="14"/>
          <w:sz w:val="24"/>
          <w:szCs w:val="24"/>
          <w:lang w:eastAsia="zh-CN"/>
        </w:rPr>
        <w:t>或者其他</w:t>
      </w:r>
      <w:r>
        <w:rPr>
          <w:rFonts w:hint="eastAsia" w:ascii="宋体" w:hAnsi="宋体" w:eastAsia="宋体" w:cs="宋体"/>
          <w:bCs/>
          <w:color w:val="auto"/>
          <w:spacing w:val="14"/>
          <w:sz w:val="24"/>
          <w:szCs w:val="24"/>
        </w:rPr>
        <w:t>供应商恶意串通，决不向采购人、代理机构工作人员和评委进行商业贿赂，决不拒绝相关监管部门的监督检查，不向相关监管部门提供虚假情况，如有违反政府采购法律法规的行为，无条件接受贵方及相关监管部门的依法依规处罚。</w:t>
      </w:r>
    </w:p>
    <w:p>
      <w:pPr>
        <w:pStyle w:val="156"/>
        <w:numPr>
          <w:ilvl w:val="0"/>
          <w:numId w:val="0"/>
        </w:numPr>
        <w:ind w:left="425" w:leftChars="0" w:firstLine="474" w:firstLineChars="200"/>
        <w:rPr>
          <w:rFonts w:hint="eastAsia" w:ascii="宋体" w:hAnsi="宋体" w:eastAsia="宋体" w:cs="宋体"/>
          <w:color w:val="auto"/>
          <w:spacing w:val="14"/>
          <w:sz w:val="24"/>
          <w:szCs w:val="24"/>
        </w:rPr>
      </w:pPr>
      <w:r>
        <w:rPr>
          <w:rFonts w:hint="default" w:ascii="宋体" w:hAnsi="宋体" w:eastAsia="宋体" w:cs="宋体"/>
          <w:color w:val="auto"/>
          <w:spacing w:val="14"/>
          <w:sz w:val="24"/>
          <w:szCs w:val="24"/>
          <w:lang w:val="en-US" w:eastAsia="zh-CN" w:bidi="ar-SA"/>
        </w:rPr>
        <w:t>15.</w:t>
      </w:r>
      <w:r>
        <w:rPr>
          <w:rFonts w:hint="eastAsia" w:ascii="宋体" w:hAnsi="宋体" w:eastAsia="宋体" w:cs="宋体"/>
          <w:color w:val="auto"/>
          <w:spacing w:val="14"/>
          <w:sz w:val="24"/>
          <w:szCs w:val="24"/>
        </w:rPr>
        <w:t>与本</w:t>
      </w:r>
      <w:r>
        <w:rPr>
          <w:rFonts w:hint="eastAsia" w:ascii="宋体" w:hAnsi="宋体" w:eastAsia="宋体" w:cs="宋体"/>
          <w:color w:val="auto"/>
          <w:spacing w:val="14"/>
          <w:sz w:val="24"/>
          <w:szCs w:val="24"/>
          <w:lang w:eastAsia="zh-CN"/>
        </w:rPr>
        <w:t>采购活动</w:t>
      </w:r>
      <w:r>
        <w:rPr>
          <w:rFonts w:hint="eastAsia" w:ascii="宋体" w:hAnsi="宋体" w:eastAsia="宋体" w:cs="宋体"/>
          <w:color w:val="auto"/>
          <w:spacing w:val="14"/>
          <w:sz w:val="24"/>
          <w:szCs w:val="24"/>
        </w:rPr>
        <w:t>有关的一切正式函件往来请寄：</w:t>
      </w:r>
    </w:p>
    <w:p>
      <w:pPr>
        <w:pStyle w:val="156"/>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 xml:space="preserve">    地址：                邮政编码：</w:t>
      </w:r>
    </w:p>
    <w:p>
      <w:pPr>
        <w:pStyle w:val="156"/>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rPr>
        <w:t xml:space="preserve">    电话：                传真：</w:t>
      </w:r>
      <w:r>
        <w:rPr>
          <w:rFonts w:hint="eastAsia" w:ascii="宋体" w:hAnsi="宋体" w:eastAsia="宋体" w:cs="宋体"/>
          <w:color w:val="auto"/>
          <w:spacing w:val="14"/>
          <w:sz w:val="24"/>
          <w:szCs w:val="24"/>
          <w:lang w:eastAsia="zh-CN"/>
        </w:rPr>
        <w:t xml:space="preserve">             电子信箱：</w:t>
      </w:r>
    </w:p>
    <w:p>
      <w:pPr>
        <w:pStyle w:val="156"/>
        <w:ind w:firstLine="0"/>
        <w:rPr>
          <w:rFonts w:hint="eastAsia" w:ascii="宋体" w:hAnsi="宋体" w:eastAsia="宋体" w:cs="宋体"/>
          <w:color w:val="auto"/>
          <w:spacing w:val="14"/>
          <w:sz w:val="24"/>
          <w:szCs w:val="24"/>
        </w:rPr>
      </w:pPr>
    </w:p>
    <w:p>
      <w:pPr>
        <w:ind w:firstLine="418"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供应商（公章）：</w:t>
      </w:r>
    </w:p>
    <w:p>
      <w:pPr>
        <w:rPr>
          <w:rFonts w:hint="eastAsia" w:ascii="宋体" w:hAnsi="宋体" w:eastAsia="宋体" w:cs="宋体"/>
          <w:color w:val="auto"/>
          <w:sz w:val="24"/>
          <w:szCs w:val="24"/>
        </w:rPr>
      </w:pPr>
    </w:p>
    <w:p>
      <w:pPr>
        <w:ind w:firstLine="418"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日期：</w:t>
      </w:r>
    </w:p>
    <w:p>
      <w:pPr>
        <w:pStyle w:val="156"/>
        <w:rPr>
          <w:rFonts w:hint="eastAsia" w:ascii="宋体" w:hAnsi="宋体" w:eastAsia="宋体" w:cs="宋体"/>
          <w:color w:val="auto"/>
          <w:spacing w:val="14"/>
          <w:sz w:val="24"/>
          <w:szCs w:val="24"/>
        </w:rPr>
      </w:pPr>
    </w:p>
    <w:p>
      <w:pPr>
        <w:pStyle w:val="156"/>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本供应商承诺：以上地址等信息为邮寄函件的真实有效准确信息，收件人为法定代表人或供应商代表。如我方对往来函件拒收，邮寄方可视为已送达，由此造成的一切后果由本供应商承担。</w:t>
      </w:r>
    </w:p>
    <w:p>
      <w:pPr>
        <w:pStyle w:val="156"/>
        <w:rPr>
          <w:rFonts w:hint="eastAsia" w:ascii="宋体" w:hAnsi="宋体" w:eastAsia="宋体" w:cs="宋体"/>
          <w:color w:val="auto"/>
          <w:spacing w:val="14"/>
          <w:sz w:val="24"/>
          <w:szCs w:val="24"/>
        </w:rPr>
      </w:pPr>
    </w:p>
    <w:p>
      <w:pPr>
        <w:pStyle w:val="156"/>
        <w:rPr>
          <w:rStyle w:val="76"/>
          <w:rFonts w:hint="eastAsia" w:ascii="宋体" w:hAnsi="宋体" w:eastAsia="宋体" w:cs="宋体"/>
          <w:b w:val="0"/>
          <w:bCs w:val="0"/>
          <w:color w:val="auto"/>
          <w:spacing w:val="14"/>
          <w:sz w:val="24"/>
          <w:szCs w:val="24"/>
        </w:rPr>
      </w:pPr>
      <w:r>
        <w:rPr>
          <w:rFonts w:hint="eastAsia" w:ascii="宋体" w:hAnsi="宋体" w:eastAsia="宋体" w:cs="宋体"/>
          <w:color w:val="auto"/>
          <w:spacing w:val="14"/>
          <w:sz w:val="24"/>
          <w:szCs w:val="24"/>
        </w:rPr>
        <w:t>注：除可填报内容外，对本</w:t>
      </w:r>
      <w:r>
        <w:rPr>
          <w:rFonts w:hint="eastAsia" w:ascii="宋体" w:hAnsi="宋体" w:eastAsia="宋体" w:cs="宋体"/>
          <w:color w:val="auto"/>
          <w:spacing w:val="14"/>
          <w:sz w:val="24"/>
          <w:szCs w:val="24"/>
          <w:lang w:eastAsia="zh-CN"/>
        </w:rPr>
        <w:t>响应</w:t>
      </w:r>
      <w:r>
        <w:rPr>
          <w:rFonts w:hint="eastAsia" w:ascii="宋体" w:hAnsi="宋体" w:eastAsia="宋体" w:cs="宋体"/>
          <w:color w:val="auto"/>
          <w:spacing w:val="14"/>
          <w:sz w:val="24"/>
          <w:szCs w:val="24"/>
        </w:rPr>
        <w:t>函内容的任何实质性修改将被视为非实质性响应，从而导致该</w:t>
      </w:r>
      <w:r>
        <w:rPr>
          <w:rFonts w:hint="eastAsia" w:ascii="宋体" w:hAnsi="宋体" w:eastAsia="宋体" w:cs="宋体"/>
          <w:color w:val="auto"/>
          <w:spacing w:val="14"/>
          <w:sz w:val="24"/>
          <w:szCs w:val="24"/>
          <w:lang w:eastAsia="zh-CN"/>
        </w:rPr>
        <w:t>响应文件</w:t>
      </w:r>
      <w:r>
        <w:rPr>
          <w:rFonts w:hint="eastAsia" w:ascii="宋体" w:hAnsi="宋体" w:eastAsia="宋体" w:cs="宋体"/>
          <w:color w:val="auto"/>
          <w:spacing w:val="14"/>
          <w:sz w:val="24"/>
          <w:szCs w:val="24"/>
        </w:rPr>
        <w:t>被拒绝。</w:t>
      </w:r>
    </w:p>
    <w:p>
      <w:pPr>
        <w:pStyle w:val="156"/>
        <w:rPr>
          <w:rStyle w:val="76"/>
          <w:rFonts w:hint="eastAsia" w:ascii="宋体" w:hAnsi="宋体" w:eastAsia="宋体" w:cs="宋体"/>
          <w:b w:val="0"/>
          <w:bCs w:val="0"/>
          <w:color w:val="auto"/>
          <w:spacing w:val="14"/>
          <w:sz w:val="21"/>
          <w:szCs w:val="21"/>
        </w:rPr>
      </w:pPr>
    </w:p>
    <w:p>
      <w:pPr>
        <w:pStyle w:val="156"/>
        <w:rPr>
          <w:rStyle w:val="76"/>
          <w:rFonts w:hint="eastAsia" w:ascii="宋体" w:hAnsi="宋体" w:eastAsia="宋体" w:cs="宋体"/>
          <w:b w:val="0"/>
          <w:bCs w:val="0"/>
          <w:color w:val="auto"/>
          <w:spacing w:val="14"/>
          <w:sz w:val="21"/>
          <w:szCs w:val="21"/>
        </w:rPr>
      </w:pPr>
    </w:p>
    <w:p>
      <w:pPr>
        <w:pStyle w:val="156"/>
        <w:rPr>
          <w:rStyle w:val="76"/>
          <w:rFonts w:hint="eastAsia" w:ascii="宋体" w:hAnsi="宋体" w:eastAsia="宋体" w:cs="宋体"/>
          <w:b w:val="0"/>
          <w:bCs w:val="0"/>
          <w:color w:val="auto"/>
          <w:spacing w:val="14"/>
          <w:sz w:val="21"/>
          <w:szCs w:val="21"/>
        </w:rPr>
      </w:pPr>
    </w:p>
    <w:p>
      <w:pPr>
        <w:pStyle w:val="156"/>
        <w:ind w:left="0" w:leftChars="0" w:firstLine="0" w:firstLineChars="0"/>
        <w:outlineLvl w:val="1"/>
        <w:rPr>
          <w:rFonts w:hint="eastAsia"/>
        </w:rPr>
      </w:pPr>
      <w:r>
        <w:rPr>
          <w:rStyle w:val="76"/>
          <w:rFonts w:hint="eastAsia" w:ascii="宋体" w:hAnsi="宋体" w:eastAsia="宋体" w:cs="宋体"/>
          <w:b w:val="0"/>
          <w:bCs w:val="0"/>
          <w:color w:val="auto"/>
          <w:spacing w:val="14"/>
          <w:sz w:val="21"/>
          <w:szCs w:val="21"/>
        </w:rPr>
        <w:br w:type="page"/>
      </w:r>
      <w:bookmarkStart w:id="150" w:name="_Toc1662565"/>
      <w:bookmarkStart w:id="151" w:name="_Toc2197"/>
      <w:r>
        <w:rPr>
          <w:rFonts w:hint="eastAsia" w:ascii="宋体" w:hAnsi="宋体" w:eastAsia="宋体" w:cs="Times New Roman"/>
          <w:b/>
          <w:bCs/>
          <w:sz w:val="28"/>
          <w:szCs w:val="21"/>
          <w:lang w:val="en-US" w:eastAsia="zh-CN" w:bidi="ar-SA"/>
        </w:rPr>
        <w:t>附件2：法定代表人授权书</w:t>
      </w:r>
      <w:bookmarkEnd w:id="150"/>
      <w:bookmarkEnd w:id="151"/>
    </w:p>
    <w:p>
      <w:pPr>
        <w:pStyle w:val="156"/>
        <w:ind w:firstLine="0"/>
        <w:jc w:val="center"/>
        <w:rPr>
          <w:rFonts w:hint="eastAsia" w:ascii="宋体" w:hAnsi="宋体" w:eastAsia="宋体" w:cs="宋体"/>
          <w:color w:val="auto"/>
          <w:spacing w:val="14"/>
          <w:sz w:val="28"/>
          <w:szCs w:val="28"/>
          <w:lang w:eastAsia="zh-CN"/>
        </w:rPr>
      </w:pPr>
    </w:p>
    <w:p>
      <w:pPr>
        <w:pStyle w:val="156"/>
        <w:ind w:firstLine="0"/>
        <w:jc w:val="center"/>
        <w:rPr>
          <w:rFonts w:hint="eastAsia" w:ascii="宋体" w:hAnsi="宋体" w:eastAsia="宋体" w:cs="宋体"/>
          <w:color w:val="auto"/>
          <w:spacing w:val="14"/>
          <w:sz w:val="28"/>
          <w:szCs w:val="28"/>
          <w:lang w:eastAsia="zh-CN"/>
        </w:rPr>
      </w:pPr>
      <w:r>
        <w:rPr>
          <w:rFonts w:hint="eastAsia" w:ascii="宋体" w:hAnsi="宋体" w:eastAsia="宋体" w:cs="宋体"/>
          <w:color w:val="auto"/>
          <w:spacing w:val="14"/>
          <w:sz w:val="28"/>
          <w:szCs w:val="28"/>
          <w:lang w:eastAsia="zh-CN"/>
        </w:rPr>
        <w:t>法定代表人授权书</w:t>
      </w:r>
    </w:p>
    <w:p>
      <w:pPr>
        <w:rPr>
          <w:rFonts w:hint="eastAsia" w:ascii="宋体" w:hAnsi="宋体" w:eastAsia="宋体" w:cs="宋体"/>
          <w:color w:val="auto"/>
        </w:rPr>
      </w:pPr>
    </w:p>
    <w:p>
      <w:pPr>
        <w:pStyle w:val="156"/>
        <w:keepNext w:val="0"/>
        <w:keepLines w:val="0"/>
        <w:pageBreakBefore w:val="0"/>
        <w:widowControl/>
        <w:kinsoku/>
        <w:wordWrap w:val="0"/>
        <w:overflowPunct/>
        <w:topLinePunct w:val="0"/>
        <w:autoSpaceDE/>
        <w:autoSpaceDN/>
        <w:bidi w:val="0"/>
        <w:adjustRightInd/>
        <w:snapToGrid/>
        <w:ind w:firstLine="482"/>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本人</w:t>
      </w:r>
      <w:r>
        <w:rPr>
          <w:rFonts w:hint="eastAsia" w:ascii="宋体" w:hAnsi="宋体" w:eastAsia="宋体" w:cs="宋体"/>
          <w:color w:val="auto"/>
          <w:spacing w:val="14"/>
          <w:sz w:val="24"/>
          <w:szCs w:val="24"/>
          <w:u w:val="single"/>
          <w:lang w:eastAsia="zh-CN"/>
        </w:rPr>
        <w:t xml:space="preserve">         </w:t>
      </w:r>
      <w:r>
        <w:rPr>
          <w:rFonts w:hint="eastAsia" w:ascii="宋体" w:hAnsi="宋体" w:eastAsia="宋体" w:cs="宋体"/>
          <w:color w:val="auto"/>
          <w:spacing w:val="14"/>
          <w:sz w:val="24"/>
          <w:szCs w:val="24"/>
        </w:rPr>
        <w:t>（姓名）系</w:t>
      </w:r>
      <w:r>
        <w:rPr>
          <w:rFonts w:hint="eastAsia" w:ascii="宋体" w:hAnsi="宋体" w:eastAsia="宋体" w:cs="宋体"/>
          <w:color w:val="auto"/>
          <w:spacing w:val="14"/>
          <w:sz w:val="24"/>
          <w:szCs w:val="24"/>
          <w:u w:val="single"/>
          <w:lang w:eastAsia="zh-CN"/>
        </w:rPr>
        <w:t xml:space="preserve">            </w:t>
      </w:r>
      <w:r>
        <w:rPr>
          <w:rFonts w:hint="eastAsia" w:ascii="宋体" w:hAnsi="宋体" w:eastAsia="宋体" w:cs="宋体"/>
          <w:color w:val="auto"/>
          <w:spacing w:val="14"/>
          <w:sz w:val="24"/>
          <w:szCs w:val="24"/>
        </w:rPr>
        <w:t>（</w:t>
      </w:r>
      <w:r>
        <w:rPr>
          <w:rFonts w:hint="eastAsia" w:ascii="宋体" w:hAnsi="宋体" w:eastAsia="宋体" w:cs="宋体"/>
          <w:color w:val="auto"/>
          <w:spacing w:val="14"/>
          <w:sz w:val="24"/>
          <w:szCs w:val="24"/>
          <w:lang w:eastAsia="zh-CN"/>
        </w:rPr>
        <w:t>供应商</w:t>
      </w:r>
      <w:r>
        <w:rPr>
          <w:rFonts w:hint="eastAsia" w:ascii="宋体" w:hAnsi="宋体" w:eastAsia="宋体" w:cs="宋体"/>
          <w:color w:val="auto"/>
          <w:spacing w:val="14"/>
          <w:sz w:val="24"/>
          <w:szCs w:val="24"/>
        </w:rPr>
        <w:t>名称）的法定代表人，现授权委托本单位在职员工</w:t>
      </w:r>
      <w:r>
        <w:rPr>
          <w:rFonts w:hint="eastAsia" w:ascii="宋体" w:hAnsi="宋体" w:eastAsia="宋体" w:cs="宋体"/>
          <w:color w:val="auto"/>
          <w:spacing w:val="14"/>
          <w:sz w:val="24"/>
          <w:szCs w:val="24"/>
          <w:u w:val="single"/>
          <w:lang w:eastAsia="zh-CN"/>
        </w:rPr>
        <w:t xml:space="preserve">       </w:t>
      </w:r>
      <w:r>
        <w:rPr>
          <w:rFonts w:hint="eastAsia" w:ascii="宋体" w:hAnsi="宋体" w:eastAsia="宋体" w:cs="宋体"/>
          <w:color w:val="auto"/>
          <w:spacing w:val="14"/>
          <w:sz w:val="24"/>
          <w:szCs w:val="24"/>
        </w:rPr>
        <w:t>（姓名，职务）（身份证号码：</w:t>
      </w:r>
      <w:r>
        <w:rPr>
          <w:rFonts w:hint="eastAsia" w:ascii="宋体" w:hAnsi="宋体" w:eastAsia="宋体" w:cs="宋体"/>
          <w:color w:val="auto"/>
          <w:spacing w:val="14"/>
          <w:sz w:val="24"/>
          <w:szCs w:val="24"/>
          <w:u w:val="single"/>
          <w:lang w:eastAsia="zh-CN"/>
        </w:rPr>
        <w:t xml:space="preserve">             </w:t>
      </w:r>
      <w:r>
        <w:rPr>
          <w:rFonts w:hint="eastAsia" w:ascii="宋体" w:hAnsi="宋体" w:eastAsia="宋体" w:cs="宋体"/>
          <w:color w:val="auto"/>
          <w:spacing w:val="14"/>
          <w:sz w:val="24"/>
          <w:szCs w:val="24"/>
        </w:rPr>
        <w:t>、手机号码：</w:t>
      </w:r>
      <w:r>
        <w:rPr>
          <w:rFonts w:hint="eastAsia" w:ascii="宋体" w:hAnsi="宋体" w:eastAsia="宋体" w:cs="宋体"/>
          <w:color w:val="auto"/>
          <w:spacing w:val="14"/>
          <w:sz w:val="24"/>
          <w:szCs w:val="24"/>
          <w:u w:val="single"/>
        </w:rPr>
        <w:t xml:space="preserve">           </w:t>
      </w:r>
      <w:r>
        <w:rPr>
          <w:rFonts w:hint="eastAsia" w:ascii="宋体" w:hAnsi="宋体" w:eastAsia="宋体" w:cs="宋体"/>
          <w:color w:val="auto"/>
          <w:spacing w:val="14"/>
          <w:sz w:val="24"/>
          <w:szCs w:val="24"/>
        </w:rPr>
        <w:t>）作为供应商代表以我方的名义参加贵单位组织的</w:t>
      </w:r>
      <w:r>
        <w:rPr>
          <w:rFonts w:hint="eastAsia" w:ascii="宋体" w:hAnsi="宋体" w:eastAsia="宋体" w:cs="宋体"/>
          <w:color w:val="auto"/>
          <w:spacing w:val="14"/>
          <w:sz w:val="24"/>
          <w:szCs w:val="24"/>
          <w:u w:val="single"/>
        </w:rPr>
        <w:t xml:space="preserve">                  </w:t>
      </w:r>
      <w:r>
        <w:rPr>
          <w:rFonts w:hint="eastAsia" w:ascii="宋体" w:hAnsi="宋体" w:eastAsia="宋体" w:cs="宋体"/>
          <w:color w:val="auto"/>
          <w:spacing w:val="14"/>
          <w:sz w:val="24"/>
          <w:szCs w:val="24"/>
        </w:rPr>
        <w:t>项目（</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编号：</w:t>
      </w:r>
      <w:r>
        <w:rPr>
          <w:rFonts w:hint="eastAsia" w:ascii="宋体" w:hAnsi="宋体" w:eastAsia="宋体" w:cs="宋体"/>
          <w:color w:val="auto"/>
          <w:spacing w:val="14"/>
          <w:sz w:val="24"/>
          <w:szCs w:val="24"/>
          <w:u w:val="single"/>
        </w:rPr>
        <w:t xml:space="preserve">           </w:t>
      </w:r>
      <w:r>
        <w:rPr>
          <w:rFonts w:hint="eastAsia" w:ascii="宋体" w:hAnsi="宋体" w:eastAsia="宋体" w:cs="宋体"/>
          <w:color w:val="auto"/>
          <w:spacing w:val="14"/>
          <w:sz w:val="24"/>
          <w:szCs w:val="24"/>
        </w:rPr>
        <w:t>）的</w:t>
      </w:r>
      <w:r>
        <w:rPr>
          <w:rFonts w:hint="eastAsia" w:ascii="宋体" w:hAnsi="宋体" w:eastAsia="宋体" w:cs="宋体"/>
          <w:color w:val="auto"/>
          <w:spacing w:val="14"/>
          <w:sz w:val="24"/>
          <w:szCs w:val="24"/>
          <w:lang w:eastAsia="zh-CN"/>
        </w:rPr>
        <w:t>采购</w:t>
      </w:r>
      <w:r>
        <w:rPr>
          <w:rFonts w:hint="eastAsia" w:ascii="宋体" w:hAnsi="宋体" w:eastAsia="宋体" w:cs="宋体"/>
          <w:color w:val="auto"/>
          <w:spacing w:val="14"/>
          <w:sz w:val="24"/>
          <w:szCs w:val="24"/>
        </w:rPr>
        <w:t>活动，并代表我方全权处理一切与之有关的具体事务和签署相关文件，我均予以承认。</w:t>
      </w:r>
    </w:p>
    <w:p>
      <w:pPr>
        <w:pStyle w:val="156"/>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代理人无权转让委托权。</w:t>
      </w:r>
    </w:p>
    <w:p>
      <w:pPr>
        <w:pStyle w:val="156"/>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本授权书至</w:t>
      </w:r>
      <w:r>
        <w:rPr>
          <w:rFonts w:hint="eastAsia" w:ascii="宋体" w:hAnsi="宋体" w:eastAsia="宋体" w:cs="宋体"/>
          <w:color w:val="auto"/>
          <w:spacing w:val="14"/>
          <w:sz w:val="24"/>
          <w:szCs w:val="24"/>
          <w:lang w:eastAsia="zh-CN"/>
        </w:rPr>
        <w:t>响应文件</w:t>
      </w:r>
      <w:r>
        <w:rPr>
          <w:rFonts w:hint="eastAsia" w:ascii="宋体" w:hAnsi="宋体" w:eastAsia="宋体" w:cs="宋体"/>
          <w:color w:val="auto"/>
          <w:spacing w:val="14"/>
          <w:sz w:val="24"/>
          <w:szCs w:val="24"/>
        </w:rPr>
        <w:t>有效期结束前始终有效。</w:t>
      </w:r>
    </w:p>
    <w:p>
      <w:pPr>
        <w:pStyle w:val="156"/>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特此声明。</w:t>
      </w:r>
    </w:p>
    <w:p>
      <w:pPr>
        <w:pStyle w:val="156"/>
        <w:rPr>
          <w:rFonts w:hint="eastAsia" w:ascii="宋体" w:hAnsi="宋体" w:eastAsia="宋体" w:cs="宋体"/>
          <w:color w:val="auto"/>
          <w:spacing w:val="14"/>
          <w:sz w:val="24"/>
          <w:szCs w:val="24"/>
        </w:rPr>
      </w:pPr>
    </w:p>
    <w:p>
      <w:pPr>
        <w:pStyle w:val="156"/>
        <w:rPr>
          <w:rFonts w:hint="eastAsia" w:ascii="宋体" w:hAnsi="宋体" w:eastAsia="宋体" w:cs="宋体"/>
          <w:color w:val="auto"/>
          <w:spacing w:val="14"/>
          <w:sz w:val="24"/>
          <w:szCs w:val="24"/>
        </w:rPr>
      </w:pPr>
    </w:p>
    <w:p>
      <w:pPr>
        <w:pStyle w:val="156"/>
        <w:ind w:firstLine="0"/>
        <w:rPr>
          <w:rFonts w:hint="eastAsia" w:ascii="宋体" w:hAnsi="宋体" w:eastAsia="宋体" w:cs="宋体"/>
          <w:spacing w:val="14"/>
          <w:sz w:val="24"/>
          <w:szCs w:val="24"/>
        </w:rPr>
      </w:pPr>
      <w:r>
        <w:rPr>
          <w:rFonts w:hint="eastAsia" w:ascii="宋体" w:hAnsi="宋体" w:eastAsia="宋体" w:cs="宋体"/>
          <w:spacing w:val="14"/>
          <w:sz w:val="24"/>
          <w:szCs w:val="24"/>
        </w:rPr>
        <w:t>供应商（公章）：</w:t>
      </w:r>
    </w:p>
    <w:p>
      <w:pPr>
        <w:pStyle w:val="156"/>
        <w:ind w:firstLine="0"/>
        <w:rPr>
          <w:rFonts w:hint="eastAsia" w:ascii="宋体" w:hAnsi="宋体" w:eastAsia="宋体" w:cs="宋体"/>
          <w:spacing w:val="14"/>
          <w:sz w:val="24"/>
          <w:szCs w:val="24"/>
        </w:rPr>
      </w:pPr>
    </w:p>
    <w:p>
      <w:pPr>
        <w:pStyle w:val="156"/>
        <w:ind w:firstLine="0"/>
        <w:rPr>
          <w:rFonts w:hint="eastAsia" w:ascii="宋体" w:hAnsi="宋体" w:eastAsia="宋体" w:cs="宋体"/>
          <w:spacing w:val="14"/>
          <w:sz w:val="24"/>
          <w:szCs w:val="24"/>
        </w:rPr>
      </w:pPr>
      <w:r>
        <w:rPr>
          <w:rFonts w:hint="eastAsia" w:ascii="宋体" w:hAnsi="宋体" w:eastAsia="宋体" w:cs="宋体"/>
          <w:spacing w:val="14"/>
          <w:sz w:val="24"/>
          <w:szCs w:val="24"/>
        </w:rPr>
        <w:t>法定代表人（授权人）签字：</w:t>
      </w:r>
    </w:p>
    <w:p>
      <w:pPr>
        <w:pStyle w:val="156"/>
        <w:ind w:firstLine="0"/>
        <w:rPr>
          <w:rFonts w:hint="eastAsia" w:ascii="宋体" w:hAnsi="宋体" w:eastAsia="宋体" w:cs="宋体"/>
          <w:spacing w:val="14"/>
          <w:sz w:val="24"/>
          <w:szCs w:val="24"/>
        </w:rPr>
      </w:pPr>
    </w:p>
    <w:p>
      <w:pPr>
        <w:pStyle w:val="156"/>
        <w:ind w:firstLine="0"/>
        <w:rPr>
          <w:rFonts w:hint="eastAsia" w:ascii="宋体" w:hAnsi="宋体" w:eastAsia="宋体" w:cs="宋体"/>
          <w:spacing w:val="14"/>
          <w:sz w:val="24"/>
          <w:szCs w:val="24"/>
        </w:rPr>
      </w:pPr>
      <w:r>
        <w:rPr>
          <w:rFonts w:hint="eastAsia" w:ascii="宋体" w:hAnsi="宋体" w:eastAsia="宋体" w:cs="宋体"/>
          <w:spacing w:val="14"/>
          <w:sz w:val="24"/>
          <w:szCs w:val="24"/>
        </w:rPr>
        <w:t>供应商代表（被授权人）签字：</w:t>
      </w:r>
    </w:p>
    <w:p>
      <w:pPr>
        <w:pStyle w:val="156"/>
        <w:ind w:firstLine="0"/>
        <w:rPr>
          <w:rFonts w:hint="eastAsia" w:ascii="宋体" w:hAnsi="宋体" w:eastAsia="宋体" w:cs="宋体"/>
          <w:color w:val="auto"/>
          <w:spacing w:val="14"/>
          <w:sz w:val="24"/>
          <w:szCs w:val="24"/>
        </w:rPr>
      </w:pPr>
    </w:p>
    <w:p>
      <w:pPr>
        <w:pStyle w:val="156"/>
        <w:ind w:firstLine="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日期：</w:t>
      </w:r>
    </w:p>
    <w:p>
      <w:pPr>
        <w:pStyle w:val="156"/>
        <w:ind w:firstLine="0"/>
        <w:rPr>
          <w:rFonts w:hint="eastAsia" w:ascii="宋体" w:hAnsi="宋体" w:eastAsia="宋体" w:cs="宋体"/>
          <w:color w:val="auto"/>
          <w:spacing w:val="14"/>
          <w:sz w:val="24"/>
          <w:szCs w:val="24"/>
        </w:rPr>
      </w:pPr>
    </w:p>
    <w:p>
      <w:pPr>
        <w:bidi w:val="0"/>
        <w:outlineLvl w:val="1"/>
        <w:rPr>
          <w:rFonts w:hint="eastAsia" w:ascii="宋体" w:hAnsi="宋体" w:eastAsia="宋体" w:cs="Times New Roman"/>
          <w:b/>
          <w:bCs/>
          <w:sz w:val="28"/>
          <w:szCs w:val="21"/>
        </w:rPr>
      </w:pPr>
      <w:bookmarkStart w:id="152" w:name="_Toc1662566"/>
      <w:bookmarkStart w:id="153" w:name="_Toc2792"/>
      <w:r>
        <w:rPr>
          <w:rFonts w:hint="eastAsia" w:ascii="宋体" w:hAnsi="宋体" w:eastAsia="宋体" w:cs="Times New Roman"/>
          <w:b/>
          <w:bCs/>
          <w:sz w:val="28"/>
          <w:szCs w:val="21"/>
          <w:lang w:val="en-US" w:eastAsia="zh-CN"/>
        </w:rPr>
        <w:t>附件3：</w:t>
      </w:r>
      <w:bookmarkEnd w:id="152"/>
      <w:r>
        <w:rPr>
          <w:rFonts w:hint="eastAsia" w:ascii="宋体" w:hAnsi="宋体" w:eastAsia="宋体" w:cs="Times New Roman"/>
          <w:b/>
          <w:bCs/>
          <w:sz w:val="28"/>
          <w:szCs w:val="21"/>
        </w:rPr>
        <w:t>法人被授权人身份证</w:t>
      </w:r>
      <w:r>
        <w:rPr>
          <w:rFonts w:hint="eastAsia" w:ascii="宋体" w:hAnsi="宋体" w:eastAsia="宋体" w:cs="Times New Roman"/>
          <w:b/>
          <w:bCs/>
          <w:sz w:val="28"/>
          <w:szCs w:val="21"/>
          <w:lang w:val="en-US" w:eastAsia="zh-CN"/>
        </w:rPr>
        <w:t>复印件</w:t>
      </w:r>
      <w:bookmarkEnd w:id="153"/>
    </w:p>
    <w:p>
      <w:pPr>
        <w:rPr>
          <w:rFonts w:hint="eastAsia" w:ascii="宋体" w:hAnsi="宋体" w:eastAsia="宋体" w:cs="宋体"/>
        </w:rPr>
      </w:pPr>
    </w:p>
    <w:p>
      <w:pP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法定代表人身份证正面和反面</w:t>
      </w:r>
      <w:r>
        <w:rPr>
          <w:rFonts w:hint="eastAsia" w:ascii="宋体" w:hAnsi="宋体" w:eastAsia="宋体" w:cs="宋体"/>
          <w:sz w:val="24"/>
          <w:szCs w:val="24"/>
          <w:lang w:eastAsia="zh-CN"/>
        </w:rPr>
        <w:t>复印件</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供应商代表（被授权人）身份证正面和反面</w:t>
      </w:r>
      <w:r>
        <w:rPr>
          <w:rFonts w:hint="eastAsia" w:ascii="宋体" w:hAnsi="宋体" w:eastAsia="宋体" w:cs="宋体"/>
          <w:sz w:val="24"/>
          <w:szCs w:val="24"/>
          <w:lang w:eastAsia="zh-CN"/>
        </w:rPr>
        <w:t>复印件</w:t>
      </w:r>
      <w:bookmarkStart w:id="154" w:name="_Toc1662568"/>
    </w:p>
    <w:p>
      <w:pPr>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pPr>
        <w:bidi w:val="0"/>
        <w:outlineLvl w:val="1"/>
        <w:rPr>
          <w:rFonts w:hint="eastAsia" w:ascii="宋体" w:hAnsi="宋体" w:eastAsia="宋体" w:cs="Times New Roman"/>
          <w:b/>
          <w:bCs/>
          <w:sz w:val="28"/>
          <w:szCs w:val="21"/>
        </w:rPr>
      </w:pPr>
      <w:bookmarkStart w:id="155" w:name="_Toc27669"/>
      <w:r>
        <w:rPr>
          <w:rFonts w:hint="eastAsia" w:ascii="宋体" w:hAnsi="宋体" w:eastAsia="宋体" w:cs="Times New Roman"/>
          <w:b/>
          <w:bCs/>
          <w:sz w:val="28"/>
          <w:szCs w:val="21"/>
          <w:lang w:val="en-US" w:eastAsia="zh-CN"/>
        </w:rPr>
        <w:t>附件4：资格证明材料</w:t>
      </w:r>
      <w:bookmarkEnd w:id="154"/>
      <w:bookmarkEnd w:id="155"/>
    </w:p>
    <w:p>
      <w:pPr>
        <w:pStyle w:val="156"/>
        <w:spacing w:line="240" w:lineRule="auto"/>
        <w:ind w:firstLine="0"/>
        <w:jc w:val="center"/>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t>资格证明材料</w:t>
      </w:r>
    </w:p>
    <w:p>
      <w:pPr>
        <w:pStyle w:val="156"/>
        <w:spacing w:line="240" w:lineRule="auto"/>
        <w:ind w:firstLine="0"/>
        <w:jc w:val="center"/>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t>须</w:t>
      </w:r>
      <w:r>
        <w:rPr>
          <w:rFonts w:hint="eastAsia" w:ascii="宋体" w:hAnsi="宋体" w:eastAsia="宋体" w:cs="宋体"/>
          <w:b/>
          <w:bCs/>
          <w:color w:val="auto"/>
          <w:sz w:val="30"/>
          <w:szCs w:val="30"/>
          <w:lang w:eastAsia="zh-CN"/>
        </w:rPr>
        <w:tab/>
      </w:r>
      <w:r>
        <w:rPr>
          <w:rFonts w:hint="eastAsia" w:ascii="宋体" w:hAnsi="宋体" w:eastAsia="宋体" w:cs="宋体"/>
          <w:b/>
          <w:bCs/>
          <w:color w:val="auto"/>
          <w:sz w:val="30"/>
          <w:szCs w:val="30"/>
          <w:lang w:eastAsia="zh-CN"/>
        </w:rPr>
        <w:t>知</w:t>
      </w:r>
    </w:p>
    <w:p>
      <w:pPr>
        <w:pStyle w:val="156"/>
        <w:spacing w:line="240" w:lineRule="auto"/>
        <w:rPr>
          <w:rFonts w:hint="eastAsia" w:ascii="宋体" w:hAnsi="宋体" w:eastAsia="宋体" w:cs="宋体"/>
          <w:color w:val="auto"/>
          <w:szCs w:val="21"/>
        </w:rPr>
      </w:pPr>
    </w:p>
    <w:p>
      <w:pPr>
        <w:spacing w:line="24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1.供应商应按要求提供下列的证明材料</w:t>
      </w:r>
    </w:p>
    <w:p>
      <w:pPr>
        <w:bidi w:val="0"/>
        <w:ind w:firstLine="418" w:firstLineChars="200"/>
        <w:rPr>
          <w:rFonts w:hint="eastAsia"/>
          <w:lang w:val="en-US" w:eastAsia="zh-CN"/>
        </w:rPr>
      </w:pPr>
      <w:r>
        <w:rPr>
          <w:rFonts w:hint="eastAsia"/>
          <w:lang w:val="en-US" w:eastAsia="zh-CN"/>
        </w:rPr>
        <w:t>附件1：法人或者其他组织的营业执照等主体资格证明文件，自然人的身份证明</w:t>
      </w:r>
    </w:p>
    <w:p>
      <w:pPr>
        <w:bidi w:val="0"/>
        <w:ind w:firstLine="418" w:firstLineChars="200"/>
        <w:rPr>
          <w:rFonts w:hint="eastAsia"/>
          <w:lang w:val="en-US" w:eastAsia="zh-CN"/>
        </w:rPr>
      </w:pPr>
      <w:r>
        <w:rPr>
          <w:rFonts w:hint="eastAsia"/>
          <w:lang w:val="en-US" w:eastAsia="zh-CN"/>
        </w:rPr>
        <w:t>附件2：符合特定资格（要求）条件证明材料复印件或者情况说明</w:t>
      </w:r>
    </w:p>
    <w:p>
      <w:pPr>
        <w:bidi w:val="0"/>
        <w:ind w:firstLine="418" w:firstLineChars="200"/>
        <w:rPr>
          <w:rFonts w:hint="eastAsia"/>
          <w:lang w:val="en-US" w:eastAsia="zh-CN"/>
        </w:rPr>
      </w:pPr>
      <w:r>
        <w:rPr>
          <w:rFonts w:hint="eastAsia"/>
          <w:lang w:val="en-US" w:eastAsia="zh-CN"/>
        </w:rPr>
        <w:t>附件3：洛阳市政府采购供应商信用承诺函（资格承诺函）</w:t>
      </w:r>
    </w:p>
    <w:p>
      <w:pPr>
        <w:spacing w:line="24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2.供应商以联合体形式参与投标的，除应提交联合协议外，联合体的各方均应提交上述资格证明材料。</w:t>
      </w:r>
    </w:p>
    <w:p>
      <w:pPr>
        <w:pStyle w:val="156"/>
        <w:rPr>
          <w:rFonts w:hint="eastAsia" w:ascii="宋体" w:hAnsi="宋体" w:eastAsia="宋体" w:cs="宋体"/>
          <w:color w:val="auto"/>
          <w:szCs w:val="21"/>
        </w:rPr>
      </w:pPr>
    </w:p>
    <w:p>
      <w:pPr>
        <w:bidi w:val="0"/>
        <w:rPr>
          <w:rFonts w:hint="eastAsia"/>
          <w:lang w:val="en-US" w:eastAsia="zh-CN"/>
        </w:rPr>
      </w:pPr>
      <w:r>
        <w:rPr>
          <w:rFonts w:hint="eastAsia"/>
          <w:lang w:val="en-US" w:eastAsia="zh-CN"/>
        </w:rPr>
        <w:br w:type="page"/>
      </w:r>
    </w:p>
    <w:p>
      <w:pPr>
        <w:outlineLvl w:val="9"/>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附件4-1： 法人或者其他组织的营业执照等主体资格证明文件，自然人的身份证明</w:t>
      </w:r>
    </w:p>
    <w:p>
      <w:pPr>
        <w:pStyle w:val="300"/>
        <w:rPr>
          <w:rFonts w:hint="eastAsia"/>
          <w:color w:val="auto"/>
        </w:rPr>
      </w:pPr>
    </w:p>
    <w:p>
      <w:pPr>
        <w:spacing w:line="240" w:lineRule="auto"/>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法人或者其他组织的营业执照等主体资格证明文件，自然人的身份证明</w:t>
      </w:r>
    </w:p>
    <w:p>
      <w:pPr>
        <w:spacing w:line="240" w:lineRule="auto"/>
        <w:rPr>
          <w:rFonts w:hint="eastAsia" w:ascii="宋体" w:hAnsi="宋体" w:eastAsia="宋体" w:cs="宋体"/>
          <w:color w:val="auto"/>
        </w:rPr>
      </w:pPr>
    </w:p>
    <w:p>
      <w:pPr>
        <w:spacing w:line="240" w:lineRule="auto"/>
        <w:ind w:firstLine="418" w:firstLineChars="200"/>
        <w:rPr>
          <w:rFonts w:hint="eastAsia" w:ascii="宋体" w:hAnsi="宋体" w:eastAsia="宋体" w:cs="宋体"/>
          <w:color w:val="auto"/>
        </w:rPr>
      </w:pPr>
      <w:r>
        <w:rPr>
          <w:rFonts w:hint="eastAsia" w:ascii="宋体" w:hAnsi="宋体" w:eastAsia="宋体" w:cs="宋体"/>
          <w:color w:val="auto"/>
        </w:rPr>
        <w:t>注：按要求提供。</w:t>
      </w:r>
    </w:p>
    <w:p>
      <w:pPr>
        <w:spacing w:line="240" w:lineRule="auto"/>
        <w:ind w:firstLine="418" w:firstLineChars="20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1</w:t>
      </w:r>
      <w:r>
        <w:rPr>
          <w:rFonts w:hint="eastAsia" w:ascii="宋体" w:hAnsi="宋体" w:eastAsia="宋体" w:cs="宋体"/>
          <w:color w:val="auto"/>
          <w:lang w:eastAsia="zh-CN"/>
        </w:rPr>
        <w:t>）供应商</w:t>
      </w:r>
      <w:r>
        <w:rPr>
          <w:rFonts w:hint="eastAsia" w:ascii="宋体" w:hAnsi="宋体" w:eastAsia="宋体" w:cs="宋体"/>
          <w:color w:val="auto"/>
        </w:rPr>
        <w:t>为法人的，应提交营业执照或法人登记证书的</w:t>
      </w:r>
      <w:r>
        <w:rPr>
          <w:rFonts w:hint="eastAsia" w:ascii="宋体" w:hAnsi="宋体" w:eastAsia="宋体" w:cs="宋体"/>
          <w:color w:val="auto"/>
          <w:lang w:val="en-US" w:eastAsia="zh-CN"/>
        </w:rPr>
        <w:t>复印件</w:t>
      </w:r>
      <w:r>
        <w:rPr>
          <w:rFonts w:hint="eastAsia" w:ascii="宋体" w:hAnsi="宋体" w:eastAsia="宋体" w:cs="宋体"/>
          <w:color w:val="auto"/>
        </w:rPr>
        <w:t>；</w:t>
      </w:r>
    </w:p>
    <w:p>
      <w:pPr>
        <w:spacing w:line="240" w:lineRule="auto"/>
        <w:ind w:firstLine="418" w:firstLineChars="20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2</w:t>
      </w:r>
      <w:r>
        <w:rPr>
          <w:rFonts w:hint="eastAsia" w:ascii="宋体" w:hAnsi="宋体" w:eastAsia="宋体" w:cs="宋体"/>
          <w:color w:val="auto"/>
          <w:lang w:eastAsia="zh-CN"/>
        </w:rPr>
        <w:t>）供应商</w:t>
      </w:r>
      <w:r>
        <w:rPr>
          <w:rFonts w:hint="eastAsia" w:ascii="宋体" w:hAnsi="宋体" w:eastAsia="宋体" w:cs="宋体"/>
          <w:color w:val="auto"/>
        </w:rPr>
        <w:t>为非法人组织的，应提交依法登记证书</w:t>
      </w:r>
      <w:r>
        <w:rPr>
          <w:rFonts w:hint="eastAsia" w:ascii="宋体" w:hAnsi="宋体" w:eastAsia="宋体" w:cs="宋体"/>
          <w:color w:val="auto"/>
          <w:lang w:val="en-US" w:eastAsia="zh-CN"/>
        </w:rPr>
        <w:t>复印件</w:t>
      </w:r>
      <w:r>
        <w:rPr>
          <w:rFonts w:hint="eastAsia" w:ascii="宋体" w:hAnsi="宋体" w:eastAsia="宋体" w:cs="宋体"/>
          <w:color w:val="auto"/>
        </w:rPr>
        <w:t>；</w:t>
      </w:r>
    </w:p>
    <w:p>
      <w:pPr>
        <w:spacing w:line="240" w:lineRule="auto"/>
        <w:ind w:firstLine="418" w:firstLineChars="20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3</w:t>
      </w:r>
      <w:r>
        <w:rPr>
          <w:rFonts w:hint="eastAsia" w:ascii="宋体" w:hAnsi="宋体" w:eastAsia="宋体" w:cs="宋体"/>
          <w:color w:val="auto"/>
          <w:lang w:eastAsia="zh-CN"/>
        </w:rPr>
        <w:t>）供应商</w:t>
      </w:r>
      <w:r>
        <w:rPr>
          <w:rFonts w:hint="eastAsia" w:ascii="宋体" w:hAnsi="宋体" w:eastAsia="宋体" w:cs="宋体"/>
          <w:color w:val="auto"/>
        </w:rPr>
        <w:t>为个体工商户的，应提交个体工商户营业执照</w:t>
      </w:r>
      <w:r>
        <w:rPr>
          <w:rFonts w:hint="eastAsia" w:ascii="宋体" w:hAnsi="宋体" w:eastAsia="宋体" w:cs="宋体"/>
          <w:color w:val="auto"/>
          <w:lang w:val="en-US" w:eastAsia="zh-CN"/>
        </w:rPr>
        <w:t>复印件</w:t>
      </w:r>
      <w:r>
        <w:rPr>
          <w:rFonts w:hint="eastAsia" w:ascii="宋体" w:hAnsi="宋体" w:eastAsia="宋体" w:cs="宋体"/>
          <w:color w:val="auto"/>
        </w:rPr>
        <w:t>；</w:t>
      </w:r>
    </w:p>
    <w:p>
      <w:pPr>
        <w:spacing w:line="240" w:lineRule="auto"/>
        <w:ind w:firstLine="418" w:firstLineChars="20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4</w:t>
      </w:r>
      <w:r>
        <w:rPr>
          <w:rFonts w:hint="eastAsia" w:ascii="宋体" w:hAnsi="宋体" w:eastAsia="宋体" w:cs="宋体"/>
          <w:color w:val="auto"/>
          <w:lang w:eastAsia="zh-CN"/>
        </w:rPr>
        <w:t>）供应商</w:t>
      </w:r>
      <w:r>
        <w:rPr>
          <w:rFonts w:hint="eastAsia" w:ascii="宋体" w:hAnsi="宋体" w:eastAsia="宋体" w:cs="宋体"/>
          <w:color w:val="auto"/>
        </w:rPr>
        <w:t>为自然人的，应提交自然人的身份证明</w:t>
      </w:r>
      <w:r>
        <w:rPr>
          <w:rFonts w:hint="eastAsia" w:ascii="宋体" w:hAnsi="宋体" w:eastAsia="宋体" w:cs="宋体"/>
          <w:color w:val="auto"/>
          <w:lang w:val="en-US" w:eastAsia="zh-CN"/>
        </w:rPr>
        <w:t>复印件</w:t>
      </w:r>
      <w:r>
        <w:rPr>
          <w:rFonts w:hint="eastAsia" w:ascii="宋体" w:hAnsi="宋体" w:eastAsia="宋体" w:cs="宋体"/>
          <w:color w:val="auto"/>
        </w:rPr>
        <w:t>。</w:t>
      </w:r>
    </w:p>
    <w:p>
      <w:pPr>
        <w:spacing w:line="240" w:lineRule="auto"/>
        <w:rPr>
          <w:rFonts w:hint="eastAsia" w:ascii="宋体" w:hAnsi="宋体" w:eastAsia="宋体" w:cs="宋体"/>
          <w:color w:val="auto"/>
        </w:rPr>
      </w:pPr>
    </w:p>
    <w:p>
      <w:pPr>
        <w:pStyle w:val="8"/>
        <w:outlineLvl w:val="9"/>
        <w:rPr>
          <w:rFonts w:hint="eastAsia" w:ascii="宋体" w:hAnsi="宋体" w:eastAsia="宋体" w:cs="宋体"/>
          <w:b/>
          <w:bCs/>
          <w:color w:val="auto"/>
          <w:lang w:val="en-US" w:eastAsia="zh-CN"/>
        </w:rPr>
      </w:pPr>
    </w:p>
    <w:p>
      <w:pPr>
        <w:pStyle w:val="8"/>
        <w:outlineLvl w:val="9"/>
        <w:rPr>
          <w:rFonts w:hint="eastAsia" w:ascii="宋体" w:hAnsi="宋体" w:eastAsia="宋体" w:cs="宋体"/>
          <w:b/>
          <w:bCs/>
          <w:color w:val="auto"/>
          <w:lang w:val="en-US" w:eastAsia="zh-CN"/>
        </w:rPr>
      </w:pPr>
    </w:p>
    <w:p>
      <w:pPr>
        <w:pStyle w:val="8"/>
        <w:outlineLvl w:val="9"/>
        <w:rPr>
          <w:rFonts w:hint="eastAsia" w:ascii="宋体" w:hAnsi="宋体" w:eastAsia="宋体" w:cs="宋体"/>
          <w:b/>
          <w:bCs/>
          <w:color w:val="auto"/>
          <w:lang w:val="en-US" w:eastAsia="zh-CN"/>
        </w:rPr>
      </w:pPr>
    </w:p>
    <w:p>
      <w:pPr>
        <w:pStyle w:val="8"/>
        <w:outlineLvl w:val="9"/>
        <w:rPr>
          <w:rFonts w:hint="eastAsia" w:ascii="宋体" w:hAnsi="宋体" w:eastAsia="宋体" w:cs="宋体"/>
          <w:b/>
          <w:bCs/>
          <w:color w:val="auto"/>
          <w:lang w:val="en-US" w:eastAsia="zh-CN"/>
        </w:rPr>
      </w:pPr>
    </w:p>
    <w:p>
      <w:pPr>
        <w:pStyle w:val="8"/>
        <w:outlineLvl w:val="9"/>
        <w:rPr>
          <w:rFonts w:hint="eastAsia" w:ascii="宋体" w:hAnsi="宋体" w:eastAsia="宋体" w:cs="宋体"/>
          <w:b/>
          <w:bCs/>
          <w:color w:val="auto"/>
          <w:lang w:val="en-US" w:eastAsia="zh-CN"/>
        </w:rPr>
      </w:pPr>
    </w:p>
    <w:p>
      <w:pPr>
        <w:pStyle w:val="8"/>
        <w:outlineLvl w:val="9"/>
        <w:rPr>
          <w:rFonts w:hint="eastAsia" w:ascii="宋体" w:hAnsi="宋体" w:eastAsia="宋体" w:cs="宋体"/>
          <w:b/>
          <w:bCs/>
          <w:color w:val="auto"/>
          <w:lang w:val="en-US" w:eastAsia="zh-CN"/>
        </w:rPr>
      </w:pPr>
    </w:p>
    <w:p>
      <w:pPr>
        <w:outlineLvl w:val="9"/>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附件4-2： 符合特定资格（要求）条件证明材料复印件或者情况说明</w:t>
      </w:r>
    </w:p>
    <w:p>
      <w:pPr>
        <w:spacing w:line="240" w:lineRule="auto"/>
        <w:jc w:val="center"/>
        <w:rPr>
          <w:rFonts w:hint="eastAsia" w:ascii="宋体" w:hAnsi="宋体" w:eastAsia="宋体" w:cs="宋体"/>
          <w:b/>
          <w:bCs/>
          <w:color w:val="auto"/>
          <w:sz w:val="28"/>
          <w:szCs w:val="28"/>
          <w:lang w:val="en-US" w:eastAsia="zh-CN"/>
        </w:rPr>
      </w:pPr>
    </w:p>
    <w:p>
      <w:pPr>
        <w:spacing w:line="240" w:lineRule="auto"/>
        <w:jc w:val="center"/>
        <w:rPr>
          <w:rFonts w:hint="eastAsia" w:ascii="宋体" w:hAnsi="宋体" w:eastAsia="宋体" w:cs="宋体"/>
          <w:color w:val="auto"/>
          <w:sz w:val="22"/>
          <w:szCs w:val="18"/>
        </w:rPr>
      </w:pPr>
      <w:r>
        <w:rPr>
          <w:rFonts w:hint="eastAsia" w:ascii="宋体" w:hAnsi="宋体" w:eastAsia="宋体" w:cs="宋体"/>
          <w:b/>
          <w:bCs/>
          <w:color w:val="auto"/>
          <w:sz w:val="24"/>
          <w:szCs w:val="24"/>
          <w:lang w:val="en-US" w:eastAsia="zh-CN"/>
        </w:rPr>
        <w:t>符合特定资格（要求）条件证明材料复印件或者情况说明</w:t>
      </w:r>
    </w:p>
    <w:p>
      <w:pPr>
        <w:spacing w:line="240" w:lineRule="auto"/>
        <w:ind w:firstLine="418" w:firstLineChars="200"/>
        <w:rPr>
          <w:rFonts w:hint="eastAsia" w:ascii="宋体" w:hAnsi="宋体" w:eastAsia="宋体" w:cs="宋体"/>
          <w:color w:val="auto"/>
        </w:rPr>
      </w:pPr>
    </w:p>
    <w:p>
      <w:pPr>
        <w:spacing w:line="240" w:lineRule="auto"/>
        <w:ind w:firstLine="418" w:firstLineChars="200"/>
        <w:rPr>
          <w:rFonts w:hint="eastAsia" w:ascii="宋体" w:hAnsi="宋体" w:eastAsia="宋体" w:cs="宋体"/>
          <w:color w:val="auto"/>
        </w:rPr>
      </w:pPr>
      <w:r>
        <w:rPr>
          <w:rFonts w:hint="eastAsia" w:ascii="宋体" w:hAnsi="宋体" w:eastAsia="宋体" w:cs="宋体"/>
          <w:color w:val="auto"/>
        </w:rPr>
        <w:t>注：按</w:t>
      </w:r>
      <w:r>
        <w:rPr>
          <w:rFonts w:hint="eastAsia" w:ascii="宋体" w:hAnsi="宋体" w:eastAsia="宋体" w:cs="宋体"/>
          <w:color w:val="auto"/>
          <w:lang w:eastAsia="zh-CN"/>
        </w:rPr>
        <w:t>采购文件</w:t>
      </w:r>
      <w:r>
        <w:rPr>
          <w:rFonts w:hint="eastAsia" w:ascii="宋体" w:hAnsi="宋体" w:eastAsia="宋体" w:cs="宋体"/>
          <w:color w:val="auto"/>
        </w:rPr>
        <w:t>第二章第1.4.1 项要求提供。</w:t>
      </w:r>
    </w:p>
    <w:p>
      <w:pPr>
        <w:rPr>
          <w:rFonts w:hint="eastAsia" w:ascii="宋体" w:hAnsi="宋体" w:eastAsia="宋体" w:cs="宋体"/>
          <w:color w:val="auto"/>
        </w:rPr>
      </w:pPr>
      <w:r>
        <w:rPr>
          <w:rFonts w:hint="eastAsia" w:ascii="宋体" w:hAnsi="宋体" w:eastAsia="宋体" w:cs="宋体"/>
          <w:color w:val="auto"/>
        </w:rPr>
        <w:br w:type="page"/>
      </w:r>
    </w:p>
    <w:p>
      <w:pPr>
        <w:rPr>
          <w:rFonts w:hint="eastAsia" w:ascii="宋体" w:hAnsi="宋体" w:eastAsia="宋体" w:cs="宋体"/>
          <w:b w:val="0"/>
          <w:bCs w:val="0"/>
          <w:color w:val="auto"/>
          <w:sz w:val="22"/>
          <w:szCs w:val="22"/>
          <w:lang w:val="en-US" w:eastAsia="zh-CN" w:bidi="ar-SA"/>
        </w:rPr>
      </w:pPr>
      <w:r>
        <w:rPr>
          <w:rFonts w:hint="eastAsia" w:ascii="宋体" w:hAnsi="宋体" w:eastAsia="宋体" w:cs="宋体"/>
          <w:b/>
          <w:bCs/>
          <w:color w:val="auto"/>
          <w:sz w:val="28"/>
          <w:szCs w:val="28"/>
          <w:lang w:val="en-US" w:eastAsia="zh-CN" w:bidi="ar-SA"/>
        </w:rPr>
        <w:t>附件4-3：洛阳市政府采购供应商信用承诺函（资格承诺函）</w:t>
      </w:r>
    </w:p>
    <w:p>
      <w:pPr>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洛阳市政府采购供应商信用承诺函（资格承诺函）</w:t>
      </w:r>
    </w:p>
    <w:p>
      <w:pPr>
        <w:spacing w:line="500" w:lineRule="exact"/>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致</w:t>
      </w:r>
      <w:r>
        <w:rPr>
          <w:rFonts w:hint="eastAsia" w:ascii="宋体" w:hAnsi="宋体" w:eastAsia="宋体" w:cs="宋体"/>
          <w:snapToGrid w:val="0"/>
          <w:color w:val="auto"/>
          <w:sz w:val="21"/>
          <w:szCs w:val="21"/>
          <w:u w:val="single"/>
        </w:rPr>
        <w:t xml:space="preserve">  （采购人或采购代理机构）  </w:t>
      </w:r>
      <w:r>
        <w:rPr>
          <w:rFonts w:hint="eastAsia" w:ascii="宋体" w:hAnsi="宋体" w:eastAsia="宋体" w:cs="宋体"/>
          <w:snapToGrid w:val="0"/>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358" w:firstLineChars="200"/>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单位名称</w:t>
      </w:r>
      <w:r>
        <w:rPr>
          <w:rFonts w:hint="eastAsia" w:ascii="宋体" w:hAnsi="宋体" w:eastAsia="宋体" w:cs="宋体"/>
          <w:snapToGrid w:val="0"/>
          <w:color w:val="auto"/>
          <w:sz w:val="21"/>
          <w:szCs w:val="21"/>
          <w:lang w:eastAsia="zh-CN"/>
        </w:rPr>
        <w:t>（自然人姓名）</w:t>
      </w: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u w:val="single"/>
        </w:rPr>
        <w:t xml:space="preserve">                         </w:t>
      </w:r>
      <w:r>
        <w:rPr>
          <w:rFonts w:hint="eastAsia" w:ascii="宋体" w:hAnsi="宋体" w:eastAsia="宋体" w:cs="宋体"/>
          <w:snapToGrid w:val="0"/>
          <w:color w:val="auto"/>
          <w:sz w:val="21"/>
          <w:szCs w:val="21"/>
          <w:u w:val="single"/>
          <w:lang w:val="en-US" w:eastAsia="zh-CN"/>
        </w:rPr>
        <w:t xml:space="preserve"> </w:t>
      </w:r>
      <w:r>
        <w:rPr>
          <w:rFonts w:hint="eastAsia" w:ascii="宋体" w:hAnsi="宋体" w:eastAsia="宋体" w:cs="宋体"/>
          <w:snapToGrid w:val="0"/>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358" w:firstLineChars="200"/>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统一社会信用代码（身份证号码）：</w:t>
      </w:r>
      <w:r>
        <w:rPr>
          <w:rFonts w:hint="eastAsia" w:ascii="宋体" w:hAnsi="宋体" w:eastAsia="宋体" w:cs="宋体"/>
          <w:snapToGrid w:val="0"/>
          <w:color w:val="auto"/>
          <w:sz w:val="21"/>
          <w:szCs w:val="21"/>
          <w:u w:val="single"/>
        </w:rPr>
        <w:t xml:space="preserve">                 </w:t>
      </w:r>
      <w:r>
        <w:rPr>
          <w:rFonts w:hint="eastAsia" w:ascii="宋体" w:hAnsi="宋体" w:eastAsia="宋体" w:cs="宋体"/>
          <w:snapToGrid w:val="0"/>
          <w:color w:val="auto"/>
          <w:sz w:val="21"/>
          <w:szCs w:val="21"/>
          <w:u w:val="single"/>
          <w:lang w:val="en-US" w:eastAsia="zh-CN"/>
        </w:rPr>
        <w:t xml:space="preserve"> </w:t>
      </w:r>
      <w:r>
        <w:rPr>
          <w:rFonts w:hint="eastAsia" w:ascii="宋体" w:hAnsi="宋体" w:eastAsia="宋体" w:cs="宋体"/>
          <w:snapToGrid w:val="0"/>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358" w:firstLineChars="200"/>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法定代表人</w:t>
      </w:r>
      <w:r>
        <w:rPr>
          <w:rFonts w:hint="eastAsia" w:ascii="宋体" w:hAnsi="宋体" w:eastAsia="宋体" w:cs="宋体"/>
          <w:snapToGrid w:val="0"/>
          <w:color w:val="auto"/>
          <w:sz w:val="21"/>
          <w:szCs w:val="21"/>
          <w:lang w:eastAsia="zh-CN"/>
        </w:rPr>
        <w:t>（负责人）</w:t>
      </w: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u w:val="single"/>
        </w:rPr>
        <w:t xml:space="preserve">                            </w:t>
      </w:r>
      <w:r>
        <w:rPr>
          <w:rFonts w:hint="eastAsia" w:ascii="宋体" w:hAnsi="宋体" w:eastAsia="宋体" w:cs="宋体"/>
          <w:snapToGrid w:val="0"/>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358" w:firstLineChars="200"/>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联系地址和电话：</w:t>
      </w:r>
      <w:r>
        <w:rPr>
          <w:rFonts w:hint="eastAsia" w:ascii="宋体" w:hAnsi="宋体" w:eastAsia="宋体" w:cs="宋体"/>
          <w:snapToGrid w:val="0"/>
          <w:color w:val="auto"/>
          <w:sz w:val="21"/>
          <w:szCs w:val="21"/>
          <w:u w:val="single"/>
        </w:rPr>
        <w:t xml:space="preserve">                                 </w:t>
      </w:r>
      <w:r>
        <w:rPr>
          <w:rFonts w:hint="eastAsia" w:ascii="宋体" w:hAnsi="宋体" w:eastAsia="宋体" w:cs="宋体"/>
          <w:snapToGrid w:val="0"/>
          <w:color w:val="auto"/>
          <w:sz w:val="21"/>
          <w:szCs w:val="21"/>
          <w:u w:val="single"/>
          <w:lang w:val="en-US" w:eastAsia="zh-CN"/>
        </w:rPr>
        <w:t xml:space="preserve"> </w:t>
      </w:r>
      <w:r>
        <w:rPr>
          <w:rFonts w:hint="eastAsia" w:ascii="宋体" w:hAnsi="宋体" w:eastAsia="宋体" w:cs="宋体"/>
          <w:snapToGrid w:val="0"/>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358" w:firstLineChars="200"/>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为维护公平、公正、公开的政府采购市场秩序，树立诚实守信的政府采购供应商形象，我单位（本人）自愿作出以下承诺：</w:t>
      </w:r>
    </w:p>
    <w:p>
      <w:pPr>
        <w:keepNext w:val="0"/>
        <w:keepLines w:val="0"/>
        <w:pageBreakBefore w:val="0"/>
        <w:widowControl w:val="0"/>
        <w:kinsoku/>
        <w:wordWrap/>
        <w:overflowPunct/>
        <w:topLinePunct w:val="0"/>
        <w:autoSpaceDE/>
        <w:autoSpaceDN/>
        <w:bidi w:val="0"/>
        <w:adjustRightInd w:val="0"/>
        <w:snapToGrid w:val="0"/>
        <w:spacing w:line="288" w:lineRule="auto"/>
        <w:ind w:firstLine="358" w:firstLineChars="200"/>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keepNext w:val="0"/>
        <w:keepLines w:val="0"/>
        <w:pageBreakBefore w:val="0"/>
        <w:widowControl w:val="0"/>
        <w:kinsoku/>
        <w:wordWrap/>
        <w:overflowPunct/>
        <w:topLinePunct w:val="0"/>
        <w:autoSpaceDE/>
        <w:autoSpaceDN/>
        <w:bidi w:val="0"/>
        <w:adjustRightInd w:val="0"/>
        <w:snapToGrid w:val="0"/>
        <w:spacing w:line="288" w:lineRule="auto"/>
        <w:ind w:firstLine="358" w:firstLineChars="200"/>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（一）具有独立承担民事责任的能力；</w:t>
      </w:r>
    </w:p>
    <w:p>
      <w:pPr>
        <w:keepNext w:val="0"/>
        <w:keepLines w:val="0"/>
        <w:pageBreakBefore w:val="0"/>
        <w:widowControl w:val="0"/>
        <w:kinsoku/>
        <w:wordWrap/>
        <w:overflowPunct/>
        <w:topLinePunct w:val="0"/>
        <w:autoSpaceDE/>
        <w:autoSpaceDN/>
        <w:bidi w:val="0"/>
        <w:adjustRightInd w:val="0"/>
        <w:snapToGrid w:val="0"/>
        <w:spacing w:line="288" w:lineRule="auto"/>
        <w:ind w:firstLine="358" w:firstLineChars="200"/>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（二）具有良好的商业信誉和健全的财务会计制度；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288" w:lineRule="auto"/>
        <w:ind w:firstLine="358" w:firstLineChars="200"/>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（三）具有履行合同所必需的设备和专业技术能力；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288" w:lineRule="auto"/>
        <w:ind w:firstLine="358" w:firstLineChars="200"/>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（四）有依法缴纳税收和社会保障资金的良好记录；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288" w:lineRule="auto"/>
        <w:ind w:firstLine="358" w:firstLineChars="200"/>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288" w:lineRule="auto"/>
        <w:ind w:firstLine="358" w:firstLineChars="200"/>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（六）未被列入经营异常名录或者严重违法失信名单、失信被执行人、重大税收违法案件当事人名单、政府采购严重违法失信行为记录名单；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288" w:lineRule="auto"/>
        <w:ind w:firstLine="358" w:firstLineChars="200"/>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（七）未被相关监管部门作出行政处罚且尚在处罚有效期内；</w:t>
      </w:r>
    </w:p>
    <w:p>
      <w:pPr>
        <w:keepNext w:val="0"/>
        <w:keepLines w:val="0"/>
        <w:pageBreakBefore w:val="0"/>
        <w:widowControl w:val="0"/>
        <w:kinsoku/>
        <w:wordWrap/>
        <w:overflowPunct/>
        <w:topLinePunct w:val="0"/>
        <w:autoSpaceDE/>
        <w:autoSpaceDN/>
        <w:bidi w:val="0"/>
        <w:adjustRightInd w:val="0"/>
        <w:snapToGrid w:val="0"/>
        <w:spacing w:line="288" w:lineRule="auto"/>
        <w:ind w:firstLine="358" w:firstLineChars="200"/>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（八）未曾作出虚假采购承诺；</w:t>
      </w:r>
    </w:p>
    <w:p>
      <w:pPr>
        <w:keepNext w:val="0"/>
        <w:keepLines w:val="0"/>
        <w:pageBreakBefore w:val="0"/>
        <w:widowControl w:val="0"/>
        <w:kinsoku/>
        <w:wordWrap/>
        <w:overflowPunct/>
        <w:topLinePunct w:val="0"/>
        <w:autoSpaceDE/>
        <w:autoSpaceDN/>
        <w:bidi w:val="0"/>
        <w:adjustRightInd w:val="0"/>
        <w:snapToGrid w:val="0"/>
        <w:spacing w:line="288" w:lineRule="auto"/>
        <w:ind w:firstLine="358" w:firstLineChars="200"/>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（九）符合法律、行政法规规定的其他条件。</w:t>
      </w:r>
    </w:p>
    <w:p>
      <w:pPr>
        <w:keepNext w:val="0"/>
        <w:keepLines w:val="0"/>
        <w:pageBreakBefore w:val="0"/>
        <w:widowControl w:val="0"/>
        <w:kinsoku/>
        <w:wordWrap/>
        <w:overflowPunct/>
        <w:topLinePunct w:val="0"/>
        <w:autoSpaceDE/>
        <w:autoSpaceDN/>
        <w:bidi w:val="0"/>
        <w:adjustRightInd w:val="0"/>
        <w:snapToGrid w:val="0"/>
        <w:spacing w:line="288" w:lineRule="auto"/>
        <w:ind w:firstLine="358" w:firstLineChars="200"/>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ascii="宋体" w:hAnsi="宋体" w:eastAsia="宋体" w:cs="宋体"/>
          <w:snapToGrid w:val="0"/>
          <w:color w:val="auto"/>
          <w:sz w:val="21"/>
          <w:szCs w:val="21"/>
          <w:lang w:eastAsia="zh-CN"/>
        </w:rPr>
        <w:t>《中华人民共和国政府采购法》</w:t>
      </w:r>
      <w:r>
        <w:rPr>
          <w:rFonts w:hint="eastAsia" w:ascii="宋体" w:hAnsi="宋体" w:eastAsia="宋体" w:cs="宋体"/>
          <w:snapToGrid w:val="0"/>
          <w:color w:val="auto"/>
          <w:sz w:val="21"/>
          <w:szCs w:val="21"/>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keepNext w:val="0"/>
        <w:keepLines w:val="0"/>
        <w:pageBreakBefore w:val="0"/>
        <w:widowControl w:val="0"/>
        <w:kinsoku/>
        <w:wordWrap/>
        <w:overflowPunct/>
        <w:topLinePunct w:val="0"/>
        <w:autoSpaceDE/>
        <w:autoSpaceDN/>
        <w:bidi w:val="0"/>
        <w:adjustRightInd w:val="0"/>
        <w:snapToGrid w:val="0"/>
        <w:spacing w:before="155" w:beforeLines="50" w:line="288" w:lineRule="auto"/>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供应商（</w:t>
      </w:r>
      <w:r>
        <w:rPr>
          <w:rFonts w:hint="eastAsia" w:ascii="宋体" w:hAnsi="宋体" w:eastAsia="宋体" w:cs="宋体"/>
          <w:snapToGrid w:val="0"/>
          <w:color w:val="auto"/>
          <w:sz w:val="21"/>
          <w:szCs w:val="21"/>
          <w:lang w:eastAsia="zh-CN"/>
        </w:rPr>
        <w:t>公</w:t>
      </w:r>
      <w:r>
        <w:rPr>
          <w:rFonts w:hint="eastAsia" w:ascii="宋体" w:hAnsi="宋体" w:eastAsia="宋体" w:cs="宋体"/>
          <w:snapToGrid w:val="0"/>
          <w:color w:val="auto"/>
          <w:sz w:val="21"/>
          <w:szCs w:val="21"/>
        </w:rPr>
        <w:t xml:space="preserve">章）： </w:t>
      </w:r>
    </w:p>
    <w:p>
      <w:pPr>
        <w:keepNext w:val="0"/>
        <w:keepLines w:val="0"/>
        <w:pageBreakBefore w:val="0"/>
        <w:widowControl w:val="0"/>
        <w:kinsoku/>
        <w:wordWrap/>
        <w:overflowPunct/>
        <w:topLinePunct w:val="0"/>
        <w:autoSpaceDE/>
        <w:autoSpaceDN/>
        <w:bidi w:val="0"/>
        <w:adjustRightInd w:val="0"/>
        <w:snapToGrid w:val="0"/>
        <w:spacing w:before="155" w:beforeLines="50" w:line="288" w:lineRule="auto"/>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法定代表人</w:t>
      </w:r>
      <w:r>
        <w:rPr>
          <w:rFonts w:hint="eastAsia" w:ascii="宋体" w:hAnsi="宋体" w:eastAsia="宋体" w:cs="宋体"/>
          <w:snapToGrid w:val="0"/>
          <w:color w:val="auto"/>
          <w:sz w:val="21"/>
          <w:szCs w:val="21"/>
          <w:lang w:eastAsia="zh-CN"/>
        </w:rPr>
        <w:t>、负责人、本人</w:t>
      </w:r>
      <w:r>
        <w:rPr>
          <w:rFonts w:hint="eastAsia" w:ascii="宋体" w:hAnsi="宋体" w:eastAsia="宋体" w:cs="宋体"/>
          <w:snapToGrid w:val="0"/>
          <w:color w:val="auto"/>
          <w:sz w:val="21"/>
          <w:szCs w:val="21"/>
        </w:rPr>
        <w:t>或授权代表(签字或</w:t>
      </w:r>
      <w:r>
        <w:rPr>
          <w:rFonts w:hint="eastAsia" w:ascii="宋体" w:hAnsi="宋体" w:eastAsia="宋体" w:cs="宋体"/>
          <w:snapToGrid w:val="0"/>
          <w:color w:val="auto"/>
          <w:sz w:val="21"/>
          <w:szCs w:val="21"/>
          <w:lang w:eastAsia="zh-CN"/>
        </w:rPr>
        <w:t>盖</w:t>
      </w:r>
      <w:r>
        <w:rPr>
          <w:rFonts w:hint="eastAsia" w:ascii="宋体" w:hAnsi="宋体" w:eastAsia="宋体" w:cs="宋体"/>
          <w:snapToGrid w:val="0"/>
          <w:color w:val="auto"/>
          <w:sz w:val="21"/>
          <w:szCs w:val="21"/>
        </w:rPr>
        <w:t xml:space="preserve">章)： </w:t>
      </w:r>
    </w:p>
    <w:p>
      <w:pPr>
        <w:keepNext w:val="0"/>
        <w:keepLines w:val="0"/>
        <w:pageBreakBefore w:val="0"/>
        <w:widowControl w:val="0"/>
        <w:kinsoku/>
        <w:wordWrap/>
        <w:overflowPunct/>
        <w:topLinePunct w:val="0"/>
        <w:autoSpaceDE/>
        <w:autoSpaceDN/>
        <w:bidi w:val="0"/>
        <w:adjustRightInd w:val="0"/>
        <w:snapToGrid w:val="0"/>
        <w:spacing w:before="155" w:beforeLines="50" w:line="288" w:lineRule="auto"/>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日期：    年    月   日 </w:t>
      </w:r>
    </w:p>
    <w:p>
      <w:pPr>
        <w:keepNext w:val="0"/>
        <w:keepLines w:val="0"/>
        <w:pageBreakBefore w:val="0"/>
        <w:widowControl w:val="0"/>
        <w:kinsoku/>
        <w:wordWrap/>
        <w:overflowPunct/>
        <w:topLinePunct w:val="0"/>
        <w:autoSpaceDE/>
        <w:autoSpaceDN/>
        <w:bidi w:val="0"/>
        <w:adjustRightInd w:val="0"/>
        <w:snapToGrid w:val="0"/>
        <w:spacing w:before="155" w:beforeLines="50" w:line="288" w:lineRule="auto"/>
        <w:ind w:firstLine="358" w:firstLineChars="200"/>
        <w:textAlignment w:val="auto"/>
        <w:rPr>
          <w:rFonts w:hint="eastAsia" w:ascii="宋体" w:hAnsi="宋体" w:eastAsia="宋体" w:cs="宋体"/>
          <w:bCs/>
          <w:snapToGrid w:val="0"/>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注：1.</w:t>
      </w:r>
      <w:r>
        <w:rPr>
          <w:rFonts w:hint="eastAsia" w:ascii="宋体" w:hAnsi="宋体" w:eastAsia="宋体" w:cs="宋体"/>
          <w:b/>
          <w:bCs/>
          <w:snapToGrid w:val="0"/>
          <w:color w:val="auto"/>
          <w:sz w:val="21"/>
          <w:szCs w:val="21"/>
          <w:lang w:eastAsia="zh-CN"/>
        </w:rPr>
        <w:t>供应商</w:t>
      </w:r>
      <w:r>
        <w:rPr>
          <w:rFonts w:hint="eastAsia" w:ascii="宋体" w:hAnsi="宋体" w:eastAsia="宋体" w:cs="宋体"/>
          <w:b/>
          <w:bCs/>
          <w:snapToGrid w:val="0"/>
          <w:color w:val="auto"/>
          <w:sz w:val="21"/>
          <w:szCs w:val="21"/>
        </w:rPr>
        <w:t>须在</w:t>
      </w:r>
      <w:r>
        <w:rPr>
          <w:rFonts w:hint="eastAsia" w:ascii="宋体" w:hAnsi="宋体" w:eastAsia="宋体" w:cs="宋体"/>
          <w:b/>
          <w:bCs/>
          <w:snapToGrid w:val="0"/>
          <w:color w:val="auto"/>
          <w:sz w:val="21"/>
          <w:szCs w:val="21"/>
          <w:lang w:eastAsia="zh-CN"/>
        </w:rPr>
        <w:t>响应</w:t>
      </w:r>
      <w:r>
        <w:rPr>
          <w:rFonts w:hint="eastAsia" w:ascii="宋体" w:hAnsi="宋体" w:eastAsia="宋体" w:cs="宋体"/>
          <w:b/>
          <w:bCs/>
          <w:snapToGrid w:val="0"/>
          <w:color w:val="auto"/>
          <w:sz w:val="21"/>
          <w:szCs w:val="21"/>
        </w:rPr>
        <w:t>文件中按此模板提供承诺函，未提供视为未实质性响应</w:t>
      </w:r>
      <w:r>
        <w:rPr>
          <w:rFonts w:hint="eastAsia" w:ascii="宋体" w:hAnsi="宋体" w:eastAsia="宋体" w:cs="宋体"/>
          <w:b/>
          <w:bCs/>
          <w:snapToGrid w:val="0"/>
          <w:color w:val="auto"/>
          <w:sz w:val="21"/>
          <w:szCs w:val="21"/>
          <w:lang w:eastAsia="zh-CN"/>
        </w:rPr>
        <w:t>采购</w:t>
      </w:r>
      <w:r>
        <w:rPr>
          <w:rFonts w:hint="eastAsia" w:ascii="宋体" w:hAnsi="宋体" w:eastAsia="宋体" w:cs="宋体"/>
          <w:b/>
          <w:bCs/>
          <w:snapToGrid w:val="0"/>
          <w:color w:val="auto"/>
          <w:sz w:val="21"/>
          <w:szCs w:val="21"/>
        </w:rPr>
        <w:t>文件要求，按无效投标处理。</w:t>
      </w:r>
    </w:p>
    <w:p>
      <w:pPr>
        <w:keepNext w:val="0"/>
        <w:keepLines w:val="0"/>
        <w:pageBreakBefore w:val="0"/>
        <w:widowControl w:val="0"/>
        <w:kinsoku/>
        <w:wordWrap/>
        <w:overflowPunct/>
        <w:topLinePunct w:val="0"/>
        <w:autoSpaceDE/>
        <w:autoSpaceDN/>
        <w:bidi w:val="0"/>
        <w:adjustRightInd w:val="0"/>
        <w:snapToGrid w:val="0"/>
        <w:spacing w:line="288" w:lineRule="auto"/>
        <w:ind w:firstLine="358" w:firstLineChars="200"/>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2.</w:t>
      </w:r>
      <w:r>
        <w:rPr>
          <w:rFonts w:hint="eastAsia" w:ascii="宋体" w:hAnsi="宋体" w:eastAsia="宋体" w:cs="宋体"/>
          <w:b/>
          <w:bCs/>
          <w:snapToGrid w:val="0"/>
          <w:color w:val="auto"/>
          <w:sz w:val="21"/>
          <w:szCs w:val="21"/>
          <w:lang w:eastAsia="zh-CN"/>
        </w:rPr>
        <w:t>供应商</w:t>
      </w:r>
      <w:r>
        <w:rPr>
          <w:rFonts w:hint="eastAsia" w:ascii="宋体" w:hAnsi="宋体" w:eastAsia="宋体" w:cs="宋体"/>
          <w:b/>
          <w:bCs/>
          <w:snapToGrid w:val="0"/>
          <w:color w:val="auto"/>
          <w:sz w:val="21"/>
          <w:szCs w:val="21"/>
        </w:rPr>
        <w:t xml:space="preserve">的法定代表人或者授权代表的签字或盖章应真实、有效，如由授权代表签字或盖章的，应提供“法定代表人授权书”。  </w:t>
      </w:r>
      <w:bookmarkStart w:id="156" w:name="_Toc1662569"/>
    </w:p>
    <w:p>
      <w:pPr>
        <w:outlineLvl w:val="1"/>
        <w:rPr>
          <w:rFonts w:hint="eastAsia" w:ascii="宋体" w:hAnsi="宋体" w:eastAsia="宋体" w:cs="Times New Roman"/>
          <w:b/>
          <w:bCs/>
          <w:sz w:val="28"/>
          <w:szCs w:val="21"/>
        </w:rPr>
      </w:pPr>
      <w:r>
        <w:rPr>
          <w:rFonts w:hint="eastAsia" w:ascii="宋体" w:hAnsi="宋体" w:eastAsia="宋体" w:cs="宋体"/>
          <w:b/>
          <w:bCs/>
          <w:color w:val="auto"/>
          <w:sz w:val="24"/>
          <w:szCs w:val="24"/>
        </w:rPr>
        <w:br w:type="page"/>
      </w:r>
      <w:bookmarkStart w:id="157" w:name="_Toc2896"/>
      <w:r>
        <w:rPr>
          <w:rFonts w:hint="eastAsia" w:ascii="宋体" w:hAnsi="宋体" w:eastAsia="宋体" w:cs="Times New Roman"/>
          <w:b/>
          <w:bCs/>
          <w:sz w:val="28"/>
          <w:szCs w:val="21"/>
          <w:lang w:val="en-US" w:eastAsia="zh-CN"/>
        </w:rPr>
        <w:t>附件5：报价一览表</w:t>
      </w:r>
      <w:bookmarkEnd w:id="156"/>
      <w:bookmarkEnd w:id="157"/>
    </w:p>
    <w:p>
      <w:pPr>
        <w:pStyle w:val="156"/>
        <w:ind w:firstLine="0"/>
        <w:jc w:val="center"/>
        <w:rPr>
          <w:rFonts w:hint="eastAsia" w:ascii="宋体" w:hAnsi="宋体" w:eastAsia="宋体" w:cs="宋体"/>
          <w:color w:val="auto"/>
          <w:kern w:val="0"/>
          <w:sz w:val="30"/>
          <w:szCs w:val="30"/>
          <w:lang w:val="en-US" w:eastAsia="zh-CN" w:bidi="ar-SA"/>
        </w:rPr>
      </w:pPr>
      <w:bookmarkStart w:id="158" w:name="_Toc1662570"/>
      <w:r>
        <w:rPr>
          <w:rFonts w:hint="eastAsia" w:ascii="宋体" w:hAnsi="宋体" w:eastAsia="宋体" w:cs="宋体"/>
          <w:color w:val="auto"/>
          <w:kern w:val="0"/>
          <w:sz w:val="30"/>
          <w:szCs w:val="30"/>
          <w:lang w:val="en-US" w:eastAsia="zh-CN" w:bidi="ar-SA"/>
        </w:rPr>
        <w:t>报价一览表</w:t>
      </w:r>
    </w:p>
    <w:p>
      <w:pPr>
        <w:rPr>
          <w:rFonts w:hint="eastAsia" w:ascii="宋体" w:hAnsi="宋体" w:eastAsia="宋体" w:cs="宋体"/>
          <w:color w:val="auto"/>
          <w:spacing w:val="14"/>
          <w:szCs w:val="21"/>
        </w:rPr>
      </w:pPr>
    </w:p>
    <w:p>
      <w:pPr>
        <w:pStyle w:val="18"/>
        <w:ind w:firstLine="0"/>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采购编号：                                                                               单位：元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2466"/>
        <w:gridCol w:w="205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2292" w:type="dxa"/>
            <w:tcBorders>
              <w:top w:val="single" w:color="auto" w:sz="8" w:space="0"/>
              <w:left w:val="single" w:color="auto" w:sz="8" w:space="0"/>
              <w:bottom w:val="single" w:color="auto" w:sz="6" w:space="0"/>
              <w:right w:val="single" w:color="auto" w:sz="4" w:space="0"/>
            </w:tcBorders>
            <w:noWrap w:val="0"/>
            <w:vAlign w:val="center"/>
          </w:tcPr>
          <w:p>
            <w:pPr>
              <w:pStyle w:val="18"/>
              <w:ind w:firstLine="91" w:firstLineChars="48"/>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项目名称</w:t>
            </w:r>
          </w:p>
        </w:tc>
        <w:tc>
          <w:tcPr>
            <w:tcW w:w="2466" w:type="dxa"/>
            <w:tcBorders>
              <w:top w:val="single" w:color="auto" w:sz="8" w:space="0"/>
              <w:left w:val="single" w:color="auto" w:sz="4" w:space="0"/>
              <w:bottom w:val="single" w:color="auto" w:sz="6" w:space="0"/>
              <w:right w:val="single" w:color="auto" w:sz="4" w:space="0"/>
            </w:tcBorders>
            <w:noWrap w:val="0"/>
            <w:vAlign w:val="center"/>
          </w:tcPr>
          <w:p>
            <w:pPr>
              <w:pStyle w:val="18"/>
              <w:ind w:firstLine="92" w:firstLineChars="49"/>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响应报价</w:t>
            </w:r>
          </w:p>
        </w:tc>
        <w:tc>
          <w:tcPr>
            <w:tcW w:w="2054" w:type="dxa"/>
            <w:tcBorders>
              <w:top w:val="single" w:color="auto" w:sz="8" w:space="0"/>
              <w:left w:val="single" w:color="auto" w:sz="4" w:space="0"/>
              <w:bottom w:val="single" w:color="auto" w:sz="6" w:space="0"/>
              <w:right w:val="single" w:color="auto" w:sz="8" w:space="0"/>
            </w:tcBorders>
            <w:noWrap w:val="0"/>
            <w:vAlign w:val="center"/>
          </w:tcPr>
          <w:p>
            <w:pPr>
              <w:pStyle w:val="18"/>
              <w:ind w:firstLine="0"/>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合同履行期限是否满足采购文件要求</w:t>
            </w:r>
          </w:p>
        </w:tc>
        <w:tc>
          <w:tcPr>
            <w:tcW w:w="2409" w:type="dxa"/>
            <w:tcBorders>
              <w:top w:val="single" w:color="auto" w:sz="8" w:space="0"/>
              <w:left w:val="single" w:color="auto" w:sz="4" w:space="0"/>
              <w:bottom w:val="single" w:color="auto" w:sz="6" w:space="0"/>
              <w:right w:val="single" w:color="auto" w:sz="8" w:space="0"/>
            </w:tcBorders>
            <w:noWrap w:val="0"/>
            <w:vAlign w:val="center"/>
          </w:tcPr>
          <w:p>
            <w:pPr>
              <w:pStyle w:val="18"/>
              <w:ind w:firstLine="0"/>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服务要求及付款方式是否响应采购文件要求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2292" w:type="dxa"/>
            <w:tcBorders>
              <w:top w:val="single" w:color="auto" w:sz="4" w:space="0"/>
              <w:left w:val="single" w:color="auto" w:sz="8" w:space="0"/>
              <w:right w:val="single" w:color="auto" w:sz="4" w:space="0"/>
            </w:tcBorders>
            <w:noWrap w:val="0"/>
            <w:vAlign w:val="center"/>
          </w:tcPr>
          <w:p>
            <w:pPr>
              <w:pStyle w:val="18"/>
              <w:ind w:firstLine="0"/>
              <w:jc w:val="center"/>
              <w:rPr>
                <w:rFonts w:hint="eastAsia" w:ascii="宋体" w:hAnsi="宋体" w:eastAsia="宋体" w:cs="宋体"/>
                <w:color w:val="auto"/>
                <w:kern w:val="0"/>
                <w:sz w:val="22"/>
                <w:szCs w:val="22"/>
                <w:lang w:val="en-US" w:eastAsia="zh-CN" w:bidi="ar-SA"/>
              </w:rPr>
            </w:pPr>
          </w:p>
        </w:tc>
        <w:tc>
          <w:tcPr>
            <w:tcW w:w="2466" w:type="dxa"/>
            <w:tcBorders>
              <w:top w:val="single" w:color="auto" w:sz="4" w:space="0"/>
              <w:left w:val="single" w:color="auto" w:sz="4" w:space="0"/>
              <w:right w:val="single" w:color="auto" w:sz="4" w:space="0"/>
            </w:tcBorders>
            <w:noWrap w:val="0"/>
            <w:vAlign w:val="center"/>
          </w:tcPr>
          <w:p>
            <w:pPr>
              <w:pStyle w:val="18"/>
              <w:ind w:firstLine="0"/>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小写：</w:t>
            </w:r>
          </w:p>
          <w:p>
            <w:pPr>
              <w:pStyle w:val="18"/>
              <w:ind w:firstLine="0"/>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大写：</w:t>
            </w:r>
          </w:p>
        </w:tc>
        <w:tc>
          <w:tcPr>
            <w:tcW w:w="2054" w:type="dxa"/>
            <w:tcBorders>
              <w:top w:val="single" w:color="auto" w:sz="4" w:space="0"/>
              <w:left w:val="single" w:color="auto" w:sz="4" w:space="0"/>
              <w:right w:val="single" w:color="auto" w:sz="8" w:space="0"/>
            </w:tcBorders>
            <w:noWrap w:val="0"/>
            <w:vAlign w:val="center"/>
          </w:tcPr>
          <w:p>
            <w:pPr>
              <w:jc w:val="center"/>
              <w:rPr>
                <w:rFonts w:hint="eastAsia" w:ascii="宋体" w:hAnsi="宋体" w:eastAsia="宋体" w:cs="宋体"/>
                <w:color w:val="auto"/>
                <w:kern w:val="0"/>
                <w:sz w:val="22"/>
                <w:szCs w:val="22"/>
                <w:lang w:val="en-US" w:eastAsia="zh-CN" w:bidi="ar-SA"/>
              </w:rPr>
            </w:pPr>
          </w:p>
        </w:tc>
        <w:tc>
          <w:tcPr>
            <w:tcW w:w="2409" w:type="dxa"/>
            <w:tcBorders>
              <w:top w:val="single" w:color="auto" w:sz="4" w:space="0"/>
              <w:left w:val="single" w:color="auto" w:sz="4" w:space="0"/>
              <w:right w:val="single" w:color="auto" w:sz="8" w:space="0"/>
            </w:tcBorders>
            <w:noWrap w:val="0"/>
            <w:vAlign w:val="center"/>
          </w:tcPr>
          <w:p>
            <w:pPr>
              <w:jc w:val="center"/>
              <w:rPr>
                <w:rFonts w:hint="eastAsia" w:ascii="宋体" w:hAnsi="宋体" w:eastAsia="宋体" w:cs="宋体"/>
                <w:color w:val="auto"/>
                <w:kern w:val="0"/>
                <w:sz w:val="22"/>
                <w:szCs w:val="22"/>
                <w:lang w:val="en-US" w:eastAsia="zh-CN" w:bidi="ar-SA"/>
              </w:rPr>
            </w:pPr>
          </w:p>
        </w:tc>
      </w:tr>
    </w:tbl>
    <w:p>
      <w:pPr>
        <w:pStyle w:val="34"/>
        <w:snapToGrid w:val="0"/>
        <w:jc w:val="left"/>
        <w:rPr>
          <w:rFonts w:hint="eastAsia" w:ascii="宋体" w:hAnsi="宋体" w:eastAsia="宋体" w:cs="宋体"/>
          <w:color w:val="auto"/>
          <w:kern w:val="0"/>
          <w:sz w:val="22"/>
          <w:szCs w:val="22"/>
          <w:lang w:val="en-US" w:eastAsia="zh-CN" w:bidi="ar-SA"/>
        </w:rPr>
      </w:pPr>
    </w:p>
    <w:p>
      <w:pPr>
        <w:pStyle w:val="18"/>
        <w:ind w:firstLine="0"/>
        <w:jc w:val="left"/>
        <w:rPr>
          <w:rFonts w:hint="eastAsia" w:ascii="宋体" w:hAnsi="宋体" w:eastAsia="宋体" w:cs="宋体"/>
          <w:color w:val="auto"/>
          <w:kern w:val="0"/>
          <w:sz w:val="22"/>
          <w:szCs w:val="22"/>
          <w:lang w:val="en-US" w:eastAsia="zh-CN" w:bidi="ar-SA"/>
        </w:rPr>
      </w:pPr>
    </w:p>
    <w:p>
      <w:pPr>
        <w:pStyle w:val="18"/>
        <w:spacing w:line="480" w:lineRule="auto"/>
        <w:ind w:left="0" w:leftChars="0" w:firstLine="0" w:firstLineChars="0"/>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 xml:space="preserve">供应商（公章）：            </w:t>
      </w:r>
    </w:p>
    <w:p>
      <w:pPr>
        <w:pStyle w:val="18"/>
        <w:spacing w:line="480" w:lineRule="auto"/>
        <w:ind w:left="0" w:leftChars="0" w:firstLine="0" w:firstLineChars="0"/>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 xml:space="preserve">法定代表人或授权代表（签字或盖章）：                </w:t>
      </w:r>
    </w:p>
    <w:p>
      <w:pPr>
        <w:pStyle w:val="18"/>
        <w:spacing w:line="480" w:lineRule="auto"/>
        <w:ind w:left="0" w:leftChars="0" w:firstLine="0" w:firstLineChars="0"/>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日期：</w:t>
      </w:r>
    </w:p>
    <w:p>
      <w:pPr>
        <w:pStyle w:val="8"/>
        <w:rPr>
          <w:rFonts w:hint="eastAsia" w:ascii="宋体" w:hAnsi="宋体" w:eastAsia="宋体" w:cs="宋体"/>
          <w:color w:val="auto"/>
          <w:spacing w:val="14"/>
        </w:rPr>
        <w:sectPr>
          <w:headerReference r:id="rId5" w:type="default"/>
          <w:footerReference r:id="rId6" w:type="default"/>
          <w:pgSz w:w="11906" w:h="16838"/>
          <w:pgMar w:top="1418" w:right="1247" w:bottom="1418" w:left="1418" w:header="851" w:footer="992" w:gutter="0"/>
          <w:cols w:space="720" w:num="1"/>
          <w:docGrid w:type="linesAndChars" w:linePitch="466" w:charSpace="-6394"/>
        </w:sectPr>
      </w:pPr>
    </w:p>
    <w:p>
      <w:pPr>
        <w:bidi w:val="0"/>
        <w:outlineLvl w:val="1"/>
        <w:rPr>
          <w:rFonts w:hint="eastAsia" w:ascii="宋体" w:hAnsi="宋体" w:eastAsia="宋体" w:cs="Times New Roman"/>
          <w:b/>
          <w:bCs/>
          <w:sz w:val="28"/>
          <w:szCs w:val="21"/>
        </w:rPr>
      </w:pPr>
      <w:bookmarkStart w:id="159" w:name="_Toc13260"/>
      <w:r>
        <w:rPr>
          <w:rFonts w:hint="eastAsia" w:ascii="宋体" w:hAnsi="宋体" w:eastAsia="宋体" w:cs="Times New Roman"/>
          <w:b/>
          <w:bCs/>
          <w:sz w:val="28"/>
          <w:szCs w:val="21"/>
        </w:rPr>
        <w:t>附件</w:t>
      </w:r>
      <w:r>
        <w:rPr>
          <w:rFonts w:hint="eastAsia" w:ascii="宋体" w:hAnsi="宋体" w:eastAsia="宋体" w:cs="Times New Roman"/>
          <w:b/>
          <w:bCs/>
          <w:sz w:val="28"/>
          <w:szCs w:val="21"/>
          <w:lang w:val="en-US" w:eastAsia="zh-CN"/>
        </w:rPr>
        <w:t>6</w:t>
      </w:r>
      <w:r>
        <w:rPr>
          <w:rFonts w:hint="eastAsia" w:ascii="宋体" w:hAnsi="宋体" w:eastAsia="宋体" w:cs="Times New Roman"/>
          <w:b/>
          <w:bCs/>
          <w:sz w:val="28"/>
          <w:szCs w:val="21"/>
        </w:rPr>
        <w:t>：报价明细表</w:t>
      </w:r>
      <w:bookmarkEnd w:id="158"/>
      <w:bookmarkEnd w:id="159"/>
    </w:p>
    <w:p>
      <w:pPr>
        <w:jc w:val="center"/>
        <w:rPr>
          <w:rFonts w:hint="eastAsia" w:ascii="宋体" w:hAnsi="宋体" w:eastAsia="宋体" w:cs="宋体"/>
          <w:color w:val="auto"/>
        </w:rPr>
      </w:pPr>
    </w:p>
    <w:p>
      <w:pPr>
        <w:jc w:val="center"/>
        <w:rPr>
          <w:rFonts w:hint="eastAsia" w:ascii="宋体" w:hAnsi="宋体" w:eastAsia="宋体" w:cs="宋体"/>
          <w:color w:val="auto"/>
          <w:spacing w:val="14"/>
          <w:sz w:val="28"/>
          <w:szCs w:val="28"/>
        </w:rPr>
      </w:pPr>
      <w:r>
        <w:rPr>
          <w:rFonts w:hint="eastAsia" w:ascii="宋体" w:hAnsi="宋体" w:eastAsia="宋体" w:cs="宋体"/>
          <w:color w:val="auto"/>
          <w:spacing w:val="14"/>
          <w:sz w:val="28"/>
          <w:szCs w:val="28"/>
        </w:rPr>
        <w:t>报价明细表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757"/>
        <w:gridCol w:w="2493"/>
        <w:gridCol w:w="845"/>
        <w:gridCol w:w="91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7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75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服务内容</w:t>
            </w:r>
          </w:p>
        </w:tc>
        <w:tc>
          <w:tcPr>
            <w:tcW w:w="249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是否属于小型微型（监狱、残疾人福利性单位）企业承担的服务</w:t>
            </w:r>
          </w:p>
        </w:tc>
        <w:tc>
          <w:tcPr>
            <w:tcW w:w="84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91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单价</w:t>
            </w:r>
          </w:p>
        </w:tc>
        <w:tc>
          <w:tcPr>
            <w:tcW w:w="106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noWrap w:val="0"/>
            <w:vAlign w:val="center"/>
          </w:tcPr>
          <w:p>
            <w:pPr>
              <w:jc w:val="center"/>
              <w:rPr>
                <w:rFonts w:hint="eastAsia" w:ascii="宋体" w:hAnsi="宋体" w:eastAsia="宋体" w:cs="宋体"/>
                <w:sz w:val="21"/>
                <w:szCs w:val="21"/>
              </w:rPr>
            </w:pPr>
          </w:p>
        </w:tc>
        <w:tc>
          <w:tcPr>
            <w:tcW w:w="2757" w:type="dxa"/>
            <w:noWrap w:val="0"/>
            <w:vAlign w:val="center"/>
          </w:tcPr>
          <w:p>
            <w:pPr>
              <w:jc w:val="center"/>
              <w:rPr>
                <w:rFonts w:hint="eastAsia" w:ascii="宋体" w:hAnsi="宋体" w:eastAsia="宋体" w:cs="宋体"/>
                <w:sz w:val="21"/>
                <w:szCs w:val="21"/>
              </w:rPr>
            </w:pPr>
          </w:p>
        </w:tc>
        <w:tc>
          <w:tcPr>
            <w:tcW w:w="2493" w:type="dxa"/>
            <w:noWrap w:val="0"/>
            <w:vAlign w:val="center"/>
          </w:tcPr>
          <w:p>
            <w:pPr>
              <w:jc w:val="center"/>
              <w:rPr>
                <w:rFonts w:hint="eastAsia" w:ascii="宋体" w:hAnsi="宋体" w:eastAsia="宋体" w:cs="宋体"/>
                <w:sz w:val="21"/>
                <w:szCs w:val="21"/>
              </w:rPr>
            </w:pPr>
          </w:p>
        </w:tc>
        <w:tc>
          <w:tcPr>
            <w:tcW w:w="845" w:type="dxa"/>
            <w:noWrap w:val="0"/>
            <w:vAlign w:val="center"/>
          </w:tcPr>
          <w:p>
            <w:pPr>
              <w:jc w:val="center"/>
              <w:rPr>
                <w:rFonts w:hint="eastAsia" w:ascii="宋体" w:hAnsi="宋体" w:eastAsia="宋体" w:cs="宋体"/>
                <w:sz w:val="21"/>
                <w:szCs w:val="21"/>
              </w:rPr>
            </w:pPr>
          </w:p>
        </w:tc>
        <w:tc>
          <w:tcPr>
            <w:tcW w:w="914" w:type="dxa"/>
            <w:noWrap w:val="0"/>
            <w:vAlign w:val="center"/>
          </w:tcPr>
          <w:p>
            <w:pPr>
              <w:jc w:val="center"/>
              <w:rPr>
                <w:rFonts w:hint="eastAsia" w:ascii="宋体" w:hAnsi="宋体" w:eastAsia="宋体" w:cs="宋体"/>
                <w:sz w:val="21"/>
                <w:szCs w:val="21"/>
              </w:rPr>
            </w:pPr>
          </w:p>
        </w:tc>
        <w:tc>
          <w:tcPr>
            <w:tcW w:w="1064"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noWrap w:val="0"/>
            <w:vAlign w:val="center"/>
          </w:tcPr>
          <w:p>
            <w:pPr>
              <w:jc w:val="center"/>
              <w:rPr>
                <w:rFonts w:hint="eastAsia" w:ascii="宋体" w:hAnsi="宋体" w:eastAsia="宋体" w:cs="宋体"/>
                <w:sz w:val="21"/>
                <w:szCs w:val="21"/>
              </w:rPr>
            </w:pPr>
          </w:p>
        </w:tc>
        <w:tc>
          <w:tcPr>
            <w:tcW w:w="2757" w:type="dxa"/>
            <w:noWrap w:val="0"/>
            <w:vAlign w:val="center"/>
          </w:tcPr>
          <w:p>
            <w:pPr>
              <w:jc w:val="center"/>
              <w:rPr>
                <w:rFonts w:hint="eastAsia" w:ascii="宋体" w:hAnsi="宋体" w:eastAsia="宋体" w:cs="宋体"/>
                <w:sz w:val="21"/>
                <w:szCs w:val="21"/>
              </w:rPr>
            </w:pPr>
          </w:p>
        </w:tc>
        <w:tc>
          <w:tcPr>
            <w:tcW w:w="2493" w:type="dxa"/>
            <w:noWrap w:val="0"/>
            <w:vAlign w:val="center"/>
          </w:tcPr>
          <w:p>
            <w:pPr>
              <w:jc w:val="center"/>
              <w:rPr>
                <w:rFonts w:hint="eastAsia" w:ascii="宋体" w:hAnsi="宋体" w:eastAsia="宋体" w:cs="宋体"/>
                <w:sz w:val="21"/>
                <w:szCs w:val="21"/>
              </w:rPr>
            </w:pPr>
          </w:p>
        </w:tc>
        <w:tc>
          <w:tcPr>
            <w:tcW w:w="845" w:type="dxa"/>
            <w:noWrap w:val="0"/>
            <w:vAlign w:val="center"/>
          </w:tcPr>
          <w:p>
            <w:pPr>
              <w:jc w:val="center"/>
              <w:rPr>
                <w:rFonts w:hint="eastAsia" w:ascii="宋体" w:hAnsi="宋体" w:eastAsia="宋体" w:cs="宋体"/>
                <w:sz w:val="21"/>
                <w:szCs w:val="21"/>
              </w:rPr>
            </w:pPr>
          </w:p>
        </w:tc>
        <w:tc>
          <w:tcPr>
            <w:tcW w:w="914" w:type="dxa"/>
            <w:noWrap w:val="0"/>
            <w:vAlign w:val="center"/>
          </w:tcPr>
          <w:p>
            <w:pPr>
              <w:jc w:val="center"/>
              <w:rPr>
                <w:rFonts w:hint="eastAsia" w:ascii="宋体" w:hAnsi="宋体" w:eastAsia="宋体" w:cs="宋体"/>
                <w:sz w:val="21"/>
                <w:szCs w:val="21"/>
              </w:rPr>
            </w:pPr>
          </w:p>
        </w:tc>
        <w:tc>
          <w:tcPr>
            <w:tcW w:w="1064"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noWrap w:val="0"/>
            <w:vAlign w:val="center"/>
          </w:tcPr>
          <w:p>
            <w:pPr>
              <w:jc w:val="center"/>
              <w:rPr>
                <w:rFonts w:hint="eastAsia" w:ascii="宋体" w:hAnsi="宋体" w:eastAsia="宋体" w:cs="宋体"/>
                <w:sz w:val="21"/>
                <w:szCs w:val="21"/>
              </w:rPr>
            </w:pPr>
          </w:p>
        </w:tc>
        <w:tc>
          <w:tcPr>
            <w:tcW w:w="2757" w:type="dxa"/>
            <w:noWrap w:val="0"/>
            <w:vAlign w:val="center"/>
          </w:tcPr>
          <w:p>
            <w:pPr>
              <w:jc w:val="center"/>
              <w:rPr>
                <w:rFonts w:hint="eastAsia" w:ascii="宋体" w:hAnsi="宋体" w:eastAsia="宋体" w:cs="宋体"/>
                <w:sz w:val="21"/>
                <w:szCs w:val="21"/>
              </w:rPr>
            </w:pPr>
          </w:p>
        </w:tc>
        <w:tc>
          <w:tcPr>
            <w:tcW w:w="2493" w:type="dxa"/>
            <w:noWrap w:val="0"/>
            <w:vAlign w:val="center"/>
          </w:tcPr>
          <w:p>
            <w:pPr>
              <w:jc w:val="center"/>
              <w:rPr>
                <w:rFonts w:hint="eastAsia" w:ascii="宋体" w:hAnsi="宋体" w:eastAsia="宋体" w:cs="宋体"/>
                <w:sz w:val="21"/>
                <w:szCs w:val="21"/>
              </w:rPr>
            </w:pPr>
          </w:p>
        </w:tc>
        <w:tc>
          <w:tcPr>
            <w:tcW w:w="845" w:type="dxa"/>
            <w:noWrap w:val="0"/>
            <w:vAlign w:val="center"/>
          </w:tcPr>
          <w:p>
            <w:pPr>
              <w:jc w:val="center"/>
              <w:rPr>
                <w:rFonts w:hint="eastAsia" w:ascii="宋体" w:hAnsi="宋体" w:eastAsia="宋体" w:cs="宋体"/>
                <w:sz w:val="21"/>
                <w:szCs w:val="21"/>
              </w:rPr>
            </w:pPr>
          </w:p>
        </w:tc>
        <w:tc>
          <w:tcPr>
            <w:tcW w:w="914" w:type="dxa"/>
            <w:noWrap w:val="0"/>
            <w:vAlign w:val="center"/>
          </w:tcPr>
          <w:p>
            <w:pPr>
              <w:jc w:val="center"/>
              <w:rPr>
                <w:rFonts w:hint="eastAsia" w:ascii="宋体" w:hAnsi="宋体" w:eastAsia="宋体" w:cs="宋体"/>
                <w:sz w:val="21"/>
                <w:szCs w:val="21"/>
              </w:rPr>
            </w:pPr>
          </w:p>
        </w:tc>
        <w:tc>
          <w:tcPr>
            <w:tcW w:w="1064"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noWrap w:val="0"/>
            <w:vAlign w:val="center"/>
          </w:tcPr>
          <w:p>
            <w:pPr>
              <w:jc w:val="center"/>
              <w:rPr>
                <w:rFonts w:hint="eastAsia" w:ascii="宋体" w:hAnsi="宋体" w:eastAsia="宋体" w:cs="宋体"/>
                <w:sz w:val="21"/>
                <w:szCs w:val="21"/>
              </w:rPr>
            </w:pPr>
          </w:p>
        </w:tc>
        <w:tc>
          <w:tcPr>
            <w:tcW w:w="2757" w:type="dxa"/>
            <w:noWrap w:val="0"/>
            <w:vAlign w:val="center"/>
          </w:tcPr>
          <w:p>
            <w:pPr>
              <w:jc w:val="center"/>
              <w:rPr>
                <w:rFonts w:hint="eastAsia" w:ascii="宋体" w:hAnsi="宋体" w:eastAsia="宋体" w:cs="宋体"/>
                <w:sz w:val="21"/>
                <w:szCs w:val="21"/>
              </w:rPr>
            </w:pPr>
          </w:p>
        </w:tc>
        <w:tc>
          <w:tcPr>
            <w:tcW w:w="2493" w:type="dxa"/>
            <w:noWrap w:val="0"/>
            <w:vAlign w:val="center"/>
          </w:tcPr>
          <w:p>
            <w:pPr>
              <w:jc w:val="center"/>
              <w:rPr>
                <w:rFonts w:hint="eastAsia" w:ascii="宋体" w:hAnsi="宋体" w:eastAsia="宋体" w:cs="宋体"/>
                <w:sz w:val="21"/>
                <w:szCs w:val="21"/>
              </w:rPr>
            </w:pPr>
          </w:p>
        </w:tc>
        <w:tc>
          <w:tcPr>
            <w:tcW w:w="845" w:type="dxa"/>
            <w:noWrap w:val="0"/>
            <w:vAlign w:val="center"/>
          </w:tcPr>
          <w:p>
            <w:pPr>
              <w:jc w:val="center"/>
              <w:rPr>
                <w:rFonts w:hint="eastAsia" w:ascii="宋体" w:hAnsi="宋体" w:eastAsia="宋体" w:cs="宋体"/>
                <w:sz w:val="21"/>
                <w:szCs w:val="21"/>
              </w:rPr>
            </w:pPr>
          </w:p>
        </w:tc>
        <w:tc>
          <w:tcPr>
            <w:tcW w:w="914" w:type="dxa"/>
            <w:noWrap w:val="0"/>
            <w:vAlign w:val="center"/>
          </w:tcPr>
          <w:p>
            <w:pPr>
              <w:jc w:val="center"/>
              <w:rPr>
                <w:rFonts w:hint="eastAsia" w:ascii="宋体" w:hAnsi="宋体" w:eastAsia="宋体" w:cs="宋体"/>
                <w:sz w:val="21"/>
                <w:szCs w:val="21"/>
              </w:rPr>
            </w:pPr>
          </w:p>
        </w:tc>
        <w:tc>
          <w:tcPr>
            <w:tcW w:w="1064"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noWrap w:val="0"/>
            <w:vAlign w:val="center"/>
          </w:tcPr>
          <w:p>
            <w:pPr>
              <w:jc w:val="center"/>
              <w:rPr>
                <w:rFonts w:hint="eastAsia" w:ascii="宋体" w:hAnsi="宋体" w:eastAsia="宋体" w:cs="宋体"/>
                <w:sz w:val="21"/>
                <w:szCs w:val="21"/>
              </w:rPr>
            </w:pPr>
          </w:p>
        </w:tc>
        <w:tc>
          <w:tcPr>
            <w:tcW w:w="2757" w:type="dxa"/>
            <w:noWrap w:val="0"/>
            <w:vAlign w:val="center"/>
          </w:tcPr>
          <w:p>
            <w:pPr>
              <w:jc w:val="center"/>
              <w:rPr>
                <w:rFonts w:hint="eastAsia" w:ascii="宋体" w:hAnsi="宋体" w:eastAsia="宋体" w:cs="宋体"/>
                <w:sz w:val="21"/>
                <w:szCs w:val="21"/>
              </w:rPr>
            </w:pPr>
          </w:p>
        </w:tc>
        <w:tc>
          <w:tcPr>
            <w:tcW w:w="2493" w:type="dxa"/>
            <w:noWrap w:val="0"/>
            <w:vAlign w:val="center"/>
          </w:tcPr>
          <w:p>
            <w:pPr>
              <w:jc w:val="center"/>
              <w:rPr>
                <w:rFonts w:hint="eastAsia" w:ascii="宋体" w:hAnsi="宋体" w:eastAsia="宋体" w:cs="宋体"/>
                <w:sz w:val="21"/>
                <w:szCs w:val="21"/>
              </w:rPr>
            </w:pPr>
          </w:p>
        </w:tc>
        <w:tc>
          <w:tcPr>
            <w:tcW w:w="845" w:type="dxa"/>
            <w:noWrap w:val="0"/>
            <w:vAlign w:val="center"/>
          </w:tcPr>
          <w:p>
            <w:pPr>
              <w:jc w:val="center"/>
              <w:rPr>
                <w:rFonts w:hint="eastAsia" w:ascii="宋体" w:hAnsi="宋体" w:eastAsia="宋体" w:cs="宋体"/>
                <w:sz w:val="21"/>
                <w:szCs w:val="21"/>
              </w:rPr>
            </w:pPr>
          </w:p>
        </w:tc>
        <w:tc>
          <w:tcPr>
            <w:tcW w:w="914" w:type="dxa"/>
            <w:noWrap w:val="0"/>
            <w:vAlign w:val="center"/>
          </w:tcPr>
          <w:p>
            <w:pPr>
              <w:jc w:val="center"/>
              <w:rPr>
                <w:rFonts w:hint="eastAsia" w:ascii="宋体" w:hAnsi="宋体" w:eastAsia="宋体" w:cs="宋体"/>
                <w:sz w:val="21"/>
                <w:szCs w:val="21"/>
              </w:rPr>
            </w:pPr>
          </w:p>
        </w:tc>
        <w:tc>
          <w:tcPr>
            <w:tcW w:w="1064"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noWrap w:val="0"/>
            <w:vAlign w:val="center"/>
          </w:tcPr>
          <w:p>
            <w:pPr>
              <w:jc w:val="center"/>
              <w:rPr>
                <w:rFonts w:hint="eastAsia" w:ascii="宋体" w:hAnsi="宋体" w:eastAsia="宋体" w:cs="宋体"/>
                <w:sz w:val="21"/>
                <w:szCs w:val="21"/>
              </w:rPr>
            </w:pPr>
          </w:p>
        </w:tc>
        <w:tc>
          <w:tcPr>
            <w:tcW w:w="2757" w:type="dxa"/>
            <w:noWrap w:val="0"/>
            <w:vAlign w:val="center"/>
          </w:tcPr>
          <w:p>
            <w:pPr>
              <w:jc w:val="center"/>
              <w:rPr>
                <w:rFonts w:hint="eastAsia" w:ascii="宋体" w:hAnsi="宋体" w:eastAsia="宋体" w:cs="宋体"/>
                <w:sz w:val="21"/>
                <w:szCs w:val="21"/>
              </w:rPr>
            </w:pPr>
          </w:p>
        </w:tc>
        <w:tc>
          <w:tcPr>
            <w:tcW w:w="2493" w:type="dxa"/>
            <w:noWrap w:val="0"/>
            <w:vAlign w:val="center"/>
          </w:tcPr>
          <w:p>
            <w:pPr>
              <w:jc w:val="center"/>
              <w:rPr>
                <w:rFonts w:hint="eastAsia" w:ascii="宋体" w:hAnsi="宋体" w:eastAsia="宋体" w:cs="宋体"/>
                <w:sz w:val="21"/>
                <w:szCs w:val="21"/>
              </w:rPr>
            </w:pPr>
          </w:p>
        </w:tc>
        <w:tc>
          <w:tcPr>
            <w:tcW w:w="845" w:type="dxa"/>
            <w:noWrap w:val="0"/>
            <w:vAlign w:val="center"/>
          </w:tcPr>
          <w:p>
            <w:pPr>
              <w:jc w:val="center"/>
              <w:rPr>
                <w:rFonts w:hint="eastAsia" w:ascii="宋体" w:hAnsi="宋体" w:eastAsia="宋体" w:cs="宋体"/>
                <w:sz w:val="21"/>
                <w:szCs w:val="21"/>
              </w:rPr>
            </w:pPr>
          </w:p>
        </w:tc>
        <w:tc>
          <w:tcPr>
            <w:tcW w:w="914" w:type="dxa"/>
            <w:noWrap w:val="0"/>
            <w:vAlign w:val="center"/>
          </w:tcPr>
          <w:p>
            <w:pPr>
              <w:jc w:val="center"/>
              <w:rPr>
                <w:rFonts w:hint="eastAsia" w:ascii="宋体" w:hAnsi="宋体" w:eastAsia="宋体" w:cs="宋体"/>
                <w:sz w:val="21"/>
                <w:szCs w:val="21"/>
              </w:rPr>
            </w:pPr>
          </w:p>
        </w:tc>
        <w:tc>
          <w:tcPr>
            <w:tcW w:w="1064"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noWrap w:val="0"/>
            <w:vAlign w:val="center"/>
          </w:tcPr>
          <w:p>
            <w:pPr>
              <w:jc w:val="center"/>
              <w:rPr>
                <w:rFonts w:hint="eastAsia" w:ascii="宋体" w:hAnsi="宋体" w:eastAsia="宋体" w:cs="宋体"/>
                <w:sz w:val="21"/>
                <w:szCs w:val="21"/>
              </w:rPr>
            </w:pPr>
          </w:p>
        </w:tc>
        <w:tc>
          <w:tcPr>
            <w:tcW w:w="2757" w:type="dxa"/>
            <w:noWrap w:val="0"/>
            <w:vAlign w:val="center"/>
          </w:tcPr>
          <w:p>
            <w:pPr>
              <w:jc w:val="center"/>
              <w:rPr>
                <w:rFonts w:hint="eastAsia" w:ascii="宋体" w:hAnsi="宋体" w:eastAsia="宋体" w:cs="宋体"/>
                <w:sz w:val="21"/>
                <w:szCs w:val="21"/>
              </w:rPr>
            </w:pPr>
          </w:p>
        </w:tc>
        <w:tc>
          <w:tcPr>
            <w:tcW w:w="2493" w:type="dxa"/>
            <w:noWrap w:val="0"/>
            <w:vAlign w:val="center"/>
          </w:tcPr>
          <w:p>
            <w:pPr>
              <w:jc w:val="center"/>
              <w:rPr>
                <w:rFonts w:hint="eastAsia" w:ascii="宋体" w:hAnsi="宋体" w:eastAsia="宋体" w:cs="宋体"/>
                <w:sz w:val="21"/>
                <w:szCs w:val="21"/>
              </w:rPr>
            </w:pPr>
          </w:p>
        </w:tc>
        <w:tc>
          <w:tcPr>
            <w:tcW w:w="845" w:type="dxa"/>
            <w:noWrap w:val="0"/>
            <w:vAlign w:val="center"/>
          </w:tcPr>
          <w:p>
            <w:pPr>
              <w:jc w:val="center"/>
              <w:rPr>
                <w:rFonts w:hint="eastAsia" w:ascii="宋体" w:hAnsi="宋体" w:eastAsia="宋体" w:cs="宋体"/>
                <w:sz w:val="21"/>
                <w:szCs w:val="21"/>
              </w:rPr>
            </w:pPr>
          </w:p>
        </w:tc>
        <w:tc>
          <w:tcPr>
            <w:tcW w:w="914" w:type="dxa"/>
            <w:noWrap w:val="0"/>
            <w:vAlign w:val="center"/>
          </w:tcPr>
          <w:p>
            <w:pPr>
              <w:jc w:val="center"/>
              <w:rPr>
                <w:rFonts w:hint="eastAsia" w:ascii="宋体" w:hAnsi="宋体" w:eastAsia="宋体" w:cs="宋体"/>
                <w:sz w:val="21"/>
                <w:szCs w:val="21"/>
              </w:rPr>
            </w:pPr>
          </w:p>
        </w:tc>
        <w:tc>
          <w:tcPr>
            <w:tcW w:w="1064"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noWrap w:val="0"/>
            <w:vAlign w:val="center"/>
          </w:tcPr>
          <w:p>
            <w:pPr>
              <w:jc w:val="center"/>
              <w:rPr>
                <w:rFonts w:hint="eastAsia" w:ascii="宋体" w:hAnsi="宋体" w:eastAsia="宋体" w:cs="宋体"/>
                <w:sz w:val="21"/>
                <w:szCs w:val="21"/>
              </w:rPr>
            </w:pPr>
          </w:p>
        </w:tc>
        <w:tc>
          <w:tcPr>
            <w:tcW w:w="2757" w:type="dxa"/>
            <w:noWrap w:val="0"/>
            <w:vAlign w:val="center"/>
          </w:tcPr>
          <w:p>
            <w:pPr>
              <w:jc w:val="center"/>
              <w:rPr>
                <w:rFonts w:hint="eastAsia" w:ascii="宋体" w:hAnsi="宋体" w:eastAsia="宋体" w:cs="宋体"/>
                <w:sz w:val="21"/>
                <w:szCs w:val="21"/>
              </w:rPr>
            </w:pPr>
          </w:p>
        </w:tc>
        <w:tc>
          <w:tcPr>
            <w:tcW w:w="2493" w:type="dxa"/>
            <w:noWrap w:val="0"/>
            <w:vAlign w:val="center"/>
          </w:tcPr>
          <w:p>
            <w:pPr>
              <w:jc w:val="center"/>
              <w:rPr>
                <w:rFonts w:hint="eastAsia" w:ascii="宋体" w:hAnsi="宋体" w:eastAsia="宋体" w:cs="宋体"/>
                <w:sz w:val="21"/>
                <w:szCs w:val="21"/>
              </w:rPr>
            </w:pPr>
          </w:p>
        </w:tc>
        <w:tc>
          <w:tcPr>
            <w:tcW w:w="845" w:type="dxa"/>
            <w:noWrap w:val="0"/>
            <w:vAlign w:val="center"/>
          </w:tcPr>
          <w:p>
            <w:pPr>
              <w:jc w:val="center"/>
              <w:rPr>
                <w:rFonts w:hint="eastAsia" w:ascii="宋体" w:hAnsi="宋体" w:eastAsia="宋体" w:cs="宋体"/>
                <w:sz w:val="21"/>
                <w:szCs w:val="21"/>
              </w:rPr>
            </w:pPr>
          </w:p>
        </w:tc>
        <w:tc>
          <w:tcPr>
            <w:tcW w:w="914" w:type="dxa"/>
            <w:noWrap w:val="0"/>
            <w:vAlign w:val="center"/>
          </w:tcPr>
          <w:p>
            <w:pPr>
              <w:jc w:val="center"/>
              <w:rPr>
                <w:rFonts w:hint="eastAsia" w:ascii="宋体" w:hAnsi="宋体" w:eastAsia="宋体" w:cs="宋体"/>
                <w:sz w:val="21"/>
                <w:szCs w:val="21"/>
              </w:rPr>
            </w:pPr>
          </w:p>
        </w:tc>
        <w:tc>
          <w:tcPr>
            <w:tcW w:w="1064"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noWrap w:val="0"/>
            <w:vAlign w:val="center"/>
          </w:tcPr>
          <w:p>
            <w:pPr>
              <w:jc w:val="center"/>
              <w:rPr>
                <w:rFonts w:hint="eastAsia" w:ascii="宋体" w:hAnsi="宋体" w:eastAsia="宋体" w:cs="宋体"/>
                <w:sz w:val="21"/>
                <w:szCs w:val="21"/>
              </w:rPr>
            </w:pPr>
          </w:p>
        </w:tc>
        <w:tc>
          <w:tcPr>
            <w:tcW w:w="2757" w:type="dxa"/>
            <w:noWrap w:val="0"/>
            <w:vAlign w:val="center"/>
          </w:tcPr>
          <w:p>
            <w:pPr>
              <w:jc w:val="center"/>
              <w:rPr>
                <w:rFonts w:hint="eastAsia" w:ascii="宋体" w:hAnsi="宋体" w:eastAsia="宋体" w:cs="宋体"/>
                <w:sz w:val="21"/>
                <w:szCs w:val="21"/>
                <w:highlight w:val="blue"/>
              </w:rPr>
            </w:pPr>
          </w:p>
        </w:tc>
        <w:tc>
          <w:tcPr>
            <w:tcW w:w="2493" w:type="dxa"/>
            <w:noWrap w:val="0"/>
            <w:vAlign w:val="center"/>
          </w:tcPr>
          <w:p>
            <w:pPr>
              <w:jc w:val="center"/>
              <w:rPr>
                <w:rFonts w:hint="eastAsia" w:ascii="宋体" w:hAnsi="宋体" w:eastAsia="宋体" w:cs="宋体"/>
                <w:sz w:val="21"/>
                <w:szCs w:val="21"/>
              </w:rPr>
            </w:pPr>
          </w:p>
        </w:tc>
        <w:tc>
          <w:tcPr>
            <w:tcW w:w="845" w:type="dxa"/>
            <w:noWrap w:val="0"/>
            <w:vAlign w:val="center"/>
          </w:tcPr>
          <w:p>
            <w:pPr>
              <w:jc w:val="center"/>
              <w:rPr>
                <w:rFonts w:hint="eastAsia" w:ascii="宋体" w:hAnsi="宋体" w:eastAsia="宋体" w:cs="宋体"/>
                <w:sz w:val="21"/>
                <w:szCs w:val="21"/>
              </w:rPr>
            </w:pPr>
          </w:p>
        </w:tc>
        <w:tc>
          <w:tcPr>
            <w:tcW w:w="914" w:type="dxa"/>
            <w:noWrap w:val="0"/>
            <w:vAlign w:val="center"/>
          </w:tcPr>
          <w:p>
            <w:pPr>
              <w:jc w:val="center"/>
              <w:rPr>
                <w:rFonts w:hint="eastAsia" w:ascii="宋体" w:hAnsi="宋体" w:eastAsia="宋体" w:cs="宋体"/>
                <w:sz w:val="21"/>
                <w:szCs w:val="21"/>
              </w:rPr>
            </w:pPr>
          </w:p>
        </w:tc>
        <w:tc>
          <w:tcPr>
            <w:tcW w:w="1064"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noWrap w:val="0"/>
            <w:vAlign w:val="center"/>
          </w:tcPr>
          <w:p>
            <w:pPr>
              <w:jc w:val="center"/>
              <w:rPr>
                <w:rFonts w:hint="eastAsia" w:ascii="宋体" w:hAnsi="宋体" w:eastAsia="宋体" w:cs="宋体"/>
                <w:sz w:val="21"/>
                <w:szCs w:val="21"/>
              </w:rPr>
            </w:pPr>
          </w:p>
        </w:tc>
        <w:tc>
          <w:tcPr>
            <w:tcW w:w="2757" w:type="dxa"/>
            <w:noWrap w:val="0"/>
            <w:vAlign w:val="center"/>
          </w:tcPr>
          <w:p>
            <w:pPr>
              <w:jc w:val="center"/>
              <w:rPr>
                <w:rFonts w:hint="eastAsia" w:ascii="宋体" w:hAnsi="宋体" w:eastAsia="宋体" w:cs="宋体"/>
                <w:sz w:val="21"/>
                <w:szCs w:val="21"/>
                <w:highlight w:val="blue"/>
              </w:rPr>
            </w:pPr>
          </w:p>
        </w:tc>
        <w:tc>
          <w:tcPr>
            <w:tcW w:w="2493" w:type="dxa"/>
            <w:noWrap w:val="0"/>
            <w:vAlign w:val="center"/>
          </w:tcPr>
          <w:p>
            <w:pPr>
              <w:jc w:val="center"/>
              <w:rPr>
                <w:rFonts w:hint="eastAsia" w:ascii="宋体" w:hAnsi="宋体" w:eastAsia="宋体" w:cs="宋体"/>
                <w:sz w:val="21"/>
                <w:szCs w:val="21"/>
              </w:rPr>
            </w:pPr>
          </w:p>
        </w:tc>
        <w:tc>
          <w:tcPr>
            <w:tcW w:w="845" w:type="dxa"/>
            <w:noWrap w:val="0"/>
            <w:vAlign w:val="center"/>
          </w:tcPr>
          <w:p>
            <w:pPr>
              <w:jc w:val="center"/>
              <w:rPr>
                <w:rFonts w:hint="eastAsia" w:ascii="宋体" w:hAnsi="宋体" w:eastAsia="宋体" w:cs="宋体"/>
                <w:sz w:val="21"/>
                <w:szCs w:val="21"/>
              </w:rPr>
            </w:pPr>
          </w:p>
        </w:tc>
        <w:tc>
          <w:tcPr>
            <w:tcW w:w="914" w:type="dxa"/>
            <w:noWrap w:val="0"/>
            <w:vAlign w:val="center"/>
          </w:tcPr>
          <w:p>
            <w:pPr>
              <w:jc w:val="center"/>
              <w:rPr>
                <w:rFonts w:hint="eastAsia" w:ascii="宋体" w:hAnsi="宋体" w:eastAsia="宋体" w:cs="宋体"/>
                <w:sz w:val="21"/>
                <w:szCs w:val="21"/>
              </w:rPr>
            </w:pPr>
          </w:p>
        </w:tc>
        <w:tc>
          <w:tcPr>
            <w:tcW w:w="1064"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048" w:type="dxa"/>
            <w:gridSpan w:val="6"/>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报价人民币小写：</w:t>
            </w:r>
          </w:p>
          <w:p>
            <w:pPr>
              <w:jc w:val="left"/>
              <w:rPr>
                <w:rFonts w:hint="eastAsia" w:ascii="宋体" w:hAnsi="宋体" w:eastAsia="宋体" w:cs="宋体"/>
                <w:sz w:val="21"/>
                <w:szCs w:val="21"/>
              </w:rPr>
            </w:pPr>
            <w:r>
              <w:rPr>
                <w:rFonts w:hint="eastAsia" w:ascii="宋体" w:hAnsi="宋体" w:eastAsia="宋体" w:cs="宋体"/>
                <w:sz w:val="21"/>
                <w:szCs w:val="21"/>
              </w:rPr>
              <w:t>报价人民币大写：</w:t>
            </w:r>
          </w:p>
        </w:tc>
      </w:tr>
    </w:tbl>
    <w:p>
      <w:pPr>
        <w:pStyle w:val="2"/>
        <w:ind w:firstLine="237" w:firstLineChars="100"/>
        <w:rPr>
          <w:rFonts w:hint="eastAsia" w:ascii="宋体" w:hAnsi="宋体" w:eastAsia="宋体" w:cs="宋体"/>
          <w:color w:val="auto"/>
          <w:spacing w:val="14"/>
          <w:sz w:val="24"/>
          <w:szCs w:val="24"/>
          <w:lang w:eastAsia="zh-CN"/>
        </w:rPr>
      </w:pPr>
    </w:p>
    <w:p>
      <w:pPr>
        <w:pStyle w:val="2"/>
        <w:ind w:firstLine="237" w:firstLineChars="100"/>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供应商</w:t>
      </w:r>
      <w:r>
        <w:rPr>
          <w:rFonts w:hint="eastAsia" w:ascii="宋体" w:hAnsi="宋体" w:eastAsia="宋体" w:cs="宋体"/>
          <w:color w:val="auto"/>
          <w:spacing w:val="14"/>
          <w:sz w:val="24"/>
          <w:szCs w:val="24"/>
          <w:lang w:val="en-US" w:eastAsia="zh-CN"/>
        </w:rPr>
        <w:t>（公章）</w:t>
      </w:r>
      <w:r>
        <w:rPr>
          <w:rFonts w:hint="eastAsia" w:ascii="宋体" w:hAnsi="宋体" w:eastAsia="宋体" w:cs="宋体"/>
          <w:color w:val="auto"/>
          <w:spacing w:val="14"/>
          <w:sz w:val="24"/>
          <w:szCs w:val="24"/>
          <w:lang w:eastAsia="zh-CN"/>
        </w:rPr>
        <w:t>：</w:t>
      </w:r>
    </w:p>
    <w:p>
      <w:pPr>
        <w:pStyle w:val="156"/>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t>注：</w:t>
      </w:r>
    </w:p>
    <w:p>
      <w:pPr>
        <w:pStyle w:val="156"/>
        <w:rPr>
          <w:rFonts w:hint="eastAsia" w:ascii="宋体" w:hAnsi="宋体" w:eastAsia="宋体" w:cs="宋体"/>
          <w:spacing w:val="14"/>
          <w:sz w:val="24"/>
          <w:szCs w:val="24"/>
        </w:rPr>
      </w:pPr>
      <w:r>
        <w:rPr>
          <w:rFonts w:hint="eastAsia" w:ascii="宋体" w:hAnsi="宋体" w:eastAsia="宋体" w:cs="宋体"/>
          <w:spacing w:val="14"/>
          <w:sz w:val="24"/>
          <w:szCs w:val="24"/>
          <w:lang w:eastAsia="zh-CN"/>
        </w:rPr>
        <w:t>1</w:t>
      </w:r>
      <w:r>
        <w:rPr>
          <w:rFonts w:hint="eastAsia" w:ascii="宋体" w:hAnsi="宋体" w:eastAsia="宋体" w:cs="宋体"/>
          <w:spacing w:val="14"/>
          <w:sz w:val="24"/>
          <w:szCs w:val="24"/>
          <w:lang w:val="en-US" w:eastAsia="zh-CN"/>
        </w:rPr>
        <w:t>.</w:t>
      </w:r>
      <w:r>
        <w:rPr>
          <w:rFonts w:hint="eastAsia" w:ascii="宋体" w:hAnsi="宋体" w:eastAsia="宋体" w:cs="宋体"/>
          <w:spacing w:val="14"/>
          <w:sz w:val="24"/>
          <w:szCs w:val="24"/>
        </w:rPr>
        <w:t>供应商可根据需要自行增减表格行数。</w:t>
      </w:r>
    </w:p>
    <w:p>
      <w:pPr>
        <w:pStyle w:val="156"/>
        <w:rPr>
          <w:rFonts w:hint="eastAsia" w:ascii="宋体" w:hAnsi="宋体" w:eastAsia="宋体" w:cs="宋体"/>
          <w:spacing w:val="14"/>
          <w:sz w:val="24"/>
          <w:szCs w:val="24"/>
        </w:rPr>
      </w:pPr>
      <w:r>
        <w:rPr>
          <w:rFonts w:hint="eastAsia" w:ascii="宋体" w:hAnsi="宋体" w:eastAsia="宋体" w:cs="宋体"/>
          <w:spacing w:val="14"/>
          <w:sz w:val="24"/>
          <w:szCs w:val="24"/>
          <w:lang w:eastAsia="zh-CN"/>
        </w:rPr>
        <w:t>2</w:t>
      </w:r>
      <w:r>
        <w:rPr>
          <w:rFonts w:hint="eastAsia" w:ascii="宋体" w:hAnsi="宋体" w:eastAsia="宋体" w:cs="宋体"/>
          <w:spacing w:val="14"/>
          <w:sz w:val="24"/>
          <w:szCs w:val="24"/>
          <w:lang w:val="en-US" w:eastAsia="zh-CN"/>
        </w:rPr>
        <w:t>.</w:t>
      </w:r>
      <w:r>
        <w:rPr>
          <w:rFonts w:hint="eastAsia" w:ascii="宋体" w:hAnsi="宋体" w:eastAsia="宋体" w:cs="宋体"/>
          <w:spacing w:val="14"/>
          <w:sz w:val="24"/>
          <w:szCs w:val="24"/>
        </w:rPr>
        <w:t>供应商对所报相关内容的真实性负责，采购代理机构有权将相关内容进行公示，因弄虚作假导致的后果由供应商自行承担。</w:t>
      </w:r>
    </w:p>
    <w:p>
      <w:pPr>
        <w:jc w:val="center"/>
        <w:rPr>
          <w:rFonts w:hint="eastAsia" w:ascii="宋体" w:hAnsi="宋体" w:eastAsia="宋体" w:cs="宋体"/>
          <w:color w:val="auto"/>
        </w:rPr>
      </w:pPr>
    </w:p>
    <w:p>
      <w:pPr>
        <w:pStyle w:val="156"/>
        <w:jc w:val="center"/>
        <w:rPr>
          <w:rFonts w:hint="eastAsia" w:ascii="宋体" w:hAnsi="宋体" w:eastAsia="宋体" w:cs="宋体"/>
          <w:color w:val="auto"/>
          <w:spacing w:val="14"/>
          <w:sz w:val="28"/>
          <w:szCs w:val="28"/>
          <w:lang w:val="en-US" w:eastAsia="zh-CN" w:bidi="ar-SA"/>
        </w:rPr>
      </w:pPr>
      <w:r>
        <w:rPr>
          <w:rFonts w:hint="eastAsia" w:ascii="宋体" w:hAnsi="宋体" w:eastAsia="宋体" w:cs="宋体"/>
          <w:color w:val="auto"/>
          <w:spacing w:val="14"/>
          <w:sz w:val="28"/>
          <w:szCs w:val="28"/>
          <w:lang w:val="en-US" w:eastAsia="zh-CN" w:bidi="ar-SA"/>
        </w:rPr>
        <w:br w:type="page"/>
      </w:r>
    </w:p>
    <w:p>
      <w:pPr>
        <w:pStyle w:val="156"/>
        <w:jc w:val="center"/>
        <w:rPr>
          <w:rFonts w:hint="eastAsia" w:ascii="宋体" w:hAnsi="宋体" w:eastAsia="宋体" w:cs="宋体"/>
          <w:color w:val="auto"/>
          <w:spacing w:val="14"/>
          <w:sz w:val="28"/>
          <w:szCs w:val="28"/>
          <w:lang w:val="en-US" w:eastAsia="zh-CN" w:bidi="ar-SA"/>
        </w:rPr>
      </w:pPr>
      <w:r>
        <w:rPr>
          <w:rFonts w:hint="eastAsia" w:ascii="宋体" w:hAnsi="宋体" w:eastAsia="宋体" w:cs="宋体"/>
          <w:color w:val="auto"/>
          <w:spacing w:val="14"/>
          <w:sz w:val="28"/>
          <w:szCs w:val="28"/>
          <w:lang w:val="en-US" w:eastAsia="zh-CN" w:bidi="ar-SA"/>
        </w:rPr>
        <w:t>中小企业（监狱企业、残疾人福利性单位）说明</w:t>
      </w:r>
    </w:p>
    <w:p>
      <w:pPr>
        <w:pStyle w:val="156"/>
        <w:rPr>
          <w:rFonts w:hint="eastAsia" w:ascii="宋体" w:hAnsi="宋体" w:eastAsia="宋体" w:cs="宋体"/>
          <w:color w:val="auto"/>
          <w:spacing w:val="14"/>
          <w:sz w:val="24"/>
          <w:szCs w:val="24"/>
        </w:rPr>
      </w:pPr>
    </w:p>
    <w:p>
      <w:pPr>
        <w:pStyle w:val="156"/>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rPr>
        <w:t>1</w:t>
      </w:r>
      <w:r>
        <w:rPr>
          <w:rFonts w:hint="eastAsia" w:ascii="宋体" w:hAnsi="宋体" w:eastAsia="宋体" w:cs="宋体"/>
          <w:color w:val="auto"/>
          <w:spacing w:val="14"/>
          <w:sz w:val="24"/>
          <w:szCs w:val="24"/>
          <w:lang w:val="en-US" w:eastAsia="zh-CN"/>
        </w:rPr>
        <w:t>.</w:t>
      </w:r>
      <w:r>
        <w:rPr>
          <w:rFonts w:hint="eastAsia" w:ascii="宋体" w:hAnsi="宋体" w:eastAsia="宋体" w:cs="宋体"/>
          <w:color w:val="auto"/>
          <w:spacing w:val="14"/>
          <w:sz w:val="24"/>
          <w:szCs w:val="24"/>
          <w:lang w:eastAsia="zh-CN"/>
        </w:rPr>
        <w:t>供</w:t>
      </w:r>
      <w:r>
        <w:rPr>
          <w:rFonts w:hint="eastAsia" w:ascii="宋体" w:hAnsi="宋体" w:eastAsia="宋体" w:cs="宋体"/>
          <w:color w:val="auto"/>
          <w:spacing w:val="14"/>
          <w:sz w:val="24"/>
          <w:szCs w:val="24"/>
          <w:highlight w:val="none"/>
          <w:lang w:eastAsia="zh-CN"/>
        </w:rPr>
        <w:t>应商</w:t>
      </w:r>
      <w:r>
        <w:rPr>
          <w:rFonts w:hint="eastAsia" w:ascii="宋体" w:hAnsi="宋体" w:eastAsia="宋体" w:cs="宋体"/>
          <w:color w:val="auto"/>
          <w:spacing w:val="14"/>
          <w:sz w:val="24"/>
          <w:szCs w:val="24"/>
          <w:highlight w:val="none"/>
        </w:rPr>
        <w:t>须在</w:t>
      </w:r>
      <w:r>
        <w:rPr>
          <w:rFonts w:hint="eastAsia" w:ascii="宋体" w:hAnsi="宋体" w:eastAsia="宋体" w:cs="宋体"/>
          <w:color w:val="auto"/>
          <w:spacing w:val="14"/>
          <w:sz w:val="24"/>
          <w:szCs w:val="24"/>
          <w:highlight w:val="none"/>
          <w:lang w:eastAsia="zh-CN"/>
        </w:rPr>
        <w:t>响应文件</w:t>
      </w:r>
      <w:r>
        <w:rPr>
          <w:rFonts w:hint="eastAsia" w:ascii="宋体" w:hAnsi="宋体" w:eastAsia="宋体" w:cs="宋体"/>
          <w:color w:val="auto"/>
          <w:spacing w:val="14"/>
          <w:sz w:val="24"/>
          <w:szCs w:val="24"/>
          <w:highlight w:val="none"/>
        </w:rPr>
        <w:t>中提供《中小企业声明函》；如未按要求提供或相关内容表述不清的或内容不全的，将不予认定。</w:t>
      </w:r>
    </w:p>
    <w:p>
      <w:pPr>
        <w:pStyle w:val="156"/>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2</w:t>
      </w:r>
      <w:r>
        <w:rPr>
          <w:rFonts w:hint="eastAsia" w:ascii="宋体" w:hAnsi="宋体" w:eastAsia="宋体" w:cs="宋体"/>
          <w:color w:val="auto"/>
          <w:spacing w:val="14"/>
          <w:sz w:val="24"/>
          <w:szCs w:val="24"/>
          <w:highlight w:val="none"/>
          <w:lang w:val="en-US" w:eastAsia="zh-CN"/>
        </w:rPr>
        <w:t>.</w:t>
      </w:r>
      <w:r>
        <w:rPr>
          <w:rFonts w:hint="eastAsia" w:ascii="宋体" w:hAnsi="宋体" w:eastAsia="宋体" w:cs="宋体"/>
          <w:color w:val="auto"/>
          <w:spacing w:val="14"/>
          <w:sz w:val="24"/>
          <w:szCs w:val="24"/>
          <w:highlight w:val="none"/>
        </w:rPr>
        <w:t>根据财政部、司法部发布的《关于政府采购支持监狱企业发展有关问题的通知》（财库〔2014〕68号）规定，本项目在评审中对监狱企业视同小型、微型企业，享受价格扣除政策。监狱企业作为</w:t>
      </w:r>
      <w:r>
        <w:rPr>
          <w:rFonts w:hint="eastAsia" w:ascii="宋体" w:hAnsi="宋体" w:eastAsia="宋体" w:cs="宋体"/>
          <w:color w:val="auto"/>
          <w:spacing w:val="14"/>
          <w:sz w:val="24"/>
          <w:szCs w:val="24"/>
          <w:highlight w:val="none"/>
          <w:lang w:eastAsia="zh-CN"/>
        </w:rPr>
        <w:t>供应商</w:t>
      </w:r>
      <w:r>
        <w:rPr>
          <w:rFonts w:hint="eastAsia" w:ascii="宋体" w:hAnsi="宋体" w:eastAsia="宋体" w:cs="宋体"/>
          <w:color w:val="auto"/>
          <w:spacing w:val="14"/>
          <w:sz w:val="24"/>
          <w:szCs w:val="24"/>
          <w:highlight w:val="none"/>
        </w:rPr>
        <w:t>须提供由省级以上监狱管理局、戒毒管理局(含新疆生产建设兵团)出具的属于监狱企业的证明文件的复印件，否则不予认定。</w:t>
      </w:r>
    </w:p>
    <w:p>
      <w:pPr>
        <w:pStyle w:val="156"/>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3</w:t>
      </w:r>
      <w:r>
        <w:rPr>
          <w:rFonts w:hint="eastAsia" w:ascii="宋体" w:hAnsi="宋体" w:eastAsia="宋体" w:cs="宋体"/>
          <w:color w:val="auto"/>
          <w:spacing w:val="14"/>
          <w:sz w:val="24"/>
          <w:szCs w:val="24"/>
          <w:lang w:val="en-US" w:eastAsia="zh-CN"/>
        </w:rPr>
        <w:t>.</w:t>
      </w:r>
      <w:r>
        <w:rPr>
          <w:rFonts w:hint="eastAsia" w:ascii="宋体" w:hAnsi="宋体" w:eastAsia="宋体" w:cs="宋体"/>
          <w:color w:val="auto"/>
          <w:spacing w:val="14"/>
          <w:sz w:val="24"/>
          <w:szCs w:val="24"/>
        </w:rPr>
        <w:t>根据财政部、民政部、中国残疾人联合会《关于促进残疾人就业政府采购政策的通知》（财库〔2017〕141 号）规定，本项目在评审中对残疾人福利性单位视同小型、微型企业，享受价格扣除政策。残疾人福利性单位作为</w:t>
      </w:r>
      <w:r>
        <w:rPr>
          <w:rFonts w:hint="eastAsia" w:ascii="宋体" w:hAnsi="宋体" w:eastAsia="宋体" w:cs="宋体"/>
          <w:color w:val="auto"/>
          <w:spacing w:val="14"/>
          <w:sz w:val="24"/>
          <w:szCs w:val="24"/>
          <w:lang w:eastAsia="zh-CN"/>
        </w:rPr>
        <w:t>供应商</w:t>
      </w:r>
      <w:r>
        <w:rPr>
          <w:rFonts w:hint="eastAsia" w:ascii="宋体" w:hAnsi="宋体" w:eastAsia="宋体" w:cs="宋体"/>
          <w:color w:val="auto"/>
          <w:spacing w:val="14"/>
          <w:sz w:val="24"/>
          <w:szCs w:val="24"/>
        </w:rPr>
        <w:t>须提供《残疾人福利性单位声明函》，否则不予认定。</w:t>
      </w:r>
    </w:p>
    <w:p>
      <w:pPr>
        <w:pStyle w:val="156"/>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4</w:t>
      </w:r>
      <w:r>
        <w:rPr>
          <w:rFonts w:hint="eastAsia" w:ascii="宋体" w:hAnsi="宋体" w:eastAsia="宋体" w:cs="宋体"/>
          <w:color w:val="auto"/>
          <w:spacing w:val="14"/>
          <w:sz w:val="24"/>
          <w:szCs w:val="24"/>
          <w:lang w:val="en-US" w:eastAsia="zh-CN"/>
        </w:rPr>
        <w:t>.</w:t>
      </w:r>
      <w:r>
        <w:rPr>
          <w:rFonts w:hint="eastAsia" w:ascii="宋体" w:hAnsi="宋体" w:eastAsia="宋体" w:cs="宋体"/>
          <w:color w:val="auto"/>
          <w:spacing w:val="14"/>
          <w:sz w:val="24"/>
          <w:szCs w:val="24"/>
        </w:rPr>
        <w:t>供应商对所报相关内容的真实性负责，采购代理机构有权将相关内容进行公示，因弄虚作假导致的后果由供应商自行承担。</w:t>
      </w:r>
    </w:p>
    <w:p>
      <w:pPr>
        <w:pStyle w:val="156"/>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5</w:t>
      </w:r>
      <w:r>
        <w:rPr>
          <w:rFonts w:hint="eastAsia" w:ascii="宋体" w:hAnsi="宋体" w:eastAsia="宋体" w:cs="宋体"/>
          <w:color w:val="auto"/>
          <w:spacing w:val="14"/>
          <w:sz w:val="24"/>
          <w:szCs w:val="24"/>
          <w:lang w:val="en-US" w:eastAsia="zh-CN"/>
        </w:rPr>
        <w:t>.</w:t>
      </w:r>
      <w:r>
        <w:rPr>
          <w:rFonts w:hint="eastAsia" w:ascii="宋体" w:hAnsi="宋体" w:eastAsia="宋体" w:cs="宋体"/>
          <w:color w:val="auto"/>
          <w:spacing w:val="14"/>
          <w:sz w:val="24"/>
          <w:szCs w:val="24"/>
        </w:rPr>
        <w:t>相关证明资料附后。</w:t>
      </w:r>
    </w:p>
    <w:p>
      <w:pPr>
        <w:pStyle w:val="156"/>
        <w:ind w:left="0" w:leftChars="0" w:firstLine="0" w:firstLineChars="0"/>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bidi w:val="0"/>
        <w:rPr>
          <w:rFonts w:hint="eastAsia"/>
        </w:rPr>
      </w:pPr>
      <w:bookmarkStart w:id="160" w:name="_Toc1662571"/>
      <w:r>
        <w:rPr>
          <w:rFonts w:hint="eastAsia"/>
        </w:rPr>
        <w:br w:type="page"/>
      </w:r>
    </w:p>
    <w:p>
      <w:pPr>
        <w:bidi w:val="0"/>
        <w:outlineLvl w:val="1"/>
        <w:rPr>
          <w:rFonts w:hint="eastAsia" w:ascii="宋体" w:hAnsi="宋体" w:eastAsia="宋体" w:cs="Times New Roman"/>
          <w:b/>
          <w:bCs/>
          <w:sz w:val="28"/>
          <w:szCs w:val="21"/>
        </w:rPr>
      </w:pPr>
      <w:bookmarkStart w:id="161" w:name="_Toc31870"/>
      <w:r>
        <w:rPr>
          <w:rFonts w:hint="eastAsia" w:ascii="宋体" w:hAnsi="宋体" w:eastAsia="宋体" w:cs="Times New Roman"/>
          <w:b/>
          <w:bCs/>
          <w:sz w:val="28"/>
          <w:szCs w:val="21"/>
        </w:rPr>
        <w:t>附件</w:t>
      </w:r>
      <w:r>
        <w:rPr>
          <w:rFonts w:hint="eastAsia" w:ascii="宋体" w:hAnsi="宋体" w:eastAsia="宋体" w:cs="Times New Roman"/>
          <w:b/>
          <w:bCs/>
          <w:sz w:val="28"/>
          <w:szCs w:val="21"/>
          <w:lang w:eastAsia="zh-CN"/>
        </w:rPr>
        <w:t>7-1</w:t>
      </w:r>
      <w:r>
        <w:rPr>
          <w:rFonts w:hint="eastAsia" w:ascii="宋体" w:hAnsi="宋体" w:eastAsia="宋体" w:cs="Times New Roman"/>
          <w:b/>
          <w:bCs/>
          <w:sz w:val="28"/>
          <w:szCs w:val="21"/>
        </w:rPr>
        <w:t>：</w:t>
      </w:r>
      <w:bookmarkEnd w:id="160"/>
      <w:r>
        <w:rPr>
          <w:rFonts w:hint="eastAsia" w:ascii="宋体" w:hAnsi="宋体" w:eastAsia="宋体" w:cs="Times New Roman"/>
          <w:b/>
          <w:bCs/>
          <w:sz w:val="28"/>
          <w:szCs w:val="21"/>
        </w:rPr>
        <w:t>中小企业声明函（工程、服务）</w:t>
      </w:r>
      <w:bookmarkEnd w:id="161"/>
    </w:p>
    <w:p>
      <w:pPr>
        <w:jc w:val="center"/>
        <w:rPr>
          <w:rFonts w:hint="eastAsia" w:ascii="宋体" w:hAnsi="宋体" w:eastAsia="宋体" w:cs="宋体"/>
          <w:color w:val="auto"/>
        </w:rPr>
      </w:pPr>
    </w:p>
    <w:p>
      <w:pPr>
        <w:jc w:val="center"/>
        <w:rPr>
          <w:rFonts w:hint="eastAsia" w:ascii="宋体" w:hAnsi="宋体" w:eastAsia="宋体" w:cs="宋体"/>
          <w:b w:val="0"/>
          <w:bCs w:val="0"/>
          <w:color w:val="auto"/>
          <w:sz w:val="28"/>
          <w:szCs w:val="28"/>
          <w:lang w:val="en-US" w:eastAsia="zh-CN" w:bidi="ar-SA"/>
        </w:rPr>
      </w:pPr>
      <w:bookmarkStart w:id="162" w:name="_Toc1662573"/>
      <w:r>
        <w:rPr>
          <w:rFonts w:hint="eastAsia" w:ascii="宋体" w:hAnsi="宋体" w:eastAsia="宋体" w:cs="宋体"/>
          <w:b w:val="0"/>
          <w:bCs w:val="0"/>
          <w:color w:val="auto"/>
          <w:sz w:val="28"/>
          <w:szCs w:val="28"/>
          <w:lang w:val="en-US" w:eastAsia="zh-CN" w:bidi="ar-SA"/>
        </w:rPr>
        <w:t>中小企业声明函（工程、服务）</w:t>
      </w:r>
    </w:p>
    <w:p>
      <w:pPr>
        <w:pStyle w:val="61"/>
        <w:rPr>
          <w:rFonts w:hint="eastAsia"/>
          <w:lang w:val="en-US" w:eastAsia="zh-CN"/>
        </w:rPr>
      </w:pPr>
    </w:p>
    <w:p>
      <w:pPr>
        <w:ind w:firstLine="42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本公司（联合体）郑重声明，根据《政府采购促进中小企业发展管理办法》（财库〔2020〕46 号） 的规定，本公司（联合体）参加</w:t>
      </w:r>
      <w:r>
        <w:rPr>
          <w:rFonts w:hint="eastAsia" w:ascii="宋体" w:hAnsi="宋体" w:eastAsia="宋体" w:cs="宋体"/>
          <w:color w:val="auto"/>
          <w:spacing w:val="14"/>
          <w:sz w:val="24"/>
          <w:szCs w:val="24"/>
          <w:u w:val="single"/>
        </w:rPr>
        <w:t>（单位名称）</w:t>
      </w:r>
      <w:r>
        <w:rPr>
          <w:rFonts w:hint="eastAsia" w:ascii="宋体" w:hAnsi="宋体" w:eastAsia="宋体" w:cs="宋体"/>
          <w:color w:val="auto"/>
          <w:spacing w:val="14"/>
          <w:sz w:val="24"/>
          <w:szCs w:val="24"/>
        </w:rPr>
        <w:t>的</w:t>
      </w:r>
      <w:r>
        <w:rPr>
          <w:rFonts w:hint="eastAsia" w:ascii="宋体" w:hAnsi="宋体" w:eastAsia="宋体" w:cs="宋体"/>
          <w:color w:val="auto"/>
          <w:spacing w:val="14"/>
          <w:sz w:val="24"/>
          <w:szCs w:val="24"/>
          <w:u w:val="single"/>
        </w:rPr>
        <w:t>（项目名称）</w:t>
      </w:r>
      <w:r>
        <w:rPr>
          <w:rFonts w:hint="eastAsia" w:ascii="宋体" w:hAnsi="宋体" w:eastAsia="宋体" w:cs="宋体"/>
          <w:color w:val="auto"/>
          <w:spacing w:val="14"/>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ind w:firstLine="420"/>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rPr>
        <w:t xml:space="preserve"> 1</w:t>
      </w:r>
      <w:r>
        <w:rPr>
          <w:rFonts w:hint="eastAsia" w:ascii="宋体" w:hAnsi="宋体" w:eastAsia="宋体" w:cs="宋体"/>
          <w:color w:val="auto"/>
          <w:spacing w:val="14"/>
          <w:sz w:val="24"/>
          <w:szCs w:val="24"/>
          <w:lang w:val="en-US" w:eastAsia="zh-CN"/>
        </w:rPr>
        <w:t>.</w:t>
      </w:r>
      <w:r>
        <w:rPr>
          <w:rFonts w:hint="eastAsia" w:ascii="宋体" w:hAnsi="宋体" w:eastAsia="宋体" w:cs="宋体"/>
          <w:color w:val="auto"/>
          <w:spacing w:val="14"/>
          <w:sz w:val="24"/>
          <w:szCs w:val="24"/>
          <w:u w:val="single"/>
          <w:lang w:eastAsia="zh-CN"/>
        </w:rPr>
        <w:t>（标的名称）</w:t>
      </w:r>
      <w:r>
        <w:rPr>
          <w:rFonts w:hint="eastAsia" w:ascii="宋体" w:hAnsi="宋体" w:eastAsia="宋体" w:cs="宋体"/>
          <w:color w:val="auto"/>
          <w:spacing w:val="14"/>
          <w:sz w:val="24"/>
          <w:szCs w:val="24"/>
        </w:rPr>
        <w:t>，属于</w:t>
      </w:r>
      <w:r>
        <w:rPr>
          <w:rFonts w:hint="eastAsia" w:ascii="宋体" w:hAnsi="宋体" w:eastAsia="宋体" w:cs="宋体"/>
          <w:color w:val="auto"/>
          <w:spacing w:val="14"/>
          <w:sz w:val="24"/>
          <w:szCs w:val="24"/>
          <w:highlight w:val="none"/>
          <w:u w:val="single"/>
          <w:lang w:val="en-US" w:eastAsia="zh-CN"/>
        </w:rPr>
        <w:t xml:space="preserve"> </w:t>
      </w:r>
      <w:r>
        <w:rPr>
          <w:rFonts w:hint="eastAsia" w:ascii="宋体" w:hAnsi="宋体" w:cs="宋体"/>
          <w:b/>
          <w:bCs/>
          <w:color w:val="000000"/>
          <w:spacing w:val="14"/>
          <w:sz w:val="24"/>
          <w:szCs w:val="24"/>
          <w:highlight w:val="none"/>
          <w:u w:val="single"/>
          <w:lang w:val="en-US" w:eastAsia="zh-CN"/>
        </w:rPr>
        <w:t>其他未列明行业</w:t>
      </w:r>
      <w:r>
        <w:rPr>
          <w:rFonts w:hint="eastAsia" w:ascii="宋体" w:hAnsi="宋体" w:eastAsia="宋体" w:cs="宋体"/>
          <w:color w:val="auto"/>
          <w:spacing w:val="14"/>
          <w:sz w:val="24"/>
          <w:szCs w:val="24"/>
          <w:highlight w:val="none"/>
          <w:u w:val="single"/>
          <w:lang w:val="en-US" w:eastAsia="zh-CN"/>
        </w:rPr>
        <w:t xml:space="preserve"> </w:t>
      </w:r>
      <w:r>
        <w:rPr>
          <w:rFonts w:hint="eastAsia" w:ascii="宋体" w:hAnsi="宋体" w:eastAsia="宋体" w:cs="宋体"/>
          <w:color w:val="auto"/>
          <w:spacing w:val="14"/>
          <w:sz w:val="24"/>
          <w:szCs w:val="24"/>
          <w:highlight w:val="none"/>
        </w:rPr>
        <w:t>：承</w:t>
      </w:r>
      <w:r>
        <w:rPr>
          <w:rFonts w:hint="eastAsia" w:ascii="宋体" w:hAnsi="宋体" w:eastAsia="宋体" w:cs="宋体"/>
          <w:color w:val="auto"/>
          <w:spacing w:val="14"/>
          <w:sz w:val="24"/>
          <w:szCs w:val="24"/>
        </w:rPr>
        <w:t>建（承接）企业为</w:t>
      </w:r>
      <w:r>
        <w:rPr>
          <w:rFonts w:hint="eastAsia" w:ascii="宋体" w:hAnsi="宋体" w:eastAsia="宋体" w:cs="宋体"/>
          <w:color w:val="auto"/>
          <w:spacing w:val="14"/>
          <w:sz w:val="24"/>
          <w:szCs w:val="24"/>
          <w:u w:val="single"/>
          <w:lang w:val="en-US" w:eastAsia="zh-CN"/>
        </w:rPr>
        <w:t xml:space="preserve">        </w:t>
      </w:r>
      <w:r>
        <w:rPr>
          <w:rFonts w:hint="eastAsia" w:ascii="宋体" w:hAnsi="宋体" w:eastAsia="宋体" w:cs="宋体"/>
          <w:color w:val="auto"/>
          <w:spacing w:val="14"/>
          <w:sz w:val="24"/>
          <w:szCs w:val="24"/>
          <w:u w:val="none"/>
        </w:rPr>
        <w:t>（企业名称）</w:t>
      </w:r>
      <w:r>
        <w:rPr>
          <w:rFonts w:hint="eastAsia" w:ascii="宋体" w:hAnsi="宋体" w:eastAsia="宋体" w:cs="宋体"/>
          <w:color w:val="auto"/>
          <w:spacing w:val="14"/>
          <w:sz w:val="24"/>
          <w:szCs w:val="24"/>
        </w:rPr>
        <w:t>，从业人员</w:t>
      </w:r>
      <w:r>
        <w:rPr>
          <w:rFonts w:hint="eastAsia" w:ascii="宋体" w:hAnsi="宋体" w:eastAsia="宋体" w:cs="宋体"/>
          <w:color w:val="auto"/>
          <w:spacing w:val="14"/>
          <w:sz w:val="24"/>
          <w:szCs w:val="24"/>
          <w:u w:val="single"/>
          <w:lang w:val="en-US" w:eastAsia="zh-CN"/>
        </w:rPr>
        <w:t xml:space="preserve">   </w:t>
      </w:r>
      <w:r>
        <w:rPr>
          <w:rFonts w:hint="eastAsia" w:ascii="宋体" w:hAnsi="宋体" w:eastAsia="宋体" w:cs="宋体"/>
          <w:color w:val="auto"/>
          <w:spacing w:val="14"/>
          <w:sz w:val="24"/>
          <w:szCs w:val="24"/>
        </w:rPr>
        <w:t>人，营业收入为</w:t>
      </w:r>
      <w:r>
        <w:rPr>
          <w:rFonts w:hint="eastAsia" w:ascii="宋体" w:hAnsi="宋体" w:eastAsia="宋体" w:cs="宋体"/>
          <w:color w:val="auto"/>
          <w:spacing w:val="14"/>
          <w:sz w:val="24"/>
          <w:szCs w:val="24"/>
          <w:u w:val="single"/>
        </w:rPr>
        <w:t xml:space="preserve"> </w:t>
      </w:r>
      <w:r>
        <w:rPr>
          <w:rFonts w:hint="eastAsia" w:ascii="宋体" w:hAnsi="宋体" w:eastAsia="宋体" w:cs="宋体"/>
          <w:color w:val="auto"/>
          <w:spacing w:val="14"/>
          <w:sz w:val="24"/>
          <w:szCs w:val="24"/>
          <w:u w:val="single"/>
          <w:lang w:val="en-US" w:eastAsia="zh-CN"/>
        </w:rPr>
        <w:t xml:space="preserve">  </w:t>
      </w:r>
      <w:r>
        <w:rPr>
          <w:rFonts w:hint="eastAsia" w:ascii="宋体" w:hAnsi="宋体" w:eastAsia="宋体" w:cs="宋体"/>
          <w:color w:val="auto"/>
          <w:spacing w:val="14"/>
          <w:sz w:val="24"/>
          <w:szCs w:val="24"/>
        </w:rPr>
        <w:t>万元，资产总额为</w:t>
      </w:r>
      <w:r>
        <w:rPr>
          <w:rFonts w:hint="eastAsia" w:ascii="宋体" w:hAnsi="宋体" w:eastAsia="宋体" w:cs="宋体"/>
          <w:color w:val="auto"/>
          <w:spacing w:val="14"/>
          <w:sz w:val="24"/>
          <w:szCs w:val="24"/>
          <w:u w:val="single"/>
        </w:rPr>
        <w:t xml:space="preserve"> </w:t>
      </w:r>
      <w:r>
        <w:rPr>
          <w:rFonts w:hint="eastAsia" w:ascii="宋体" w:hAnsi="宋体" w:eastAsia="宋体" w:cs="宋体"/>
          <w:color w:val="auto"/>
          <w:spacing w:val="14"/>
          <w:sz w:val="24"/>
          <w:szCs w:val="24"/>
          <w:u w:val="single"/>
          <w:lang w:val="en-US" w:eastAsia="zh-CN"/>
        </w:rPr>
        <w:t xml:space="preserve">  </w:t>
      </w:r>
      <w:r>
        <w:rPr>
          <w:rFonts w:hint="eastAsia" w:ascii="宋体" w:hAnsi="宋体" w:eastAsia="宋体" w:cs="宋体"/>
          <w:color w:val="auto"/>
          <w:spacing w:val="14"/>
          <w:sz w:val="24"/>
          <w:szCs w:val="24"/>
        </w:rPr>
        <w:t>万元</w:t>
      </w:r>
      <w:r>
        <w:rPr>
          <w:rFonts w:hint="eastAsia" w:ascii="宋体" w:hAnsi="宋体" w:eastAsia="宋体" w:cs="宋体"/>
          <w:color w:val="auto"/>
          <w:spacing w:val="14"/>
          <w:sz w:val="24"/>
          <w:szCs w:val="24"/>
          <w:vertAlign w:val="superscript"/>
        </w:rPr>
        <w:t xml:space="preserve"> 1</w:t>
      </w:r>
      <w:r>
        <w:rPr>
          <w:rFonts w:hint="eastAsia" w:ascii="宋体" w:hAnsi="宋体" w:eastAsia="宋体" w:cs="宋体"/>
          <w:color w:val="auto"/>
          <w:spacing w:val="14"/>
          <w:sz w:val="24"/>
          <w:szCs w:val="24"/>
        </w:rPr>
        <w:t>，属于</w:t>
      </w:r>
      <w:r>
        <w:rPr>
          <w:rFonts w:hint="eastAsia" w:ascii="宋体" w:hAnsi="宋体" w:eastAsia="宋体" w:cs="宋体"/>
          <w:color w:val="auto"/>
          <w:spacing w:val="14"/>
          <w:sz w:val="24"/>
          <w:szCs w:val="24"/>
          <w:u w:val="single"/>
          <w:lang w:val="en-US" w:eastAsia="zh-CN"/>
        </w:rPr>
        <w:t xml:space="preserve">          </w:t>
      </w:r>
      <w:r>
        <w:rPr>
          <w:rFonts w:hint="eastAsia" w:ascii="宋体" w:hAnsi="宋体" w:eastAsia="宋体" w:cs="宋体"/>
          <w:color w:val="auto"/>
          <w:spacing w:val="14"/>
          <w:sz w:val="24"/>
          <w:szCs w:val="24"/>
          <w:u w:val="none"/>
        </w:rPr>
        <w:t>（中型企业、小型企业、微型企业）</w:t>
      </w:r>
      <w:r>
        <w:rPr>
          <w:rFonts w:hint="eastAsia" w:ascii="宋体" w:hAnsi="宋体" w:eastAsia="宋体" w:cs="宋体"/>
          <w:color w:val="auto"/>
          <w:spacing w:val="14"/>
          <w:sz w:val="24"/>
          <w:szCs w:val="24"/>
          <w:lang w:eastAsia="zh-CN"/>
        </w:rPr>
        <w:t>。</w:t>
      </w:r>
    </w:p>
    <w:p>
      <w:pPr>
        <w:ind w:firstLine="420"/>
        <w:rPr>
          <w:rFonts w:hint="eastAsia" w:ascii="宋体" w:hAnsi="宋体" w:eastAsia="宋体" w:cs="宋体"/>
          <w:color w:val="auto"/>
          <w:spacing w:val="14"/>
          <w:sz w:val="24"/>
          <w:szCs w:val="24"/>
        </w:rPr>
      </w:pPr>
    </w:p>
    <w:p>
      <w:pPr>
        <w:ind w:firstLine="42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 xml:space="preserve"> 以上企业，不属于大企业的分支机构，不存在控股股东为大企业的情形，也不存在与大企业的负 责人为同一人的情形。</w:t>
      </w:r>
    </w:p>
    <w:p>
      <w:pPr>
        <w:ind w:firstLine="42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 xml:space="preserve"> 本企业对上述声明内容的真实性负责。如有虚假，将依法承担相应责任。   </w:t>
      </w:r>
    </w:p>
    <w:p>
      <w:pPr>
        <w:pStyle w:val="61"/>
        <w:rPr>
          <w:rFonts w:hint="eastAsia"/>
          <w:sz w:val="24"/>
          <w:szCs w:val="24"/>
        </w:rPr>
      </w:pPr>
    </w:p>
    <w:p>
      <w:pPr>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lang w:eastAsia="zh-CN"/>
        </w:rPr>
        <w:t>供应商（公章）：</w:t>
      </w:r>
      <w:r>
        <w:rPr>
          <w:rFonts w:hint="eastAsia" w:ascii="宋体" w:hAnsi="宋体" w:eastAsia="宋体" w:cs="宋体"/>
          <w:color w:val="auto"/>
          <w:spacing w:val="14"/>
          <w:sz w:val="24"/>
          <w:szCs w:val="24"/>
        </w:rPr>
        <w:t xml:space="preserve"> </w:t>
      </w:r>
    </w:p>
    <w:p>
      <w:pPr>
        <w:rPr>
          <w:rFonts w:hint="eastAsia" w:ascii="宋体" w:hAnsi="宋体" w:eastAsia="宋体" w:cs="宋体"/>
          <w:color w:val="auto"/>
          <w:spacing w:val="14"/>
          <w:sz w:val="24"/>
          <w:szCs w:val="24"/>
        </w:rPr>
      </w:pPr>
    </w:p>
    <w:p>
      <w:pPr>
        <w:ind w:firstLine="42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注：</w:t>
      </w:r>
    </w:p>
    <w:p>
      <w:pPr>
        <w:ind w:firstLine="42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w:t>
      </w:r>
      <w:r>
        <w:rPr>
          <w:rFonts w:hint="eastAsia" w:ascii="宋体" w:hAnsi="宋体" w:eastAsia="宋体" w:cs="宋体"/>
          <w:color w:val="auto"/>
          <w:spacing w:val="14"/>
          <w:sz w:val="24"/>
          <w:szCs w:val="24"/>
          <w:lang w:val="en-US" w:eastAsia="zh-CN"/>
        </w:rPr>
        <w:t>.</w:t>
      </w:r>
      <w:r>
        <w:rPr>
          <w:rFonts w:hint="eastAsia" w:ascii="宋体" w:hAnsi="宋体" w:eastAsia="宋体" w:cs="宋体"/>
          <w:color w:val="auto"/>
          <w:spacing w:val="14"/>
          <w:sz w:val="24"/>
          <w:szCs w:val="24"/>
        </w:rPr>
        <w:t xml:space="preserve">从业人员、营业收入、资产总额填报上一年度数据，无上一年度数据的新成立企业可不填报。 </w:t>
      </w:r>
    </w:p>
    <w:p>
      <w:pPr>
        <w:ind w:firstLine="42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2</w:t>
      </w:r>
      <w:r>
        <w:rPr>
          <w:rFonts w:hint="eastAsia" w:ascii="宋体" w:hAnsi="宋体" w:eastAsia="宋体" w:cs="宋体"/>
          <w:color w:val="auto"/>
          <w:spacing w:val="14"/>
          <w:sz w:val="24"/>
          <w:szCs w:val="24"/>
          <w:lang w:val="en-US" w:eastAsia="zh-CN"/>
        </w:rPr>
        <w:t>.</w:t>
      </w:r>
      <w:r>
        <w:rPr>
          <w:rFonts w:hint="eastAsia" w:ascii="宋体" w:hAnsi="宋体" w:eastAsia="宋体" w:cs="宋体"/>
          <w:color w:val="auto"/>
          <w:spacing w:val="14"/>
          <w:sz w:val="24"/>
          <w:szCs w:val="24"/>
        </w:rPr>
        <w:t>中小企业划分标准见工业和信息化部国家统计局国家发展和改革委员财政部《关于印发中小企业划型标准规定的通知》（工信部联企业〔2011〕300 号)。</w:t>
      </w:r>
    </w:p>
    <w:p>
      <w:pPr>
        <w:outlineLvl w:val="1"/>
        <w:rPr>
          <w:rFonts w:hint="eastAsia" w:ascii="宋体" w:hAnsi="宋体" w:eastAsia="宋体" w:cs="Times New Roman"/>
          <w:b/>
          <w:bCs/>
          <w:sz w:val="28"/>
          <w:szCs w:val="21"/>
          <w:lang w:val="en-US" w:eastAsia="zh-CN"/>
        </w:rPr>
      </w:pPr>
      <w:r>
        <w:rPr>
          <w:rFonts w:hint="eastAsia" w:ascii="宋体" w:hAnsi="宋体" w:eastAsia="宋体" w:cs="宋体"/>
          <w:b/>
          <w:bCs/>
          <w:color w:val="auto"/>
          <w:sz w:val="28"/>
          <w:szCs w:val="28"/>
          <w:lang w:val="en-US" w:eastAsia="zh-CN" w:bidi="ar-SA"/>
        </w:rPr>
        <w:br w:type="page"/>
      </w:r>
      <w:bookmarkStart w:id="163" w:name="_Toc7649"/>
      <w:r>
        <w:rPr>
          <w:rFonts w:hint="eastAsia" w:ascii="宋体" w:hAnsi="宋体" w:eastAsia="宋体" w:cs="Times New Roman"/>
          <w:b/>
          <w:bCs/>
          <w:sz w:val="28"/>
          <w:szCs w:val="21"/>
          <w:lang w:val="en-US" w:eastAsia="zh-CN"/>
        </w:rPr>
        <w:t>附件7-2：残疾人福利性单位声明函</w:t>
      </w:r>
      <w:bookmarkEnd w:id="162"/>
      <w:bookmarkEnd w:id="163"/>
    </w:p>
    <w:p>
      <w:pPr>
        <w:jc w:val="center"/>
        <w:rPr>
          <w:rFonts w:hint="eastAsia" w:ascii="宋体" w:hAnsi="宋体" w:eastAsia="宋体" w:cs="宋体"/>
          <w:color w:val="auto"/>
          <w:spacing w:val="14"/>
          <w:sz w:val="21"/>
          <w:szCs w:val="21"/>
        </w:rPr>
      </w:pPr>
    </w:p>
    <w:p>
      <w:pPr>
        <w:jc w:val="center"/>
        <w:rPr>
          <w:rFonts w:hint="eastAsia" w:ascii="宋体" w:hAnsi="宋体" w:eastAsia="宋体" w:cs="宋体"/>
          <w:color w:val="auto"/>
          <w:spacing w:val="14"/>
          <w:sz w:val="28"/>
          <w:szCs w:val="28"/>
        </w:rPr>
      </w:pPr>
      <w:r>
        <w:rPr>
          <w:rFonts w:hint="eastAsia" w:ascii="宋体" w:hAnsi="宋体" w:eastAsia="宋体" w:cs="宋体"/>
          <w:color w:val="auto"/>
          <w:spacing w:val="14"/>
          <w:sz w:val="28"/>
          <w:szCs w:val="28"/>
        </w:rPr>
        <w:t>残疾人福利性单位声明函</w:t>
      </w:r>
    </w:p>
    <w:p>
      <w:pPr>
        <w:jc w:val="center"/>
        <w:rPr>
          <w:rFonts w:hint="eastAsia" w:ascii="宋体" w:hAnsi="宋体" w:eastAsia="宋体" w:cs="宋体"/>
          <w:color w:val="auto"/>
          <w:spacing w:val="14"/>
          <w:sz w:val="21"/>
          <w:szCs w:val="21"/>
        </w:rPr>
      </w:pPr>
    </w:p>
    <w:p>
      <w:pPr>
        <w:ind w:firstLine="42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号）的规定，本单位为符合条件的残疾人福利性单位，且本单位参加______单位的______项目采购活动提供本单位的服务。</w:t>
      </w:r>
    </w:p>
    <w:p>
      <w:pPr>
        <w:ind w:firstLine="420"/>
        <w:rPr>
          <w:rFonts w:hint="eastAsia" w:ascii="宋体" w:hAnsi="宋体" w:eastAsia="宋体" w:cs="宋体"/>
          <w:color w:val="auto"/>
          <w:spacing w:val="14"/>
          <w:sz w:val="24"/>
          <w:szCs w:val="24"/>
        </w:rPr>
      </w:pPr>
    </w:p>
    <w:p>
      <w:pPr>
        <w:ind w:firstLine="42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本单位对上述声明的真实性负责。如有虚假，将依法承担相应责任。</w:t>
      </w:r>
    </w:p>
    <w:p>
      <w:pPr>
        <w:rPr>
          <w:rFonts w:hint="eastAsia" w:ascii="宋体" w:hAnsi="宋体" w:eastAsia="宋体" w:cs="宋体"/>
          <w:color w:val="auto"/>
          <w:spacing w:val="14"/>
          <w:sz w:val="24"/>
          <w:szCs w:val="24"/>
        </w:rPr>
      </w:pPr>
    </w:p>
    <w:p>
      <w:pPr>
        <w:rPr>
          <w:rFonts w:hint="eastAsia" w:ascii="宋体" w:hAnsi="宋体" w:eastAsia="宋体" w:cs="宋体"/>
          <w:color w:val="auto"/>
          <w:spacing w:val="14"/>
          <w:sz w:val="24"/>
          <w:szCs w:val="24"/>
        </w:rPr>
      </w:pPr>
    </w:p>
    <w:p>
      <w:pPr>
        <w:rPr>
          <w:rFonts w:hint="eastAsia" w:ascii="宋体" w:hAnsi="宋体" w:eastAsia="宋体" w:cs="宋体"/>
          <w:color w:val="auto"/>
          <w:spacing w:val="14"/>
          <w:sz w:val="21"/>
          <w:szCs w:val="21"/>
          <w:lang w:eastAsia="zh-CN"/>
        </w:rPr>
      </w:pPr>
      <w:r>
        <w:rPr>
          <w:rFonts w:hint="eastAsia" w:ascii="宋体" w:hAnsi="宋体" w:eastAsia="宋体" w:cs="宋体"/>
          <w:color w:val="auto"/>
          <w:spacing w:val="14"/>
          <w:sz w:val="24"/>
          <w:szCs w:val="24"/>
        </w:rPr>
        <w:t xml:space="preserve">                                         </w:t>
      </w:r>
      <w:r>
        <w:rPr>
          <w:rFonts w:hint="eastAsia" w:ascii="宋体" w:hAnsi="宋体" w:eastAsia="宋体" w:cs="宋体"/>
          <w:color w:val="auto"/>
          <w:spacing w:val="14"/>
          <w:sz w:val="24"/>
          <w:szCs w:val="24"/>
          <w:lang w:val="en-US" w:eastAsia="zh-CN"/>
        </w:rPr>
        <w:t xml:space="preserve">    </w:t>
      </w:r>
      <w:r>
        <w:rPr>
          <w:rFonts w:hint="eastAsia" w:ascii="宋体" w:hAnsi="宋体" w:eastAsia="宋体" w:cs="宋体"/>
          <w:color w:val="auto"/>
          <w:spacing w:val="14"/>
          <w:sz w:val="24"/>
          <w:szCs w:val="24"/>
        </w:rPr>
        <w:t xml:space="preserve">     </w:t>
      </w:r>
      <w:r>
        <w:rPr>
          <w:rFonts w:hint="eastAsia" w:ascii="宋体" w:hAnsi="宋体" w:eastAsia="宋体" w:cs="宋体"/>
          <w:color w:val="auto"/>
          <w:spacing w:val="14"/>
          <w:sz w:val="24"/>
          <w:szCs w:val="24"/>
          <w:lang w:eastAsia="zh-CN"/>
        </w:rPr>
        <w:t>供应商（公章）：</w:t>
      </w:r>
    </w:p>
    <w:p>
      <w:pPr>
        <w:rPr>
          <w:rFonts w:hint="eastAsia" w:ascii="宋体" w:hAnsi="宋体" w:eastAsia="宋体" w:cs="宋体"/>
          <w:color w:val="auto"/>
          <w:spacing w:val="14"/>
          <w:sz w:val="21"/>
          <w:szCs w:val="21"/>
        </w:rPr>
      </w:pPr>
    </w:p>
    <w:p>
      <w:pPr>
        <w:rPr>
          <w:rFonts w:hint="eastAsia" w:ascii="宋体" w:hAnsi="宋体" w:eastAsia="宋体" w:cs="宋体"/>
          <w:color w:val="auto"/>
          <w:spacing w:val="14"/>
          <w:sz w:val="21"/>
          <w:szCs w:val="21"/>
        </w:rPr>
      </w:pPr>
      <w:r>
        <w:rPr>
          <w:rFonts w:hint="eastAsia" w:ascii="宋体" w:hAnsi="宋体" w:eastAsia="宋体" w:cs="宋体"/>
          <w:color w:val="auto"/>
          <w:spacing w:val="14"/>
          <w:sz w:val="21"/>
          <w:szCs w:val="21"/>
        </w:rPr>
        <w:t xml:space="preserve">                                        </w:t>
      </w:r>
    </w:p>
    <w:p>
      <w:pPr>
        <w:bidi w:val="0"/>
        <w:rPr>
          <w:rFonts w:hint="eastAsia"/>
        </w:rPr>
      </w:pPr>
      <w:bookmarkStart w:id="164" w:name="_Toc1662574"/>
    </w:p>
    <w:p>
      <w:pPr>
        <w:bidi w:val="0"/>
        <w:rPr>
          <w:rFonts w:hint="eastAsia"/>
        </w:rPr>
      </w:pPr>
    </w:p>
    <w:p>
      <w:pPr>
        <w:bidi w:val="0"/>
        <w:outlineLvl w:val="1"/>
        <w:rPr>
          <w:rFonts w:hint="eastAsia" w:ascii="宋体" w:hAnsi="宋体" w:eastAsia="宋体" w:cs="Times New Roman"/>
          <w:b/>
          <w:bCs/>
          <w:sz w:val="28"/>
          <w:szCs w:val="21"/>
        </w:rPr>
      </w:pPr>
      <w:bookmarkStart w:id="165" w:name="_Toc16767"/>
      <w:r>
        <w:rPr>
          <w:rFonts w:hint="eastAsia" w:ascii="宋体" w:hAnsi="宋体" w:eastAsia="宋体" w:cs="Times New Roman"/>
          <w:b/>
          <w:bCs/>
          <w:sz w:val="28"/>
          <w:szCs w:val="21"/>
        </w:rPr>
        <w:t>附件7-</w:t>
      </w:r>
      <w:r>
        <w:rPr>
          <w:rFonts w:hint="eastAsia" w:ascii="宋体" w:hAnsi="宋体" w:eastAsia="宋体" w:cs="Times New Roman"/>
          <w:b/>
          <w:bCs/>
          <w:sz w:val="28"/>
          <w:szCs w:val="21"/>
          <w:lang w:val="en-US" w:eastAsia="zh-CN"/>
        </w:rPr>
        <w:t>3</w:t>
      </w:r>
      <w:r>
        <w:rPr>
          <w:rFonts w:hint="eastAsia" w:ascii="宋体" w:hAnsi="宋体" w:eastAsia="宋体" w:cs="Times New Roman"/>
          <w:b/>
          <w:bCs/>
          <w:sz w:val="28"/>
          <w:szCs w:val="21"/>
          <w:lang w:eastAsia="zh-CN"/>
        </w:rPr>
        <w:t>：</w:t>
      </w:r>
      <w:r>
        <w:rPr>
          <w:rFonts w:hint="eastAsia" w:ascii="宋体" w:hAnsi="宋体" w:eastAsia="宋体" w:cs="Times New Roman"/>
          <w:b/>
          <w:bCs/>
          <w:sz w:val="28"/>
          <w:szCs w:val="21"/>
        </w:rPr>
        <w:t>监狱企业证明文件</w:t>
      </w:r>
      <w:bookmarkEnd w:id="164"/>
      <w:bookmarkEnd w:id="165"/>
    </w:p>
    <w:p>
      <w:pPr>
        <w:jc w:val="center"/>
        <w:rPr>
          <w:rFonts w:hint="eastAsia" w:ascii="宋体" w:hAnsi="宋体" w:eastAsia="宋体" w:cs="宋体"/>
          <w:color w:val="auto"/>
          <w:spacing w:val="14"/>
          <w:sz w:val="21"/>
          <w:szCs w:val="21"/>
        </w:rPr>
      </w:pPr>
    </w:p>
    <w:p>
      <w:pPr>
        <w:jc w:val="center"/>
        <w:rPr>
          <w:rFonts w:hint="eastAsia" w:ascii="宋体" w:hAnsi="宋体" w:eastAsia="宋体" w:cs="宋体"/>
          <w:color w:val="auto"/>
          <w:spacing w:val="14"/>
          <w:sz w:val="28"/>
          <w:szCs w:val="28"/>
        </w:rPr>
      </w:pPr>
      <w:r>
        <w:rPr>
          <w:rFonts w:hint="eastAsia" w:ascii="宋体" w:hAnsi="宋体" w:eastAsia="宋体" w:cs="宋体"/>
          <w:color w:val="auto"/>
          <w:spacing w:val="14"/>
          <w:sz w:val="28"/>
          <w:szCs w:val="28"/>
        </w:rPr>
        <w:t>监狱企业证明文件</w:t>
      </w:r>
    </w:p>
    <w:p>
      <w:pPr>
        <w:jc w:val="center"/>
        <w:rPr>
          <w:rFonts w:hint="eastAsia" w:ascii="宋体" w:hAnsi="宋体" w:eastAsia="宋体" w:cs="宋体"/>
          <w:color w:val="auto"/>
          <w:spacing w:val="14"/>
          <w:sz w:val="21"/>
          <w:szCs w:val="21"/>
        </w:rPr>
      </w:pPr>
    </w:p>
    <w:p>
      <w:pPr>
        <w:ind w:firstLine="42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监狱企业参加政府采购活动时，应当提供由省级以上监狱管理局、戒毒管理局(含新疆生产建设兵团)出具的属于监狱企业的证明文件。</w:t>
      </w:r>
    </w:p>
    <w:p>
      <w:pPr>
        <w:rPr>
          <w:rFonts w:hint="eastAsia" w:ascii="宋体" w:hAnsi="宋体" w:eastAsia="宋体" w:cs="宋体"/>
          <w:color w:val="auto"/>
          <w:spacing w:val="14"/>
          <w:sz w:val="24"/>
          <w:szCs w:val="24"/>
        </w:rPr>
      </w:pPr>
    </w:p>
    <w:p>
      <w:pPr>
        <w:rPr>
          <w:rFonts w:hint="eastAsia" w:ascii="宋体" w:hAnsi="宋体" w:eastAsia="宋体" w:cs="宋体"/>
          <w:color w:val="auto"/>
          <w:spacing w:val="14"/>
          <w:sz w:val="24"/>
          <w:szCs w:val="24"/>
        </w:rPr>
      </w:pPr>
    </w:p>
    <w:p>
      <w:pPr>
        <w:rPr>
          <w:rFonts w:hint="eastAsia" w:ascii="宋体" w:hAnsi="宋体" w:eastAsia="宋体" w:cs="宋体"/>
          <w:color w:val="auto"/>
          <w:spacing w:val="14"/>
          <w:sz w:val="24"/>
          <w:szCs w:val="24"/>
        </w:rPr>
      </w:pPr>
    </w:p>
    <w:p>
      <w:pPr>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rPr>
        <w:t>注：在响应文件中附</w:t>
      </w:r>
      <w:r>
        <w:rPr>
          <w:rFonts w:hint="eastAsia" w:ascii="宋体" w:hAnsi="宋体" w:eastAsia="宋体" w:cs="宋体"/>
          <w:color w:val="auto"/>
          <w:spacing w:val="14"/>
          <w:sz w:val="24"/>
          <w:szCs w:val="24"/>
          <w:lang w:eastAsia="zh-CN"/>
        </w:rPr>
        <w:t>复印件</w:t>
      </w:r>
    </w:p>
    <w:p>
      <w:pPr>
        <w:rPr>
          <w:rFonts w:hint="eastAsia" w:ascii="宋体" w:hAnsi="宋体" w:eastAsia="宋体" w:cs="宋体"/>
          <w:color w:val="auto"/>
          <w:spacing w:val="14"/>
          <w:sz w:val="21"/>
          <w:szCs w:val="21"/>
        </w:rPr>
      </w:pPr>
    </w:p>
    <w:p>
      <w:pPr>
        <w:rPr>
          <w:rFonts w:hint="eastAsia" w:ascii="宋体" w:hAnsi="宋体" w:eastAsia="宋体" w:cs="宋体"/>
          <w:color w:val="auto"/>
          <w:spacing w:val="14"/>
          <w:sz w:val="21"/>
          <w:szCs w:val="21"/>
        </w:rPr>
      </w:pPr>
    </w:p>
    <w:p>
      <w:pPr>
        <w:bidi w:val="0"/>
        <w:outlineLvl w:val="1"/>
        <w:rPr>
          <w:rFonts w:hint="eastAsia" w:ascii="宋体" w:hAnsi="宋体" w:eastAsia="宋体" w:cs="Times New Roman"/>
          <w:b/>
          <w:bCs/>
          <w:sz w:val="28"/>
          <w:szCs w:val="21"/>
        </w:rPr>
      </w:pPr>
      <w:bookmarkStart w:id="166" w:name="_Toc1721023"/>
      <w:r>
        <w:rPr>
          <w:rFonts w:hint="eastAsia"/>
        </w:rPr>
        <w:br w:type="page"/>
      </w:r>
      <w:bookmarkStart w:id="167" w:name="_Toc4293"/>
      <w:r>
        <w:rPr>
          <w:rFonts w:hint="eastAsia" w:ascii="宋体" w:hAnsi="宋体" w:eastAsia="宋体" w:cs="Times New Roman"/>
          <w:b/>
          <w:bCs/>
          <w:sz w:val="28"/>
          <w:szCs w:val="21"/>
        </w:rPr>
        <w:t>附件8：</w:t>
      </w:r>
      <w:bookmarkEnd w:id="166"/>
      <w:r>
        <w:rPr>
          <w:rFonts w:hint="eastAsia" w:ascii="宋体" w:hAnsi="宋体" w:eastAsia="宋体" w:cs="Times New Roman"/>
          <w:b/>
          <w:bCs/>
          <w:sz w:val="28"/>
          <w:szCs w:val="21"/>
          <w:lang w:eastAsia="zh-CN"/>
        </w:rPr>
        <w:t>服务</w:t>
      </w:r>
      <w:r>
        <w:rPr>
          <w:rFonts w:hint="eastAsia" w:ascii="宋体" w:hAnsi="宋体" w:eastAsia="宋体" w:cs="Times New Roman"/>
          <w:b/>
          <w:bCs/>
          <w:sz w:val="28"/>
          <w:szCs w:val="21"/>
        </w:rPr>
        <w:t>要求响应与偏差表</w:t>
      </w:r>
      <w:bookmarkEnd w:id="167"/>
    </w:p>
    <w:p>
      <w:pPr>
        <w:pStyle w:val="156"/>
        <w:ind w:firstLine="0"/>
        <w:jc w:val="center"/>
        <w:rPr>
          <w:rFonts w:hint="eastAsia" w:ascii="宋体" w:hAnsi="宋体" w:eastAsia="宋体" w:cs="宋体"/>
          <w:spacing w:val="14"/>
          <w:szCs w:val="21"/>
        </w:rPr>
      </w:pPr>
    </w:p>
    <w:p>
      <w:pPr>
        <w:jc w:val="center"/>
        <w:rPr>
          <w:rFonts w:hint="eastAsia" w:ascii="宋体" w:hAnsi="宋体" w:eastAsia="宋体" w:cs="宋体"/>
          <w:color w:val="auto"/>
          <w:spacing w:val="14"/>
          <w:sz w:val="28"/>
          <w:szCs w:val="28"/>
        </w:rPr>
      </w:pPr>
      <w:r>
        <w:rPr>
          <w:rFonts w:hint="eastAsia" w:ascii="宋体" w:hAnsi="宋体" w:eastAsia="宋体" w:cs="宋体"/>
          <w:color w:val="auto"/>
          <w:spacing w:val="14"/>
          <w:sz w:val="28"/>
          <w:szCs w:val="28"/>
        </w:rPr>
        <w:t>服务要求响应与偏差表</w:t>
      </w:r>
    </w:p>
    <w:p>
      <w:pPr>
        <w:pStyle w:val="156"/>
        <w:ind w:firstLine="0"/>
        <w:jc w:val="center"/>
        <w:rPr>
          <w:rFonts w:hint="eastAsia" w:ascii="宋体" w:hAnsi="宋体" w:eastAsia="宋体" w:cs="宋体"/>
          <w:color w:val="auto"/>
          <w:spacing w:val="14"/>
          <w:szCs w:val="21"/>
          <w:lang w:eastAsia="zh-CN"/>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020"/>
        <w:gridCol w:w="3021"/>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23"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02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文件服务要求</w:t>
            </w:r>
          </w:p>
        </w:tc>
        <w:tc>
          <w:tcPr>
            <w:tcW w:w="3021"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供应商承诺的服务响应</w:t>
            </w:r>
          </w:p>
        </w:tc>
        <w:tc>
          <w:tcPr>
            <w:tcW w:w="1418"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偏差描述</w:t>
            </w:r>
          </w:p>
        </w:tc>
        <w:tc>
          <w:tcPr>
            <w:tcW w:w="85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noWrap w:val="0"/>
            <w:vAlign w:val="top"/>
          </w:tcPr>
          <w:p>
            <w:pPr>
              <w:rPr>
                <w:rFonts w:hint="eastAsia" w:ascii="宋体" w:hAnsi="宋体" w:eastAsia="宋体" w:cs="宋体"/>
                <w:color w:val="auto"/>
                <w:sz w:val="24"/>
                <w:szCs w:val="24"/>
              </w:rPr>
            </w:pPr>
          </w:p>
        </w:tc>
        <w:tc>
          <w:tcPr>
            <w:tcW w:w="3020" w:type="dxa"/>
            <w:noWrap w:val="0"/>
            <w:vAlign w:val="top"/>
          </w:tcPr>
          <w:p>
            <w:pPr>
              <w:rPr>
                <w:rFonts w:hint="eastAsia" w:ascii="宋体" w:hAnsi="宋体" w:eastAsia="宋体" w:cs="宋体"/>
                <w:color w:val="auto"/>
                <w:sz w:val="24"/>
                <w:szCs w:val="24"/>
              </w:rPr>
            </w:pPr>
          </w:p>
        </w:tc>
        <w:tc>
          <w:tcPr>
            <w:tcW w:w="3021" w:type="dxa"/>
            <w:noWrap w:val="0"/>
            <w:vAlign w:val="top"/>
          </w:tcPr>
          <w:p>
            <w:pPr>
              <w:rPr>
                <w:rFonts w:hint="eastAsia" w:ascii="宋体" w:hAnsi="宋体" w:eastAsia="宋体" w:cs="宋体"/>
                <w:color w:val="auto"/>
                <w:sz w:val="24"/>
                <w:szCs w:val="24"/>
              </w:rPr>
            </w:pPr>
          </w:p>
        </w:tc>
        <w:tc>
          <w:tcPr>
            <w:tcW w:w="1418" w:type="dxa"/>
            <w:noWrap w:val="0"/>
            <w:vAlign w:val="top"/>
          </w:tcPr>
          <w:p>
            <w:pPr>
              <w:rPr>
                <w:rFonts w:hint="eastAsia" w:ascii="宋体" w:hAnsi="宋体" w:eastAsia="宋体" w:cs="宋体"/>
                <w:color w:val="auto"/>
                <w:sz w:val="24"/>
                <w:szCs w:val="24"/>
              </w:rPr>
            </w:pPr>
          </w:p>
        </w:tc>
        <w:tc>
          <w:tcPr>
            <w:tcW w:w="850" w:type="dxa"/>
            <w:noWrap w:val="0"/>
            <w:vAlign w:val="top"/>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noWrap w:val="0"/>
            <w:vAlign w:val="top"/>
          </w:tcPr>
          <w:p>
            <w:pPr>
              <w:rPr>
                <w:rFonts w:hint="eastAsia" w:ascii="宋体" w:hAnsi="宋体" w:eastAsia="宋体" w:cs="宋体"/>
                <w:color w:val="auto"/>
                <w:sz w:val="24"/>
                <w:szCs w:val="24"/>
              </w:rPr>
            </w:pPr>
          </w:p>
        </w:tc>
        <w:tc>
          <w:tcPr>
            <w:tcW w:w="3020" w:type="dxa"/>
            <w:noWrap w:val="0"/>
            <w:vAlign w:val="top"/>
          </w:tcPr>
          <w:p>
            <w:pPr>
              <w:rPr>
                <w:rFonts w:hint="eastAsia" w:ascii="宋体" w:hAnsi="宋体" w:eastAsia="宋体" w:cs="宋体"/>
                <w:color w:val="auto"/>
                <w:sz w:val="24"/>
                <w:szCs w:val="24"/>
              </w:rPr>
            </w:pPr>
          </w:p>
        </w:tc>
        <w:tc>
          <w:tcPr>
            <w:tcW w:w="3021" w:type="dxa"/>
            <w:noWrap w:val="0"/>
            <w:vAlign w:val="top"/>
          </w:tcPr>
          <w:p>
            <w:pPr>
              <w:rPr>
                <w:rFonts w:hint="eastAsia" w:ascii="宋体" w:hAnsi="宋体" w:eastAsia="宋体" w:cs="宋体"/>
                <w:color w:val="auto"/>
                <w:sz w:val="24"/>
                <w:szCs w:val="24"/>
              </w:rPr>
            </w:pPr>
          </w:p>
        </w:tc>
        <w:tc>
          <w:tcPr>
            <w:tcW w:w="1418" w:type="dxa"/>
            <w:noWrap w:val="0"/>
            <w:vAlign w:val="top"/>
          </w:tcPr>
          <w:p>
            <w:pPr>
              <w:rPr>
                <w:rFonts w:hint="eastAsia" w:ascii="宋体" w:hAnsi="宋体" w:eastAsia="宋体" w:cs="宋体"/>
                <w:color w:val="auto"/>
                <w:sz w:val="24"/>
                <w:szCs w:val="24"/>
              </w:rPr>
            </w:pPr>
          </w:p>
        </w:tc>
        <w:tc>
          <w:tcPr>
            <w:tcW w:w="850" w:type="dxa"/>
            <w:noWrap w:val="0"/>
            <w:vAlign w:val="top"/>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noWrap w:val="0"/>
            <w:vAlign w:val="top"/>
          </w:tcPr>
          <w:p>
            <w:pPr>
              <w:rPr>
                <w:rFonts w:hint="eastAsia" w:ascii="宋体" w:hAnsi="宋体" w:eastAsia="宋体" w:cs="宋体"/>
                <w:color w:val="auto"/>
                <w:sz w:val="24"/>
                <w:szCs w:val="24"/>
              </w:rPr>
            </w:pPr>
          </w:p>
        </w:tc>
        <w:tc>
          <w:tcPr>
            <w:tcW w:w="3020" w:type="dxa"/>
            <w:noWrap w:val="0"/>
            <w:vAlign w:val="top"/>
          </w:tcPr>
          <w:p>
            <w:pPr>
              <w:rPr>
                <w:rFonts w:hint="eastAsia" w:ascii="宋体" w:hAnsi="宋体" w:eastAsia="宋体" w:cs="宋体"/>
                <w:color w:val="auto"/>
                <w:sz w:val="24"/>
                <w:szCs w:val="24"/>
              </w:rPr>
            </w:pPr>
          </w:p>
        </w:tc>
        <w:tc>
          <w:tcPr>
            <w:tcW w:w="3021" w:type="dxa"/>
            <w:noWrap w:val="0"/>
            <w:vAlign w:val="top"/>
          </w:tcPr>
          <w:p>
            <w:pPr>
              <w:rPr>
                <w:rFonts w:hint="eastAsia" w:ascii="宋体" w:hAnsi="宋体" w:eastAsia="宋体" w:cs="宋体"/>
                <w:color w:val="auto"/>
                <w:sz w:val="24"/>
                <w:szCs w:val="24"/>
              </w:rPr>
            </w:pPr>
          </w:p>
        </w:tc>
        <w:tc>
          <w:tcPr>
            <w:tcW w:w="1418" w:type="dxa"/>
            <w:noWrap w:val="0"/>
            <w:vAlign w:val="top"/>
          </w:tcPr>
          <w:p>
            <w:pPr>
              <w:rPr>
                <w:rFonts w:hint="eastAsia" w:ascii="宋体" w:hAnsi="宋体" w:eastAsia="宋体" w:cs="宋体"/>
                <w:color w:val="auto"/>
                <w:sz w:val="24"/>
                <w:szCs w:val="24"/>
              </w:rPr>
            </w:pPr>
          </w:p>
        </w:tc>
        <w:tc>
          <w:tcPr>
            <w:tcW w:w="850" w:type="dxa"/>
            <w:noWrap w:val="0"/>
            <w:vAlign w:val="top"/>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noWrap w:val="0"/>
            <w:vAlign w:val="top"/>
          </w:tcPr>
          <w:p>
            <w:pPr>
              <w:rPr>
                <w:rFonts w:hint="eastAsia" w:ascii="宋体" w:hAnsi="宋体" w:eastAsia="宋体" w:cs="宋体"/>
                <w:color w:val="auto"/>
                <w:sz w:val="24"/>
                <w:szCs w:val="24"/>
              </w:rPr>
            </w:pPr>
          </w:p>
        </w:tc>
        <w:tc>
          <w:tcPr>
            <w:tcW w:w="3020" w:type="dxa"/>
            <w:noWrap w:val="0"/>
            <w:vAlign w:val="top"/>
          </w:tcPr>
          <w:p>
            <w:pPr>
              <w:rPr>
                <w:rFonts w:hint="eastAsia" w:ascii="宋体" w:hAnsi="宋体" w:eastAsia="宋体" w:cs="宋体"/>
                <w:color w:val="auto"/>
                <w:sz w:val="24"/>
                <w:szCs w:val="24"/>
              </w:rPr>
            </w:pPr>
          </w:p>
        </w:tc>
        <w:tc>
          <w:tcPr>
            <w:tcW w:w="3021" w:type="dxa"/>
            <w:noWrap w:val="0"/>
            <w:vAlign w:val="top"/>
          </w:tcPr>
          <w:p>
            <w:pPr>
              <w:rPr>
                <w:rFonts w:hint="eastAsia" w:ascii="宋体" w:hAnsi="宋体" w:eastAsia="宋体" w:cs="宋体"/>
                <w:color w:val="auto"/>
                <w:sz w:val="24"/>
                <w:szCs w:val="24"/>
              </w:rPr>
            </w:pPr>
          </w:p>
        </w:tc>
        <w:tc>
          <w:tcPr>
            <w:tcW w:w="1418" w:type="dxa"/>
            <w:noWrap w:val="0"/>
            <w:vAlign w:val="top"/>
          </w:tcPr>
          <w:p>
            <w:pPr>
              <w:rPr>
                <w:rFonts w:hint="eastAsia" w:ascii="宋体" w:hAnsi="宋体" w:eastAsia="宋体" w:cs="宋体"/>
                <w:color w:val="auto"/>
                <w:sz w:val="24"/>
                <w:szCs w:val="24"/>
              </w:rPr>
            </w:pPr>
          </w:p>
        </w:tc>
        <w:tc>
          <w:tcPr>
            <w:tcW w:w="850" w:type="dxa"/>
            <w:noWrap w:val="0"/>
            <w:vAlign w:val="top"/>
          </w:tcPr>
          <w:p>
            <w:pPr>
              <w:rPr>
                <w:rFonts w:hint="eastAsia" w:ascii="宋体" w:hAnsi="宋体" w:eastAsia="宋体" w:cs="宋体"/>
                <w:color w:val="auto"/>
                <w:sz w:val="24"/>
                <w:szCs w:val="24"/>
              </w:rPr>
            </w:pPr>
          </w:p>
        </w:tc>
      </w:tr>
    </w:tbl>
    <w:p>
      <w:pPr>
        <w:pStyle w:val="156"/>
        <w:ind w:firstLine="0"/>
        <w:rPr>
          <w:rFonts w:hint="eastAsia" w:ascii="宋体" w:hAnsi="宋体" w:eastAsia="宋体" w:cs="宋体"/>
          <w:color w:val="auto"/>
          <w:spacing w:val="14"/>
          <w:szCs w:val="21"/>
        </w:rPr>
      </w:pPr>
      <w:r>
        <w:rPr>
          <w:rFonts w:hint="eastAsia" w:ascii="宋体" w:hAnsi="宋体" w:eastAsia="宋体" w:cs="宋体"/>
          <w:color w:val="auto"/>
          <w:spacing w:val="14"/>
          <w:szCs w:val="21"/>
        </w:rPr>
        <w:t xml:space="preserve">                                           </w:t>
      </w:r>
    </w:p>
    <w:p>
      <w:pPr>
        <w:pStyle w:val="156"/>
        <w:ind w:firstLine="0"/>
        <w:rPr>
          <w:rFonts w:hint="eastAsia" w:ascii="宋体" w:hAnsi="宋体" w:eastAsia="宋体" w:cs="宋体"/>
          <w:color w:val="auto"/>
          <w:sz w:val="24"/>
          <w:szCs w:val="24"/>
        </w:rPr>
      </w:pPr>
      <w:r>
        <w:rPr>
          <w:rFonts w:hint="eastAsia" w:ascii="宋体" w:hAnsi="宋体" w:eastAsia="宋体" w:cs="宋体"/>
          <w:color w:val="auto"/>
          <w:spacing w:val="14"/>
          <w:sz w:val="24"/>
          <w:szCs w:val="24"/>
          <w:lang w:eastAsia="zh-CN"/>
        </w:rPr>
        <w:t>供应商（公章）：</w:t>
      </w:r>
      <w:r>
        <w:rPr>
          <w:rFonts w:hint="eastAsia" w:ascii="宋体" w:hAnsi="宋体" w:eastAsia="宋体" w:cs="宋体"/>
          <w:color w:val="auto"/>
          <w:spacing w:val="14"/>
          <w:sz w:val="24"/>
          <w:szCs w:val="24"/>
          <w:lang w:val="en-US" w:eastAsia="zh-CN"/>
        </w:rPr>
        <w:t xml:space="preserve">             </w:t>
      </w:r>
    </w:p>
    <w:p>
      <w:pPr>
        <w:pStyle w:val="156"/>
        <w:ind w:firstLine="0"/>
        <w:rPr>
          <w:rFonts w:hint="eastAsia" w:ascii="宋体" w:hAnsi="宋体" w:eastAsia="宋体" w:cs="宋体"/>
          <w:color w:val="auto"/>
          <w:spacing w:val="14"/>
          <w:szCs w:val="21"/>
        </w:rPr>
      </w:pPr>
    </w:p>
    <w:p>
      <w:pPr>
        <w:pStyle w:val="156"/>
        <w:ind w:firstLine="0"/>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注：</w:t>
      </w:r>
    </w:p>
    <w:p>
      <w:pPr>
        <w:pStyle w:val="156"/>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w:t>
      </w:r>
      <w:r>
        <w:rPr>
          <w:rFonts w:hint="eastAsia" w:ascii="宋体" w:hAnsi="宋体" w:eastAsia="宋体" w:cs="宋体"/>
          <w:color w:val="auto"/>
          <w:spacing w:val="14"/>
          <w:sz w:val="24"/>
          <w:szCs w:val="24"/>
          <w:lang w:val="en-US" w:eastAsia="zh-CN"/>
        </w:rPr>
        <w:t>.</w:t>
      </w:r>
      <w:r>
        <w:rPr>
          <w:rFonts w:hint="eastAsia" w:ascii="宋体" w:hAnsi="宋体" w:eastAsia="宋体" w:cs="宋体"/>
          <w:color w:val="auto"/>
          <w:spacing w:val="14"/>
          <w:sz w:val="24"/>
          <w:szCs w:val="24"/>
        </w:rPr>
        <w:t>供应商应根据</w:t>
      </w:r>
      <w:r>
        <w:rPr>
          <w:rFonts w:hint="eastAsia" w:ascii="宋体" w:hAnsi="宋体" w:eastAsia="宋体" w:cs="宋体"/>
          <w:color w:val="auto"/>
          <w:spacing w:val="14"/>
          <w:sz w:val="24"/>
          <w:szCs w:val="24"/>
          <w:lang w:eastAsia="zh-CN"/>
        </w:rPr>
        <w:t>采购文件</w:t>
      </w:r>
      <w:r>
        <w:rPr>
          <w:rFonts w:hint="eastAsia" w:ascii="宋体" w:hAnsi="宋体" w:eastAsia="宋体" w:cs="宋体"/>
          <w:color w:val="auto"/>
          <w:spacing w:val="14"/>
          <w:sz w:val="24"/>
          <w:szCs w:val="24"/>
        </w:rPr>
        <w:t>逐条逐项表述说明响应情况。</w:t>
      </w:r>
    </w:p>
    <w:p>
      <w:pPr>
        <w:pStyle w:val="156"/>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val="en-US" w:eastAsia="zh-CN"/>
        </w:rPr>
        <w:t>2.</w:t>
      </w:r>
      <w:r>
        <w:rPr>
          <w:rFonts w:hint="eastAsia" w:ascii="宋体" w:hAnsi="宋体" w:eastAsia="宋体" w:cs="宋体"/>
          <w:color w:val="auto"/>
          <w:spacing w:val="14"/>
          <w:sz w:val="24"/>
          <w:szCs w:val="24"/>
          <w:lang w:eastAsia="zh-CN"/>
        </w:rPr>
        <w:t>供应商提交的响应文件中的服务响应与采购文件的服务要求不同时，应逐条逐项如实填列在偏离表中。供应商不如实填写偏离情况、存在弄虚作假行为的，将依法承担相应的法律责任。</w:t>
      </w:r>
    </w:p>
    <w:p>
      <w:pPr>
        <w:pStyle w:val="156"/>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3</w:t>
      </w:r>
      <w:r>
        <w:rPr>
          <w:rFonts w:hint="eastAsia" w:ascii="宋体" w:hAnsi="宋体" w:eastAsia="宋体" w:cs="宋体"/>
          <w:color w:val="auto"/>
          <w:spacing w:val="14"/>
          <w:sz w:val="24"/>
          <w:szCs w:val="24"/>
          <w:lang w:val="en-US" w:eastAsia="zh-CN"/>
        </w:rPr>
        <w:t>.</w:t>
      </w:r>
      <w:r>
        <w:rPr>
          <w:rFonts w:hint="eastAsia" w:ascii="宋体" w:hAnsi="宋体" w:eastAsia="宋体" w:cs="宋体"/>
          <w:color w:val="auto"/>
          <w:spacing w:val="14"/>
          <w:sz w:val="24"/>
          <w:szCs w:val="24"/>
          <w:lang w:eastAsia="zh-CN"/>
        </w:rPr>
        <w:t>供应商应结合实际情况说明或描述其实际服务内容。如果完全复制粘贴本采购文件之服务要求，或者只注明“符合”“满足”等类似无具体内容的表述，因此而产生的不利于供应商的评审风险由供应商自行承担。</w:t>
      </w:r>
    </w:p>
    <w:p>
      <w:pPr>
        <w:pStyle w:val="156"/>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4</w:t>
      </w:r>
      <w:r>
        <w:rPr>
          <w:rFonts w:hint="eastAsia" w:ascii="宋体" w:hAnsi="宋体" w:eastAsia="宋体" w:cs="宋体"/>
          <w:color w:val="auto"/>
          <w:spacing w:val="14"/>
          <w:sz w:val="24"/>
          <w:szCs w:val="24"/>
          <w:lang w:val="en-US" w:eastAsia="zh-CN"/>
        </w:rPr>
        <w:t>.</w:t>
      </w:r>
      <w:r>
        <w:rPr>
          <w:rFonts w:hint="eastAsia" w:ascii="宋体" w:hAnsi="宋体" w:eastAsia="宋体" w:cs="宋体"/>
          <w:color w:val="auto"/>
          <w:spacing w:val="14"/>
          <w:sz w:val="24"/>
          <w:szCs w:val="24"/>
          <w:lang w:eastAsia="zh-CN"/>
        </w:rPr>
        <w:t>供应商可根据需要自行增减表格行数。</w:t>
      </w:r>
    </w:p>
    <w:p>
      <w:pPr>
        <w:pStyle w:val="156"/>
        <w:ind w:firstLine="0"/>
        <w:rPr>
          <w:rStyle w:val="76"/>
          <w:rFonts w:hint="eastAsia" w:ascii="宋体" w:hAnsi="宋体" w:eastAsia="宋体" w:cs="宋体"/>
          <w:color w:val="auto"/>
          <w:lang w:eastAsia="zh-CN"/>
        </w:rPr>
      </w:pPr>
    </w:p>
    <w:p>
      <w:pPr>
        <w:pStyle w:val="156"/>
        <w:ind w:firstLine="0"/>
        <w:rPr>
          <w:rStyle w:val="76"/>
          <w:rFonts w:hint="eastAsia" w:ascii="宋体" w:hAnsi="宋体" w:eastAsia="宋体" w:cs="宋体"/>
          <w:color w:val="auto"/>
          <w:lang w:eastAsia="zh-CN"/>
        </w:rPr>
        <w:sectPr>
          <w:pgSz w:w="11906" w:h="16838"/>
          <w:pgMar w:top="1418" w:right="1247" w:bottom="1418" w:left="1418" w:header="851" w:footer="992" w:gutter="0"/>
          <w:cols w:space="720" w:num="1"/>
          <w:docGrid w:type="linesAndChars" w:linePitch="466" w:charSpace="-6394"/>
        </w:sectPr>
      </w:pPr>
    </w:p>
    <w:p>
      <w:pPr>
        <w:bidi w:val="0"/>
        <w:outlineLvl w:val="1"/>
        <w:rPr>
          <w:rFonts w:hint="eastAsia" w:ascii="宋体" w:hAnsi="宋体" w:eastAsia="宋体" w:cs="Times New Roman"/>
          <w:b/>
          <w:bCs/>
          <w:sz w:val="28"/>
          <w:szCs w:val="21"/>
        </w:rPr>
      </w:pPr>
      <w:bookmarkStart w:id="168" w:name="_Toc1721025"/>
      <w:bookmarkStart w:id="169" w:name="_Toc16454"/>
      <w:r>
        <w:rPr>
          <w:rFonts w:hint="eastAsia" w:ascii="宋体" w:hAnsi="宋体" w:eastAsia="宋体" w:cs="Times New Roman"/>
          <w:b/>
          <w:bCs/>
          <w:sz w:val="28"/>
          <w:szCs w:val="21"/>
        </w:rPr>
        <w:t>附件</w:t>
      </w:r>
      <w:r>
        <w:rPr>
          <w:rFonts w:hint="eastAsia" w:ascii="宋体" w:hAnsi="宋体" w:eastAsia="宋体" w:cs="Times New Roman"/>
          <w:b/>
          <w:bCs/>
          <w:sz w:val="28"/>
          <w:szCs w:val="21"/>
          <w:lang w:val="en-US" w:eastAsia="zh-CN"/>
        </w:rPr>
        <w:t>9</w:t>
      </w:r>
      <w:r>
        <w:rPr>
          <w:rFonts w:hint="eastAsia" w:ascii="宋体" w:hAnsi="宋体" w:eastAsia="宋体" w:cs="Times New Roman"/>
          <w:b/>
          <w:bCs/>
          <w:sz w:val="28"/>
          <w:szCs w:val="21"/>
        </w:rPr>
        <w:t>：项目实施方案</w:t>
      </w:r>
      <w:bookmarkEnd w:id="168"/>
      <w:bookmarkEnd w:id="169"/>
    </w:p>
    <w:p>
      <w:pPr>
        <w:jc w:val="center"/>
        <w:rPr>
          <w:rFonts w:hint="eastAsia" w:ascii="宋体" w:hAnsi="宋体" w:eastAsia="宋体" w:cs="宋体"/>
          <w:bCs/>
          <w:color w:val="auto"/>
          <w:spacing w:val="10"/>
        </w:rPr>
      </w:pPr>
    </w:p>
    <w:p>
      <w:pPr>
        <w:spacing w:line="360" w:lineRule="auto"/>
        <w:jc w:val="center"/>
        <w:rPr>
          <w:rFonts w:hint="eastAsia" w:ascii="宋体" w:hAnsi="宋体" w:eastAsia="宋体" w:cs="宋体"/>
          <w:bCs/>
          <w:color w:val="auto"/>
          <w:spacing w:val="10"/>
          <w:sz w:val="28"/>
          <w:szCs w:val="28"/>
        </w:rPr>
      </w:pPr>
      <w:r>
        <w:rPr>
          <w:rFonts w:hint="eastAsia" w:ascii="宋体" w:hAnsi="宋体" w:eastAsia="宋体" w:cs="宋体"/>
          <w:bCs/>
          <w:color w:val="auto"/>
          <w:spacing w:val="10"/>
          <w:sz w:val="28"/>
          <w:szCs w:val="28"/>
        </w:rPr>
        <w:t>项目实施方案</w:t>
      </w:r>
    </w:p>
    <w:p>
      <w:pPr>
        <w:spacing w:line="360" w:lineRule="auto"/>
        <w:jc w:val="center"/>
        <w:rPr>
          <w:rFonts w:hint="eastAsia" w:ascii="宋体" w:hAnsi="宋体" w:eastAsia="宋体" w:cs="宋体"/>
          <w:bCs/>
          <w:color w:val="auto"/>
          <w:spacing w:val="10"/>
          <w:sz w:val="24"/>
          <w:szCs w:val="24"/>
        </w:rPr>
      </w:pPr>
    </w:p>
    <w:p>
      <w:pPr>
        <w:spacing w:line="360" w:lineRule="auto"/>
        <w:ind w:firstLine="420"/>
        <w:rPr>
          <w:rFonts w:hint="eastAsia" w:ascii="宋体" w:hAnsi="宋体" w:eastAsia="宋体" w:cs="宋体"/>
          <w:bCs/>
          <w:color w:val="auto"/>
          <w:spacing w:val="10"/>
          <w:sz w:val="24"/>
          <w:szCs w:val="24"/>
        </w:rPr>
      </w:pPr>
      <w:r>
        <w:rPr>
          <w:rFonts w:hint="eastAsia" w:ascii="宋体" w:hAnsi="宋体" w:eastAsia="宋体" w:cs="宋体"/>
          <w:bCs/>
          <w:color w:val="auto"/>
          <w:spacing w:val="10"/>
          <w:sz w:val="24"/>
          <w:szCs w:val="24"/>
        </w:rPr>
        <w:t>供应商根据采购项目要求及自身情况自行填报，包括但不限于供应商单位介绍、参与本项目的优势、项目负责人情况表、主要参与本项目的其他人员情况一览表。</w:t>
      </w:r>
    </w:p>
    <w:p>
      <w:pPr>
        <w:pStyle w:val="156"/>
        <w:spacing w:line="360" w:lineRule="auto"/>
        <w:ind w:firstLine="0"/>
        <w:jc w:val="left"/>
        <w:rPr>
          <w:rFonts w:hint="eastAsia" w:ascii="宋体" w:hAnsi="宋体" w:eastAsia="宋体" w:cs="宋体"/>
          <w:bCs/>
          <w:color w:val="auto"/>
          <w:sz w:val="24"/>
          <w:szCs w:val="24"/>
          <w:lang w:eastAsia="zh-CN"/>
        </w:rPr>
      </w:pPr>
    </w:p>
    <w:p>
      <w:pPr>
        <w:pStyle w:val="156"/>
        <w:spacing w:line="360" w:lineRule="auto"/>
        <w:ind w:firstLine="0"/>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pStyle w:val="156"/>
        <w:spacing w:line="360" w:lineRule="auto"/>
        <w:ind w:firstLine="0"/>
        <w:rPr>
          <w:rFonts w:hint="eastAsia" w:ascii="宋体" w:hAnsi="宋体" w:eastAsia="宋体" w:cs="宋体"/>
          <w:color w:val="auto"/>
          <w:sz w:val="24"/>
          <w:szCs w:val="24"/>
        </w:rPr>
      </w:pPr>
      <w:r>
        <w:rPr>
          <w:rFonts w:hint="eastAsia" w:ascii="宋体" w:hAnsi="宋体" w:eastAsia="宋体" w:cs="宋体"/>
          <w:color w:val="auto"/>
          <w:spacing w:val="14"/>
          <w:sz w:val="24"/>
          <w:szCs w:val="24"/>
          <w:lang w:eastAsia="zh-CN"/>
        </w:rPr>
        <w:t xml:space="preserve">供应商（公章）： </w:t>
      </w:r>
      <w:r>
        <w:rPr>
          <w:rFonts w:hint="eastAsia" w:ascii="宋体" w:hAnsi="宋体" w:eastAsia="宋体" w:cs="宋体"/>
          <w:color w:val="auto"/>
          <w:spacing w:val="14"/>
          <w:sz w:val="24"/>
          <w:szCs w:val="24"/>
          <w:lang w:val="en-US" w:eastAsia="zh-CN"/>
        </w:rPr>
        <w:t xml:space="preserve">           </w:t>
      </w:r>
    </w:p>
    <w:p>
      <w:pPr>
        <w:spacing w:line="360" w:lineRule="auto"/>
        <w:rPr>
          <w:rFonts w:hint="eastAsia" w:ascii="宋体" w:hAnsi="宋体" w:eastAsia="宋体" w:cs="宋体"/>
          <w:color w:val="auto"/>
          <w:sz w:val="24"/>
          <w:szCs w:val="24"/>
        </w:rPr>
      </w:pPr>
    </w:p>
    <w:p>
      <w:pPr>
        <w:rPr>
          <w:rFonts w:hint="eastAsia" w:ascii="宋体" w:hAnsi="宋体" w:eastAsia="宋体" w:cs="宋体"/>
          <w:color w:val="auto"/>
        </w:rPr>
      </w:pPr>
    </w:p>
    <w:p>
      <w:pPr>
        <w:pStyle w:val="156"/>
        <w:ind w:left="0" w:leftChars="0" w:firstLine="0" w:firstLineChars="0"/>
        <w:outlineLvl w:val="1"/>
        <w:rPr>
          <w:rFonts w:hint="eastAsia" w:ascii="宋体" w:hAnsi="宋体" w:eastAsia="宋体" w:cs="Times New Roman"/>
          <w:b/>
          <w:bCs/>
          <w:sz w:val="28"/>
          <w:szCs w:val="21"/>
        </w:rPr>
      </w:pPr>
      <w:r>
        <w:rPr>
          <w:rFonts w:hint="eastAsia" w:ascii="宋体" w:hAnsi="宋体" w:eastAsia="宋体" w:cs="宋体"/>
          <w:color w:val="auto"/>
        </w:rPr>
        <w:br w:type="page"/>
      </w:r>
      <w:bookmarkStart w:id="170" w:name="_Toc1662579"/>
      <w:bookmarkStart w:id="171" w:name="_Toc14011"/>
      <w:r>
        <w:rPr>
          <w:rFonts w:hint="eastAsia" w:ascii="宋体" w:hAnsi="宋体" w:eastAsia="宋体" w:cs="Times New Roman"/>
          <w:b/>
          <w:bCs/>
          <w:sz w:val="28"/>
          <w:szCs w:val="21"/>
        </w:rPr>
        <w:t>附件1</w:t>
      </w:r>
      <w:r>
        <w:rPr>
          <w:rFonts w:hint="eastAsia" w:ascii="宋体" w:hAnsi="宋体" w:eastAsia="宋体" w:cs="Times New Roman"/>
          <w:b/>
          <w:bCs/>
          <w:sz w:val="28"/>
          <w:szCs w:val="21"/>
          <w:lang w:val="en-US" w:eastAsia="zh-CN"/>
        </w:rPr>
        <w:t>0</w:t>
      </w:r>
      <w:r>
        <w:rPr>
          <w:rFonts w:hint="eastAsia" w:ascii="宋体" w:hAnsi="宋体" w:eastAsia="宋体" w:cs="Times New Roman"/>
          <w:b/>
          <w:bCs/>
          <w:sz w:val="28"/>
          <w:szCs w:val="21"/>
        </w:rPr>
        <w:t>：</w:t>
      </w:r>
      <w:bookmarkEnd w:id="170"/>
      <w:r>
        <w:rPr>
          <w:rFonts w:hint="eastAsia" w:ascii="宋体" w:hAnsi="宋体" w:eastAsia="宋体" w:cs="Times New Roman"/>
          <w:b/>
          <w:bCs/>
          <w:sz w:val="28"/>
          <w:szCs w:val="21"/>
        </w:rPr>
        <w:t>其他需要提供的资料</w:t>
      </w:r>
      <w:bookmarkEnd w:id="171"/>
    </w:p>
    <w:p>
      <w:pPr>
        <w:jc w:val="center"/>
        <w:rPr>
          <w:rFonts w:hint="eastAsia" w:ascii="宋体" w:hAnsi="宋体" w:eastAsia="宋体" w:cs="宋体"/>
          <w:bCs/>
          <w:color w:val="auto"/>
          <w:spacing w:val="10"/>
          <w:sz w:val="21"/>
          <w:szCs w:val="21"/>
        </w:rPr>
      </w:pPr>
    </w:p>
    <w:p>
      <w:pPr>
        <w:jc w:val="center"/>
        <w:rPr>
          <w:rFonts w:hint="eastAsia" w:ascii="宋体" w:hAnsi="宋体" w:eastAsia="宋体" w:cs="宋体"/>
          <w:bCs/>
          <w:color w:val="auto"/>
          <w:spacing w:val="10"/>
          <w:sz w:val="28"/>
          <w:szCs w:val="28"/>
        </w:rPr>
      </w:pPr>
    </w:p>
    <w:p>
      <w:pPr>
        <w:jc w:val="center"/>
        <w:rPr>
          <w:rFonts w:hint="eastAsia" w:ascii="宋体" w:hAnsi="宋体" w:eastAsia="宋体" w:cs="宋体"/>
          <w:bCs/>
          <w:color w:val="auto"/>
          <w:spacing w:val="10"/>
          <w:sz w:val="28"/>
          <w:szCs w:val="28"/>
        </w:rPr>
      </w:pPr>
      <w:r>
        <w:rPr>
          <w:rFonts w:hint="eastAsia" w:ascii="宋体" w:hAnsi="宋体" w:eastAsia="宋体" w:cs="宋体"/>
          <w:bCs/>
          <w:color w:val="auto"/>
          <w:spacing w:val="10"/>
          <w:sz w:val="28"/>
          <w:szCs w:val="28"/>
        </w:rPr>
        <w:t>其他需要提供的资料</w:t>
      </w:r>
    </w:p>
    <w:p>
      <w:pPr>
        <w:jc w:val="center"/>
        <w:rPr>
          <w:rFonts w:hint="eastAsia" w:ascii="宋体" w:hAnsi="宋体" w:eastAsia="宋体" w:cs="宋体"/>
          <w:bCs/>
          <w:color w:val="auto"/>
          <w:spacing w:val="10"/>
          <w:sz w:val="24"/>
          <w:szCs w:val="24"/>
        </w:rPr>
      </w:pPr>
    </w:p>
    <w:p>
      <w:pPr>
        <w:rPr>
          <w:rFonts w:hint="eastAsia" w:ascii="宋体" w:hAnsi="宋体" w:eastAsia="宋体" w:cs="宋体"/>
          <w:color w:val="auto"/>
          <w:sz w:val="24"/>
          <w:szCs w:val="24"/>
        </w:rPr>
      </w:pPr>
      <w:r>
        <w:rPr>
          <w:rFonts w:hint="eastAsia" w:ascii="宋体" w:hAnsi="宋体" w:eastAsia="宋体" w:cs="宋体"/>
          <w:bCs/>
          <w:color w:val="auto"/>
          <w:spacing w:val="10"/>
          <w:sz w:val="24"/>
          <w:szCs w:val="24"/>
        </w:rPr>
        <w:t>供应商根据采购项目要求及自身情况自行填报。</w:t>
      </w:r>
    </w:p>
    <w:p>
      <w:pPr>
        <w:ind w:firstLine="420"/>
        <w:rPr>
          <w:rFonts w:hint="eastAsia" w:ascii="宋体" w:hAnsi="宋体" w:eastAsia="宋体" w:cs="宋体"/>
          <w:bCs/>
          <w:color w:val="auto"/>
          <w:spacing w:val="10"/>
          <w:sz w:val="21"/>
          <w:szCs w:val="21"/>
        </w:rPr>
      </w:pPr>
    </w:p>
    <w:p>
      <w:pPr>
        <w:rPr>
          <w:rFonts w:hint="eastAsia" w:ascii="宋体" w:hAnsi="宋体" w:eastAsia="宋体" w:cs="宋体"/>
          <w:bCs/>
          <w:color w:val="auto"/>
          <w:spacing w:val="10"/>
          <w:sz w:val="21"/>
          <w:szCs w:val="21"/>
        </w:rPr>
      </w:pPr>
    </w:p>
    <w:p>
      <w:pPr>
        <w:rPr>
          <w:rFonts w:hint="eastAsia" w:ascii="宋体" w:hAnsi="宋体" w:eastAsia="宋体" w:cs="宋体"/>
          <w:bCs/>
          <w:color w:val="auto"/>
          <w:spacing w:val="10"/>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sectPr>
          <w:headerReference r:id="rId8" w:type="first"/>
          <w:footerReference r:id="rId11" w:type="first"/>
          <w:headerReference r:id="rId7" w:type="default"/>
          <w:footerReference r:id="rId9" w:type="default"/>
          <w:footerReference r:id="rId10" w:type="even"/>
          <w:pgSz w:w="11906" w:h="16838"/>
          <w:pgMar w:top="1418" w:right="1418" w:bottom="1418" w:left="1418" w:header="851" w:footer="992" w:gutter="0"/>
          <w:cols w:space="720" w:num="1"/>
          <w:docGrid w:linePitch="312" w:charSpace="0"/>
        </w:sectPr>
      </w:pPr>
    </w:p>
    <w:p>
      <w:pPr>
        <w:rPr>
          <w:rFonts w:hint="eastAsia" w:ascii="宋体" w:hAnsi="宋体" w:eastAsia="宋体" w:cs="宋体"/>
          <w:color w:val="auto"/>
          <w:sz w:val="21"/>
          <w:szCs w:val="21"/>
        </w:rPr>
      </w:pPr>
    </w:p>
    <w:p>
      <w:pPr>
        <w:bidi w:val="0"/>
        <w:outlineLvl w:val="1"/>
        <w:rPr>
          <w:rFonts w:hint="eastAsia" w:ascii="宋体" w:hAnsi="宋体" w:eastAsia="宋体" w:cs="Times New Roman"/>
          <w:b/>
          <w:bCs/>
          <w:sz w:val="28"/>
          <w:szCs w:val="21"/>
        </w:rPr>
      </w:pPr>
      <w:bookmarkStart w:id="172" w:name="_Toc1721029"/>
      <w:bookmarkStart w:id="173" w:name="_Toc28064"/>
      <w:r>
        <w:rPr>
          <w:rFonts w:hint="eastAsia" w:ascii="宋体" w:hAnsi="宋体" w:eastAsia="宋体" w:cs="Times New Roman"/>
          <w:b/>
          <w:bCs/>
          <w:sz w:val="28"/>
          <w:szCs w:val="21"/>
        </w:rPr>
        <w:t>附件1</w:t>
      </w:r>
      <w:r>
        <w:rPr>
          <w:rFonts w:hint="eastAsia" w:ascii="宋体" w:hAnsi="宋体" w:eastAsia="宋体" w:cs="Times New Roman"/>
          <w:b/>
          <w:bCs/>
          <w:sz w:val="28"/>
          <w:szCs w:val="21"/>
          <w:lang w:val="en-US" w:eastAsia="zh-CN"/>
        </w:rPr>
        <w:t>1</w:t>
      </w:r>
      <w:r>
        <w:rPr>
          <w:rFonts w:hint="eastAsia" w:ascii="宋体" w:hAnsi="宋体" w:eastAsia="宋体" w:cs="Times New Roman"/>
          <w:b/>
          <w:bCs/>
          <w:sz w:val="28"/>
          <w:szCs w:val="21"/>
        </w:rPr>
        <w:t>：</w:t>
      </w:r>
      <w:bookmarkEnd w:id="172"/>
      <w:r>
        <w:rPr>
          <w:rFonts w:hint="eastAsia" w:ascii="宋体" w:hAnsi="宋体" w:eastAsia="宋体" w:cs="Times New Roman"/>
          <w:b/>
          <w:bCs/>
          <w:sz w:val="28"/>
          <w:szCs w:val="21"/>
        </w:rPr>
        <w:t>参与评审的合同业绩一览表</w:t>
      </w:r>
      <w:bookmarkEnd w:id="173"/>
    </w:p>
    <w:p>
      <w:pPr>
        <w:pStyle w:val="156"/>
        <w:ind w:firstLine="0"/>
        <w:jc w:val="center"/>
        <w:rPr>
          <w:rFonts w:hint="eastAsia" w:ascii="宋体" w:hAnsi="宋体" w:eastAsia="宋体" w:cs="宋体"/>
          <w:color w:val="auto"/>
          <w:szCs w:val="21"/>
        </w:rPr>
      </w:pPr>
    </w:p>
    <w:p>
      <w:pPr>
        <w:pStyle w:val="156"/>
        <w:ind w:firstLine="0"/>
        <w:jc w:val="center"/>
        <w:rPr>
          <w:rFonts w:hint="eastAsia" w:ascii="宋体" w:hAnsi="宋体" w:eastAsia="宋体" w:cs="宋体"/>
          <w:color w:val="auto"/>
          <w:sz w:val="28"/>
          <w:szCs w:val="28"/>
        </w:rPr>
      </w:pPr>
      <w:r>
        <w:rPr>
          <w:rFonts w:hint="eastAsia" w:ascii="宋体" w:hAnsi="宋体" w:eastAsia="宋体" w:cs="宋体"/>
          <w:color w:val="auto"/>
          <w:sz w:val="28"/>
          <w:szCs w:val="28"/>
        </w:rPr>
        <w:t>参与评审的合同业绩一览表</w:t>
      </w:r>
    </w:p>
    <w:p>
      <w:pPr>
        <w:pStyle w:val="156"/>
        <w:ind w:firstLine="0"/>
        <w:jc w:val="center"/>
        <w:rPr>
          <w:rFonts w:hint="eastAsia" w:ascii="宋体" w:hAnsi="宋体" w:eastAsia="宋体" w:cs="宋体"/>
          <w:color w:val="auto"/>
          <w:szCs w:val="21"/>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1487"/>
        <w:gridCol w:w="1262"/>
        <w:gridCol w:w="1219"/>
        <w:gridCol w:w="1219"/>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3" w:type="dxa"/>
            <w:noWrap w:val="0"/>
            <w:vAlign w:val="center"/>
          </w:tcPr>
          <w:p>
            <w:pPr>
              <w:autoSpaceDE w:val="0"/>
              <w:autoSpaceDN w:val="0"/>
              <w:adjustRightIn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序号</w:t>
            </w:r>
          </w:p>
        </w:tc>
        <w:tc>
          <w:tcPr>
            <w:tcW w:w="1732" w:type="dxa"/>
            <w:noWrap w:val="0"/>
            <w:vAlign w:val="center"/>
          </w:tcPr>
          <w:p>
            <w:pPr>
              <w:autoSpaceDE w:val="0"/>
              <w:autoSpaceDN w:val="0"/>
              <w:adjustRightIn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项目名称</w:t>
            </w:r>
          </w:p>
        </w:tc>
        <w:tc>
          <w:tcPr>
            <w:tcW w:w="1487" w:type="dxa"/>
            <w:noWrap w:val="0"/>
            <w:vAlign w:val="center"/>
          </w:tcPr>
          <w:p>
            <w:pPr>
              <w:autoSpaceDE w:val="0"/>
              <w:autoSpaceDN w:val="0"/>
              <w:adjustRightIn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合同金额（元）</w:t>
            </w:r>
          </w:p>
        </w:tc>
        <w:tc>
          <w:tcPr>
            <w:tcW w:w="1262" w:type="dxa"/>
            <w:noWrap w:val="0"/>
            <w:vAlign w:val="center"/>
          </w:tcPr>
          <w:p>
            <w:pPr>
              <w:autoSpaceDE w:val="0"/>
              <w:autoSpaceDN w:val="0"/>
              <w:adjustRightIn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合同签订时间</w:t>
            </w:r>
          </w:p>
        </w:tc>
        <w:tc>
          <w:tcPr>
            <w:tcW w:w="1219" w:type="dxa"/>
            <w:noWrap w:val="0"/>
            <w:vAlign w:val="center"/>
          </w:tcPr>
          <w:p>
            <w:pPr>
              <w:autoSpaceDE w:val="0"/>
              <w:autoSpaceDN w:val="0"/>
              <w:adjustRightIn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采购单位（甲方）名称</w:t>
            </w:r>
          </w:p>
        </w:tc>
        <w:tc>
          <w:tcPr>
            <w:tcW w:w="1219" w:type="dxa"/>
            <w:noWrap w:val="0"/>
            <w:vAlign w:val="center"/>
          </w:tcPr>
          <w:p>
            <w:pPr>
              <w:autoSpaceDE w:val="0"/>
              <w:autoSpaceDN w:val="0"/>
              <w:adjustRightIn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联系人</w:t>
            </w:r>
          </w:p>
        </w:tc>
        <w:tc>
          <w:tcPr>
            <w:tcW w:w="1310" w:type="dxa"/>
            <w:noWrap w:val="0"/>
            <w:vAlign w:val="center"/>
          </w:tcPr>
          <w:p>
            <w:pPr>
              <w:autoSpaceDE w:val="0"/>
              <w:autoSpaceDN w:val="0"/>
              <w:adjustRightIn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732"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487"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262"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219"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219"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310"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732"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487"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262"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219"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219"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310"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732"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487"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262"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219"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219"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310"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732"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487"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262"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219"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219"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310"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732"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487"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262"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219"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219"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310"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732"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487"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262"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219"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219"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310"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732"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487"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262"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219"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219"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c>
          <w:tcPr>
            <w:tcW w:w="1310" w:type="dxa"/>
            <w:noWrap w:val="0"/>
            <w:vAlign w:val="center"/>
          </w:tcPr>
          <w:p>
            <w:pPr>
              <w:autoSpaceDE w:val="0"/>
              <w:autoSpaceDN w:val="0"/>
              <w:adjustRightInd w:val="0"/>
              <w:rPr>
                <w:rFonts w:hint="eastAsia" w:ascii="宋体" w:hAnsi="宋体" w:eastAsia="宋体" w:cs="宋体"/>
                <w:bCs/>
                <w:color w:val="auto"/>
                <w:w w:val="90"/>
                <w:kern w:val="0"/>
                <w:sz w:val="24"/>
                <w:szCs w:val="24"/>
              </w:rPr>
            </w:pPr>
          </w:p>
        </w:tc>
      </w:tr>
    </w:tbl>
    <w:p>
      <w:pPr>
        <w:pStyle w:val="156"/>
        <w:rPr>
          <w:rFonts w:hint="eastAsia" w:ascii="宋体" w:hAnsi="宋体" w:eastAsia="宋体" w:cs="宋体"/>
          <w:color w:val="auto"/>
          <w:szCs w:val="21"/>
        </w:rPr>
      </w:pPr>
    </w:p>
    <w:p>
      <w:pPr>
        <w:pStyle w:val="156"/>
        <w:ind w:firstLine="520" w:firstLineChars="200"/>
        <w:rPr>
          <w:rFonts w:hint="eastAsia" w:ascii="宋体" w:hAnsi="宋体" w:eastAsia="宋体" w:cs="宋体"/>
          <w:bCs/>
          <w:color w:val="auto"/>
          <w:spacing w:val="10"/>
          <w:sz w:val="24"/>
          <w:szCs w:val="24"/>
        </w:rPr>
      </w:pPr>
      <w:r>
        <w:rPr>
          <w:rFonts w:hint="eastAsia" w:ascii="宋体" w:hAnsi="宋体" w:eastAsia="宋体" w:cs="宋体"/>
          <w:bCs/>
          <w:color w:val="auto"/>
          <w:spacing w:val="10"/>
          <w:sz w:val="24"/>
          <w:szCs w:val="24"/>
        </w:rPr>
        <w:t>供应商</w:t>
      </w:r>
      <w:r>
        <w:rPr>
          <w:rFonts w:hint="eastAsia" w:ascii="宋体" w:hAnsi="宋体" w:eastAsia="宋体" w:cs="宋体"/>
          <w:bCs/>
          <w:color w:val="auto"/>
          <w:spacing w:val="10"/>
          <w:sz w:val="24"/>
          <w:szCs w:val="24"/>
          <w:lang w:val="en-US" w:eastAsia="zh-CN"/>
        </w:rPr>
        <w:t>（公章）</w:t>
      </w:r>
      <w:r>
        <w:rPr>
          <w:rFonts w:hint="eastAsia" w:ascii="宋体" w:hAnsi="宋体" w:eastAsia="宋体" w:cs="宋体"/>
          <w:bCs/>
          <w:color w:val="auto"/>
          <w:spacing w:val="10"/>
          <w:sz w:val="24"/>
          <w:szCs w:val="24"/>
        </w:rPr>
        <w:t>：</w:t>
      </w:r>
    </w:p>
    <w:p>
      <w:pPr>
        <w:pStyle w:val="156"/>
        <w:ind w:firstLine="0"/>
        <w:rPr>
          <w:rFonts w:hint="eastAsia" w:ascii="宋体" w:hAnsi="宋体" w:eastAsia="宋体" w:cs="宋体"/>
          <w:bCs/>
          <w:color w:val="auto"/>
          <w:spacing w:val="10"/>
          <w:sz w:val="24"/>
          <w:szCs w:val="24"/>
        </w:rPr>
      </w:pPr>
    </w:p>
    <w:p>
      <w:pPr>
        <w:pStyle w:val="156"/>
        <w:ind w:firstLine="0"/>
        <w:rPr>
          <w:rFonts w:hint="eastAsia" w:ascii="宋体" w:hAnsi="宋体" w:eastAsia="宋体" w:cs="宋体"/>
          <w:bCs/>
          <w:color w:val="auto"/>
          <w:spacing w:val="10"/>
          <w:sz w:val="24"/>
          <w:szCs w:val="24"/>
        </w:rPr>
      </w:pPr>
      <w:r>
        <w:rPr>
          <w:rFonts w:hint="eastAsia" w:ascii="宋体" w:hAnsi="宋体" w:eastAsia="宋体" w:cs="宋体"/>
          <w:bCs/>
          <w:color w:val="auto"/>
          <w:spacing w:val="10"/>
          <w:sz w:val="24"/>
          <w:szCs w:val="24"/>
        </w:rPr>
        <w:t>注：</w:t>
      </w:r>
    </w:p>
    <w:p>
      <w:pPr>
        <w:pStyle w:val="156"/>
        <w:ind w:firstLine="0"/>
        <w:rPr>
          <w:rFonts w:hint="eastAsia" w:ascii="宋体" w:hAnsi="宋体" w:eastAsia="宋体" w:cs="宋体"/>
          <w:bCs/>
          <w:color w:val="auto"/>
          <w:spacing w:val="10"/>
          <w:sz w:val="24"/>
          <w:szCs w:val="24"/>
        </w:rPr>
      </w:pPr>
      <w:r>
        <w:rPr>
          <w:rFonts w:hint="eastAsia" w:ascii="宋体" w:hAnsi="宋体" w:eastAsia="宋体" w:cs="宋体"/>
          <w:bCs/>
          <w:color w:val="auto"/>
          <w:spacing w:val="10"/>
          <w:sz w:val="24"/>
          <w:szCs w:val="24"/>
        </w:rPr>
        <w:t>1.供应商可根据需要自行增减表格行</w:t>
      </w:r>
      <w:r>
        <w:rPr>
          <w:rFonts w:hint="eastAsia" w:ascii="宋体" w:hAnsi="宋体" w:eastAsia="宋体" w:cs="宋体"/>
          <w:bCs/>
          <w:color w:val="auto"/>
          <w:spacing w:val="10"/>
          <w:sz w:val="24"/>
          <w:szCs w:val="24"/>
          <w:lang w:eastAsia="zh-CN"/>
        </w:rPr>
        <w:t>数</w:t>
      </w:r>
      <w:r>
        <w:rPr>
          <w:rFonts w:hint="eastAsia" w:ascii="宋体" w:hAnsi="宋体" w:eastAsia="宋体" w:cs="宋体"/>
          <w:bCs/>
          <w:color w:val="auto"/>
          <w:spacing w:val="10"/>
          <w:sz w:val="24"/>
          <w:szCs w:val="24"/>
        </w:rPr>
        <w:t>。</w:t>
      </w:r>
    </w:p>
    <w:p>
      <w:pPr>
        <w:pStyle w:val="156"/>
        <w:ind w:left="0" w:leftChars="0" w:firstLine="0" w:firstLineChars="0"/>
        <w:rPr>
          <w:rFonts w:hint="eastAsia" w:ascii="宋体" w:hAnsi="宋体" w:eastAsia="宋体" w:cs="宋体"/>
          <w:bCs/>
          <w:color w:val="auto"/>
          <w:spacing w:val="10"/>
          <w:sz w:val="24"/>
          <w:szCs w:val="24"/>
        </w:rPr>
      </w:pPr>
      <w:r>
        <w:rPr>
          <w:rFonts w:hint="eastAsia" w:ascii="宋体" w:hAnsi="宋体" w:eastAsia="宋体" w:cs="宋体"/>
          <w:bCs/>
          <w:color w:val="auto"/>
          <w:spacing w:val="10"/>
          <w:sz w:val="24"/>
          <w:szCs w:val="24"/>
        </w:rPr>
        <w:t>2.</w:t>
      </w:r>
      <w:r>
        <w:rPr>
          <w:rFonts w:hint="eastAsia" w:ascii="宋体" w:hAnsi="宋体" w:eastAsia="宋体" w:cs="宋体"/>
          <w:color w:val="auto"/>
          <w:sz w:val="24"/>
          <w:szCs w:val="24"/>
        </w:rPr>
        <w:t>供应商对所报相关内容的真实性负责，采购代理机构有权将相关内容进行公示，因弄虚作假导致的后果由供应商自行承担。</w:t>
      </w:r>
    </w:p>
    <w:p>
      <w:pPr>
        <w:bidi w:val="0"/>
        <w:rPr>
          <w:rFonts w:hint="eastAsia"/>
        </w:rPr>
      </w:pPr>
      <w:bookmarkStart w:id="174" w:name="_Toc1721032"/>
    </w:p>
    <w:p>
      <w:pPr>
        <w:bidi w:val="0"/>
        <w:rPr>
          <w:rFonts w:hint="eastAsia"/>
        </w:rPr>
      </w:pPr>
    </w:p>
    <w:p>
      <w:pPr>
        <w:bidi w:val="0"/>
        <w:outlineLvl w:val="1"/>
        <w:rPr>
          <w:rFonts w:hint="eastAsia" w:ascii="宋体" w:hAnsi="宋体" w:eastAsia="宋体" w:cs="Times New Roman"/>
          <w:b/>
          <w:bCs/>
          <w:sz w:val="28"/>
          <w:szCs w:val="21"/>
          <w:lang w:eastAsia="zh-CN"/>
        </w:rPr>
      </w:pPr>
      <w:bookmarkStart w:id="175" w:name="_Toc16014"/>
      <w:r>
        <w:rPr>
          <w:rFonts w:hint="eastAsia" w:ascii="宋体" w:hAnsi="宋体" w:eastAsia="宋体" w:cs="Times New Roman"/>
          <w:b/>
          <w:bCs/>
          <w:sz w:val="28"/>
          <w:szCs w:val="21"/>
        </w:rPr>
        <w:t>附件1</w:t>
      </w:r>
      <w:r>
        <w:rPr>
          <w:rFonts w:hint="eastAsia" w:ascii="宋体" w:hAnsi="宋体" w:eastAsia="宋体" w:cs="Times New Roman"/>
          <w:b/>
          <w:bCs/>
          <w:sz w:val="28"/>
          <w:szCs w:val="21"/>
          <w:lang w:val="en-US" w:eastAsia="zh-CN"/>
        </w:rPr>
        <w:t>1-</w:t>
      </w:r>
      <w:r>
        <w:rPr>
          <w:rFonts w:hint="eastAsia" w:ascii="宋体" w:hAnsi="宋体" w:eastAsia="宋体" w:cs="Times New Roman"/>
          <w:b/>
          <w:bCs/>
          <w:sz w:val="28"/>
          <w:szCs w:val="21"/>
          <w:lang w:eastAsia="zh-CN"/>
        </w:rPr>
        <w:t>1</w:t>
      </w:r>
      <w:r>
        <w:rPr>
          <w:rFonts w:hint="eastAsia" w:ascii="宋体" w:hAnsi="宋体" w:eastAsia="宋体" w:cs="Times New Roman"/>
          <w:b/>
          <w:bCs/>
          <w:sz w:val="28"/>
          <w:szCs w:val="21"/>
        </w:rPr>
        <w:t>：参与评审的合同业绩</w:t>
      </w:r>
      <w:bookmarkEnd w:id="174"/>
      <w:r>
        <w:rPr>
          <w:rFonts w:hint="eastAsia" w:ascii="宋体" w:hAnsi="宋体" w:eastAsia="宋体" w:cs="Times New Roman"/>
          <w:b/>
          <w:bCs/>
          <w:sz w:val="28"/>
          <w:szCs w:val="21"/>
          <w:lang w:val="en-US" w:eastAsia="zh-CN"/>
        </w:rPr>
        <w:t>复印件</w:t>
      </w:r>
      <w:bookmarkEnd w:id="175"/>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156"/>
        <w:ind w:firstLine="0"/>
        <w:rPr>
          <w:rFonts w:hint="eastAsia" w:ascii="宋体" w:hAnsi="宋体" w:eastAsia="宋体" w:cs="宋体"/>
          <w:bCs/>
          <w:color w:val="auto"/>
          <w:spacing w:val="14"/>
          <w:szCs w:val="21"/>
        </w:rPr>
      </w:pPr>
    </w:p>
    <w:p>
      <w:pPr>
        <w:pStyle w:val="156"/>
        <w:ind w:left="0" w:leftChars="0" w:firstLine="0" w:firstLineChars="0"/>
        <w:rPr>
          <w:rFonts w:hint="eastAsia" w:ascii="宋体" w:hAnsi="宋体" w:eastAsia="宋体" w:cs="宋体"/>
          <w:color w:val="auto"/>
          <w:sz w:val="28"/>
          <w:szCs w:val="28"/>
          <w:lang w:eastAsia="zh-CN"/>
        </w:rPr>
      </w:pPr>
      <w:r>
        <w:rPr>
          <w:rFonts w:hint="eastAsia" w:ascii="宋体" w:hAnsi="宋体" w:eastAsia="宋体" w:cs="宋体"/>
          <w:color w:val="auto"/>
        </w:rPr>
        <w:br w:type="page"/>
      </w:r>
      <w:r>
        <w:rPr>
          <w:rFonts w:hint="eastAsia" w:ascii="宋体" w:hAnsi="宋体" w:eastAsia="宋体" w:cs="宋体"/>
          <w:color w:val="auto"/>
          <w:sz w:val="24"/>
          <w:szCs w:val="24"/>
          <w:lang w:eastAsia="zh-CN"/>
        </w:rPr>
        <w:t>附表：</w:t>
      </w:r>
    </w:p>
    <w:p>
      <w:pPr>
        <w:spacing w:before="37"/>
        <w:ind w:right="1" w:rightChars="0"/>
        <w:jc w:val="center"/>
        <w:rPr>
          <w:rFonts w:hint="eastAsia" w:ascii="宋体" w:hAnsi="宋体" w:eastAsia="宋体" w:cs="宋体"/>
          <w:b/>
          <w:color w:val="auto"/>
          <w:sz w:val="44"/>
        </w:rPr>
      </w:pPr>
    </w:p>
    <w:p>
      <w:pPr>
        <w:spacing w:before="37"/>
        <w:ind w:right="1" w:rightChars="0"/>
        <w:jc w:val="center"/>
        <w:rPr>
          <w:rFonts w:hint="eastAsia" w:ascii="宋体" w:hAnsi="宋体" w:eastAsia="宋体" w:cs="宋体"/>
          <w:b/>
          <w:color w:val="auto"/>
          <w:sz w:val="44"/>
        </w:rPr>
      </w:pPr>
    </w:p>
    <w:p>
      <w:pPr>
        <w:spacing w:before="37"/>
        <w:ind w:right="1" w:rightChars="0"/>
        <w:jc w:val="center"/>
        <w:rPr>
          <w:rFonts w:hint="eastAsia" w:ascii="宋体" w:hAnsi="宋体" w:eastAsia="宋体" w:cs="宋体"/>
          <w:b/>
          <w:color w:val="auto"/>
          <w:sz w:val="44"/>
        </w:rPr>
      </w:pPr>
      <w:r>
        <w:rPr>
          <w:rFonts w:hint="eastAsia" w:ascii="宋体" w:hAnsi="宋体" w:eastAsia="宋体" w:cs="宋体"/>
          <w:b/>
          <w:color w:val="auto"/>
          <w:sz w:val="44"/>
        </w:rPr>
        <w:t>二次报价表</w:t>
      </w:r>
    </w:p>
    <w:p>
      <w:pPr>
        <w:pStyle w:val="2"/>
        <w:tabs>
          <w:tab w:val="left" w:pos="5452"/>
        </w:tabs>
        <w:spacing w:before="159" w:line="240" w:lineRule="auto"/>
        <w:ind w:left="165"/>
        <w:rPr>
          <w:rFonts w:hint="eastAsia" w:ascii="宋体" w:hAnsi="宋体" w:eastAsia="宋体" w:cs="宋体"/>
          <w:color w:val="auto"/>
          <w:sz w:val="24"/>
          <w:szCs w:val="24"/>
        </w:rPr>
      </w:pPr>
    </w:p>
    <w:p>
      <w:pPr>
        <w:pStyle w:val="2"/>
        <w:tabs>
          <w:tab w:val="left" w:pos="5452"/>
        </w:tabs>
        <w:spacing w:before="159" w:line="240" w:lineRule="auto"/>
        <w:ind w:left="165"/>
        <w:rPr>
          <w:rFonts w:hint="eastAsia" w:ascii="宋体" w:hAnsi="宋体" w:eastAsia="宋体" w:cs="宋体"/>
          <w:color w:val="auto"/>
          <w:sz w:val="24"/>
          <w:lang w:val="en-US" w:eastAsia="zh-CN"/>
        </w:rPr>
      </w:pPr>
    </w:p>
    <w:p>
      <w:pPr>
        <w:pStyle w:val="2"/>
        <w:tabs>
          <w:tab w:val="left" w:pos="5452"/>
        </w:tabs>
        <w:spacing w:before="159" w:line="240" w:lineRule="auto"/>
        <w:ind w:left="165"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采购编号</w:t>
      </w:r>
      <w:r>
        <w:rPr>
          <w:rFonts w:hint="eastAsia" w:ascii="宋体" w:hAnsi="宋体" w:eastAsia="宋体" w:cs="宋体"/>
          <w:color w:val="auto"/>
          <w:sz w:val="24"/>
          <w:szCs w:val="24"/>
        </w:rPr>
        <w:t>：</w:t>
      </w:r>
      <w:r>
        <w:rPr>
          <w:rFonts w:hint="eastAsia" w:ascii="宋体" w:hAnsi="宋体" w:eastAsia="宋体" w:cs="宋体"/>
          <w:color w:val="auto"/>
          <w:sz w:val="24"/>
          <w:szCs w:val="24"/>
        </w:rPr>
        <w:tab/>
      </w:r>
    </w:p>
    <w:tbl>
      <w:tblPr>
        <w:tblStyle w:val="62"/>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0"/>
        <w:gridCol w:w="2480"/>
        <w:gridCol w:w="176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480" w:type="dxa"/>
            <w:tcBorders>
              <w:top w:val="single" w:color="auto" w:sz="8" w:space="0"/>
              <w:left w:val="single" w:color="auto" w:sz="8" w:space="0"/>
              <w:bottom w:val="single" w:color="auto" w:sz="6" w:space="0"/>
              <w:right w:val="single" w:color="auto" w:sz="4" w:space="0"/>
            </w:tcBorders>
            <w:noWrap w:val="0"/>
            <w:vAlign w:val="center"/>
          </w:tcPr>
          <w:p>
            <w:pPr>
              <w:pStyle w:val="18"/>
              <w:spacing w:line="240" w:lineRule="auto"/>
              <w:ind w:firstLine="115" w:firstLineChars="48"/>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项目名称</w:t>
            </w:r>
          </w:p>
        </w:tc>
        <w:tc>
          <w:tcPr>
            <w:tcW w:w="2480" w:type="dxa"/>
            <w:tcBorders>
              <w:top w:val="single" w:color="auto" w:sz="8" w:space="0"/>
              <w:left w:val="single" w:color="auto" w:sz="4" w:space="0"/>
              <w:bottom w:val="single" w:color="auto" w:sz="6" w:space="0"/>
              <w:right w:val="single" w:color="auto" w:sz="4" w:space="0"/>
            </w:tcBorders>
            <w:noWrap w:val="0"/>
            <w:vAlign w:val="center"/>
          </w:tcPr>
          <w:p>
            <w:pPr>
              <w:pStyle w:val="18"/>
              <w:spacing w:line="240" w:lineRule="auto"/>
              <w:ind w:firstLine="117" w:firstLineChars="49"/>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投标报价（元）</w:t>
            </w:r>
          </w:p>
        </w:tc>
        <w:tc>
          <w:tcPr>
            <w:tcW w:w="1760" w:type="dxa"/>
            <w:tcBorders>
              <w:top w:val="single" w:color="auto" w:sz="8" w:space="0"/>
              <w:left w:val="single" w:color="auto" w:sz="4" w:space="0"/>
              <w:bottom w:val="single" w:color="auto" w:sz="6" w:space="0"/>
              <w:right w:val="single" w:color="auto" w:sz="8" w:space="0"/>
            </w:tcBorders>
            <w:noWrap w:val="0"/>
            <w:vAlign w:val="center"/>
          </w:tcPr>
          <w:p>
            <w:pPr>
              <w:pStyle w:val="18"/>
              <w:spacing w:line="240" w:lineRule="auto"/>
              <w:ind w:firstLine="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合同履行期限是否满足采购文件要求</w:t>
            </w:r>
          </w:p>
        </w:tc>
        <w:tc>
          <w:tcPr>
            <w:tcW w:w="1695" w:type="dxa"/>
            <w:tcBorders>
              <w:top w:val="single" w:color="auto" w:sz="8" w:space="0"/>
              <w:left w:val="single" w:color="auto" w:sz="4" w:space="0"/>
              <w:bottom w:val="single" w:color="auto" w:sz="6" w:space="0"/>
              <w:right w:val="single" w:color="auto" w:sz="8" w:space="0"/>
            </w:tcBorders>
            <w:noWrap w:val="0"/>
            <w:vAlign w:val="center"/>
          </w:tcPr>
          <w:p>
            <w:pPr>
              <w:pStyle w:val="18"/>
              <w:spacing w:line="240" w:lineRule="auto"/>
              <w:ind w:firstLine="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服务要求及付款方式是否响应采购文件要求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jc w:val="center"/>
        </w:trPr>
        <w:tc>
          <w:tcPr>
            <w:tcW w:w="2480" w:type="dxa"/>
            <w:tcBorders>
              <w:top w:val="single" w:color="auto" w:sz="4" w:space="0"/>
              <w:left w:val="single" w:color="auto" w:sz="8" w:space="0"/>
              <w:right w:val="single" w:color="auto" w:sz="4" w:space="0"/>
            </w:tcBorders>
            <w:noWrap w:val="0"/>
            <w:vAlign w:val="center"/>
          </w:tcPr>
          <w:p>
            <w:pPr>
              <w:pStyle w:val="18"/>
              <w:spacing w:line="240" w:lineRule="auto"/>
              <w:ind w:firstLine="0"/>
              <w:jc w:val="center"/>
              <w:rPr>
                <w:rFonts w:hint="eastAsia" w:ascii="宋体" w:hAnsi="宋体" w:eastAsia="宋体" w:cs="宋体"/>
                <w:color w:val="auto"/>
                <w:sz w:val="24"/>
                <w:highlight w:val="none"/>
                <w:lang w:val="en-US" w:eastAsia="zh-CN"/>
              </w:rPr>
            </w:pPr>
          </w:p>
        </w:tc>
        <w:tc>
          <w:tcPr>
            <w:tcW w:w="2480"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both"/>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小写：</w:t>
            </w:r>
          </w:p>
          <w:p>
            <w:pPr>
              <w:keepNext w:val="0"/>
              <w:keepLines w:val="0"/>
              <w:widowControl/>
              <w:suppressLineNumbers w:val="0"/>
              <w:spacing w:line="240" w:lineRule="auto"/>
              <w:jc w:val="both"/>
              <w:textAlignment w:val="center"/>
              <w:rPr>
                <w:rFonts w:hint="eastAsia" w:ascii="宋体" w:hAnsi="宋体" w:eastAsia="宋体" w:cs="宋体"/>
                <w:color w:val="auto"/>
                <w:sz w:val="24"/>
                <w:highlight w:val="none"/>
                <w:lang w:val="en-US" w:eastAsia="zh-CN"/>
              </w:rPr>
            </w:pPr>
          </w:p>
          <w:p>
            <w:pPr>
              <w:keepNext w:val="0"/>
              <w:keepLines w:val="0"/>
              <w:widowControl/>
              <w:suppressLineNumbers w:val="0"/>
              <w:spacing w:line="240" w:lineRule="auto"/>
              <w:jc w:val="both"/>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大写：</w:t>
            </w:r>
          </w:p>
        </w:tc>
        <w:tc>
          <w:tcPr>
            <w:tcW w:w="1760" w:type="dxa"/>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24"/>
                <w:szCs w:val="30"/>
                <w:highlight w:val="none"/>
              </w:rPr>
            </w:pPr>
          </w:p>
        </w:tc>
        <w:tc>
          <w:tcPr>
            <w:tcW w:w="1695" w:type="dxa"/>
            <w:tcBorders>
              <w:top w:val="single" w:color="auto" w:sz="4" w:space="0"/>
              <w:left w:val="single" w:color="auto" w:sz="4" w:space="0"/>
              <w:right w:val="single" w:color="auto" w:sz="8" w:space="0"/>
            </w:tcBorders>
            <w:noWrap w:val="0"/>
            <w:vAlign w:val="center"/>
          </w:tcPr>
          <w:p>
            <w:pPr>
              <w:spacing w:line="240" w:lineRule="auto"/>
              <w:jc w:val="center"/>
              <w:rPr>
                <w:rFonts w:hint="eastAsia" w:ascii="宋体" w:hAnsi="宋体" w:eastAsia="宋体" w:cs="宋体"/>
                <w:color w:val="auto"/>
                <w:sz w:val="24"/>
                <w:szCs w:val="30"/>
                <w:highlight w:val="none"/>
              </w:rPr>
            </w:pPr>
          </w:p>
        </w:tc>
      </w:tr>
    </w:tbl>
    <w:p>
      <w:pPr>
        <w:pStyle w:val="2"/>
        <w:spacing w:before="11" w:line="240" w:lineRule="auto"/>
        <w:rPr>
          <w:rFonts w:hint="eastAsia" w:ascii="宋体" w:hAnsi="宋体" w:eastAsia="宋体" w:cs="宋体"/>
          <w:color w:val="auto"/>
          <w:sz w:val="24"/>
          <w:szCs w:val="24"/>
        </w:rPr>
      </w:pPr>
    </w:p>
    <w:p>
      <w:pPr>
        <w:pStyle w:val="2"/>
        <w:spacing w:line="240" w:lineRule="auto"/>
        <w:ind w:left="165"/>
        <w:rPr>
          <w:rFonts w:hint="eastAsia" w:ascii="宋体" w:hAnsi="宋体" w:eastAsia="宋体" w:cs="宋体"/>
          <w:color w:val="auto"/>
          <w:sz w:val="24"/>
          <w:szCs w:val="24"/>
        </w:rPr>
      </w:pPr>
    </w:p>
    <w:p>
      <w:pPr>
        <w:pStyle w:val="2"/>
        <w:spacing w:line="240" w:lineRule="auto"/>
        <w:ind w:left="165"/>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bCs/>
          <w:color w:val="auto"/>
          <w:spacing w:val="10"/>
          <w:sz w:val="24"/>
          <w:szCs w:val="24"/>
          <w:lang w:val="en-US" w:eastAsia="zh-CN"/>
        </w:rPr>
        <w:t>（公章）</w:t>
      </w:r>
      <w:r>
        <w:rPr>
          <w:rFonts w:hint="eastAsia" w:ascii="宋体" w:hAnsi="宋体" w:eastAsia="宋体" w:cs="宋体"/>
          <w:color w:val="auto"/>
          <w:sz w:val="24"/>
          <w:szCs w:val="24"/>
        </w:rPr>
        <w:t>：</w:t>
      </w:r>
    </w:p>
    <w:p>
      <w:pPr>
        <w:pStyle w:val="2"/>
        <w:spacing w:line="240" w:lineRule="auto"/>
        <w:rPr>
          <w:rFonts w:hint="eastAsia" w:ascii="宋体" w:hAnsi="宋体" w:eastAsia="宋体" w:cs="宋体"/>
          <w:color w:val="auto"/>
          <w:sz w:val="24"/>
          <w:szCs w:val="24"/>
        </w:rPr>
      </w:pPr>
    </w:p>
    <w:p>
      <w:pPr>
        <w:pStyle w:val="2"/>
        <w:spacing w:before="6" w:line="240" w:lineRule="auto"/>
        <w:rPr>
          <w:rFonts w:hint="eastAsia" w:ascii="宋体" w:hAnsi="宋体" w:eastAsia="宋体" w:cs="宋体"/>
          <w:color w:val="auto"/>
          <w:sz w:val="24"/>
          <w:szCs w:val="24"/>
        </w:rPr>
      </w:pPr>
    </w:p>
    <w:p>
      <w:pPr>
        <w:pStyle w:val="2"/>
        <w:tabs>
          <w:tab w:val="left" w:pos="5236"/>
        </w:tabs>
        <w:spacing w:line="240" w:lineRule="auto"/>
        <w:ind w:left="165"/>
        <w:rPr>
          <w:rFonts w:hint="eastAsia" w:ascii="宋体" w:hAnsi="宋体" w:eastAsia="宋体" w:cs="宋体"/>
          <w:color w:val="auto"/>
        </w:rPr>
      </w:pPr>
      <w:r>
        <w:rPr>
          <w:rFonts w:hint="eastAsia" w:ascii="宋体" w:hAnsi="宋体" w:eastAsia="宋体" w:cs="宋体"/>
          <w:color w:val="auto"/>
          <w:sz w:val="24"/>
          <w:szCs w:val="24"/>
        </w:rPr>
        <w:t>供应商授权代表签字：</w:t>
      </w:r>
      <w:r>
        <w:rPr>
          <w:rFonts w:hint="eastAsia" w:ascii="宋体" w:hAnsi="宋体" w:eastAsia="宋体" w:cs="宋体"/>
          <w:color w:val="auto"/>
          <w:sz w:val="24"/>
          <w:szCs w:val="24"/>
        </w:rPr>
        <w:tab/>
      </w:r>
      <w:r>
        <w:rPr>
          <w:rFonts w:hint="eastAsia" w:ascii="宋体" w:hAnsi="宋体" w:eastAsia="宋体" w:cs="宋体"/>
          <w:color w:val="auto"/>
          <w:sz w:val="24"/>
          <w:szCs w:val="24"/>
        </w:rPr>
        <w:t>日期：</w:t>
      </w:r>
    </w:p>
    <w:p>
      <w:pPr>
        <w:jc w:val="center"/>
        <w:rPr>
          <w:rFonts w:hint="eastAsia" w:ascii="宋体" w:hAnsi="宋体" w:eastAsia="宋体" w:cs="宋体"/>
          <w:color w:val="auto"/>
          <w:sz w:val="28"/>
          <w:szCs w:val="28"/>
        </w:rPr>
      </w:pPr>
    </w:p>
    <w:p>
      <w:pPr>
        <w:spacing w:line="240" w:lineRule="auto"/>
        <w:jc w:val="left"/>
        <w:rPr>
          <w:rFonts w:hint="eastAsia" w:ascii="宋体" w:hAnsi="宋体" w:eastAsia="宋体" w:cs="宋体"/>
          <w:b/>
          <w:bCs/>
          <w:color w:val="auto"/>
          <w:kern w:val="2"/>
          <w:sz w:val="24"/>
          <w:szCs w:val="24"/>
          <w:lang w:val="en-US" w:eastAsia="zh-CN" w:bidi="ar-SA"/>
        </w:rPr>
      </w:pPr>
    </w:p>
    <w:p>
      <w:pPr>
        <w:spacing w:line="240" w:lineRule="auto"/>
        <w:jc w:val="left"/>
        <w:rPr>
          <w:rFonts w:hint="eastAsia" w:ascii="宋体" w:hAnsi="宋体" w:eastAsia="宋体" w:cs="宋体"/>
          <w:b/>
          <w:bCs/>
          <w:color w:val="auto"/>
          <w:kern w:val="2"/>
          <w:sz w:val="24"/>
          <w:szCs w:val="24"/>
          <w:lang w:val="en-US" w:eastAsia="zh-CN" w:bidi="ar-SA"/>
        </w:rPr>
      </w:pPr>
    </w:p>
    <w:p>
      <w:pPr>
        <w:spacing w:line="240" w:lineRule="auto"/>
        <w:jc w:val="left"/>
        <w:rPr>
          <w:rFonts w:hint="eastAsia" w:ascii="宋体" w:hAnsi="宋体" w:eastAsia="宋体" w:cs="宋体"/>
          <w:b/>
          <w:bCs/>
          <w:color w:val="auto"/>
          <w:kern w:val="2"/>
          <w:sz w:val="24"/>
          <w:szCs w:val="24"/>
          <w:lang w:val="en-US" w:eastAsia="zh-CN" w:bidi="ar-SA"/>
        </w:rPr>
      </w:pPr>
    </w:p>
    <w:p>
      <w:pPr>
        <w:spacing w:line="240" w:lineRule="auto"/>
        <w:jc w:val="left"/>
        <w:rPr>
          <w:rFonts w:hint="eastAsia" w:ascii="宋体" w:hAnsi="宋体" w:eastAsia="宋体" w:cs="宋体"/>
          <w:b/>
          <w:bCs/>
          <w:color w:val="auto"/>
          <w:kern w:val="2"/>
          <w:sz w:val="24"/>
          <w:szCs w:val="24"/>
          <w:lang w:val="en-US" w:eastAsia="zh-CN" w:bidi="ar-SA"/>
        </w:rPr>
      </w:pPr>
    </w:p>
    <w:p>
      <w:pPr>
        <w:spacing w:line="240" w:lineRule="auto"/>
        <w:jc w:val="left"/>
        <w:rPr>
          <w:rFonts w:hint="eastAsia" w:ascii="宋体" w:hAnsi="宋体" w:eastAsia="宋体" w:cs="宋体"/>
          <w:b/>
          <w:bCs/>
          <w:color w:val="auto"/>
          <w:kern w:val="2"/>
          <w:sz w:val="24"/>
          <w:szCs w:val="24"/>
          <w:lang w:val="en-US" w:eastAsia="zh-CN" w:bidi="ar-SA"/>
        </w:rPr>
      </w:pPr>
    </w:p>
    <w:p>
      <w:pPr>
        <w:spacing w:line="36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注：</w:t>
      </w:r>
    </w:p>
    <w:p>
      <w:pPr>
        <w:numPr>
          <w:ilvl w:val="0"/>
          <w:numId w:val="0"/>
        </w:numPr>
        <w:spacing w:line="36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1.供应商通过资格、符合审查后，工作人员将电话通知供应商进行二次报价。</w:t>
      </w:r>
    </w:p>
    <w:p>
      <w:pPr>
        <w:numPr>
          <w:ilvl w:val="0"/>
          <w:numId w:val="0"/>
        </w:numPr>
        <w:spacing w:line="36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2.本表仅在开标后二次报价环节时填写，响应文件中无需填报，填写完发送至代理公司邮箱：</w:t>
      </w:r>
      <w:r>
        <w:rPr>
          <w:rFonts w:hint="eastAsia" w:ascii="宋体" w:hAnsi="宋体" w:eastAsia="宋体" w:cs="宋体"/>
          <w:b/>
          <w:bCs/>
          <w:color w:val="auto"/>
          <w:kern w:val="2"/>
          <w:sz w:val="24"/>
          <w:szCs w:val="24"/>
          <w:lang w:val="en-US" w:eastAsia="zh-CN" w:bidi="ar-SA"/>
        </w:rPr>
        <w:fldChar w:fldCharType="begin"/>
      </w:r>
      <w:r>
        <w:rPr>
          <w:rFonts w:hint="eastAsia" w:ascii="宋体" w:hAnsi="宋体" w:eastAsia="宋体" w:cs="宋体"/>
          <w:b/>
          <w:bCs/>
          <w:color w:val="auto"/>
          <w:kern w:val="2"/>
          <w:sz w:val="24"/>
          <w:szCs w:val="24"/>
          <w:lang w:val="en-US" w:eastAsia="zh-CN" w:bidi="ar-SA"/>
        </w:rPr>
        <w:instrText xml:space="preserve"> HYPERLINK "mailto:zzgjzbdl@163.com。" </w:instrText>
      </w:r>
      <w:r>
        <w:rPr>
          <w:rFonts w:hint="eastAsia" w:ascii="宋体" w:hAnsi="宋体" w:eastAsia="宋体" w:cs="宋体"/>
          <w:b/>
          <w:bCs/>
          <w:color w:val="auto"/>
          <w:kern w:val="2"/>
          <w:sz w:val="24"/>
          <w:szCs w:val="24"/>
          <w:lang w:val="en-US" w:eastAsia="zh-CN" w:bidi="ar-SA"/>
        </w:rPr>
        <w:fldChar w:fldCharType="separate"/>
      </w:r>
      <w:r>
        <w:rPr>
          <w:rFonts w:hint="eastAsia" w:ascii="宋体" w:hAnsi="宋体" w:eastAsia="宋体" w:cs="宋体"/>
          <w:b/>
          <w:bCs/>
          <w:color w:val="auto"/>
          <w:kern w:val="2"/>
          <w:sz w:val="24"/>
          <w:szCs w:val="24"/>
          <w:lang w:val="en-US" w:eastAsia="zh-CN" w:bidi="ar-SA"/>
        </w:rPr>
        <w:t>zzgjecbj@163.com。</w:t>
      </w:r>
      <w:r>
        <w:rPr>
          <w:rFonts w:hint="eastAsia" w:ascii="宋体" w:hAnsi="宋体" w:eastAsia="宋体" w:cs="宋体"/>
          <w:b/>
          <w:bCs/>
          <w:color w:val="auto"/>
          <w:kern w:val="2"/>
          <w:sz w:val="24"/>
          <w:szCs w:val="24"/>
          <w:lang w:val="en-US" w:eastAsia="zh-CN" w:bidi="ar-SA"/>
        </w:rPr>
        <w:fldChar w:fldCharType="end"/>
      </w:r>
    </w:p>
    <w:p>
      <w:pPr>
        <w:pStyle w:val="8"/>
        <w:rPr>
          <w:rFonts w:hint="eastAsia" w:ascii="宋体" w:hAnsi="宋体" w:eastAsia="宋体" w:cs="宋体"/>
          <w:color w:val="auto"/>
          <w:lang w:eastAsia="zh-CN"/>
        </w:rPr>
      </w:pPr>
    </w:p>
    <w:p>
      <w:pPr>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sz w:val="32"/>
          <w:szCs w:val="32"/>
        </w:rPr>
      </w:pPr>
      <w:r>
        <w:rPr>
          <w:rFonts w:hint="eastAsia" w:ascii="宋体" w:hAnsi="宋体" w:eastAsia="宋体" w:cs="宋体"/>
          <w:color w:val="auto"/>
        </w:rPr>
        <w:br w:type="page"/>
      </w:r>
      <w:r>
        <w:rPr>
          <w:rFonts w:hint="eastAsia" w:ascii="宋体" w:hAnsi="宋体" w:eastAsia="宋体" w:cs="宋体"/>
          <w:b/>
          <w:bCs/>
          <w:sz w:val="32"/>
          <w:szCs w:val="32"/>
        </w:rPr>
        <w:t>洛阳市政府采购合同融资政策告知函</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t>各供应商</w:t>
      </w:r>
      <w:r>
        <w:rPr>
          <w:rFonts w:hint="eastAsia" w:ascii="宋体" w:hAnsi="宋体" w:eastAsia="宋体" w:cs="宋体"/>
          <w:sz w:val="28"/>
          <w:szCs w:val="28"/>
          <w:lang w:eastAsia="zh-CN"/>
        </w:rPr>
        <w:t>：</w:t>
      </w: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欢迎贵公司参与洛阳市政府采购活动！</w:t>
      </w: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合同融资是洛阳市财政局联合人民银行洛阳市中心支行支持中小微企业发展，针对参与政府采购活动的供应商融资难、融资贵问题推出的一项融资政策。贵公司若成为本次政府采购项目的中标(成交)供应商，可持政府采购合同向金融机构申请贷款，无需抵押、担保，金融机构将根据《洛阳市财政局、中国人民银行洛阳市中心支行关于印发深入推进政府采购合同融资工作实施方案》(洛财购〔2021〕4号)，按照双方自愿的原则提供便捷、优惠的贷款服务。</w:t>
      </w: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贷款渠道和提供贷款的金融机构，可在河南省政府采购网“河南省政府采购合同融资平台”或洛阳市政府采购网“政府采购合同融资业务入口”查询联系。</w:t>
      </w: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信息公开选项</w:t>
      </w:r>
      <w:r>
        <w:rPr>
          <w:rFonts w:hint="eastAsia" w:ascii="宋体" w:hAnsi="宋体" w:eastAsia="宋体" w:cs="宋体"/>
          <w:sz w:val="24"/>
          <w:szCs w:val="24"/>
          <w:lang w:eastAsia="zh-CN"/>
        </w:rPr>
        <w:t>：</w:t>
      </w:r>
      <w:r>
        <w:rPr>
          <w:rFonts w:hint="eastAsia" w:ascii="宋体" w:hAnsi="宋体" w:eastAsia="宋体" w:cs="宋体"/>
          <w:sz w:val="24"/>
          <w:szCs w:val="24"/>
        </w:rPr>
        <w:t>主动公开</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洛阳市财政局办公室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sz w:val="32"/>
          <w:szCs w:val="32"/>
        </w:rPr>
      </w:pPr>
      <w:r>
        <w:rPr>
          <w:rFonts w:hint="eastAsia" w:ascii="宋体" w:hAnsi="宋体" w:eastAsia="宋体" w:cs="宋体"/>
          <w:sz w:val="24"/>
          <w:szCs w:val="24"/>
        </w:rPr>
        <w:t>2021年3月10日印发</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sectPr>
          <w:pgSz w:w="11906" w:h="16838"/>
          <w:pgMar w:top="1418" w:right="1418" w:bottom="1418" w:left="1418" w:header="851" w:footer="992" w:gutter="0"/>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宋体" w:hAnsi="宋体" w:eastAsia="宋体" w:cs="宋体"/>
          <w:b w:val="0"/>
          <w:bCs w:val="0"/>
          <w:color w:val="auto"/>
          <w:sz w:val="40"/>
          <w:szCs w:val="40"/>
          <w:highlight w:val="none"/>
          <w:lang w:eastAsia="zh-CN"/>
        </w:rPr>
      </w:pPr>
      <w:r>
        <w:rPr>
          <w:rFonts w:hint="eastAsia" w:ascii="宋体" w:hAnsi="宋体" w:eastAsia="宋体" w:cs="宋体"/>
          <w:b w:val="0"/>
          <w:bCs w:val="0"/>
          <w:color w:val="auto"/>
          <w:sz w:val="40"/>
          <w:szCs w:val="40"/>
          <w:highlight w:val="none"/>
          <w:lang w:eastAsia="zh-CN"/>
        </w:rPr>
        <w:t>洛阳市政府采购合同融资金融产品名录</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宋体" w:hAnsi="宋体" w:eastAsia="宋体" w:cs="宋体"/>
          <w:b/>
          <w:bCs/>
          <w:color w:val="0000FF"/>
          <w:sz w:val="24"/>
          <w:szCs w:val="24"/>
          <w:highlight w:val="yellow"/>
          <w:lang w:val="zh-TW" w:eastAsia="zh-CN"/>
        </w:rPr>
      </w:pPr>
      <w:r>
        <w:rPr>
          <w:rFonts w:hint="eastAsia" w:ascii="宋体" w:hAnsi="宋体" w:eastAsia="宋体" w:cs="宋体"/>
          <w:b w:val="0"/>
          <w:bCs w:val="0"/>
          <w:color w:val="auto"/>
          <w:sz w:val="24"/>
          <w:szCs w:val="24"/>
          <w:highlight w:val="none"/>
          <w:lang w:eastAsia="zh-CN"/>
        </w:rPr>
        <w:t>（更新时间</w:t>
      </w:r>
      <w:r>
        <w:rPr>
          <w:rFonts w:hint="eastAsia" w:ascii="宋体" w:hAnsi="宋体" w:eastAsia="宋体" w:cs="宋体"/>
          <w:b w:val="0"/>
          <w:bCs w:val="0"/>
          <w:color w:val="auto"/>
          <w:sz w:val="24"/>
          <w:szCs w:val="24"/>
          <w:highlight w:val="none"/>
          <w:lang w:val="en-US" w:eastAsia="zh-CN"/>
        </w:rPr>
        <w:t>2022.08</w:t>
      </w:r>
      <w:r>
        <w:rPr>
          <w:rFonts w:hint="eastAsia" w:ascii="宋体" w:hAnsi="宋体" w:eastAsia="宋体" w:cs="宋体"/>
          <w:b w:val="0"/>
          <w:bCs w:val="0"/>
          <w:color w:val="auto"/>
          <w:sz w:val="24"/>
          <w:szCs w:val="24"/>
          <w:highlight w:val="none"/>
          <w:lang w:eastAsia="zh-CN"/>
        </w:rPr>
        <w:t>）</w:t>
      </w:r>
    </w:p>
    <w:p>
      <w:pPr>
        <w:spacing w:line="240" w:lineRule="auto"/>
        <w:ind w:left="0" w:leftChars="0" w:firstLine="0" w:firstLineChars="0"/>
        <w:jc w:val="center"/>
        <w:rPr>
          <w:rFonts w:hint="eastAsia" w:ascii="宋体" w:hAnsi="宋体" w:eastAsia="宋体" w:cs="宋体"/>
          <w:b w:val="0"/>
          <w:bCs w:val="0"/>
          <w:color w:val="000000"/>
          <w:kern w:val="0"/>
          <w:sz w:val="22"/>
          <w:szCs w:val="22"/>
          <w:lang w:val="zh-TW" w:eastAsia="zh-CN" w:bidi="zh-TW"/>
        </w:rPr>
      </w:pPr>
      <w:r>
        <w:rPr>
          <w:rFonts w:hint="eastAsia" w:ascii="宋体" w:hAnsi="宋体" w:eastAsia="宋体" w:cs="宋体"/>
          <w:b w:val="0"/>
          <w:bCs w:val="0"/>
          <w:color w:val="0000FF"/>
          <w:sz w:val="36"/>
          <w:szCs w:val="36"/>
          <w:highlight w:val="yellow"/>
          <w:lang w:val="zh-TW" w:eastAsia="zh-CN"/>
        </w:rPr>
        <w:t>建设银行政府采购合同融资产品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zh-TW" w:eastAsia="zh-CN" w:bidi="ar"/>
        </w:rPr>
      </w:pPr>
      <w:r>
        <w:rPr>
          <w:rFonts w:hint="eastAsia" w:ascii="宋体" w:hAnsi="宋体" w:eastAsia="宋体" w:cs="宋体"/>
          <w:kern w:val="0"/>
          <w:sz w:val="24"/>
          <w:szCs w:val="24"/>
          <w:lang w:val="zh-TW" w:eastAsia="zh-CN" w:bidi="ar"/>
        </w:rPr>
        <w:t>一</w:t>
      </w:r>
      <w:r>
        <w:rPr>
          <w:rFonts w:hint="eastAsia" w:ascii="宋体" w:hAnsi="宋体" w:eastAsia="宋体" w:cs="宋体"/>
          <w:kern w:val="0"/>
          <w:sz w:val="24"/>
          <w:szCs w:val="24"/>
          <w:lang w:val="zh-TW" w:eastAsia="zh-TW" w:bidi="ar"/>
        </w:rPr>
        <w:t>、融资产品介绍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zh-TW" w:eastAsia="zh-CN" w:bidi="ar"/>
        </w:rPr>
      </w:pPr>
      <w:r>
        <w:rPr>
          <w:rFonts w:hint="eastAsia" w:ascii="宋体" w:hAnsi="宋体" w:eastAsia="宋体" w:cs="宋体"/>
          <w:kern w:val="0"/>
          <w:sz w:val="24"/>
          <w:szCs w:val="24"/>
          <w:lang w:val="zh-TW" w:eastAsia="zh-CN" w:bidi="ar"/>
        </w:rPr>
        <w:t>（一）</w:t>
      </w:r>
      <w:r>
        <w:rPr>
          <w:rFonts w:hint="eastAsia" w:ascii="宋体" w:hAnsi="宋体" w:eastAsia="宋体" w:cs="宋体"/>
          <w:kern w:val="0"/>
          <w:sz w:val="24"/>
          <w:szCs w:val="24"/>
          <w:lang w:val="zh-TW" w:eastAsia="zh-TW" w:bidi="ar"/>
        </w:rPr>
        <w:t>产品介绍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firstLine="213" w:firstLineChars="89"/>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1.产品简介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建行“e政通”是中国建设银行以政府采购供应商中的供应商企业作为借款人，依据政府采购交易信息，通过建行集团供应链平台在线申请、审批、签约、支取的贷款产品。有效解决政府采购中标、成交的供应商资金不足、融资难、融资贵的困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firstLine="213" w:firstLineChars="89"/>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2.业务流程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（1）采购人的采购资金纳入同级或以上政府财政预算。</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（2）供应商与政府采购部门签署采购合同。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（3）政府采购合同在政府采购平台进行备案公示。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（4）采购供应商依托采购合同，通过建行集团供应链平台申请融资。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（5）建行核实贸易背景，按照采购合同金额的一定比例（考虑质押率）发放融资款项。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（6）业务到期前，政府部门支付采购款项到建设银行指定的回款专户中。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firstLine="213" w:firstLineChars="89"/>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3.产品优势</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（1）无需授信（参考政府采购合同确定业务金额）</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（2）无需抵押（需提供应收账款质押）</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（3）贷款额高（单笔合同贷款金额最高3000万元）</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（4）操作便捷（在线审批，快速放款）</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（5）还款灵活（按日计息，可提前还款）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firstLine="213" w:firstLineChars="89"/>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4.借款人基本条件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（1）供应商符合国家采购法等法律法规准入条件。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（2）供应商经工商行政管理机关（或主管机关）核准登记的企业法人或个体工商户，有固定经营场所，合法经营。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（3）供应商未纳入政府采购严重违法失信行为记录名单。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（4）不存在我行反洗钱客户身份识别管理制度规定的禁止准入情形或停止业务关系的情形。</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（5）供应商企业具有持续经营能力，信用记录良好，近2年在中国人民银行企业征信系统无不良信用记录。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（6）供应商企业主个人信用记录良好，近2年在中国人民银行个人征信系统个人逾期或欠息在30天（含）以内的次数不超过2（含）次，且不存在逾期或欠息在30天以上的信用记录。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（7）采购人的采购资金须纳入同级或以上政府财政预算。</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（8）在河南省政府采购网有真实有效的政府采购合同备案记录。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（9）所签约政府采购合同约定回款账号为建设银行指定账号。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（10）供应商与采购人具有长期稳定合作关系，原则上要有2次及以上的历史政府采购中标记录。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（二）申请路径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建行集团供应链平台</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zh-TW" w:eastAsia="zh-CN" w:bidi="ar"/>
        </w:rPr>
      </w:pPr>
      <w:r>
        <w:rPr>
          <w:rFonts w:hint="eastAsia" w:ascii="宋体" w:hAnsi="宋体" w:eastAsia="宋体" w:cs="宋体"/>
          <w:kern w:val="0"/>
          <w:sz w:val="24"/>
          <w:szCs w:val="24"/>
          <w:lang w:val="zh-TW" w:eastAsia="zh-CN" w:bidi="ar"/>
        </w:rPr>
        <w:t>（三）</w:t>
      </w:r>
      <w:r>
        <w:rPr>
          <w:rFonts w:hint="eastAsia" w:ascii="宋体" w:hAnsi="宋体" w:eastAsia="宋体" w:cs="宋体"/>
          <w:kern w:val="0"/>
          <w:sz w:val="24"/>
          <w:szCs w:val="24"/>
          <w:lang w:val="zh-TW" w:eastAsia="zh-TW" w:bidi="ar"/>
        </w:rPr>
        <w:t>利率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针对不同客户差别化定价，根据客户综合贡献度合理确定。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zh-TW" w:eastAsia="zh-CN" w:bidi="ar"/>
        </w:rPr>
      </w:pPr>
      <w:r>
        <w:rPr>
          <w:rFonts w:hint="eastAsia" w:ascii="宋体" w:hAnsi="宋体" w:eastAsia="宋体" w:cs="宋体"/>
          <w:kern w:val="0"/>
          <w:sz w:val="24"/>
          <w:szCs w:val="24"/>
          <w:lang w:val="zh-TW" w:eastAsia="zh-CN" w:bidi="ar"/>
        </w:rPr>
        <w:t>二</w:t>
      </w:r>
      <w:r>
        <w:rPr>
          <w:rFonts w:hint="eastAsia" w:ascii="宋体" w:hAnsi="宋体" w:eastAsia="宋体" w:cs="宋体"/>
          <w:kern w:val="0"/>
          <w:sz w:val="24"/>
          <w:szCs w:val="24"/>
          <w:lang w:val="zh-TW" w:eastAsia="zh-TW" w:bidi="ar"/>
        </w:rPr>
        <w:t>、联系方式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zh-TW" w:eastAsia="zh-CN" w:bidi="ar"/>
        </w:rPr>
      </w:pPr>
      <w:r>
        <w:rPr>
          <w:rFonts w:hint="eastAsia" w:ascii="宋体" w:hAnsi="宋体" w:eastAsia="宋体" w:cs="宋体"/>
          <w:kern w:val="0"/>
          <w:sz w:val="24"/>
          <w:szCs w:val="24"/>
          <w:lang w:val="zh-TW" w:eastAsia="zh-CN" w:bidi="ar"/>
        </w:rPr>
        <w:t>产品负责人：张翠荣13937942294</w:t>
      </w:r>
    </w:p>
    <w:p>
      <w:pPr>
        <w:spacing w:line="240" w:lineRule="auto"/>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FF"/>
          <w:sz w:val="36"/>
          <w:szCs w:val="36"/>
          <w:highlight w:val="yellow"/>
          <w:lang w:val="en-US" w:eastAsia="zh-CN"/>
        </w:rPr>
        <w:t>农行洛阳分行政采贷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产品定义：“政采e贷”是指农业银行对接河南省政府采购网的政府采购大数据，以政府采购供应商为借款人，基于政府采购合同，以财政性资金作为还款来源，为履约记录良好的政府采购中标小微供应商，提供的线上批量化的短期流动资金贷款业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2.贷款期限：根据采购合同约定的结算期限确定，最长不超过1年。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融资额度：授信额度根据供应商近2年政府采购年均总金额的70%来核定，单笔贷款额度不超过政府采购合同总金额的90%。其中地市级（含）以上采购最高额度不超过500万元，县（区）级货物和服务类采购项目最高额度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4.贷款利率：目前执行年化3.85%的优惠利率。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5.适用对象：河南省范围内政府采购中标供应商。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6.办理条件：企业注册成立一年以上；已取得河南省范围内政府采购《中标通知书》或已签订《政府采购合同》；企业和企业主无不良信用记录，且政府采购履约记录良好；企业政府采购备案账户为农行账户。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7.业务流程：客户通过企业网银申请-银行在线进行资料审核-系统自动审查审批-在线签署合同-贷款发放。</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业务分管及联系人：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分管领导：张琦颖 18567663732</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客户经理：姚培培 13838823003</w:t>
      </w:r>
    </w:p>
    <w:p>
      <w:pPr>
        <w:spacing w:line="240" w:lineRule="auto"/>
        <w:ind w:firstLine="640" w:firstLineChars="200"/>
        <w:jc w:val="center"/>
        <w:rPr>
          <w:rFonts w:hint="eastAsia" w:ascii="宋体" w:hAnsi="宋体" w:eastAsia="宋体" w:cs="宋体"/>
          <w:b w:val="0"/>
          <w:bCs w:val="0"/>
          <w:color w:val="0000FF"/>
          <w:sz w:val="32"/>
          <w:szCs w:val="32"/>
          <w:highlight w:val="yellow"/>
          <w:lang w:val="zh-TW" w:eastAsia="zh-CN"/>
        </w:rPr>
      </w:pPr>
      <w:r>
        <w:rPr>
          <w:rFonts w:hint="eastAsia" w:ascii="宋体" w:hAnsi="宋体" w:eastAsia="宋体" w:cs="宋体"/>
          <w:b w:val="0"/>
          <w:bCs w:val="0"/>
          <w:color w:val="0000FF"/>
          <w:sz w:val="32"/>
          <w:szCs w:val="32"/>
          <w:highlight w:val="yellow"/>
          <w:lang w:val="zh-TW" w:eastAsia="zh-CN"/>
        </w:rPr>
        <w:t>工商银行洛阳分行“政府采购贷款”产品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一、联系方式：</w:t>
      </w:r>
    </w:p>
    <w:tbl>
      <w:tblPr>
        <w:tblStyle w:val="6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2"/>
                <w:szCs w:val="22"/>
                <w:lang w:val="en-US" w:eastAsia="zh-CN" w:bidi="ar"/>
              </w:rPr>
            </w:pPr>
            <w:r>
              <w:rPr>
                <w:rFonts w:hint="eastAsia" w:ascii="宋体" w:hAnsi="宋体" w:eastAsia="宋体" w:cs="宋体"/>
                <w:b/>
                <w:color w:val="auto"/>
                <w:kern w:val="0"/>
                <w:sz w:val="22"/>
                <w:szCs w:val="22"/>
                <w:lang w:val="en-US" w:eastAsia="zh-CN" w:bidi="ar"/>
              </w:rPr>
              <w:t>联系人</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2"/>
                <w:szCs w:val="22"/>
                <w:lang w:val="en-US" w:eastAsia="zh-CN" w:bidi="ar"/>
              </w:rPr>
            </w:pPr>
            <w:r>
              <w:rPr>
                <w:rFonts w:hint="eastAsia" w:ascii="宋体" w:hAnsi="宋体" w:eastAsia="宋体" w:cs="宋体"/>
                <w:b/>
                <w:color w:val="auto"/>
                <w:kern w:val="0"/>
                <w:sz w:val="22"/>
                <w:szCs w:val="22"/>
                <w:lang w:val="en-US" w:eastAsia="zh-CN" w:bidi="ar"/>
              </w:rPr>
              <w:t>职 务</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2"/>
                <w:szCs w:val="22"/>
                <w:lang w:val="en-US" w:eastAsia="zh-CN" w:bidi="ar"/>
              </w:rPr>
            </w:pPr>
            <w:r>
              <w:rPr>
                <w:rFonts w:hint="eastAsia" w:ascii="宋体" w:hAnsi="宋体" w:eastAsia="宋体" w:cs="宋体"/>
                <w:b/>
                <w:color w:val="auto"/>
                <w:kern w:val="0"/>
                <w:sz w:val="22"/>
                <w:szCs w:val="22"/>
                <w:lang w:val="en-US" w:eastAsia="zh-CN" w:bidi="ar"/>
              </w:rPr>
              <w:t>电 话</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2"/>
                <w:szCs w:val="22"/>
                <w:lang w:val="en-US" w:eastAsia="zh-CN" w:bidi="ar"/>
              </w:rPr>
            </w:pPr>
            <w:r>
              <w:rPr>
                <w:rFonts w:hint="eastAsia" w:ascii="宋体" w:hAnsi="宋体" w:eastAsia="宋体" w:cs="宋体"/>
                <w:b/>
                <w:color w:val="auto"/>
                <w:kern w:val="0"/>
                <w:sz w:val="22"/>
                <w:szCs w:val="22"/>
                <w:lang w:val="en-US" w:eastAsia="zh-CN" w:bidi="ar"/>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陈高立</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副总经理</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13721680079</w:t>
            </w:r>
          </w:p>
        </w:tc>
        <w:tc>
          <w:tcPr>
            <w:tcW w:w="213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洛阳市西工区中州中路</w:t>
            </w:r>
            <w:r>
              <w:rPr>
                <w:rFonts w:hint="eastAsia" w:ascii="宋体" w:hAnsi="宋体" w:eastAsia="宋体" w:cs="宋体"/>
                <w:sz w:val="22"/>
                <w:szCs w:val="22"/>
                <w:lang w:val="en-US" w:eastAsia="zh-CN"/>
              </w:rPr>
              <w:t>230号工商银行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许小琰</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业务负责人</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16603796606</w:t>
            </w:r>
          </w:p>
        </w:tc>
        <w:tc>
          <w:tcPr>
            <w:tcW w:w="213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朱建国</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客户经理</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13653893229</w:t>
            </w:r>
          </w:p>
        </w:tc>
        <w:tc>
          <w:tcPr>
            <w:tcW w:w="213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二、</w:t>
      </w:r>
      <w:r>
        <w:rPr>
          <w:rFonts w:hint="eastAsia" w:ascii="宋体" w:hAnsi="宋体" w:eastAsia="宋体" w:cs="宋体"/>
          <w:b w:val="0"/>
          <w:bCs w:val="0"/>
          <w:sz w:val="24"/>
          <w:szCs w:val="24"/>
          <w:lang w:val="en-US" w:eastAsia="zh-CN"/>
        </w:rPr>
        <w:t>融资产品介绍：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采贷”是工行与政府采购数据进行系统对接，根据获取包括但不限于供应商中标、采购合同、收验货、付款以及历史交易数据等信息，为政府供应商提供的融资贷款金融服务，具体产品有“政采贷”及“政采快贷”，具体各产品明细如下：</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（一）政采贷：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适用范围：</w:t>
      </w:r>
      <w:r>
        <w:rPr>
          <w:rFonts w:hint="eastAsia" w:ascii="宋体" w:hAnsi="宋体" w:eastAsia="宋体" w:cs="宋体"/>
          <w:sz w:val="24"/>
          <w:szCs w:val="24"/>
          <w:lang w:eastAsia="zh-CN"/>
        </w:rPr>
        <w:t>采购人需为</w:t>
      </w:r>
      <w:r>
        <w:rPr>
          <w:rFonts w:hint="eastAsia" w:ascii="宋体" w:hAnsi="宋体" w:eastAsia="宋体" w:cs="宋体"/>
          <w:sz w:val="24"/>
          <w:szCs w:val="24"/>
        </w:rPr>
        <w:t>小微企业，</w:t>
      </w:r>
      <w:r>
        <w:rPr>
          <w:rFonts w:hint="eastAsia" w:ascii="宋体" w:hAnsi="宋体" w:eastAsia="宋体" w:cs="宋体"/>
          <w:sz w:val="24"/>
          <w:szCs w:val="24"/>
          <w:lang w:val="en-US" w:eastAsia="zh-CN"/>
        </w:rPr>
        <w:t>采购资金纳入</w:t>
      </w:r>
      <w:r>
        <w:rPr>
          <w:rFonts w:hint="eastAsia" w:ascii="宋体" w:hAnsi="宋体" w:eastAsia="宋体" w:cs="宋体"/>
          <w:b/>
          <w:bCs/>
          <w:sz w:val="24"/>
          <w:szCs w:val="24"/>
          <w:lang w:val="en-US" w:eastAsia="zh-CN"/>
        </w:rPr>
        <w:t>市级或以上政府财政预算</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融资额度：供应商融资最高不超过订单金额70%</w:t>
      </w:r>
      <w:r>
        <w:rPr>
          <w:rFonts w:hint="eastAsia" w:ascii="宋体" w:hAnsi="宋体" w:eastAsia="宋体" w:cs="宋体"/>
          <w:sz w:val="24"/>
          <w:szCs w:val="24"/>
          <w:lang w:eastAsia="zh-CN"/>
        </w:rPr>
        <w:t>，单笔金额最高</w:t>
      </w:r>
      <w:r>
        <w:rPr>
          <w:rFonts w:hint="eastAsia" w:ascii="宋体" w:hAnsi="宋体" w:eastAsia="宋体" w:cs="宋体"/>
          <w:sz w:val="24"/>
          <w:szCs w:val="24"/>
          <w:lang w:val="en-US" w:eastAsia="zh-CN"/>
        </w:rPr>
        <w:t>3000万元</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贷款期限：根据政府采购合同等内容确定贷款期限，最长可以5年。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贷款利率：融资利率参考最近市场利率（LPR）合理确定。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rPr>
        <w:t>办理手续：供应商与工行取得联系，开立账户，开通网上银行。与工行经办人员线下沟通确定融资金额，通过工行网上银行自助申请贷款金额。工行进行贷款指令确定，贷款线上发放至供应商工行账户。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425"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6.</w:t>
      </w:r>
      <w:r>
        <w:rPr>
          <w:rFonts w:hint="eastAsia" w:ascii="宋体" w:hAnsi="宋体" w:eastAsia="宋体" w:cs="宋体"/>
          <w:sz w:val="24"/>
          <w:szCs w:val="24"/>
          <w:lang w:val="en-US" w:eastAsia="zh-CN"/>
        </w:rPr>
        <w:t>产品优势：</w:t>
      </w:r>
      <w:r>
        <w:rPr>
          <w:rFonts w:hint="eastAsia" w:ascii="宋体" w:hAnsi="宋体" w:eastAsia="宋体" w:cs="宋体"/>
          <w:sz w:val="24"/>
          <w:szCs w:val="24"/>
          <w:lang w:eastAsia="zh-CN"/>
        </w:rPr>
        <w:t>无抵押（依据政府采购合同及历史交易、履约信息作为授信依据）、放款快（在线审批，快捷放款）；额度高（单笔合同贷款金额最高3000万元）；操作便捷（流程简捷，全线上化操作）；还款灵活（支持多种还款付息方式，支持提前还款）。</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（二）政采快贷：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适用范围：</w:t>
      </w:r>
      <w:r>
        <w:rPr>
          <w:rFonts w:hint="eastAsia" w:ascii="宋体" w:hAnsi="宋体" w:eastAsia="宋体" w:cs="宋体"/>
          <w:sz w:val="24"/>
          <w:szCs w:val="24"/>
          <w:lang w:eastAsia="zh-CN"/>
        </w:rPr>
        <w:t>采购人需为</w:t>
      </w:r>
      <w:r>
        <w:rPr>
          <w:rFonts w:hint="eastAsia" w:ascii="宋体" w:hAnsi="宋体" w:eastAsia="宋体" w:cs="宋体"/>
          <w:sz w:val="24"/>
          <w:szCs w:val="24"/>
        </w:rPr>
        <w:t>小微企业，采购单位为</w:t>
      </w:r>
      <w:r>
        <w:rPr>
          <w:rFonts w:hint="eastAsia" w:ascii="宋体" w:hAnsi="宋体" w:eastAsia="宋体" w:cs="宋体"/>
          <w:b/>
          <w:bCs/>
          <w:sz w:val="24"/>
          <w:szCs w:val="24"/>
        </w:rPr>
        <w:t>区县（含）级以上政府（含事业单位）预算部门</w:t>
      </w:r>
      <w:r>
        <w:rPr>
          <w:rFonts w:hint="eastAsia" w:ascii="宋体" w:hAnsi="宋体" w:eastAsia="宋体" w:cs="宋体"/>
          <w:sz w:val="24"/>
          <w:szCs w:val="24"/>
        </w:rPr>
        <w:t>，采购资金来源为财政资金。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融资额度：供应商融资最高不超过订单金额</w:t>
      </w:r>
      <w:r>
        <w:rPr>
          <w:rFonts w:hint="eastAsia" w:ascii="宋体" w:hAnsi="宋体" w:eastAsia="宋体" w:cs="宋体"/>
          <w:sz w:val="24"/>
          <w:szCs w:val="24"/>
          <w:lang w:val="en-US" w:eastAsia="zh-CN"/>
        </w:rPr>
        <w:t>9</w:t>
      </w:r>
      <w:r>
        <w:rPr>
          <w:rFonts w:hint="eastAsia" w:ascii="宋体" w:hAnsi="宋体" w:eastAsia="宋体" w:cs="宋体"/>
          <w:sz w:val="24"/>
          <w:szCs w:val="24"/>
        </w:rPr>
        <w:t>0%</w:t>
      </w:r>
      <w:r>
        <w:rPr>
          <w:rFonts w:hint="eastAsia" w:ascii="宋体" w:hAnsi="宋体" w:eastAsia="宋体" w:cs="宋体"/>
          <w:sz w:val="24"/>
          <w:szCs w:val="24"/>
          <w:lang w:eastAsia="zh-CN"/>
        </w:rPr>
        <w:t>，单笔金额最高</w:t>
      </w:r>
      <w:r>
        <w:rPr>
          <w:rFonts w:hint="eastAsia" w:ascii="宋体" w:hAnsi="宋体" w:eastAsia="宋体" w:cs="宋体"/>
          <w:sz w:val="24"/>
          <w:szCs w:val="24"/>
          <w:lang w:val="en-US" w:eastAsia="zh-CN"/>
        </w:rPr>
        <w:t>500万元</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贷款期限：根据政府采购合同等内容确定贷款期限，最长</w:t>
      </w:r>
      <w:r>
        <w:rPr>
          <w:rFonts w:hint="eastAsia" w:ascii="宋体" w:hAnsi="宋体" w:eastAsia="宋体" w:cs="宋体"/>
          <w:sz w:val="24"/>
          <w:szCs w:val="24"/>
          <w:lang w:eastAsia="zh-CN"/>
        </w:rPr>
        <w:t>不超过</w:t>
      </w:r>
      <w:r>
        <w:rPr>
          <w:rFonts w:hint="eastAsia" w:ascii="宋体" w:hAnsi="宋体" w:eastAsia="宋体" w:cs="宋体"/>
          <w:sz w:val="24"/>
          <w:szCs w:val="24"/>
          <w:lang w:val="en-US" w:eastAsia="zh-CN"/>
        </w:rPr>
        <w:t>3</w:t>
      </w:r>
      <w:r>
        <w:rPr>
          <w:rFonts w:hint="eastAsia" w:ascii="宋体" w:hAnsi="宋体" w:eastAsia="宋体" w:cs="宋体"/>
          <w:sz w:val="24"/>
          <w:szCs w:val="24"/>
        </w:rPr>
        <w:t>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贷款利率：融资利率参考最近市场利率（LPR）合理确定。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rPr>
        <w:t>办理手续：供应商与工行取得联系，开立账户</w:t>
      </w:r>
      <w:r>
        <w:rPr>
          <w:rFonts w:hint="eastAsia" w:ascii="宋体" w:hAnsi="宋体" w:eastAsia="宋体" w:cs="宋体"/>
          <w:sz w:val="24"/>
          <w:szCs w:val="24"/>
          <w:lang w:eastAsia="zh-CN"/>
        </w:rPr>
        <w:t>与</w:t>
      </w:r>
      <w:r>
        <w:rPr>
          <w:rFonts w:hint="eastAsia" w:ascii="宋体" w:hAnsi="宋体" w:eastAsia="宋体" w:cs="宋体"/>
          <w:sz w:val="24"/>
          <w:szCs w:val="24"/>
        </w:rPr>
        <w:t>网上银行。</w:t>
      </w:r>
      <w:r>
        <w:rPr>
          <w:rFonts w:hint="eastAsia" w:ascii="宋体" w:hAnsi="宋体" w:eastAsia="宋体" w:cs="宋体"/>
          <w:b w:val="0"/>
          <w:bCs w:val="0"/>
          <w:color w:val="10000A"/>
          <w:sz w:val="24"/>
          <w:szCs w:val="24"/>
          <w:highlight w:val="none"/>
        </w:rPr>
        <w:t>客户经理根据推送信息开展线下</w:t>
      </w:r>
      <w:r>
        <w:rPr>
          <w:rFonts w:hint="eastAsia" w:ascii="宋体" w:hAnsi="宋体" w:eastAsia="宋体" w:cs="宋体"/>
          <w:b w:val="0"/>
          <w:bCs w:val="0"/>
          <w:color w:val="10000A"/>
          <w:sz w:val="24"/>
          <w:szCs w:val="24"/>
          <w:highlight w:val="none"/>
          <w:lang w:val="en-US" w:eastAsia="zh-CN"/>
        </w:rPr>
        <w:t>信息核实</w:t>
      </w:r>
      <w:r>
        <w:rPr>
          <w:rFonts w:hint="eastAsia" w:ascii="宋体" w:hAnsi="宋体" w:eastAsia="宋体" w:cs="宋体"/>
          <w:b w:val="0"/>
          <w:bCs w:val="0"/>
          <w:color w:val="10000A"/>
          <w:sz w:val="24"/>
          <w:szCs w:val="24"/>
          <w:highlight w:val="none"/>
        </w:rPr>
        <w:t>工作，</w:t>
      </w:r>
      <w:r>
        <w:rPr>
          <w:rFonts w:hint="eastAsia" w:ascii="宋体" w:hAnsi="宋体" w:eastAsia="宋体" w:cs="宋体"/>
          <w:sz w:val="24"/>
          <w:szCs w:val="24"/>
          <w:lang w:eastAsia="zh-CN"/>
        </w:rPr>
        <w:t>工商银行申报白名单导入，办妥相关质押或担保后，借款人</w:t>
      </w:r>
      <w:r>
        <w:rPr>
          <w:rFonts w:hint="eastAsia" w:ascii="宋体" w:hAnsi="宋体" w:eastAsia="宋体" w:cs="宋体"/>
          <w:sz w:val="24"/>
          <w:szCs w:val="24"/>
        </w:rPr>
        <w:t>通过工行网上银行</w:t>
      </w:r>
      <w:r>
        <w:rPr>
          <w:rFonts w:hint="eastAsia" w:ascii="宋体" w:hAnsi="宋体" w:eastAsia="宋体" w:cs="宋体"/>
          <w:sz w:val="24"/>
          <w:szCs w:val="24"/>
          <w:lang w:eastAsia="zh-CN"/>
        </w:rPr>
        <w:t>自助提款</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425"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6.</w:t>
      </w:r>
      <w:r>
        <w:rPr>
          <w:rFonts w:hint="eastAsia" w:ascii="宋体" w:hAnsi="宋体" w:eastAsia="宋体" w:cs="宋体"/>
          <w:sz w:val="24"/>
          <w:szCs w:val="24"/>
          <w:lang w:val="en-US" w:eastAsia="zh-CN"/>
        </w:rPr>
        <w:t>产品优势：适用范围广（县、区级财政均可）</w:t>
      </w:r>
      <w:r>
        <w:rPr>
          <w:rFonts w:hint="eastAsia" w:ascii="宋体" w:hAnsi="宋体" w:eastAsia="宋体" w:cs="宋体"/>
          <w:sz w:val="24"/>
          <w:szCs w:val="24"/>
          <w:lang w:eastAsia="zh-CN"/>
        </w:rPr>
        <w:t>放款快（在线审批，快捷放款）；操作便捷（流程简捷，全线上化操作）；还款灵活（支持多种还款付息方式，支持提前还款）。</w:t>
      </w:r>
    </w:p>
    <w:p>
      <w:pPr>
        <w:spacing w:line="240" w:lineRule="auto"/>
        <w:ind w:firstLine="720" w:firstLineChars="200"/>
        <w:jc w:val="center"/>
        <w:rPr>
          <w:rFonts w:hint="eastAsia" w:ascii="宋体" w:hAnsi="宋体" w:eastAsia="宋体" w:cs="宋体"/>
          <w:b/>
          <w:color w:val="0000FF"/>
          <w:sz w:val="36"/>
          <w:szCs w:val="36"/>
          <w:highlight w:val="yellow"/>
        </w:rPr>
      </w:pPr>
      <w:r>
        <w:rPr>
          <w:rFonts w:hint="eastAsia" w:ascii="宋体" w:hAnsi="宋体" w:eastAsia="宋体" w:cs="宋体"/>
          <w:b w:val="0"/>
          <w:bCs w:val="0"/>
          <w:color w:val="0000FF"/>
          <w:sz w:val="36"/>
          <w:szCs w:val="36"/>
          <w:highlight w:val="yellow"/>
          <w:lang w:val="zh-TW" w:eastAsia="zh-CN"/>
        </w:rPr>
        <w:t>中原银行洛阳分行“政采贷”产品简介</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政采贷是中原银行为成功中标河南省政府采购项目的小微企业提供的融资服务。</w:t>
      </w:r>
    </w:p>
    <w:p>
      <w:pPr>
        <w:spacing w:line="24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产品特点</w:t>
      </w:r>
    </w:p>
    <w:p>
      <w:pPr>
        <w:spacing w:line="240" w:lineRule="auto"/>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中标申请、资料简单</w:t>
      </w:r>
    </w:p>
    <w:p>
      <w:pPr>
        <w:spacing w:line="240" w:lineRule="auto"/>
        <w:ind w:left="408" w:leftChars="170" w:firstLine="480" w:firstLineChars="200"/>
        <w:jc w:val="left"/>
        <w:rPr>
          <w:rFonts w:hint="eastAsia" w:ascii="宋体" w:hAnsi="宋体" w:eastAsia="宋体" w:cs="宋体"/>
          <w:sz w:val="24"/>
          <w:szCs w:val="24"/>
        </w:rPr>
      </w:pPr>
      <w:r>
        <w:rPr>
          <w:rFonts w:hint="eastAsia" w:ascii="宋体" w:hAnsi="宋体" w:eastAsia="宋体" w:cs="宋体"/>
          <w:sz w:val="24"/>
          <w:szCs w:val="24"/>
        </w:rPr>
        <w:t>可向中标企业注册所在地的中原银行申请，“中原银行小微金融”微信小程序、政府采购网等渠道实现全线上申请</w:t>
      </w:r>
    </w:p>
    <w:p>
      <w:pPr>
        <w:spacing w:line="24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担保简单、备案放款</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无抵押，仅需在合同中签订中原银行保证金账号</w:t>
      </w:r>
    </w:p>
    <w:p>
      <w:pPr>
        <w:spacing w:line="24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最高额审批、额度千万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最高可贷1000万，最长可贷1年</w:t>
      </w:r>
    </w:p>
    <w:p>
      <w:pPr>
        <w:spacing w:line="24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准入条件</w:t>
      </w:r>
    </w:p>
    <w:p>
      <w:pPr>
        <w:spacing w:line="24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中标企业成立1年以上，经营稳定</w:t>
      </w:r>
    </w:p>
    <w:p>
      <w:pPr>
        <w:spacing w:line="24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中标项目类型为货物类、服务类、工程类</w:t>
      </w:r>
    </w:p>
    <w:p>
      <w:pPr>
        <w:spacing w:line="24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中原银行洛阳分行“政采贷”联系人：</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分管领导：陈勃   15837979663</w:t>
      </w:r>
    </w:p>
    <w:p>
      <w:pPr>
        <w:spacing w:line="240" w:lineRule="auto"/>
        <w:ind w:firstLine="480" w:firstLineChars="200"/>
        <w:rPr>
          <w:rFonts w:hint="eastAsia" w:ascii="宋体" w:hAnsi="宋体" w:eastAsia="宋体" w:cs="宋体"/>
          <w:b w:val="0"/>
          <w:bCs w:val="0"/>
          <w:color w:val="0000FF"/>
          <w:sz w:val="36"/>
          <w:szCs w:val="36"/>
          <w:highlight w:val="yellow"/>
          <w:lang w:val="zh-TW" w:eastAsia="zh-CN"/>
        </w:rPr>
      </w:pPr>
      <w:r>
        <w:rPr>
          <w:rFonts w:hint="eastAsia" w:ascii="宋体" w:hAnsi="宋体" w:eastAsia="宋体" w:cs="宋体"/>
          <w:sz w:val="24"/>
          <w:szCs w:val="24"/>
        </w:rPr>
        <w:t>信贷经理：罗蓓蕾 15838820766</w:t>
      </w:r>
    </w:p>
    <w:p>
      <w:pPr>
        <w:spacing w:line="240" w:lineRule="auto"/>
        <w:ind w:left="1076" w:leftChars="0" w:hanging="1076" w:hangingChars="299"/>
        <w:jc w:val="center"/>
        <w:rPr>
          <w:rFonts w:hint="eastAsia" w:ascii="宋体" w:hAnsi="宋体" w:eastAsia="宋体" w:cs="宋体"/>
          <w:b w:val="0"/>
          <w:bCs w:val="0"/>
          <w:color w:val="0000FF"/>
          <w:sz w:val="36"/>
          <w:szCs w:val="36"/>
          <w:highlight w:val="yellow"/>
          <w:lang w:val="zh-TW" w:eastAsia="zh-CN"/>
        </w:rPr>
      </w:pPr>
      <w:r>
        <w:rPr>
          <w:rFonts w:hint="eastAsia" w:ascii="宋体" w:hAnsi="宋体" w:eastAsia="宋体" w:cs="宋体"/>
          <w:b w:val="0"/>
          <w:bCs w:val="0"/>
          <w:color w:val="0000FF"/>
          <w:sz w:val="36"/>
          <w:szCs w:val="36"/>
          <w:highlight w:val="yellow"/>
          <w:lang w:val="zh-TW" w:eastAsia="zh-CN"/>
        </w:rPr>
        <w:t>郑州银行洛阳分行</w:t>
      </w:r>
    </w:p>
    <w:p>
      <w:pPr>
        <w:spacing w:line="240" w:lineRule="auto"/>
        <w:ind w:left="1076" w:leftChars="0" w:hanging="1076" w:hangingChars="299"/>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FF"/>
          <w:sz w:val="36"/>
          <w:szCs w:val="36"/>
          <w:highlight w:val="yellow"/>
          <w:lang w:val="zh-TW" w:eastAsia="zh-CN"/>
        </w:rPr>
        <w:t>政府采购融资贷联系方式及融资产品介绍</w:t>
      </w:r>
    </w:p>
    <w:p>
      <w:pPr>
        <w:spacing w:line="24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一、联系方式：</w:t>
      </w:r>
    </w:p>
    <w:tbl>
      <w:tblPr>
        <w:tblStyle w:val="6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240" w:lineRule="auto"/>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联系人</w:t>
            </w:r>
          </w:p>
        </w:tc>
        <w:tc>
          <w:tcPr>
            <w:tcW w:w="2130" w:type="dxa"/>
            <w:noWrap w:val="0"/>
            <w:vAlign w:val="center"/>
          </w:tcPr>
          <w:p>
            <w:pPr>
              <w:spacing w:line="240" w:lineRule="auto"/>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职务</w:t>
            </w:r>
          </w:p>
        </w:tc>
        <w:tc>
          <w:tcPr>
            <w:tcW w:w="2131" w:type="dxa"/>
            <w:noWrap w:val="0"/>
            <w:vAlign w:val="center"/>
          </w:tcPr>
          <w:p>
            <w:pPr>
              <w:spacing w:line="240" w:lineRule="auto"/>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地址</w:t>
            </w:r>
          </w:p>
        </w:tc>
        <w:tc>
          <w:tcPr>
            <w:tcW w:w="2131" w:type="dxa"/>
            <w:noWrap w:val="0"/>
            <w:vAlign w:val="center"/>
          </w:tcPr>
          <w:p>
            <w:pPr>
              <w:spacing w:line="240" w:lineRule="auto"/>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30" w:type="dxa"/>
            <w:noWrap w:val="0"/>
            <w:vAlign w:val="center"/>
          </w:tcPr>
          <w:p>
            <w:pPr>
              <w:spacing w:line="240" w:lineRule="auto"/>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王剑</w:t>
            </w:r>
          </w:p>
        </w:tc>
        <w:tc>
          <w:tcPr>
            <w:tcW w:w="2130" w:type="dxa"/>
            <w:noWrap w:val="0"/>
            <w:vAlign w:val="center"/>
          </w:tcPr>
          <w:p>
            <w:pPr>
              <w:spacing w:line="240" w:lineRule="auto"/>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主任</w:t>
            </w:r>
          </w:p>
        </w:tc>
        <w:tc>
          <w:tcPr>
            <w:tcW w:w="2131" w:type="dxa"/>
            <w:vMerge w:val="restart"/>
            <w:noWrap w:val="0"/>
            <w:vAlign w:val="center"/>
          </w:tcPr>
          <w:p>
            <w:pPr>
              <w:spacing w:line="240" w:lineRule="auto"/>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洛阳市洛龙区关林路与厚载门街交叉口隆安大厦</w:t>
            </w:r>
          </w:p>
        </w:tc>
        <w:tc>
          <w:tcPr>
            <w:tcW w:w="2131" w:type="dxa"/>
            <w:noWrap w:val="0"/>
            <w:vAlign w:val="center"/>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13838808890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30" w:type="dxa"/>
            <w:noWrap w:val="0"/>
            <w:vAlign w:val="center"/>
          </w:tcPr>
          <w:p>
            <w:pPr>
              <w:spacing w:line="240" w:lineRule="auto"/>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杨洋</w:t>
            </w:r>
          </w:p>
        </w:tc>
        <w:tc>
          <w:tcPr>
            <w:tcW w:w="2130" w:type="dxa"/>
            <w:noWrap w:val="0"/>
            <w:vAlign w:val="center"/>
          </w:tcPr>
          <w:p>
            <w:pPr>
              <w:spacing w:line="240" w:lineRule="auto"/>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业务负责人</w:t>
            </w:r>
          </w:p>
        </w:tc>
        <w:tc>
          <w:tcPr>
            <w:tcW w:w="2131" w:type="dxa"/>
            <w:vMerge w:val="continue"/>
            <w:noWrap w:val="0"/>
            <w:vAlign w:val="center"/>
          </w:tcPr>
          <w:p>
            <w:pPr>
              <w:spacing w:line="240" w:lineRule="auto"/>
              <w:jc w:val="center"/>
              <w:rPr>
                <w:rFonts w:hint="eastAsia" w:ascii="宋体" w:hAnsi="宋体" w:eastAsia="宋体" w:cs="宋体"/>
                <w:b w:val="0"/>
                <w:bCs w:val="0"/>
                <w:sz w:val="24"/>
                <w:szCs w:val="24"/>
                <w:vertAlign w:val="baseline"/>
                <w:lang w:eastAsia="zh-CN"/>
              </w:rPr>
            </w:pPr>
          </w:p>
        </w:tc>
        <w:tc>
          <w:tcPr>
            <w:tcW w:w="2131" w:type="dxa"/>
            <w:noWrap w:val="0"/>
            <w:vAlign w:val="center"/>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15896531927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240" w:lineRule="auto"/>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周宜辉</w:t>
            </w:r>
          </w:p>
        </w:tc>
        <w:tc>
          <w:tcPr>
            <w:tcW w:w="2130" w:type="dxa"/>
            <w:noWrap w:val="0"/>
            <w:vAlign w:val="center"/>
          </w:tcPr>
          <w:p>
            <w:pPr>
              <w:spacing w:line="240" w:lineRule="auto"/>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客户经理</w:t>
            </w:r>
          </w:p>
        </w:tc>
        <w:tc>
          <w:tcPr>
            <w:tcW w:w="2131" w:type="dxa"/>
            <w:vMerge w:val="continue"/>
            <w:noWrap w:val="0"/>
            <w:vAlign w:val="center"/>
          </w:tcPr>
          <w:p>
            <w:pPr>
              <w:spacing w:line="240" w:lineRule="auto"/>
              <w:jc w:val="center"/>
              <w:rPr>
                <w:rFonts w:hint="eastAsia" w:ascii="宋体" w:hAnsi="宋体" w:eastAsia="宋体" w:cs="宋体"/>
                <w:b w:val="0"/>
                <w:bCs w:val="0"/>
                <w:sz w:val="24"/>
                <w:szCs w:val="24"/>
                <w:vertAlign w:val="baseline"/>
              </w:rPr>
            </w:pPr>
          </w:p>
        </w:tc>
        <w:tc>
          <w:tcPr>
            <w:tcW w:w="2131" w:type="dxa"/>
            <w:noWrap w:val="0"/>
            <w:vAlign w:val="center"/>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15036316707</w:t>
            </w:r>
          </w:p>
        </w:tc>
      </w:tr>
    </w:tbl>
    <w:p>
      <w:pPr>
        <w:spacing w:line="24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二、融资产品介绍：</w:t>
      </w:r>
    </w:p>
    <w:p>
      <w:pPr>
        <w:spacing w:line="24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E采贷”是郑州银行作为参与政府采购的中小企业量身定制的用于政府采购合同履约，并以政府回款为还款来源的贷款产品。该产品主要解决政府采购商中标垫资的痛点，帮助中标企业快速、高效、便捷获取银行资金。告别采购融资难，政府中标即可贷。优先支持纳入省市级财政预算的服务贸易类行业企业。</w:t>
      </w:r>
    </w:p>
    <w:p>
      <w:pPr>
        <w:spacing w:line="240" w:lineRule="auto"/>
        <w:ind w:firstLine="482"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“E采贷”五大特点</w:t>
      </w:r>
      <w:r>
        <w:rPr>
          <w:rFonts w:hint="eastAsia" w:ascii="宋体" w:hAnsi="宋体" w:eastAsia="宋体" w:cs="宋体"/>
          <w:b w:val="0"/>
          <w:bCs w:val="0"/>
          <w:sz w:val="24"/>
          <w:szCs w:val="24"/>
          <w:lang w:val="en-US" w:eastAsia="zh-CN"/>
        </w:rPr>
        <w:t>：1.纯信用：无需抵押、担保；2.更灵活：随借随还，按需支用；3.额度高：最高为上年度中标额的1.3倍，单笔最高1000万元；4.适用广：在河南省政府采购网（www.hngp.gov.cn）有备案信息即可准入；5.效率高：绿色通道，保证时效。</w:t>
      </w:r>
    </w:p>
    <w:p>
      <w:pPr>
        <w:spacing w:line="240" w:lineRule="auto"/>
        <w:ind w:firstLine="482"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业务流程</w:t>
      </w:r>
      <w:r>
        <w:rPr>
          <w:rFonts w:hint="eastAsia" w:ascii="宋体" w:hAnsi="宋体" w:eastAsia="宋体" w:cs="宋体"/>
          <w:b w:val="0"/>
          <w:bCs w:val="0"/>
          <w:sz w:val="24"/>
          <w:szCs w:val="24"/>
          <w:lang w:val="en-US" w:eastAsia="zh-CN"/>
        </w:rPr>
        <w:t>：</w:t>
      </w:r>
    </w:p>
    <w:p>
      <w:pPr>
        <w:spacing w:line="24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1.企业申请：凭政府采购中标通知书，向郑州银行提出授信申请。</w:t>
      </w:r>
    </w:p>
    <w:p>
      <w:pPr>
        <w:spacing w:line="24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2.银行审批：客户经理现场调查，3个工作日反馈审批结果。</w:t>
      </w:r>
    </w:p>
    <w:p>
      <w:pPr>
        <w:spacing w:line="24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3.企业提款：凭政府采购合同、购销合同等即可提款使用。</w:t>
      </w:r>
    </w:p>
    <w:p>
      <w:pPr>
        <w:spacing w:line="240" w:lineRule="auto"/>
        <w:ind w:firstLine="482"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利率及优惠政策</w:t>
      </w:r>
      <w:r>
        <w:rPr>
          <w:rFonts w:hint="eastAsia" w:ascii="宋体" w:hAnsi="宋体" w:eastAsia="宋体" w:cs="宋体"/>
          <w:b w:val="0"/>
          <w:bCs w:val="0"/>
          <w:sz w:val="24"/>
          <w:szCs w:val="24"/>
          <w:lang w:val="en-US" w:eastAsia="zh-CN"/>
        </w:rPr>
        <w:t>：</w:t>
      </w:r>
    </w:p>
    <w:p>
      <w:pPr>
        <w:spacing w:line="24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贸易类不低于5.5%，工程类不低于6.5%，对符合条件的小微企业实行减费让利政策，减少客户融资成本（不存在与贷款捆绑强制收费；只收费不服务；超范围、超标准收费；转嫁成本收费；不执行政府指导价、政府定价等提升企业贷款成本的现象）着力解决小微企业“融资难”“融资贵”的问题帮助客户更好成长。分行所有收费项目均严格根据监管部门和总行要求执行，我行对银行账户一律免收账户管理费。</w:t>
      </w:r>
    </w:p>
    <w:p>
      <w:pPr>
        <w:spacing w:line="240" w:lineRule="auto"/>
        <w:ind w:firstLine="720" w:firstLineChars="200"/>
        <w:jc w:val="center"/>
        <w:rPr>
          <w:rFonts w:hint="eastAsia" w:ascii="宋体" w:hAnsi="宋体" w:eastAsia="宋体" w:cs="宋体"/>
          <w:b w:val="0"/>
          <w:bCs w:val="0"/>
          <w:color w:val="0000FF"/>
          <w:sz w:val="36"/>
          <w:szCs w:val="36"/>
          <w:highlight w:val="yellow"/>
          <w:lang w:eastAsia="zh-CN"/>
        </w:rPr>
      </w:pPr>
      <w:r>
        <w:rPr>
          <w:rFonts w:hint="eastAsia" w:ascii="宋体" w:hAnsi="宋体" w:eastAsia="宋体" w:cs="宋体"/>
          <w:b w:val="0"/>
          <w:bCs w:val="0"/>
          <w:color w:val="0000FF"/>
          <w:sz w:val="36"/>
          <w:szCs w:val="36"/>
          <w:highlight w:val="yellow"/>
          <w:lang w:val="en-US" w:eastAsia="zh-CN"/>
        </w:rPr>
        <w:t>中信银行洛阳分行</w:t>
      </w:r>
      <w:r>
        <w:rPr>
          <w:rFonts w:hint="eastAsia" w:ascii="宋体" w:hAnsi="宋体" w:cs="宋体"/>
          <w:b w:val="0"/>
          <w:bCs w:val="0"/>
          <w:color w:val="0000FF"/>
          <w:sz w:val="36"/>
          <w:szCs w:val="36"/>
          <w:highlight w:val="yellow"/>
          <w:lang w:val="en-US" w:eastAsia="zh-CN"/>
        </w:rPr>
        <w:t>“</w:t>
      </w:r>
      <w:r>
        <w:rPr>
          <w:rFonts w:hint="eastAsia" w:ascii="宋体" w:hAnsi="宋体" w:eastAsia="宋体" w:cs="宋体"/>
          <w:b w:val="0"/>
          <w:bCs w:val="0"/>
          <w:color w:val="0000FF"/>
          <w:sz w:val="36"/>
          <w:szCs w:val="36"/>
          <w:highlight w:val="yellow"/>
          <w:lang w:val="en-US" w:eastAsia="zh-CN"/>
        </w:rPr>
        <w:t>政采贷</w:t>
      </w:r>
      <w:r>
        <w:rPr>
          <w:rFonts w:hint="eastAsia" w:ascii="宋体" w:hAnsi="宋体" w:cs="宋体"/>
          <w:b w:val="0"/>
          <w:bCs w:val="0"/>
          <w:color w:val="0000FF"/>
          <w:sz w:val="36"/>
          <w:szCs w:val="36"/>
          <w:highlight w:val="yellow"/>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一、产品释义</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“政采贷”是中信银行为政府采购中标小微企业提供的特色融资业务，致力于解决政府采购上游供应商的融资难题。</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二、产品特点</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授信额度高、</w:t>
      </w:r>
      <w:r>
        <w:rPr>
          <w:rFonts w:hint="eastAsia" w:ascii="宋体" w:hAnsi="宋体" w:eastAsia="宋体" w:cs="宋体"/>
          <w:kern w:val="0"/>
          <w:sz w:val="24"/>
          <w:szCs w:val="24"/>
          <w:shd w:val="clear" w:color="auto" w:fill="auto"/>
          <w:lang w:val="en-US" w:eastAsia="zh-CN" w:bidi="ar"/>
        </w:rPr>
        <w:t>授信期限长、担保方式活</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三、产品内容</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金额最高1000万元（含）、</w:t>
      </w:r>
      <w:r>
        <w:rPr>
          <w:rFonts w:hint="eastAsia" w:ascii="宋体" w:hAnsi="宋体" w:eastAsia="宋体" w:cs="宋体"/>
          <w:kern w:val="0"/>
          <w:sz w:val="24"/>
          <w:szCs w:val="24"/>
          <w:shd w:val="clear" w:color="auto" w:fill="auto"/>
          <w:lang w:val="en-US" w:eastAsia="zh-CN" w:bidi="ar"/>
        </w:rPr>
        <w:t>贷款期限最长1年（含）、无需抵质押物</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四、申请基本条件</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有固定的经营场所</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color="auto" w:fill="auto"/>
          <w:lang w:val="en-US" w:eastAsia="zh-CN" w:bidi="ar"/>
        </w:rPr>
        <w:t>信用记录良好，无不良、违法行为；</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持续经营6个月（含）以上或实际控制人从业2年以上</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从事政府采购活动1年以上；</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具备政府采购投标资格且交易记录良好</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采购项目符合国家产业政策和资源环保政策要求</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五、申请资料</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营业执照；实际控制人身份证件；经营情况资料；从事政府采购活动资料；近一年政府采购回款的银行流水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中信银行洛阳分行</w:t>
      </w:r>
      <w:r>
        <w:rPr>
          <w:rFonts w:hint="eastAsia" w:ascii="宋体" w:hAnsi="宋体" w:cs="宋体"/>
          <w:b/>
          <w:kern w:val="0"/>
          <w:sz w:val="24"/>
          <w:szCs w:val="24"/>
          <w:lang w:val="en-US" w:eastAsia="zh-CN" w:bidi="ar"/>
        </w:rPr>
        <w:t>“</w:t>
      </w:r>
      <w:r>
        <w:rPr>
          <w:rFonts w:hint="eastAsia" w:ascii="宋体" w:hAnsi="宋体" w:eastAsia="宋体" w:cs="宋体"/>
          <w:b/>
          <w:kern w:val="0"/>
          <w:sz w:val="24"/>
          <w:szCs w:val="24"/>
          <w:lang w:val="en-US" w:eastAsia="zh-CN" w:bidi="ar"/>
        </w:rPr>
        <w:t>政采贷</w:t>
      </w:r>
      <w:r>
        <w:rPr>
          <w:rFonts w:hint="eastAsia" w:ascii="宋体" w:hAnsi="宋体" w:cs="宋体"/>
          <w:b/>
          <w:kern w:val="0"/>
          <w:sz w:val="24"/>
          <w:szCs w:val="24"/>
          <w:lang w:val="en-US" w:eastAsia="zh-CN" w:bidi="ar"/>
        </w:rPr>
        <w:t>”</w:t>
      </w:r>
      <w:r>
        <w:rPr>
          <w:rFonts w:hint="eastAsia" w:ascii="宋体" w:hAnsi="宋体" w:eastAsia="宋体" w:cs="宋体"/>
          <w:b/>
          <w:kern w:val="0"/>
          <w:sz w:val="24"/>
          <w:szCs w:val="24"/>
          <w:lang w:val="en-US" w:eastAsia="zh-CN" w:bidi="ar"/>
        </w:rPr>
        <w:t>联系人：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候一恺   中信银行洛阳分行客户经理 15139968801</w:t>
      </w:r>
    </w:p>
    <w:p>
      <w:pPr>
        <w:spacing w:line="240" w:lineRule="auto"/>
        <w:ind w:firstLine="562" w:firstLineChars="200"/>
        <w:jc w:val="center"/>
        <w:rPr>
          <w:rFonts w:hint="eastAsia" w:ascii="宋体" w:hAnsi="宋体" w:eastAsia="宋体" w:cs="宋体"/>
          <w:b/>
          <w:bCs/>
          <w:color w:val="0000FF"/>
          <w:sz w:val="28"/>
          <w:szCs w:val="28"/>
          <w:highlight w:val="yellow"/>
        </w:rPr>
      </w:pPr>
      <w:r>
        <w:rPr>
          <w:rFonts w:hint="eastAsia" w:ascii="宋体" w:hAnsi="宋体" w:eastAsia="宋体" w:cs="宋体"/>
          <w:b/>
          <w:bCs/>
          <w:color w:val="0000FF"/>
          <w:sz w:val="28"/>
          <w:szCs w:val="28"/>
          <w:highlight w:val="yellow"/>
        </w:rPr>
        <w:t>兴业银行洛阳分行</w:t>
      </w:r>
    </w:p>
    <w:p>
      <w:pPr>
        <w:spacing w:line="240" w:lineRule="auto"/>
        <w:ind w:firstLine="562" w:firstLineChars="200"/>
        <w:jc w:val="center"/>
        <w:rPr>
          <w:rFonts w:hint="eastAsia" w:ascii="宋体" w:hAnsi="宋体" w:eastAsia="宋体" w:cs="宋体"/>
          <w:b/>
          <w:bCs/>
          <w:color w:val="0000FF"/>
          <w:sz w:val="28"/>
          <w:szCs w:val="28"/>
          <w:highlight w:val="yellow"/>
        </w:rPr>
      </w:pPr>
      <w:r>
        <w:rPr>
          <w:rFonts w:hint="eastAsia" w:ascii="宋体" w:hAnsi="宋体" w:eastAsia="宋体" w:cs="宋体"/>
          <w:b/>
          <w:bCs/>
          <w:color w:val="0000FF"/>
          <w:sz w:val="28"/>
          <w:szCs w:val="28"/>
          <w:highlight w:val="yellow"/>
        </w:rPr>
        <w:t>政府采购融资联系方式及产品介绍</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一、联系方式：</w:t>
      </w:r>
      <w:r>
        <w:rPr>
          <w:rFonts w:hint="eastAsia" w:ascii="宋体" w:hAnsi="宋体" w:eastAsia="宋体" w:cs="宋体"/>
          <w:b w:val="0"/>
          <w:bCs w:val="0"/>
          <w:sz w:val="24"/>
          <w:szCs w:val="24"/>
          <w:lang w:val="en-US" w:eastAsia="zh-CN"/>
        </w:rPr>
        <w:t>分管领导：樊博（副行长、18638805299）；信贷经理：尚梅（市场营销部负责人、15538855595）；具体联系人：王文帅（产品经理、15824913655）</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二、产品介绍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授信额度：最高不超过1000万元（含）。</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期限：主体授信额度有效期不超过1年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利率：自动生成贷款利率。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用途：贷款资金专项用于借款企业履行政府交易采购平台采购合同或订单所需的各类成本、费用及劳务支出等短期流动资金需求和日常经营周转需要。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担保方式：企业主个人提供连带责任保证，追加采购合同或订单对应的应收账款质押。</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支付方式：采用受托支付方式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还款方式：按月付息，本金可结合采购合同或订单情况及实际资金需求循环使用，采购合同或订单项下回款由系统自动扣划归还对应的贷款本息，借款企业也可自助提前还款。</w:t>
      </w:r>
    </w:p>
    <w:p>
      <w:pPr>
        <w:spacing w:line="240" w:lineRule="auto"/>
        <w:ind w:firstLine="720" w:firstLineChars="200"/>
        <w:jc w:val="center"/>
        <w:rPr>
          <w:rFonts w:hint="eastAsia" w:ascii="宋体" w:hAnsi="宋体" w:eastAsia="宋体" w:cs="宋体"/>
          <w:sz w:val="24"/>
          <w:szCs w:val="24"/>
          <w:lang w:val="en-US" w:eastAsia="zh-CN"/>
        </w:rPr>
      </w:pPr>
      <w:r>
        <w:rPr>
          <w:rFonts w:hint="eastAsia" w:ascii="宋体" w:hAnsi="宋体" w:eastAsia="宋体" w:cs="宋体"/>
          <w:b w:val="0"/>
          <w:bCs w:val="0"/>
          <w:color w:val="0000FF"/>
          <w:kern w:val="2"/>
          <w:sz w:val="36"/>
          <w:szCs w:val="36"/>
          <w:highlight w:val="yellow"/>
          <w:lang w:val="en-US" w:eastAsia="zh-CN" w:bidi="ar-SA"/>
        </w:rPr>
        <w:t>浦发银行政府采购融资贷联系方式及融资产品介绍</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一、联系方式</w:t>
      </w:r>
    </w:p>
    <w:tbl>
      <w:tblPr>
        <w:tblStyle w:val="6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505"/>
        <w:gridCol w:w="1903"/>
        <w:gridCol w:w="1833"/>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联系人</w:t>
            </w:r>
          </w:p>
        </w:tc>
        <w:tc>
          <w:tcPr>
            <w:tcW w:w="15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职务</w:t>
            </w:r>
          </w:p>
        </w:tc>
        <w:tc>
          <w:tcPr>
            <w:tcW w:w="19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地址</w:t>
            </w:r>
          </w:p>
        </w:tc>
        <w:tc>
          <w:tcPr>
            <w:tcW w:w="18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电话</w:t>
            </w:r>
          </w:p>
        </w:tc>
        <w:tc>
          <w:tcPr>
            <w:tcW w:w="1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苏冰</w:t>
            </w:r>
          </w:p>
        </w:tc>
        <w:tc>
          <w:tcPr>
            <w:tcW w:w="15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高级产品经理</w:t>
            </w:r>
          </w:p>
        </w:tc>
        <w:tc>
          <w:tcPr>
            <w:tcW w:w="19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洛阳市洛龙区展览路211号</w:t>
            </w:r>
          </w:p>
        </w:tc>
        <w:tc>
          <w:tcPr>
            <w:tcW w:w="18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18623790623</w:t>
            </w:r>
          </w:p>
        </w:tc>
        <w:tc>
          <w:tcPr>
            <w:tcW w:w="1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微信同手机号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汪乐阳</w:t>
            </w:r>
          </w:p>
        </w:tc>
        <w:tc>
          <w:tcPr>
            <w:tcW w:w="15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普惠金融部总经理</w:t>
            </w:r>
          </w:p>
        </w:tc>
        <w:tc>
          <w:tcPr>
            <w:tcW w:w="19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洛阳市洛龙区展览路211号</w:t>
            </w:r>
          </w:p>
        </w:tc>
        <w:tc>
          <w:tcPr>
            <w:tcW w:w="18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13698889966</w:t>
            </w:r>
          </w:p>
        </w:tc>
        <w:tc>
          <w:tcPr>
            <w:tcW w:w="15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微信同手机号</w:t>
            </w:r>
          </w:p>
        </w:tc>
      </w:tr>
    </w:tbl>
    <w:p>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二、融资产品介绍</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在您中标政府采购项目，从合同(订单)生效到最终收款期间，有没有因采购原材料、生产产品等产生资金压力，存在融资需求的情况。</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（一）产品介绍：</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“政采e贷”是由洛阳市财政局与浦发银行共同开发，基于政府采购合同，为供应商提供的信用贷款。</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（二）产品优势：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1.融资期限最长可达1年。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2.货物、服务类最高1000万元，工程类最高1500万元。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3.信用贷款，低门槛，循环额度，随借随还。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4.业务流程简单，在线秒级放款，尊享快捷体验。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5.总行补贴，融资利率有优惠。</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（三）适用客户：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1.在河南省境内注册的供应商，未列入河南省政府采购供应商黑名单。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2.人民银行征信系统无逾期、垫款等情况，且无其他不良信用记录。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firstLine="482" w:firstLineChars="20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3.政府采购中标区域：</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（1）河南省省直、郑州市（含市内各区）项目</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（2）洛阳市市直项目</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（3）河南其他地市市直项目</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（4）林州、长垣、新郑、禹州中标项目。</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（四）申请路径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1.供应商首先与联系人联系，提供企业基本证件、征信报告、中标合同、采购合同等进行客户准入和额度测算。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2.供应商来浦发银行开户，在政府采购合同中填写浦发银行账号。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3.（若客户已签署其他银行账号，则需要联系浦发银行进行备案银行账号变更）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4.授信审查和放款（资料齐全一周时间）</w:t>
      </w:r>
    </w:p>
    <w:p>
      <w:pPr>
        <w:spacing w:line="240" w:lineRule="auto"/>
        <w:ind w:firstLine="562" w:firstLineChars="200"/>
        <w:jc w:val="center"/>
        <w:rPr>
          <w:rFonts w:hint="eastAsia" w:ascii="宋体" w:hAnsi="宋体" w:eastAsia="宋体" w:cs="宋体"/>
          <w:b/>
          <w:bCs/>
          <w:color w:val="0000FF"/>
          <w:sz w:val="28"/>
          <w:szCs w:val="28"/>
          <w:highlight w:val="yellow"/>
        </w:rPr>
      </w:pPr>
      <w:r>
        <w:rPr>
          <w:rFonts w:hint="eastAsia" w:ascii="宋体" w:hAnsi="宋体" w:eastAsia="宋体" w:cs="宋体"/>
          <w:b/>
          <w:bCs/>
          <w:color w:val="0000FF"/>
          <w:sz w:val="28"/>
          <w:szCs w:val="28"/>
          <w:highlight w:val="yellow"/>
          <w:lang w:eastAsia="zh-CN"/>
        </w:rPr>
        <w:t>恒丰</w:t>
      </w:r>
      <w:r>
        <w:rPr>
          <w:rFonts w:hint="eastAsia" w:ascii="宋体" w:hAnsi="宋体" w:eastAsia="宋体" w:cs="宋体"/>
          <w:b/>
          <w:bCs/>
          <w:color w:val="0000FF"/>
          <w:sz w:val="28"/>
          <w:szCs w:val="28"/>
          <w:highlight w:val="yellow"/>
        </w:rPr>
        <w:t>银行政府采购融资贷联系方式</w:t>
      </w:r>
    </w:p>
    <w:p>
      <w:pPr>
        <w:spacing w:line="240" w:lineRule="auto"/>
        <w:ind w:firstLine="562" w:firstLineChars="200"/>
        <w:jc w:val="center"/>
        <w:rPr>
          <w:rFonts w:hint="eastAsia" w:ascii="宋体" w:hAnsi="宋体" w:eastAsia="宋体" w:cs="宋体"/>
          <w:b/>
          <w:bCs/>
          <w:color w:val="0000FF"/>
          <w:sz w:val="28"/>
          <w:szCs w:val="28"/>
          <w:highlight w:val="yellow"/>
        </w:rPr>
      </w:pPr>
      <w:r>
        <w:rPr>
          <w:rFonts w:hint="eastAsia" w:ascii="宋体" w:hAnsi="宋体" w:eastAsia="宋体" w:cs="宋体"/>
          <w:b/>
          <w:bCs/>
          <w:color w:val="0000FF"/>
          <w:sz w:val="28"/>
          <w:szCs w:val="28"/>
          <w:highlight w:val="yellow"/>
        </w:rPr>
        <w:t>及融资产品介绍</w:t>
      </w:r>
    </w:p>
    <w:p>
      <w:pPr>
        <w:spacing w:line="24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一、联系方式</w:t>
      </w:r>
    </w:p>
    <w:tbl>
      <w:tblPr>
        <w:tblStyle w:val="6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896"/>
        <w:gridCol w:w="2114"/>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联系人</w:t>
            </w:r>
          </w:p>
        </w:tc>
        <w:tc>
          <w:tcPr>
            <w:tcW w:w="1704"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职务</w:t>
            </w:r>
          </w:p>
        </w:tc>
        <w:tc>
          <w:tcPr>
            <w:tcW w:w="1896"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地址</w:t>
            </w:r>
          </w:p>
        </w:tc>
        <w:tc>
          <w:tcPr>
            <w:tcW w:w="2114"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电话</w:t>
            </w:r>
          </w:p>
        </w:tc>
        <w:tc>
          <w:tcPr>
            <w:tcW w:w="1104"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noWrap w:val="0"/>
            <w:vAlign w:val="center"/>
          </w:tcPr>
          <w:p>
            <w:pPr>
              <w:spacing w:line="240" w:lineRule="auto"/>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张龙妹</w:t>
            </w:r>
          </w:p>
        </w:tc>
        <w:tc>
          <w:tcPr>
            <w:tcW w:w="1704"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客户经理</w:t>
            </w:r>
          </w:p>
        </w:tc>
        <w:tc>
          <w:tcPr>
            <w:tcW w:w="1896" w:type="dxa"/>
            <w:vMerge w:val="restart"/>
            <w:noWrap w:val="0"/>
            <w:vAlign w:val="center"/>
          </w:tcPr>
          <w:p>
            <w:pPr>
              <w:spacing w:line="24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洛龙区展览路泉舜</w:t>
            </w:r>
            <w:r>
              <w:rPr>
                <w:rFonts w:hint="eastAsia" w:ascii="宋体" w:hAnsi="宋体" w:eastAsia="宋体" w:cs="宋体"/>
                <w:color w:val="000000"/>
                <w:sz w:val="22"/>
                <w:szCs w:val="22"/>
                <w:lang w:val="en-US" w:eastAsia="zh-CN"/>
              </w:rPr>
              <w:t>186西侧裙楼</w:t>
            </w:r>
          </w:p>
        </w:tc>
        <w:tc>
          <w:tcPr>
            <w:tcW w:w="2114" w:type="dxa"/>
            <w:noWrap w:val="0"/>
            <w:vAlign w:val="center"/>
          </w:tcPr>
          <w:p>
            <w:pPr>
              <w:spacing w:line="24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18538882575</w:t>
            </w:r>
          </w:p>
        </w:tc>
        <w:tc>
          <w:tcPr>
            <w:tcW w:w="1104" w:type="dxa"/>
            <w:noWrap w:val="0"/>
            <w:vAlign w:val="center"/>
          </w:tcPr>
          <w:p>
            <w:pPr>
              <w:spacing w:line="240" w:lineRule="auto"/>
              <w:jc w:val="center"/>
              <w:rPr>
                <w:rFonts w:hint="eastAsia"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noWrap w:val="0"/>
            <w:vAlign w:val="center"/>
          </w:tcPr>
          <w:p>
            <w:pPr>
              <w:spacing w:line="240" w:lineRule="auto"/>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张</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lang w:eastAsia="zh-CN"/>
              </w:rPr>
              <w:t>浩</w:t>
            </w:r>
          </w:p>
        </w:tc>
        <w:tc>
          <w:tcPr>
            <w:tcW w:w="1704" w:type="dxa"/>
            <w:noWrap w:val="0"/>
            <w:vAlign w:val="center"/>
          </w:tcPr>
          <w:p>
            <w:pPr>
              <w:spacing w:line="240" w:lineRule="auto"/>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公司</w:t>
            </w:r>
            <w:r>
              <w:rPr>
                <w:rFonts w:hint="eastAsia" w:ascii="宋体" w:hAnsi="宋体" w:eastAsia="宋体" w:cs="宋体"/>
                <w:color w:val="000000"/>
                <w:sz w:val="22"/>
                <w:szCs w:val="22"/>
                <w:lang w:eastAsia="zh-CN"/>
              </w:rPr>
              <w:t>金融</w:t>
            </w:r>
            <w:r>
              <w:rPr>
                <w:rFonts w:hint="eastAsia" w:ascii="宋体" w:hAnsi="宋体" w:eastAsia="宋体" w:cs="宋体"/>
                <w:color w:val="000000"/>
                <w:sz w:val="22"/>
                <w:szCs w:val="22"/>
              </w:rPr>
              <w:t>部</w:t>
            </w:r>
            <w:r>
              <w:rPr>
                <w:rFonts w:hint="eastAsia" w:ascii="宋体" w:hAnsi="宋体" w:eastAsia="宋体" w:cs="宋体"/>
                <w:color w:val="000000"/>
                <w:sz w:val="22"/>
                <w:szCs w:val="22"/>
                <w:lang w:eastAsia="zh-CN"/>
              </w:rPr>
              <w:t>负责人</w:t>
            </w:r>
          </w:p>
        </w:tc>
        <w:tc>
          <w:tcPr>
            <w:tcW w:w="1896" w:type="dxa"/>
            <w:vMerge w:val="continue"/>
            <w:noWrap w:val="0"/>
            <w:vAlign w:val="center"/>
          </w:tcPr>
          <w:p>
            <w:pPr>
              <w:spacing w:line="240" w:lineRule="auto"/>
              <w:jc w:val="center"/>
              <w:rPr>
                <w:rFonts w:hint="eastAsia" w:ascii="宋体" w:hAnsi="宋体" w:eastAsia="宋体" w:cs="宋体"/>
                <w:color w:val="000000"/>
                <w:sz w:val="22"/>
                <w:szCs w:val="22"/>
              </w:rPr>
            </w:pPr>
          </w:p>
        </w:tc>
        <w:tc>
          <w:tcPr>
            <w:tcW w:w="2114" w:type="dxa"/>
            <w:noWrap w:val="0"/>
            <w:vAlign w:val="center"/>
          </w:tcPr>
          <w:p>
            <w:pPr>
              <w:spacing w:line="24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18937966885</w:t>
            </w:r>
          </w:p>
        </w:tc>
        <w:tc>
          <w:tcPr>
            <w:tcW w:w="1104" w:type="dxa"/>
            <w:noWrap w:val="0"/>
            <w:vAlign w:val="center"/>
          </w:tcPr>
          <w:p>
            <w:pPr>
              <w:spacing w:line="240" w:lineRule="auto"/>
              <w:jc w:val="center"/>
              <w:rPr>
                <w:rFonts w:hint="eastAsia"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noWrap w:val="0"/>
            <w:vAlign w:val="center"/>
          </w:tcPr>
          <w:p>
            <w:pPr>
              <w:spacing w:line="240" w:lineRule="auto"/>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裴绍辉</w:t>
            </w:r>
          </w:p>
        </w:tc>
        <w:tc>
          <w:tcPr>
            <w:tcW w:w="1704" w:type="dxa"/>
            <w:noWrap w:val="0"/>
            <w:vAlign w:val="center"/>
          </w:tcPr>
          <w:p>
            <w:pPr>
              <w:spacing w:line="240" w:lineRule="auto"/>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分管行长</w:t>
            </w:r>
          </w:p>
        </w:tc>
        <w:tc>
          <w:tcPr>
            <w:tcW w:w="1896" w:type="dxa"/>
            <w:vMerge w:val="continue"/>
            <w:noWrap w:val="0"/>
            <w:vAlign w:val="center"/>
          </w:tcPr>
          <w:p>
            <w:pPr>
              <w:spacing w:line="240" w:lineRule="auto"/>
              <w:jc w:val="center"/>
              <w:rPr>
                <w:rFonts w:hint="eastAsia" w:ascii="宋体" w:hAnsi="宋体" w:eastAsia="宋体" w:cs="宋体"/>
                <w:color w:val="000000"/>
                <w:sz w:val="22"/>
                <w:szCs w:val="22"/>
              </w:rPr>
            </w:pPr>
          </w:p>
        </w:tc>
        <w:tc>
          <w:tcPr>
            <w:tcW w:w="2114" w:type="dxa"/>
            <w:noWrap w:val="0"/>
            <w:vAlign w:val="center"/>
          </w:tcPr>
          <w:p>
            <w:pPr>
              <w:spacing w:line="24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18637904888</w:t>
            </w:r>
          </w:p>
        </w:tc>
        <w:tc>
          <w:tcPr>
            <w:tcW w:w="1104" w:type="dxa"/>
            <w:noWrap w:val="0"/>
            <w:vAlign w:val="center"/>
          </w:tcPr>
          <w:p>
            <w:pPr>
              <w:spacing w:line="240" w:lineRule="auto"/>
              <w:jc w:val="center"/>
              <w:rPr>
                <w:rFonts w:hint="eastAsia" w:ascii="宋体" w:hAnsi="宋体" w:eastAsia="宋体" w:cs="宋体"/>
                <w:color w:val="000000"/>
                <w:sz w:val="22"/>
                <w:szCs w:val="22"/>
              </w:rPr>
            </w:pPr>
          </w:p>
        </w:tc>
      </w:tr>
    </w:tbl>
    <w:p>
      <w:pPr>
        <w:spacing w:line="24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二、融资产品介绍</w:t>
      </w:r>
    </w:p>
    <w:p>
      <w:pPr>
        <w:spacing w:line="24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恒丰银行“政采云贷”</w:t>
      </w:r>
    </w:p>
    <w:p>
      <w:pPr>
        <w:spacing w:line="24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针对政府采购项目中标小微客户在线发放用于采购项目</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不包括工程项目</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资金周转需要的流动资金贷款。</w:t>
      </w:r>
    </w:p>
    <w:p>
      <w:pPr>
        <w:spacing w:line="240" w:lineRule="auto"/>
        <w:ind w:firstLine="440" w:firstLineChars="200"/>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担保方式：</w:t>
      </w:r>
      <w:r>
        <w:rPr>
          <w:rFonts w:hint="eastAsia" w:ascii="宋体" w:hAnsi="宋体" w:eastAsia="宋体" w:cs="宋体"/>
          <w:color w:val="000000"/>
          <w:sz w:val="22"/>
          <w:szCs w:val="22"/>
        </w:rPr>
        <w:t>免抵押、</w:t>
      </w:r>
      <w:r>
        <w:rPr>
          <w:rFonts w:hint="eastAsia" w:ascii="宋体" w:hAnsi="宋体" w:eastAsia="宋体" w:cs="宋体"/>
          <w:color w:val="000000"/>
          <w:sz w:val="22"/>
          <w:szCs w:val="22"/>
          <w:lang w:eastAsia="zh-CN"/>
        </w:rPr>
        <w:t>无担保，开立指定回款账户</w:t>
      </w:r>
    </w:p>
    <w:p>
      <w:pPr>
        <w:spacing w:line="240" w:lineRule="auto"/>
        <w:ind w:firstLine="440" w:firstLineChars="200"/>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授信额度：单户授信最高不超过1000万元</w:t>
      </w:r>
    </w:p>
    <w:p>
      <w:pPr>
        <w:spacing w:line="240" w:lineRule="auto"/>
        <w:ind w:firstLine="440" w:firstLineChars="200"/>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授信期限：不超过一年，贷款到期日不晚于政府中标合同约定款日后的十个工作日</w:t>
      </w:r>
    </w:p>
    <w:p>
      <w:pPr>
        <w:spacing w:line="240" w:lineRule="auto"/>
        <w:ind w:firstLine="440" w:firstLineChars="200"/>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还款方式：按月付息，到期还本或阶段性还款</w:t>
      </w:r>
    </w:p>
    <w:p>
      <w:pPr>
        <w:spacing w:line="240" w:lineRule="auto"/>
        <w:ind w:firstLine="440" w:firstLineChars="200"/>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2.</w:t>
      </w:r>
      <w:r>
        <w:rPr>
          <w:rFonts w:hint="eastAsia" w:ascii="宋体" w:hAnsi="宋体" w:eastAsia="宋体" w:cs="宋体"/>
          <w:color w:val="000000"/>
          <w:sz w:val="22"/>
          <w:szCs w:val="22"/>
          <w:lang w:eastAsia="zh-CN"/>
        </w:rPr>
        <w:t>准入标准</w:t>
      </w:r>
    </w:p>
    <w:p>
      <w:pPr>
        <w:spacing w:line="240" w:lineRule="auto"/>
        <w:ind w:firstLine="440" w:firstLineChars="20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（1）企业成立一年以上，有</w:t>
      </w:r>
      <w:r>
        <w:rPr>
          <w:rFonts w:hint="eastAsia" w:ascii="宋体" w:hAnsi="宋体" w:eastAsia="宋体" w:cs="宋体"/>
          <w:color w:val="000000"/>
          <w:kern w:val="0"/>
          <w:sz w:val="22"/>
          <w:szCs w:val="22"/>
          <w:lang w:eastAsia="zh-CN"/>
        </w:rPr>
        <w:t>洛阳市</w:t>
      </w:r>
      <w:r>
        <w:rPr>
          <w:rFonts w:hint="eastAsia" w:ascii="宋体" w:hAnsi="宋体" w:eastAsia="宋体" w:cs="宋体"/>
          <w:color w:val="000000"/>
          <w:kern w:val="0"/>
          <w:sz w:val="22"/>
          <w:szCs w:val="22"/>
        </w:rPr>
        <w:t>固定经营场所</w:t>
      </w:r>
      <w:r>
        <w:rPr>
          <w:rFonts w:hint="eastAsia" w:ascii="宋体" w:hAnsi="宋体" w:eastAsia="宋体" w:cs="宋体"/>
          <w:color w:val="000000"/>
          <w:kern w:val="0"/>
          <w:sz w:val="22"/>
          <w:szCs w:val="22"/>
          <w:lang w:eastAsia="zh-CN"/>
        </w:rPr>
        <w:t>；企业实际控制人有</w:t>
      </w:r>
      <w:r>
        <w:rPr>
          <w:rFonts w:hint="eastAsia" w:ascii="宋体" w:hAnsi="宋体" w:eastAsia="宋体" w:cs="宋体"/>
          <w:color w:val="000000"/>
          <w:kern w:val="0"/>
          <w:sz w:val="22"/>
          <w:szCs w:val="22"/>
        </w:rPr>
        <w:t>两年以上行业从业经验。</w:t>
      </w:r>
    </w:p>
    <w:p>
      <w:pPr>
        <w:spacing w:line="240" w:lineRule="auto"/>
        <w:ind w:firstLine="440" w:firstLineChars="20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（2）企业及其实际控制人信誉良好，合法经营，无不良记录，无恶意违约记录。</w:t>
      </w:r>
    </w:p>
    <w:p>
      <w:pPr>
        <w:spacing w:line="240" w:lineRule="auto"/>
        <w:ind w:firstLine="440" w:firstLineChars="20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（3）我行信用评级结果在</w:t>
      </w:r>
      <w:r>
        <w:rPr>
          <w:rFonts w:hint="eastAsia" w:ascii="宋体" w:hAnsi="宋体" w:eastAsia="宋体" w:cs="宋体"/>
          <w:color w:val="000000"/>
          <w:kern w:val="0"/>
          <w:sz w:val="22"/>
          <w:szCs w:val="22"/>
          <w:lang w:val="en-US" w:eastAsia="zh-CN"/>
        </w:rPr>
        <w:t>B3</w:t>
      </w:r>
      <w:r>
        <w:rPr>
          <w:rFonts w:hint="eastAsia" w:ascii="宋体" w:hAnsi="宋体" w:eastAsia="宋体" w:cs="宋体"/>
          <w:color w:val="000000"/>
          <w:kern w:val="0"/>
          <w:sz w:val="22"/>
          <w:szCs w:val="22"/>
        </w:rPr>
        <w:t>三级以上。</w:t>
      </w:r>
    </w:p>
    <w:p>
      <w:pPr>
        <w:spacing w:line="240" w:lineRule="auto"/>
        <w:ind w:firstLine="440" w:firstLineChars="20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r>
        <w:rPr>
          <w:rFonts w:hint="eastAsia" w:ascii="宋体" w:hAnsi="宋体" w:eastAsia="宋体" w:cs="宋体"/>
          <w:color w:val="000000"/>
          <w:sz w:val="22"/>
          <w:szCs w:val="22"/>
        </w:rPr>
        <w:t>企业名下现有贷款合计不超过上年度总收入的45%。</w:t>
      </w:r>
    </w:p>
    <w:p>
      <w:pPr>
        <w:spacing w:line="240" w:lineRule="auto"/>
        <w:ind w:firstLine="440" w:firstLineChars="200"/>
        <w:jc w:val="left"/>
        <w:rPr>
          <w:rFonts w:hint="eastAsia" w:ascii="宋体" w:hAnsi="宋体" w:eastAsia="宋体" w:cs="宋体"/>
          <w:b/>
          <w:bCs/>
          <w:sz w:val="28"/>
          <w:szCs w:val="28"/>
        </w:rPr>
      </w:pPr>
      <w:r>
        <w:rPr>
          <w:rFonts w:hint="eastAsia" w:ascii="宋体" w:hAnsi="宋体" w:eastAsia="宋体" w:cs="宋体"/>
          <w:color w:val="000000"/>
          <w:sz w:val="22"/>
          <w:szCs w:val="22"/>
        </w:rPr>
        <w:t>（5）近两年有两次含以上政府中标记录，且供货履约情况良好。</w:t>
      </w:r>
    </w:p>
    <w:p>
      <w:pPr>
        <w:spacing w:line="240" w:lineRule="auto"/>
        <w:ind w:firstLine="562" w:firstLineChars="200"/>
        <w:jc w:val="center"/>
        <w:rPr>
          <w:rFonts w:hint="eastAsia" w:ascii="宋体" w:hAnsi="宋体" w:eastAsia="宋体" w:cs="宋体"/>
          <w:b/>
          <w:bCs/>
          <w:color w:val="0000FF"/>
          <w:sz w:val="28"/>
          <w:szCs w:val="28"/>
          <w:highlight w:val="yellow"/>
        </w:rPr>
      </w:pPr>
      <w:r>
        <w:rPr>
          <w:rFonts w:hint="eastAsia" w:ascii="宋体" w:hAnsi="宋体" w:eastAsia="宋体" w:cs="宋体"/>
          <w:b/>
          <w:bCs/>
          <w:color w:val="0000FF"/>
          <w:sz w:val="28"/>
          <w:szCs w:val="28"/>
          <w:highlight w:val="yellow"/>
        </w:rPr>
        <w:t>中国银行股份有限公司河南省分行普惠金融</w:t>
      </w:r>
    </w:p>
    <w:p>
      <w:pPr>
        <w:spacing w:line="240" w:lineRule="auto"/>
        <w:ind w:firstLine="562" w:firstLineChars="200"/>
        <w:jc w:val="center"/>
        <w:rPr>
          <w:rFonts w:hint="eastAsia" w:ascii="宋体" w:hAnsi="宋体" w:eastAsia="宋体" w:cs="宋体"/>
          <w:b/>
          <w:bCs/>
          <w:color w:val="0000FF"/>
          <w:sz w:val="28"/>
          <w:szCs w:val="28"/>
          <w:highlight w:val="yellow"/>
        </w:rPr>
      </w:pPr>
      <w:r>
        <w:rPr>
          <w:rFonts w:hint="eastAsia" w:ascii="宋体" w:hAnsi="宋体" w:eastAsia="宋体" w:cs="宋体"/>
          <w:b/>
          <w:bCs/>
          <w:color w:val="0000FF"/>
          <w:sz w:val="28"/>
          <w:szCs w:val="28"/>
          <w:highlight w:val="yellow"/>
        </w:rPr>
        <w:t>政采通宝业务服务方案</w:t>
      </w:r>
    </w:p>
    <w:p>
      <w:pPr>
        <w:spacing w:line="24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准入标准</w:t>
      </w:r>
      <w:r>
        <w:rPr>
          <w:rFonts w:hint="eastAsia" w:ascii="宋体" w:hAnsi="宋体" w:cs="宋体"/>
          <w:b w:val="0"/>
          <w:bCs w:val="0"/>
          <w:sz w:val="24"/>
          <w:szCs w:val="24"/>
          <w:lang w:val="en-US" w:eastAsia="zh-CN"/>
        </w:rPr>
        <w:t>：</w:t>
      </w:r>
    </w:p>
    <w:p>
      <w:pPr>
        <w:spacing w:line="24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1.持续经营2年（含）以上。</w:t>
      </w:r>
    </w:p>
    <w:p>
      <w:pPr>
        <w:spacing w:line="24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2.客户持有政府采购中标通知书（或以往年度有执行政府采购的记录），且政府采购业务无行政处罚记录。</w:t>
      </w:r>
      <w:r>
        <w:rPr>
          <w:rFonts w:hint="eastAsia" w:ascii="宋体" w:hAnsi="宋体" w:eastAsia="宋体" w:cs="宋体"/>
          <w:b w:val="0"/>
          <w:bCs w:val="0"/>
          <w:sz w:val="24"/>
          <w:szCs w:val="24"/>
          <w:lang w:val="en-US" w:eastAsia="zh-CN"/>
        </w:rPr>
        <w:cr/>
      </w:r>
      <w:r>
        <w:rPr>
          <w:rFonts w:hint="eastAsia" w:ascii="宋体" w:hAnsi="宋体" w:eastAsia="宋体" w:cs="宋体"/>
          <w:b w:val="0"/>
          <w:bCs w:val="0"/>
          <w:sz w:val="24"/>
          <w:szCs w:val="24"/>
          <w:lang w:val="en-US" w:eastAsia="zh-CN"/>
        </w:rPr>
        <w:t xml:space="preserve">    3.最近年度纳税申报收入不低于200万元。   </w:t>
      </w:r>
    </w:p>
    <w:p>
      <w:pPr>
        <w:spacing w:line="24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4.借款人及其法人代表、实际控制人信用良好。</w:t>
      </w:r>
    </w:p>
    <w:p>
      <w:pPr>
        <w:spacing w:line="24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5.单一客户“政采贷”授信总量最高金额不超过1000万元</w:t>
      </w:r>
    </w:p>
    <w:p>
      <w:pPr>
        <w:spacing w:line="24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6.单笔贷款期限不超过一年。</w:t>
      </w:r>
    </w:p>
    <w:p>
      <w:pPr>
        <w:spacing w:line="24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7.根据借款人生产经营及回款周期等特点，可采用按季付息，到期一次还本的还款方式，或分期偿还我行授信。</w:t>
      </w:r>
    </w:p>
    <w:p>
      <w:pPr>
        <w:spacing w:line="24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中国银行联系人：</w:t>
      </w:r>
    </w:p>
    <w:p>
      <w:pPr>
        <w:spacing w:line="24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负责人：朱宗沛  15978695077</w:t>
      </w:r>
    </w:p>
    <w:p>
      <w:pPr>
        <w:spacing w:line="240" w:lineRule="auto"/>
        <w:ind w:firstLine="480" w:firstLineChars="200"/>
        <w:jc w:val="left"/>
        <w:rPr>
          <w:rFonts w:hint="eastAsia" w:ascii="宋体" w:hAnsi="宋体" w:eastAsia="宋体" w:cs="宋体"/>
          <w:b/>
          <w:color w:val="0000FF"/>
          <w:sz w:val="36"/>
          <w:szCs w:val="36"/>
          <w:highlight w:val="yellow"/>
        </w:rPr>
      </w:pPr>
      <w:r>
        <w:rPr>
          <w:rFonts w:hint="eastAsia" w:ascii="宋体" w:hAnsi="宋体" w:eastAsia="宋体" w:cs="宋体"/>
          <w:b w:val="0"/>
          <w:bCs w:val="0"/>
          <w:sz w:val="24"/>
          <w:szCs w:val="24"/>
          <w:lang w:val="en-US" w:eastAsia="zh-CN"/>
        </w:rPr>
        <w:t>信贷经理：印晨  15038659275</w:t>
      </w:r>
    </w:p>
    <w:p>
      <w:pPr>
        <w:spacing w:line="240" w:lineRule="auto"/>
        <w:ind w:firstLine="720" w:firstLineChars="200"/>
        <w:jc w:val="center"/>
        <w:rPr>
          <w:rFonts w:hint="eastAsia" w:ascii="宋体" w:hAnsi="宋体" w:eastAsia="宋体" w:cs="宋体"/>
          <w:b w:val="0"/>
          <w:bCs/>
          <w:color w:val="0000FF"/>
          <w:sz w:val="36"/>
          <w:szCs w:val="36"/>
          <w:highlight w:val="yellow"/>
        </w:rPr>
      </w:pPr>
      <w:r>
        <w:rPr>
          <w:rFonts w:hint="eastAsia" w:ascii="宋体" w:hAnsi="宋体" w:eastAsia="宋体" w:cs="宋体"/>
          <w:b w:val="0"/>
          <w:bCs/>
          <w:color w:val="0000FF"/>
          <w:sz w:val="36"/>
          <w:szCs w:val="36"/>
          <w:highlight w:val="yellow"/>
        </w:rPr>
        <w:t>平安银行“政采E贷”产品介绍</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平安银行“政采E贷”是平安银行与采购中心对接后，基于互联网技术、政府采购数据等信息，为中标政府采购项目的企业提供的互联网信用贷款。</w:t>
      </w:r>
    </w:p>
    <w:p>
      <w:pPr>
        <w:spacing w:line="24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产品优势：</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额度高：线上最高500万元。</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申请易：5分钟完成线上申请。</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用款快：凭订单最快1天生效。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纯信用：凭政府中标订单即可融资。</w:t>
      </w:r>
    </w:p>
    <w:p>
      <w:pPr>
        <w:spacing w:line="24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产品申请资格： </w:t>
      </w:r>
    </w:p>
    <w:p>
      <w:pPr>
        <w:numPr>
          <w:ilvl w:val="0"/>
          <w:numId w:val="0"/>
        </w:numPr>
        <w:spacing w:line="240" w:lineRule="auto"/>
        <w:ind w:left="144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我行白名单财政项下的政府采购项目融资。</w:t>
      </w:r>
    </w:p>
    <w:p>
      <w:pPr>
        <w:numPr>
          <w:ilvl w:val="0"/>
          <w:numId w:val="0"/>
        </w:numPr>
        <w:spacing w:line="240" w:lineRule="auto"/>
        <w:ind w:left="144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有历史中标采购记录的政府采购供应商。</w:t>
      </w:r>
    </w:p>
    <w:p>
      <w:pPr>
        <w:numPr>
          <w:ilvl w:val="0"/>
          <w:numId w:val="0"/>
        </w:numPr>
        <w:spacing w:line="240" w:lineRule="auto"/>
        <w:ind w:left="144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企业及申请人信用良好。</w:t>
      </w:r>
    </w:p>
    <w:p>
      <w:pPr>
        <w:spacing w:line="24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期限、利率和还款方式： </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期限：1个月到1年。</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还款方式 ：先息后本、等额本息、等额本金。</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利率：年化利率低至6% 。</w:t>
      </w:r>
    </w:p>
    <w:p>
      <w:pPr>
        <w:spacing w:line="24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举例1：</w:t>
      </w:r>
      <w:r>
        <w:rPr>
          <w:rFonts w:hint="eastAsia" w:ascii="宋体" w:hAnsi="宋体" w:eastAsia="宋体" w:cs="宋体"/>
          <w:sz w:val="24"/>
          <w:szCs w:val="24"/>
        </w:rPr>
        <w:t>贷款100万元，3个月（先息后本，利率6%），前两个月需要支付利息5000元/月，到期还本付息。</w:t>
      </w:r>
    </w:p>
    <w:p>
      <w:pPr>
        <w:spacing w:line="24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举例2：</w:t>
      </w:r>
      <w:r>
        <w:rPr>
          <w:rFonts w:hint="eastAsia" w:ascii="宋体" w:hAnsi="宋体" w:eastAsia="宋体" w:cs="宋体"/>
          <w:sz w:val="24"/>
          <w:szCs w:val="24"/>
        </w:rPr>
        <w:t>贷款100万元，1年期限（等额本息，利率6%），每个月需要支付本息约86035元。</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平安银行洛阳分行联系人：</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总经理：    王煜    13523601120</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业务经理：  许洛周  13938876588</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业务负责人：许洛周  13938876588</w:t>
      </w:r>
    </w:p>
    <w:p>
      <w:pPr>
        <w:spacing w:line="240" w:lineRule="auto"/>
        <w:ind w:firstLine="720" w:firstLineChars="200"/>
        <w:jc w:val="center"/>
        <w:rPr>
          <w:rFonts w:hint="eastAsia" w:ascii="宋体" w:hAnsi="宋体" w:eastAsia="宋体" w:cs="宋体"/>
          <w:b w:val="0"/>
          <w:bCs/>
          <w:color w:val="0000FF"/>
          <w:sz w:val="36"/>
          <w:szCs w:val="36"/>
          <w:highlight w:val="yellow"/>
        </w:rPr>
      </w:pPr>
      <w:r>
        <w:rPr>
          <w:rFonts w:hint="eastAsia" w:ascii="宋体" w:hAnsi="宋体" w:eastAsia="宋体" w:cs="宋体"/>
          <w:b w:val="0"/>
          <w:bCs/>
          <w:color w:val="0000FF"/>
          <w:sz w:val="36"/>
          <w:szCs w:val="36"/>
          <w:highlight w:val="yellow"/>
        </w:rPr>
        <w:t>浙商银行</w:t>
      </w:r>
      <w:r>
        <w:rPr>
          <w:rFonts w:hint="eastAsia" w:ascii="宋体" w:hAnsi="宋体" w:eastAsia="宋体" w:cs="宋体"/>
          <w:b w:val="0"/>
          <w:bCs/>
          <w:color w:val="0000FF"/>
          <w:sz w:val="36"/>
          <w:szCs w:val="36"/>
          <w:highlight w:val="yellow"/>
          <w:lang w:eastAsia="zh-CN"/>
        </w:rPr>
        <w:t>“政采贷”</w:t>
      </w:r>
    </w:p>
    <w:p>
      <w:pPr>
        <w:pStyle w:val="21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贷款产品介绍</w:t>
      </w:r>
    </w:p>
    <w:p>
      <w:pPr>
        <w:pStyle w:val="21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采贷”是本行为在政府机关、事业单位、社会团体、国有企业等招标进行的采购活动中中标并签订采购合同的小微企业发放的，以采购人合同款支付作为还款来源的流动资金贷款。借款人为符合本行标准的小型、微型企业。融资模式包括采购合同融资模式与应收账款融资模式。采购项目包括货物类、服务类和部分工程类。</w:t>
      </w:r>
    </w:p>
    <w:p>
      <w:pPr>
        <w:pStyle w:val="21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w:t>
      </w:r>
      <w:r>
        <w:rPr>
          <w:rFonts w:hint="eastAsia" w:ascii="宋体" w:hAnsi="宋体" w:eastAsia="宋体" w:cs="宋体"/>
          <w:sz w:val="24"/>
          <w:szCs w:val="24"/>
        </w:rPr>
        <w:t xml:space="preserve">适用对象                            </w:t>
      </w:r>
    </w:p>
    <w:p>
      <w:pPr>
        <w:pStyle w:val="21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连续经营 2 年及以上或实际控制人有 3 年及以上相关行业从业经验经营状况良好，信用记录良好</w:t>
      </w:r>
      <w:r>
        <w:rPr>
          <w:rFonts w:hint="eastAsia" w:ascii="宋体" w:hAnsi="宋体" w:eastAsia="宋体" w:cs="宋体"/>
          <w:sz w:val="24"/>
          <w:szCs w:val="24"/>
          <w:lang w:eastAsia="zh-CN"/>
        </w:rPr>
        <w:t>小微企业。</w:t>
      </w:r>
    </w:p>
    <w:p>
      <w:pPr>
        <w:pStyle w:val="21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三、贷款期限</w:t>
      </w:r>
    </w:p>
    <w:p>
      <w:pPr>
        <w:pStyle w:val="21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贷款期限：货物类、服务类利率最长一年，工程类最长可做三年。</w:t>
      </w:r>
    </w:p>
    <w:p>
      <w:pPr>
        <w:pStyle w:val="21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四、产品特点</w:t>
      </w:r>
    </w:p>
    <w:p>
      <w:pPr>
        <w:pStyle w:val="21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中标即贷，最高可贷1000万，最快三天审批放款，可做工程类项目。</w:t>
      </w:r>
    </w:p>
    <w:p>
      <w:pPr>
        <w:pStyle w:val="21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color w:val="000000"/>
          <w:sz w:val="24"/>
          <w:szCs w:val="24"/>
          <w:lang w:eastAsia="zh-CN"/>
        </w:rPr>
        <w:t>分管领导：</w:t>
      </w:r>
      <w:r>
        <w:rPr>
          <w:rFonts w:hint="eastAsia" w:ascii="宋体" w:hAnsi="宋体" w:eastAsia="宋体" w:cs="宋体"/>
          <w:b/>
          <w:color w:val="000000"/>
          <w:sz w:val="24"/>
          <w:szCs w:val="24"/>
          <w:lang w:val="en-US" w:eastAsia="zh-CN"/>
        </w:rPr>
        <w:t xml:space="preserve">张庆浩   联系电话： 18538198600  </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36"/>
          <w:szCs w:val="36"/>
          <w:lang w:eastAsia="zh-CN"/>
        </w:rPr>
      </w:pPr>
      <w:r>
        <w:rPr>
          <w:rFonts w:hint="eastAsia" w:ascii="宋体" w:hAnsi="宋体" w:eastAsia="宋体" w:cs="宋体"/>
          <w:b/>
          <w:color w:val="000000"/>
          <w:sz w:val="24"/>
          <w:szCs w:val="24"/>
          <w:lang w:val="en-US" w:eastAsia="zh-CN"/>
        </w:rPr>
        <w:t xml:space="preserve">信贷经理：郭利波   </w:t>
      </w:r>
      <w:r>
        <w:rPr>
          <w:rFonts w:hint="eastAsia" w:ascii="宋体" w:hAnsi="宋体" w:eastAsia="宋体" w:cs="宋体"/>
          <w:b/>
          <w:color w:val="000000"/>
          <w:sz w:val="24"/>
          <w:szCs w:val="24"/>
        </w:rPr>
        <w:t>联系电话：</w:t>
      </w:r>
      <w:r>
        <w:rPr>
          <w:rFonts w:hint="eastAsia" w:ascii="宋体" w:hAnsi="宋体" w:eastAsia="宋体" w:cs="宋体"/>
          <w:b/>
          <w:color w:val="000000"/>
          <w:sz w:val="24"/>
          <w:szCs w:val="24"/>
          <w:lang w:val="en-US" w:eastAsia="zh-CN"/>
        </w:rPr>
        <w:t>15937918530    具体负责人</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李超峰  联系电话：15538530</w:t>
      </w:r>
    </w:p>
    <w:p>
      <w:pPr>
        <w:spacing w:line="240" w:lineRule="auto"/>
        <w:ind w:firstLine="720" w:firstLineChars="200"/>
        <w:jc w:val="center"/>
        <w:rPr>
          <w:rFonts w:hint="eastAsia" w:ascii="宋体" w:hAnsi="宋体" w:eastAsia="宋体" w:cs="宋体"/>
          <w:sz w:val="36"/>
          <w:szCs w:val="36"/>
          <w:lang w:eastAsia="zh-CN"/>
        </w:rPr>
      </w:pPr>
      <w:r>
        <w:rPr>
          <w:rFonts w:hint="eastAsia" w:ascii="宋体" w:hAnsi="宋体" w:eastAsia="宋体" w:cs="宋体"/>
          <w:color w:val="0000FF"/>
          <w:sz w:val="36"/>
          <w:szCs w:val="36"/>
          <w:highlight w:val="yellow"/>
          <w:lang w:eastAsia="zh-CN"/>
        </w:rPr>
        <w:t>广发银行“政采贷”</w:t>
      </w:r>
    </w:p>
    <w:p>
      <w:pPr>
        <w:numPr>
          <w:ilvl w:val="0"/>
          <w:numId w:val="0"/>
        </w:numPr>
        <w:spacing w:line="240" w:lineRule="auto"/>
        <w:ind w:firstLine="482" w:firstLineChars="200"/>
        <w:jc w:val="both"/>
        <w:rPr>
          <w:rFonts w:hint="eastAsia" w:ascii="宋体" w:hAnsi="宋体" w:eastAsia="宋体" w:cs="宋体"/>
          <w:b/>
          <w:bCs/>
          <w:sz w:val="24"/>
          <w:szCs w:val="24"/>
          <w:lang w:eastAsia="zh-CN"/>
        </w:rPr>
      </w:pPr>
      <w:r>
        <w:rPr>
          <w:rFonts w:hint="eastAsia" w:ascii="宋体" w:hAnsi="宋体" w:eastAsia="宋体" w:cs="宋体"/>
          <w:b/>
          <w:bCs/>
          <w:kern w:val="2"/>
          <w:sz w:val="24"/>
          <w:szCs w:val="24"/>
          <w:lang w:val="en-US" w:eastAsia="zh-CN" w:bidi="ar-SA"/>
        </w:rPr>
        <w:t>一、</w:t>
      </w:r>
      <w:r>
        <w:rPr>
          <w:rFonts w:hint="eastAsia" w:ascii="宋体" w:hAnsi="宋体" w:eastAsia="宋体" w:cs="宋体"/>
          <w:b/>
          <w:bCs/>
          <w:sz w:val="24"/>
          <w:szCs w:val="24"/>
          <w:lang w:eastAsia="zh-CN"/>
        </w:rPr>
        <w:t>广发银行“政采贷”</w:t>
      </w:r>
    </w:p>
    <w:p>
      <w:pPr>
        <w:numPr>
          <w:ilvl w:val="0"/>
          <w:numId w:val="0"/>
        </w:numPr>
        <w:spacing w:line="24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对象：针对政府采购平台内资信情况良好、经营正常的中小微企业供应商提供原材料购买、组织生产、货物运输等流动资金授信服务。</w:t>
      </w:r>
    </w:p>
    <w:p>
      <w:pPr>
        <w:numPr>
          <w:ilvl w:val="0"/>
          <w:numId w:val="0"/>
        </w:numPr>
        <w:spacing w:line="24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担保方式：以政府采购项目下的应收账款质押；企业实际控制人及主要个人股东提供连带责任保证担保</w:t>
      </w:r>
    </w:p>
    <w:p>
      <w:pPr>
        <w:numPr>
          <w:ilvl w:val="0"/>
          <w:numId w:val="0"/>
        </w:numPr>
        <w:spacing w:line="24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lang w:val="en-US" w:eastAsia="zh-CN"/>
        </w:rPr>
        <w:t>授信额度：单户敞口授信额度不超过1000万元；单笔采购项目融资不超过有效合同净额的90%</w:t>
      </w:r>
    </w:p>
    <w:p>
      <w:pPr>
        <w:numPr>
          <w:ilvl w:val="0"/>
          <w:numId w:val="0"/>
        </w:numPr>
        <w:spacing w:line="24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lang w:val="en-US" w:eastAsia="zh-CN"/>
        </w:rPr>
        <w:t>授信期限：额度有效期一年，授信期限不超过一年且不得超过额度到期日后3个月，不超过采购项目合同约定的最迟付款日后3个月</w:t>
      </w:r>
    </w:p>
    <w:p>
      <w:pPr>
        <w:numPr>
          <w:ilvl w:val="0"/>
          <w:numId w:val="0"/>
        </w:numPr>
        <w:spacing w:line="24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lang w:val="en-US" w:eastAsia="zh-CN"/>
        </w:rPr>
        <w:t>还款方式：按月付息，可根据单笔业务实际付款频率和时间点进行还款，不得采取随借随还出账模式，还款方式应与政府采购合同约定的应收账款金额、账期等相匹配。</w:t>
      </w:r>
    </w:p>
    <w:p>
      <w:pPr>
        <w:numPr>
          <w:ilvl w:val="0"/>
          <w:numId w:val="0"/>
        </w:numPr>
        <w:spacing w:line="240" w:lineRule="auto"/>
        <w:ind w:left="0" w:leftChars="0"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二、</w:t>
      </w:r>
      <w:r>
        <w:rPr>
          <w:rFonts w:hint="eastAsia" w:ascii="宋体" w:hAnsi="宋体" w:eastAsia="宋体" w:cs="宋体"/>
          <w:b/>
          <w:bCs/>
          <w:sz w:val="24"/>
          <w:szCs w:val="24"/>
          <w:lang w:val="en-US" w:eastAsia="zh-CN"/>
        </w:rPr>
        <w:t>准入标准</w:t>
      </w:r>
    </w:p>
    <w:p>
      <w:pPr>
        <w:numPr>
          <w:ilvl w:val="0"/>
          <w:numId w:val="0"/>
        </w:numPr>
        <w:spacing w:line="24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企业成立且持续经营满3年以上，主营业务未有变化，有固定经营场所，且注册地在当地</w:t>
      </w:r>
    </w:p>
    <w:p>
      <w:pPr>
        <w:numPr>
          <w:ilvl w:val="0"/>
          <w:numId w:val="0"/>
        </w:numPr>
        <w:spacing w:line="24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政府采购历史超过一年或进入政府采购供应商名单时间超过一年，实际履约不低于一次</w:t>
      </w:r>
    </w:p>
    <w:p>
      <w:pPr>
        <w:numPr>
          <w:ilvl w:val="0"/>
          <w:numId w:val="0"/>
        </w:numPr>
        <w:spacing w:line="24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lang w:val="en-US" w:eastAsia="zh-CN"/>
        </w:rPr>
        <w:t>近两年销售收入保持正增长或主营业务利润为正</w:t>
      </w:r>
    </w:p>
    <w:p>
      <w:pPr>
        <w:numPr>
          <w:ilvl w:val="0"/>
          <w:numId w:val="0"/>
        </w:numPr>
        <w:spacing w:line="24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lang w:val="en-US" w:eastAsia="zh-CN"/>
        </w:rPr>
        <w:t>资产负债率不超过70%</w:t>
      </w:r>
    </w:p>
    <w:p>
      <w:pPr>
        <w:numPr>
          <w:ilvl w:val="0"/>
          <w:numId w:val="0"/>
        </w:numPr>
        <w:spacing w:line="24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lang w:val="en-US" w:eastAsia="zh-CN"/>
        </w:rPr>
        <w:t>在我行评价不低于BB+级</w:t>
      </w:r>
    </w:p>
    <w:p>
      <w:pPr>
        <w:numPr>
          <w:ilvl w:val="0"/>
          <w:numId w:val="0"/>
        </w:numPr>
        <w:spacing w:line="24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6.</w:t>
      </w:r>
      <w:r>
        <w:rPr>
          <w:rFonts w:hint="eastAsia" w:ascii="宋体" w:hAnsi="宋体" w:eastAsia="宋体" w:cs="宋体"/>
          <w:sz w:val="24"/>
          <w:szCs w:val="24"/>
          <w:lang w:val="en-US" w:eastAsia="zh-CN"/>
        </w:rPr>
        <w:t>企业主（含实际控制人、主要股东或配偶）拥有本地户口或房产</w:t>
      </w:r>
    </w:p>
    <w:p>
      <w:pPr>
        <w:numPr>
          <w:ilvl w:val="0"/>
          <w:numId w:val="0"/>
        </w:numPr>
        <w:spacing w:line="24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7.</w:t>
      </w:r>
      <w:r>
        <w:rPr>
          <w:rFonts w:hint="eastAsia" w:ascii="宋体" w:hAnsi="宋体" w:eastAsia="宋体" w:cs="宋体"/>
          <w:sz w:val="24"/>
          <w:szCs w:val="24"/>
          <w:lang w:val="en-US" w:eastAsia="zh-CN"/>
        </w:rPr>
        <w:t>不得介入在金融机构有未结清（互）保类授信（含实际控制人夫妇个人经营性贷款）的企业</w:t>
      </w:r>
    </w:p>
    <w:p>
      <w:pPr>
        <w:numPr>
          <w:ilvl w:val="0"/>
          <w:numId w:val="0"/>
        </w:numPr>
        <w:spacing w:line="240" w:lineRule="auto"/>
        <w:ind w:left="0" w:leftChars="0"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三、</w:t>
      </w:r>
      <w:r>
        <w:rPr>
          <w:rFonts w:hint="eastAsia" w:ascii="宋体" w:hAnsi="宋体" w:eastAsia="宋体" w:cs="宋体"/>
          <w:b/>
          <w:bCs/>
          <w:sz w:val="24"/>
          <w:szCs w:val="24"/>
          <w:lang w:val="en-US" w:eastAsia="zh-CN"/>
        </w:rPr>
        <w:t>授信用途</w:t>
      </w:r>
    </w:p>
    <w:p>
      <w:pPr>
        <w:numPr>
          <w:ilvl w:val="0"/>
          <w:numId w:val="0"/>
        </w:numPr>
        <w:spacing w:line="240" w:lineRule="auto"/>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授信仅限于借款人自身在具体合同项下的原材料采购、组织生产、货物运输等劳动资金需求，不得挪用于担保企业、借款人关联企业、借款人固定资产建设和股本权益类投资</w:t>
      </w:r>
    </w:p>
    <w:p>
      <w:pPr>
        <w:numPr>
          <w:ilvl w:val="0"/>
          <w:numId w:val="0"/>
        </w:numPr>
        <w:spacing w:line="240" w:lineRule="auto"/>
        <w:ind w:left="0" w:leftChars="0"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四、</w:t>
      </w:r>
      <w:r>
        <w:rPr>
          <w:rFonts w:hint="eastAsia" w:ascii="宋体" w:hAnsi="宋体" w:eastAsia="宋体" w:cs="宋体"/>
          <w:b/>
          <w:bCs/>
          <w:sz w:val="24"/>
          <w:szCs w:val="24"/>
          <w:lang w:val="en-US" w:eastAsia="zh-CN"/>
        </w:rPr>
        <w:t>业务流程</w:t>
      </w:r>
    </w:p>
    <w:p>
      <w:pPr>
        <w:numPr>
          <w:ilvl w:val="0"/>
          <w:numId w:val="0"/>
        </w:numPr>
        <w:spacing w:line="24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业务访谈，确定贸易真实性</w:t>
      </w:r>
    </w:p>
    <w:p>
      <w:pPr>
        <w:numPr>
          <w:ilvl w:val="0"/>
          <w:numId w:val="0"/>
        </w:numPr>
        <w:spacing w:line="24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授信申请，企业按照我行授信调查的相关规定提供申请资料</w:t>
      </w:r>
    </w:p>
    <w:p>
      <w:pPr>
        <w:numPr>
          <w:ilvl w:val="0"/>
          <w:numId w:val="0"/>
        </w:numPr>
        <w:spacing w:line="24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lang w:val="en-US" w:eastAsia="zh-CN"/>
        </w:rPr>
        <w:t>授信调查与额度核定，客户经理双人调查，发起客户评级，并按流程提交审批</w:t>
      </w:r>
    </w:p>
    <w:p>
      <w:pPr>
        <w:numPr>
          <w:ilvl w:val="0"/>
          <w:numId w:val="0"/>
        </w:numPr>
        <w:spacing w:line="24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lang w:val="en-US" w:eastAsia="zh-CN"/>
        </w:rPr>
        <w:t>授信审查审批</w:t>
      </w:r>
    </w:p>
    <w:p>
      <w:pPr>
        <w:numPr>
          <w:ilvl w:val="0"/>
          <w:numId w:val="0"/>
        </w:numPr>
        <w:spacing w:line="24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lang w:val="en-US" w:eastAsia="zh-CN"/>
        </w:rPr>
        <w:t>按照要求出账</w:t>
      </w:r>
    </w:p>
    <w:p>
      <w:pPr>
        <w:spacing w:line="24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主管行长：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李文强</w:t>
      </w:r>
      <w:r>
        <w:rPr>
          <w:rFonts w:hint="eastAsia" w:ascii="宋体" w:hAnsi="宋体" w:eastAsia="宋体" w:cs="宋体"/>
          <w:sz w:val="24"/>
          <w:szCs w:val="24"/>
          <w:lang w:val="en-US" w:eastAsia="zh-CN"/>
        </w:rPr>
        <w:t xml:space="preserve">  18137865269</w:t>
      </w:r>
    </w:p>
    <w:p>
      <w:pPr>
        <w:spacing w:line="24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具体负责人：    何俊杰  13838894026</w:t>
      </w:r>
    </w:p>
    <w:p>
      <w:pPr>
        <w:spacing w:line="24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信贷经理：      姜晓凤  15103799119</w:t>
      </w:r>
    </w:p>
    <w:p>
      <w:pPr>
        <w:spacing w:line="240" w:lineRule="auto"/>
        <w:ind w:firstLine="720" w:firstLineChars="200"/>
        <w:jc w:val="center"/>
        <w:rPr>
          <w:rFonts w:hint="eastAsia" w:ascii="宋体" w:hAnsi="宋体" w:eastAsia="宋体" w:cs="宋体"/>
          <w:b w:val="0"/>
          <w:bCs w:val="0"/>
          <w:color w:val="0000FF"/>
          <w:sz w:val="36"/>
          <w:szCs w:val="36"/>
          <w:highlight w:val="yellow"/>
          <w:lang w:val="en-US" w:eastAsia="zh-CN"/>
        </w:rPr>
      </w:pPr>
      <w:r>
        <w:rPr>
          <w:rFonts w:hint="eastAsia" w:ascii="宋体" w:hAnsi="宋体" w:eastAsia="宋体" w:cs="宋体"/>
          <w:b w:val="0"/>
          <w:bCs w:val="0"/>
          <w:color w:val="0000FF"/>
          <w:sz w:val="36"/>
          <w:szCs w:val="36"/>
          <w:highlight w:val="yellow"/>
          <w:lang w:val="en-US" w:eastAsia="zh-CN"/>
        </w:rPr>
        <w:t>邮储银行政采贷</w:t>
      </w:r>
    </w:p>
    <w:p>
      <w:pPr>
        <w:widowControl w:val="0"/>
        <w:adjustRightInd/>
        <w:snapToGrid/>
        <w:spacing w:after="0" w:line="24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贷款对象：</w:t>
      </w:r>
    </w:p>
    <w:p>
      <w:pPr>
        <w:widowControl w:val="0"/>
        <w:adjustRightInd/>
        <w:snapToGrid/>
        <w:spacing w:after="0" w:line="24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1.已获得省本级政府采购中标通知，具备履约能力；</w:t>
      </w:r>
    </w:p>
    <w:p>
      <w:pPr>
        <w:widowControl w:val="0"/>
        <w:adjustRightInd/>
        <w:snapToGrid/>
        <w:spacing w:after="0" w:line="24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2.企业在政府采购活动中与政府采购合作1年（含）以</w:t>
      </w:r>
      <w:r>
        <w:rPr>
          <w:rFonts w:hint="eastAsia" w:ascii="宋体" w:hAnsi="宋体" w:eastAsia="宋体" w:cs="宋体"/>
          <w:sz w:val="24"/>
          <w:szCs w:val="24"/>
        </w:rPr>
        <w:t>上</w:t>
      </w:r>
      <w:r>
        <w:rPr>
          <w:rFonts w:hint="eastAsia" w:ascii="宋体" w:hAnsi="宋体" w:eastAsia="宋体" w:cs="宋体"/>
          <w:kern w:val="2"/>
          <w:sz w:val="24"/>
          <w:szCs w:val="24"/>
          <w:lang w:val="en-US" w:eastAsia="zh-CN"/>
        </w:rPr>
        <w:t>；</w:t>
      </w:r>
    </w:p>
    <w:p>
      <w:pPr>
        <w:widowControl w:val="0"/>
        <w:adjustRightInd/>
        <w:snapToGrid/>
        <w:spacing w:after="0" w:line="24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3.在邮储银行开立回款专用账户。</w:t>
      </w:r>
    </w:p>
    <w:p>
      <w:pPr>
        <w:widowControl w:val="0"/>
        <w:adjustRightInd/>
        <w:snapToGrid/>
        <w:spacing w:after="0" w:line="24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贷款要素：</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1.纯信用；</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2.额度高：可贷合同标的额70%，最高额度300万；</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3.方便用：可一次性或分期还款</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联系人：王玉辉    职  务： 总经理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rPr>
          <w:rFonts w:hint="eastAsia" w:ascii="宋体" w:hAnsi="宋体" w:eastAsia="宋体" w:cs="宋体"/>
          <w:b/>
          <w:bCs/>
          <w:color w:val="0000FF"/>
          <w:sz w:val="36"/>
          <w:szCs w:val="36"/>
          <w:highlight w:val="yellow"/>
          <w:lang w:val="en-US" w:eastAsia="zh-CN"/>
        </w:rPr>
      </w:pPr>
      <w:r>
        <w:rPr>
          <w:rFonts w:hint="eastAsia" w:ascii="宋体" w:hAnsi="宋体" w:eastAsia="宋体" w:cs="宋体"/>
          <w:kern w:val="2"/>
          <w:sz w:val="24"/>
          <w:szCs w:val="24"/>
          <w:lang w:val="en-US" w:eastAsia="zh-CN"/>
        </w:rPr>
        <w:t>电  话：13598159333</w:t>
      </w:r>
    </w:p>
    <w:p>
      <w:pPr>
        <w:spacing w:line="240" w:lineRule="auto"/>
        <w:ind w:firstLine="720" w:firstLineChars="20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color w:val="0000FF"/>
          <w:sz w:val="36"/>
          <w:szCs w:val="36"/>
          <w:highlight w:val="yellow"/>
          <w:lang w:val="en-US" w:eastAsia="zh-CN"/>
        </w:rPr>
        <w:t>光大银行政采贷融资产品“政采易”</w:t>
      </w:r>
    </w:p>
    <w:p>
      <w:pPr>
        <w:pStyle w:val="56"/>
        <w:keepNext w:val="0"/>
        <w:keepLines w:val="0"/>
        <w:widowControl/>
        <w:suppressLineNumbers w:val="0"/>
        <w:spacing w:before="0" w:beforeAutospacing="0" w:after="0" w:afterAutospacing="0" w:line="240" w:lineRule="auto"/>
        <w:ind w:left="0" w:right="0"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该业务单户授信金额在3000万元（含）以下，授信期限不超过合同约定付款日期后两个月且最长不超过3年。</w:t>
      </w:r>
    </w:p>
    <w:p>
      <w:pPr>
        <w:spacing w:line="240" w:lineRule="auto"/>
        <w:ind w:firstLine="482" w:firstLineChars="200"/>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中标供应商准入条件：</w:t>
      </w:r>
    </w:p>
    <w:p>
      <w:pPr>
        <w:pStyle w:val="56"/>
        <w:keepNext w:val="0"/>
        <w:keepLines w:val="0"/>
        <w:widowControl/>
        <w:suppressLineNumbers w:val="0"/>
        <w:spacing w:before="0" w:beforeAutospacing="0" w:after="0" w:afterAutospacing="0" w:line="240" w:lineRule="auto"/>
        <w:ind w:left="0" w:right="0"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（一）具有独立承担民事责任的能力,有固定的经营场所；（二）企业成立2（含）年以上，且实际控制人有3年以上实际行业经验，具有良好的纳税记录、工商登记记录；</w:t>
      </w:r>
    </w:p>
    <w:p>
      <w:pPr>
        <w:spacing w:line="240" w:lineRule="auto"/>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（三）企业具有履行合同所必需的设备和服务能力；</w:t>
      </w:r>
    </w:p>
    <w:p>
      <w:pPr>
        <w:spacing w:line="240" w:lineRule="auto"/>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（四）生产经营符合国家法律法规、产业政策和环境保护要求，符合我行信贷政策；</w:t>
      </w:r>
    </w:p>
    <w:p>
      <w:pPr>
        <w:spacing w:line="240" w:lineRule="auto"/>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（五）人行征信信息查询系统查询显示企业法人、法定代表人、主要经营者无重大不良记录；政府采购履约行为无不良记录；</w:t>
      </w:r>
    </w:p>
    <w:p>
      <w:pPr>
        <w:spacing w:line="240" w:lineRule="auto"/>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（六）中标供应商在我行信用评级应在B-级（含）以上，或单户授信敞口500万元以下客户适用《小额融易贷（结算类）业务打分卡》得分须不低于60分；</w:t>
      </w:r>
    </w:p>
    <w:p>
      <w:pPr>
        <w:spacing w:line="240" w:lineRule="auto"/>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（七）企业/企业法定代表人不在我行预警黑灰名单内；</w:t>
      </w:r>
    </w:p>
    <w:p>
      <w:pPr>
        <w:spacing w:line="240" w:lineRule="auto"/>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（八）我行要求的其他条件。</w:t>
      </w:r>
    </w:p>
    <w:p>
      <w:pPr>
        <w:spacing w:line="240" w:lineRule="auto"/>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联方式：分管领导 ：王慧18837902280</w:t>
      </w:r>
    </w:p>
    <w:p>
      <w:pPr>
        <w:spacing w:line="240" w:lineRule="auto"/>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信贷经理：刘勇 18837995809</w:t>
      </w:r>
    </w:p>
    <w:p>
      <w:pPr>
        <w:spacing w:line="240" w:lineRule="auto"/>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具体负责人：营业部：刘天倚18569936044；王城路支行：张喆18637129167；西苑路支行：董继华18569935827；</w:t>
      </w:r>
    </w:p>
    <w:p>
      <w:pPr>
        <w:spacing w:line="240" w:lineRule="auto"/>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英才路支行：刘莎18569935682；珠江路支行：李相峰18569936389；华阳支行：张刚18624850206</w:t>
      </w:r>
    </w:p>
    <w:p>
      <w:pPr>
        <w:spacing w:line="240" w:lineRule="auto"/>
        <w:ind w:firstLine="720" w:firstLineChars="200"/>
        <w:jc w:val="center"/>
        <w:rPr>
          <w:rFonts w:hint="eastAsia" w:ascii="宋体" w:hAnsi="宋体" w:eastAsia="宋体" w:cs="宋体"/>
          <w:b w:val="0"/>
          <w:bCs w:val="0"/>
          <w:color w:val="0000FF"/>
          <w:kern w:val="2"/>
          <w:sz w:val="36"/>
          <w:szCs w:val="36"/>
          <w:highlight w:val="yellow"/>
          <w:lang w:val="en-US" w:eastAsia="zh-CN" w:bidi="ar-SA"/>
        </w:rPr>
      </w:pPr>
      <w:r>
        <w:rPr>
          <w:rFonts w:hint="eastAsia" w:ascii="宋体" w:hAnsi="宋体" w:eastAsia="宋体" w:cs="宋体"/>
          <w:b w:val="0"/>
          <w:bCs w:val="0"/>
          <w:color w:val="0000FF"/>
          <w:kern w:val="2"/>
          <w:sz w:val="36"/>
          <w:szCs w:val="36"/>
          <w:highlight w:val="yellow"/>
          <w:lang w:val="en-US" w:eastAsia="zh-CN" w:bidi="ar-SA"/>
        </w:rPr>
        <w:t>招商银行政府采购融资贷联系方式及融资产品介绍</w:t>
      </w:r>
    </w:p>
    <w:p>
      <w:pPr>
        <w:pStyle w:val="292"/>
        <w:numPr>
          <w:ilvl w:val="0"/>
          <w:numId w:val="0"/>
        </w:numPr>
        <w:spacing w:line="240" w:lineRule="auto"/>
        <w:ind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联系方式：</w:t>
      </w:r>
    </w:p>
    <w:tbl>
      <w:tblPr>
        <w:tblStyle w:val="62"/>
        <w:tblW w:w="9782" w:type="dxa"/>
        <w:tblInd w:w="-176" w:type="dxa"/>
        <w:tblLayout w:type="fixed"/>
        <w:tblCellMar>
          <w:top w:w="0" w:type="dxa"/>
          <w:left w:w="108" w:type="dxa"/>
          <w:bottom w:w="0" w:type="dxa"/>
          <w:right w:w="108" w:type="dxa"/>
        </w:tblCellMar>
      </w:tblPr>
      <w:tblGrid>
        <w:gridCol w:w="1457"/>
        <w:gridCol w:w="2216"/>
        <w:gridCol w:w="3784"/>
        <w:gridCol w:w="1616"/>
        <w:gridCol w:w="709"/>
      </w:tblGrid>
      <w:tr>
        <w:tblPrEx>
          <w:tblCellMar>
            <w:top w:w="0" w:type="dxa"/>
            <w:left w:w="108" w:type="dxa"/>
            <w:bottom w:w="0" w:type="dxa"/>
            <w:right w:w="108" w:type="dxa"/>
          </w:tblCellMar>
        </w:tblPrEx>
        <w:trPr>
          <w:trHeight w:val="270" w:hRule="atLeast"/>
        </w:trPr>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分管领导</w:t>
            </w:r>
          </w:p>
        </w:tc>
        <w:tc>
          <w:tcPr>
            <w:tcW w:w="2216"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职务</w:t>
            </w:r>
          </w:p>
        </w:tc>
        <w:tc>
          <w:tcPr>
            <w:tcW w:w="3784"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地址</w:t>
            </w:r>
          </w:p>
        </w:tc>
        <w:tc>
          <w:tcPr>
            <w:tcW w:w="1616"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电话</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备注</w:t>
            </w:r>
          </w:p>
        </w:tc>
      </w:tr>
      <w:tr>
        <w:tblPrEx>
          <w:tblCellMar>
            <w:top w:w="0" w:type="dxa"/>
            <w:left w:w="108" w:type="dxa"/>
            <w:bottom w:w="0" w:type="dxa"/>
            <w:right w:w="108" w:type="dxa"/>
          </w:tblCellMar>
        </w:tblPrEx>
        <w:trPr>
          <w:trHeight w:val="270" w:hRule="atLeast"/>
        </w:trPr>
        <w:tc>
          <w:tcPr>
            <w:tcW w:w="1457" w:type="dxa"/>
            <w:tcBorders>
              <w:top w:val="nil"/>
              <w:left w:val="single" w:color="auto" w:sz="4" w:space="0"/>
              <w:bottom w:val="nil"/>
              <w:right w:val="single" w:color="auto" w:sz="4" w:space="0"/>
            </w:tcBorders>
            <w:noWrap w:val="0"/>
            <w:vAlign w:val="center"/>
          </w:tcPr>
          <w:p>
            <w:pPr>
              <w:widowControl/>
              <w:spacing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彭国庆</w:t>
            </w:r>
          </w:p>
        </w:tc>
        <w:tc>
          <w:tcPr>
            <w:tcW w:w="2216" w:type="dxa"/>
            <w:tcBorders>
              <w:top w:val="nil"/>
              <w:left w:val="nil"/>
              <w:bottom w:val="nil"/>
              <w:right w:val="single" w:color="auto" w:sz="4" w:space="0"/>
            </w:tcBorders>
            <w:noWrap w:val="0"/>
            <w:vAlign w:val="center"/>
          </w:tcPr>
          <w:p>
            <w:pPr>
              <w:widowControl/>
              <w:spacing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公司业务分管行长</w:t>
            </w:r>
          </w:p>
        </w:tc>
        <w:tc>
          <w:tcPr>
            <w:tcW w:w="3784" w:type="dxa"/>
            <w:tcBorders>
              <w:top w:val="nil"/>
              <w:left w:val="nil"/>
              <w:bottom w:val="nil"/>
              <w:right w:val="single" w:color="auto" w:sz="4" w:space="0"/>
            </w:tcBorders>
            <w:noWrap w:val="0"/>
            <w:vAlign w:val="center"/>
          </w:tcPr>
          <w:p>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洛阳市涧西区南昌路7号西苑大厦</w:t>
            </w:r>
          </w:p>
        </w:tc>
        <w:tc>
          <w:tcPr>
            <w:tcW w:w="1616" w:type="dxa"/>
            <w:tcBorders>
              <w:top w:val="nil"/>
              <w:left w:val="nil"/>
              <w:bottom w:val="nil"/>
              <w:right w:val="single" w:color="auto" w:sz="4" w:space="0"/>
            </w:tcBorders>
            <w:noWrap w:val="0"/>
            <w:vAlign w:val="center"/>
          </w:tcPr>
          <w:p>
            <w:pPr>
              <w:widowControl/>
              <w:spacing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15236667303</w:t>
            </w:r>
          </w:p>
        </w:tc>
        <w:tc>
          <w:tcPr>
            <w:tcW w:w="709" w:type="dxa"/>
            <w:tcBorders>
              <w:top w:val="nil"/>
              <w:left w:val="nil"/>
              <w:bottom w:val="nil"/>
              <w:right w:val="single" w:color="auto" w:sz="4" w:space="0"/>
            </w:tcBorders>
            <w:noWrap w:val="0"/>
            <w:vAlign w:val="center"/>
          </w:tcPr>
          <w:p>
            <w:pPr>
              <w:widowControl/>
              <w:spacing w:line="240" w:lineRule="auto"/>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70" w:hRule="atLeast"/>
        </w:trPr>
        <w:tc>
          <w:tcPr>
            <w:tcW w:w="1457"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王伊宁</w:t>
            </w:r>
          </w:p>
        </w:tc>
        <w:tc>
          <w:tcPr>
            <w:tcW w:w="2216"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客户经理</w:t>
            </w:r>
          </w:p>
        </w:tc>
        <w:tc>
          <w:tcPr>
            <w:tcW w:w="3784"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洛阳市涧西区南昌路7号西苑大厦</w:t>
            </w:r>
          </w:p>
        </w:tc>
        <w:tc>
          <w:tcPr>
            <w:tcW w:w="1616"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13683861133</w:t>
            </w:r>
          </w:p>
        </w:tc>
        <w:tc>
          <w:tcPr>
            <w:tcW w:w="70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000000"/>
                <w:kern w:val="0"/>
                <w:sz w:val="21"/>
                <w:szCs w:val="21"/>
                <w:lang w:val="en-US" w:eastAsia="zh-CN" w:bidi="ar-SA"/>
              </w:rPr>
            </w:pPr>
          </w:p>
        </w:tc>
      </w:tr>
    </w:tbl>
    <w:p>
      <w:pPr>
        <w:keepNext w:val="0"/>
        <w:keepLines w:val="0"/>
        <w:widowControl w:val="0"/>
        <w:suppressLineNumbers w:val="0"/>
        <w:spacing w:before="0" w:beforeAutospacing="0" w:after="0" w:afterAutospacing="0" w:line="240" w:lineRule="auto"/>
        <w:ind w:right="0" w:firstLine="482" w:firstLineChars="200"/>
        <w:jc w:val="both"/>
        <w:rPr>
          <w:rFonts w:hint="eastAsia" w:ascii="宋体" w:hAnsi="宋体" w:eastAsia="宋体" w:cs="宋体"/>
          <w:b/>
          <w:kern w:val="2"/>
          <w:sz w:val="24"/>
          <w:szCs w:val="24"/>
          <w:lang w:val="en-US" w:eastAsia="zh-CN" w:bidi="ar"/>
        </w:rPr>
      </w:pPr>
      <w:r>
        <w:rPr>
          <w:rFonts w:hint="eastAsia" w:ascii="宋体" w:hAnsi="宋体" w:eastAsia="宋体" w:cs="宋体"/>
          <w:b/>
          <w:kern w:val="2"/>
          <w:sz w:val="24"/>
          <w:szCs w:val="24"/>
          <w:lang w:val="en-US" w:eastAsia="zh-CN" w:bidi="ar"/>
        </w:rPr>
        <w:t>二、审批流程</w:t>
      </w:r>
    </w:p>
    <w:p>
      <w:pPr>
        <w:keepNext w:val="0"/>
        <w:keepLines w:val="0"/>
        <w:widowControl w:val="0"/>
        <w:suppressLineNumbers w:val="0"/>
        <w:spacing w:before="0" w:beforeAutospacing="0" w:after="0" w:afterAutospacing="0" w:line="240" w:lineRule="auto"/>
        <w:ind w:right="0" w:firstLine="482" w:firstLineChars="200"/>
        <w:jc w:val="both"/>
        <w:rPr>
          <w:rFonts w:hint="eastAsia" w:ascii="宋体" w:hAnsi="宋体" w:eastAsia="宋体" w:cs="宋体"/>
          <w:kern w:val="0"/>
          <w:sz w:val="24"/>
          <w:szCs w:val="24"/>
          <w:lang w:val="en-US" w:eastAsia="zh-CN" w:bidi="ar"/>
        </w:rPr>
      </w:pPr>
      <w:r>
        <w:rPr>
          <w:rFonts w:hint="eastAsia" w:ascii="宋体" w:hAnsi="宋体" w:eastAsia="宋体" w:cs="宋体"/>
          <w:b/>
          <w:kern w:val="2"/>
          <w:sz w:val="24"/>
          <w:szCs w:val="24"/>
          <w:lang w:val="en-US" w:eastAsia="zh-CN" w:bidi="ar"/>
        </w:rPr>
        <w:t>1.申请路径：</w:t>
      </w:r>
      <w:r>
        <w:rPr>
          <w:rFonts w:hint="eastAsia" w:ascii="宋体" w:hAnsi="宋体" w:eastAsia="宋体" w:cs="宋体"/>
          <w:kern w:val="0"/>
          <w:sz w:val="24"/>
          <w:szCs w:val="24"/>
          <w:lang w:val="en-US" w:eastAsia="zh-CN" w:bidi="ar"/>
        </w:rPr>
        <w:t>（1）手机扫描二维码申请</w:t>
      </w:r>
    </w:p>
    <w:p>
      <w:pPr>
        <w:keepNext w:val="0"/>
        <w:keepLines w:val="0"/>
        <w:widowControl w:val="0"/>
        <w:suppressLineNumbers w:val="0"/>
        <w:spacing w:before="0" w:beforeAutospacing="0" w:after="0" w:afterAutospacing="0" w:line="240" w:lineRule="auto"/>
        <w:ind w:left="0" w:right="0" w:firstLine="360" w:firstLineChars="200"/>
        <w:jc w:val="center"/>
        <w:rPr>
          <w:rFonts w:hint="eastAsia" w:ascii="宋体" w:hAnsi="宋体" w:eastAsia="宋体" w:cs="宋体"/>
          <w:kern w:val="2"/>
          <w:sz w:val="21"/>
          <w:szCs w:val="21"/>
          <w:lang w:val="en-US" w:eastAsia="zh-CN" w:bidi="ar"/>
        </w:rPr>
      </w:pPr>
      <w:r>
        <w:rPr>
          <w:rFonts w:hint="eastAsia" w:ascii="宋体" w:hAnsi="宋体" w:eastAsia="宋体" w:cs="宋体"/>
          <w:sz w:val="18"/>
          <w:szCs w:val="21"/>
        </w:rPr>
        <w:drawing>
          <wp:inline distT="0" distB="0" distL="114300" distR="114300">
            <wp:extent cx="1937385" cy="1571625"/>
            <wp:effectExtent l="0" t="0" r="571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1937385" cy="1571625"/>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kern w:val="2"/>
          <w:sz w:val="21"/>
          <w:szCs w:val="21"/>
          <w:lang w:val="en-US" w:eastAsia="zh-CN" w:bidi="ar"/>
        </w:rPr>
      </w:pPr>
      <w:r>
        <w:rPr>
          <w:rFonts w:hint="eastAsia" w:ascii="宋体" w:hAnsi="宋体" w:eastAsia="宋体" w:cs="宋体"/>
          <w:kern w:val="0"/>
          <w:sz w:val="24"/>
          <w:szCs w:val="24"/>
          <w:lang w:val="en-US" w:eastAsia="zh-CN" w:bidi="ar"/>
        </w:rPr>
        <w:t>（2）网页版申请</w:t>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"https://sme.cmbchina.com/"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t>https://sme.cmbchina.com/</w:t>
      </w:r>
      <w:r>
        <w:rPr>
          <w:rFonts w:hint="eastAsia" w:ascii="宋体" w:hAnsi="宋体" w:eastAsia="宋体" w:cs="宋体"/>
          <w:kern w:val="0"/>
          <w:sz w:val="24"/>
          <w:szCs w:val="24"/>
          <w:lang w:val="en-US" w:eastAsia="zh-CN" w:bidi="ar"/>
        </w:rPr>
        <w:fldChar w:fldCharType="end"/>
      </w:r>
      <w:r>
        <w:rPr>
          <w:rFonts w:hint="eastAsia" w:ascii="宋体" w:hAnsi="宋体" w:cs="宋体"/>
          <w:kern w:val="2"/>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宋体" w:hAnsi="宋体" w:eastAsia="宋体" w:cs="宋体"/>
          <w:kern w:val="2"/>
          <w:sz w:val="21"/>
          <w:szCs w:val="21"/>
          <w:lang w:val="en-US" w:eastAsia="zh-CN" w:bidi="ar"/>
        </w:rPr>
      </w:pPr>
      <w:r>
        <w:rPr>
          <w:rFonts w:hint="eastAsia" w:ascii="宋体" w:hAnsi="宋体" w:eastAsia="宋体" w:cs="宋体"/>
          <w:b/>
          <w:bCs/>
          <w:kern w:val="2"/>
          <w:sz w:val="24"/>
          <w:szCs w:val="24"/>
          <w:lang w:val="en-US" w:eastAsia="zh-CN" w:bidi="ar"/>
        </w:rPr>
        <w:t>2.授信额度：</w:t>
      </w:r>
      <w:r>
        <w:rPr>
          <w:rFonts w:hint="eastAsia" w:ascii="宋体" w:hAnsi="宋体" w:eastAsia="宋体" w:cs="宋体"/>
          <w:kern w:val="0"/>
          <w:sz w:val="24"/>
          <w:szCs w:val="24"/>
          <w:lang w:val="en-US" w:eastAsia="zh-CN" w:bidi="ar"/>
        </w:rPr>
        <w:t>基于政府采购中标总额和实际采购合同办理融资,额度最高可达到3000万，线上自助模式最高1000万；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b/>
          <w:bCs/>
          <w:kern w:val="2"/>
          <w:sz w:val="24"/>
          <w:szCs w:val="24"/>
          <w:lang w:val="en-US" w:eastAsia="zh-CN" w:bidi="ar"/>
        </w:rPr>
        <w:t>3.利率：</w:t>
      </w:r>
      <w:r>
        <w:rPr>
          <w:rFonts w:hint="eastAsia" w:ascii="宋体" w:hAnsi="宋体" w:eastAsia="宋体" w:cs="宋体"/>
          <w:b w:val="0"/>
          <w:bCs w:val="0"/>
          <w:kern w:val="2"/>
          <w:sz w:val="24"/>
          <w:szCs w:val="24"/>
          <w:lang w:val="en-US" w:eastAsia="zh-CN" w:bidi="ar"/>
        </w:rPr>
        <w:t>为切实降低中小微企业融资成本</w:t>
      </w:r>
      <w:r>
        <w:rPr>
          <w:rFonts w:hint="eastAsia" w:ascii="宋体" w:hAnsi="宋体" w:eastAsia="宋体" w:cs="宋体"/>
          <w:b w:val="0"/>
          <w:bCs w:val="0"/>
          <w:kern w:val="0"/>
          <w:sz w:val="24"/>
          <w:szCs w:val="24"/>
          <w:lang w:val="en-US" w:eastAsia="zh-CN" w:bidi="ar"/>
        </w:rPr>
        <w:t>，</w:t>
      </w:r>
      <w:r>
        <w:rPr>
          <w:rFonts w:hint="eastAsia" w:ascii="宋体" w:hAnsi="宋体" w:eastAsia="宋体" w:cs="宋体"/>
          <w:kern w:val="0"/>
          <w:sz w:val="24"/>
          <w:szCs w:val="24"/>
          <w:lang w:val="en-US" w:eastAsia="zh-CN" w:bidi="ar"/>
        </w:rPr>
        <w:t>我行严格执行普惠金融利率政策，对符合标准的普惠小微贷款业务一定补贴优惠；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562" w:firstLineChars="200"/>
        <w:jc w:val="left"/>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4.风控措施：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（1）回款锁定——保证融资申请人在我行进行融资的政府采购商务合同所对应的回款账户为我行且唯一；（2）在我行据以融资的商务合同项下的应收账款质押；（3）实际控制人夫妇提供连带担保；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562" w:firstLineChars="200"/>
        <w:jc w:val="left"/>
        <w:textAlignment w:val="auto"/>
        <w:rPr>
          <w:rFonts w:hint="eastAsia" w:ascii="宋体" w:hAnsi="宋体" w:eastAsia="宋体" w:cs="宋体"/>
          <w:b/>
          <w:kern w:val="2"/>
          <w:sz w:val="28"/>
          <w:szCs w:val="28"/>
        </w:rPr>
      </w:pPr>
      <w:r>
        <w:rPr>
          <w:rFonts w:hint="eastAsia" w:ascii="宋体" w:hAnsi="宋体" w:eastAsia="宋体" w:cs="宋体"/>
          <w:b/>
          <w:kern w:val="2"/>
          <w:sz w:val="28"/>
          <w:szCs w:val="28"/>
          <w:lang w:val="en-US" w:eastAsia="zh-CN" w:bidi="ar"/>
        </w:rPr>
        <w:t>5.客户准入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（1）采购单位：区县及以上政府机构；由上述政府统筹付款的二甲以上公立医院、学校、科研机构等事业单位； 付款记录良好，无拖欠大额工程款、采购款、逃废银行债务等不良记录；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（2）采购项目：优先支持货物类采购，稳妥介入服务类采购，审慎介入建设工程类采购； 未在他行办理以同一采购合同为贸易背景的融资业务； </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6.政采自助贷：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（1）线上申请及预授信，额度最高1000万；（2）网银端线上自助提款，10分钟内即可到账；（3）基于政府采购中标总额和实际采购合同办理融资, 融资比例最高可达合同金额的80%；（4）利率优惠,线上可随借随还，更加符合政采供应商需求并降低企业成本。</w:t>
      </w:r>
    </w:p>
    <w:p>
      <w:pPr>
        <w:spacing w:line="240" w:lineRule="auto"/>
        <w:ind w:firstLine="720" w:firstLineChars="200"/>
        <w:jc w:val="center"/>
        <w:rPr>
          <w:rFonts w:hint="eastAsia" w:ascii="宋体" w:hAnsi="宋体" w:eastAsia="宋体" w:cs="宋体"/>
          <w:b w:val="0"/>
          <w:bCs w:val="0"/>
          <w:color w:val="0000FF"/>
          <w:kern w:val="2"/>
          <w:sz w:val="36"/>
          <w:szCs w:val="36"/>
          <w:highlight w:val="yellow"/>
          <w:lang w:val="en-US" w:eastAsia="zh-CN" w:bidi="ar-SA"/>
        </w:rPr>
      </w:pPr>
      <w:r>
        <w:rPr>
          <w:rFonts w:hint="eastAsia" w:ascii="宋体" w:hAnsi="宋体" w:eastAsia="宋体" w:cs="宋体"/>
          <w:b w:val="0"/>
          <w:bCs w:val="0"/>
          <w:color w:val="0000FF"/>
          <w:kern w:val="2"/>
          <w:sz w:val="36"/>
          <w:szCs w:val="36"/>
          <w:highlight w:val="yellow"/>
          <w:lang w:val="en-US" w:eastAsia="zh-CN" w:bidi="ar-SA"/>
        </w:rPr>
        <w:t>交通银行政府采购融资贷联系方式及融资产品介绍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8"/>
          <w:szCs w:val="28"/>
        </w:rPr>
      </w:pPr>
      <w:r>
        <w:rPr>
          <w:rFonts w:hint="eastAsia" w:ascii="宋体" w:hAnsi="宋体" w:eastAsia="宋体" w:cs="宋体"/>
          <w:kern w:val="0"/>
          <w:sz w:val="24"/>
          <w:szCs w:val="24"/>
          <w:lang w:val="en-US" w:eastAsia="zh-CN" w:bidi="ar"/>
        </w:rPr>
        <w:t>交通银行针对政府采购供应商中的小微企业推出的，以未来应收账款作为质押、以财政性资金作为还款来源的融资业务。凡参与过政府采购历史的中标企业，即可提前在我行预申请融资额度，中标且签订采购合同后可随时提用。我行具有绿色批复通道、授信额度高、免抵押担保、期限长等优势。</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负责人：  周贯超     联系方式：15538830369</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联系人：  顾  伟     联系方式：18037558778</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魏柴扉               18837923035</w:t>
      </w:r>
    </w:p>
    <w:p>
      <w:pPr>
        <w:spacing w:line="240" w:lineRule="auto"/>
        <w:ind w:firstLine="720" w:firstLineChars="200"/>
        <w:jc w:val="center"/>
        <w:rPr>
          <w:rFonts w:hint="eastAsia" w:ascii="宋体" w:hAnsi="宋体" w:eastAsia="宋体" w:cs="宋体"/>
          <w:b w:val="0"/>
          <w:bCs w:val="0"/>
          <w:color w:val="0000FF"/>
          <w:kern w:val="2"/>
          <w:sz w:val="36"/>
          <w:szCs w:val="36"/>
          <w:highlight w:val="yellow"/>
          <w:lang w:val="en-US" w:eastAsia="zh-CN" w:bidi="ar-SA"/>
        </w:rPr>
      </w:pPr>
      <w:r>
        <w:rPr>
          <w:rFonts w:hint="eastAsia" w:ascii="宋体" w:hAnsi="宋体" w:eastAsia="宋体" w:cs="宋体"/>
          <w:b w:val="0"/>
          <w:bCs w:val="0"/>
          <w:color w:val="0000FF"/>
          <w:kern w:val="2"/>
          <w:sz w:val="36"/>
          <w:szCs w:val="36"/>
          <w:highlight w:val="yellow"/>
          <w:lang w:val="en-US" w:eastAsia="zh-CN" w:bidi="ar-SA"/>
        </w:rPr>
        <w:t>洛阳农商银行“普惠政府采购贷”产品简介及联系人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产品简介：“普惠政府采购贷”是指本行以政府采购诚信考核和信用审查为基础，凭借中小微企业供应商取得并提供的政府采购合同，依托省财政厅的电子化政府采购系统平台，按优于一般中小微企业的贷款利率及手续，直接向本行申请贷款的中小微企业发放的用于采购合同项下商品备货、生产和加工的贷款。以信用方式为主，追加供货商法定代表人或者实际控制人提供连带责任保证担保，融资额度不超过采购合同标的额的70%，贷款期限不超过1年，贷款利率原则上执行LPR上浮60%执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分管领导：张学强 13083636800</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信贷经理：常洁   13721681719</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具体负责人：娄艳阁 13526989222</w:t>
      </w:r>
    </w:p>
    <w:p>
      <w:pPr>
        <w:spacing w:line="240" w:lineRule="auto"/>
        <w:ind w:firstLine="720" w:firstLineChars="200"/>
        <w:jc w:val="center"/>
        <w:rPr>
          <w:rFonts w:hint="eastAsia" w:ascii="宋体" w:hAnsi="宋体" w:eastAsia="宋体" w:cs="宋体"/>
          <w:b/>
          <w:bCs/>
          <w:color w:val="0000FF"/>
          <w:kern w:val="2"/>
          <w:sz w:val="36"/>
          <w:szCs w:val="36"/>
          <w:highlight w:val="yellow"/>
          <w:lang w:val="en-US" w:eastAsia="zh-CN" w:bidi="ar-SA"/>
        </w:rPr>
      </w:pPr>
      <w:r>
        <w:rPr>
          <w:rFonts w:hint="eastAsia" w:ascii="宋体" w:hAnsi="宋体" w:eastAsia="宋体" w:cs="宋体"/>
          <w:b w:val="0"/>
          <w:bCs w:val="0"/>
          <w:color w:val="0000FF"/>
          <w:kern w:val="2"/>
          <w:sz w:val="36"/>
          <w:szCs w:val="36"/>
          <w:highlight w:val="yellow"/>
          <w:lang w:val="en-US" w:eastAsia="zh-CN" w:bidi="ar-SA"/>
        </w:rPr>
        <w:t>华夏银行洛阳分行“政采贷”产品介绍</w:t>
      </w:r>
    </w:p>
    <w:p>
      <w:pPr>
        <w:spacing w:line="24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产品特点</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融资便捷快捷</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线上提交融资申请，线上反馈审批额度</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审批手续简便</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审批手续及所需的资料相对简便</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融资比例合理</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最高融资比例可达订单金额的80%</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价格合理灵活</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按实际融资天数计息，低于同业平均水平</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还款灵活方便</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按期还息，到期还本，可提前部分还款或全部还款</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无需抵押担保</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凭订单即可申请，无需追加抵押担保</w:t>
      </w:r>
    </w:p>
    <w:p>
      <w:pPr>
        <w:spacing w:line="24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申请条件和资料</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经工商形状管理机关（或主管机关）核准登记的企业法人或个体工商户，有固定经营场所，合法经营；</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企业为货物或服务类供应商；</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未纳入政府采购严重违法失信行为记录名单；</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企业近三年中标数不少于2次；</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企业具备与中标项目相匹配的生产或销售资质。</w:t>
      </w:r>
    </w:p>
    <w:p>
      <w:pPr>
        <w:spacing w:line="24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申请资料：</w:t>
      </w:r>
      <w:r>
        <w:rPr>
          <w:rFonts w:hint="eastAsia" w:ascii="宋体" w:hAnsi="宋体" w:eastAsia="宋体" w:cs="宋体"/>
          <w:sz w:val="24"/>
          <w:szCs w:val="24"/>
          <w:lang w:val="en-US" w:eastAsia="zh-CN"/>
        </w:rPr>
        <w:t>营业执照正副本、法人身份证</w:t>
      </w:r>
    </w:p>
    <w:p>
      <w:pPr>
        <w:spacing w:line="24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申请流程：</w:t>
      </w:r>
      <w:r>
        <w:rPr>
          <w:rFonts w:hint="eastAsia" w:ascii="宋体" w:hAnsi="宋体" w:eastAsia="宋体" w:cs="宋体"/>
          <w:sz w:val="24"/>
          <w:szCs w:val="24"/>
          <w:lang w:val="en-US" w:eastAsia="zh-CN"/>
        </w:rPr>
        <w:t>通过河南省政府采购网进入“华夏政采E贷”根据提示完成授信申请，系统审批通过后，前往网点开立企业账户及签订贷款协议，登录“华夏政采贷”根据提示完成放款申请，系统审批通过后完成提款。</w:t>
      </w:r>
    </w:p>
    <w:p>
      <w:pPr>
        <w:spacing w:line="24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联系方式：</w:t>
      </w:r>
      <w:r>
        <w:rPr>
          <w:rFonts w:hint="eastAsia" w:ascii="宋体" w:hAnsi="宋体" w:eastAsia="宋体" w:cs="宋体"/>
          <w:sz w:val="24"/>
          <w:szCs w:val="24"/>
          <w:lang w:val="en-US" w:eastAsia="zh-CN"/>
        </w:rPr>
        <w:t>部门经理：杜青青 营销管理部经理13633790075</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具体负责人联系方式：谢逸伦 客户经理15038621500</w:t>
      </w:r>
    </w:p>
    <w:p>
      <w:pPr>
        <w:spacing w:line="240" w:lineRule="auto"/>
        <w:ind w:firstLine="720" w:firstLineChars="200"/>
        <w:jc w:val="center"/>
        <w:rPr>
          <w:rFonts w:hint="eastAsia" w:ascii="宋体" w:hAnsi="宋体" w:eastAsia="宋体" w:cs="宋体"/>
          <w:b w:val="0"/>
          <w:bCs w:val="0"/>
          <w:color w:val="0000FF"/>
          <w:kern w:val="2"/>
          <w:sz w:val="36"/>
          <w:szCs w:val="36"/>
          <w:highlight w:val="yellow"/>
          <w:lang w:val="en-US" w:eastAsia="zh-CN" w:bidi="ar-SA"/>
        </w:rPr>
      </w:pPr>
      <w:r>
        <w:rPr>
          <w:rFonts w:hint="eastAsia" w:ascii="宋体" w:hAnsi="宋体" w:eastAsia="宋体" w:cs="宋体"/>
          <w:b w:val="0"/>
          <w:bCs w:val="0"/>
          <w:color w:val="0000FF"/>
          <w:kern w:val="2"/>
          <w:sz w:val="36"/>
          <w:szCs w:val="36"/>
          <w:highlight w:val="yellow"/>
          <w:lang w:val="en-US" w:eastAsia="zh-CN" w:bidi="ar-SA"/>
        </w:rPr>
        <w:t>中国光大银行政府采购贷融资产品</w:t>
      </w:r>
    </w:p>
    <w:p>
      <w:pPr>
        <w:spacing w:line="240" w:lineRule="auto"/>
        <w:ind w:firstLine="720" w:firstLineChars="200"/>
        <w:jc w:val="center"/>
        <w:rPr>
          <w:rFonts w:hint="eastAsia" w:ascii="宋体" w:hAnsi="宋体" w:eastAsia="宋体" w:cs="宋体"/>
          <w:b w:val="0"/>
          <w:bCs w:val="0"/>
          <w:color w:val="0000FF"/>
          <w:kern w:val="2"/>
          <w:sz w:val="36"/>
          <w:szCs w:val="36"/>
          <w:highlight w:val="yellow"/>
          <w:lang w:val="en-US" w:eastAsia="zh-CN" w:bidi="ar-SA"/>
        </w:rPr>
      </w:pPr>
      <w:r>
        <w:rPr>
          <w:rFonts w:hint="eastAsia" w:ascii="宋体" w:hAnsi="宋体" w:eastAsia="宋体" w:cs="宋体"/>
          <w:b w:val="0"/>
          <w:bCs w:val="0"/>
          <w:color w:val="0000FF"/>
          <w:kern w:val="2"/>
          <w:sz w:val="36"/>
          <w:szCs w:val="36"/>
          <w:highlight w:val="yellow"/>
          <w:lang w:val="en-US" w:eastAsia="zh-CN" w:bidi="ar-SA"/>
        </w:rPr>
        <w:t>介绍及联系方式</w:t>
      </w:r>
    </w:p>
    <w:p>
      <w:pPr>
        <w:pStyle w:val="56"/>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
        </w:rPr>
        <w:t>一、</w:t>
      </w:r>
      <w:r>
        <w:rPr>
          <w:rFonts w:hint="eastAsia" w:ascii="宋体" w:hAnsi="宋体" w:eastAsia="宋体" w:cs="宋体"/>
          <w:sz w:val="24"/>
          <w:szCs w:val="24"/>
          <w:lang w:eastAsia="zh-CN"/>
        </w:rPr>
        <w:t>产品定义</w:t>
      </w:r>
    </w:p>
    <w:p>
      <w:pPr>
        <w:pStyle w:val="56"/>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“政采易”是指光大银行根据政府采购中标通知书，以政府财政支付资金为主要还款来源，通过封闭回款路径等方式，为中标供应商提供流动资金贷款。</w:t>
      </w:r>
    </w:p>
    <w:p>
      <w:pPr>
        <w:pStyle w:val="56"/>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t>二、</w:t>
      </w:r>
      <w:r>
        <w:rPr>
          <w:rFonts w:hint="eastAsia" w:ascii="宋体" w:hAnsi="宋体" w:eastAsia="宋体" w:cs="宋体"/>
          <w:sz w:val="24"/>
          <w:szCs w:val="24"/>
          <w:lang w:val="en-US" w:eastAsia="zh-CN"/>
        </w:rPr>
        <w:t>借款人基本条件</w:t>
      </w:r>
    </w:p>
    <w:p>
      <w:pPr>
        <w:keepNext w:val="0"/>
        <w:keepLines w:val="0"/>
        <w:pageBreakBefore w:val="0"/>
        <w:widowControl w:val="0"/>
        <w:numPr>
          <w:ilvl w:val="0"/>
          <w:numId w:val="0"/>
        </w:numPr>
        <w:tabs>
          <w:tab w:val="left" w:pos="1560"/>
        </w:tabs>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（一）具有独立承担民事责任的能力,有固定的经营场所；</w:t>
      </w:r>
    </w:p>
    <w:p>
      <w:pPr>
        <w:keepNext w:val="0"/>
        <w:keepLines w:val="0"/>
        <w:pageBreakBefore w:val="0"/>
        <w:widowControl w:val="0"/>
        <w:numPr>
          <w:ilvl w:val="0"/>
          <w:numId w:val="0"/>
        </w:numPr>
        <w:tabs>
          <w:tab w:val="left" w:pos="1560"/>
        </w:tabs>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（二）企业成立1（含）年以上，且实际控制人有3年以上实际行业经验，具有良好的纳税记录、工商登记记录；</w:t>
      </w:r>
    </w:p>
    <w:p>
      <w:pPr>
        <w:keepNext w:val="0"/>
        <w:keepLines w:val="0"/>
        <w:pageBreakBefore w:val="0"/>
        <w:widowControl w:val="0"/>
        <w:numPr>
          <w:ilvl w:val="0"/>
          <w:numId w:val="0"/>
        </w:numPr>
        <w:tabs>
          <w:tab w:val="left" w:pos="1560"/>
        </w:tabs>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（三）企业具有履行合同所必需的设备和服务能力；</w:t>
      </w:r>
    </w:p>
    <w:p>
      <w:pPr>
        <w:keepNext w:val="0"/>
        <w:keepLines w:val="0"/>
        <w:pageBreakBefore w:val="0"/>
        <w:widowControl w:val="0"/>
        <w:numPr>
          <w:ilvl w:val="0"/>
          <w:numId w:val="0"/>
        </w:numPr>
        <w:tabs>
          <w:tab w:val="left" w:pos="1560"/>
        </w:tabs>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（四）生产经营符合国家法律法规、产业政策和环境保护要求，符合我行信贷政策；</w:t>
      </w:r>
    </w:p>
    <w:p>
      <w:pPr>
        <w:keepNext w:val="0"/>
        <w:keepLines w:val="0"/>
        <w:pageBreakBefore w:val="0"/>
        <w:widowControl w:val="0"/>
        <w:numPr>
          <w:ilvl w:val="0"/>
          <w:numId w:val="0"/>
        </w:numPr>
        <w:tabs>
          <w:tab w:val="left" w:pos="1560"/>
        </w:tabs>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（五）人行征信信息查询系统查询显示企业法人、法定代表人、主要经营者无重大不良记录；政府采购履约行为无不良记录；</w:t>
      </w:r>
    </w:p>
    <w:p>
      <w:pPr>
        <w:keepNext w:val="0"/>
        <w:keepLines w:val="0"/>
        <w:pageBreakBefore w:val="0"/>
        <w:widowControl w:val="0"/>
        <w:numPr>
          <w:ilvl w:val="0"/>
          <w:numId w:val="0"/>
        </w:numPr>
        <w:tabs>
          <w:tab w:val="left" w:pos="1560"/>
        </w:tabs>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（六）中标供应商在我行信用评级应在B-级（含）以上；</w:t>
      </w:r>
    </w:p>
    <w:p>
      <w:pPr>
        <w:keepNext w:val="0"/>
        <w:keepLines w:val="0"/>
        <w:pageBreakBefore w:val="0"/>
        <w:widowControl w:val="0"/>
        <w:numPr>
          <w:ilvl w:val="0"/>
          <w:numId w:val="0"/>
        </w:numPr>
        <w:tabs>
          <w:tab w:val="left" w:pos="1560"/>
        </w:tabs>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（七）我行要求的其他条件。</w:t>
      </w:r>
    </w:p>
    <w:p>
      <w:pPr>
        <w:pStyle w:val="56"/>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t>三、</w:t>
      </w:r>
      <w:r>
        <w:rPr>
          <w:rFonts w:hint="eastAsia" w:ascii="宋体" w:hAnsi="宋体" w:eastAsia="宋体" w:cs="宋体"/>
          <w:sz w:val="24"/>
          <w:szCs w:val="24"/>
          <w:lang w:val="en-US" w:eastAsia="zh-CN"/>
        </w:rPr>
        <w:t>业务流程</w:t>
      </w:r>
    </w:p>
    <w:p>
      <w:pPr>
        <w:keepNext w:val="0"/>
        <w:keepLines w:val="0"/>
        <w:pageBreakBefore w:val="0"/>
        <w:widowControl w:val="0"/>
        <w:numPr>
          <w:ilvl w:val="0"/>
          <w:numId w:val="0"/>
        </w:numPr>
        <w:tabs>
          <w:tab w:val="left" w:pos="1560"/>
        </w:tabs>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（一）供应商的采购资金纳入同级或以上政府财政预算。</w:t>
      </w:r>
    </w:p>
    <w:p>
      <w:pPr>
        <w:keepNext w:val="0"/>
        <w:keepLines w:val="0"/>
        <w:pageBreakBefore w:val="0"/>
        <w:widowControl w:val="0"/>
        <w:numPr>
          <w:ilvl w:val="0"/>
          <w:numId w:val="0"/>
        </w:numPr>
        <w:tabs>
          <w:tab w:val="left" w:pos="1560"/>
        </w:tabs>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（二）供应商与政府采购部门签署采购合同。</w:t>
      </w:r>
    </w:p>
    <w:p>
      <w:pPr>
        <w:keepNext w:val="0"/>
        <w:keepLines w:val="0"/>
        <w:pageBreakBefore w:val="0"/>
        <w:widowControl w:val="0"/>
        <w:numPr>
          <w:ilvl w:val="0"/>
          <w:numId w:val="0"/>
        </w:numPr>
        <w:tabs>
          <w:tab w:val="left" w:pos="1560"/>
        </w:tabs>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（三）采购合同在公开平台进行公示或者备案。</w:t>
      </w:r>
    </w:p>
    <w:p>
      <w:pPr>
        <w:keepNext w:val="0"/>
        <w:keepLines w:val="0"/>
        <w:pageBreakBefore w:val="0"/>
        <w:widowControl w:val="0"/>
        <w:numPr>
          <w:ilvl w:val="0"/>
          <w:numId w:val="0"/>
        </w:numPr>
        <w:tabs>
          <w:tab w:val="left" w:pos="1560"/>
        </w:tabs>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（四）供应商依托采购合同，向光大银行申请融资。</w:t>
      </w:r>
    </w:p>
    <w:p>
      <w:pPr>
        <w:keepNext w:val="0"/>
        <w:keepLines w:val="0"/>
        <w:pageBreakBefore w:val="0"/>
        <w:widowControl w:val="0"/>
        <w:numPr>
          <w:ilvl w:val="0"/>
          <w:numId w:val="0"/>
        </w:numPr>
        <w:tabs>
          <w:tab w:val="left" w:pos="1560"/>
        </w:tabs>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（五）光大银行对采购商进行调查，根据政府采购中标合同金额扣除预付款*一定比例发放融资款项。</w:t>
      </w:r>
    </w:p>
    <w:p>
      <w:pPr>
        <w:keepNext w:val="0"/>
        <w:keepLines w:val="0"/>
        <w:pageBreakBefore w:val="0"/>
        <w:widowControl w:val="0"/>
        <w:numPr>
          <w:ilvl w:val="0"/>
          <w:numId w:val="0"/>
        </w:numPr>
        <w:tabs>
          <w:tab w:val="left" w:pos="1560"/>
        </w:tabs>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（六）中标供应商须在光大银行开立结算账户并将其指定为企业政府采购结算专户，回款至该账户。</w:t>
      </w:r>
    </w:p>
    <w:p>
      <w:pPr>
        <w:pStyle w:val="56"/>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t>四、</w:t>
      </w:r>
      <w:r>
        <w:rPr>
          <w:rFonts w:hint="eastAsia" w:ascii="宋体" w:hAnsi="宋体" w:eastAsia="宋体" w:cs="宋体"/>
          <w:sz w:val="24"/>
          <w:szCs w:val="24"/>
          <w:lang w:val="en-US" w:eastAsia="zh-CN"/>
        </w:rPr>
        <w:t>利率</w:t>
      </w:r>
    </w:p>
    <w:p>
      <w:pPr>
        <w:pStyle w:val="56"/>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根据当地同业水平合理确定贷款利率水平，执行总行贷款利率授权管理政策。</w:t>
      </w:r>
    </w:p>
    <w:p>
      <w:pPr>
        <w:pStyle w:val="56"/>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t>五、</w:t>
      </w:r>
      <w:r>
        <w:rPr>
          <w:rFonts w:hint="eastAsia" w:ascii="宋体" w:hAnsi="宋体" w:eastAsia="宋体" w:cs="宋体"/>
          <w:sz w:val="24"/>
          <w:szCs w:val="24"/>
          <w:lang w:val="en-US" w:eastAsia="zh-CN"/>
        </w:rPr>
        <w:t>贷款期限</w:t>
      </w:r>
    </w:p>
    <w:p>
      <w:pPr>
        <w:pStyle w:val="317"/>
        <w:keepNext w:val="0"/>
        <w:keepLines w:val="0"/>
        <w:pageBreakBefore w:val="0"/>
        <w:widowControl w:val="0"/>
        <w:tabs>
          <w:tab w:val="left" w:pos="1560"/>
        </w:tabs>
        <w:kinsoku/>
        <w:wordWrap/>
        <w:overflowPunct/>
        <w:topLinePunct w:val="0"/>
        <w:autoSpaceDE/>
        <w:autoSpaceDN/>
        <w:bidi w:val="0"/>
        <w:adjustRightInd w:val="0"/>
        <w:snapToGrid w:val="0"/>
        <w:spacing w:line="240" w:lineRule="auto"/>
        <w:ind w:left="0" w:leftChars="0" w:right="0" w:rightChars="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贷款期限应与政府采购合同中约定的结算周期、付款方式相匹配，最长不超过合同约定付款日期后两个月。</w:t>
      </w:r>
    </w:p>
    <w:p>
      <w:pPr>
        <w:pStyle w:val="56"/>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t>六、</w:t>
      </w:r>
      <w:r>
        <w:rPr>
          <w:rFonts w:hint="eastAsia" w:ascii="宋体" w:hAnsi="宋体" w:eastAsia="宋体" w:cs="宋体"/>
          <w:sz w:val="24"/>
          <w:szCs w:val="24"/>
          <w:lang w:val="en-US" w:eastAsia="zh-CN"/>
        </w:rPr>
        <w:t>联系方式</w:t>
      </w:r>
    </w:p>
    <w:p>
      <w:pPr>
        <w:keepNext w:val="0"/>
        <w:keepLines w:val="0"/>
        <w:pageBreakBefore w:val="0"/>
        <w:kinsoku/>
        <w:wordWrap/>
        <w:overflowPunct/>
        <w:topLinePunct w:val="0"/>
        <w:autoSpaceDE/>
        <w:autoSpaceDN/>
        <w:bidi w:val="0"/>
        <w:spacing w:line="24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1.分管领导 ：王慧18837902280</w:t>
      </w:r>
    </w:p>
    <w:p>
      <w:pPr>
        <w:keepNext w:val="0"/>
        <w:keepLines w:val="0"/>
        <w:pageBreakBefore w:val="0"/>
        <w:kinsoku/>
        <w:wordWrap/>
        <w:overflowPunct/>
        <w:topLinePunct w:val="0"/>
        <w:autoSpaceDE/>
        <w:autoSpaceDN/>
        <w:bidi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2.信贷经理：刘勇 18837995809</w:t>
      </w:r>
    </w:p>
    <w:p>
      <w:pPr>
        <w:keepNext w:val="0"/>
        <w:keepLines w:val="0"/>
        <w:pageBreakBefore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sz w:val="24"/>
          <w:szCs w:val="24"/>
          <w:lang w:val="en-US" w:eastAsia="zh-CN"/>
        </w:rPr>
      </w:pPr>
    </w:p>
    <w:p>
      <w:pPr>
        <w:pStyle w:val="2"/>
        <w:rPr>
          <w:rFonts w:hint="eastAsia"/>
        </w:rPr>
      </w:pPr>
    </w:p>
    <w:sectPr>
      <w:headerReference r:id="rId12" w:type="default"/>
      <w:footerReference r:id="rId13" w:type="default"/>
      <w:pgSz w:w="11906" w:h="16838"/>
      <w:pgMar w:top="1418" w:right="1418" w:bottom="1418" w:left="1418" w:header="794" w:footer="6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1" w:fontKey="{3005BF21-B8E2-45BE-9886-98BB777084CF}"/>
  </w:font>
  <w:font w:name="仿宋_GB2312">
    <w:panose1 w:val="02010609030101010101"/>
    <w:charset w:val="86"/>
    <w:family w:val="modern"/>
    <w:pitch w:val="default"/>
    <w:sig w:usb0="00000001" w:usb1="080E0000" w:usb2="00000000" w:usb3="00000000" w:csb0="00040000" w:csb1="00000000"/>
    <w:embedRegular r:id="rId2" w:fontKey="{0EDF0586-59B3-4899-B3D0-5BBD6307E9A7}"/>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embedRegular r:id="rId3" w:fontKey="{631160EB-CF78-4D5D-A962-63A3A665B75F}"/>
  </w:font>
  <w:font w:name="Arial Unicode MS">
    <w:altName w:val="宋体"/>
    <w:panose1 w:val="020B0604020202020204"/>
    <w:charset w:val="86"/>
    <w:family w:val="swiss"/>
    <w:pitch w:val="default"/>
    <w:sig w:usb0="00000000" w:usb1="00000000" w:usb2="0000003F" w:usb3="00000000" w:csb0="603F01FF" w:csb1="FFFF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FZHei-B01S">
    <w:altName w:val="宋体"/>
    <w:panose1 w:val="00000000000000000000"/>
    <w:charset w:val="86"/>
    <w:family w:val="swiss"/>
    <w:pitch w:val="default"/>
    <w:sig w:usb0="00000000" w:usb1="00000000" w:usb2="00000010" w:usb3="00000000" w:csb0="00040000" w:csb1="00000000"/>
  </w:font>
  <w:font w:name="Univers 57 Condensed">
    <w:altName w:val="宋体"/>
    <w:panose1 w:val="00000000000000000000"/>
    <w:charset w:val="86"/>
    <w:family w:val="swiss"/>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Ari">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Futura Bk">
    <w:altName w:val="Times New Roman"/>
    <w:panose1 w:val="00000000000000000000"/>
    <w:charset w:val="00"/>
    <w:family w:val="roman"/>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Century Gothic">
    <w:altName w:val="Segoe Print"/>
    <w:panose1 w:val="020B0502020202020204"/>
    <w:charset w:val="00"/>
    <w:family w:val="swiss"/>
    <w:pitch w:val="default"/>
    <w:sig w:usb0="00000000" w:usb1="00000000" w:usb2="00000000" w:usb3="00000000" w:csb0="2000009F" w:csb1="DFD70000"/>
  </w:font>
  <w:font w:name="华康简宋">
    <w:altName w:val="宋体"/>
    <w:panose1 w:val="00000000000000000000"/>
    <w:charset w:val="86"/>
    <w:family w:val="modern"/>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embedRegular r:id="rId4" w:fontKey="{0D58BA73-D3F7-498A-8BC7-25444EEA4E52}"/>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66"/>
      </w:rPr>
    </w:pPr>
    <w:r>
      <w:fldChar w:fldCharType="begin"/>
    </w:r>
    <w:r>
      <w:rPr>
        <w:rStyle w:val="66"/>
      </w:rPr>
      <w:instrText xml:space="preserve">PAGE  </w:instrText>
    </w:r>
    <w:r>
      <w:fldChar w:fldCharType="separate"/>
    </w:r>
    <w:r>
      <w:rPr>
        <w:rStyle w:val="66"/>
      </w:rPr>
      <w:t>52</w:t>
    </w:r>
    <w:r>
      <w:fldChar w:fldCharType="end"/>
    </w:r>
  </w:p>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66"/>
      </w:rPr>
    </w:pPr>
    <w:r>
      <w:fldChar w:fldCharType="begin"/>
    </w:r>
    <w:r>
      <w:rPr>
        <w:rStyle w:val="66"/>
      </w:rPr>
      <w:instrText xml:space="preserve">PAGE  </w:instrText>
    </w:r>
    <w:r>
      <w:fldChar w:fldCharType="separate"/>
    </w:r>
    <w:r>
      <w:rPr>
        <w:rStyle w:val="66"/>
      </w:rPr>
      <w:t>58</w:t>
    </w:r>
    <w:r>
      <w:fldChar w:fldCharType="end"/>
    </w:r>
  </w:p>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66"/>
      </w:rPr>
    </w:pPr>
    <w:r>
      <w:fldChar w:fldCharType="begin"/>
    </w:r>
    <w:r>
      <w:rPr>
        <w:rStyle w:val="66"/>
      </w:rPr>
      <w:instrText xml:space="preserve">PAGE  </w:instrText>
    </w:r>
    <w:r>
      <w:fldChar w:fldCharType="separate"/>
    </w:r>
    <w:r>
      <w:rPr>
        <w:rStyle w:val="66"/>
      </w:rPr>
      <w:t>65</w:t>
    </w:r>
    <w:r>
      <w:fldChar w:fldCharType="end"/>
    </w:r>
  </w:p>
  <w:p>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66"/>
      </w:rPr>
    </w:pPr>
    <w:r>
      <w:fldChar w:fldCharType="begin"/>
    </w:r>
    <w:r>
      <w:rPr>
        <w:rStyle w:val="66"/>
      </w:rPr>
      <w:instrText xml:space="preserve">PAGE  </w:instrText>
    </w:r>
    <w:r>
      <w:fldChar w:fldCharType="separate"/>
    </w:r>
    <w:r>
      <w:fldChar w:fldCharType="end"/>
    </w:r>
  </w:p>
  <w:p>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66"/>
      </w:rPr>
    </w:pPr>
    <w:r>
      <w:fldChar w:fldCharType="begin"/>
    </w:r>
    <w:r>
      <w:rPr>
        <w:rStyle w:val="66"/>
      </w:rPr>
      <w:instrText xml:space="preserve">PAGE  </w:instrText>
    </w:r>
    <w:r>
      <w:fldChar w:fldCharType="separate"/>
    </w:r>
    <w:r>
      <w:rPr>
        <w:rStyle w:val="66"/>
      </w:rPr>
      <w:t>65</w:t>
    </w:r>
    <w:r>
      <w:fldChar w:fldCharType="end"/>
    </w:r>
  </w:p>
  <w:p>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hint="eastAsia" w:eastAsia="楷体_GB2312"/>
        <w:sz w:val="21"/>
        <w:shd w:val="pct10" w:color="auto" w:fill="FFFFFF"/>
      </w:rPr>
    </w:pPr>
  </w:p>
  <w:p>
    <w:pPr>
      <w:pStyle w:val="41"/>
      <w:jc w:val="both"/>
      <w:rPr>
        <w:rFonts w:eastAsia="楷体_GB2312"/>
        <w:sz w:val="21"/>
        <w:shd w:val="clear" w:color="auto" w:fill="auto"/>
        <w:lang w:eastAsia="zh-CN"/>
      </w:rPr>
    </w:pPr>
    <w:r>
      <w:rPr>
        <w:rFonts w:hint="eastAsia" w:eastAsia="楷体_GB2312"/>
        <w:sz w:val="21"/>
        <w:shd w:val="clear" w:color="auto" w:fill="auto"/>
      </w:rPr>
      <w:t xml:space="preserve">公开 公平 公正 诚信                    </w:t>
    </w:r>
    <w:r>
      <w:rPr>
        <w:rFonts w:hint="eastAsia" w:eastAsia="楷体_GB2312"/>
        <w:sz w:val="21"/>
        <w:shd w:val="clear" w:color="auto" w:fill="auto"/>
        <w:lang w:val="en-US" w:eastAsia="zh-CN"/>
      </w:rPr>
      <w:t xml:space="preserve">      </w:t>
    </w:r>
    <w:r>
      <w:rPr>
        <w:rFonts w:hint="eastAsia" w:eastAsia="楷体_GB2312"/>
        <w:sz w:val="21"/>
        <w:shd w:val="clear" w:color="auto" w:fill="auto"/>
        <w:lang w:eastAsia="zh-CN"/>
      </w:rPr>
      <w:t>中资国际工程咨询集团有限责任公司采购文件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hint="eastAsia" w:eastAsia="楷体_GB2312"/>
        <w:sz w:val="21"/>
        <w:shd w:val="pct10" w:color="auto" w:fill="FFFFFF"/>
      </w:rPr>
    </w:pPr>
  </w:p>
  <w:p>
    <w:pPr>
      <w:pStyle w:val="41"/>
      <w:jc w:val="both"/>
      <w:rPr>
        <w:rFonts w:hint="eastAsia" w:eastAsia="楷体_GB2312"/>
        <w:sz w:val="21"/>
        <w:shd w:val="clear" w:color="auto" w:fill="auto"/>
        <w:lang w:val="en-US" w:eastAsia="zh-CN"/>
      </w:rPr>
    </w:pPr>
    <w:r>
      <w:rPr>
        <w:rFonts w:hint="eastAsia" w:eastAsia="楷体_GB2312"/>
        <w:sz w:val="21"/>
        <w:shd w:val="clear" w:color="auto" w:fill="auto"/>
      </w:rPr>
      <w:t xml:space="preserve">公开 公平 公正 诚信                             </w:t>
    </w:r>
    <w:r>
      <w:rPr>
        <w:rFonts w:hint="eastAsia" w:eastAsia="楷体_GB2312"/>
        <w:sz w:val="21"/>
        <w:shd w:val="clear" w:color="auto" w:fill="auto"/>
        <w:lang w:eastAsia="zh-CN"/>
      </w:rPr>
      <w:t>中资国际工程咨询集团有限责任公司采购文件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hint="eastAsia" w:eastAsia="楷体_GB2312"/>
        <w:sz w:val="21"/>
        <w:shd w:val="clear" w:color="auto" w:fill="auto"/>
        <w:lang w:eastAsia="zh-CN"/>
      </w:rPr>
    </w:pPr>
    <w:r>
      <w:rPr>
        <w:rFonts w:hint="eastAsia" w:eastAsia="楷体_GB2312"/>
        <w:sz w:val="21"/>
        <w:shd w:val="clear" w:color="auto" w:fill="auto"/>
      </w:rPr>
      <w:t xml:space="preserve">公开 公平 公正 诚信                           </w:t>
    </w:r>
    <w:r>
      <w:rPr>
        <w:rFonts w:hint="eastAsia" w:eastAsia="楷体_GB2312"/>
        <w:sz w:val="21"/>
        <w:shd w:val="clear" w:color="auto" w:fill="auto"/>
        <w:lang w:eastAsia="zh-CN"/>
      </w:rPr>
      <w:t>中资国际工程咨询集团有限责任公司采购文件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hint="eastAsia" w:eastAsia="楷体_GB2312"/>
        <w:sz w:val="21"/>
        <w:shd w:val="pct10" w:color="auto" w:fill="FFFFFF"/>
        <w:lang w:eastAsia="zh-CN"/>
      </w:rPr>
    </w:pPr>
    <w:r>
      <w:rPr>
        <w:rFonts w:hint="eastAsia" w:eastAsia="楷体_GB2312"/>
        <w:sz w:val="21"/>
        <w:shd w:val="pct10" w:color="auto" w:fill="FFFFFF"/>
      </w:rPr>
      <w:t>公开公平公正诚信洛阳市政府采购中心</w:t>
    </w:r>
    <w:r>
      <w:rPr>
        <w:rFonts w:hint="eastAsia" w:eastAsia="楷体_GB2312"/>
        <w:sz w:val="21"/>
        <w:shd w:val="pct10" w:color="auto" w:fill="FFFFFF"/>
        <w:lang w:eastAsia="zh-CN"/>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hint="eastAsia" w:eastAsia="楷体_GB2312"/>
        <w:sz w:val="21"/>
        <w:shd w:val="pct10" w:color="auto" w:fill="FFFFFF"/>
      </w:rPr>
    </w:pPr>
  </w:p>
  <w:p>
    <w:pPr>
      <w:pStyle w:val="41"/>
      <w:jc w:val="center"/>
      <w:rPr>
        <w:rFonts w:hint="eastAsia" w:eastAsia="楷体_GB2312"/>
        <w:sz w:val="21"/>
        <w:shd w:val="clear" w:color="auto" w:fill="auto"/>
        <w:lang w:eastAsia="zh-CN"/>
      </w:rPr>
    </w:pPr>
    <w:r>
      <w:rPr>
        <w:rFonts w:hint="eastAsia" w:eastAsia="楷体_GB2312"/>
        <w:sz w:val="21"/>
        <w:shd w:val="clear" w:color="auto" w:fill="auto"/>
      </w:rPr>
      <w:t xml:space="preserve">公开 公平 公正 诚信                          </w:t>
    </w:r>
    <w:r>
      <w:rPr>
        <w:rFonts w:hint="eastAsia" w:eastAsia="楷体_GB2312"/>
        <w:sz w:val="21"/>
        <w:shd w:val="clear" w:color="auto" w:fill="auto"/>
        <w:lang w:eastAsia="zh-CN"/>
      </w:rPr>
      <w:t>中资国际工程咨询集团有限责任公司采购文件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24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6"/>
      <w:numFmt w:val="decimal"/>
      <w:lvlText w:val="%3）"/>
      <w:lvlJc w:val="left"/>
      <w:pPr>
        <w:tabs>
          <w:tab w:val="left" w:pos="1200"/>
        </w:tabs>
        <w:ind w:left="1200" w:hanging="36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A"/>
    <w:multiLevelType w:val="multilevel"/>
    <w:tmpl w:val="0000000A"/>
    <w:lvl w:ilvl="0" w:tentative="0">
      <w:start w:val="1"/>
      <w:numFmt w:val="decimal"/>
      <w:lvlText w:val="%1"/>
      <w:lvlJc w:val="left"/>
      <w:pPr>
        <w:tabs>
          <w:tab w:val="left" w:pos="432"/>
        </w:tabs>
        <w:ind w:left="432" w:hanging="432"/>
      </w:pPr>
      <w:rPr>
        <w:rFonts w:hint="eastAsia"/>
        <w:b w:val="0"/>
      </w:rPr>
    </w:lvl>
    <w:lvl w:ilvl="1" w:tentative="0">
      <w:start w:val="1"/>
      <w:numFmt w:val="decimal"/>
      <w:lvlText w:val="%1.%2"/>
      <w:lvlJc w:val="left"/>
      <w:pPr>
        <w:tabs>
          <w:tab w:val="left" w:pos="180"/>
        </w:tabs>
        <w:ind w:left="756" w:hanging="576"/>
      </w:pPr>
      <w:rPr>
        <w:rFonts w:hint="eastAsia"/>
      </w:rPr>
    </w:lvl>
    <w:lvl w:ilvl="2" w:tentative="0">
      <w:start w:val="1"/>
      <w:numFmt w:val="decimal"/>
      <w:pStyle w:val="298"/>
      <w:lvlText w:val="%1.%2.%3"/>
      <w:lvlJc w:val="left"/>
      <w:pPr>
        <w:tabs>
          <w:tab w:val="left" w:pos="426"/>
        </w:tabs>
        <w:ind w:left="1146" w:hanging="720"/>
      </w:pPr>
      <w:rPr>
        <w:rFonts w:hint="eastAsia" w:ascii="黑体" w:hAnsi="Arial" w:eastAsia="黑体" w:cs="Times New Roman"/>
        <w:color w:val="auto"/>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0B"/>
    <w:multiLevelType w:val="multilevel"/>
    <w:tmpl w:val="0000000B"/>
    <w:lvl w:ilvl="0" w:tentative="0">
      <w:start w:val="1"/>
      <w:numFmt w:val="decimal"/>
      <w:pStyle w:val="173"/>
      <w:lvlText w:val="(%1)"/>
      <w:lvlJc w:val="left"/>
      <w:pPr>
        <w:tabs>
          <w:tab w:val="left" w:pos="397"/>
        </w:tabs>
        <w:ind w:left="397" w:hanging="397"/>
      </w:pPr>
      <w:rPr>
        <w:rFonts w:ascii="Arial" w:hAnsi="Arial" w:eastAsia="宋体" w:cs="Times New Roman"/>
        <w:b w:val="0"/>
        <w:i w:val="0"/>
        <w:color w:val="auto"/>
        <w:sz w:val="18"/>
        <w:szCs w:val="1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C"/>
    <w:multiLevelType w:val="multilevel"/>
    <w:tmpl w:val="0000000C"/>
    <w:lvl w:ilvl="0" w:tentative="0">
      <w:start w:val="1"/>
      <w:numFmt w:val="decimal"/>
      <w:pStyle w:val="200"/>
      <w:lvlText w:val="%1、"/>
      <w:lvlJc w:val="left"/>
      <w:pPr>
        <w:tabs>
          <w:tab w:val="left" w:pos="840"/>
        </w:tabs>
        <w:ind w:left="840" w:hanging="360"/>
      </w:pPr>
      <w:rPr>
        <w:rFonts w:hint="eastAsia"/>
      </w:rPr>
    </w:lvl>
    <w:lvl w:ilvl="1" w:tentative="0">
      <w:start w:val="1"/>
      <w:numFmt w:val="decimal"/>
      <w:lvlText w:val="(%2)"/>
      <w:lvlJc w:val="left"/>
      <w:pPr>
        <w:tabs>
          <w:tab w:val="left" w:pos="1320"/>
        </w:tabs>
        <w:ind w:left="1320" w:hanging="420"/>
      </w:pPr>
      <w:rPr>
        <w:rFonts w:hint="eastAsia"/>
      </w:rPr>
    </w:lvl>
    <w:lvl w:ilvl="2" w:tentative="0">
      <w:start w:val="1"/>
      <w:numFmt w:val="decimal"/>
      <w:lvlText w:val="%3．"/>
      <w:lvlJc w:val="left"/>
      <w:pPr>
        <w:tabs>
          <w:tab w:val="left" w:pos="1680"/>
        </w:tabs>
        <w:ind w:left="1680" w:hanging="36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D"/>
    <w:multiLevelType w:val="multilevel"/>
    <w:tmpl w:val="0000000D"/>
    <w:lvl w:ilvl="0" w:tentative="0">
      <w:start w:val="1"/>
      <w:numFmt w:val="decimal"/>
      <w:suff w:val="space"/>
      <w:lvlText w:val="%1."/>
      <w:lvlJc w:val="left"/>
      <w:pPr>
        <w:tabs>
          <w:tab w:val="left" w:pos="0"/>
        </w:tabs>
        <w:ind w:left="964" w:hanging="964"/>
      </w:pPr>
      <w:rPr>
        <w:rFonts w:hint="eastAsia" w:eastAsia="黑体"/>
      </w:rPr>
    </w:lvl>
    <w:lvl w:ilvl="1" w:tentative="0">
      <w:start w:val="1"/>
      <w:numFmt w:val="decimal"/>
      <w:suff w:val="space"/>
      <w:lvlText w:val="%2."/>
      <w:lvlJc w:val="left"/>
      <w:pPr>
        <w:tabs>
          <w:tab w:val="left" w:pos="0"/>
        </w:tabs>
        <w:ind w:left="493" w:hanging="567"/>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rPr>
    </w:lvl>
    <w:lvl w:ilvl="2" w:tentative="0">
      <w:start w:val="1"/>
      <w:numFmt w:val="decimal"/>
      <w:suff w:val="space"/>
      <w:lvlText w:val="%1.%2.%3."/>
      <w:lvlJc w:val="left"/>
      <w:pPr>
        <w:tabs>
          <w:tab w:val="left" w:pos="0"/>
        </w:tabs>
        <w:ind w:left="889" w:hanging="709"/>
      </w:pPr>
      <w:rPr>
        <w:rFonts w:hint="eastAsia"/>
      </w:rPr>
    </w:lvl>
    <w:lvl w:ilvl="3" w:tentative="0">
      <w:start w:val="1"/>
      <w:numFmt w:val="decimal"/>
      <w:pStyle w:val="257"/>
      <w:suff w:val="space"/>
      <w:lvlText w:val="%4."/>
      <w:lvlJc w:val="left"/>
      <w:pPr>
        <w:tabs>
          <w:tab w:val="left" w:pos="0"/>
        </w:tabs>
        <w:ind w:left="851" w:hanging="851"/>
      </w:pPr>
      <w:rPr>
        <w:rFonts w:hint="eastAsia"/>
      </w:rPr>
    </w:lvl>
    <w:lvl w:ilvl="4" w:tentative="0">
      <w:start w:val="1"/>
      <w:numFmt w:val="upperLetter"/>
      <w:suff w:val="space"/>
      <w:lvlText w:val="%5."/>
      <w:lvlJc w:val="left"/>
      <w:pPr>
        <w:tabs>
          <w:tab w:val="left" w:pos="0"/>
        </w:tabs>
        <w:ind w:left="918" w:hanging="992"/>
      </w:pPr>
      <w:rPr>
        <w:rFonts w:hint="eastAsia"/>
      </w:rPr>
    </w:lvl>
    <w:lvl w:ilvl="5" w:tentative="0">
      <w:start w:val="1"/>
      <w:numFmt w:val="decimal"/>
      <w:lvlText w:val="%1.%2.%3.%4.%5.%6."/>
      <w:lvlJc w:val="left"/>
      <w:pPr>
        <w:tabs>
          <w:tab w:val="left" w:pos="1060"/>
        </w:tabs>
        <w:ind w:left="1060" w:hanging="1134"/>
      </w:pPr>
      <w:rPr>
        <w:rFonts w:hint="eastAsia"/>
      </w:rPr>
    </w:lvl>
    <w:lvl w:ilvl="6" w:tentative="0">
      <w:start w:val="1"/>
      <w:numFmt w:val="decimal"/>
      <w:lvlText w:val="%1.%2.%3.%4.%5.%6.%7."/>
      <w:lvlJc w:val="left"/>
      <w:pPr>
        <w:tabs>
          <w:tab w:val="left" w:pos="1202"/>
        </w:tabs>
        <w:ind w:left="1202" w:hanging="1276"/>
      </w:pPr>
      <w:rPr>
        <w:rFonts w:hint="eastAsia"/>
      </w:rPr>
    </w:lvl>
    <w:lvl w:ilvl="7" w:tentative="0">
      <w:start w:val="1"/>
      <w:numFmt w:val="decimal"/>
      <w:lvlText w:val="%1.%2.%3.%4.%5.%6.%7.%8."/>
      <w:lvlJc w:val="left"/>
      <w:pPr>
        <w:tabs>
          <w:tab w:val="left" w:pos="1344"/>
        </w:tabs>
        <w:ind w:left="1344" w:hanging="1418"/>
      </w:pPr>
      <w:rPr>
        <w:rFonts w:hint="eastAsia"/>
      </w:rPr>
    </w:lvl>
    <w:lvl w:ilvl="8" w:tentative="0">
      <w:start w:val="1"/>
      <w:numFmt w:val="decimal"/>
      <w:lvlText w:val="%1.%2.%3.%4.%5.%6.%7.%8.%9."/>
      <w:lvlJc w:val="left"/>
      <w:pPr>
        <w:tabs>
          <w:tab w:val="left" w:pos="1485"/>
        </w:tabs>
        <w:ind w:left="1485" w:hanging="1559"/>
      </w:pPr>
      <w:rPr>
        <w:rFonts w:hint="eastAsia"/>
      </w:rPr>
    </w:lvl>
  </w:abstractNum>
  <w:abstractNum w:abstractNumId="5">
    <w:nsid w:val="0000000E"/>
    <w:multiLevelType w:val="multilevel"/>
    <w:tmpl w:val="0000000E"/>
    <w:lvl w:ilvl="0" w:tentative="0">
      <w:start w:val="1"/>
      <w:numFmt w:val="taiwaneseCountingThousand"/>
      <w:suff w:val="nothing"/>
      <w:lvlText w:val="%1、"/>
      <w:lvlJc w:val="left"/>
      <w:pPr>
        <w:tabs>
          <w:tab w:val="left" w:pos="0"/>
        </w:tabs>
        <w:ind w:left="0" w:firstLine="561"/>
      </w:pPr>
      <w:rPr>
        <w:rFonts w:hint="eastAsia"/>
      </w:rPr>
    </w:lvl>
    <w:lvl w:ilvl="1" w:tentative="0">
      <w:start w:val="1"/>
      <w:numFmt w:val="taiwaneseCountingThousand"/>
      <w:suff w:val="nothing"/>
      <w:lvlText w:val="（%2）"/>
      <w:lvlJc w:val="left"/>
      <w:pPr>
        <w:tabs>
          <w:tab w:val="left" w:pos="0"/>
        </w:tabs>
        <w:ind w:left="0" w:firstLine="561"/>
      </w:pPr>
      <w:rPr>
        <w:rFonts w:hint="eastAsia"/>
      </w:rPr>
    </w:lvl>
    <w:lvl w:ilvl="2" w:tentative="0">
      <w:start w:val="1"/>
      <w:numFmt w:val="decimal"/>
      <w:pStyle w:val="214"/>
      <w:suff w:val="nothing"/>
      <w:lvlText w:val="%3、"/>
      <w:lvlJc w:val="left"/>
      <w:pPr>
        <w:tabs>
          <w:tab w:val="left" w:pos="0"/>
        </w:tabs>
        <w:ind w:left="-21" w:firstLine="561"/>
      </w:pPr>
      <w:rPr>
        <w:rFonts w:hint="eastAsia"/>
      </w:rPr>
    </w:lvl>
    <w:lvl w:ilvl="3" w:tentative="0">
      <w:start w:val="1"/>
      <w:numFmt w:val="decimal"/>
      <w:suff w:val="nothing"/>
      <w:lvlText w:val="（%4）"/>
      <w:lvlJc w:val="left"/>
      <w:pPr>
        <w:tabs>
          <w:tab w:val="left" w:pos="0"/>
        </w:tabs>
        <w:ind w:left="1599" w:firstLine="561"/>
      </w:pPr>
      <w:rPr>
        <w:rFonts w:hint="eastAsia"/>
      </w:rPr>
    </w:lvl>
    <w:lvl w:ilvl="4" w:tentative="0">
      <w:start w:val="1"/>
      <w:numFmt w:val="decimal"/>
      <w:lvlText w:val="%1.%2.%3.%4.%5"/>
      <w:lvlJc w:val="left"/>
      <w:pPr>
        <w:tabs>
          <w:tab w:val="left" w:pos="608"/>
        </w:tabs>
        <w:ind w:left="608" w:hanging="1008"/>
      </w:pPr>
      <w:rPr>
        <w:rFonts w:hint="eastAsia"/>
      </w:rPr>
    </w:lvl>
    <w:lvl w:ilvl="5" w:tentative="0">
      <w:start w:val="1"/>
      <w:numFmt w:val="decimal"/>
      <w:lvlText w:val="%1.%2.%3.%4.%5.%6"/>
      <w:lvlJc w:val="left"/>
      <w:pPr>
        <w:tabs>
          <w:tab w:val="left" w:pos="752"/>
        </w:tabs>
        <w:ind w:left="752" w:hanging="1152"/>
      </w:pPr>
      <w:rPr>
        <w:rFonts w:hint="eastAsia"/>
      </w:rPr>
    </w:lvl>
    <w:lvl w:ilvl="6" w:tentative="0">
      <w:start w:val="1"/>
      <w:numFmt w:val="decimal"/>
      <w:lvlText w:val="%1.%2.%3.%4.%5.%6.%7"/>
      <w:lvlJc w:val="left"/>
      <w:pPr>
        <w:tabs>
          <w:tab w:val="left" w:pos="896"/>
        </w:tabs>
        <w:ind w:left="896" w:hanging="1296"/>
      </w:pPr>
      <w:rPr>
        <w:rFonts w:hint="eastAsia"/>
      </w:rPr>
    </w:lvl>
    <w:lvl w:ilvl="7" w:tentative="0">
      <w:start w:val="1"/>
      <w:numFmt w:val="decimal"/>
      <w:lvlText w:val="%1.%2.%3.%4.%5.%6.%7.%8"/>
      <w:lvlJc w:val="left"/>
      <w:pPr>
        <w:tabs>
          <w:tab w:val="left" w:pos="1040"/>
        </w:tabs>
        <w:ind w:left="1040" w:hanging="1440"/>
      </w:pPr>
      <w:rPr>
        <w:rFonts w:hint="eastAsia"/>
      </w:rPr>
    </w:lvl>
    <w:lvl w:ilvl="8" w:tentative="0">
      <w:start w:val="1"/>
      <w:numFmt w:val="decimal"/>
      <w:lvlText w:val="%1.%2.%3.%4.%5.%6.%7.%8.%9"/>
      <w:lvlJc w:val="left"/>
      <w:pPr>
        <w:tabs>
          <w:tab w:val="left" w:pos="1184"/>
        </w:tabs>
        <w:ind w:left="1184" w:hanging="1584"/>
      </w:pPr>
      <w:rPr>
        <w:rFonts w:hint="eastAsia"/>
      </w:rPr>
    </w:lvl>
  </w:abstractNum>
  <w:abstractNum w:abstractNumId="6">
    <w:nsid w:val="0000000F"/>
    <w:multiLevelType w:val="singleLevel"/>
    <w:tmpl w:val="0000000F"/>
    <w:lvl w:ilvl="0" w:tentative="0">
      <w:start w:val="1"/>
      <w:numFmt w:val="decimal"/>
      <w:pStyle w:val="307"/>
      <w:lvlText w:val="%1."/>
      <w:lvlJc w:val="left"/>
      <w:pPr>
        <w:tabs>
          <w:tab w:val="left" w:pos="360"/>
        </w:tabs>
        <w:ind w:left="360" w:hanging="360"/>
      </w:pPr>
    </w:lvl>
  </w:abstractNum>
  <w:abstractNum w:abstractNumId="7">
    <w:nsid w:val="00000012"/>
    <w:multiLevelType w:val="singleLevel"/>
    <w:tmpl w:val="00000012"/>
    <w:lvl w:ilvl="0" w:tentative="0">
      <w:start w:val="1"/>
      <w:numFmt w:val="decimal"/>
      <w:pStyle w:val="244"/>
      <w:lvlText w:val="%1."/>
      <w:lvlJc w:val="left"/>
      <w:pPr>
        <w:tabs>
          <w:tab w:val="left" w:pos="1200"/>
        </w:tabs>
        <w:ind w:left="1200" w:hanging="360"/>
      </w:pPr>
    </w:lvl>
  </w:abstractNum>
  <w:abstractNum w:abstractNumId="8">
    <w:nsid w:val="00000013"/>
    <w:multiLevelType w:val="multilevel"/>
    <w:tmpl w:val="00000013"/>
    <w:lvl w:ilvl="0" w:tentative="0">
      <w:start w:val="1"/>
      <w:numFmt w:val="decimal"/>
      <w:pStyle w:val="284"/>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5"/>
  </w:num>
  <w:num w:numId="4">
    <w:abstractNumId w:val="0"/>
  </w:num>
  <w:num w:numId="5">
    <w:abstractNumId w:val="7"/>
  </w:num>
  <w:num w:numId="6">
    <w:abstractNumId w:val="4"/>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289"/>
  <w:drawingGridVerticalSpacing w:val="23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ZGU2N2VhMjZkMTA3MGQ4NDkyNTc4NWFmMGYwNDcifQ=="/>
  </w:docVars>
  <w:rsids>
    <w:rsidRoot w:val="00172A27"/>
    <w:rsid w:val="00002902"/>
    <w:rsid w:val="00006F9D"/>
    <w:rsid w:val="00010135"/>
    <w:rsid w:val="00011931"/>
    <w:rsid w:val="00011BBE"/>
    <w:rsid w:val="00011C46"/>
    <w:rsid w:val="00015D60"/>
    <w:rsid w:val="00015F53"/>
    <w:rsid w:val="00017BC7"/>
    <w:rsid w:val="00021AE3"/>
    <w:rsid w:val="00022219"/>
    <w:rsid w:val="0002234C"/>
    <w:rsid w:val="000226ED"/>
    <w:rsid w:val="000239AB"/>
    <w:rsid w:val="00023CC7"/>
    <w:rsid w:val="00024AC8"/>
    <w:rsid w:val="00024C48"/>
    <w:rsid w:val="00024D17"/>
    <w:rsid w:val="0002502D"/>
    <w:rsid w:val="00026011"/>
    <w:rsid w:val="00030CEA"/>
    <w:rsid w:val="0003357B"/>
    <w:rsid w:val="00033BAD"/>
    <w:rsid w:val="00034AF3"/>
    <w:rsid w:val="00034D30"/>
    <w:rsid w:val="0003740F"/>
    <w:rsid w:val="00037597"/>
    <w:rsid w:val="00041281"/>
    <w:rsid w:val="00041829"/>
    <w:rsid w:val="00041A42"/>
    <w:rsid w:val="000445CD"/>
    <w:rsid w:val="0004610A"/>
    <w:rsid w:val="00050739"/>
    <w:rsid w:val="000529F9"/>
    <w:rsid w:val="000538B9"/>
    <w:rsid w:val="000544FE"/>
    <w:rsid w:val="000628B4"/>
    <w:rsid w:val="000643E6"/>
    <w:rsid w:val="000645D0"/>
    <w:rsid w:val="00066337"/>
    <w:rsid w:val="00067057"/>
    <w:rsid w:val="00070464"/>
    <w:rsid w:val="00070B5C"/>
    <w:rsid w:val="00072309"/>
    <w:rsid w:val="00073672"/>
    <w:rsid w:val="00073C99"/>
    <w:rsid w:val="000758E1"/>
    <w:rsid w:val="00077173"/>
    <w:rsid w:val="00077949"/>
    <w:rsid w:val="00080742"/>
    <w:rsid w:val="0008116C"/>
    <w:rsid w:val="00081CFE"/>
    <w:rsid w:val="000826BA"/>
    <w:rsid w:val="00087658"/>
    <w:rsid w:val="000902F3"/>
    <w:rsid w:val="00090B85"/>
    <w:rsid w:val="0009169C"/>
    <w:rsid w:val="000924B3"/>
    <w:rsid w:val="000927B5"/>
    <w:rsid w:val="0009397D"/>
    <w:rsid w:val="00095243"/>
    <w:rsid w:val="000A1A1D"/>
    <w:rsid w:val="000A1AD2"/>
    <w:rsid w:val="000A1BD5"/>
    <w:rsid w:val="000A29C0"/>
    <w:rsid w:val="000A47AD"/>
    <w:rsid w:val="000A4E0D"/>
    <w:rsid w:val="000A60CF"/>
    <w:rsid w:val="000B0E6A"/>
    <w:rsid w:val="000B2B61"/>
    <w:rsid w:val="000B3354"/>
    <w:rsid w:val="000B4B01"/>
    <w:rsid w:val="000B6D8E"/>
    <w:rsid w:val="000B6E41"/>
    <w:rsid w:val="000C0EF0"/>
    <w:rsid w:val="000C1B15"/>
    <w:rsid w:val="000C22E4"/>
    <w:rsid w:val="000C2D9D"/>
    <w:rsid w:val="000C316F"/>
    <w:rsid w:val="000C3221"/>
    <w:rsid w:val="000C362A"/>
    <w:rsid w:val="000C7733"/>
    <w:rsid w:val="000D2CFF"/>
    <w:rsid w:val="000D7481"/>
    <w:rsid w:val="000D7A53"/>
    <w:rsid w:val="000D7F5F"/>
    <w:rsid w:val="000E159E"/>
    <w:rsid w:val="000E36FC"/>
    <w:rsid w:val="000E41DD"/>
    <w:rsid w:val="000E43AB"/>
    <w:rsid w:val="000E5431"/>
    <w:rsid w:val="000E57FB"/>
    <w:rsid w:val="000E5EDC"/>
    <w:rsid w:val="000F075F"/>
    <w:rsid w:val="000F1B9B"/>
    <w:rsid w:val="000F25EA"/>
    <w:rsid w:val="000F4080"/>
    <w:rsid w:val="000F5089"/>
    <w:rsid w:val="000F5272"/>
    <w:rsid w:val="000F6423"/>
    <w:rsid w:val="000F65F0"/>
    <w:rsid w:val="000F7C79"/>
    <w:rsid w:val="001000CE"/>
    <w:rsid w:val="00100FE3"/>
    <w:rsid w:val="001044D1"/>
    <w:rsid w:val="001052C9"/>
    <w:rsid w:val="00106E3A"/>
    <w:rsid w:val="001075FB"/>
    <w:rsid w:val="0010797B"/>
    <w:rsid w:val="001101E9"/>
    <w:rsid w:val="00111B00"/>
    <w:rsid w:val="00112D07"/>
    <w:rsid w:val="00112E80"/>
    <w:rsid w:val="001132ED"/>
    <w:rsid w:val="001164EA"/>
    <w:rsid w:val="001238CC"/>
    <w:rsid w:val="00123C99"/>
    <w:rsid w:val="0012455F"/>
    <w:rsid w:val="00131A2A"/>
    <w:rsid w:val="00132291"/>
    <w:rsid w:val="0013340D"/>
    <w:rsid w:val="0013414D"/>
    <w:rsid w:val="00135EDD"/>
    <w:rsid w:val="0013631F"/>
    <w:rsid w:val="001372ED"/>
    <w:rsid w:val="00137ADE"/>
    <w:rsid w:val="00137BA3"/>
    <w:rsid w:val="00140204"/>
    <w:rsid w:val="001411CE"/>
    <w:rsid w:val="001419DC"/>
    <w:rsid w:val="0014274D"/>
    <w:rsid w:val="001446A7"/>
    <w:rsid w:val="00145A59"/>
    <w:rsid w:val="00146F28"/>
    <w:rsid w:val="00150043"/>
    <w:rsid w:val="00150571"/>
    <w:rsid w:val="0015090B"/>
    <w:rsid w:val="00151472"/>
    <w:rsid w:val="00151D2A"/>
    <w:rsid w:val="001533D9"/>
    <w:rsid w:val="00154BBD"/>
    <w:rsid w:val="00154FE8"/>
    <w:rsid w:val="001559F9"/>
    <w:rsid w:val="00156B84"/>
    <w:rsid w:val="00156D79"/>
    <w:rsid w:val="0015733E"/>
    <w:rsid w:val="001575E8"/>
    <w:rsid w:val="00161D16"/>
    <w:rsid w:val="00162C19"/>
    <w:rsid w:val="0017276B"/>
    <w:rsid w:val="00172CD1"/>
    <w:rsid w:val="00172EBB"/>
    <w:rsid w:val="00173A6D"/>
    <w:rsid w:val="00174C54"/>
    <w:rsid w:val="00176575"/>
    <w:rsid w:val="001775DA"/>
    <w:rsid w:val="00177709"/>
    <w:rsid w:val="001777B1"/>
    <w:rsid w:val="00177D57"/>
    <w:rsid w:val="00180E05"/>
    <w:rsid w:val="00183007"/>
    <w:rsid w:val="00183CF0"/>
    <w:rsid w:val="00184666"/>
    <w:rsid w:val="00186E0C"/>
    <w:rsid w:val="001916D1"/>
    <w:rsid w:val="00191B3A"/>
    <w:rsid w:val="00193053"/>
    <w:rsid w:val="001936DD"/>
    <w:rsid w:val="00193DB0"/>
    <w:rsid w:val="00193DFF"/>
    <w:rsid w:val="001955C4"/>
    <w:rsid w:val="00195F3F"/>
    <w:rsid w:val="001961DC"/>
    <w:rsid w:val="00196D26"/>
    <w:rsid w:val="00197A8D"/>
    <w:rsid w:val="001A2D7B"/>
    <w:rsid w:val="001A38F3"/>
    <w:rsid w:val="001A56D3"/>
    <w:rsid w:val="001A7225"/>
    <w:rsid w:val="001B0369"/>
    <w:rsid w:val="001B277C"/>
    <w:rsid w:val="001B2D37"/>
    <w:rsid w:val="001B4AD1"/>
    <w:rsid w:val="001B54FE"/>
    <w:rsid w:val="001B69AF"/>
    <w:rsid w:val="001B6BED"/>
    <w:rsid w:val="001B7CF2"/>
    <w:rsid w:val="001C2322"/>
    <w:rsid w:val="001C250C"/>
    <w:rsid w:val="001C36F1"/>
    <w:rsid w:val="001C53C9"/>
    <w:rsid w:val="001C5E8C"/>
    <w:rsid w:val="001C67D6"/>
    <w:rsid w:val="001C6DBD"/>
    <w:rsid w:val="001C7681"/>
    <w:rsid w:val="001C7719"/>
    <w:rsid w:val="001C7B3D"/>
    <w:rsid w:val="001D05ED"/>
    <w:rsid w:val="001D1D15"/>
    <w:rsid w:val="001D2EEB"/>
    <w:rsid w:val="001D535D"/>
    <w:rsid w:val="001D57C4"/>
    <w:rsid w:val="001D6FE1"/>
    <w:rsid w:val="001E05EB"/>
    <w:rsid w:val="001E1081"/>
    <w:rsid w:val="001E2890"/>
    <w:rsid w:val="001E29E9"/>
    <w:rsid w:val="001E3252"/>
    <w:rsid w:val="001E395C"/>
    <w:rsid w:val="001E4632"/>
    <w:rsid w:val="001E48D1"/>
    <w:rsid w:val="001E4ED1"/>
    <w:rsid w:val="001E6564"/>
    <w:rsid w:val="001E662A"/>
    <w:rsid w:val="001E6792"/>
    <w:rsid w:val="001E6FFD"/>
    <w:rsid w:val="001E73C8"/>
    <w:rsid w:val="001E77DB"/>
    <w:rsid w:val="001F0E6D"/>
    <w:rsid w:val="001F1537"/>
    <w:rsid w:val="001F55CC"/>
    <w:rsid w:val="001F76C7"/>
    <w:rsid w:val="002005C4"/>
    <w:rsid w:val="0020158B"/>
    <w:rsid w:val="00202CE7"/>
    <w:rsid w:val="00202F16"/>
    <w:rsid w:val="00203599"/>
    <w:rsid w:val="0020440B"/>
    <w:rsid w:val="00205078"/>
    <w:rsid w:val="0020569C"/>
    <w:rsid w:val="002062C0"/>
    <w:rsid w:val="00206D01"/>
    <w:rsid w:val="00207873"/>
    <w:rsid w:val="00207D59"/>
    <w:rsid w:val="0021006D"/>
    <w:rsid w:val="00212C8A"/>
    <w:rsid w:val="0021312E"/>
    <w:rsid w:val="002138B6"/>
    <w:rsid w:val="00213917"/>
    <w:rsid w:val="002152FD"/>
    <w:rsid w:val="00216D24"/>
    <w:rsid w:val="0022078C"/>
    <w:rsid w:val="0022109A"/>
    <w:rsid w:val="002210F6"/>
    <w:rsid w:val="00223675"/>
    <w:rsid w:val="00225D5D"/>
    <w:rsid w:val="0022632D"/>
    <w:rsid w:val="00232B84"/>
    <w:rsid w:val="00234C70"/>
    <w:rsid w:val="00234FC7"/>
    <w:rsid w:val="00236532"/>
    <w:rsid w:val="00240C4C"/>
    <w:rsid w:val="00240F85"/>
    <w:rsid w:val="002437FB"/>
    <w:rsid w:val="002560BA"/>
    <w:rsid w:val="00256318"/>
    <w:rsid w:val="002568CB"/>
    <w:rsid w:val="00257ED4"/>
    <w:rsid w:val="002603CA"/>
    <w:rsid w:val="00261AA7"/>
    <w:rsid w:val="0026263C"/>
    <w:rsid w:val="002629B7"/>
    <w:rsid w:val="00264057"/>
    <w:rsid w:val="00264944"/>
    <w:rsid w:val="00267814"/>
    <w:rsid w:val="00270D0C"/>
    <w:rsid w:val="00272A31"/>
    <w:rsid w:val="00272E40"/>
    <w:rsid w:val="0027314F"/>
    <w:rsid w:val="002734C5"/>
    <w:rsid w:val="002774E1"/>
    <w:rsid w:val="00277D8F"/>
    <w:rsid w:val="002803EC"/>
    <w:rsid w:val="00282105"/>
    <w:rsid w:val="00282A28"/>
    <w:rsid w:val="00284400"/>
    <w:rsid w:val="002871EF"/>
    <w:rsid w:val="002875F2"/>
    <w:rsid w:val="00290BF3"/>
    <w:rsid w:val="00291409"/>
    <w:rsid w:val="00291781"/>
    <w:rsid w:val="002933A0"/>
    <w:rsid w:val="0029390D"/>
    <w:rsid w:val="00294F0C"/>
    <w:rsid w:val="002965F9"/>
    <w:rsid w:val="00297538"/>
    <w:rsid w:val="002977EB"/>
    <w:rsid w:val="002A01F0"/>
    <w:rsid w:val="002A4C55"/>
    <w:rsid w:val="002A4C8A"/>
    <w:rsid w:val="002A4F43"/>
    <w:rsid w:val="002A5318"/>
    <w:rsid w:val="002A64A2"/>
    <w:rsid w:val="002A6537"/>
    <w:rsid w:val="002B0A78"/>
    <w:rsid w:val="002B0B38"/>
    <w:rsid w:val="002B0E66"/>
    <w:rsid w:val="002B1F1E"/>
    <w:rsid w:val="002B2166"/>
    <w:rsid w:val="002B394E"/>
    <w:rsid w:val="002B4006"/>
    <w:rsid w:val="002B4481"/>
    <w:rsid w:val="002B4FDF"/>
    <w:rsid w:val="002B57A6"/>
    <w:rsid w:val="002B6F9A"/>
    <w:rsid w:val="002B7AEC"/>
    <w:rsid w:val="002C0B97"/>
    <w:rsid w:val="002C1014"/>
    <w:rsid w:val="002C10E7"/>
    <w:rsid w:val="002C1961"/>
    <w:rsid w:val="002C1E8B"/>
    <w:rsid w:val="002C1FA1"/>
    <w:rsid w:val="002C48CC"/>
    <w:rsid w:val="002C65F4"/>
    <w:rsid w:val="002D0054"/>
    <w:rsid w:val="002D1596"/>
    <w:rsid w:val="002D1FCA"/>
    <w:rsid w:val="002D255F"/>
    <w:rsid w:val="002D2DCF"/>
    <w:rsid w:val="002D48F6"/>
    <w:rsid w:val="002D64C0"/>
    <w:rsid w:val="002D6662"/>
    <w:rsid w:val="002D7ABE"/>
    <w:rsid w:val="002E060A"/>
    <w:rsid w:val="002E0C9D"/>
    <w:rsid w:val="002E1F98"/>
    <w:rsid w:val="002E322F"/>
    <w:rsid w:val="002E4C37"/>
    <w:rsid w:val="002E5383"/>
    <w:rsid w:val="002E5E80"/>
    <w:rsid w:val="002E7CC4"/>
    <w:rsid w:val="002F06CC"/>
    <w:rsid w:val="002F1270"/>
    <w:rsid w:val="002F2966"/>
    <w:rsid w:val="002F72F2"/>
    <w:rsid w:val="0030296C"/>
    <w:rsid w:val="00303040"/>
    <w:rsid w:val="003033BC"/>
    <w:rsid w:val="00303A51"/>
    <w:rsid w:val="00303CA1"/>
    <w:rsid w:val="00304E57"/>
    <w:rsid w:val="00305522"/>
    <w:rsid w:val="003121B3"/>
    <w:rsid w:val="003154BA"/>
    <w:rsid w:val="00316743"/>
    <w:rsid w:val="00316877"/>
    <w:rsid w:val="003203FD"/>
    <w:rsid w:val="0032207A"/>
    <w:rsid w:val="00322757"/>
    <w:rsid w:val="003236A2"/>
    <w:rsid w:val="00323833"/>
    <w:rsid w:val="00327D46"/>
    <w:rsid w:val="003300FB"/>
    <w:rsid w:val="003301EE"/>
    <w:rsid w:val="00330CD9"/>
    <w:rsid w:val="00334BD9"/>
    <w:rsid w:val="003354A8"/>
    <w:rsid w:val="00336C1B"/>
    <w:rsid w:val="00337E53"/>
    <w:rsid w:val="00340002"/>
    <w:rsid w:val="00340569"/>
    <w:rsid w:val="003411E8"/>
    <w:rsid w:val="00343A0F"/>
    <w:rsid w:val="00343F86"/>
    <w:rsid w:val="00346EE3"/>
    <w:rsid w:val="003477ED"/>
    <w:rsid w:val="0034798F"/>
    <w:rsid w:val="00350C78"/>
    <w:rsid w:val="003524FC"/>
    <w:rsid w:val="003530CC"/>
    <w:rsid w:val="00354C4F"/>
    <w:rsid w:val="00356087"/>
    <w:rsid w:val="00356AC0"/>
    <w:rsid w:val="00356BB6"/>
    <w:rsid w:val="003570C3"/>
    <w:rsid w:val="0036005B"/>
    <w:rsid w:val="00363B83"/>
    <w:rsid w:val="00366040"/>
    <w:rsid w:val="00373E11"/>
    <w:rsid w:val="00373E16"/>
    <w:rsid w:val="00374BC5"/>
    <w:rsid w:val="00375D27"/>
    <w:rsid w:val="00376B90"/>
    <w:rsid w:val="003777C3"/>
    <w:rsid w:val="00377E4F"/>
    <w:rsid w:val="003801C7"/>
    <w:rsid w:val="003811DF"/>
    <w:rsid w:val="00381407"/>
    <w:rsid w:val="003820BF"/>
    <w:rsid w:val="003839F2"/>
    <w:rsid w:val="003844D1"/>
    <w:rsid w:val="00385F9B"/>
    <w:rsid w:val="00387B08"/>
    <w:rsid w:val="003926EA"/>
    <w:rsid w:val="00393035"/>
    <w:rsid w:val="0039398B"/>
    <w:rsid w:val="003942EC"/>
    <w:rsid w:val="0039653A"/>
    <w:rsid w:val="003A046D"/>
    <w:rsid w:val="003A048A"/>
    <w:rsid w:val="003A0777"/>
    <w:rsid w:val="003A1E4A"/>
    <w:rsid w:val="003A2E05"/>
    <w:rsid w:val="003A528D"/>
    <w:rsid w:val="003A64E9"/>
    <w:rsid w:val="003A6836"/>
    <w:rsid w:val="003B1C7C"/>
    <w:rsid w:val="003B1CD8"/>
    <w:rsid w:val="003B48D1"/>
    <w:rsid w:val="003C0015"/>
    <w:rsid w:val="003C18B5"/>
    <w:rsid w:val="003C2309"/>
    <w:rsid w:val="003C2CEA"/>
    <w:rsid w:val="003C68A6"/>
    <w:rsid w:val="003D2B81"/>
    <w:rsid w:val="003D2D14"/>
    <w:rsid w:val="003D2FA3"/>
    <w:rsid w:val="003D6B3C"/>
    <w:rsid w:val="003D7613"/>
    <w:rsid w:val="003D7C43"/>
    <w:rsid w:val="003D7C50"/>
    <w:rsid w:val="003D7D36"/>
    <w:rsid w:val="003E0B7A"/>
    <w:rsid w:val="003E1B0C"/>
    <w:rsid w:val="003E24CB"/>
    <w:rsid w:val="003E37C9"/>
    <w:rsid w:val="003E5659"/>
    <w:rsid w:val="003E6E2E"/>
    <w:rsid w:val="003E7608"/>
    <w:rsid w:val="003E7C7B"/>
    <w:rsid w:val="003F456F"/>
    <w:rsid w:val="003F4899"/>
    <w:rsid w:val="003F53A3"/>
    <w:rsid w:val="003F5C1B"/>
    <w:rsid w:val="003F5C58"/>
    <w:rsid w:val="003F74C8"/>
    <w:rsid w:val="004024E8"/>
    <w:rsid w:val="00402A21"/>
    <w:rsid w:val="00403B63"/>
    <w:rsid w:val="00404F88"/>
    <w:rsid w:val="00405ABD"/>
    <w:rsid w:val="004105B8"/>
    <w:rsid w:val="00413B0E"/>
    <w:rsid w:val="0041499A"/>
    <w:rsid w:val="0041540E"/>
    <w:rsid w:val="00415D80"/>
    <w:rsid w:val="00415F8C"/>
    <w:rsid w:val="004162DB"/>
    <w:rsid w:val="00417528"/>
    <w:rsid w:val="0042014F"/>
    <w:rsid w:val="0042048F"/>
    <w:rsid w:val="00420CB3"/>
    <w:rsid w:val="00420F5B"/>
    <w:rsid w:val="00426734"/>
    <w:rsid w:val="00426FE4"/>
    <w:rsid w:val="0043147D"/>
    <w:rsid w:val="00434CB1"/>
    <w:rsid w:val="0043549A"/>
    <w:rsid w:val="00435FBD"/>
    <w:rsid w:val="004365C0"/>
    <w:rsid w:val="004375E4"/>
    <w:rsid w:val="0043797C"/>
    <w:rsid w:val="00441C7B"/>
    <w:rsid w:val="00442722"/>
    <w:rsid w:val="0044327A"/>
    <w:rsid w:val="00443A04"/>
    <w:rsid w:val="0044466D"/>
    <w:rsid w:val="00446420"/>
    <w:rsid w:val="00446977"/>
    <w:rsid w:val="0044763D"/>
    <w:rsid w:val="0044766C"/>
    <w:rsid w:val="004478C8"/>
    <w:rsid w:val="00450C3A"/>
    <w:rsid w:val="00450F0A"/>
    <w:rsid w:val="004528FD"/>
    <w:rsid w:val="00453637"/>
    <w:rsid w:val="00455082"/>
    <w:rsid w:val="0045602E"/>
    <w:rsid w:val="0045693D"/>
    <w:rsid w:val="00457FF8"/>
    <w:rsid w:val="004613BF"/>
    <w:rsid w:val="00462754"/>
    <w:rsid w:val="00462BD7"/>
    <w:rsid w:val="00464414"/>
    <w:rsid w:val="00464776"/>
    <w:rsid w:val="00465404"/>
    <w:rsid w:val="0046551B"/>
    <w:rsid w:val="004731A5"/>
    <w:rsid w:val="0047334A"/>
    <w:rsid w:val="004735F2"/>
    <w:rsid w:val="00474FAA"/>
    <w:rsid w:val="004755E4"/>
    <w:rsid w:val="004772B2"/>
    <w:rsid w:val="004809E2"/>
    <w:rsid w:val="00481575"/>
    <w:rsid w:val="0048181E"/>
    <w:rsid w:val="00481FEC"/>
    <w:rsid w:val="0048283C"/>
    <w:rsid w:val="004835E2"/>
    <w:rsid w:val="00485372"/>
    <w:rsid w:val="00485635"/>
    <w:rsid w:val="0048597A"/>
    <w:rsid w:val="00486B1C"/>
    <w:rsid w:val="00487A8A"/>
    <w:rsid w:val="00487AFA"/>
    <w:rsid w:val="004905F1"/>
    <w:rsid w:val="004918C0"/>
    <w:rsid w:val="004938B7"/>
    <w:rsid w:val="00495011"/>
    <w:rsid w:val="004956E7"/>
    <w:rsid w:val="00496A37"/>
    <w:rsid w:val="00496EA0"/>
    <w:rsid w:val="004A1C12"/>
    <w:rsid w:val="004A21B4"/>
    <w:rsid w:val="004A383E"/>
    <w:rsid w:val="004A6D57"/>
    <w:rsid w:val="004A72D9"/>
    <w:rsid w:val="004B05DE"/>
    <w:rsid w:val="004B107E"/>
    <w:rsid w:val="004B3454"/>
    <w:rsid w:val="004B385A"/>
    <w:rsid w:val="004B5247"/>
    <w:rsid w:val="004B52BE"/>
    <w:rsid w:val="004B5790"/>
    <w:rsid w:val="004B5A2A"/>
    <w:rsid w:val="004B6F8D"/>
    <w:rsid w:val="004B7E3C"/>
    <w:rsid w:val="004C0E44"/>
    <w:rsid w:val="004C0E8D"/>
    <w:rsid w:val="004C1CF4"/>
    <w:rsid w:val="004C22A1"/>
    <w:rsid w:val="004C29BF"/>
    <w:rsid w:val="004C5D4B"/>
    <w:rsid w:val="004C6708"/>
    <w:rsid w:val="004C7285"/>
    <w:rsid w:val="004D0177"/>
    <w:rsid w:val="004D03AD"/>
    <w:rsid w:val="004D0EA2"/>
    <w:rsid w:val="004D25FB"/>
    <w:rsid w:val="004D31A7"/>
    <w:rsid w:val="004D6F33"/>
    <w:rsid w:val="004D75E8"/>
    <w:rsid w:val="004D7D9F"/>
    <w:rsid w:val="004E0284"/>
    <w:rsid w:val="004E029A"/>
    <w:rsid w:val="004E05D8"/>
    <w:rsid w:val="004E1D4F"/>
    <w:rsid w:val="004E444A"/>
    <w:rsid w:val="004E4634"/>
    <w:rsid w:val="004E4B73"/>
    <w:rsid w:val="004E4D9F"/>
    <w:rsid w:val="004E5101"/>
    <w:rsid w:val="004E58B1"/>
    <w:rsid w:val="004F11B5"/>
    <w:rsid w:val="004F2020"/>
    <w:rsid w:val="004F2481"/>
    <w:rsid w:val="004F2C56"/>
    <w:rsid w:val="004F4189"/>
    <w:rsid w:val="004F5B21"/>
    <w:rsid w:val="004F6D20"/>
    <w:rsid w:val="004F6E56"/>
    <w:rsid w:val="00500052"/>
    <w:rsid w:val="00500685"/>
    <w:rsid w:val="0050181B"/>
    <w:rsid w:val="00501AD5"/>
    <w:rsid w:val="00503605"/>
    <w:rsid w:val="0050457F"/>
    <w:rsid w:val="00504A20"/>
    <w:rsid w:val="005056B7"/>
    <w:rsid w:val="00506EDC"/>
    <w:rsid w:val="00507C6A"/>
    <w:rsid w:val="00510A88"/>
    <w:rsid w:val="0051134E"/>
    <w:rsid w:val="0051259D"/>
    <w:rsid w:val="00512E20"/>
    <w:rsid w:val="005134B9"/>
    <w:rsid w:val="00514DE2"/>
    <w:rsid w:val="005157D4"/>
    <w:rsid w:val="0051764A"/>
    <w:rsid w:val="00521369"/>
    <w:rsid w:val="00521F56"/>
    <w:rsid w:val="005236D1"/>
    <w:rsid w:val="00523C61"/>
    <w:rsid w:val="00523F90"/>
    <w:rsid w:val="00524DBC"/>
    <w:rsid w:val="00524F88"/>
    <w:rsid w:val="00525328"/>
    <w:rsid w:val="00525336"/>
    <w:rsid w:val="00525754"/>
    <w:rsid w:val="00525E3D"/>
    <w:rsid w:val="00526255"/>
    <w:rsid w:val="00530F93"/>
    <w:rsid w:val="00533CCE"/>
    <w:rsid w:val="0053418F"/>
    <w:rsid w:val="00535D90"/>
    <w:rsid w:val="00542392"/>
    <w:rsid w:val="00542CA5"/>
    <w:rsid w:val="00543524"/>
    <w:rsid w:val="0054481E"/>
    <w:rsid w:val="00550E03"/>
    <w:rsid w:val="00551CA0"/>
    <w:rsid w:val="005526BD"/>
    <w:rsid w:val="00552AF1"/>
    <w:rsid w:val="00552C77"/>
    <w:rsid w:val="005538E7"/>
    <w:rsid w:val="00555FBF"/>
    <w:rsid w:val="005563B9"/>
    <w:rsid w:val="00556472"/>
    <w:rsid w:val="00557F65"/>
    <w:rsid w:val="005606BA"/>
    <w:rsid w:val="0056095B"/>
    <w:rsid w:val="005623DB"/>
    <w:rsid w:val="00563A1F"/>
    <w:rsid w:val="00564E7E"/>
    <w:rsid w:val="005651F3"/>
    <w:rsid w:val="00566B48"/>
    <w:rsid w:val="00566E3D"/>
    <w:rsid w:val="00573D7D"/>
    <w:rsid w:val="005746CD"/>
    <w:rsid w:val="00574D92"/>
    <w:rsid w:val="00575BEC"/>
    <w:rsid w:val="00575BFE"/>
    <w:rsid w:val="005762E9"/>
    <w:rsid w:val="00576EBD"/>
    <w:rsid w:val="00580AB6"/>
    <w:rsid w:val="005826BA"/>
    <w:rsid w:val="005827AD"/>
    <w:rsid w:val="00582A30"/>
    <w:rsid w:val="00583100"/>
    <w:rsid w:val="0058348F"/>
    <w:rsid w:val="005848C5"/>
    <w:rsid w:val="00584F69"/>
    <w:rsid w:val="005874DD"/>
    <w:rsid w:val="00591407"/>
    <w:rsid w:val="0059150D"/>
    <w:rsid w:val="00595656"/>
    <w:rsid w:val="00595B85"/>
    <w:rsid w:val="00596C65"/>
    <w:rsid w:val="00597DB3"/>
    <w:rsid w:val="005A0F3C"/>
    <w:rsid w:val="005A1630"/>
    <w:rsid w:val="005A1830"/>
    <w:rsid w:val="005A25FA"/>
    <w:rsid w:val="005A27D1"/>
    <w:rsid w:val="005A2CD5"/>
    <w:rsid w:val="005A3FBF"/>
    <w:rsid w:val="005A45A5"/>
    <w:rsid w:val="005A49CA"/>
    <w:rsid w:val="005A76C8"/>
    <w:rsid w:val="005A7A6A"/>
    <w:rsid w:val="005A7C9E"/>
    <w:rsid w:val="005B0E39"/>
    <w:rsid w:val="005B239C"/>
    <w:rsid w:val="005B35FA"/>
    <w:rsid w:val="005B36D0"/>
    <w:rsid w:val="005B5004"/>
    <w:rsid w:val="005B5290"/>
    <w:rsid w:val="005B5B28"/>
    <w:rsid w:val="005B6003"/>
    <w:rsid w:val="005C09B7"/>
    <w:rsid w:val="005C0A10"/>
    <w:rsid w:val="005C10B2"/>
    <w:rsid w:val="005C2DE9"/>
    <w:rsid w:val="005C5BED"/>
    <w:rsid w:val="005C5FE6"/>
    <w:rsid w:val="005C62A1"/>
    <w:rsid w:val="005C6EF6"/>
    <w:rsid w:val="005C7BBC"/>
    <w:rsid w:val="005D335B"/>
    <w:rsid w:val="005D3D12"/>
    <w:rsid w:val="005D41FC"/>
    <w:rsid w:val="005D44A9"/>
    <w:rsid w:val="005D4741"/>
    <w:rsid w:val="005E19EE"/>
    <w:rsid w:val="005E3E28"/>
    <w:rsid w:val="005E3FF9"/>
    <w:rsid w:val="005E4261"/>
    <w:rsid w:val="005F12A7"/>
    <w:rsid w:val="005F48A2"/>
    <w:rsid w:val="005F560A"/>
    <w:rsid w:val="005F5E66"/>
    <w:rsid w:val="005F6552"/>
    <w:rsid w:val="00600264"/>
    <w:rsid w:val="00601493"/>
    <w:rsid w:val="0060283E"/>
    <w:rsid w:val="00602D41"/>
    <w:rsid w:val="00602EA3"/>
    <w:rsid w:val="00604539"/>
    <w:rsid w:val="0060502A"/>
    <w:rsid w:val="00605126"/>
    <w:rsid w:val="0061008E"/>
    <w:rsid w:val="006111F1"/>
    <w:rsid w:val="006112CB"/>
    <w:rsid w:val="00612163"/>
    <w:rsid w:val="006146DD"/>
    <w:rsid w:val="00614F9C"/>
    <w:rsid w:val="006177BC"/>
    <w:rsid w:val="006179AB"/>
    <w:rsid w:val="00620837"/>
    <w:rsid w:val="00622678"/>
    <w:rsid w:val="006239B0"/>
    <w:rsid w:val="00623BF5"/>
    <w:rsid w:val="00624633"/>
    <w:rsid w:val="0062480F"/>
    <w:rsid w:val="00625DFB"/>
    <w:rsid w:val="006267DD"/>
    <w:rsid w:val="00626B8D"/>
    <w:rsid w:val="00626EF0"/>
    <w:rsid w:val="006273E3"/>
    <w:rsid w:val="00630EC1"/>
    <w:rsid w:val="006317E4"/>
    <w:rsid w:val="00633E31"/>
    <w:rsid w:val="00634EA5"/>
    <w:rsid w:val="006369E6"/>
    <w:rsid w:val="00637D47"/>
    <w:rsid w:val="00640203"/>
    <w:rsid w:val="00640DAA"/>
    <w:rsid w:val="00640F03"/>
    <w:rsid w:val="00642C1F"/>
    <w:rsid w:val="00645CC0"/>
    <w:rsid w:val="00645E64"/>
    <w:rsid w:val="00645ED2"/>
    <w:rsid w:val="00650724"/>
    <w:rsid w:val="006507F1"/>
    <w:rsid w:val="00650E13"/>
    <w:rsid w:val="006534F7"/>
    <w:rsid w:val="00653D12"/>
    <w:rsid w:val="00654DE5"/>
    <w:rsid w:val="00655DC3"/>
    <w:rsid w:val="00655F1F"/>
    <w:rsid w:val="006566C0"/>
    <w:rsid w:val="00660080"/>
    <w:rsid w:val="00660DB4"/>
    <w:rsid w:val="006617C1"/>
    <w:rsid w:val="00662508"/>
    <w:rsid w:val="00666B4A"/>
    <w:rsid w:val="006672C6"/>
    <w:rsid w:val="00672863"/>
    <w:rsid w:val="006741DA"/>
    <w:rsid w:val="00674A3B"/>
    <w:rsid w:val="00675114"/>
    <w:rsid w:val="00675260"/>
    <w:rsid w:val="00675B82"/>
    <w:rsid w:val="00681224"/>
    <w:rsid w:val="00681F1C"/>
    <w:rsid w:val="0068298A"/>
    <w:rsid w:val="006838BB"/>
    <w:rsid w:val="006842A5"/>
    <w:rsid w:val="00684CAE"/>
    <w:rsid w:val="00684CF9"/>
    <w:rsid w:val="006869B3"/>
    <w:rsid w:val="006921A4"/>
    <w:rsid w:val="00692511"/>
    <w:rsid w:val="00692972"/>
    <w:rsid w:val="006936DA"/>
    <w:rsid w:val="0069508B"/>
    <w:rsid w:val="0069522B"/>
    <w:rsid w:val="00697777"/>
    <w:rsid w:val="00697ED7"/>
    <w:rsid w:val="006A0D03"/>
    <w:rsid w:val="006A1ADA"/>
    <w:rsid w:val="006A2330"/>
    <w:rsid w:val="006A6A82"/>
    <w:rsid w:val="006B01A9"/>
    <w:rsid w:val="006B1621"/>
    <w:rsid w:val="006B2802"/>
    <w:rsid w:val="006B35DF"/>
    <w:rsid w:val="006B4BCB"/>
    <w:rsid w:val="006B58A3"/>
    <w:rsid w:val="006C02BC"/>
    <w:rsid w:val="006C0D59"/>
    <w:rsid w:val="006C334C"/>
    <w:rsid w:val="006C38BB"/>
    <w:rsid w:val="006C4464"/>
    <w:rsid w:val="006C4E62"/>
    <w:rsid w:val="006C523C"/>
    <w:rsid w:val="006C66EC"/>
    <w:rsid w:val="006C6865"/>
    <w:rsid w:val="006C6883"/>
    <w:rsid w:val="006D1177"/>
    <w:rsid w:val="006D1E58"/>
    <w:rsid w:val="006D25D1"/>
    <w:rsid w:val="006D3F36"/>
    <w:rsid w:val="006D4399"/>
    <w:rsid w:val="006D568B"/>
    <w:rsid w:val="006D6D50"/>
    <w:rsid w:val="006D7034"/>
    <w:rsid w:val="006D7869"/>
    <w:rsid w:val="006E146D"/>
    <w:rsid w:val="006E1699"/>
    <w:rsid w:val="006E1809"/>
    <w:rsid w:val="006E181A"/>
    <w:rsid w:val="006E2936"/>
    <w:rsid w:val="006E4D50"/>
    <w:rsid w:val="006E6960"/>
    <w:rsid w:val="006E6E81"/>
    <w:rsid w:val="006E7FC5"/>
    <w:rsid w:val="006F1789"/>
    <w:rsid w:val="006F252D"/>
    <w:rsid w:val="006F4A2C"/>
    <w:rsid w:val="006F4DB7"/>
    <w:rsid w:val="006F54B6"/>
    <w:rsid w:val="007006FA"/>
    <w:rsid w:val="00700753"/>
    <w:rsid w:val="00700B9A"/>
    <w:rsid w:val="00701F1A"/>
    <w:rsid w:val="007020A6"/>
    <w:rsid w:val="0070214D"/>
    <w:rsid w:val="00702ED7"/>
    <w:rsid w:val="007030A6"/>
    <w:rsid w:val="00703206"/>
    <w:rsid w:val="00704A51"/>
    <w:rsid w:val="00705B95"/>
    <w:rsid w:val="00707A37"/>
    <w:rsid w:val="00710787"/>
    <w:rsid w:val="007109DE"/>
    <w:rsid w:val="00711989"/>
    <w:rsid w:val="00712D13"/>
    <w:rsid w:val="00715758"/>
    <w:rsid w:val="00717235"/>
    <w:rsid w:val="00717905"/>
    <w:rsid w:val="007218D6"/>
    <w:rsid w:val="00721A38"/>
    <w:rsid w:val="00725026"/>
    <w:rsid w:val="00725738"/>
    <w:rsid w:val="00726186"/>
    <w:rsid w:val="00726439"/>
    <w:rsid w:val="00726523"/>
    <w:rsid w:val="0072674C"/>
    <w:rsid w:val="00731041"/>
    <w:rsid w:val="0073237E"/>
    <w:rsid w:val="0073343D"/>
    <w:rsid w:val="00735284"/>
    <w:rsid w:val="00735821"/>
    <w:rsid w:val="00735BB4"/>
    <w:rsid w:val="007377BD"/>
    <w:rsid w:val="00740C01"/>
    <w:rsid w:val="00741980"/>
    <w:rsid w:val="00745A82"/>
    <w:rsid w:val="00746B41"/>
    <w:rsid w:val="007501A6"/>
    <w:rsid w:val="007516B1"/>
    <w:rsid w:val="0075279B"/>
    <w:rsid w:val="007541D7"/>
    <w:rsid w:val="0075575F"/>
    <w:rsid w:val="00755C2B"/>
    <w:rsid w:val="00757116"/>
    <w:rsid w:val="00761B64"/>
    <w:rsid w:val="00762346"/>
    <w:rsid w:val="00762FF3"/>
    <w:rsid w:val="0076323A"/>
    <w:rsid w:val="0076389E"/>
    <w:rsid w:val="00763B9B"/>
    <w:rsid w:val="00770E02"/>
    <w:rsid w:val="00771922"/>
    <w:rsid w:val="00772299"/>
    <w:rsid w:val="00774429"/>
    <w:rsid w:val="00775A4B"/>
    <w:rsid w:val="00776A55"/>
    <w:rsid w:val="00776CE3"/>
    <w:rsid w:val="00776F6B"/>
    <w:rsid w:val="00781AD1"/>
    <w:rsid w:val="007824F6"/>
    <w:rsid w:val="007839DB"/>
    <w:rsid w:val="00783A40"/>
    <w:rsid w:val="00783A52"/>
    <w:rsid w:val="00783CD7"/>
    <w:rsid w:val="007858F4"/>
    <w:rsid w:val="00785E7C"/>
    <w:rsid w:val="00786992"/>
    <w:rsid w:val="00786A70"/>
    <w:rsid w:val="00787164"/>
    <w:rsid w:val="00791BA5"/>
    <w:rsid w:val="0079239B"/>
    <w:rsid w:val="0079275D"/>
    <w:rsid w:val="00792A4B"/>
    <w:rsid w:val="00793BAF"/>
    <w:rsid w:val="00793D6D"/>
    <w:rsid w:val="0079528C"/>
    <w:rsid w:val="00796E31"/>
    <w:rsid w:val="007971F2"/>
    <w:rsid w:val="007977FF"/>
    <w:rsid w:val="007A0862"/>
    <w:rsid w:val="007A1DFC"/>
    <w:rsid w:val="007A6725"/>
    <w:rsid w:val="007A7B94"/>
    <w:rsid w:val="007B087E"/>
    <w:rsid w:val="007B08A2"/>
    <w:rsid w:val="007B11AC"/>
    <w:rsid w:val="007B3294"/>
    <w:rsid w:val="007B437B"/>
    <w:rsid w:val="007B75C8"/>
    <w:rsid w:val="007C0E4A"/>
    <w:rsid w:val="007C1BCF"/>
    <w:rsid w:val="007C258D"/>
    <w:rsid w:val="007C3C91"/>
    <w:rsid w:val="007C420B"/>
    <w:rsid w:val="007C4A9C"/>
    <w:rsid w:val="007C7DC0"/>
    <w:rsid w:val="007D3FF3"/>
    <w:rsid w:val="007D4253"/>
    <w:rsid w:val="007D49A2"/>
    <w:rsid w:val="007D58CF"/>
    <w:rsid w:val="007E1221"/>
    <w:rsid w:val="007E1B94"/>
    <w:rsid w:val="007E29B6"/>
    <w:rsid w:val="007E48B7"/>
    <w:rsid w:val="007E4A88"/>
    <w:rsid w:val="007E4D2F"/>
    <w:rsid w:val="007E5B74"/>
    <w:rsid w:val="007E6682"/>
    <w:rsid w:val="007E7AC3"/>
    <w:rsid w:val="007F0128"/>
    <w:rsid w:val="007F1FA3"/>
    <w:rsid w:val="007F50FE"/>
    <w:rsid w:val="007F617F"/>
    <w:rsid w:val="007F6455"/>
    <w:rsid w:val="007F65F3"/>
    <w:rsid w:val="007F6966"/>
    <w:rsid w:val="007F72D8"/>
    <w:rsid w:val="007F7D22"/>
    <w:rsid w:val="007F7FE0"/>
    <w:rsid w:val="00800762"/>
    <w:rsid w:val="0080093A"/>
    <w:rsid w:val="00800B3A"/>
    <w:rsid w:val="008030AE"/>
    <w:rsid w:val="008032BE"/>
    <w:rsid w:val="00803EA8"/>
    <w:rsid w:val="008053EE"/>
    <w:rsid w:val="00806AAA"/>
    <w:rsid w:val="00810E55"/>
    <w:rsid w:val="00811508"/>
    <w:rsid w:val="00813AD0"/>
    <w:rsid w:val="00813F89"/>
    <w:rsid w:val="00814318"/>
    <w:rsid w:val="00815BA0"/>
    <w:rsid w:val="00816621"/>
    <w:rsid w:val="008169D9"/>
    <w:rsid w:val="00816A92"/>
    <w:rsid w:val="008179B0"/>
    <w:rsid w:val="008203AD"/>
    <w:rsid w:val="00821185"/>
    <w:rsid w:val="008246D1"/>
    <w:rsid w:val="00824B03"/>
    <w:rsid w:val="00826AD4"/>
    <w:rsid w:val="0082747C"/>
    <w:rsid w:val="008316CF"/>
    <w:rsid w:val="00832240"/>
    <w:rsid w:val="00832E1B"/>
    <w:rsid w:val="008334C6"/>
    <w:rsid w:val="00834202"/>
    <w:rsid w:val="008343A9"/>
    <w:rsid w:val="0083765A"/>
    <w:rsid w:val="00841A8F"/>
    <w:rsid w:val="00841D73"/>
    <w:rsid w:val="00842F5E"/>
    <w:rsid w:val="008433D1"/>
    <w:rsid w:val="0084421F"/>
    <w:rsid w:val="008449D6"/>
    <w:rsid w:val="00845B43"/>
    <w:rsid w:val="008465A0"/>
    <w:rsid w:val="00846FBE"/>
    <w:rsid w:val="0085029C"/>
    <w:rsid w:val="00850469"/>
    <w:rsid w:val="00851AAB"/>
    <w:rsid w:val="00852183"/>
    <w:rsid w:val="00853044"/>
    <w:rsid w:val="00853C49"/>
    <w:rsid w:val="0085429B"/>
    <w:rsid w:val="00857C99"/>
    <w:rsid w:val="008618CC"/>
    <w:rsid w:val="00864287"/>
    <w:rsid w:val="008659BE"/>
    <w:rsid w:val="00866643"/>
    <w:rsid w:val="00870500"/>
    <w:rsid w:val="00871C28"/>
    <w:rsid w:val="00872C8F"/>
    <w:rsid w:val="0087417F"/>
    <w:rsid w:val="008741F8"/>
    <w:rsid w:val="0087504D"/>
    <w:rsid w:val="00875472"/>
    <w:rsid w:val="00875CAB"/>
    <w:rsid w:val="00876AF2"/>
    <w:rsid w:val="0088385E"/>
    <w:rsid w:val="008852EC"/>
    <w:rsid w:val="008859A1"/>
    <w:rsid w:val="008878DA"/>
    <w:rsid w:val="00890454"/>
    <w:rsid w:val="00890B0E"/>
    <w:rsid w:val="008930A1"/>
    <w:rsid w:val="0089435E"/>
    <w:rsid w:val="008943A2"/>
    <w:rsid w:val="00894696"/>
    <w:rsid w:val="0089551C"/>
    <w:rsid w:val="00895617"/>
    <w:rsid w:val="00895C67"/>
    <w:rsid w:val="00895FA5"/>
    <w:rsid w:val="008971E8"/>
    <w:rsid w:val="008973DB"/>
    <w:rsid w:val="00897777"/>
    <w:rsid w:val="008A499F"/>
    <w:rsid w:val="008A4A98"/>
    <w:rsid w:val="008A54C5"/>
    <w:rsid w:val="008A68E6"/>
    <w:rsid w:val="008B1378"/>
    <w:rsid w:val="008B4C02"/>
    <w:rsid w:val="008B59DF"/>
    <w:rsid w:val="008B6129"/>
    <w:rsid w:val="008B692D"/>
    <w:rsid w:val="008C11E8"/>
    <w:rsid w:val="008C2E22"/>
    <w:rsid w:val="008C37EC"/>
    <w:rsid w:val="008C3D0B"/>
    <w:rsid w:val="008C6896"/>
    <w:rsid w:val="008C6C44"/>
    <w:rsid w:val="008C6DE2"/>
    <w:rsid w:val="008C6F3B"/>
    <w:rsid w:val="008D07ED"/>
    <w:rsid w:val="008D097C"/>
    <w:rsid w:val="008D0ACE"/>
    <w:rsid w:val="008D1F38"/>
    <w:rsid w:val="008D27CA"/>
    <w:rsid w:val="008D3990"/>
    <w:rsid w:val="008D72E6"/>
    <w:rsid w:val="008D7394"/>
    <w:rsid w:val="008D749E"/>
    <w:rsid w:val="008E03D4"/>
    <w:rsid w:val="008E0418"/>
    <w:rsid w:val="008E0AEB"/>
    <w:rsid w:val="008E17CD"/>
    <w:rsid w:val="008E1879"/>
    <w:rsid w:val="008E192F"/>
    <w:rsid w:val="008E5167"/>
    <w:rsid w:val="008E52B7"/>
    <w:rsid w:val="008F0BB2"/>
    <w:rsid w:val="008F3019"/>
    <w:rsid w:val="008F39F1"/>
    <w:rsid w:val="008F49E6"/>
    <w:rsid w:val="008F6AE5"/>
    <w:rsid w:val="00902158"/>
    <w:rsid w:val="00907C78"/>
    <w:rsid w:val="00910ACB"/>
    <w:rsid w:val="009118B2"/>
    <w:rsid w:val="009131F7"/>
    <w:rsid w:val="0091578F"/>
    <w:rsid w:val="00916466"/>
    <w:rsid w:val="00916AFF"/>
    <w:rsid w:val="00921EB6"/>
    <w:rsid w:val="0092222F"/>
    <w:rsid w:val="009239B3"/>
    <w:rsid w:val="00923E01"/>
    <w:rsid w:val="00927EB7"/>
    <w:rsid w:val="00930807"/>
    <w:rsid w:val="00931B67"/>
    <w:rsid w:val="00931B79"/>
    <w:rsid w:val="009321DC"/>
    <w:rsid w:val="009419A4"/>
    <w:rsid w:val="00942C56"/>
    <w:rsid w:val="009431FF"/>
    <w:rsid w:val="00943D2B"/>
    <w:rsid w:val="00944394"/>
    <w:rsid w:val="00947CC5"/>
    <w:rsid w:val="00952CE9"/>
    <w:rsid w:val="009545E5"/>
    <w:rsid w:val="0095612E"/>
    <w:rsid w:val="00956E11"/>
    <w:rsid w:val="00960878"/>
    <w:rsid w:val="0096202D"/>
    <w:rsid w:val="00962475"/>
    <w:rsid w:val="00962A5B"/>
    <w:rsid w:val="00963157"/>
    <w:rsid w:val="0096366B"/>
    <w:rsid w:val="009642E0"/>
    <w:rsid w:val="00964413"/>
    <w:rsid w:val="00964ECD"/>
    <w:rsid w:val="00966D18"/>
    <w:rsid w:val="00974A76"/>
    <w:rsid w:val="00974A81"/>
    <w:rsid w:val="0098149D"/>
    <w:rsid w:val="00982D0E"/>
    <w:rsid w:val="0098563E"/>
    <w:rsid w:val="00985CEE"/>
    <w:rsid w:val="00986DEE"/>
    <w:rsid w:val="0099580A"/>
    <w:rsid w:val="00995AC1"/>
    <w:rsid w:val="00995BEA"/>
    <w:rsid w:val="00997682"/>
    <w:rsid w:val="009A2B97"/>
    <w:rsid w:val="009A4461"/>
    <w:rsid w:val="009A446A"/>
    <w:rsid w:val="009A49B8"/>
    <w:rsid w:val="009A6346"/>
    <w:rsid w:val="009B0284"/>
    <w:rsid w:val="009B090C"/>
    <w:rsid w:val="009B0FFF"/>
    <w:rsid w:val="009B1E3A"/>
    <w:rsid w:val="009B1FB1"/>
    <w:rsid w:val="009B28E7"/>
    <w:rsid w:val="009B37A9"/>
    <w:rsid w:val="009B3937"/>
    <w:rsid w:val="009B4554"/>
    <w:rsid w:val="009B51CE"/>
    <w:rsid w:val="009B64AC"/>
    <w:rsid w:val="009B6BEC"/>
    <w:rsid w:val="009C16C4"/>
    <w:rsid w:val="009C2495"/>
    <w:rsid w:val="009C3586"/>
    <w:rsid w:val="009C3AA2"/>
    <w:rsid w:val="009C4356"/>
    <w:rsid w:val="009C525D"/>
    <w:rsid w:val="009C5C9A"/>
    <w:rsid w:val="009C7367"/>
    <w:rsid w:val="009D1AA8"/>
    <w:rsid w:val="009D2502"/>
    <w:rsid w:val="009D45EB"/>
    <w:rsid w:val="009D4FE4"/>
    <w:rsid w:val="009D5968"/>
    <w:rsid w:val="009D5E19"/>
    <w:rsid w:val="009D6166"/>
    <w:rsid w:val="009D61E4"/>
    <w:rsid w:val="009D69B0"/>
    <w:rsid w:val="009D6B7B"/>
    <w:rsid w:val="009E0005"/>
    <w:rsid w:val="009E043E"/>
    <w:rsid w:val="009E06F9"/>
    <w:rsid w:val="009E1659"/>
    <w:rsid w:val="009E251A"/>
    <w:rsid w:val="009E4464"/>
    <w:rsid w:val="009E6F02"/>
    <w:rsid w:val="009F292C"/>
    <w:rsid w:val="009F3818"/>
    <w:rsid w:val="009F5F59"/>
    <w:rsid w:val="009F690F"/>
    <w:rsid w:val="009F70B9"/>
    <w:rsid w:val="00A01C52"/>
    <w:rsid w:val="00A02EB2"/>
    <w:rsid w:val="00A034C8"/>
    <w:rsid w:val="00A03651"/>
    <w:rsid w:val="00A053F9"/>
    <w:rsid w:val="00A062E4"/>
    <w:rsid w:val="00A1478F"/>
    <w:rsid w:val="00A15553"/>
    <w:rsid w:val="00A165AB"/>
    <w:rsid w:val="00A16DBA"/>
    <w:rsid w:val="00A201F2"/>
    <w:rsid w:val="00A2178A"/>
    <w:rsid w:val="00A219EC"/>
    <w:rsid w:val="00A21AE4"/>
    <w:rsid w:val="00A230FF"/>
    <w:rsid w:val="00A24146"/>
    <w:rsid w:val="00A2627B"/>
    <w:rsid w:val="00A274C3"/>
    <w:rsid w:val="00A307C1"/>
    <w:rsid w:val="00A31294"/>
    <w:rsid w:val="00A31651"/>
    <w:rsid w:val="00A32786"/>
    <w:rsid w:val="00A32932"/>
    <w:rsid w:val="00A32E08"/>
    <w:rsid w:val="00A33F25"/>
    <w:rsid w:val="00A35ADB"/>
    <w:rsid w:val="00A365B7"/>
    <w:rsid w:val="00A400DF"/>
    <w:rsid w:val="00A40438"/>
    <w:rsid w:val="00A4069D"/>
    <w:rsid w:val="00A406FC"/>
    <w:rsid w:val="00A40DF3"/>
    <w:rsid w:val="00A41412"/>
    <w:rsid w:val="00A41B8F"/>
    <w:rsid w:val="00A41DA1"/>
    <w:rsid w:val="00A42133"/>
    <w:rsid w:val="00A45250"/>
    <w:rsid w:val="00A45E18"/>
    <w:rsid w:val="00A4669B"/>
    <w:rsid w:val="00A46E44"/>
    <w:rsid w:val="00A5179C"/>
    <w:rsid w:val="00A517BA"/>
    <w:rsid w:val="00A56EEC"/>
    <w:rsid w:val="00A57A4B"/>
    <w:rsid w:val="00A60266"/>
    <w:rsid w:val="00A60BBE"/>
    <w:rsid w:val="00A62BD9"/>
    <w:rsid w:val="00A642D8"/>
    <w:rsid w:val="00A66B50"/>
    <w:rsid w:val="00A66C5A"/>
    <w:rsid w:val="00A67514"/>
    <w:rsid w:val="00A67DAD"/>
    <w:rsid w:val="00A70033"/>
    <w:rsid w:val="00A72890"/>
    <w:rsid w:val="00A72D44"/>
    <w:rsid w:val="00A735BC"/>
    <w:rsid w:val="00A74B34"/>
    <w:rsid w:val="00A74D9A"/>
    <w:rsid w:val="00A7552E"/>
    <w:rsid w:val="00A77B65"/>
    <w:rsid w:val="00A813BC"/>
    <w:rsid w:val="00A81CC0"/>
    <w:rsid w:val="00A8256F"/>
    <w:rsid w:val="00A82CCF"/>
    <w:rsid w:val="00A839EB"/>
    <w:rsid w:val="00A83A1A"/>
    <w:rsid w:val="00A83D05"/>
    <w:rsid w:val="00A84690"/>
    <w:rsid w:val="00A849C1"/>
    <w:rsid w:val="00A84B24"/>
    <w:rsid w:val="00A85130"/>
    <w:rsid w:val="00A855AD"/>
    <w:rsid w:val="00A858EC"/>
    <w:rsid w:val="00A87EB5"/>
    <w:rsid w:val="00A9367B"/>
    <w:rsid w:val="00A943AC"/>
    <w:rsid w:val="00A94A6C"/>
    <w:rsid w:val="00A94AEB"/>
    <w:rsid w:val="00A94F4C"/>
    <w:rsid w:val="00A953F5"/>
    <w:rsid w:val="00A95FFD"/>
    <w:rsid w:val="00AA0270"/>
    <w:rsid w:val="00AA0754"/>
    <w:rsid w:val="00AA1D8D"/>
    <w:rsid w:val="00AA283E"/>
    <w:rsid w:val="00AA2E2F"/>
    <w:rsid w:val="00AA328C"/>
    <w:rsid w:val="00AA4D50"/>
    <w:rsid w:val="00AA5D6D"/>
    <w:rsid w:val="00AA5F1C"/>
    <w:rsid w:val="00AA7579"/>
    <w:rsid w:val="00AB1BFD"/>
    <w:rsid w:val="00AB2A6C"/>
    <w:rsid w:val="00AB55C0"/>
    <w:rsid w:val="00AB5A54"/>
    <w:rsid w:val="00AB7366"/>
    <w:rsid w:val="00AB7A5C"/>
    <w:rsid w:val="00AC10AE"/>
    <w:rsid w:val="00AC1993"/>
    <w:rsid w:val="00AC2BD2"/>
    <w:rsid w:val="00AC31DA"/>
    <w:rsid w:val="00AC3262"/>
    <w:rsid w:val="00AC543E"/>
    <w:rsid w:val="00AC5CA0"/>
    <w:rsid w:val="00AC6A48"/>
    <w:rsid w:val="00AC6B2F"/>
    <w:rsid w:val="00AD75AB"/>
    <w:rsid w:val="00AE1C68"/>
    <w:rsid w:val="00AE2C01"/>
    <w:rsid w:val="00AE2FF4"/>
    <w:rsid w:val="00AE4359"/>
    <w:rsid w:val="00AE5709"/>
    <w:rsid w:val="00AE65A8"/>
    <w:rsid w:val="00AE683E"/>
    <w:rsid w:val="00AE69F0"/>
    <w:rsid w:val="00AE7211"/>
    <w:rsid w:val="00AF1350"/>
    <w:rsid w:val="00AF2B02"/>
    <w:rsid w:val="00AF362F"/>
    <w:rsid w:val="00AF3851"/>
    <w:rsid w:val="00AF4481"/>
    <w:rsid w:val="00AF4921"/>
    <w:rsid w:val="00AF6625"/>
    <w:rsid w:val="00AF7178"/>
    <w:rsid w:val="00B00D71"/>
    <w:rsid w:val="00B01DB9"/>
    <w:rsid w:val="00B01EC1"/>
    <w:rsid w:val="00B01F80"/>
    <w:rsid w:val="00B026AD"/>
    <w:rsid w:val="00B02B79"/>
    <w:rsid w:val="00B02DD0"/>
    <w:rsid w:val="00B03807"/>
    <w:rsid w:val="00B03DCD"/>
    <w:rsid w:val="00B063E1"/>
    <w:rsid w:val="00B07CB2"/>
    <w:rsid w:val="00B10C00"/>
    <w:rsid w:val="00B14904"/>
    <w:rsid w:val="00B15E89"/>
    <w:rsid w:val="00B16AB7"/>
    <w:rsid w:val="00B2245B"/>
    <w:rsid w:val="00B25571"/>
    <w:rsid w:val="00B273B4"/>
    <w:rsid w:val="00B2755D"/>
    <w:rsid w:val="00B323C7"/>
    <w:rsid w:val="00B34488"/>
    <w:rsid w:val="00B347E6"/>
    <w:rsid w:val="00B3609E"/>
    <w:rsid w:val="00B36EA1"/>
    <w:rsid w:val="00B376A9"/>
    <w:rsid w:val="00B468DF"/>
    <w:rsid w:val="00B516DF"/>
    <w:rsid w:val="00B52917"/>
    <w:rsid w:val="00B52EFD"/>
    <w:rsid w:val="00B52FDB"/>
    <w:rsid w:val="00B534BB"/>
    <w:rsid w:val="00B55F7E"/>
    <w:rsid w:val="00B573CD"/>
    <w:rsid w:val="00B605CF"/>
    <w:rsid w:val="00B605F4"/>
    <w:rsid w:val="00B62164"/>
    <w:rsid w:val="00B671D9"/>
    <w:rsid w:val="00B679CE"/>
    <w:rsid w:val="00B704FB"/>
    <w:rsid w:val="00B71D29"/>
    <w:rsid w:val="00B72A26"/>
    <w:rsid w:val="00B738D3"/>
    <w:rsid w:val="00B74C00"/>
    <w:rsid w:val="00B76A7E"/>
    <w:rsid w:val="00B77B8D"/>
    <w:rsid w:val="00B77E4A"/>
    <w:rsid w:val="00B80421"/>
    <w:rsid w:val="00B8191C"/>
    <w:rsid w:val="00B82240"/>
    <w:rsid w:val="00B845BB"/>
    <w:rsid w:val="00B86134"/>
    <w:rsid w:val="00B87E33"/>
    <w:rsid w:val="00B90B98"/>
    <w:rsid w:val="00B90D7C"/>
    <w:rsid w:val="00B910F4"/>
    <w:rsid w:val="00B91333"/>
    <w:rsid w:val="00B918DE"/>
    <w:rsid w:val="00B9285D"/>
    <w:rsid w:val="00B93899"/>
    <w:rsid w:val="00B939DE"/>
    <w:rsid w:val="00B95DBF"/>
    <w:rsid w:val="00B96D9B"/>
    <w:rsid w:val="00B971C2"/>
    <w:rsid w:val="00B97FB8"/>
    <w:rsid w:val="00BA1B8D"/>
    <w:rsid w:val="00BA1C52"/>
    <w:rsid w:val="00BA2AC4"/>
    <w:rsid w:val="00BA2F1C"/>
    <w:rsid w:val="00BA46D2"/>
    <w:rsid w:val="00BA526A"/>
    <w:rsid w:val="00BA5698"/>
    <w:rsid w:val="00BA7B4D"/>
    <w:rsid w:val="00BB1298"/>
    <w:rsid w:val="00BB148C"/>
    <w:rsid w:val="00BB1887"/>
    <w:rsid w:val="00BB1C05"/>
    <w:rsid w:val="00BB363B"/>
    <w:rsid w:val="00BB423F"/>
    <w:rsid w:val="00BB5935"/>
    <w:rsid w:val="00BB7ED4"/>
    <w:rsid w:val="00BC06A0"/>
    <w:rsid w:val="00BC132B"/>
    <w:rsid w:val="00BC24F0"/>
    <w:rsid w:val="00BC3689"/>
    <w:rsid w:val="00BC65D1"/>
    <w:rsid w:val="00BD6348"/>
    <w:rsid w:val="00BE05B2"/>
    <w:rsid w:val="00BE102C"/>
    <w:rsid w:val="00BE1372"/>
    <w:rsid w:val="00BE13C9"/>
    <w:rsid w:val="00BE1540"/>
    <w:rsid w:val="00BE2E09"/>
    <w:rsid w:val="00BE379D"/>
    <w:rsid w:val="00BE4CDF"/>
    <w:rsid w:val="00BE536B"/>
    <w:rsid w:val="00BE5AE7"/>
    <w:rsid w:val="00BE6913"/>
    <w:rsid w:val="00BF1DA1"/>
    <w:rsid w:val="00BF3364"/>
    <w:rsid w:val="00BF3702"/>
    <w:rsid w:val="00BF398F"/>
    <w:rsid w:val="00BF3AB2"/>
    <w:rsid w:val="00BF3DE9"/>
    <w:rsid w:val="00BF458B"/>
    <w:rsid w:val="00BF4A63"/>
    <w:rsid w:val="00BF5737"/>
    <w:rsid w:val="00BF5EDB"/>
    <w:rsid w:val="00BF796C"/>
    <w:rsid w:val="00C0215A"/>
    <w:rsid w:val="00C02D4F"/>
    <w:rsid w:val="00C0375B"/>
    <w:rsid w:val="00C03CEB"/>
    <w:rsid w:val="00C04FB6"/>
    <w:rsid w:val="00C05CC4"/>
    <w:rsid w:val="00C10229"/>
    <w:rsid w:val="00C107DD"/>
    <w:rsid w:val="00C108FE"/>
    <w:rsid w:val="00C10EE7"/>
    <w:rsid w:val="00C1135F"/>
    <w:rsid w:val="00C12127"/>
    <w:rsid w:val="00C1315A"/>
    <w:rsid w:val="00C13848"/>
    <w:rsid w:val="00C14521"/>
    <w:rsid w:val="00C157D0"/>
    <w:rsid w:val="00C15DB0"/>
    <w:rsid w:val="00C15DDE"/>
    <w:rsid w:val="00C167E6"/>
    <w:rsid w:val="00C16F67"/>
    <w:rsid w:val="00C171FF"/>
    <w:rsid w:val="00C2015E"/>
    <w:rsid w:val="00C214F7"/>
    <w:rsid w:val="00C23674"/>
    <w:rsid w:val="00C24A8C"/>
    <w:rsid w:val="00C24AEA"/>
    <w:rsid w:val="00C24C56"/>
    <w:rsid w:val="00C25150"/>
    <w:rsid w:val="00C252BC"/>
    <w:rsid w:val="00C271BF"/>
    <w:rsid w:val="00C27ED3"/>
    <w:rsid w:val="00C30F5A"/>
    <w:rsid w:val="00C31810"/>
    <w:rsid w:val="00C31D69"/>
    <w:rsid w:val="00C338F0"/>
    <w:rsid w:val="00C34C51"/>
    <w:rsid w:val="00C41B94"/>
    <w:rsid w:val="00C442A1"/>
    <w:rsid w:val="00C444FB"/>
    <w:rsid w:val="00C451B8"/>
    <w:rsid w:val="00C4539B"/>
    <w:rsid w:val="00C45D3A"/>
    <w:rsid w:val="00C46993"/>
    <w:rsid w:val="00C47439"/>
    <w:rsid w:val="00C47AD3"/>
    <w:rsid w:val="00C51415"/>
    <w:rsid w:val="00C53DA2"/>
    <w:rsid w:val="00C60784"/>
    <w:rsid w:val="00C609FB"/>
    <w:rsid w:val="00C60DE8"/>
    <w:rsid w:val="00C616CB"/>
    <w:rsid w:val="00C62C2B"/>
    <w:rsid w:val="00C63009"/>
    <w:rsid w:val="00C636E7"/>
    <w:rsid w:val="00C63B68"/>
    <w:rsid w:val="00C65757"/>
    <w:rsid w:val="00C6642C"/>
    <w:rsid w:val="00C6659E"/>
    <w:rsid w:val="00C67EAA"/>
    <w:rsid w:val="00C70311"/>
    <w:rsid w:val="00C710C6"/>
    <w:rsid w:val="00C738B9"/>
    <w:rsid w:val="00C743BB"/>
    <w:rsid w:val="00C7678F"/>
    <w:rsid w:val="00C76F3D"/>
    <w:rsid w:val="00C80132"/>
    <w:rsid w:val="00C80B67"/>
    <w:rsid w:val="00C80D61"/>
    <w:rsid w:val="00C810EF"/>
    <w:rsid w:val="00C811E8"/>
    <w:rsid w:val="00C82924"/>
    <w:rsid w:val="00C84EF8"/>
    <w:rsid w:val="00C84F01"/>
    <w:rsid w:val="00C860A7"/>
    <w:rsid w:val="00C86F23"/>
    <w:rsid w:val="00C870AB"/>
    <w:rsid w:val="00C90463"/>
    <w:rsid w:val="00C905A2"/>
    <w:rsid w:val="00C92493"/>
    <w:rsid w:val="00C93541"/>
    <w:rsid w:val="00C93D71"/>
    <w:rsid w:val="00C94638"/>
    <w:rsid w:val="00C949C5"/>
    <w:rsid w:val="00C95374"/>
    <w:rsid w:val="00C953A3"/>
    <w:rsid w:val="00C95748"/>
    <w:rsid w:val="00C9671C"/>
    <w:rsid w:val="00C97E48"/>
    <w:rsid w:val="00CA1E13"/>
    <w:rsid w:val="00CA2EE3"/>
    <w:rsid w:val="00CA3B26"/>
    <w:rsid w:val="00CA502E"/>
    <w:rsid w:val="00CA5470"/>
    <w:rsid w:val="00CA54CA"/>
    <w:rsid w:val="00CA5B4D"/>
    <w:rsid w:val="00CA6417"/>
    <w:rsid w:val="00CB123E"/>
    <w:rsid w:val="00CB1D88"/>
    <w:rsid w:val="00CB1F43"/>
    <w:rsid w:val="00CB2E5D"/>
    <w:rsid w:val="00CB4361"/>
    <w:rsid w:val="00CB6FCD"/>
    <w:rsid w:val="00CB7459"/>
    <w:rsid w:val="00CB7B13"/>
    <w:rsid w:val="00CC1833"/>
    <w:rsid w:val="00CC23C1"/>
    <w:rsid w:val="00CC3396"/>
    <w:rsid w:val="00CC548B"/>
    <w:rsid w:val="00CC6683"/>
    <w:rsid w:val="00CC6885"/>
    <w:rsid w:val="00CC7253"/>
    <w:rsid w:val="00CC75FC"/>
    <w:rsid w:val="00CC7FF9"/>
    <w:rsid w:val="00CD112D"/>
    <w:rsid w:val="00CD2FE9"/>
    <w:rsid w:val="00CD31D0"/>
    <w:rsid w:val="00CD7151"/>
    <w:rsid w:val="00CD72DF"/>
    <w:rsid w:val="00CD7405"/>
    <w:rsid w:val="00CE1312"/>
    <w:rsid w:val="00CE2855"/>
    <w:rsid w:val="00CE37C5"/>
    <w:rsid w:val="00CE38E9"/>
    <w:rsid w:val="00CE3946"/>
    <w:rsid w:val="00CE3EEE"/>
    <w:rsid w:val="00CE4E94"/>
    <w:rsid w:val="00CE52D9"/>
    <w:rsid w:val="00CE6022"/>
    <w:rsid w:val="00CE6DB8"/>
    <w:rsid w:val="00CE7294"/>
    <w:rsid w:val="00CE7912"/>
    <w:rsid w:val="00CF0390"/>
    <w:rsid w:val="00CF1D27"/>
    <w:rsid w:val="00CF38AF"/>
    <w:rsid w:val="00CF3AA2"/>
    <w:rsid w:val="00CF49F5"/>
    <w:rsid w:val="00CF6A01"/>
    <w:rsid w:val="00D00452"/>
    <w:rsid w:val="00D01139"/>
    <w:rsid w:val="00D01C18"/>
    <w:rsid w:val="00D01DFF"/>
    <w:rsid w:val="00D0269C"/>
    <w:rsid w:val="00D05B3E"/>
    <w:rsid w:val="00D061F8"/>
    <w:rsid w:val="00D10012"/>
    <w:rsid w:val="00D10615"/>
    <w:rsid w:val="00D1091C"/>
    <w:rsid w:val="00D12697"/>
    <w:rsid w:val="00D1288B"/>
    <w:rsid w:val="00D139D4"/>
    <w:rsid w:val="00D13BAA"/>
    <w:rsid w:val="00D13CD4"/>
    <w:rsid w:val="00D170CC"/>
    <w:rsid w:val="00D17689"/>
    <w:rsid w:val="00D179A3"/>
    <w:rsid w:val="00D17ACB"/>
    <w:rsid w:val="00D21082"/>
    <w:rsid w:val="00D2171B"/>
    <w:rsid w:val="00D22472"/>
    <w:rsid w:val="00D2251E"/>
    <w:rsid w:val="00D22E53"/>
    <w:rsid w:val="00D24060"/>
    <w:rsid w:val="00D24531"/>
    <w:rsid w:val="00D250CA"/>
    <w:rsid w:val="00D272AE"/>
    <w:rsid w:val="00D30157"/>
    <w:rsid w:val="00D307DE"/>
    <w:rsid w:val="00D31FFD"/>
    <w:rsid w:val="00D332D9"/>
    <w:rsid w:val="00D338E8"/>
    <w:rsid w:val="00D33A6C"/>
    <w:rsid w:val="00D34C40"/>
    <w:rsid w:val="00D40D3F"/>
    <w:rsid w:val="00D4128C"/>
    <w:rsid w:val="00D418E2"/>
    <w:rsid w:val="00D41D01"/>
    <w:rsid w:val="00D423C2"/>
    <w:rsid w:val="00D4415E"/>
    <w:rsid w:val="00D44541"/>
    <w:rsid w:val="00D46B3B"/>
    <w:rsid w:val="00D470AE"/>
    <w:rsid w:val="00D512B6"/>
    <w:rsid w:val="00D522C6"/>
    <w:rsid w:val="00D532A0"/>
    <w:rsid w:val="00D5401A"/>
    <w:rsid w:val="00D5439E"/>
    <w:rsid w:val="00D54F22"/>
    <w:rsid w:val="00D55C36"/>
    <w:rsid w:val="00D5605B"/>
    <w:rsid w:val="00D56ACD"/>
    <w:rsid w:val="00D57E81"/>
    <w:rsid w:val="00D60C5E"/>
    <w:rsid w:val="00D61020"/>
    <w:rsid w:val="00D62646"/>
    <w:rsid w:val="00D633FA"/>
    <w:rsid w:val="00D648A5"/>
    <w:rsid w:val="00D653E5"/>
    <w:rsid w:val="00D65A8F"/>
    <w:rsid w:val="00D65B7D"/>
    <w:rsid w:val="00D67F0A"/>
    <w:rsid w:val="00D7013E"/>
    <w:rsid w:val="00D70B32"/>
    <w:rsid w:val="00D710AD"/>
    <w:rsid w:val="00D71F45"/>
    <w:rsid w:val="00D73A23"/>
    <w:rsid w:val="00D74F8A"/>
    <w:rsid w:val="00D77561"/>
    <w:rsid w:val="00D775FC"/>
    <w:rsid w:val="00D77921"/>
    <w:rsid w:val="00D80117"/>
    <w:rsid w:val="00D819D1"/>
    <w:rsid w:val="00D82AB9"/>
    <w:rsid w:val="00D846AE"/>
    <w:rsid w:val="00D85B06"/>
    <w:rsid w:val="00D86269"/>
    <w:rsid w:val="00D86A23"/>
    <w:rsid w:val="00D87C5D"/>
    <w:rsid w:val="00D87F0A"/>
    <w:rsid w:val="00D90FAF"/>
    <w:rsid w:val="00D92ED5"/>
    <w:rsid w:val="00D931DA"/>
    <w:rsid w:val="00D936DD"/>
    <w:rsid w:val="00D937E8"/>
    <w:rsid w:val="00D95C51"/>
    <w:rsid w:val="00D9625E"/>
    <w:rsid w:val="00DA17B9"/>
    <w:rsid w:val="00DA2ED6"/>
    <w:rsid w:val="00DA3CF6"/>
    <w:rsid w:val="00DA46D0"/>
    <w:rsid w:val="00DA50F9"/>
    <w:rsid w:val="00DA6BB6"/>
    <w:rsid w:val="00DB0110"/>
    <w:rsid w:val="00DB011F"/>
    <w:rsid w:val="00DB116F"/>
    <w:rsid w:val="00DB1A07"/>
    <w:rsid w:val="00DB1B0C"/>
    <w:rsid w:val="00DB2561"/>
    <w:rsid w:val="00DB3649"/>
    <w:rsid w:val="00DB59E4"/>
    <w:rsid w:val="00DB5AA9"/>
    <w:rsid w:val="00DB61E1"/>
    <w:rsid w:val="00DB6ED1"/>
    <w:rsid w:val="00DC0076"/>
    <w:rsid w:val="00DC070E"/>
    <w:rsid w:val="00DC4A7B"/>
    <w:rsid w:val="00DC6A27"/>
    <w:rsid w:val="00DC7C92"/>
    <w:rsid w:val="00DD096A"/>
    <w:rsid w:val="00DD1108"/>
    <w:rsid w:val="00DD3715"/>
    <w:rsid w:val="00DD3A60"/>
    <w:rsid w:val="00DD56E5"/>
    <w:rsid w:val="00DD57B8"/>
    <w:rsid w:val="00DD7900"/>
    <w:rsid w:val="00DE1B79"/>
    <w:rsid w:val="00DE1EEC"/>
    <w:rsid w:val="00DE3384"/>
    <w:rsid w:val="00DE3951"/>
    <w:rsid w:val="00DE3B84"/>
    <w:rsid w:val="00DE5AD6"/>
    <w:rsid w:val="00DE6596"/>
    <w:rsid w:val="00DE6755"/>
    <w:rsid w:val="00DF03C0"/>
    <w:rsid w:val="00DF0EA4"/>
    <w:rsid w:val="00DF331E"/>
    <w:rsid w:val="00DF402A"/>
    <w:rsid w:val="00DF481A"/>
    <w:rsid w:val="00DF5E13"/>
    <w:rsid w:val="00DF6290"/>
    <w:rsid w:val="00DF7BDC"/>
    <w:rsid w:val="00E05B3C"/>
    <w:rsid w:val="00E07607"/>
    <w:rsid w:val="00E1058C"/>
    <w:rsid w:val="00E10646"/>
    <w:rsid w:val="00E10F44"/>
    <w:rsid w:val="00E1202F"/>
    <w:rsid w:val="00E12777"/>
    <w:rsid w:val="00E135C4"/>
    <w:rsid w:val="00E14C6B"/>
    <w:rsid w:val="00E16310"/>
    <w:rsid w:val="00E17913"/>
    <w:rsid w:val="00E20A1E"/>
    <w:rsid w:val="00E20E34"/>
    <w:rsid w:val="00E224FB"/>
    <w:rsid w:val="00E23E48"/>
    <w:rsid w:val="00E25F44"/>
    <w:rsid w:val="00E2771D"/>
    <w:rsid w:val="00E27F53"/>
    <w:rsid w:val="00E313D4"/>
    <w:rsid w:val="00E31745"/>
    <w:rsid w:val="00E31D06"/>
    <w:rsid w:val="00E31D9F"/>
    <w:rsid w:val="00E3296C"/>
    <w:rsid w:val="00E36634"/>
    <w:rsid w:val="00E36AD5"/>
    <w:rsid w:val="00E3718F"/>
    <w:rsid w:val="00E37226"/>
    <w:rsid w:val="00E40487"/>
    <w:rsid w:val="00E41ADE"/>
    <w:rsid w:val="00E41B97"/>
    <w:rsid w:val="00E4202D"/>
    <w:rsid w:val="00E42888"/>
    <w:rsid w:val="00E44153"/>
    <w:rsid w:val="00E44B4C"/>
    <w:rsid w:val="00E450D3"/>
    <w:rsid w:val="00E475C8"/>
    <w:rsid w:val="00E51669"/>
    <w:rsid w:val="00E52001"/>
    <w:rsid w:val="00E56190"/>
    <w:rsid w:val="00E562F8"/>
    <w:rsid w:val="00E60945"/>
    <w:rsid w:val="00E662F6"/>
    <w:rsid w:val="00E67102"/>
    <w:rsid w:val="00E67816"/>
    <w:rsid w:val="00E67C60"/>
    <w:rsid w:val="00E67DAD"/>
    <w:rsid w:val="00E706B9"/>
    <w:rsid w:val="00E70893"/>
    <w:rsid w:val="00E70E4E"/>
    <w:rsid w:val="00E71BC0"/>
    <w:rsid w:val="00E746FF"/>
    <w:rsid w:val="00E750C4"/>
    <w:rsid w:val="00E774F1"/>
    <w:rsid w:val="00E810C5"/>
    <w:rsid w:val="00E81645"/>
    <w:rsid w:val="00E829AD"/>
    <w:rsid w:val="00E829F7"/>
    <w:rsid w:val="00E82B7C"/>
    <w:rsid w:val="00E8350D"/>
    <w:rsid w:val="00E83C81"/>
    <w:rsid w:val="00E8591C"/>
    <w:rsid w:val="00E86093"/>
    <w:rsid w:val="00E87559"/>
    <w:rsid w:val="00E87834"/>
    <w:rsid w:val="00E87C41"/>
    <w:rsid w:val="00E9210D"/>
    <w:rsid w:val="00E924A4"/>
    <w:rsid w:val="00E9251C"/>
    <w:rsid w:val="00E96BAB"/>
    <w:rsid w:val="00E96E7C"/>
    <w:rsid w:val="00E96EDD"/>
    <w:rsid w:val="00EA15A6"/>
    <w:rsid w:val="00EA3C85"/>
    <w:rsid w:val="00EA4323"/>
    <w:rsid w:val="00EA4CE7"/>
    <w:rsid w:val="00EA5C78"/>
    <w:rsid w:val="00EA6205"/>
    <w:rsid w:val="00EA7E1A"/>
    <w:rsid w:val="00EB079B"/>
    <w:rsid w:val="00EB21BA"/>
    <w:rsid w:val="00EB35CF"/>
    <w:rsid w:val="00EB4411"/>
    <w:rsid w:val="00EB4588"/>
    <w:rsid w:val="00EB6916"/>
    <w:rsid w:val="00EC21A9"/>
    <w:rsid w:val="00EC4789"/>
    <w:rsid w:val="00EC54CE"/>
    <w:rsid w:val="00EC5CC1"/>
    <w:rsid w:val="00EC66C8"/>
    <w:rsid w:val="00EC67C7"/>
    <w:rsid w:val="00EC682C"/>
    <w:rsid w:val="00ED0A30"/>
    <w:rsid w:val="00ED0D88"/>
    <w:rsid w:val="00ED3358"/>
    <w:rsid w:val="00ED4976"/>
    <w:rsid w:val="00ED5BA8"/>
    <w:rsid w:val="00ED7480"/>
    <w:rsid w:val="00EE02C5"/>
    <w:rsid w:val="00EE08F1"/>
    <w:rsid w:val="00EE278C"/>
    <w:rsid w:val="00EE3019"/>
    <w:rsid w:val="00EE4108"/>
    <w:rsid w:val="00EE529B"/>
    <w:rsid w:val="00EE5B7B"/>
    <w:rsid w:val="00EE5E79"/>
    <w:rsid w:val="00EE639B"/>
    <w:rsid w:val="00EF03ED"/>
    <w:rsid w:val="00EF08CF"/>
    <w:rsid w:val="00EF25AD"/>
    <w:rsid w:val="00EF2933"/>
    <w:rsid w:val="00EF3007"/>
    <w:rsid w:val="00EF3014"/>
    <w:rsid w:val="00EF3019"/>
    <w:rsid w:val="00EF339D"/>
    <w:rsid w:val="00EF391F"/>
    <w:rsid w:val="00EF4205"/>
    <w:rsid w:val="00EF5096"/>
    <w:rsid w:val="00EF52F9"/>
    <w:rsid w:val="00EF6649"/>
    <w:rsid w:val="00EF70C3"/>
    <w:rsid w:val="00F004A1"/>
    <w:rsid w:val="00F00B5B"/>
    <w:rsid w:val="00F01B52"/>
    <w:rsid w:val="00F02470"/>
    <w:rsid w:val="00F02BCE"/>
    <w:rsid w:val="00F030E4"/>
    <w:rsid w:val="00F03B7E"/>
    <w:rsid w:val="00F056A0"/>
    <w:rsid w:val="00F077EA"/>
    <w:rsid w:val="00F07B40"/>
    <w:rsid w:val="00F10041"/>
    <w:rsid w:val="00F10B5B"/>
    <w:rsid w:val="00F12ACA"/>
    <w:rsid w:val="00F12DAB"/>
    <w:rsid w:val="00F13967"/>
    <w:rsid w:val="00F13B1F"/>
    <w:rsid w:val="00F13F60"/>
    <w:rsid w:val="00F143E8"/>
    <w:rsid w:val="00F1475E"/>
    <w:rsid w:val="00F16CDC"/>
    <w:rsid w:val="00F17669"/>
    <w:rsid w:val="00F20086"/>
    <w:rsid w:val="00F20F70"/>
    <w:rsid w:val="00F211C1"/>
    <w:rsid w:val="00F216B3"/>
    <w:rsid w:val="00F223B9"/>
    <w:rsid w:val="00F224BA"/>
    <w:rsid w:val="00F243DC"/>
    <w:rsid w:val="00F26228"/>
    <w:rsid w:val="00F26D00"/>
    <w:rsid w:val="00F27431"/>
    <w:rsid w:val="00F27907"/>
    <w:rsid w:val="00F27AED"/>
    <w:rsid w:val="00F31D46"/>
    <w:rsid w:val="00F32709"/>
    <w:rsid w:val="00F328B2"/>
    <w:rsid w:val="00F33E83"/>
    <w:rsid w:val="00F3454A"/>
    <w:rsid w:val="00F34700"/>
    <w:rsid w:val="00F34BF6"/>
    <w:rsid w:val="00F34DEF"/>
    <w:rsid w:val="00F36A24"/>
    <w:rsid w:val="00F40760"/>
    <w:rsid w:val="00F40F67"/>
    <w:rsid w:val="00F42D69"/>
    <w:rsid w:val="00F4446A"/>
    <w:rsid w:val="00F475F0"/>
    <w:rsid w:val="00F47858"/>
    <w:rsid w:val="00F47957"/>
    <w:rsid w:val="00F501CC"/>
    <w:rsid w:val="00F50923"/>
    <w:rsid w:val="00F50AC2"/>
    <w:rsid w:val="00F50F34"/>
    <w:rsid w:val="00F5151A"/>
    <w:rsid w:val="00F52F70"/>
    <w:rsid w:val="00F57323"/>
    <w:rsid w:val="00F57333"/>
    <w:rsid w:val="00F57931"/>
    <w:rsid w:val="00F60022"/>
    <w:rsid w:val="00F61D4D"/>
    <w:rsid w:val="00F62357"/>
    <w:rsid w:val="00F6450F"/>
    <w:rsid w:val="00F65A52"/>
    <w:rsid w:val="00F65FF1"/>
    <w:rsid w:val="00F72C67"/>
    <w:rsid w:val="00F74BEA"/>
    <w:rsid w:val="00F7521D"/>
    <w:rsid w:val="00F81C0B"/>
    <w:rsid w:val="00F82764"/>
    <w:rsid w:val="00F86B52"/>
    <w:rsid w:val="00F86E31"/>
    <w:rsid w:val="00F922CB"/>
    <w:rsid w:val="00F92675"/>
    <w:rsid w:val="00F93333"/>
    <w:rsid w:val="00F93E92"/>
    <w:rsid w:val="00F949C7"/>
    <w:rsid w:val="00F94AED"/>
    <w:rsid w:val="00F94C37"/>
    <w:rsid w:val="00F950D5"/>
    <w:rsid w:val="00F97920"/>
    <w:rsid w:val="00FA0A83"/>
    <w:rsid w:val="00FA1277"/>
    <w:rsid w:val="00FA2585"/>
    <w:rsid w:val="00FA39F0"/>
    <w:rsid w:val="00FA5FE2"/>
    <w:rsid w:val="00FA7D0F"/>
    <w:rsid w:val="00FB001F"/>
    <w:rsid w:val="00FB127A"/>
    <w:rsid w:val="00FB16CA"/>
    <w:rsid w:val="00FB1D61"/>
    <w:rsid w:val="00FB340E"/>
    <w:rsid w:val="00FB5754"/>
    <w:rsid w:val="00FC0E74"/>
    <w:rsid w:val="00FC1017"/>
    <w:rsid w:val="00FC1640"/>
    <w:rsid w:val="00FC2507"/>
    <w:rsid w:val="00FC4F21"/>
    <w:rsid w:val="00FC505C"/>
    <w:rsid w:val="00FC5376"/>
    <w:rsid w:val="00FC5675"/>
    <w:rsid w:val="00FC608E"/>
    <w:rsid w:val="00FC69BD"/>
    <w:rsid w:val="00FC7257"/>
    <w:rsid w:val="00FC7FCF"/>
    <w:rsid w:val="00FD3B37"/>
    <w:rsid w:val="00FD4E7E"/>
    <w:rsid w:val="00FD6623"/>
    <w:rsid w:val="00FD7B08"/>
    <w:rsid w:val="00FD7D11"/>
    <w:rsid w:val="00FE18BC"/>
    <w:rsid w:val="00FE2AD2"/>
    <w:rsid w:val="00FE31B2"/>
    <w:rsid w:val="00FE6DC6"/>
    <w:rsid w:val="00FE72E0"/>
    <w:rsid w:val="00FF2967"/>
    <w:rsid w:val="00FF32CD"/>
    <w:rsid w:val="00FF4942"/>
    <w:rsid w:val="00FF5835"/>
    <w:rsid w:val="00FF7114"/>
    <w:rsid w:val="00FF7587"/>
    <w:rsid w:val="00FF76D4"/>
    <w:rsid w:val="00FF777F"/>
    <w:rsid w:val="014048F7"/>
    <w:rsid w:val="01877F9A"/>
    <w:rsid w:val="01967581"/>
    <w:rsid w:val="019A04BE"/>
    <w:rsid w:val="01B73B78"/>
    <w:rsid w:val="01C65676"/>
    <w:rsid w:val="01DA05ED"/>
    <w:rsid w:val="01DD630C"/>
    <w:rsid w:val="01DF72DE"/>
    <w:rsid w:val="01FA38A2"/>
    <w:rsid w:val="02221196"/>
    <w:rsid w:val="022243A3"/>
    <w:rsid w:val="023A6AA5"/>
    <w:rsid w:val="023B1E15"/>
    <w:rsid w:val="0264403F"/>
    <w:rsid w:val="028B2FC2"/>
    <w:rsid w:val="028F736A"/>
    <w:rsid w:val="02B30661"/>
    <w:rsid w:val="02C91090"/>
    <w:rsid w:val="02CD3CC1"/>
    <w:rsid w:val="02CE6595"/>
    <w:rsid w:val="02D6416E"/>
    <w:rsid w:val="02E11008"/>
    <w:rsid w:val="02E7159B"/>
    <w:rsid w:val="030B09BB"/>
    <w:rsid w:val="03215DBB"/>
    <w:rsid w:val="03331E01"/>
    <w:rsid w:val="03561D70"/>
    <w:rsid w:val="035A3387"/>
    <w:rsid w:val="036E688C"/>
    <w:rsid w:val="03770512"/>
    <w:rsid w:val="038F7E69"/>
    <w:rsid w:val="03955695"/>
    <w:rsid w:val="039A316A"/>
    <w:rsid w:val="039D5EFE"/>
    <w:rsid w:val="03B23956"/>
    <w:rsid w:val="03C24CDD"/>
    <w:rsid w:val="03C9725C"/>
    <w:rsid w:val="040B249C"/>
    <w:rsid w:val="040D55A8"/>
    <w:rsid w:val="040F5254"/>
    <w:rsid w:val="042B58F3"/>
    <w:rsid w:val="04347143"/>
    <w:rsid w:val="04356614"/>
    <w:rsid w:val="043A1BEA"/>
    <w:rsid w:val="044140AA"/>
    <w:rsid w:val="04546ED3"/>
    <w:rsid w:val="04657D20"/>
    <w:rsid w:val="047C03CF"/>
    <w:rsid w:val="047F757C"/>
    <w:rsid w:val="048B3E34"/>
    <w:rsid w:val="04AD4D55"/>
    <w:rsid w:val="04E80608"/>
    <w:rsid w:val="05021959"/>
    <w:rsid w:val="05077EB0"/>
    <w:rsid w:val="051E41EE"/>
    <w:rsid w:val="05573573"/>
    <w:rsid w:val="05576E06"/>
    <w:rsid w:val="055E3E57"/>
    <w:rsid w:val="055F7C93"/>
    <w:rsid w:val="057436A5"/>
    <w:rsid w:val="05E72106"/>
    <w:rsid w:val="05FB5795"/>
    <w:rsid w:val="06214778"/>
    <w:rsid w:val="06247B6B"/>
    <w:rsid w:val="062617A5"/>
    <w:rsid w:val="068C1561"/>
    <w:rsid w:val="06C1352E"/>
    <w:rsid w:val="06CB2B18"/>
    <w:rsid w:val="06CB47D4"/>
    <w:rsid w:val="06CD4F03"/>
    <w:rsid w:val="06F16079"/>
    <w:rsid w:val="06F74CC4"/>
    <w:rsid w:val="06FC2DC7"/>
    <w:rsid w:val="070C6E1A"/>
    <w:rsid w:val="0718745B"/>
    <w:rsid w:val="07201F25"/>
    <w:rsid w:val="07274DAD"/>
    <w:rsid w:val="07275726"/>
    <w:rsid w:val="07487C5D"/>
    <w:rsid w:val="074D2695"/>
    <w:rsid w:val="07A35A6C"/>
    <w:rsid w:val="07AC23E9"/>
    <w:rsid w:val="07C91F9E"/>
    <w:rsid w:val="07DE5B8E"/>
    <w:rsid w:val="07E6345A"/>
    <w:rsid w:val="081C69BC"/>
    <w:rsid w:val="08202C50"/>
    <w:rsid w:val="083B6667"/>
    <w:rsid w:val="08626910"/>
    <w:rsid w:val="0865329F"/>
    <w:rsid w:val="086C7C31"/>
    <w:rsid w:val="086D2010"/>
    <w:rsid w:val="086F70DA"/>
    <w:rsid w:val="0874275B"/>
    <w:rsid w:val="08766F50"/>
    <w:rsid w:val="0879045E"/>
    <w:rsid w:val="089B02D7"/>
    <w:rsid w:val="08B16B6A"/>
    <w:rsid w:val="08C2047A"/>
    <w:rsid w:val="08C70DD9"/>
    <w:rsid w:val="08CE6285"/>
    <w:rsid w:val="08D55EF5"/>
    <w:rsid w:val="08FD3C7A"/>
    <w:rsid w:val="0914681D"/>
    <w:rsid w:val="09225F8D"/>
    <w:rsid w:val="09364F19"/>
    <w:rsid w:val="09982057"/>
    <w:rsid w:val="09A831D9"/>
    <w:rsid w:val="09A94788"/>
    <w:rsid w:val="09B1730E"/>
    <w:rsid w:val="09B334B6"/>
    <w:rsid w:val="09CC70BE"/>
    <w:rsid w:val="09D65552"/>
    <w:rsid w:val="09D67278"/>
    <w:rsid w:val="09E51168"/>
    <w:rsid w:val="0A136F96"/>
    <w:rsid w:val="0A1B0B81"/>
    <w:rsid w:val="0A393AF1"/>
    <w:rsid w:val="0A4A3E4A"/>
    <w:rsid w:val="0A4C6080"/>
    <w:rsid w:val="0A640756"/>
    <w:rsid w:val="0A645358"/>
    <w:rsid w:val="0A864DA7"/>
    <w:rsid w:val="0A8930CE"/>
    <w:rsid w:val="0A8F2039"/>
    <w:rsid w:val="0A9F3825"/>
    <w:rsid w:val="0AB45767"/>
    <w:rsid w:val="0AB87432"/>
    <w:rsid w:val="0ABE33F2"/>
    <w:rsid w:val="0AC23FD9"/>
    <w:rsid w:val="0AC44C11"/>
    <w:rsid w:val="0AE010CF"/>
    <w:rsid w:val="0AF030F9"/>
    <w:rsid w:val="0B1A50E2"/>
    <w:rsid w:val="0B212AB9"/>
    <w:rsid w:val="0B242960"/>
    <w:rsid w:val="0B310B66"/>
    <w:rsid w:val="0B3B63D0"/>
    <w:rsid w:val="0B421757"/>
    <w:rsid w:val="0B6B6FB5"/>
    <w:rsid w:val="0B756778"/>
    <w:rsid w:val="0B79163B"/>
    <w:rsid w:val="0B8654E3"/>
    <w:rsid w:val="0BA14E1F"/>
    <w:rsid w:val="0BB2755E"/>
    <w:rsid w:val="0BC45C98"/>
    <w:rsid w:val="0BC86947"/>
    <w:rsid w:val="0BD0735A"/>
    <w:rsid w:val="0C712478"/>
    <w:rsid w:val="0C8D1146"/>
    <w:rsid w:val="0C9F2A9D"/>
    <w:rsid w:val="0CA26384"/>
    <w:rsid w:val="0CA36CA2"/>
    <w:rsid w:val="0CAE03E9"/>
    <w:rsid w:val="0CC622A2"/>
    <w:rsid w:val="0CF1287E"/>
    <w:rsid w:val="0CF42CDB"/>
    <w:rsid w:val="0CFA381C"/>
    <w:rsid w:val="0D0D211C"/>
    <w:rsid w:val="0D0F3FB8"/>
    <w:rsid w:val="0D151BE2"/>
    <w:rsid w:val="0D341BC8"/>
    <w:rsid w:val="0D36041E"/>
    <w:rsid w:val="0D3F4AB9"/>
    <w:rsid w:val="0D587C21"/>
    <w:rsid w:val="0D776A66"/>
    <w:rsid w:val="0D7F5A8D"/>
    <w:rsid w:val="0D8C04C9"/>
    <w:rsid w:val="0D953E17"/>
    <w:rsid w:val="0D971187"/>
    <w:rsid w:val="0DB66DE1"/>
    <w:rsid w:val="0DBA7CB3"/>
    <w:rsid w:val="0DC7460F"/>
    <w:rsid w:val="0DCB4515"/>
    <w:rsid w:val="0DE5156D"/>
    <w:rsid w:val="0DF772EA"/>
    <w:rsid w:val="0E3129F1"/>
    <w:rsid w:val="0E361A14"/>
    <w:rsid w:val="0E4475CC"/>
    <w:rsid w:val="0E475F8F"/>
    <w:rsid w:val="0E5057A7"/>
    <w:rsid w:val="0E7E3128"/>
    <w:rsid w:val="0E882AED"/>
    <w:rsid w:val="0E9D3E8E"/>
    <w:rsid w:val="0EA30283"/>
    <w:rsid w:val="0EDA1277"/>
    <w:rsid w:val="0EF91464"/>
    <w:rsid w:val="0EFC71B8"/>
    <w:rsid w:val="0F236981"/>
    <w:rsid w:val="0F2C1D70"/>
    <w:rsid w:val="0F3F5F47"/>
    <w:rsid w:val="0F5C24F2"/>
    <w:rsid w:val="0F5D52A0"/>
    <w:rsid w:val="0F62483F"/>
    <w:rsid w:val="0F8E13BE"/>
    <w:rsid w:val="0F9E4322"/>
    <w:rsid w:val="0FB83603"/>
    <w:rsid w:val="0FE73B0D"/>
    <w:rsid w:val="0FE86218"/>
    <w:rsid w:val="0FEB43E9"/>
    <w:rsid w:val="0FFF4688"/>
    <w:rsid w:val="102109E6"/>
    <w:rsid w:val="10285D2E"/>
    <w:rsid w:val="10320EA8"/>
    <w:rsid w:val="10321339"/>
    <w:rsid w:val="1035757E"/>
    <w:rsid w:val="103921D6"/>
    <w:rsid w:val="105C2E66"/>
    <w:rsid w:val="105F6EF2"/>
    <w:rsid w:val="106A7B3D"/>
    <w:rsid w:val="106B61C1"/>
    <w:rsid w:val="109055ED"/>
    <w:rsid w:val="10961A8E"/>
    <w:rsid w:val="10CE1D22"/>
    <w:rsid w:val="10E50EFB"/>
    <w:rsid w:val="10E762D6"/>
    <w:rsid w:val="10E82101"/>
    <w:rsid w:val="10E97B90"/>
    <w:rsid w:val="10EC3FBB"/>
    <w:rsid w:val="10FB6A91"/>
    <w:rsid w:val="111C4FCE"/>
    <w:rsid w:val="114201AE"/>
    <w:rsid w:val="115B1B31"/>
    <w:rsid w:val="11760B60"/>
    <w:rsid w:val="11781EE1"/>
    <w:rsid w:val="1184767E"/>
    <w:rsid w:val="118649EF"/>
    <w:rsid w:val="118731EE"/>
    <w:rsid w:val="11A073BA"/>
    <w:rsid w:val="11A120DF"/>
    <w:rsid w:val="11AE1B4C"/>
    <w:rsid w:val="11BE643A"/>
    <w:rsid w:val="11C0672A"/>
    <w:rsid w:val="11D70321"/>
    <w:rsid w:val="11D84C21"/>
    <w:rsid w:val="11E87886"/>
    <w:rsid w:val="11F34C7D"/>
    <w:rsid w:val="121D4784"/>
    <w:rsid w:val="122A383B"/>
    <w:rsid w:val="122D5155"/>
    <w:rsid w:val="123A7AED"/>
    <w:rsid w:val="125154A2"/>
    <w:rsid w:val="125A3091"/>
    <w:rsid w:val="125D7FDD"/>
    <w:rsid w:val="127A0B96"/>
    <w:rsid w:val="127E7236"/>
    <w:rsid w:val="12C56BC2"/>
    <w:rsid w:val="12C802FB"/>
    <w:rsid w:val="12D8743E"/>
    <w:rsid w:val="12F5398A"/>
    <w:rsid w:val="12F9465F"/>
    <w:rsid w:val="1301178E"/>
    <w:rsid w:val="13184646"/>
    <w:rsid w:val="13595A44"/>
    <w:rsid w:val="13616A8A"/>
    <w:rsid w:val="13673FE4"/>
    <w:rsid w:val="136F688E"/>
    <w:rsid w:val="13791E99"/>
    <w:rsid w:val="138A0675"/>
    <w:rsid w:val="13944559"/>
    <w:rsid w:val="13994FC4"/>
    <w:rsid w:val="139D04E4"/>
    <w:rsid w:val="139E6478"/>
    <w:rsid w:val="13A043AC"/>
    <w:rsid w:val="13A445CA"/>
    <w:rsid w:val="13B30424"/>
    <w:rsid w:val="13B9048A"/>
    <w:rsid w:val="13C154B7"/>
    <w:rsid w:val="13D83E63"/>
    <w:rsid w:val="13E212E8"/>
    <w:rsid w:val="13E361E4"/>
    <w:rsid w:val="13E7664E"/>
    <w:rsid w:val="13F61A80"/>
    <w:rsid w:val="14026A99"/>
    <w:rsid w:val="140648F5"/>
    <w:rsid w:val="14152769"/>
    <w:rsid w:val="142845DF"/>
    <w:rsid w:val="14470021"/>
    <w:rsid w:val="145A112D"/>
    <w:rsid w:val="145F2660"/>
    <w:rsid w:val="147873EC"/>
    <w:rsid w:val="148737E6"/>
    <w:rsid w:val="148A55B0"/>
    <w:rsid w:val="14A1126D"/>
    <w:rsid w:val="14A905B6"/>
    <w:rsid w:val="14CA22A4"/>
    <w:rsid w:val="14D13C6B"/>
    <w:rsid w:val="14FE20C9"/>
    <w:rsid w:val="155959D7"/>
    <w:rsid w:val="155F7931"/>
    <w:rsid w:val="15690B4F"/>
    <w:rsid w:val="157D0DEB"/>
    <w:rsid w:val="15955337"/>
    <w:rsid w:val="15A01D25"/>
    <w:rsid w:val="15B227F5"/>
    <w:rsid w:val="15B41854"/>
    <w:rsid w:val="15C2342E"/>
    <w:rsid w:val="15CF377D"/>
    <w:rsid w:val="15E56CE0"/>
    <w:rsid w:val="161D7A59"/>
    <w:rsid w:val="16281139"/>
    <w:rsid w:val="16406ABB"/>
    <w:rsid w:val="16486B13"/>
    <w:rsid w:val="16542ED1"/>
    <w:rsid w:val="16673C52"/>
    <w:rsid w:val="168F60CD"/>
    <w:rsid w:val="16987D98"/>
    <w:rsid w:val="169C4DA3"/>
    <w:rsid w:val="16A16478"/>
    <w:rsid w:val="16A93B67"/>
    <w:rsid w:val="16AF2A39"/>
    <w:rsid w:val="16B51DFD"/>
    <w:rsid w:val="16C96912"/>
    <w:rsid w:val="16D320F6"/>
    <w:rsid w:val="16DC7F5C"/>
    <w:rsid w:val="16E076A6"/>
    <w:rsid w:val="16E27BEA"/>
    <w:rsid w:val="16EF3DAF"/>
    <w:rsid w:val="17051C84"/>
    <w:rsid w:val="17081E90"/>
    <w:rsid w:val="170B06DE"/>
    <w:rsid w:val="170E5EAE"/>
    <w:rsid w:val="172354A4"/>
    <w:rsid w:val="172F407F"/>
    <w:rsid w:val="173E4655"/>
    <w:rsid w:val="17427518"/>
    <w:rsid w:val="174916A3"/>
    <w:rsid w:val="174D746F"/>
    <w:rsid w:val="176304AB"/>
    <w:rsid w:val="176B6875"/>
    <w:rsid w:val="177619C8"/>
    <w:rsid w:val="179D63EE"/>
    <w:rsid w:val="17AB3451"/>
    <w:rsid w:val="17E20741"/>
    <w:rsid w:val="17E45B39"/>
    <w:rsid w:val="17F8732F"/>
    <w:rsid w:val="18287D33"/>
    <w:rsid w:val="183B4724"/>
    <w:rsid w:val="18612403"/>
    <w:rsid w:val="187F217A"/>
    <w:rsid w:val="189C226D"/>
    <w:rsid w:val="189F1AC1"/>
    <w:rsid w:val="18B84674"/>
    <w:rsid w:val="18F33045"/>
    <w:rsid w:val="190263FA"/>
    <w:rsid w:val="19385207"/>
    <w:rsid w:val="19454543"/>
    <w:rsid w:val="198379AB"/>
    <w:rsid w:val="1984631B"/>
    <w:rsid w:val="198952DE"/>
    <w:rsid w:val="19902788"/>
    <w:rsid w:val="19942771"/>
    <w:rsid w:val="19965B04"/>
    <w:rsid w:val="19A07CD4"/>
    <w:rsid w:val="19A9437F"/>
    <w:rsid w:val="19AB5726"/>
    <w:rsid w:val="19C0568D"/>
    <w:rsid w:val="19CA200C"/>
    <w:rsid w:val="19DB6323"/>
    <w:rsid w:val="1A0C4228"/>
    <w:rsid w:val="1A21546B"/>
    <w:rsid w:val="1A3954B1"/>
    <w:rsid w:val="1A3C161D"/>
    <w:rsid w:val="1A6A4233"/>
    <w:rsid w:val="1A7443A7"/>
    <w:rsid w:val="1A78520F"/>
    <w:rsid w:val="1A7B1397"/>
    <w:rsid w:val="1AA22A3F"/>
    <w:rsid w:val="1AA65A8F"/>
    <w:rsid w:val="1AB82730"/>
    <w:rsid w:val="1AD031A2"/>
    <w:rsid w:val="1AD22D53"/>
    <w:rsid w:val="1ADF238C"/>
    <w:rsid w:val="1B041736"/>
    <w:rsid w:val="1B073820"/>
    <w:rsid w:val="1B0E695B"/>
    <w:rsid w:val="1B29603E"/>
    <w:rsid w:val="1B444A4A"/>
    <w:rsid w:val="1B552F46"/>
    <w:rsid w:val="1B780AD5"/>
    <w:rsid w:val="1B7B1175"/>
    <w:rsid w:val="1B886534"/>
    <w:rsid w:val="1B8A71D4"/>
    <w:rsid w:val="1BA65220"/>
    <w:rsid w:val="1BC55F94"/>
    <w:rsid w:val="1BEB54D7"/>
    <w:rsid w:val="1C0D1DB2"/>
    <w:rsid w:val="1C1438CC"/>
    <w:rsid w:val="1C1629A5"/>
    <w:rsid w:val="1C1A6089"/>
    <w:rsid w:val="1C2F0619"/>
    <w:rsid w:val="1C30557D"/>
    <w:rsid w:val="1C794725"/>
    <w:rsid w:val="1C9F176C"/>
    <w:rsid w:val="1CB60BF2"/>
    <w:rsid w:val="1CC33CDC"/>
    <w:rsid w:val="1CC63186"/>
    <w:rsid w:val="1D227F60"/>
    <w:rsid w:val="1D3B763C"/>
    <w:rsid w:val="1D630C88"/>
    <w:rsid w:val="1D63664C"/>
    <w:rsid w:val="1D643CAB"/>
    <w:rsid w:val="1D8866D7"/>
    <w:rsid w:val="1DA462D3"/>
    <w:rsid w:val="1DB55DB2"/>
    <w:rsid w:val="1DBC209B"/>
    <w:rsid w:val="1DEF3151"/>
    <w:rsid w:val="1DF23BCD"/>
    <w:rsid w:val="1DF4041C"/>
    <w:rsid w:val="1DFD490C"/>
    <w:rsid w:val="1E176504"/>
    <w:rsid w:val="1E1E3405"/>
    <w:rsid w:val="1E1F6F8A"/>
    <w:rsid w:val="1E3A377E"/>
    <w:rsid w:val="1E6819D1"/>
    <w:rsid w:val="1E6927F1"/>
    <w:rsid w:val="1E6C03DB"/>
    <w:rsid w:val="1E6E0542"/>
    <w:rsid w:val="1EB775CA"/>
    <w:rsid w:val="1EEC1876"/>
    <w:rsid w:val="1EF73F5E"/>
    <w:rsid w:val="1EFC3273"/>
    <w:rsid w:val="1F051246"/>
    <w:rsid w:val="1F17506B"/>
    <w:rsid w:val="1F4D6D86"/>
    <w:rsid w:val="1F5F47F5"/>
    <w:rsid w:val="1F927047"/>
    <w:rsid w:val="1F9561E8"/>
    <w:rsid w:val="1FA51A45"/>
    <w:rsid w:val="1FA92AB2"/>
    <w:rsid w:val="1FC54413"/>
    <w:rsid w:val="1FD1184E"/>
    <w:rsid w:val="1FD63635"/>
    <w:rsid w:val="1FD87399"/>
    <w:rsid w:val="1FEC2001"/>
    <w:rsid w:val="1FF418E3"/>
    <w:rsid w:val="1FFD1FCC"/>
    <w:rsid w:val="20066A1C"/>
    <w:rsid w:val="201661B1"/>
    <w:rsid w:val="2024572A"/>
    <w:rsid w:val="20275725"/>
    <w:rsid w:val="20311C49"/>
    <w:rsid w:val="20437E03"/>
    <w:rsid w:val="20706173"/>
    <w:rsid w:val="20906DC1"/>
    <w:rsid w:val="209868FB"/>
    <w:rsid w:val="209C30CE"/>
    <w:rsid w:val="209E4EFB"/>
    <w:rsid w:val="20AF540B"/>
    <w:rsid w:val="20BC2E91"/>
    <w:rsid w:val="20DB0F9C"/>
    <w:rsid w:val="20DB675B"/>
    <w:rsid w:val="21001E4C"/>
    <w:rsid w:val="21102B5E"/>
    <w:rsid w:val="21231F30"/>
    <w:rsid w:val="213E028E"/>
    <w:rsid w:val="21406D46"/>
    <w:rsid w:val="21583408"/>
    <w:rsid w:val="21840B83"/>
    <w:rsid w:val="21856C5A"/>
    <w:rsid w:val="219D0EB5"/>
    <w:rsid w:val="21B51CE3"/>
    <w:rsid w:val="21D24375"/>
    <w:rsid w:val="21F14A8C"/>
    <w:rsid w:val="222E2C2F"/>
    <w:rsid w:val="222F5A07"/>
    <w:rsid w:val="2239639C"/>
    <w:rsid w:val="223C3E81"/>
    <w:rsid w:val="22605874"/>
    <w:rsid w:val="227267EA"/>
    <w:rsid w:val="22831FFE"/>
    <w:rsid w:val="228473D5"/>
    <w:rsid w:val="229535A0"/>
    <w:rsid w:val="22B06EEA"/>
    <w:rsid w:val="22FA04E9"/>
    <w:rsid w:val="2302459D"/>
    <w:rsid w:val="230B4A2D"/>
    <w:rsid w:val="23296BCF"/>
    <w:rsid w:val="232D5C94"/>
    <w:rsid w:val="23307945"/>
    <w:rsid w:val="23616889"/>
    <w:rsid w:val="23844540"/>
    <w:rsid w:val="23A22FB4"/>
    <w:rsid w:val="23B94633"/>
    <w:rsid w:val="23BC1032"/>
    <w:rsid w:val="23D01790"/>
    <w:rsid w:val="23D214A1"/>
    <w:rsid w:val="23E12A30"/>
    <w:rsid w:val="23E61CC2"/>
    <w:rsid w:val="245E645E"/>
    <w:rsid w:val="2470293B"/>
    <w:rsid w:val="24790CA7"/>
    <w:rsid w:val="24807420"/>
    <w:rsid w:val="2486093F"/>
    <w:rsid w:val="24883A94"/>
    <w:rsid w:val="24B3466E"/>
    <w:rsid w:val="24D33932"/>
    <w:rsid w:val="24D62FDA"/>
    <w:rsid w:val="24E73157"/>
    <w:rsid w:val="24F50BAC"/>
    <w:rsid w:val="24FC4516"/>
    <w:rsid w:val="25154498"/>
    <w:rsid w:val="251F0DEA"/>
    <w:rsid w:val="25337B9B"/>
    <w:rsid w:val="256E2067"/>
    <w:rsid w:val="256F2283"/>
    <w:rsid w:val="258D2667"/>
    <w:rsid w:val="25947904"/>
    <w:rsid w:val="259B405B"/>
    <w:rsid w:val="25A14ABC"/>
    <w:rsid w:val="25E774A9"/>
    <w:rsid w:val="2624021D"/>
    <w:rsid w:val="26361C13"/>
    <w:rsid w:val="263E495F"/>
    <w:rsid w:val="265C112C"/>
    <w:rsid w:val="267E348D"/>
    <w:rsid w:val="268C4264"/>
    <w:rsid w:val="268F7B38"/>
    <w:rsid w:val="269E6A3F"/>
    <w:rsid w:val="26A1499A"/>
    <w:rsid w:val="26A4575B"/>
    <w:rsid w:val="26A77C3E"/>
    <w:rsid w:val="26E77731"/>
    <w:rsid w:val="2712269D"/>
    <w:rsid w:val="27327D85"/>
    <w:rsid w:val="273B51B8"/>
    <w:rsid w:val="2740775F"/>
    <w:rsid w:val="274F2C6C"/>
    <w:rsid w:val="27555D38"/>
    <w:rsid w:val="278D4A13"/>
    <w:rsid w:val="279A1B15"/>
    <w:rsid w:val="27AF611B"/>
    <w:rsid w:val="27BF1575"/>
    <w:rsid w:val="27C36327"/>
    <w:rsid w:val="27E70C1C"/>
    <w:rsid w:val="27EA581D"/>
    <w:rsid w:val="28080CDF"/>
    <w:rsid w:val="28092FC0"/>
    <w:rsid w:val="28113E5E"/>
    <w:rsid w:val="281B1847"/>
    <w:rsid w:val="28246921"/>
    <w:rsid w:val="282C0257"/>
    <w:rsid w:val="282D53DE"/>
    <w:rsid w:val="28463FC2"/>
    <w:rsid w:val="2874227E"/>
    <w:rsid w:val="289C486B"/>
    <w:rsid w:val="28E10A94"/>
    <w:rsid w:val="28FB4835"/>
    <w:rsid w:val="290749ED"/>
    <w:rsid w:val="291871EB"/>
    <w:rsid w:val="294328D8"/>
    <w:rsid w:val="2943425E"/>
    <w:rsid w:val="29434BF3"/>
    <w:rsid w:val="296158A3"/>
    <w:rsid w:val="297C6CBE"/>
    <w:rsid w:val="297D5735"/>
    <w:rsid w:val="297E6273"/>
    <w:rsid w:val="298704D1"/>
    <w:rsid w:val="29993D27"/>
    <w:rsid w:val="29A529F3"/>
    <w:rsid w:val="29B47658"/>
    <w:rsid w:val="29B93EC1"/>
    <w:rsid w:val="29D260E4"/>
    <w:rsid w:val="29F13D79"/>
    <w:rsid w:val="2A0D6B5E"/>
    <w:rsid w:val="2A0D6F0B"/>
    <w:rsid w:val="2A295BB1"/>
    <w:rsid w:val="2A427FF4"/>
    <w:rsid w:val="2A443DF6"/>
    <w:rsid w:val="2A4F64AD"/>
    <w:rsid w:val="2A610A48"/>
    <w:rsid w:val="2A6B0F13"/>
    <w:rsid w:val="2A8244F1"/>
    <w:rsid w:val="2A87664C"/>
    <w:rsid w:val="2A926A23"/>
    <w:rsid w:val="2A9E0D31"/>
    <w:rsid w:val="2AAF2A1A"/>
    <w:rsid w:val="2ABA1B35"/>
    <w:rsid w:val="2AD01C5D"/>
    <w:rsid w:val="2ADF5BC3"/>
    <w:rsid w:val="2AE560BC"/>
    <w:rsid w:val="2AEA3A41"/>
    <w:rsid w:val="2B072F6D"/>
    <w:rsid w:val="2B197EB2"/>
    <w:rsid w:val="2B1A2A2C"/>
    <w:rsid w:val="2B485770"/>
    <w:rsid w:val="2B554FF3"/>
    <w:rsid w:val="2B7670FD"/>
    <w:rsid w:val="2B76787D"/>
    <w:rsid w:val="2B804BCC"/>
    <w:rsid w:val="2B845EC5"/>
    <w:rsid w:val="2B8C38BA"/>
    <w:rsid w:val="2BB144A4"/>
    <w:rsid w:val="2BB94AD2"/>
    <w:rsid w:val="2BCC2E5B"/>
    <w:rsid w:val="2BE132C8"/>
    <w:rsid w:val="2BEA5FB1"/>
    <w:rsid w:val="2C431CB1"/>
    <w:rsid w:val="2C5E7B12"/>
    <w:rsid w:val="2C7655DF"/>
    <w:rsid w:val="2C7B3CCE"/>
    <w:rsid w:val="2C814250"/>
    <w:rsid w:val="2C884632"/>
    <w:rsid w:val="2C892E92"/>
    <w:rsid w:val="2D0634AE"/>
    <w:rsid w:val="2D1860EF"/>
    <w:rsid w:val="2D261AED"/>
    <w:rsid w:val="2D356C21"/>
    <w:rsid w:val="2D46218D"/>
    <w:rsid w:val="2D4675A3"/>
    <w:rsid w:val="2D63320C"/>
    <w:rsid w:val="2D6E6845"/>
    <w:rsid w:val="2D734B0D"/>
    <w:rsid w:val="2D8B397D"/>
    <w:rsid w:val="2D8E5D42"/>
    <w:rsid w:val="2D9C1B7C"/>
    <w:rsid w:val="2D9D77E0"/>
    <w:rsid w:val="2DAA3CFE"/>
    <w:rsid w:val="2DCD1B72"/>
    <w:rsid w:val="2DD61F98"/>
    <w:rsid w:val="2DF503D1"/>
    <w:rsid w:val="2E1D53E0"/>
    <w:rsid w:val="2E2874B9"/>
    <w:rsid w:val="2E2B1A1D"/>
    <w:rsid w:val="2E2D474A"/>
    <w:rsid w:val="2E3426A3"/>
    <w:rsid w:val="2E672019"/>
    <w:rsid w:val="2E6E6F8B"/>
    <w:rsid w:val="2E7B5F28"/>
    <w:rsid w:val="2E8C4260"/>
    <w:rsid w:val="2E9D01C6"/>
    <w:rsid w:val="2EB21D0B"/>
    <w:rsid w:val="2EDE34CF"/>
    <w:rsid w:val="2EF232F4"/>
    <w:rsid w:val="2EFA3E4B"/>
    <w:rsid w:val="2F030366"/>
    <w:rsid w:val="2F08317A"/>
    <w:rsid w:val="2F5B1029"/>
    <w:rsid w:val="2F690744"/>
    <w:rsid w:val="2F85277F"/>
    <w:rsid w:val="2F963AE0"/>
    <w:rsid w:val="2F974518"/>
    <w:rsid w:val="2F995698"/>
    <w:rsid w:val="2FA51BB4"/>
    <w:rsid w:val="2FAD754E"/>
    <w:rsid w:val="2FB47C5F"/>
    <w:rsid w:val="2FC838D7"/>
    <w:rsid w:val="2FCD4103"/>
    <w:rsid w:val="2FDA7500"/>
    <w:rsid w:val="2FEE4607"/>
    <w:rsid w:val="2FFF53DC"/>
    <w:rsid w:val="3007332C"/>
    <w:rsid w:val="3012017E"/>
    <w:rsid w:val="302460AF"/>
    <w:rsid w:val="303229A8"/>
    <w:rsid w:val="30335EFF"/>
    <w:rsid w:val="30392E0B"/>
    <w:rsid w:val="304A4C00"/>
    <w:rsid w:val="305D364E"/>
    <w:rsid w:val="305D418F"/>
    <w:rsid w:val="305D6590"/>
    <w:rsid w:val="306D254F"/>
    <w:rsid w:val="307C3A30"/>
    <w:rsid w:val="30910DCE"/>
    <w:rsid w:val="309D5A44"/>
    <w:rsid w:val="30AD5FC2"/>
    <w:rsid w:val="30AF0CA9"/>
    <w:rsid w:val="30C15963"/>
    <w:rsid w:val="30E05E12"/>
    <w:rsid w:val="30F310DD"/>
    <w:rsid w:val="30F63011"/>
    <w:rsid w:val="30FC739C"/>
    <w:rsid w:val="319B6B50"/>
    <w:rsid w:val="31C73458"/>
    <w:rsid w:val="31D031F2"/>
    <w:rsid w:val="31D86D39"/>
    <w:rsid w:val="31D976DD"/>
    <w:rsid w:val="31F02E3B"/>
    <w:rsid w:val="31FE75EA"/>
    <w:rsid w:val="320A3C1E"/>
    <w:rsid w:val="32135A06"/>
    <w:rsid w:val="32317FEF"/>
    <w:rsid w:val="3247095D"/>
    <w:rsid w:val="32542AE6"/>
    <w:rsid w:val="32596CE4"/>
    <w:rsid w:val="325B6D1A"/>
    <w:rsid w:val="326F4E2B"/>
    <w:rsid w:val="3294316E"/>
    <w:rsid w:val="329B0E37"/>
    <w:rsid w:val="32A50479"/>
    <w:rsid w:val="32B550D7"/>
    <w:rsid w:val="32BA4635"/>
    <w:rsid w:val="32D01560"/>
    <w:rsid w:val="32DF3DD3"/>
    <w:rsid w:val="32EB33C1"/>
    <w:rsid w:val="32EE0989"/>
    <w:rsid w:val="32F94E8B"/>
    <w:rsid w:val="330309DA"/>
    <w:rsid w:val="3309346E"/>
    <w:rsid w:val="33120158"/>
    <w:rsid w:val="332147F9"/>
    <w:rsid w:val="33665EE5"/>
    <w:rsid w:val="338225DF"/>
    <w:rsid w:val="33B63BD0"/>
    <w:rsid w:val="33B6411B"/>
    <w:rsid w:val="33C8221D"/>
    <w:rsid w:val="33CB3594"/>
    <w:rsid w:val="33DB616A"/>
    <w:rsid w:val="33DF41FF"/>
    <w:rsid w:val="33F12622"/>
    <w:rsid w:val="34075067"/>
    <w:rsid w:val="343A0EF8"/>
    <w:rsid w:val="34425488"/>
    <w:rsid w:val="344572AC"/>
    <w:rsid w:val="34580D58"/>
    <w:rsid w:val="34A009E0"/>
    <w:rsid w:val="34A07A36"/>
    <w:rsid w:val="34A60184"/>
    <w:rsid w:val="34AE17C5"/>
    <w:rsid w:val="34BE74FA"/>
    <w:rsid w:val="34D63BFA"/>
    <w:rsid w:val="35063794"/>
    <w:rsid w:val="35216ED5"/>
    <w:rsid w:val="355301EA"/>
    <w:rsid w:val="35681FA6"/>
    <w:rsid w:val="35894370"/>
    <w:rsid w:val="359E1F38"/>
    <w:rsid w:val="35A544EB"/>
    <w:rsid w:val="35AB313F"/>
    <w:rsid w:val="35B652A1"/>
    <w:rsid w:val="35BA7826"/>
    <w:rsid w:val="35DC70B2"/>
    <w:rsid w:val="35F025BA"/>
    <w:rsid w:val="36120F98"/>
    <w:rsid w:val="36186DA3"/>
    <w:rsid w:val="361C1978"/>
    <w:rsid w:val="362232B6"/>
    <w:rsid w:val="36550754"/>
    <w:rsid w:val="365B4B65"/>
    <w:rsid w:val="365C2CD5"/>
    <w:rsid w:val="366E07F6"/>
    <w:rsid w:val="36784D58"/>
    <w:rsid w:val="368D541D"/>
    <w:rsid w:val="3698457F"/>
    <w:rsid w:val="36A1472F"/>
    <w:rsid w:val="36B9033E"/>
    <w:rsid w:val="36DD2D84"/>
    <w:rsid w:val="36EA5CA8"/>
    <w:rsid w:val="36EE20A9"/>
    <w:rsid w:val="36EE5987"/>
    <w:rsid w:val="36EF7424"/>
    <w:rsid w:val="36FE2B79"/>
    <w:rsid w:val="37120E0F"/>
    <w:rsid w:val="371B136A"/>
    <w:rsid w:val="371B7EA1"/>
    <w:rsid w:val="3725501B"/>
    <w:rsid w:val="372C4E39"/>
    <w:rsid w:val="374F69EE"/>
    <w:rsid w:val="375B2943"/>
    <w:rsid w:val="376E24E4"/>
    <w:rsid w:val="376F2145"/>
    <w:rsid w:val="37705B61"/>
    <w:rsid w:val="37807A2A"/>
    <w:rsid w:val="37847C32"/>
    <w:rsid w:val="37887EC4"/>
    <w:rsid w:val="378B5D67"/>
    <w:rsid w:val="37902940"/>
    <w:rsid w:val="37971BCD"/>
    <w:rsid w:val="37973168"/>
    <w:rsid w:val="37AD2605"/>
    <w:rsid w:val="37CD45B3"/>
    <w:rsid w:val="37D6031B"/>
    <w:rsid w:val="37DC7FC7"/>
    <w:rsid w:val="37F53A0E"/>
    <w:rsid w:val="380F1B57"/>
    <w:rsid w:val="38207E14"/>
    <w:rsid w:val="3837515E"/>
    <w:rsid w:val="38436016"/>
    <w:rsid w:val="38907F3F"/>
    <w:rsid w:val="38964B26"/>
    <w:rsid w:val="38B05A90"/>
    <w:rsid w:val="38B851F9"/>
    <w:rsid w:val="38CE576E"/>
    <w:rsid w:val="38ED40BD"/>
    <w:rsid w:val="38EF1449"/>
    <w:rsid w:val="39041008"/>
    <w:rsid w:val="39090E03"/>
    <w:rsid w:val="39170374"/>
    <w:rsid w:val="391C4104"/>
    <w:rsid w:val="39321CB7"/>
    <w:rsid w:val="3960326F"/>
    <w:rsid w:val="39B67200"/>
    <w:rsid w:val="39F37307"/>
    <w:rsid w:val="3A00098D"/>
    <w:rsid w:val="3A0E647E"/>
    <w:rsid w:val="3A2D56FD"/>
    <w:rsid w:val="3A2E5E21"/>
    <w:rsid w:val="3A3A12A4"/>
    <w:rsid w:val="3A48149C"/>
    <w:rsid w:val="3A503C08"/>
    <w:rsid w:val="3A5F50B1"/>
    <w:rsid w:val="3A604656"/>
    <w:rsid w:val="3A75628C"/>
    <w:rsid w:val="3AB8723E"/>
    <w:rsid w:val="3ACB2D2A"/>
    <w:rsid w:val="3ADC505B"/>
    <w:rsid w:val="3B1A4B78"/>
    <w:rsid w:val="3B2500F6"/>
    <w:rsid w:val="3B3911ED"/>
    <w:rsid w:val="3B3A44EA"/>
    <w:rsid w:val="3B3D1700"/>
    <w:rsid w:val="3B514ECB"/>
    <w:rsid w:val="3B6F5E13"/>
    <w:rsid w:val="3B75351C"/>
    <w:rsid w:val="3BA80937"/>
    <w:rsid w:val="3BB277AF"/>
    <w:rsid w:val="3BB3072C"/>
    <w:rsid w:val="3BBF764A"/>
    <w:rsid w:val="3BE97B2F"/>
    <w:rsid w:val="3C310698"/>
    <w:rsid w:val="3C432323"/>
    <w:rsid w:val="3C440BA6"/>
    <w:rsid w:val="3C587E7F"/>
    <w:rsid w:val="3C592F8E"/>
    <w:rsid w:val="3CBF0E3F"/>
    <w:rsid w:val="3CFA5349"/>
    <w:rsid w:val="3D144DF5"/>
    <w:rsid w:val="3D1748EF"/>
    <w:rsid w:val="3D2163D4"/>
    <w:rsid w:val="3D5B3E39"/>
    <w:rsid w:val="3D7D48EC"/>
    <w:rsid w:val="3D91597B"/>
    <w:rsid w:val="3DA64E18"/>
    <w:rsid w:val="3DBC5AE7"/>
    <w:rsid w:val="3DE266DB"/>
    <w:rsid w:val="3DF8538F"/>
    <w:rsid w:val="3E096EE9"/>
    <w:rsid w:val="3E241CE0"/>
    <w:rsid w:val="3E291592"/>
    <w:rsid w:val="3E390E5B"/>
    <w:rsid w:val="3E4D2864"/>
    <w:rsid w:val="3E5311E6"/>
    <w:rsid w:val="3E5446DA"/>
    <w:rsid w:val="3E703691"/>
    <w:rsid w:val="3E801D3B"/>
    <w:rsid w:val="3E9354E0"/>
    <w:rsid w:val="3EA27953"/>
    <w:rsid w:val="3EA7438C"/>
    <w:rsid w:val="3EB30C6B"/>
    <w:rsid w:val="3ECD3ABB"/>
    <w:rsid w:val="3EDC3E9E"/>
    <w:rsid w:val="3EFE7EC5"/>
    <w:rsid w:val="3F321605"/>
    <w:rsid w:val="3F3935B4"/>
    <w:rsid w:val="3F4055C4"/>
    <w:rsid w:val="3F4C0F90"/>
    <w:rsid w:val="3F707BC2"/>
    <w:rsid w:val="3F8B5F40"/>
    <w:rsid w:val="3F8F428B"/>
    <w:rsid w:val="3FA84A4E"/>
    <w:rsid w:val="3FB40CCC"/>
    <w:rsid w:val="3FC72AD8"/>
    <w:rsid w:val="3FCE6173"/>
    <w:rsid w:val="3FE5575C"/>
    <w:rsid w:val="3FEC6D2D"/>
    <w:rsid w:val="3FEF67BA"/>
    <w:rsid w:val="400678CA"/>
    <w:rsid w:val="4010400A"/>
    <w:rsid w:val="4066121F"/>
    <w:rsid w:val="406C25F5"/>
    <w:rsid w:val="406D5413"/>
    <w:rsid w:val="408A4748"/>
    <w:rsid w:val="40BF5B18"/>
    <w:rsid w:val="40C47507"/>
    <w:rsid w:val="40D12088"/>
    <w:rsid w:val="40D203CD"/>
    <w:rsid w:val="40F444A1"/>
    <w:rsid w:val="410D03BB"/>
    <w:rsid w:val="41517B7E"/>
    <w:rsid w:val="417034B3"/>
    <w:rsid w:val="417B1E8F"/>
    <w:rsid w:val="41973DAA"/>
    <w:rsid w:val="41A0387F"/>
    <w:rsid w:val="41AC33FB"/>
    <w:rsid w:val="41CC2063"/>
    <w:rsid w:val="41CE26E8"/>
    <w:rsid w:val="41D40739"/>
    <w:rsid w:val="41F56746"/>
    <w:rsid w:val="420A5477"/>
    <w:rsid w:val="42160640"/>
    <w:rsid w:val="42287E46"/>
    <w:rsid w:val="4241733E"/>
    <w:rsid w:val="424A3908"/>
    <w:rsid w:val="424F0A6E"/>
    <w:rsid w:val="426923B8"/>
    <w:rsid w:val="428D254A"/>
    <w:rsid w:val="429D67D5"/>
    <w:rsid w:val="42B52D37"/>
    <w:rsid w:val="42B93B29"/>
    <w:rsid w:val="42D67B97"/>
    <w:rsid w:val="42D74F60"/>
    <w:rsid w:val="42D85AB4"/>
    <w:rsid w:val="42DC489C"/>
    <w:rsid w:val="42E422A6"/>
    <w:rsid w:val="42FC1B13"/>
    <w:rsid w:val="43202799"/>
    <w:rsid w:val="435C1424"/>
    <w:rsid w:val="43911189"/>
    <w:rsid w:val="43AE4C00"/>
    <w:rsid w:val="43BD30EC"/>
    <w:rsid w:val="43DE07E1"/>
    <w:rsid w:val="43E545F7"/>
    <w:rsid w:val="440920A4"/>
    <w:rsid w:val="440E076C"/>
    <w:rsid w:val="443507E9"/>
    <w:rsid w:val="443573E4"/>
    <w:rsid w:val="4458219B"/>
    <w:rsid w:val="446B2D9B"/>
    <w:rsid w:val="4477041B"/>
    <w:rsid w:val="448349AA"/>
    <w:rsid w:val="44847BA0"/>
    <w:rsid w:val="448A122F"/>
    <w:rsid w:val="44942D66"/>
    <w:rsid w:val="44BB483C"/>
    <w:rsid w:val="44CB4786"/>
    <w:rsid w:val="44CD7124"/>
    <w:rsid w:val="44E3266D"/>
    <w:rsid w:val="44EA145B"/>
    <w:rsid w:val="45064A24"/>
    <w:rsid w:val="451A3AE5"/>
    <w:rsid w:val="45505122"/>
    <w:rsid w:val="45572D8D"/>
    <w:rsid w:val="45790881"/>
    <w:rsid w:val="458B7B6F"/>
    <w:rsid w:val="45A93AAF"/>
    <w:rsid w:val="45AA61C3"/>
    <w:rsid w:val="45B5247A"/>
    <w:rsid w:val="45C11776"/>
    <w:rsid w:val="45C75D73"/>
    <w:rsid w:val="45C9249A"/>
    <w:rsid w:val="45CC0A52"/>
    <w:rsid w:val="45EE3C21"/>
    <w:rsid w:val="45F43246"/>
    <w:rsid w:val="45FA1AC5"/>
    <w:rsid w:val="461763DB"/>
    <w:rsid w:val="462705C0"/>
    <w:rsid w:val="463F4F3E"/>
    <w:rsid w:val="46416457"/>
    <w:rsid w:val="464502C5"/>
    <w:rsid w:val="46523DCD"/>
    <w:rsid w:val="465B4AFD"/>
    <w:rsid w:val="46744101"/>
    <w:rsid w:val="467749E9"/>
    <w:rsid w:val="467E7329"/>
    <w:rsid w:val="46814BAC"/>
    <w:rsid w:val="46872477"/>
    <w:rsid w:val="46C54646"/>
    <w:rsid w:val="46CA3F5B"/>
    <w:rsid w:val="46FE5BF8"/>
    <w:rsid w:val="47006305"/>
    <w:rsid w:val="47036AAE"/>
    <w:rsid w:val="47133246"/>
    <w:rsid w:val="4734658F"/>
    <w:rsid w:val="47462711"/>
    <w:rsid w:val="47554B67"/>
    <w:rsid w:val="4765510B"/>
    <w:rsid w:val="4774417E"/>
    <w:rsid w:val="477E2C0E"/>
    <w:rsid w:val="478A04B7"/>
    <w:rsid w:val="479716A1"/>
    <w:rsid w:val="47C02D48"/>
    <w:rsid w:val="481348CE"/>
    <w:rsid w:val="483454E8"/>
    <w:rsid w:val="484744AE"/>
    <w:rsid w:val="484E10A8"/>
    <w:rsid w:val="485D36B4"/>
    <w:rsid w:val="48634815"/>
    <w:rsid w:val="487F5341"/>
    <w:rsid w:val="488176C6"/>
    <w:rsid w:val="488B318B"/>
    <w:rsid w:val="489E0FEE"/>
    <w:rsid w:val="48B4179C"/>
    <w:rsid w:val="49113CB2"/>
    <w:rsid w:val="49225F0C"/>
    <w:rsid w:val="492D318D"/>
    <w:rsid w:val="493C54A9"/>
    <w:rsid w:val="495817B6"/>
    <w:rsid w:val="495C194E"/>
    <w:rsid w:val="49686AB2"/>
    <w:rsid w:val="496C598B"/>
    <w:rsid w:val="4973745F"/>
    <w:rsid w:val="497E0BE7"/>
    <w:rsid w:val="49850681"/>
    <w:rsid w:val="49913F87"/>
    <w:rsid w:val="499C4313"/>
    <w:rsid w:val="49A73263"/>
    <w:rsid w:val="49BD34AE"/>
    <w:rsid w:val="49DD1DFD"/>
    <w:rsid w:val="49EC3FDA"/>
    <w:rsid w:val="49F91579"/>
    <w:rsid w:val="4A064043"/>
    <w:rsid w:val="4A2D4AE6"/>
    <w:rsid w:val="4A42618E"/>
    <w:rsid w:val="4A7B48AA"/>
    <w:rsid w:val="4A8B32A8"/>
    <w:rsid w:val="4A9515DE"/>
    <w:rsid w:val="4AB230B1"/>
    <w:rsid w:val="4AB766D4"/>
    <w:rsid w:val="4AC97E27"/>
    <w:rsid w:val="4ADB34DF"/>
    <w:rsid w:val="4AE85353"/>
    <w:rsid w:val="4B061556"/>
    <w:rsid w:val="4B064691"/>
    <w:rsid w:val="4B0D142C"/>
    <w:rsid w:val="4B316A71"/>
    <w:rsid w:val="4B454DD5"/>
    <w:rsid w:val="4B482245"/>
    <w:rsid w:val="4B5D38F3"/>
    <w:rsid w:val="4B7F0E11"/>
    <w:rsid w:val="4B835281"/>
    <w:rsid w:val="4BD51A25"/>
    <w:rsid w:val="4BED5E07"/>
    <w:rsid w:val="4C2F1B61"/>
    <w:rsid w:val="4C366BFF"/>
    <w:rsid w:val="4C5226A9"/>
    <w:rsid w:val="4C744396"/>
    <w:rsid w:val="4C8515BD"/>
    <w:rsid w:val="4C8B0BF8"/>
    <w:rsid w:val="4CE2351D"/>
    <w:rsid w:val="4CF4799F"/>
    <w:rsid w:val="4D0631ED"/>
    <w:rsid w:val="4D1437E8"/>
    <w:rsid w:val="4D1D4FF6"/>
    <w:rsid w:val="4D46078D"/>
    <w:rsid w:val="4D877A03"/>
    <w:rsid w:val="4DA3023A"/>
    <w:rsid w:val="4DAC6B57"/>
    <w:rsid w:val="4DFF494F"/>
    <w:rsid w:val="4E0959C5"/>
    <w:rsid w:val="4E15026D"/>
    <w:rsid w:val="4E1B00B1"/>
    <w:rsid w:val="4E253A42"/>
    <w:rsid w:val="4E2A6D86"/>
    <w:rsid w:val="4E357F89"/>
    <w:rsid w:val="4E3C0794"/>
    <w:rsid w:val="4E4D2750"/>
    <w:rsid w:val="4E6E57E5"/>
    <w:rsid w:val="4EAB21DD"/>
    <w:rsid w:val="4EB47C98"/>
    <w:rsid w:val="4EB951BA"/>
    <w:rsid w:val="4EBA1C08"/>
    <w:rsid w:val="4F285726"/>
    <w:rsid w:val="4F4F0DB8"/>
    <w:rsid w:val="4F591050"/>
    <w:rsid w:val="4F5E7425"/>
    <w:rsid w:val="4F660003"/>
    <w:rsid w:val="4F733974"/>
    <w:rsid w:val="4F7A7D77"/>
    <w:rsid w:val="4F93781E"/>
    <w:rsid w:val="4FAE193D"/>
    <w:rsid w:val="4FAF4F84"/>
    <w:rsid w:val="4FB10CF6"/>
    <w:rsid w:val="4FB319E6"/>
    <w:rsid w:val="4FEB2BE6"/>
    <w:rsid w:val="4FFC6449"/>
    <w:rsid w:val="501671DC"/>
    <w:rsid w:val="504D1FB1"/>
    <w:rsid w:val="505B4B49"/>
    <w:rsid w:val="506E395A"/>
    <w:rsid w:val="50B95F5D"/>
    <w:rsid w:val="50C90845"/>
    <w:rsid w:val="50D22D45"/>
    <w:rsid w:val="50D57C1E"/>
    <w:rsid w:val="50D94286"/>
    <w:rsid w:val="50FB64A1"/>
    <w:rsid w:val="50FE1DAB"/>
    <w:rsid w:val="51097974"/>
    <w:rsid w:val="513468E0"/>
    <w:rsid w:val="51790EB4"/>
    <w:rsid w:val="51AA00BA"/>
    <w:rsid w:val="51B22D2B"/>
    <w:rsid w:val="51D007F1"/>
    <w:rsid w:val="51DC37DE"/>
    <w:rsid w:val="51E048B3"/>
    <w:rsid w:val="51E80EF7"/>
    <w:rsid w:val="520744BA"/>
    <w:rsid w:val="521A01E1"/>
    <w:rsid w:val="52221F2F"/>
    <w:rsid w:val="52404574"/>
    <w:rsid w:val="52773303"/>
    <w:rsid w:val="52A714F5"/>
    <w:rsid w:val="52B93095"/>
    <w:rsid w:val="52BC2394"/>
    <w:rsid w:val="52BD3D48"/>
    <w:rsid w:val="52D90C58"/>
    <w:rsid w:val="52EA5B79"/>
    <w:rsid w:val="52F60F20"/>
    <w:rsid w:val="5312649D"/>
    <w:rsid w:val="531B45E6"/>
    <w:rsid w:val="532C723E"/>
    <w:rsid w:val="53390472"/>
    <w:rsid w:val="53503A66"/>
    <w:rsid w:val="536770E2"/>
    <w:rsid w:val="53687C09"/>
    <w:rsid w:val="536D66C7"/>
    <w:rsid w:val="536E3929"/>
    <w:rsid w:val="536F35A6"/>
    <w:rsid w:val="53744A5A"/>
    <w:rsid w:val="53860292"/>
    <w:rsid w:val="539B0D9E"/>
    <w:rsid w:val="53C23604"/>
    <w:rsid w:val="53C53C7D"/>
    <w:rsid w:val="53C55C56"/>
    <w:rsid w:val="53CD497B"/>
    <w:rsid w:val="53EC1DE3"/>
    <w:rsid w:val="53EF72EF"/>
    <w:rsid w:val="53FF41DB"/>
    <w:rsid w:val="54193C07"/>
    <w:rsid w:val="541A4C64"/>
    <w:rsid w:val="54295B91"/>
    <w:rsid w:val="542A1C04"/>
    <w:rsid w:val="544C1065"/>
    <w:rsid w:val="545B79DD"/>
    <w:rsid w:val="54880649"/>
    <w:rsid w:val="548A23D8"/>
    <w:rsid w:val="54965208"/>
    <w:rsid w:val="54C82D61"/>
    <w:rsid w:val="54E81C8E"/>
    <w:rsid w:val="54E86941"/>
    <w:rsid w:val="54ED50E6"/>
    <w:rsid w:val="55217E04"/>
    <w:rsid w:val="55315B7A"/>
    <w:rsid w:val="55320D2F"/>
    <w:rsid w:val="55337335"/>
    <w:rsid w:val="553B39A1"/>
    <w:rsid w:val="557D45CE"/>
    <w:rsid w:val="5585335C"/>
    <w:rsid w:val="55BF0F23"/>
    <w:rsid w:val="55C27DA2"/>
    <w:rsid w:val="55E14D19"/>
    <w:rsid w:val="55FA0F78"/>
    <w:rsid w:val="560E71A6"/>
    <w:rsid w:val="562B3898"/>
    <w:rsid w:val="56302455"/>
    <w:rsid w:val="56426DC7"/>
    <w:rsid w:val="56761F18"/>
    <w:rsid w:val="56784579"/>
    <w:rsid w:val="56844649"/>
    <w:rsid w:val="56994841"/>
    <w:rsid w:val="56A53A19"/>
    <w:rsid w:val="56A96D34"/>
    <w:rsid w:val="56CF19F0"/>
    <w:rsid w:val="5701369F"/>
    <w:rsid w:val="570165C7"/>
    <w:rsid w:val="570C55B0"/>
    <w:rsid w:val="57192131"/>
    <w:rsid w:val="572C0F09"/>
    <w:rsid w:val="574009D4"/>
    <w:rsid w:val="57466587"/>
    <w:rsid w:val="574D68C7"/>
    <w:rsid w:val="575053F0"/>
    <w:rsid w:val="57834D15"/>
    <w:rsid w:val="578B595B"/>
    <w:rsid w:val="57967D19"/>
    <w:rsid w:val="57B23F79"/>
    <w:rsid w:val="57B47E6E"/>
    <w:rsid w:val="57C65B37"/>
    <w:rsid w:val="57CF4FA7"/>
    <w:rsid w:val="57E95A34"/>
    <w:rsid w:val="57F22167"/>
    <w:rsid w:val="581D0E2F"/>
    <w:rsid w:val="585D0297"/>
    <w:rsid w:val="585D60C3"/>
    <w:rsid w:val="58702946"/>
    <w:rsid w:val="5889215F"/>
    <w:rsid w:val="58976061"/>
    <w:rsid w:val="58C16FC1"/>
    <w:rsid w:val="58C541A4"/>
    <w:rsid w:val="58E03636"/>
    <w:rsid w:val="58F24C88"/>
    <w:rsid w:val="58F87B6E"/>
    <w:rsid w:val="5900453B"/>
    <w:rsid w:val="592E013F"/>
    <w:rsid w:val="594177BC"/>
    <w:rsid w:val="594E250D"/>
    <w:rsid w:val="594F0CDA"/>
    <w:rsid w:val="59692461"/>
    <w:rsid w:val="5975038C"/>
    <w:rsid w:val="597671FD"/>
    <w:rsid w:val="597965D0"/>
    <w:rsid w:val="59B56E26"/>
    <w:rsid w:val="59C5351F"/>
    <w:rsid w:val="59D13BC2"/>
    <w:rsid w:val="59D80EC2"/>
    <w:rsid w:val="59F56290"/>
    <w:rsid w:val="59F70B19"/>
    <w:rsid w:val="59F77752"/>
    <w:rsid w:val="5A0A11E2"/>
    <w:rsid w:val="5A1D173A"/>
    <w:rsid w:val="5A2042B8"/>
    <w:rsid w:val="5A2B19AD"/>
    <w:rsid w:val="5A2B3AF4"/>
    <w:rsid w:val="5A2E6F66"/>
    <w:rsid w:val="5A4D11C1"/>
    <w:rsid w:val="5A764B47"/>
    <w:rsid w:val="5A7D1E70"/>
    <w:rsid w:val="5A94186F"/>
    <w:rsid w:val="5AC22C59"/>
    <w:rsid w:val="5AC507B3"/>
    <w:rsid w:val="5ACD327F"/>
    <w:rsid w:val="5ACF2A5E"/>
    <w:rsid w:val="5AE5440D"/>
    <w:rsid w:val="5B1D2643"/>
    <w:rsid w:val="5B3F045B"/>
    <w:rsid w:val="5B723853"/>
    <w:rsid w:val="5B7852EC"/>
    <w:rsid w:val="5BC95CF0"/>
    <w:rsid w:val="5BCF4016"/>
    <w:rsid w:val="5BCF6D17"/>
    <w:rsid w:val="5BD47085"/>
    <w:rsid w:val="5BEF47B5"/>
    <w:rsid w:val="5C0E3459"/>
    <w:rsid w:val="5C1033FB"/>
    <w:rsid w:val="5C15179D"/>
    <w:rsid w:val="5C415279"/>
    <w:rsid w:val="5C420602"/>
    <w:rsid w:val="5C6A1A1E"/>
    <w:rsid w:val="5C6A6AE5"/>
    <w:rsid w:val="5C6E0533"/>
    <w:rsid w:val="5C74657A"/>
    <w:rsid w:val="5C824BDF"/>
    <w:rsid w:val="5C925A54"/>
    <w:rsid w:val="5C9706FB"/>
    <w:rsid w:val="5CAC1AB3"/>
    <w:rsid w:val="5CC97A53"/>
    <w:rsid w:val="5CD0158A"/>
    <w:rsid w:val="5CD70BC1"/>
    <w:rsid w:val="5CE360DC"/>
    <w:rsid w:val="5CF74D38"/>
    <w:rsid w:val="5CFB7535"/>
    <w:rsid w:val="5CFF0CD5"/>
    <w:rsid w:val="5D1837C9"/>
    <w:rsid w:val="5D253F58"/>
    <w:rsid w:val="5D2A6AD3"/>
    <w:rsid w:val="5D3F66DF"/>
    <w:rsid w:val="5D480630"/>
    <w:rsid w:val="5D521B31"/>
    <w:rsid w:val="5D6A1CB8"/>
    <w:rsid w:val="5D6C0698"/>
    <w:rsid w:val="5D760515"/>
    <w:rsid w:val="5D8C55C5"/>
    <w:rsid w:val="5D935D6B"/>
    <w:rsid w:val="5DA53309"/>
    <w:rsid w:val="5DC1679A"/>
    <w:rsid w:val="5DC2626A"/>
    <w:rsid w:val="5DD05659"/>
    <w:rsid w:val="5DD26A74"/>
    <w:rsid w:val="5DEE1B04"/>
    <w:rsid w:val="5DF26345"/>
    <w:rsid w:val="5DF35E0E"/>
    <w:rsid w:val="5E08087F"/>
    <w:rsid w:val="5E144208"/>
    <w:rsid w:val="5E2545B4"/>
    <w:rsid w:val="5E321B38"/>
    <w:rsid w:val="5E324BB3"/>
    <w:rsid w:val="5E435BA8"/>
    <w:rsid w:val="5E4F129A"/>
    <w:rsid w:val="5E7C4233"/>
    <w:rsid w:val="5E874E20"/>
    <w:rsid w:val="5E8D15B4"/>
    <w:rsid w:val="5EB74C28"/>
    <w:rsid w:val="5EBE5A09"/>
    <w:rsid w:val="5EC450EE"/>
    <w:rsid w:val="5EEB70E1"/>
    <w:rsid w:val="5EF07F2C"/>
    <w:rsid w:val="5F062073"/>
    <w:rsid w:val="5F083DB9"/>
    <w:rsid w:val="5F1F1766"/>
    <w:rsid w:val="5F20161A"/>
    <w:rsid w:val="5F21637C"/>
    <w:rsid w:val="5F2D1197"/>
    <w:rsid w:val="5F2F25DE"/>
    <w:rsid w:val="5F376FFE"/>
    <w:rsid w:val="5F3C251B"/>
    <w:rsid w:val="5F480965"/>
    <w:rsid w:val="5F4A3752"/>
    <w:rsid w:val="5F805653"/>
    <w:rsid w:val="5F840C72"/>
    <w:rsid w:val="5F8B2258"/>
    <w:rsid w:val="5FC77D74"/>
    <w:rsid w:val="5FD85AA8"/>
    <w:rsid w:val="5FF55CEE"/>
    <w:rsid w:val="5FFC5072"/>
    <w:rsid w:val="60025066"/>
    <w:rsid w:val="60063387"/>
    <w:rsid w:val="601C5ADC"/>
    <w:rsid w:val="603935FB"/>
    <w:rsid w:val="603F481B"/>
    <w:rsid w:val="60692A38"/>
    <w:rsid w:val="607B2CA4"/>
    <w:rsid w:val="607D2746"/>
    <w:rsid w:val="609D18F7"/>
    <w:rsid w:val="60A620E9"/>
    <w:rsid w:val="60B8658C"/>
    <w:rsid w:val="60BB1707"/>
    <w:rsid w:val="60E21E45"/>
    <w:rsid w:val="611807F5"/>
    <w:rsid w:val="612B4C8F"/>
    <w:rsid w:val="612E6D38"/>
    <w:rsid w:val="61375AEF"/>
    <w:rsid w:val="614A23F4"/>
    <w:rsid w:val="61540EED"/>
    <w:rsid w:val="616716E3"/>
    <w:rsid w:val="616E756F"/>
    <w:rsid w:val="6176765C"/>
    <w:rsid w:val="61AD3689"/>
    <w:rsid w:val="61B36E0E"/>
    <w:rsid w:val="61D20621"/>
    <w:rsid w:val="61ED324F"/>
    <w:rsid w:val="61FC4A91"/>
    <w:rsid w:val="62041EC1"/>
    <w:rsid w:val="621C6150"/>
    <w:rsid w:val="62330229"/>
    <w:rsid w:val="623B628B"/>
    <w:rsid w:val="623F286F"/>
    <w:rsid w:val="62484CCD"/>
    <w:rsid w:val="625646F3"/>
    <w:rsid w:val="626A0FF3"/>
    <w:rsid w:val="627815A2"/>
    <w:rsid w:val="6284602F"/>
    <w:rsid w:val="629671C4"/>
    <w:rsid w:val="62A5181B"/>
    <w:rsid w:val="62AC2121"/>
    <w:rsid w:val="62AF0D55"/>
    <w:rsid w:val="62B17737"/>
    <w:rsid w:val="62C10F3D"/>
    <w:rsid w:val="62E60CC5"/>
    <w:rsid w:val="63190099"/>
    <w:rsid w:val="63444A03"/>
    <w:rsid w:val="635837E2"/>
    <w:rsid w:val="63736C34"/>
    <w:rsid w:val="63A54092"/>
    <w:rsid w:val="63A86809"/>
    <w:rsid w:val="63AB3AD7"/>
    <w:rsid w:val="63AF337D"/>
    <w:rsid w:val="63DD0304"/>
    <w:rsid w:val="63DF7C2A"/>
    <w:rsid w:val="6408558E"/>
    <w:rsid w:val="64137E46"/>
    <w:rsid w:val="64257A9D"/>
    <w:rsid w:val="642E4A15"/>
    <w:rsid w:val="64514397"/>
    <w:rsid w:val="64531143"/>
    <w:rsid w:val="645D7063"/>
    <w:rsid w:val="64663562"/>
    <w:rsid w:val="646C305B"/>
    <w:rsid w:val="646F3814"/>
    <w:rsid w:val="6481790B"/>
    <w:rsid w:val="64826E30"/>
    <w:rsid w:val="649410BE"/>
    <w:rsid w:val="64A174BD"/>
    <w:rsid w:val="64A54FFC"/>
    <w:rsid w:val="64B0700A"/>
    <w:rsid w:val="64C440D9"/>
    <w:rsid w:val="64E5091C"/>
    <w:rsid w:val="64E60F88"/>
    <w:rsid w:val="650D70A8"/>
    <w:rsid w:val="652E2A68"/>
    <w:rsid w:val="652F3D15"/>
    <w:rsid w:val="65394AD5"/>
    <w:rsid w:val="655178AE"/>
    <w:rsid w:val="655A261C"/>
    <w:rsid w:val="65736F26"/>
    <w:rsid w:val="657C43DD"/>
    <w:rsid w:val="65835098"/>
    <w:rsid w:val="65A15C4B"/>
    <w:rsid w:val="65AA725E"/>
    <w:rsid w:val="65B64D0F"/>
    <w:rsid w:val="65CB205F"/>
    <w:rsid w:val="65E41BD1"/>
    <w:rsid w:val="65E72158"/>
    <w:rsid w:val="65FE7D00"/>
    <w:rsid w:val="66030ADE"/>
    <w:rsid w:val="66354563"/>
    <w:rsid w:val="66430391"/>
    <w:rsid w:val="6660394E"/>
    <w:rsid w:val="66691C47"/>
    <w:rsid w:val="6690494D"/>
    <w:rsid w:val="66A7121E"/>
    <w:rsid w:val="66B22ADE"/>
    <w:rsid w:val="66B8516E"/>
    <w:rsid w:val="66DE08F9"/>
    <w:rsid w:val="66E76625"/>
    <w:rsid w:val="670A5C7C"/>
    <w:rsid w:val="670C5A52"/>
    <w:rsid w:val="67280060"/>
    <w:rsid w:val="674555EA"/>
    <w:rsid w:val="674D7211"/>
    <w:rsid w:val="675D4520"/>
    <w:rsid w:val="67602BAF"/>
    <w:rsid w:val="676B557D"/>
    <w:rsid w:val="677D2581"/>
    <w:rsid w:val="6791021F"/>
    <w:rsid w:val="679F394D"/>
    <w:rsid w:val="67A67449"/>
    <w:rsid w:val="67A808A1"/>
    <w:rsid w:val="67D20EF5"/>
    <w:rsid w:val="67D25B86"/>
    <w:rsid w:val="67F82396"/>
    <w:rsid w:val="680B1C0F"/>
    <w:rsid w:val="68102CB5"/>
    <w:rsid w:val="6822490D"/>
    <w:rsid w:val="68274B95"/>
    <w:rsid w:val="683C1424"/>
    <w:rsid w:val="683C2741"/>
    <w:rsid w:val="684E55E5"/>
    <w:rsid w:val="68511B03"/>
    <w:rsid w:val="68550B65"/>
    <w:rsid w:val="685A293F"/>
    <w:rsid w:val="688F1BD1"/>
    <w:rsid w:val="68B476C6"/>
    <w:rsid w:val="68BE4173"/>
    <w:rsid w:val="68DA122D"/>
    <w:rsid w:val="68E04233"/>
    <w:rsid w:val="68E353FB"/>
    <w:rsid w:val="68E425B0"/>
    <w:rsid w:val="69043295"/>
    <w:rsid w:val="694B0C35"/>
    <w:rsid w:val="69531548"/>
    <w:rsid w:val="697C61DF"/>
    <w:rsid w:val="698D7ABF"/>
    <w:rsid w:val="6992033C"/>
    <w:rsid w:val="699F0894"/>
    <w:rsid w:val="699F478D"/>
    <w:rsid w:val="69A424BA"/>
    <w:rsid w:val="69B07ABB"/>
    <w:rsid w:val="69BE48BF"/>
    <w:rsid w:val="69C228E1"/>
    <w:rsid w:val="6A03382A"/>
    <w:rsid w:val="6A172C7D"/>
    <w:rsid w:val="6A244216"/>
    <w:rsid w:val="6A386990"/>
    <w:rsid w:val="6A462E04"/>
    <w:rsid w:val="6A623431"/>
    <w:rsid w:val="6A7C13D1"/>
    <w:rsid w:val="6AB70B64"/>
    <w:rsid w:val="6ABE1493"/>
    <w:rsid w:val="6ACE76D8"/>
    <w:rsid w:val="6AD07DC0"/>
    <w:rsid w:val="6AE65637"/>
    <w:rsid w:val="6AEF52A0"/>
    <w:rsid w:val="6B077A9B"/>
    <w:rsid w:val="6B0A3BC0"/>
    <w:rsid w:val="6B342864"/>
    <w:rsid w:val="6B5709CB"/>
    <w:rsid w:val="6B582D99"/>
    <w:rsid w:val="6B71699D"/>
    <w:rsid w:val="6B796688"/>
    <w:rsid w:val="6B875F09"/>
    <w:rsid w:val="6B962FB3"/>
    <w:rsid w:val="6BA64A74"/>
    <w:rsid w:val="6BBA04AC"/>
    <w:rsid w:val="6BF378D1"/>
    <w:rsid w:val="6C082EDE"/>
    <w:rsid w:val="6C086F50"/>
    <w:rsid w:val="6C1A00FB"/>
    <w:rsid w:val="6C422921"/>
    <w:rsid w:val="6C8920A1"/>
    <w:rsid w:val="6CC53C3E"/>
    <w:rsid w:val="6CE04F6E"/>
    <w:rsid w:val="6CE13F60"/>
    <w:rsid w:val="6CF708EC"/>
    <w:rsid w:val="6CF75059"/>
    <w:rsid w:val="6CF77855"/>
    <w:rsid w:val="6D193E21"/>
    <w:rsid w:val="6D1F1C6B"/>
    <w:rsid w:val="6D49787D"/>
    <w:rsid w:val="6D4A2028"/>
    <w:rsid w:val="6D51792F"/>
    <w:rsid w:val="6D682220"/>
    <w:rsid w:val="6D6A5207"/>
    <w:rsid w:val="6D6E5FDD"/>
    <w:rsid w:val="6D737554"/>
    <w:rsid w:val="6DCA6783"/>
    <w:rsid w:val="6DCE5641"/>
    <w:rsid w:val="6DCF371B"/>
    <w:rsid w:val="6DF5497B"/>
    <w:rsid w:val="6DF8446C"/>
    <w:rsid w:val="6DF942FE"/>
    <w:rsid w:val="6E1C3872"/>
    <w:rsid w:val="6E6D0A6C"/>
    <w:rsid w:val="6E794997"/>
    <w:rsid w:val="6E981914"/>
    <w:rsid w:val="6EA42B2F"/>
    <w:rsid w:val="6EA93894"/>
    <w:rsid w:val="6EAD4B62"/>
    <w:rsid w:val="6EBB19FA"/>
    <w:rsid w:val="6EDA15D3"/>
    <w:rsid w:val="6EDC2F7E"/>
    <w:rsid w:val="6EE1691C"/>
    <w:rsid w:val="6EE5640B"/>
    <w:rsid w:val="6EED0EFB"/>
    <w:rsid w:val="6F112B5C"/>
    <w:rsid w:val="6F3817C0"/>
    <w:rsid w:val="6F381AF9"/>
    <w:rsid w:val="6F3C6EA4"/>
    <w:rsid w:val="6F4717D3"/>
    <w:rsid w:val="6F75241C"/>
    <w:rsid w:val="6F7B5A37"/>
    <w:rsid w:val="6F7D04E0"/>
    <w:rsid w:val="6FCB3C50"/>
    <w:rsid w:val="6FD62D86"/>
    <w:rsid w:val="6FDB11A4"/>
    <w:rsid w:val="6FEA5568"/>
    <w:rsid w:val="6FFE2576"/>
    <w:rsid w:val="701E29F3"/>
    <w:rsid w:val="702B3EE2"/>
    <w:rsid w:val="7041574E"/>
    <w:rsid w:val="7057387D"/>
    <w:rsid w:val="706838A1"/>
    <w:rsid w:val="70767705"/>
    <w:rsid w:val="707B6332"/>
    <w:rsid w:val="70841311"/>
    <w:rsid w:val="70CC2941"/>
    <w:rsid w:val="70ED4427"/>
    <w:rsid w:val="70F905F8"/>
    <w:rsid w:val="70FA7FFC"/>
    <w:rsid w:val="710F3DB6"/>
    <w:rsid w:val="71192694"/>
    <w:rsid w:val="711D164B"/>
    <w:rsid w:val="711F7F2C"/>
    <w:rsid w:val="71411FFE"/>
    <w:rsid w:val="715A46B0"/>
    <w:rsid w:val="71611BDF"/>
    <w:rsid w:val="7161713E"/>
    <w:rsid w:val="71944EC2"/>
    <w:rsid w:val="719E7D74"/>
    <w:rsid w:val="71BB7E66"/>
    <w:rsid w:val="71C078CD"/>
    <w:rsid w:val="71CF01CA"/>
    <w:rsid w:val="723F6B0D"/>
    <w:rsid w:val="72553411"/>
    <w:rsid w:val="725F715D"/>
    <w:rsid w:val="72606866"/>
    <w:rsid w:val="726C57ED"/>
    <w:rsid w:val="726D3849"/>
    <w:rsid w:val="728265AD"/>
    <w:rsid w:val="728A3166"/>
    <w:rsid w:val="72932C6C"/>
    <w:rsid w:val="72964253"/>
    <w:rsid w:val="72FD4669"/>
    <w:rsid w:val="72FE567C"/>
    <w:rsid w:val="733A0E2D"/>
    <w:rsid w:val="733F7B65"/>
    <w:rsid w:val="73682094"/>
    <w:rsid w:val="7375308B"/>
    <w:rsid w:val="73805A52"/>
    <w:rsid w:val="738C1FCA"/>
    <w:rsid w:val="7398516A"/>
    <w:rsid w:val="73AF42F5"/>
    <w:rsid w:val="73CB5184"/>
    <w:rsid w:val="73F10678"/>
    <w:rsid w:val="740F250F"/>
    <w:rsid w:val="749E11CE"/>
    <w:rsid w:val="749E60AF"/>
    <w:rsid w:val="74A45A79"/>
    <w:rsid w:val="74EF0AE1"/>
    <w:rsid w:val="74FE7D22"/>
    <w:rsid w:val="74FF7A4F"/>
    <w:rsid w:val="750C48C6"/>
    <w:rsid w:val="752408BC"/>
    <w:rsid w:val="75285FEB"/>
    <w:rsid w:val="756E5E0B"/>
    <w:rsid w:val="75AC7469"/>
    <w:rsid w:val="75BD48AD"/>
    <w:rsid w:val="75E823DC"/>
    <w:rsid w:val="75ED1A88"/>
    <w:rsid w:val="760B2927"/>
    <w:rsid w:val="76115357"/>
    <w:rsid w:val="761249CE"/>
    <w:rsid w:val="762405CA"/>
    <w:rsid w:val="763F53FF"/>
    <w:rsid w:val="7652450C"/>
    <w:rsid w:val="767F5E54"/>
    <w:rsid w:val="76852B14"/>
    <w:rsid w:val="768B1810"/>
    <w:rsid w:val="768E5133"/>
    <w:rsid w:val="76C230C6"/>
    <w:rsid w:val="76EC5C1A"/>
    <w:rsid w:val="76F229B9"/>
    <w:rsid w:val="76FF4C90"/>
    <w:rsid w:val="77185915"/>
    <w:rsid w:val="771B387E"/>
    <w:rsid w:val="77264752"/>
    <w:rsid w:val="772A01F8"/>
    <w:rsid w:val="773D51BA"/>
    <w:rsid w:val="77681EC5"/>
    <w:rsid w:val="776F1099"/>
    <w:rsid w:val="77A1042B"/>
    <w:rsid w:val="77AC271E"/>
    <w:rsid w:val="77B32B4E"/>
    <w:rsid w:val="77B64EA4"/>
    <w:rsid w:val="77BA3817"/>
    <w:rsid w:val="77BA4417"/>
    <w:rsid w:val="77BD2813"/>
    <w:rsid w:val="77BD43AA"/>
    <w:rsid w:val="77C327B9"/>
    <w:rsid w:val="77D4188C"/>
    <w:rsid w:val="77F13D51"/>
    <w:rsid w:val="77F50C60"/>
    <w:rsid w:val="78006D3F"/>
    <w:rsid w:val="7818676B"/>
    <w:rsid w:val="781F449D"/>
    <w:rsid w:val="78300CE9"/>
    <w:rsid w:val="78467160"/>
    <w:rsid w:val="7847369D"/>
    <w:rsid w:val="78661421"/>
    <w:rsid w:val="78867AD0"/>
    <w:rsid w:val="789A6358"/>
    <w:rsid w:val="78BB7E02"/>
    <w:rsid w:val="78D05690"/>
    <w:rsid w:val="78E845A5"/>
    <w:rsid w:val="7914419A"/>
    <w:rsid w:val="791E3780"/>
    <w:rsid w:val="79200197"/>
    <w:rsid w:val="792B0F82"/>
    <w:rsid w:val="7947711D"/>
    <w:rsid w:val="794D5585"/>
    <w:rsid w:val="795D3B40"/>
    <w:rsid w:val="795E3C79"/>
    <w:rsid w:val="796A4E69"/>
    <w:rsid w:val="796A4F6C"/>
    <w:rsid w:val="7971612B"/>
    <w:rsid w:val="79875487"/>
    <w:rsid w:val="79910765"/>
    <w:rsid w:val="79B654F9"/>
    <w:rsid w:val="79B871A5"/>
    <w:rsid w:val="79CD22A1"/>
    <w:rsid w:val="79D100E5"/>
    <w:rsid w:val="79D93BA2"/>
    <w:rsid w:val="79F6056C"/>
    <w:rsid w:val="7A1735D4"/>
    <w:rsid w:val="7A2E3513"/>
    <w:rsid w:val="7A3622F5"/>
    <w:rsid w:val="7A436495"/>
    <w:rsid w:val="7A71642A"/>
    <w:rsid w:val="7A7A1968"/>
    <w:rsid w:val="7A7D43E4"/>
    <w:rsid w:val="7A821575"/>
    <w:rsid w:val="7A8552D9"/>
    <w:rsid w:val="7A8713F8"/>
    <w:rsid w:val="7AA64CB7"/>
    <w:rsid w:val="7AB05C86"/>
    <w:rsid w:val="7AB14733"/>
    <w:rsid w:val="7AC23916"/>
    <w:rsid w:val="7AC83623"/>
    <w:rsid w:val="7AC849EC"/>
    <w:rsid w:val="7AD3695E"/>
    <w:rsid w:val="7AF0364F"/>
    <w:rsid w:val="7AF20B6A"/>
    <w:rsid w:val="7B2F3127"/>
    <w:rsid w:val="7B4D7515"/>
    <w:rsid w:val="7B6C2694"/>
    <w:rsid w:val="7B7012E4"/>
    <w:rsid w:val="7B740B21"/>
    <w:rsid w:val="7B9652C4"/>
    <w:rsid w:val="7BCB04FF"/>
    <w:rsid w:val="7BD6370F"/>
    <w:rsid w:val="7BDA068B"/>
    <w:rsid w:val="7BF153A5"/>
    <w:rsid w:val="7BF82E3A"/>
    <w:rsid w:val="7C593017"/>
    <w:rsid w:val="7C5B4159"/>
    <w:rsid w:val="7C800871"/>
    <w:rsid w:val="7C852F23"/>
    <w:rsid w:val="7C907F65"/>
    <w:rsid w:val="7C965DBE"/>
    <w:rsid w:val="7CAE7532"/>
    <w:rsid w:val="7CB32D7A"/>
    <w:rsid w:val="7CBD74CB"/>
    <w:rsid w:val="7CD83894"/>
    <w:rsid w:val="7CE9272D"/>
    <w:rsid w:val="7CF856E5"/>
    <w:rsid w:val="7CFE01DD"/>
    <w:rsid w:val="7D043C15"/>
    <w:rsid w:val="7D085F32"/>
    <w:rsid w:val="7D147E1D"/>
    <w:rsid w:val="7D254A32"/>
    <w:rsid w:val="7D615DD3"/>
    <w:rsid w:val="7D771B92"/>
    <w:rsid w:val="7DC619B0"/>
    <w:rsid w:val="7DE56748"/>
    <w:rsid w:val="7DE85D3F"/>
    <w:rsid w:val="7DE9584E"/>
    <w:rsid w:val="7E0D3259"/>
    <w:rsid w:val="7E2053C2"/>
    <w:rsid w:val="7E5261F1"/>
    <w:rsid w:val="7E6872D2"/>
    <w:rsid w:val="7E737271"/>
    <w:rsid w:val="7E7711BB"/>
    <w:rsid w:val="7E8530F8"/>
    <w:rsid w:val="7EB919F5"/>
    <w:rsid w:val="7ED41F03"/>
    <w:rsid w:val="7ED90D2A"/>
    <w:rsid w:val="7F330066"/>
    <w:rsid w:val="7F5D0615"/>
    <w:rsid w:val="7F615E53"/>
    <w:rsid w:val="7F6E2954"/>
    <w:rsid w:val="7F8D3B9C"/>
    <w:rsid w:val="7FD019FD"/>
    <w:rsid w:val="7FDE52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z w:val="24"/>
      <w:lang w:val="en-US" w:eastAsia="zh-CN" w:bidi="ar-SA"/>
    </w:rPr>
  </w:style>
  <w:style w:type="paragraph" w:styleId="5">
    <w:name w:val="heading 1"/>
    <w:basedOn w:val="1"/>
    <w:next w:val="1"/>
    <w:link w:val="74"/>
    <w:qFormat/>
    <w:uiPriority w:val="0"/>
    <w:pPr>
      <w:keepNext/>
      <w:outlineLvl w:val="0"/>
    </w:pPr>
    <w:rPr>
      <w:kern w:val="2"/>
      <w:sz w:val="30"/>
      <w:szCs w:val="24"/>
    </w:rPr>
  </w:style>
  <w:style w:type="paragraph" w:styleId="6">
    <w:name w:val="heading 2"/>
    <w:basedOn w:val="1"/>
    <w:next w:val="1"/>
    <w:link w:val="73"/>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7">
    <w:name w:val="heading 3"/>
    <w:basedOn w:val="1"/>
    <w:next w:val="1"/>
    <w:link w:val="72"/>
    <w:qFormat/>
    <w:uiPriority w:val="0"/>
    <w:pPr>
      <w:keepNext/>
      <w:keepLines/>
      <w:outlineLvl w:val="2"/>
    </w:pPr>
    <w:rPr>
      <w:rFonts w:eastAsia="仿宋"/>
      <w:b/>
      <w:bCs/>
      <w:sz w:val="30"/>
    </w:rPr>
  </w:style>
  <w:style w:type="paragraph" w:styleId="8">
    <w:name w:val="heading 4"/>
    <w:basedOn w:val="1"/>
    <w:next w:val="1"/>
    <w:link w:val="76"/>
    <w:qFormat/>
    <w:uiPriority w:val="0"/>
    <w:pPr>
      <w:keepNext/>
      <w:keepLines/>
      <w:outlineLvl w:val="3"/>
    </w:pPr>
    <w:rPr>
      <w:rFonts w:ascii="Arial" w:hAnsi="Arial" w:eastAsia="仿宋"/>
      <w:b/>
      <w:bCs/>
      <w:sz w:val="28"/>
      <w:szCs w:val="28"/>
    </w:rPr>
  </w:style>
  <w:style w:type="paragraph" w:styleId="9">
    <w:name w:val="heading 5"/>
    <w:basedOn w:val="1"/>
    <w:next w:val="1"/>
    <w:link w:val="78"/>
    <w:qFormat/>
    <w:uiPriority w:val="0"/>
    <w:pPr>
      <w:keepNext/>
      <w:keepLines/>
      <w:spacing w:before="280" w:beforeLines="0" w:after="290" w:afterLines="0" w:line="376" w:lineRule="auto"/>
      <w:outlineLvl w:val="4"/>
    </w:pPr>
    <w:rPr>
      <w:rFonts w:eastAsia="仿宋_GB2312"/>
      <w:b/>
      <w:bCs/>
      <w:kern w:val="2"/>
      <w:sz w:val="28"/>
      <w:szCs w:val="28"/>
    </w:rPr>
  </w:style>
  <w:style w:type="paragraph" w:styleId="10">
    <w:name w:val="heading 6"/>
    <w:basedOn w:val="1"/>
    <w:next w:val="1"/>
    <w:link w:val="79"/>
    <w:qFormat/>
    <w:uiPriority w:val="0"/>
    <w:pPr>
      <w:widowControl/>
      <w:spacing w:before="240" w:beforeLines="0" w:after="60" w:afterLines="0"/>
      <w:jc w:val="left"/>
      <w:outlineLvl w:val="5"/>
    </w:pPr>
    <w:rPr>
      <w:rFonts w:ascii="Calibri" w:hAnsi="Calibri"/>
      <w:b/>
      <w:bCs/>
      <w:sz w:val="22"/>
      <w:szCs w:val="22"/>
      <w:lang w:eastAsia="en-US" w:bidi="en-US"/>
    </w:rPr>
  </w:style>
  <w:style w:type="paragraph" w:styleId="11">
    <w:name w:val="heading 7"/>
    <w:basedOn w:val="1"/>
    <w:next w:val="1"/>
    <w:link w:val="80"/>
    <w:qFormat/>
    <w:uiPriority w:val="0"/>
    <w:pPr>
      <w:keepNext/>
      <w:keepLines/>
      <w:spacing w:before="240" w:beforeLines="0" w:after="64" w:afterLines="0" w:line="320" w:lineRule="auto"/>
      <w:outlineLvl w:val="6"/>
    </w:pPr>
    <w:rPr>
      <w:rFonts w:eastAsia="仿宋_GB2312"/>
      <w:b/>
      <w:bCs/>
      <w:kern w:val="2"/>
      <w:sz w:val="24"/>
      <w:szCs w:val="24"/>
    </w:rPr>
  </w:style>
  <w:style w:type="paragraph" w:styleId="12">
    <w:name w:val="heading 8"/>
    <w:basedOn w:val="1"/>
    <w:next w:val="1"/>
    <w:link w:val="81"/>
    <w:qFormat/>
    <w:uiPriority w:val="0"/>
    <w:pPr>
      <w:keepNext/>
      <w:keepLines/>
      <w:spacing w:before="240" w:beforeLines="0" w:after="64" w:afterLines="0" w:line="320" w:lineRule="auto"/>
      <w:outlineLvl w:val="7"/>
    </w:pPr>
    <w:rPr>
      <w:rFonts w:ascii="Arial" w:hAnsi="Arial" w:eastAsia="黑体"/>
      <w:kern w:val="2"/>
      <w:sz w:val="24"/>
      <w:szCs w:val="24"/>
    </w:rPr>
  </w:style>
  <w:style w:type="paragraph" w:styleId="13">
    <w:name w:val="heading 9"/>
    <w:basedOn w:val="1"/>
    <w:next w:val="1"/>
    <w:link w:val="82"/>
    <w:qFormat/>
    <w:uiPriority w:val="0"/>
    <w:pPr>
      <w:widowControl/>
      <w:spacing w:before="240" w:beforeLines="0" w:after="60" w:afterLines="0"/>
      <w:jc w:val="left"/>
      <w:outlineLvl w:val="8"/>
    </w:pPr>
    <w:rPr>
      <w:rFonts w:ascii="Cambria" w:hAnsi="Cambria"/>
      <w:sz w:val="22"/>
      <w:szCs w:val="22"/>
      <w:lang w:eastAsia="en-US" w:bidi="en-US"/>
    </w:rPr>
  </w:style>
  <w:style w:type="character" w:default="1" w:styleId="64">
    <w:name w:val="Default Paragraph Font"/>
    <w:qFormat/>
    <w:uiPriority w:val="0"/>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77"/>
    <w:qFormat/>
    <w:uiPriority w:val="0"/>
    <w:rPr>
      <w:rFonts w:eastAsia="仿宋_GB2312"/>
      <w:kern w:val="2"/>
      <w:sz w:val="28"/>
      <w:szCs w:val="30"/>
    </w:rPr>
  </w:style>
  <w:style w:type="paragraph" w:customStyle="1" w:styleId="3">
    <w:name w:val="style4"/>
    <w:basedOn w:val="1"/>
    <w:next w:val="4"/>
    <w:qFormat/>
    <w:uiPriority w:val="0"/>
    <w:pPr>
      <w:widowControl/>
      <w:spacing w:before="100" w:beforeAutospacing="1" w:after="100" w:afterAutospacing="1"/>
      <w:jc w:val="left"/>
    </w:pPr>
    <w:rPr>
      <w:rFonts w:ascii="宋体" w:hAnsi="宋体" w:cs="宋体"/>
      <w:kern w:val="0"/>
      <w:sz w:val="18"/>
      <w:szCs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List 3"/>
    <w:basedOn w:val="1"/>
    <w:qFormat/>
    <w:uiPriority w:val="0"/>
    <w:pPr>
      <w:ind w:left="600" w:leftChars="400" w:hanging="200" w:hangingChars="200"/>
    </w:pPr>
    <w:rPr>
      <w:szCs w:val="24"/>
    </w:rPr>
  </w:style>
  <w:style w:type="paragraph" w:styleId="15">
    <w:name w:val="toc 7"/>
    <w:basedOn w:val="1"/>
    <w:next w:val="1"/>
    <w:qFormat/>
    <w:uiPriority w:val="39"/>
    <w:pPr>
      <w:ind w:left="1200"/>
      <w:jc w:val="left"/>
    </w:pPr>
    <w:rPr>
      <w:rFonts w:ascii="Calibri" w:hAnsi="Calibri" w:cs="Calibri"/>
      <w:sz w:val="18"/>
      <w:szCs w:val="18"/>
    </w:rPr>
  </w:style>
  <w:style w:type="paragraph" w:styleId="16">
    <w:name w:val="List Number 2"/>
    <w:basedOn w:val="1"/>
    <w:qFormat/>
    <w:uiPriority w:val="0"/>
    <w:pPr>
      <w:tabs>
        <w:tab w:val="left" w:pos="435"/>
        <w:tab w:val="left" w:pos="780"/>
      </w:tabs>
      <w:ind w:left="780" w:hanging="435"/>
    </w:pPr>
    <w:rPr>
      <w:sz w:val="28"/>
    </w:rPr>
  </w:style>
  <w:style w:type="paragraph" w:styleId="17">
    <w:name w:val="List Bullet 4"/>
    <w:basedOn w:val="1"/>
    <w:qFormat/>
    <w:uiPriority w:val="0"/>
    <w:pPr>
      <w:tabs>
        <w:tab w:val="left" w:pos="1620"/>
      </w:tabs>
      <w:ind w:left="800" w:leftChars="600" w:hanging="200" w:hangingChars="200"/>
    </w:pPr>
  </w:style>
  <w:style w:type="paragraph" w:styleId="18">
    <w:name w:val="Normal Indent"/>
    <w:basedOn w:val="1"/>
    <w:link w:val="83"/>
    <w:qFormat/>
    <w:uiPriority w:val="0"/>
    <w:pPr>
      <w:ind w:firstLine="420"/>
    </w:pPr>
    <w:rPr>
      <w:rFonts w:eastAsia="仿宋_GB2312"/>
      <w:kern w:val="2"/>
      <w:sz w:val="30"/>
      <w:szCs w:val="30"/>
    </w:rPr>
  </w:style>
  <w:style w:type="paragraph" w:styleId="19">
    <w:name w:val="caption"/>
    <w:basedOn w:val="1"/>
    <w:next w:val="1"/>
    <w:qFormat/>
    <w:uiPriority w:val="0"/>
    <w:pPr>
      <w:spacing w:before="152" w:beforeLines="0" w:after="160" w:afterLines="0"/>
    </w:pPr>
    <w:rPr>
      <w:rFonts w:ascii="Arial" w:hAnsi="Arial" w:eastAsia="黑体"/>
    </w:rPr>
  </w:style>
  <w:style w:type="paragraph" w:styleId="20">
    <w:name w:val="Document Map"/>
    <w:basedOn w:val="1"/>
    <w:link w:val="84"/>
    <w:qFormat/>
    <w:uiPriority w:val="99"/>
    <w:pPr>
      <w:shd w:val="clear" w:color="auto" w:fill="000080"/>
      <w:spacing w:line="360" w:lineRule="auto"/>
      <w:ind w:firstLine="480" w:firstLineChars="200"/>
    </w:pPr>
    <w:rPr>
      <w:rFonts w:ascii="宋体"/>
      <w:kern w:val="2"/>
      <w:sz w:val="24"/>
      <w:szCs w:val="24"/>
      <w:shd w:val="clear" w:color="auto" w:fill="000080"/>
    </w:rPr>
  </w:style>
  <w:style w:type="paragraph" w:styleId="21">
    <w:name w:val="toa heading"/>
    <w:basedOn w:val="1"/>
    <w:next w:val="1"/>
    <w:unhideWhenUsed/>
    <w:qFormat/>
    <w:uiPriority w:val="99"/>
    <w:rPr>
      <w:rFonts w:ascii="Cambria" w:hAnsi="Cambria" w:eastAsia="微软雅黑" w:cs="Times New Roman"/>
      <w:sz w:val="21"/>
      <w:szCs w:val="24"/>
    </w:rPr>
  </w:style>
  <w:style w:type="paragraph" w:styleId="22">
    <w:name w:val="annotation text"/>
    <w:basedOn w:val="1"/>
    <w:link w:val="85"/>
    <w:qFormat/>
    <w:uiPriority w:val="0"/>
    <w:pPr>
      <w:adjustRightInd w:val="0"/>
      <w:spacing w:line="360" w:lineRule="atLeast"/>
      <w:jc w:val="left"/>
      <w:textAlignment w:val="baseline"/>
    </w:pPr>
    <w:rPr>
      <w:spacing w:val="4"/>
      <w:sz w:val="24"/>
    </w:rPr>
  </w:style>
  <w:style w:type="paragraph" w:styleId="23">
    <w:name w:val="Salutation"/>
    <w:basedOn w:val="1"/>
    <w:next w:val="1"/>
    <w:link w:val="86"/>
    <w:qFormat/>
    <w:uiPriority w:val="0"/>
    <w:rPr>
      <w:rFonts w:ascii="Arial" w:hAnsi="Arial"/>
      <w:kern w:val="2"/>
      <w:sz w:val="24"/>
      <w:szCs w:val="24"/>
    </w:rPr>
  </w:style>
  <w:style w:type="paragraph" w:styleId="24">
    <w:name w:val="Body Text 3"/>
    <w:basedOn w:val="1"/>
    <w:link w:val="87"/>
    <w:qFormat/>
    <w:uiPriority w:val="0"/>
    <w:pPr>
      <w:jc w:val="center"/>
      <w:outlineLvl w:val="0"/>
    </w:pPr>
    <w:rPr>
      <w:rFonts w:ascii="楷体_GB2312" w:eastAsia="仿宋_GB2312"/>
      <w:kern w:val="2"/>
      <w:sz w:val="21"/>
    </w:rPr>
  </w:style>
  <w:style w:type="paragraph" w:styleId="25">
    <w:name w:val="Closing"/>
    <w:basedOn w:val="1"/>
    <w:link w:val="88"/>
    <w:qFormat/>
    <w:uiPriority w:val="0"/>
    <w:pPr>
      <w:ind w:left="2100" w:leftChars="2100"/>
    </w:pPr>
    <w:rPr>
      <w:rFonts w:ascii="Arial" w:hAnsi="Arial"/>
      <w:kern w:val="2"/>
      <w:sz w:val="24"/>
      <w:szCs w:val="24"/>
    </w:rPr>
  </w:style>
  <w:style w:type="paragraph" w:styleId="26">
    <w:name w:val="List Bullet 3"/>
    <w:basedOn w:val="1"/>
    <w:qFormat/>
    <w:uiPriority w:val="0"/>
    <w:pPr>
      <w:tabs>
        <w:tab w:val="left" w:pos="1200"/>
      </w:tabs>
      <w:ind w:left="600" w:leftChars="400" w:hanging="200" w:hangingChars="200"/>
    </w:pPr>
  </w:style>
  <w:style w:type="paragraph" w:styleId="27">
    <w:name w:val="Body Text Indent"/>
    <w:basedOn w:val="1"/>
    <w:link w:val="89"/>
    <w:qFormat/>
    <w:uiPriority w:val="0"/>
    <w:pPr>
      <w:spacing w:line="400" w:lineRule="exact"/>
      <w:ind w:left="630"/>
    </w:pPr>
    <w:rPr>
      <w:rFonts w:ascii="楷体_GB2312" w:eastAsia="仿宋_GB2312"/>
      <w:kern w:val="2"/>
      <w:sz w:val="30"/>
      <w:szCs w:val="30"/>
    </w:rPr>
  </w:style>
  <w:style w:type="paragraph" w:styleId="28">
    <w:name w:val="List 2"/>
    <w:basedOn w:val="1"/>
    <w:qFormat/>
    <w:uiPriority w:val="0"/>
    <w:pPr>
      <w:ind w:left="400" w:leftChars="200" w:hanging="200" w:hangingChars="200"/>
    </w:pPr>
    <w:rPr>
      <w:szCs w:val="24"/>
    </w:rPr>
  </w:style>
  <w:style w:type="paragraph" w:styleId="29">
    <w:name w:val="List Continue"/>
    <w:basedOn w:val="1"/>
    <w:qFormat/>
    <w:uiPriority w:val="0"/>
    <w:pPr>
      <w:spacing w:after="120" w:afterLines="0"/>
      <w:ind w:left="420"/>
    </w:pPr>
    <w:rPr>
      <w:rFonts w:eastAsia="楷体_GB2312"/>
    </w:rPr>
  </w:style>
  <w:style w:type="paragraph" w:styleId="30">
    <w:name w:val="Block Text"/>
    <w:basedOn w:val="1"/>
    <w:qFormat/>
    <w:uiPriority w:val="0"/>
    <w:pPr>
      <w:spacing w:line="300" w:lineRule="auto"/>
      <w:ind w:left="735" w:right="-26"/>
    </w:pPr>
    <w:rPr>
      <w:rFonts w:ascii="楷体_GB2312" w:eastAsia="楷体_GB2312"/>
      <w:sz w:val="24"/>
    </w:rPr>
  </w:style>
  <w:style w:type="paragraph" w:styleId="31">
    <w:name w:val="List Bullet 2"/>
    <w:basedOn w:val="1"/>
    <w:qFormat/>
    <w:uiPriority w:val="0"/>
    <w:pPr>
      <w:widowControl/>
      <w:spacing w:line="0" w:lineRule="atLeast"/>
    </w:pPr>
    <w:rPr>
      <w:rFonts w:ascii="宋体"/>
      <w:kern w:val="0"/>
      <w:sz w:val="24"/>
      <w:szCs w:val="24"/>
    </w:rPr>
  </w:style>
  <w:style w:type="paragraph" w:styleId="32">
    <w:name w:val="toc 5"/>
    <w:basedOn w:val="1"/>
    <w:next w:val="1"/>
    <w:qFormat/>
    <w:uiPriority w:val="39"/>
    <w:pPr>
      <w:ind w:left="800"/>
      <w:jc w:val="left"/>
    </w:pPr>
    <w:rPr>
      <w:rFonts w:ascii="Calibri" w:hAnsi="Calibri" w:cs="Calibri"/>
      <w:sz w:val="18"/>
      <w:szCs w:val="18"/>
    </w:rPr>
  </w:style>
  <w:style w:type="paragraph" w:styleId="33">
    <w:name w:val="toc 3"/>
    <w:basedOn w:val="1"/>
    <w:next w:val="1"/>
    <w:qFormat/>
    <w:uiPriority w:val="39"/>
    <w:pPr>
      <w:ind w:left="400"/>
      <w:jc w:val="left"/>
    </w:pPr>
    <w:rPr>
      <w:rFonts w:ascii="Calibri" w:hAnsi="Calibri" w:eastAsia="微软雅黑" w:cs="Calibri"/>
      <w:iCs/>
      <w:sz w:val="21"/>
    </w:rPr>
  </w:style>
  <w:style w:type="paragraph" w:styleId="34">
    <w:name w:val="Plain Text"/>
    <w:basedOn w:val="1"/>
    <w:link w:val="90"/>
    <w:qFormat/>
    <w:uiPriority w:val="0"/>
    <w:rPr>
      <w:rFonts w:ascii="宋体" w:hAnsi="Courier New"/>
      <w:kern w:val="2"/>
      <w:sz w:val="21"/>
    </w:rPr>
  </w:style>
  <w:style w:type="paragraph" w:styleId="35">
    <w:name w:val="List Bullet 5"/>
    <w:basedOn w:val="1"/>
    <w:qFormat/>
    <w:uiPriority w:val="0"/>
    <w:pPr>
      <w:tabs>
        <w:tab w:val="left" w:pos="2040"/>
      </w:tabs>
      <w:ind w:left="1000" w:leftChars="800" w:hanging="200" w:hangingChars="200"/>
    </w:pPr>
  </w:style>
  <w:style w:type="paragraph" w:styleId="36">
    <w:name w:val="toc 8"/>
    <w:basedOn w:val="1"/>
    <w:next w:val="1"/>
    <w:qFormat/>
    <w:uiPriority w:val="39"/>
    <w:pPr>
      <w:ind w:left="1400"/>
      <w:jc w:val="left"/>
    </w:pPr>
    <w:rPr>
      <w:rFonts w:ascii="Calibri" w:hAnsi="Calibri" w:cs="Calibri"/>
      <w:sz w:val="18"/>
      <w:szCs w:val="18"/>
    </w:rPr>
  </w:style>
  <w:style w:type="paragraph" w:styleId="37">
    <w:name w:val="Date"/>
    <w:basedOn w:val="1"/>
    <w:next w:val="1"/>
    <w:link w:val="91"/>
    <w:qFormat/>
    <w:uiPriority w:val="0"/>
    <w:rPr>
      <w:rFonts w:ascii="仿宋_GB2312" w:eastAsia="楷体_GB2312"/>
      <w:kern w:val="2"/>
      <w:sz w:val="32"/>
      <w:szCs w:val="30"/>
    </w:rPr>
  </w:style>
  <w:style w:type="paragraph" w:styleId="38">
    <w:name w:val="Body Text Indent 2"/>
    <w:basedOn w:val="1"/>
    <w:link w:val="92"/>
    <w:qFormat/>
    <w:uiPriority w:val="0"/>
    <w:pPr>
      <w:spacing w:after="120" w:afterLines="0" w:line="480" w:lineRule="auto"/>
      <w:ind w:left="420" w:leftChars="200"/>
    </w:pPr>
    <w:rPr>
      <w:rFonts w:ascii="仿宋_GB2312" w:eastAsia="仿宋_GB2312"/>
      <w:kern w:val="2"/>
      <w:sz w:val="32"/>
      <w:szCs w:val="32"/>
    </w:rPr>
  </w:style>
  <w:style w:type="paragraph" w:styleId="39">
    <w:name w:val="Balloon Text"/>
    <w:basedOn w:val="1"/>
    <w:link w:val="93"/>
    <w:qFormat/>
    <w:uiPriority w:val="99"/>
    <w:rPr>
      <w:kern w:val="2"/>
      <w:sz w:val="18"/>
      <w:szCs w:val="18"/>
    </w:rPr>
  </w:style>
  <w:style w:type="paragraph" w:styleId="40">
    <w:name w:val="footer"/>
    <w:basedOn w:val="1"/>
    <w:next w:val="29"/>
    <w:link w:val="94"/>
    <w:qFormat/>
    <w:uiPriority w:val="99"/>
    <w:pPr>
      <w:tabs>
        <w:tab w:val="center" w:pos="4153"/>
        <w:tab w:val="right" w:pos="8306"/>
      </w:tabs>
      <w:snapToGrid w:val="0"/>
      <w:jc w:val="left"/>
    </w:pPr>
    <w:rPr>
      <w:rFonts w:ascii="仿宋_GB2312" w:eastAsia="仿宋_GB2312"/>
      <w:kern w:val="2"/>
      <w:sz w:val="18"/>
      <w:szCs w:val="18"/>
    </w:rPr>
  </w:style>
  <w:style w:type="paragraph" w:styleId="41">
    <w:name w:val="header"/>
    <w:basedOn w:val="1"/>
    <w:link w:val="95"/>
    <w:qFormat/>
    <w:uiPriority w:val="99"/>
    <w:pPr>
      <w:pBdr>
        <w:bottom w:val="single" w:color="auto" w:sz="6" w:space="1"/>
      </w:pBdr>
      <w:tabs>
        <w:tab w:val="center" w:pos="4153"/>
        <w:tab w:val="right" w:pos="8306"/>
      </w:tabs>
      <w:snapToGrid w:val="0"/>
      <w:jc w:val="center"/>
    </w:pPr>
    <w:rPr>
      <w:rFonts w:ascii="仿宋_GB2312" w:eastAsia="仿宋_GB2312"/>
      <w:kern w:val="2"/>
      <w:sz w:val="18"/>
      <w:szCs w:val="18"/>
    </w:rPr>
  </w:style>
  <w:style w:type="paragraph" w:styleId="42">
    <w:name w:val="toc 1"/>
    <w:basedOn w:val="1"/>
    <w:next w:val="1"/>
    <w:qFormat/>
    <w:uiPriority w:val="39"/>
    <w:pPr>
      <w:spacing w:before="120" w:after="120"/>
      <w:jc w:val="left"/>
    </w:pPr>
    <w:rPr>
      <w:rFonts w:cs="Calibri"/>
      <w:bCs/>
      <w:caps/>
      <w:snapToGrid w:val="0"/>
    </w:rPr>
  </w:style>
  <w:style w:type="paragraph" w:styleId="43">
    <w:name w:val="toc 4"/>
    <w:basedOn w:val="1"/>
    <w:next w:val="1"/>
    <w:qFormat/>
    <w:uiPriority w:val="39"/>
    <w:pPr>
      <w:ind w:left="600"/>
      <w:jc w:val="left"/>
    </w:pPr>
    <w:rPr>
      <w:rFonts w:ascii="Calibri" w:hAnsi="Calibri" w:eastAsia="微软雅黑" w:cs="Calibri"/>
      <w:sz w:val="21"/>
      <w:szCs w:val="18"/>
    </w:rPr>
  </w:style>
  <w:style w:type="paragraph" w:styleId="44">
    <w:name w:val="Subtitle"/>
    <w:basedOn w:val="1"/>
    <w:next w:val="1"/>
    <w:link w:val="96"/>
    <w:qFormat/>
    <w:uiPriority w:val="0"/>
    <w:pPr>
      <w:widowControl/>
      <w:spacing w:after="60" w:afterLines="0"/>
      <w:jc w:val="center"/>
      <w:outlineLvl w:val="1"/>
    </w:pPr>
    <w:rPr>
      <w:rFonts w:ascii="Cambria" w:hAnsi="Cambria"/>
      <w:sz w:val="24"/>
      <w:szCs w:val="24"/>
      <w:lang w:eastAsia="en-US" w:bidi="en-US"/>
    </w:rPr>
  </w:style>
  <w:style w:type="paragraph" w:styleId="45">
    <w:name w:val="List"/>
    <w:basedOn w:val="1"/>
    <w:qFormat/>
    <w:uiPriority w:val="0"/>
    <w:pPr>
      <w:ind w:left="420" w:hanging="420"/>
    </w:pPr>
    <w:rPr>
      <w:rFonts w:eastAsia="楷体_GB2312"/>
    </w:rPr>
  </w:style>
  <w:style w:type="paragraph" w:styleId="46">
    <w:name w:val="footnote text"/>
    <w:basedOn w:val="1"/>
    <w:link w:val="97"/>
    <w:qFormat/>
    <w:uiPriority w:val="0"/>
    <w:pPr>
      <w:snapToGrid w:val="0"/>
      <w:jc w:val="left"/>
    </w:pPr>
    <w:rPr>
      <w:kern w:val="2"/>
      <w:sz w:val="18"/>
      <w:szCs w:val="18"/>
    </w:rPr>
  </w:style>
  <w:style w:type="paragraph" w:styleId="47">
    <w:name w:val="toc 6"/>
    <w:basedOn w:val="1"/>
    <w:next w:val="1"/>
    <w:qFormat/>
    <w:uiPriority w:val="39"/>
    <w:pPr>
      <w:ind w:left="1000"/>
      <w:jc w:val="left"/>
    </w:pPr>
    <w:rPr>
      <w:rFonts w:ascii="Calibri" w:hAnsi="Calibri" w:cs="Calibri"/>
      <w:sz w:val="18"/>
      <w:szCs w:val="18"/>
    </w:rPr>
  </w:style>
  <w:style w:type="paragraph" w:styleId="48">
    <w:name w:val="List 5"/>
    <w:basedOn w:val="1"/>
    <w:qFormat/>
    <w:uiPriority w:val="0"/>
    <w:pPr>
      <w:ind w:left="2100" w:hanging="420"/>
    </w:pPr>
    <w:rPr>
      <w:rFonts w:eastAsia="楷体_GB2312"/>
    </w:rPr>
  </w:style>
  <w:style w:type="paragraph" w:styleId="49">
    <w:name w:val="Body Text Indent 3"/>
    <w:basedOn w:val="1"/>
    <w:link w:val="98"/>
    <w:qFormat/>
    <w:uiPriority w:val="0"/>
    <w:pPr>
      <w:ind w:left="-136" w:firstLine="764" w:firstLineChars="307"/>
    </w:pPr>
    <w:rPr>
      <w:rFonts w:eastAsia="仿宋_GB2312"/>
      <w:kern w:val="2"/>
      <w:sz w:val="24"/>
      <w:szCs w:val="24"/>
    </w:rPr>
  </w:style>
  <w:style w:type="paragraph" w:styleId="50">
    <w:name w:val="table of figures"/>
    <w:basedOn w:val="1"/>
    <w:next w:val="1"/>
    <w:qFormat/>
    <w:uiPriority w:val="0"/>
    <w:pPr>
      <w:spacing w:before="100" w:beforeLines="0"/>
      <w:jc w:val="left"/>
    </w:pPr>
    <w:rPr>
      <w:rFonts w:ascii="宋体"/>
      <w:sz w:val="24"/>
      <w:szCs w:val="24"/>
    </w:rPr>
  </w:style>
  <w:style w:type="paragraph" w:styleId="51">
    <w:name w:val="toc 2"/>
    <w:basedOn w:val="1"/>
    <w:next w:val="1"/>
    <w:qFormat/>
    <w:uiPriority w:val="39"/>
    <w:pPr>
      <w:spacing w:line="264" w:lineRule="auto"/>
      <w:ind w:left="198"/>
      <w:jc w:val="left"/>
    </w:pPr>
    <w:rPr>
      <w:rFonts w:cs="Calibri"/>
      <w:smallCaps/>
    </w:rPr>
  </w:style>
  <w:style w:type="paragraph" w:styleId="52">
    <w:name w:val="toc 9"/>
    <w:basedOn w:val="1"/>
    <w:next w:val="1"/>
    <w:qFormat/>
    <w:uiPriority w:val="39"/>
    <w:pPr>
      <w:ind w:left="1600"/>
      <w:jc w:val="left"/>
    </w:pPr>
    <w:rPr>
      <w:rFonts w:ascii="Calibri" w:hAnsi="Calibri" w:cs="Calibri"/>
      <w:sz w:val="18"/>
      <w:szCs w:val="18"/>
    </w:rPr>
  </w:style>
  <w:style w:type="paragraph" w:styleId="53">
    <w:name w:val="Body Text 2"/>
    <w:basedOn w:val="1"/>
    <w:link w:val="99"/>
    <w:qFormat/>
    <w:uiPriority w:val="0"/>
    <w:pPr>
      <w:jc w:val="center"/>
      <w:outlineLvl w:val="0"/>
    </w:pPr>
    <w:rPr>
      <w:rFonts w:ascii="楷体_GB2312" w:eastAsia="仿宋_GB2312"/>
      <w:kern w:val="2"/>
      <w:sz w:val="30"/>
    </w:rPr>
  </w:style>
  <w:style w:type="paragraph" w:styleId="54">
    <w:name w:val="List 4"/>
    <w:basedOn w:val="1"/>
    <w:qFormat/>
    <w:uiPriority w:val="0"/>
    <w:pPr>
      <w:ind w:left="1680" w:hanging="420"/>
    </w:pPr>
    <w:rPr>
      <w:rFonts w:eastAsia="楷体_GB2312"/>
    </w:rPr>
  </w:style>
  <w:style w:type="paragraph" w:styleId="55">
    <w:name w:val="HTML Preformatted"/>
    <w:basedOn w:val="1"/>
    <w:link w:val="1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rPr>
  </w:style>
  <w:style w:type="paragraph" w:styleId="56">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styleId="57">
    <w:name w:val="index 1"/>
    <w:basedOn w:val="1"/>
    <w:next w:val="1"/>
    <w:qFormat/>
    <w:uiPriority w:val="0"/>
    <w:pPr>
      <w:spacing w:line="360" w:lineRule="auto"/>
    </w:pPr>
    <w:rPr>
      <w:rFonts w:ascii="宋体"/>
      <w:b/>
      <w:kern w:val="0"/>
      <w:szCs w:val="21"/>
    </w:rPr>
  </w:style>
  <w:style w:type="paragraph" w:styleId="58">
    <w:name w:val="Title"/>
    <w:basedOn w:val="1"/>
    <w:next w:val="1"/>
    <w:link w:val="101"/>
    <w:qFormat/>
    <w:uiPriority w:val="0"/>
    <w:pPr>
      <w:widowControl/>
      <w:jc w:val="center"/>
      <w:outlineLvl w:val="0"/>
    </w:pPr>
    <w:rPr>
      <w:rFonts w:ascii="Cambria" w:hAnsi="Cambria" w:eastAsia="微软雅黑"/>
      <w:b/>
      <w:bCs/>
      <w:kern w:val="28"/>
      <w:sz w:val="44"/>
      <w:lang w:eastAsia="en-US" w:bidi="en-US"/>
    </w:rPr>
  </w:style>
  <w:style w:type="paragraph" w:styleId="59">
    <w:name w:val="annotation subject"/>
    <w:basedOn w:val="22"/>
    <w:next w:val="22"/>
    <w:link w:val="102"/>
    <w:semiHidden/>
    <w:qFormat/>
    <w:uiPriority w:val="0"/>
    <w:pPr>
      <w:adjustRightInd/>
      <w:spacing w:line="240" w:lineRule="auto"/>
      <w:textAlignment w:val="auto"/>
    </w:pPr>
    <w:rPr>
      <w:b/>
      <w:bCs/>
      <w:kern w:val="2"/>
      <w:sz w:val="21"/>
    </w:rPr>
  </w:style>
  <w:style w:type="paragraph" w:styleId="60">
    <w:name w:val="Body Text First Indent"/>
    <w:basedOn w:val="2"/>
    <w:link w:val="103"/>
    <w:qFormat/>
    <w:uiPriority w:val="0"/>
    <w:pPr>
      <w:spacing w:after="120" w:afterLines="0"/>
      <w:ind w:firstLine="420"/>
    </w:pPr>
  </w:style>
  <w:style w:type="paragraph" w:styleId="61">
    <w:name w:val="Body Text First Indent 2"/>
    <w:basedOn w:val="27"/>
    <w:link w:val="104"/>
    <w:qFormat/>
    <w:uiPriority w:val="0"/>
    <w:pPr>
      <w:spacing w:after="120" w:afterLines="0" w:line="240" w:lineRule="auto"/>
      <w:ind w:left="200" w:leftChars="200" w:firstLine="200" w:firstLineChars="200"/>
    </w:pPr>
  </w:style>
  <w:style w:type="table" w:styleId="63">
    <w:name w:val="Table Grid"/>
    <w:basedOn w:val="6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5">
    <w:name w:val="Strong"/>
    <w:qFormat/>
    <w:uiPriority w:val="0"/>
    <w:rPr>
      <w:b/>
      <w:bCs/>
    </w:rPr>
  </w:style>
  <w:style w:type="character" w:styleId="66">
    <w:name w:val="page number"/>
    <w:basedOn w:val="64"/>
    <w:qFormat/>
    <w:uiPriority w:val="0"/>
  </w:style>
  <w:style w:type="character" w:styleId="67">
    <w:name w:val="FollowedHyperlink"/>
    <w:basedOn w:val="64"/>
    <w:qFormat/>
    <w:uiPriority w:val="0"/>
    <w:rPr>
      <w:color w:val="333333"/>
      <w:sz w:val="14"/>
      <w:szCs w:val="14"/>
      <w:u w:val="none"/>
    </w:rPr>
  </w:style>
  <w:style w:type="character" w:styleId="68">
    <w:name w:val="Emphasis"/>
    <w:qFormat/>
    <w:uiPriority w:val="0"/>
    <w:rPr>
      <w:rFonts w:ascii="Calibri" w:hAnsi="Calibri"/>
      <w:b/>
      <w:i/>
      <w:iCs/>
    </w:rPr>
  </w:style>
  <w:style w:type="character" w:styleId="69">
    <w:name w:val="Hyperlink"/>
    <w:basedOn w:val="64"/>
    <w:qFormat/>
    <w:uiPriority w:val="99"/>
    <w:rPr>
      <w:color w:val="0368A8"/>
      <w:u w:val="non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3 Char"/>
    <w:link w:val="7"/>
    <w:qFormat/>
    <w:uiPriority w:val="0"/>
    <w:rPr>
      <w:rFonts w:eastAsia="仿宋"/>
      <w:b/>
      <w:bCs/>
      <w:sz w:val="30"/>
    </w:rPr>
  </w:style>
  <w:style w:type="character" w:customStyle="1" w:styleId="73">
    <w:name w:val="标题 2 Char"/>
    <w:link w:val="6"/>
    <w:qFormat/>
    <w:uiPriority w:val="0"/>
    <w:rPr>
      <w:rFonts w:ascii="Arial" w:hAnsi="Arial" w:eastAsia="黑体"/>
      <w:b/>
      <w:bCs/>
      <w:kern w:val="2"/>
      <w:sz w:val="32"/>
      <w:szCs w:val="32"/>
    </w:rPr>
  </w:style>
  <w:style w:type="character" w:customStyle="1" w:styleId="74">
    <w:name w:val="标题 1 Char"/>
    <w:link w:val="5"/>
    <w:qFormat/>
    <w:uiPriority w:val="0"/>
    <w:rPr>
      <w:kern w:val="2"/>
      <w:sz w:val="30"/>
      <w:szCs w:val="24"/>
    </w:rPr>
  </w:style>
  <w:style w:type="character" w:customStyle="1" w:styleId="75">
    <w:name w:val="NormalCharacter"/>
    <w:semiHidden/>
    <w:qFormat/>
    <w:uiPriority w:val="0"/>
    <w:rPr>
      <w:lang w:val="en-US" w:eastAsia="zh-CN" w:bidi="ar-SA"/>
    </w:rPr>
  </w:style>
  <w:style w:type="character" w:customStyle="1" w:styleId="76">
    <w:name w:val="标题 4 Char"/>
    <w:link w:val="8"/>
    <w:qFormat/>
    <w:uiPriority w:val="0"/>
    <w:rPr>
      <w:rFonts w:ascii="Arial" w:hAnsi="Arial" w:eastAsia="仿宋"/>
      <w:b/>
      <w:bCs/>
      <w:sz w:val="28"/>
      <w:szCs w:val="28"/>
    </w:rPr>
  </w:style>
  <w:style w:type="character" w:customStyle="1" w:styleId="77">
    <w:name w:val="正文文本 Char1"/>
    <w:link w:val="2"/>
    <w:qFormat/>
    <w:uiPriority w:val="0"/>
    <w:rPr>
      <w:rFonts w:eastAsia="仿宋_GB2312"/>
      <w:kern w:val="2"/>
      <w:sz w:val="28"/>
      <w:szCs w:val="30"/>
    </w:rPr>
  </w:style>
  <w:style w:type="character" w:customStyle="1" w:styleId="78">
    <w:name w:val="标题 5 Char"/>
    <w:link w:val="9"/>
    <w:qFormat/>
    <w:uiPriority w:val="0"/>
    <w:rPr>
      <w:rFonts w:eastAsia="仿宋_GB2312"/>
      <w:b/>
      <w:bCs/>
      <w:kern w:val="2"/>
      <w:sz w:val="28"/>
      <w:szCs w:val="28"/>
    </w:rPr>
  </w:style>
  <w:style w:type="character" w:customStyle="1" w:styleId="79">
    <w:name w:val="标题 6 Char"/>
    <w:link w:val="10"/>
    <w:qFormat/>
    <w:uiPriority w:val="0"/>
    <w:rPr>
      <w:rFonts w:ascii="Calibri" w:hAnsi="Calibri"/>
      <w:b/>
      <w:bCs/>
      <w:sz w:val="22"/>
      <w:szCs w:val="22"/>
      <w:lang w:eastAsia="en-US" w:bidi="en-US"/>
    </w:rPr>
  </w:style>
  <w:style w:type="character" w:customStyle="1" w:styleId="80">
    <w:name w:val="标题 7 Char"/>
    <w:link w:val="11"/>
    <w:qFormat/>
    <w:uiPriority w:val="0"/>
    <w:rPr>
      <w:rFonts w:eastAsia="仿宋_GB2312"/>
      <w:b/>
      <w:bCs/>
      <w:kern w:val="2"/>
      <w:sz w:val="24"/>
      <w:szCs w:val="24"/>
    </w:rPr>
  </w:style>
  <w:style w:type="character" w:customStyle="1" w:styleId="81">
    <w:name w:val="标题 8 Char"/>
    <w:link w:val="12"/>
    <w:qFormat/>
    <w:uiPriority w:val="0"/>
    <w:rPr>
      <w:rFonts w:ascii="Arial" w:hAnsi="Arial" w:eastAsia="黑体"/>
      <w:kern w:val="2"/>
      <w:sz w:val="24"/>
      <w:szCs w:val="24"/>
    </w:rPr>
  </w:style>
  <w:style w:type="character" w:customStyle="1" w:styleId="82">
    <w:name w:val="标题 9 Char"/>
    <w:link w:val="13"/>
    <w:qFormat/>
    <w:uiPriority w:val="0"/>
    <w:rPr>
      <w:rFonts w:ascii="Cambria" w:hAnsi="Cambria"/>
      <w:sz w:val="22"/>
      <w:szCs w:val="22"/>
      <w:lang w:eastAsia="en-US" w:bidi="en-US"/>
    </w:rPr>
  </w:style>
  <w:style w:type="character" w:customStyle="1" w:styleId="83">
    <w:name w:val="正文缩进 Char"/>
    <w:link w:val="18"/>
    <w:qFormat/>
    <w:uiPriority w:val="0"/>
    <w:rPr>
      <w:rFonts w:eastAsia="仿宋_GB2312"/>
      <w:kern w:val="2"/>
      <w:sz w:val="30"/>
      <w:szCs w:val="30"/>
    </w:rPr>
  </w:style>
  <w:style w:type="character" w:customStyle="1" w:styleId="84">
    <w:name w:val="文档结构图 Char"/>
    <w:link w:val="20"/>
    <w:qFormat/>
    <w:uiPriority w:val="99"/>
    <w:rPr>
      <w:rFonts w:ascii="宋体"/>
      <w:kern w:val="2"/>
      <w:sz w:val="24"/>
      <w:szCs w:val="24"/>
      <w:shd w:val="clear" w:color="auto" w:fill="000080"/>
    </w:rPr>
  </w:style>
  <w:style w:type="character" w:customStyle="1" w:styleId="85">
    <w:name w:val="批注文字 Char"/>
    <w:link w:val="22"/>
    <w:qFormat/>
    <w:uiPriority w:val="0"/>
    <w:rPr>
      <w:spacing w:val="4"/>
      <w:sz w:val="24"/>
    </w:rPr>
  </w:style>
  <w:style w:type="character" w:customStyle="1" w:styleId="86">
    <w:name w:val="称呼 Char"/>
    <w:link w:val="23"/>
    <w:qFormat/>
    <w:uiPriority w:val="0"/>
    <w:rPr>
      <w:rFonts w:ascii="Arial" w:hAnsi="Arial"/>
      <w:kern w:val="2"/>
      <w:sz w:val="24"/>
      <w:szCs w:val="24"/>
    </w:rPr>
  </w:style>
  <w:style w:type="character" w:customStyle="1" w:styleId="87">
    <w:name w:val="正文文本 3 Char"/>
    <w:link w:val="24"/>
    <w:qFormat/>
    <w:uiPriority w:val="0"/>
    <w:rPr>
      <w:rFonts w:ascii="楷体_GB2312" w:eastAsia="仿宋_GB2312"/>
      <w:kern w:val="2"/>
      <w:sz w:val="21"/>
    </w:rPr>
  </w:style>
  <w:style w:type="character" w:customStyle="1" w:styleId="88">
    <w:name w:val="结束语 Char"/>
    <w:link w:val="25"/>
    <w:qFormat/>
    <w:uiPriority w:val="0"/>
    <w:rPr>
      <w:rFonts w:ascii="Arial" w:hAnsi="Arial"/>
      <w:kern w:val="2"/>
      <w:sz w:val="24"/>
      <w:szCs w:val="24"/>
    </w:rPr>
  </w:style>
  <w:style w:type="character" w:customStyle="1" w:styleId="89">
    <w:name w:val="正文文本缩进 Char"/>
    <w:link w:val="27"/>
    <w:qFormat/>
    <w:uiPriority w:val="0"/>
    <w:rPr>
      <w:rFonts w:ascii="楷体_GB2312" w:eastAsia="仿宋_GB2312"/>
      <w:kern w:val="2"/>
      <w:sz w:val="30"/>
      <w:szCs w:val="30"/>
    </w:rPr>
  </w:style>
  <w:style w:type="character" w:customStyle="1" w:styleId="90">
    <w:name w:val="纯文本 Char"/>
    <w:link w:val="34"/>
    <w:qFormat/>
    <w:uiPriority w:val="0"/>
    <w:rPr>
      <w:rFonts w:ascii="宋体" w:hAnsi="Courier New"/>
      <w:kern w:val="2"/>
      <w:sz w:val="21"/>
    </w:rPr>
  </w:style>
  <w:style w:type="character" w:customStyle="1" w:styleId="91">
    <w:name w:val="日期 Char"/>
    <w:link w:val="37"/>
    <w:qFormat/>
    <w:uiPriority w:val="0"/>
    <w:rPr>
      <w:rFonts w:ascii="仿宋_GB2312" w:eastAsia="楷体_GB2312"/>
      <w:kern w:val="2"/>
      <w:sz w:val="32"/>
      <w:szCs w:val="30"/>
    </w:rPr>
  </w:style>
  <w:style w:type="character" w:customStyle="1" w:styleId="92">
    <w:name w:val="正文文本缩进 2 Char"/>
    <w:link w:val="38"/>
    <w:qFormat/>
    <w:uiPriority w:val="0"/>
    <w:rPr>
      <w:rFonts w:ascii="仿宋_GB2312" w:eastAsia="仿宋_GB2312"/>
      <w:kern w:val="2"/>
      <w:sz w:val="32"/>
      <w:szCs w:val="32"/>
    </w:rPr>
  </w:style>
  <w:style w:type="character" w:customStyle="1" w:styleId="93">
    <w:name w:val="批注框文本 Char"/>
    <w:link w:val="39"/>
    <w:qFormat/>
    <w:uiPriority w:val="99"/>
    <w:rPr>
      <w:kern w:val="2"/>
      <w:sz w:val="18"/>
      <w:szCs w:val="18"/>
    </w:rPr>
  </w:style>
  <w:style w:type="character" w:customStyle="1" w:styleId="94">
    <w:name w:val="页脚 Char"/>
    <w:link w:val="40"/>
    <w:qFormat/>
    <w:uiPriority w:val="99"/>
    <w:rPr>
      <w:rFonts w:ascii="仿宋_GB2312" w:eastAsia="仿宋_GB2312"/>
      <w:kern w:val="2"/>
      <w:sz w:val="18"/>
      <w:szCs w:val="18"/>
    </w:rPr>
  </w:style>
  <w:style w:type="character" w:customStyle="1" w:styleId="95">
    <w:name w:val="页眉 Char"/>
    <w:link w:val="41"/>
    <w:qFormat/>
    <w:uiPriority w:val="99"/>
    <w:rPr>
      <w:rFonts w:ascii="仿宋_GB2312" w:eastAsia="仿宋_GB2312"/>
      <w:kern w:val="2"/>
      <w:sz w:val="18"/>
      <w:szCs w:val="18"/>
    </w:rPr>
  </w:style>
  <w:style w:type="character" w:customStyle="1" w:styleId="96">
    <w:name w:val="副标题 Char"/>
    <w:link w:val="44"/>
    <w:qFormat/>
    <w:uiPriority w:val="0"/>
    <w:rPr>
      <w:rFonts w:ascii="Cambria" w:hAnsi="Cambria"/>
      <w:sz w:val="24"/>
      <w:szCs w:val="24"/>
      <w:lang w:eastAsia="en-US" w:bidi="en-US"/>
    </w:rPr>
  </w:style>
  <w:style w:type="character" w:customStyle="1" w:styleId="97">
    <w:name w:val="脚注文本 Char"/>
    <w:link w:val="46"/>
    <w:qFormat/>
    <w:uiPriority w:val="0"/>
    <w:rPr>
      <w:kern w:val="2"/>
      <w:sz w:val="18"/>
      <w:szCs w:val="18"/>
    </w:rPr>
  </w:style>
  <w:style w:type="character" w:customStyle="1" w:styleId="98">
    <w:name w:val="正文文本缩进 3 Char"/>
    <w:link w:val="49"/>
    <w:qFormat/>
    <w:uiPriority w:val="0"/>
    <w:rPr>
      <w:rFonts w:eastAsia="仿宋_GB2312"/>
      <w:kern w:val="2"/>
      <w:sz w:val="24"/>
      <w:szCs w:val="24"/>
    </w:rPr>
  </w:style>
  <w:style w:type="character" w:customStyle="1" w:styleId="99">
    <w:name w:val="正文文本 2 Char"/>
    <w:link w:val="53"/>
    <w:qFormat/>
    <w:uiPriority w:val="0"/>
    <w:rPr>
      <w:rFonts w:ascii="楷体_GB2312" w:eastAsia="仿宋_GB2312"/>
      <w:kern w:val="2"/>
      <w:sz w:val="30"/>
    </w:rPr>
  </w:style>
  <w:style w:type="character" w:customStyle="1" w:styleId="100">
    <w:name w:val="HTML 预设格式 Char"/>
    <w:link w:val="55"/>
    <w:qFormat/>
    <w:uiPriority w:val="0"/>
    <w:rPr>
      <w:rFonts w:ascii="Arial Unicode MS" w:hAnsi="Arial Unicode MS" w:eastAsia="Courier New" w:cs="Courier New"/>
    </w:rPr>
  </w:style>
  <w:style w:type="character" w:customStyle="1" w:styleId="101">
    <w:name w:val="标题 Char"/>
    <w:link w:val="58"/>
    <w:qFormat/>
    <w:uiPriority w:val="0"/>
    <w:rPr>
      <w:rFonts w:ascii="Cambria" w:hAnsi="Cambria" w:eastAsia="微软雅黑"/>
      <w:b/>
      <w:bCs/>
      <w:kern w:val="28"/>
      <w:sz w:val="44"/>
      <w:lang w:eastAsia="en-US" w:bidi="en-US"/>
    </w:rPr>
  </w:style>
  <w:style w:type="character" w:customStyle="1" w:styleId="102">
    <w:name w:val="批注主题 Char"/>
    <w:link w:val="59"/>
    <w:semiHidden/>
    <w:qFormat/>
    <w:uiPriority w:val="0"/>
    <w:rPr>
      <w:b/>
      <w:bCs/>
      <w:spacing w:val="4"/>
      <w:kern w:val="2"/>
      <w:sz w:val="21"/>
    </w:rPr>
  </w:style>
  <w:style w:type="character" w:customStyle="1" w:styleId="103">
    <w:name w:val="正文首行缩进 Char"/>
    <w:link w:val="60"/>
    <w:qFormat/>
    <w:uiPriority w:val="0"/>
    <w:rPr>
      <w:rFonts w:eastAsia="仿宋_GB2312"/>
      <w:kern w:val="2"/>
      <w:sz w:val="28"/>
      <w:szCs w:val="30"/>
    </w:rPr>
  </w:style>
  <w:style w:type="character" w:customStyle="1" w:styleId="104">
    <w:name w:val="正文首行缩进 2 Char"/>
    <w:link w:val="61"/>
    <w:qFormat/>
    <w:uiPriority w:val="0"/>
    <w:rPr>
      <w:rFonts w:ascii="楷体_GB2312" w:eastAsia="仿宋_GB2312"/>
      <w:kern w:val="2"/>
      <w:sz w:val="30"/>
      <w:szCs w:val="30"/>
    </w:rPr>
  </w:style>
  <w:style w:type="character" w:customStyle="1" w:styleId="105">
    <w:name w:val="zi21"/>
    <w:qFormat/>
    <w:uiPriority w:val="0"/>
    <w:rPr>
      <w:rFonts w:hint="default" w:ascii="Ђˎ̥" w:hAnsi="Ђˎ̥"/>
      <w:b/>
      <w:bCs/>
      <w:color w:val="0099DD"/>
      <w:sz w:val="18"/>
      <w:szCs w:val="18"/>
      <w:u w:val="none"/>
    </w:rPr>
  </w:style>
  <w:style w:type="character" w:customStyle="1" w:styleId="106">
    <w:name w:val="content1"/>
    <w:qFormat/>
    <w:uiPriority w:val="0"/>
    <w:rPr>
      <w:spacing w:val="360"/>
      <w:sz w:val="18"/>
      <w:szCs w:val="18"/>
    </w:rPr>
  </w:style>
  <w:style w:type="character" w:customStyle="1" w:styleId="107">
    <w:name w:val="apple-converted-space"/>
    <w:basedOn w:val="64"/>
    <w:qFormat/>
    <w:uiPriority w:val="0"/>
  </w:style>
  <w:style w:type="character" w:customStyle="1" w:styleId="108">
    <w:name w:val="ty09 style30"/>
    <w:basedOn w:val="64"/>
    <w:qFormat/>
    <w:uiPriority w:val="0"/>
  </w:style>
  <w:style w:type="character" w:customStyle="1" w:styleId="109">
    <w:name w:val="point_normal1"/>
    <w:qFormat/>
    <w:uiPriority w:val="0"/>
    <w:rPr>
      <w:rFonts w:ascii="Arial" w:hAnsi="Arial" w:cs="Arial"/>
      <w:sz w:val="18"/>
      <w:szCs w:val="18"/>
      <w:lang w:bidi="ar-SA"/>
    </w:rPr>
  </w:style>
  <w:style w:type="character" w:customStyle="1" w:styleId="110">
    <w:name w:val="引用 Char"/>
    <w:link w:val="111"/>
    <w:qFormat/>
    <w:uiPriority w:val="0"/>
    <w:rPr>
      <w:rFonts w:ascii="Calibri" w:hAnsi="Calibri"/>
      <w:i/>
      <w:sz w:val="24"/>
      <w:szCs w:val="24"/>
      <w:lang w:eastAsia="en-US" w:bidi="en-US"/>
    </w:rPr>
  </w:style>
  <w:style w:type="paragraph" w:styleId="111">
    <w:name w:val="Quote"/>
    <w:basedOn w:val="1"/>
    <w:next w:val="1"/>
    <w:link w:val="110"/>
    <w:qFormat/>
    <w:uiPriority w:val="0"/>
    <w:pPr>
      <w:widowControl/>
      <w:jc w:val="left"/>
    </w:pPr>
    <w:rPr>
      <w:rFonts w:ascii="Calibri" w:hAnsi="Calibri"/>
      <w:i/>
      <w:sz w:val="24"/>
      <w:szCs w:val="24"/>
      <w:lang w:eastAsia="en-US" w:bidi="en-US"/>
    </w:rPr>
  </w:style>
  <w:style w:type="character" w:customStyle="1" w:styleId="112">
    <w:name w:val="_Style 111"/>
    <w:qFormat/>
    <w:uiPriority w:val="0"/>
    <w:rPr>
      <w:i/>
      <w:color w:val="5A5A5A"/>
    </w:rPr>
  </w:style>
  <w:style w:type="character" w:customStyle="1" w:styleId="113">
    <w:name w:val="正文+小四 Char Char"/>
    <w:link w:val="114"/>
    <w:qFormat/>
    <w:uiPriority w:val="0"/>
    <w:rPr>
      <w:rFonts w:ascii="宋体" w:hAnsi="宋体"/>
      <w:kern w:val="2"/>
      <w:sz w:val="24"/>
      <w:szCs w:val="24"/>
    </w:rPr>
  </w:style>
  <w:style w:type="paragraph" w:customStyle="1" w:styleId="114">
    <w:name w:val="正文+小四"/>
    <w:basedOn w:val="1"/>
    <w:link w:val="113"/>
    <w:qFormat/>
    <w:uiPriority w:val="0"/>
    <w:rPr>
      <w:rFonts w:ascii="宋体" w:hAnsi="宋体"/>
      <w:kern w:val="2"/>
      <w:sz w:val="24"/>
      <w:szCs w:val="24"/>
    </w:rPr>
  </w:style>
  <w:style w:type="character" w:customStyle="1" w:styleId="115">
    <w:name w:val="正文文本 字符"/>
    <w:qFormat/>
    <w:uiPriority w:val="0"/>
    <w:rPr>
      <w:rFonts w:eastAsia="仿宋_GB2312"/>
      <w:kern w:val="2"/>
      <w:sz w:val="28"/>
      <w:szCs w:val="30"/>
    </w:rPr>
  </w:style>
  <w:style w:type="character" w:customStyle="1" w:styleId="116">
    <w:name w:val="h121"/>
    <w:qFormat/>
    <w:uiPriority w:val="0"/>
    <w:rPr>
      <w:color w:val="333333"/>
    </w:rPr>
  </w:style>
  <w:style w:type="character" w:customStyle="1" w:styleId="117">
    <w:name w:val="普通文字 Char Char"/>
    <w:qFormat/>
    <w:uiPriority w:val="0"/>
    <w:rPr>
      <w:rFonts w:ascii="宋体" w:eastAsia="宋体"/>
      <w:kern w:val="2"/>
      <w:sz w:val="21"/>
      <w:lang w:val="en-US" w:eastAsia="zh-CN"/>
    </w:rPr>
  </w:style>
  <w:style w:type="character" w:customStyle="1" w:styleId="118">
    <w:name w:val="文档正文 Char Char"/>
    <w:link w:val="119"/>
    <w:qFormat/>
    <w:uiPriority w:val="0"/>
    <w:rPr>
      <w:rFonts w:ascii="Calibri" w:hAnsi="Calibri"/>
      <w:sz w:val="28"/>
      <w:szCs w:val="28"/>
      <w:lang w:eastAsia="en-US" w:bidi="en-US"/>
    </w:rPr>
  </w:style>
  <w:style w:type="paragraph" w:customStyle="1" w:styleId="119">
    <w:name w:val="文档正文"/>
    <w:basedOn w:val="1"/>
    <w:link w:val="118"/>
    <w:qFormat/>
    <w:uiPriority w:val="0"/>
    <w:pPr>
      <w:widowControl/>
      <w:ind w:firstLine="560" w:firstLineChars="200"/>
      <w:jc w:val="left"/>
    </w:pPr>
    <w:rPr>
      <w:rFonts w:ascii="Calibri" w:hAnsi="Calibri"/>
      <w:sz w:val="28"/>
      <w:szCs w:val="28"/>
      <w:lang w:eastAsia="en-US" w:bidi="en-US"/>
    </w:rPr>
  </w:style>
  <w:style w:type="character" w:customStyle="1" w:styleId="120">
    <w:name w:val="_Style 119"/>
    <w:qFormat/>
    <w:uiPriority w:val="0"/>
    <w:rPr>
      <w:b/>
      <w:i/>
      <w:sz w:val="24"/>
      <w:szCs w:val="24"/>
      <w:u w:val="single"/>
    </w:rPr>
  </w:style>
  <w:style w:type="character" w:customStyle="1" w:styleId="121">
    <w:name w:val="bold1"/>
    <w:qFormat/>
    <w:uiPriority w:val="0"/>
    <w:rPr>
      <w:b/>
      <w:bCs/>
    </w:rPr>
  </w:style>
  <w:style w:type="character" w:customStyle="1" w:styleId="122">
    <w:name w:val="列出段落 字符"/>
    <w:qFormat/>
    <w:locked/>
    <w:uiPriority w:val="34"/>
    <w:rPr>
      <w:sz w:val="24"/>
    </w:rPr>
  </w:style>
  <w:style w:type="character" w:customStyle="1" w:styleId="123">
    <w:name w:val="p91"/>
    <w:basedOn w:val="64"/>
    <w:qFormat/>
    <w:uiPriority w:val="0"/>
  </w:style>
  <w:style w:type="character" w:customStyle="1" w:styleId="124">
    <w:name w:val="无间隔 Char"/>
    <w:link w:val="125"/>
    <w:qFormat/>
    <w:uiPriority w:val="1"/>
    <w:rPr>
      <w:rFonts w:ascii="Calibri" w:hAnsi="Calibri" w:eastAsia="仿宋_GB2312"/>
      <w:sz w:val="24"/>
      <w:szCs w:val="32"/>
      <w:lang w:eastAsia="en-US" w:bidi="en-US"/>
    </w:rPr>
  </w:style>
  <w:style w:type="paragraph" w:styleId="125">
    <w:name w:val="No Spacing"/>
    <w:basedOn w:val="1"/>
    <w:link w:val="124"/>
    <w:qFormat/>
    <w:uiPriority w:val="1"/>
    <w:pPr>
      <w:widowControl/>
      <w:jc w:val="left"/>
    </w:pPr>
    <w:rPr>
      <w:rFonts w:ascii="Calibri" w:hAnsi="Calibri" w:eastAsia="仿宋_GB2312"/>
      <w:sz w:val="24"/>
      <w:szCs w:val="32"/>
      <w:lang w:eastAsia="en-US" w:bidi="en-US"/>
    </w:rPr>
  </w:style>
  <w:style w:type="character" w:customStyle="1" w:styleId="126">
    <w:name w:val="font-11"/>
    <w:qFormat/>
    <w:uiPriority w:val="0"/>
    <w:rPr>
      <w:rFonts w:ascii="Verdana" w:hAnsi="Verdana"/>
      <w:color w:val="333333"/>
      <w:sz w:val="18"/>
      <w:szCs w:val="18"/>
    </w:rPr>
  </w:style>
  <w:style w:type="character" w:customStyle="1" w:styleId="127">
    <w:name w:val="文档结构图 Char1"/>
    <w:qFormat/>
    <w:uiPriority w:val="99"/>
    <w:rPr>
      <w:rFonts w:ascii="宋体"/>
      <w:kern w:val="2"/>
      <w:sz w:val="18"/>
      <w:szCs w:val="18"/>
    </w:rPr>
  </w:style>
  <w:style w:type="character" w:customStyle="1" w:styleId="128">
    <w:name w:val="hui3"/>
    <w:qFormat/>
    <w:uiPriority w:val="0"/>
    <w:rPr>
      <w:color w:val="333333"/>
    </w:rPr>
  </w:style>
  <w:style w:type="character" w:customStyle="1" w:styleId="129">
    <w:name w:val="标五 Char"/>
    <w:qFormat/>
    <w:uiPriority w:val="0"/>
    <w:rPr>
      <w:rFonts w:ascii="楷体_GB2312" w:eastAsia="楷体_GB2312"/>
      <w:kern w:val="2"/>
      <w:sz w:val="24"/>
      <w:szCs w:val="24"/>
      <w:lang w:val="en-US" w:eastAsia="zh-CN"/>
    </w:rPr>
  </w:style>
  <w:style w:type="character" w:customStyle="1" w:styleId="130">
    <w:name w:val="_Style 129"/>
    <w:qFormat/>
    <w:uiPriority w:val="0"/>
    <w:rPr>
      <w:rFonts w:ascii="Cambria" w:hAnsi="Cambria" w:eastAsia="宋体"/>
      <w:b/>
      <w:i/>
      <w:sz w:val="24"/>
      <w:szCs w:val="24"/>
    </w:rPr>
  </w:style>
  <w:style w:type="character" w:customStyle="1" w:styleId="131">
    <w:name w:val="Char Char2"/>
    <w:qFormat/>
    <w:uiPriority w:val="0"/>
    <w:rPr>
      <w:rFonts w:ascii="宋体" w:hAnsi="宋体" w:eastAsia="宋体"/>
      <w:kern w:val="2"/>
      <w:sz w:val="18"/>
      <w:lang w:val="en-US" w:eastAsia="zh-CN" w:bidi="ar-SA"/>
    </w:rPr>
  </w:style>
  <w:style w:type="character" w:customStyle="1" w:styleId="132">
    <w:name w:val="A7"/>
    <w:qFormat/>
    <w:uiPriority w:val="0"/>
    <w:rPr>
      <w:rFonts w:cs="FZHei-B01S"/>
      <w:color w:val="000000"/>
      <w:sz w:val="10"/>
      <w:szCs w:val="10"/>
    </w:rPr>
  </w:style>
  <w:style w:type="character" w:customStyle="1" w:styleId="133">
    <w:name w:val="ty091"/>
    <w:qFormat/>
    <w:uiPriority w:val="0"/>
    <w:rPr>
      <w:color w:val="000000"/>
      <w:sz w:val="18"/>
      <w:szCs w:val="18"/>
    </w:rPr>
  </w:style>
  <w:style w:type="character" w:customStyle="1" w:styleId="134">
    <w:name w:val="point_normal"/>
    <w:basedOn w:val="64"/>
    <w:qFormat/>
    <w:uiPriority w:val="0"/>
  </w:style>
  <w:style w:type="character" w:customStyle="1" w:styleId="135">
    <w:name w:val="样式 标题 2 + 黑体 Char"/>
    <w:link w:val="136"/>
    <w:qFormat/>
    <w:uiPriority w:val="0"/>
    <w:rPr>
      <w:rFonts w:ascii="宋体" w:hAnsi="宋体"/>
      <w:b/>
      <w:bCs/>
      <w:kern w:val="2"/>
      <w:sz w:val="32"/>
      <w:szCs w:val="32"/>
    </w:rPr>
  </w:style>
  <w:style w:type="paragraph" w:customStyle="1" w:styleId="136">
    <w:name w:val="样式 标题 2 + 黑体"/>
    <w:basedOn w:val="6"/>
    <w:link w:val="135"/>
    <w:qFormat/>
    <w:uiPriority w:val="0"/>
    <w:pPr>
      <w:spacing w:before="120" w:after="120" w:line="360" w:lineRule="auto"/>
    </w:pPr>
    <w:rPr>
      <w:rFonts w:ascii="宋体" w:hAnsi="宋体" w:eastAsia="宋体"/>
    </w:rPr>
  </w:style>
  <w:style w:type="character" w:customStyle="1" w:styleId="137">
    <w:name w:val="fs_14"/>
    <w:basedOn w:val="64"/>
    <w:qFormat/>
    <w:uiPriority w:val="0"/>
  </w:style>
  <w:style w:type="character" w:customStyle="1" w:styleId="138">
    <w:name w:val="gray9pt1"/>
    <w:qFormat/>
    <w:uiPriority w:val="0"/>
    <w:rPr>
      <w:rFonts w:ascii="Arial" w:hAnsi="Arial" w:cs="Arial"/>
      <w:color w:val="666666"/>
      <w:sz w:val="18"/>
      <w:szCs w:val="18"/>
      <w:lang w:bidi="ar-SA"/>
    </w:rPr>
  </w:style>
  <w:style w:type="character" w:customStyle="1" w:styleId="139">
    <w:name w:val="themebody1"/>
    <w:qFormat/>
    <w:uiPriority w:val="0"/>
    <w:rPr>
      <w:color w:val="FFFFFF"/>
    </w:rPr>
  </w:style>
  <w:style w:type="character" w:customStyle="1" w:styleId="140">
    <w:name w:val=" Char Char4"/>
    <w:qFormat/>
    <w:uiPriority w:val="0"/>
    <w:rPr>
      <w:rFonts w:eastAsia="宋体"/>
      <w:kern w:val="2"/>
      <w:sz w:val="18"/>
      <w:szCs w:val="18"/>
      <w:lang w:bidi="ar-SA"/>
    </w:rPr>
  </w:style>
  <w:style w:type="character" w:customStyle="1" w:styleId="141">
    <w:name w:val="apple-style-span"/>
    <w:basedOn w:val="64"/>
    <w:qFormat/>
    <w:uiPriority w:val="0"/>
  </w:style>
  <w:style w:type="character" w:customStyle="1" w:styleId="142">
    <w:name w:val="para"/>
    <w:basedOn w:val="64"/>
    <w:qFormat/>
    <w:uiPriority w:val="0"/>
  </w:style>
  <w:style w:type="character" w:customStyle="1" w:styleId="143">
    <w:name w:val="cn1"/>
    <w:qFormat/>
    <w:uiPriority w:val="0"/>
    <w:rPr>
      <w:sz w:val="18"/>
      <w:szCs w:val="18"/>
    </w:rPr>
  </w:style>
  <w:style w:type="character" w:customStyle="1" w:styleId="144">
    <w:name w:val="Body Text Char"/>
    <w:qFormat/>
    <w:locked/>
    <w:uiPriority w:val="99"/>
    <w:rPr>
      <w:rFonts w:eastAsia="仿宋_GB2312"/>
      <w:kern w:val="2"/>
      <w:sz w:val="30"/>
    </w:rPr>
  </w:style>
  <w:style w:type="character" w:customStyle="1" w:styleId="145">
    <w:name w:val="text1"/>
    <w:qFormat/>
    <w:uiPriority w:val="0"/>
    <w:rPr>
      <w:color w:val="000000"/>
      <w:spacing w:val="432"/>
      <w:sz w:val="20"/>
      <w:szCs w:val="20"/>
    </w:rPr>
  </w:style>
  <w:style w:type="character" w:customStyle="1" w:styleId="146">
    <w:name w:val="正文文本 Char"/>
    <w:qFormat/>
    <w:uiPriority w:val="0"/>
    <w:rPr>
      <w:rFonts w:eastAsia="仿宋_GB2312"/>
      <w:kern w:val="2"/>
      <w:sz w:val="28"/>
      <w:lang w:val="en-US" w:eastAsia="zh-CN" w:bidi="ar-SA"/>
    </w:rPr>
  </w:style>
  <w:style w:type="character" w:customStyle="1" w:styleId="147">
    <w:name w:val="表格内容 Char Char"/>
    <w:link w:val="148"/>
    <w:qFormat/>
    <w:uiPriority w:val="0"/>
    <w:rPr>
      <w:rFonts w:ascii="宋体" w:hAnsi="宋体" w:eastAsia="仿宋_GB2312" w:cs="宋体"/>
      <w:color w:val="000000"/>
      <w:szCs w:val="24"/>
      <w:lang w:eastAsia="en-US" w:bidi="en-US"/>
    </w:rPr>
  </w:style>
  <w:style w:type="paragraph" w:customStyle="1" w:styleId="148">
    <w:name w:val="表格内容"/>
    <w:basedOn w:val="1"/>
    <w:link w:val="147"/>
    <w:qFormat/>
    <w:uiPriority w:val="0"/>
    <w:pPr>
      <w:widowControl/>
      <w:jc w:val="center"/>
    </w:pPr>
    <w:rPr>
      <w:rFonts w:ascii="宋体" w:hAnsi="宋体" w:eastAsia="仿宋_GB2312" w:cs="宋体"/>
      <w:color w:val="000000"/>
      <w:szCs w:val="24"/>
      <w:lang w:eastAsia="en-US" w:bidi="en-US"/>
    </w:rPr>
  </w:style>
  <w:style w:type="character" w:customStyle="1" w:styleId="149">
    <w:name w:val="标题 2 Char Char Char"/>
    <w:qFormat/>
    <w:uiPriority w:val="0"/>
    <w:rPr>
      <w:rFonts w:ascii="Arial" w:hAnsi="Arial" w:eastAsia="黑体"/>
      <w:b/>
      <w:bCs/>
      <w:kern w:val="2"/>
      <w:sz w:val="32"/>
      <w:szCs w:val="32"/>
      <w:lang w:val="en-US" w:eastAsia="zh-CN"/>
    </w:rPr>
  </w:style>
  <w:style w:type="character" w:customStyle="1" w:styleId="150">
    <w:name w:val="正文采用 Char Char"/>
    <w:link w:val="151"/>
    <w:qFormat/>
    <w:uiPriority w:val="0"/>
    <w:rPr>
      <w:rFonts w:ascii="宋体" w:hAnsi="宋体"/>
      <w:sz w:val="24"/>
      <w:szCs w:val="24"/>
    </w:rPr>
  </w:style>
  <w:style w:type="paragraph" w:customStyle="1" w:styleId="151">
    <w:name w:val="正文采用"/>
    <w:basedOn w:val="1"/>
    <w:link w:val="150"/>
    <w:qFormat/>
    <w:uiPriority w:val="0"/>
    <w:pPr>
      <w:spacing w:line="500" w:lineRule="exact"/>
      <w:ind w:firstLine="200" w:firstLineChars="200"/>
    </w:pPr>
    <w:rPr>
      <w:rFonts w:ascii="宋体" w:hAnsi="宋体"/>
      <w:sz w:val="24"/>
      <w:szCs w:val="24"/>
    </w:rPr>
  </w:style>
  <w:style w:type="character" w:customStyle="1" w:styleId="152">
    <w:name w:val="postbody1"/>
    <w:qFormat/>
    <w:uiPriority w:val="0"/>
    <w:rPr>
      <w:sz w:val="18"/>
      <w:szCs w:val="18"/>
    </w:rPr>
  </w:style>
  <w:style w:type="character" w:customStyle="1" w:styleId="153">
    <w:name w:val="px121"/>
    <w:qFormat/>
    <w:uiPriority w:val="0"/>
    <w:rPr>
      <w:spacing w:val="360"/>
      <w:sz w:val="18"/>
      <w:szCs w:val="18"/>
    </w:rPr>
  </w:style>
  <w:style w:type="character" w:customStyle="1" w:styleId="154">
    <w:name w:val="A9"/>
    <w:qFormat/>
    <w:uiPriority w:val="0"/>
    <w:rPr>
      <w:rFonts w:ascii="Univers 57 Condensed" w:eastAsia="Univers 57 Condensed" w:cs="Univers 57 Condensed"/>
      <w:color w:val="000000"/>
      <w:sz w:val="5"/>
      <w:szCs w:val="5"/>
    </w:rPr>
  </w:style>
  <w:style w:type="character" w:customStyle="1" w:styleId="155">
    <w:name w:val="*正文 Char Char"/>
    <w:link w:val="156"/>
    <w:qFormat/>
    <w:locked/>
    <w:uiPriority w:val="0"/>
    <w:rPr>
      <w:rFonts w:ascii="微软雅黑" w:hAnsi="微软雅黑" w:eastAsia="微软雅黑"/>
      <w:sz w:val="21"/>
    </w:rPr>
  </w:style>
  <w:style w:type="paragraph" w:customStyle="1" w:styleId="156">
    <w:name w:val="*正文"/>
    <w:basedOn w:val="1"/>
    <w:next w:val="1"/>
    <w:link w:val="155"/>
    <w:qFormat/>
    <w:uiPriority w:val="0"/>
    <w:pPr>
      <w:widowControl/>
      <w:ind w:firstLine="482"/>
    </w:pPr>
    <w:rPr>
      <w:rFonts w:ascii="微软雅黑" w:hAnsi="微软雅黑" w:eastAsia="微软雅黑"/>
      <w:sz w:val="21"/>
    </w:rPr>
  </w:style>
  <w:style w:type="character" w:customStyle="1" w:styleId="157">
    <w:name w:val="pcname2"/>
    <w:qFormat/>
    <w:uiPriority w:val="0"/>
    <w:rPr>
      <w:shd w:val="clear" w:color="auto" w:fill="FFFFFF"/>
    </w:rPr>
  </w:style>
  <w:style w:type="character" w:customStyle="1" w:styleId="158">
    <w:name w:val="lineitems1"/>
    <w:qFormat/>
    <w:uiPriority w:val="0"/>
    <w:rPr>
      <w:sz w:val="17"/>
      <w:szCs w:val="17"/>
    </w:rPr>
  </w:style>
  <w:style w:type="character" w:customStyle="1" w:styleId="159">
    <w:name w:val="标题 字符"/>
    <w:qFormat/>
    <w:uiPriority w:val="0"/>
    <w:rPr>
      <w:rFonts w:ascii="Arial" w:hAnsi="Arial" w:cs="Arial"/>
      <w:b/>
      <w:bCs/>
      <w:kern w:val="2"/>
      <w:sz w:val="32"/>
      <w:szCs w:val="32"/>
    </w:rPr>
  </w:style>
  <w:style w:type="character" w:customStyle="1" w:styleId="160">
    <w:name w:val="para_small1"/>
    <w:qFormat/>
    <w:uiPriority w:val="0"/>
    <w:rPr>
      <w:rFonts w:hint="default" w:ascii="Arial" w:hAnsi="Arial" w:cs="Arial"/>
      <w:sz w:val="18"/>
      <w:szCs w:val="18"/>
    </w:rPr>
  </w:style>
  <w:style w:type="character" w:customStyle="1" w:styleId="161">
    <w:name w:val="文档正文 Char1"/>
    <w:qFormat/>
    <w:uiPriority w:val="0"/>
    <w:rPr>
      <w:rFonts w:ascii="宋体"/>
      <w:sz w:val="24"/>
    </w:rPr>
  </w:style>
  <w:style w:type="character" w:customStyle="1" w:styleId="162">
    <w:name w:val="A节1正文 Char"/>
    <w:link w:val="163"/>
    <w:qFormat/>
    <w:uiPriority w:val="0"/>
    <w:rPr>
      <w:rFonts w:ascii="Arial" w:hAnsi="Arial" w:cs="Arial"/>
      <w:iCs/>
      <w:color w:val="000000"/>
      <w:sz w:val="24"/>
      <w:szCs w:val="24"/>
    </w:rPr>
  </w:style>
  <w:style w:type="paragraph" w:customStyle="1" w:styleId="163">
    <w:name w:val="A节1正文"/>
    <w:basedOn w:val="1"/>
    <w:link w:val="162"/>
    <w:qFormat/>
    <w:uiPriority w:val="0"/>
    <w:pPr>
      <w:widowControl/>
      <w:adjustRightInd w:val="0"/>
      <w:snapToGrid w:val="0"/>
      <w:spacing w:before="120" w:line="300" w:lineRule="auto"/>
      <w:ind w:firstLine="420"/>
    </w:pPr>
    <w:rPr>
      <w:rFonts w:ascii="Arial" w:hAnsi="Arial"/>
      <w:iCs/>
      <w:color w:val="000000"/>
      <w:sz w:val="24"/>
      <w:szCs w:val="24"/>
    </w:rPr>
  </w:style>
  <w:style w:type="character" w:customStyle="1" w:styleId="164">
    <w:name w:val="front1"/>
    <w:basedOn w:val="64"/>
    <w:qFormat/>
    <w:uiPriority w:val="0"/>
  </w:style>
  <w:style w:type="character" w:customStyle="1" w:styleId="165">
    <w:name w:val="fontblank12"/>
    <w:basedOn w:val="64"/>
    <w:qFormat/>
    <w:uiPriority w:val="0"/>
  </w:style>
  <w:style w:type="character" w:customStyle="1" w:styleId="166">
    <w:name w:val="样式 (西文) 华文细黑 (中文) 华文细黑 小四"/>
    <w:qFormat/>
    <w:uiPriority w:val="0"/>
    <w:rPr>
      <w:rFonts w:ascii="华文细黑" w:hAnsi="华文细黑" w:eastAsia="宋体"/>
      <w:sz w:val="24"/>
    </w:rPr>
  </w:style>
  <w:style w:type="character" w:customStyle="1" w:styleId="167">
    <w:name w:val="列出段落 Char1"/>
    <w:qFormat/>
    <w:uiPriority w:val="34"/>
    <w:rPr>
      <w:rFonts w:ascii="Calibri" w:hAnsi="Calibri" w:eastAsia="仿宋_GB2312"/>
      <w:sz w:val="24"/>
      <w:szCs w:val="24"/>
      <w:lang w:eastAsia="en-US" w:bidi="en-US"/>
    </w:rPr>
  </w:style>
  <w:style w:type="character" w:customStyle="1" w:styleId="168">
    <w:name w:val="style111"/>
    <w:qFormat/>
    <w:uiPriority w:val="0"/>
    <w:rPr>
      <w:b/>
      <w:bCs/>
      <w:sz w:val="27"/>
      <w:szCs w:val="27"/>
    </w:rPr>
  </w:style>
  <w:style w:type="character" w:customStyle="1" w:styleId="169">
    <w:name w:val="pcvalue2"/>
    <w:qFormat/>
    <w:uiPriority w:val="0"/>
    <w:rPr>
      <w:shd w:val="clear" w:color="auto" w:fill="FFFFFF"/>
    </w:rPr>
  </w:style>
  <w:style w:type="character" w:customStyle="1" w:styleId="170">
    <w:name w:val="content02"/>
    <w:basedOn w:val="64"/>
    <w:qFormat/>
    <w:uiPriority w:val="0"/>
  </w:style>
  <w:style w:type="character" w:customStyle="1" w:styleId="171">
    <w:name w:val="para1"/>
    <w:qFormat/>
    <w:uiPriority w:val="0"/>
    <w:rPr>
      <w:rFonts w:ascii="Arial" w:hAnsi="Arial" w:cs="Arial"/>
      <w:sz w:val="18"/>
      <w:szCs w:val="18"/>
      <w:lang w:bidi="ar-SA"/>
    </w:rPr>
  </w:style>
  <w:style w:type="character" w:customStyle="1" w:styleId="172">
    <w:name w:val="表格 Char Char"/>
    <w:link w:val="173"/>
    <w:qFormat/>
    <w:uiPriority w:val="0"/>
    <w:rPr>
      <w:rFonts w:ascii="Ari" w:hAnsi="Ari"/>
      <w:b/>
      <w:color w:val="000000"/>
      <w:sz w:val="28"/>
      <w:szCs w:val="28"/>
      <w:lang w:val="en-US" w:eastAsia="zh-CN" w:bidi="ar-SA"/>
    </w:rPr>
  </w:style>
  <w:style w:type="paragraph" w:customStyle="1" w:styleId="173">
    <w:name w:val="表格"/>
    <w:link w:val="172"/>
    <w:qFormat/>
    <w:uiPriority w:val="0"/>
    <w:pPr>
      <w:widowControl w:val="0"/>
      <w:numPr>
        <w:ilvl w:val="0"/>
        <w:numId w:val="1"/>
      </w:numPr>
      <w:tabs>
        <w:tab w:val="clear" w:pos="397"/>
      </w:tabs>
      <w:adjustRightInd w:val="0"/>
      <w:snapToGrid w:val="0"/>
      <w:spacing w:line="320" w:lineRule="exact"/>
      <w:ind w:left="1" w:leftChars="1" w:right="113" w:firstLine="0"/>
      <w:jc w:val="center"/>
    </w:pPr>
    <w:rPr>
      <w:rFonts w:ascii="Ari" w:hAnsi="Ari" w:eastAsia="宋体" w:cs="Times New Roman"/>
      <w:b/>
      <w:color w:val="000000"/>
      <w:sz w:val="28"/>
      <w:szCs w:val="28"/>
      <w:lang w:val="en-US" w:eastAsia="zh-CN" w:bidi="ar-SA"/>
    </w:rPr>
  </w:style>
  <w:style w:type="character" w:customStyle="1" w:styleId="174">
    <w:name w:val="_Style 173"/>
    <w:qFormat/>
    <w:uiPriority w:val="0"/>
    <w:rPr>
      <w:b/>
      <w:sz w:val="24"/>
      <w:u w:val="single"/>
    </w:rPr>
  </w:style>
  <w:style w:type="character" w:customStyle="1" w:styleId="175">
    <w:name w:val="_Style 174"/>
    <w:qFormat/>
    <w:uiPriority w:val="0"/>
    <w:rPr>
      <w:sz w:val="24"/>
      <w:szCs w:val="24"/>
      <w:u w:val="single"/>
    </w:rPr>
  </w:style>
  <w:style w:type="character" w:customStyle="1" w:styleId="176">
    <w:name w:val="p111"/>
    <w:qFormat/>
    <w:uiPriority w:val="0"/>
    <w:rPr>
      <w:color w:val="000000"/>
      <w:spacing w:val="257"/>
      <w:sz w:val="22"/>
      <w:szCs w:val="22"/>
      <w:u w:val="none"/>
    </w:rPr>
  </w:style>
  <w:style w:type="character" w:customStyle="1" w:styleId="177">
    <w:name w:val="明显引用 Char"/>
    <w:link w:val="178"/>
    <w:qFormat/>
    <w:uiPriority w:val="0"/>
    <w:rPr>
      <w:rFonts w:ascii="Calibri" w:hAnsi="Calibri"/>
      <w:b/>
      <w:i/>
      <w:sz w:val="24"/>
      <w:szCs w:val="22"/>
      <w:lang w:eastAsia="en-US" w:bidi="en-US"/>
    </w:rPr>
  </w:style>
  <w:style w:type="paragraph" w:styleId="178">
    <w:name w:val="Intense Quote"/>
    <w:basedOn w:val="1"/>
    <w:next w:val="1"/>
    <w:link w:val="177"/>
    <w:qFormat/>
    <w:uiPriority w:val="0"/>
    <w:pPr>
      <w:widowControl/>
      <w:ind w:left="720" w:right="720"/>
      <w:jc w:val="left"/>
    </w:pPr>
    <w:rPr>
      <w:rFonts w:ascii="Calibri" w:hAnsi="Calibri"/>
      <w:b/>
      <w:i/>
      <w:sz w:val="24"/>
      <w:szCs w:val="22"/>
      <w:lang w:eastAsia="en-US" w:bidi="en-US"/>
    </w:rPr>
  </w:style>
  <w:style w:type="character" w:customStyle="1" w:styleId="179">
    <w:name w:val="HTML 预设格式 Char1"/>
    <w:qFormat/>
    <w:uiPriority w:val="99"/>
    <w:rPr>
      <w:rFonts w:ascii="Courier New" w:hAnsi="Courier New" w:cs="Courier New"/>
      <w:kern w:val="2"/>
    </w:rPr>
  </w:style>
  <w:style w:type="character" w:customStyle="1" w:styleId="180">
    <w:name w:val="无"/>
    <w:qFormat/>
    <w:uiPriority w:val="0"/>
  </w:style>
  <w:style w:type="character" w:customStyle="1" w:styleId="181">
    <w:name w:val="着重强调"/>
    <w:qFormat/>
    <w:uiPriority w:val="0"/>
    <w:rPr>
      <w:rFonts w:ascii="Arial" w:hAnsi="Arial"/>
      <w:b/>
    </w:rPr>
  </w:style>
  <w:style w:type="character" w:customStyle="1" w:styleId="182">
    <w:name w:val="black000"/>
    <w:basedOn w:val="64"/>
    <w:qFormat/>
    <w:uiPriority w:val="0"/>
  </w:style>
  <w:style w:type="character" w:customStyle="1" w:styleId="183">
    <w:name w:val="1.1.1.1 Char"/>
    <w:link w:val="184"/>
    <w:qFormat/>
    <w:uiPriority w:val="0"/>
    <w:rPr>
      <w:rFonts w:ascii="Arial" w:hAnsi="Arial"/>
      <w:sz w:val="24"/>
    </w:rPr>
  </w:style>
  <w:style w:type="paragraph" w:customStyle="1" w:styleId="184">
    <w:name w:val="1.1.1.1"/>
    <w:basedOn w:val="1"/>
    <w:link w:val="183"/>
    <w:qFormat/>
    <w:uiPriority w:val="0"/>
    <w:pPr>
      <w:tabs>
        <w:tab w:val="left" w:pos="900"/>
        <w:tab w:val="left" w:pos="1134"/>
      </w:tabs>
      <w:adjustRightInd w:val="0"/>
      <w:snapToGrid w:val="0"/>
      <w:spacing w:before="60" w:after="60" w:line="400" w:lineRule="atLeast"/>
      <w:ind w:left="869" w:leftChars="50" w:right="200" w:rightChars="200"/>
      <w:textAlignment w:val="baseline"/>
    </w:pPr>
    <w:rPr>
      <w:rFonts w:ascii="Arial" w:hAnsi="Arial"/>
      <w:sz w:val="24"/>
    </w:rPr>
  </w:style>
  <w:style w:type="character" w:customStyle="1" w:styleId="185">
    <w:name w:val="txt"/>
    <w:basedOn w:val="64"/>
    <w:qFormat/>
    <w:uiPriority w:val="0"/>
  </w:style>
  <w:style w:type="paragraph" w:customStyle="1" w:styleId="186">
    <w:name w:val="加点"/>
    <w:basedOn w:val="1"/>
    <w:qFormat/>
    <w:uiPriority w:val="0"/>
    <w:pPr>
      <w:spacing w:line="360" w:lineRule="auto"/>
    </w:pPr>
    <w:rPr>
      <w:rFonts w:eastAsia="楷体_GB2312"/>
      <w:sz w:val="24"/>
    </w:rPr>
  </w:style>
  <w:style w:type="paragraph" w:customStyle="1" w:styleId="187">
    <w:name w:val="样式 两端对齐"/>
    <w:basedOn w:val="1"/>
    <w:qFormat/>
    <w:uiPriority w:val="0"/>
    <w:pPr>
      <w:widowControl/>
      <w:spacing w:line="360" w:lineRule="auto"/>
      <w:ind w:firstLine="560" w:firstLineChars="200"/>
      <w:jc w:val="left"/>
    </w:pPr>
    <w:rPr>
      <w:rFonts w:ascii="宋体" w:hAnsi="宋体"/>
      <w:kern w:val="0"/>
      <w:sz w:val="28"/>
      <w:szCs w:val="24"/>
      <w:lang w:eastAsia="en-US" w:bidi="en-US"/>
    </w:rPr>
  </w:style>
  <w:style w:type="paragraph" w:customStyle="1" w:styleId="188">
    <w:name w:val="WPS Plain"/>
    <w:qFormat/>
    <w:uiPriority w:val="0"/>
    <w:rPr>
      <w:rFonts w:ascii="Times New Roman" w:hAnsi="Times New Roman" w:eastAsia="宋体" w:cs="Times New Roman"/>
      <w:lang w:val="en-US" w:eastAsia="zh-CN" w:bidi="ar-SA"/>
    </w:rPr>
  </w:style>
  <w:style w:type="paragraph" w:customStyle="1" w:styleId="189">
    <w:name w:val="CM74"/>
    <w:basedOn w:val="1"/>
    <w:next w:val="1"/>
    <w:qFormat/>
    <w:uiPriority w:val="99"/>
    <w:pPr>
      <w:autoSpaceDE w:val="0"/>
      <w:autoSpaceDN w:val="0"/>
      <w:adjustRightInd w:val="0"/>
      <w:spacing w:after="105"/>
      <w:jc w:val="left"/>
    </w:pPr>
    <w:rPr>
      <w:rFonts w:ascii="黑体" w:hAnsi="Calibri" w:eastAsia="黑体"/>
      <w:kern w:val="0"/>
      <w:sz w:val="24"/>
      <w:szCs w:val="24"/>
    </w:rPr>
  </w:style>
  <w:style w:type="paragraph" w:customStyle="1" w:styleId="190">
    <w:name w:val="样式 标题 +"/>
    <w:basedOn w:val="1"/>
    <w:qFormat/>
    <w:uiPriority w:val="0"/>
    <w:pPr>
      <w:widowControl/>
      <w:autoSpaceDE w:val="0"/>
      <w:autoSpaceDN w:val="0"/>
      <w:adjustRightInd w:val="0"/>
      <w:spacing w:before="240" w:beforeLines="0" w:after="60" w:afterLines="0" w:line="360" w:lineRule="auto"/>
      <w:jc w:val="center"/>
      <w:outlineLvl w:val="0"/>
    </w:pPr>
    <w:rPr>
      <w:rFonts w:ascii="Arial" w:hAnsi="Arial" w:eastAsia="黑体"/>
      <w:color w:val="000000"/>
      <w:kern w:val="0"/>
      <w:sz w:val="44"/>
    </w:rPr>
  </w:style>
  <w:style w:type="paragraph" w:customStyle="1" w:styleId="191">
    <w:name w:val="表格1"/>
    <w:basedOn w:val="1"/>
    <w:qFormat/>
    <w:uiPriority w:val="0"/>
    <w:pPr>
      <w:spacing w:before="100" w:beforeLines="0" w:beforeAutospacing="1" w:after="100" w:afterLines="0" w:afterAutospacing="1"/>
    </w:pPr>
    <w:rPr>
      <w:sz w:val="28"/>
      <w:szCs w:val="28"/>
    </w:rPr>
  </w:style>
  <w:style w:type="paragraph" w:customStyle="1" w:styleId="192">
    <w:name w:val="样式 首行缩进:  2 字符"/>
    <w:basedOn w:val="1"/>
    <w:qFormat/>
    <w:uiPriority w:val="99"/>
    <w:pPr>
      <w:spacing w:line="360" w:lineRule="auto"/>
      <w:ind w:firstLine="200" w:firstLineChars="200"/>
    </w:pPr>
    <w:rPr>
      <w:rFonts w:cs="宋体"/>
      <w:sz w:val="24"/>
    </w:rPr>
  </w:style>
  <w:style w:type="paragraph" w:customStyle="1" w:styleId="193">
    <w:name w:val="样式3"/>
    <w:basedOn w:val="6"/>
    <w:qFormat/>
    <w:uiPriority w:val="0"/>
    <w:pPr>
      <w:tabs>
        <w:tab w:val="left" w:pos="0"/>
        <w:tab w:val="left" w:pos="840"/>
      </w:tabs>
      <w:spacing w:before="120" w:beforeLines="0" w:after="120" w:afterLines="0" w:line="360" w:lineRule="auto"/>
      <w:ind w:left="420" w:hanging="420"/>
    </w:pPr>
    <w:rPr>
      <w:i/>
      <w:iCs/>
    </w:rPr>
  </w:style>
  <w:style w:type="paragraph" w:customStyle="1" w:styleId="19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95">
    <w:name w:val="È±Ê¡ÎÄ±¾"/>
    <w:basedOn w:val="1"/>
    <w:qFormat/>
    <w:uiPriority w:val="0"/>
    <w:pPr>
      <w:widowControl/>
      <w:overflowPunct w:val="0"/>
      <w:autoSpaceDE w:val="0"/>
      <w:autoSpaceDN w:val="0"/>
      <w:adjustRightInd w:val="0"/>
      <w:spacing w:line="360" w:lineRule="auto"/>
      <w:textAlignment w:val="baseline"/>
    </w:pPr>
    <w:rPr>
      <w:kern w:val="0"/>
    </w:rPr>
  </w:style>
  <w:style w:type="paragraph" w:customStyle="1" w:styleId="196">
    <w:name w:val="xl27"/>
    <w:basedOn w:val="1"/>
    <w:qFormat/>
    <w:uiPriority w:val="0"/>
    <w:pPr>
      <w:widowControl/>
      <w:adjustRightInd w:val="0"/>
      <w:spacing w:before="100" w:beforeLines="0" w:after="100" w:afterLines="0"/>
      <w:jc w:val="center"/>
      <w:textAlignment w:val="baseline"/>
    </w:pPr>
    <w:rPr>
      <w:rFonts w:ascii="Arial Unicode MS" w:hAnsi="Arial Unicode MS"/>
      <w:kern w:val="0"/>
      <w:sz w:val="24"/>
    </w:rPr>
  </w:style>
  <w:style w:type="paragraph" w:customStyle="1" w:styleId="197">
    <w:name w:val="a14"/>
    <w:basedOn w:val="1"/>
    <w:qFormat/>
    <w:uiPriority w:val="0"/>
    <w:pPr>
      <w:widowControl/>
      <w:spacing w:before="100" w:beforeLines="0" w:beforeAutospacing="1" w:after="100" w:afterLines="0" w:afterAutospacing="1" w:line="257" w:lineRule="atLeast"/>
      <w:ind w:firstLine="321"/>
      <w:jc w:val="left"/>
    </w:pPr>
    <w:rPr>
      <w:rFonts w:ascii="宋体"/>
      <w:kern w:val="0"/>
      <w:sz w:val="18"/>
      <w:szCs w:val="18"/>
    </w:rPr>
  </w:style>
  <w:style w:type="paragraph" w:customStyle="1" w:styleId="198">
    <w:name w:val="文字 Char Char Char Char Char Char1 Char Char"/>
    <w:basedOn w:val="1"/>
    <w:qFormat/>
    <w:uiPriority w:val="0"/>
    <w:pPr>
      <w:widowControl/>
      <w:snapToGrid w:val="0"/>
      <w:spacing w:before="120" w:beforeLines="0" w:after="160" w:afterLines="0" w:line="360" w:lineRule="auto"/>
      <w:ind w:right="-360"/>
      <w:jc w:val="left"/>
    </w:pPr>
    <w:rPr>
      <w:rFonts w:ascii="Arial" w:hAnsi="Arial"/>
      <w:kern w:val="0"/>
      <w:sz w:val="24"/>
      <w:szCs w:val="24"/>
      <w:lang w:eastAsia="en-US"/>
    </w:rPr>
  </w:style>
  <w:style w:type="paragraph" w:customStyle="1" w:styleId="199">
    <w:name w:val="封面中部"/>
    <w:basedOn w:val="1"/>
    <w:qFormat/>
    <w:uiPriority w:val="0"/>
    <w:pPr>
      <w:tabs>
        <w:tab w:val="left" w:pos="2977"/>
      </w:tabs>
      <w:adjustRightInd w:val="0"/>
      <w:spacing w:line="880" w:lineRule="exact"/>
      <w:jc w:val="center"/>
      <w:textAlignment w:val="baseline"/>
    </w:pPr>
    <w:rPr>
      <w:rFonts w:ascii="宋体" w:eastAsia="黑体"/>
      <w:kern w:val="0"/>
      <w:sz w:val="36"/>
      <w:szCs w:val="36"/>
    </w:rPr>
  </w:style>
  <w:style w:type="paragraph" w:customStyle="1" w:styleId="200">
    <w:name w:val="样式2"/>
    <w:basedOn w:val="1"/>
    <w:qFormat/>
    <w:uiPriority w:val="0"/>
    <w:pPr>
      <w:numPr>
        <w:ilvl w:val="0"/>
        <w:numId w:val="2"/>
      </w:numPr>
      <w:spacing w:line="360" w:lineRule="auto"/>
      <w:ind w:left="0" w:firstLine="200" w:firstLineChars="200"/>
    </w:pPr>
    <w:rPr>
      <w:rFonts w:ascii="宋体"/>
      <w:sz w:val="28"/>
      <w:szCs w:val="24"/>
    </w:rPr>
  </w:style>
  <w:style w:type="paragraph" w:customStyle="1" w:styleId="201">
    <w:name w:val="列出段落2"/>
    <w:basedOn w:val="1"/>
    <w:qFormat/>
    <w:uiPriority w:val="0"/>
    <w:pPr>
      <w:tabs>
        <w:tab w:val="left" w:pos="1680"/>
      </w:tabs>
      <w:ind w:firstLine="200" w:firstLineChars="200"/>
    </w:pPr>
  </w:style>
  <w:style w:type="paragraph" w:customStyle="1" w:styleId="202">
    <w:name w:val="5号"/>
    <w:qFormat/>
    <w:uiPriority w:val="0"/>
    <w:rPr>
      <w:rFonts w:ascii="Times New Roman" w:hAnsi="Times New Roman" w:eastAsia="宋体" w:cs="Times New Roman"/>
      <w:sz w:val="21"/>
      <w:lang w:val="en-US" w:eastAsia="zh-CN" w:bidi="ar-SA"/>
    </w:rPr>
  </w:style>
  <w:style w:type="paragraph" w:customStyle="1" w:styleId="203">
    <w:name w:val=" Char1 Char Char Char Char Char Char"/>
    <w:basedOn w:val="1"/>
    <w:qFormat/>
    <w:uiPriority w:val="0"/>
    <w:rPr>
      <w:rFonts w:ascii="Tahoma" w:hAnsi="Tahoma" w:eastAsia="宋体"/>
      <w:sz w:val="24"/>
      <w:szCs w:val="20"/>
    </w:rPr>
  </w:style>
  <w:style w:type="paragraph" w:customStyle="1" w:styleId="204">
    <w:name w:val="Char Char Char Char"/>
    <w:basedOn w:val="1"/>
    <w:qFormat/>
    <w:uiPriority w:val="0"/>
    <w:pPr>
      <w:widowControl/>
      <w:spacing w:line="400" w:lineRule="exact"/>
      <w:jc w:val="center"/>
    </w:pPr>
    <w:rPr>
      <w:rFonts w:ascii="Verdana" w:hAnsi="Verdana"/>
      <w:kern w:val="0"/>
      <w:lang w:eastAsia="en-US"/>
    </w:rPr>
  </w:style>
  <w:style w:type="paragraph" w:customStyle="1" w:styleId="205">
    <w:name w:val="Char1 Char Char Char Char Char Char Char"/>
    <w:basedOn w:val="1"/>
    <w:qFormat/>
    <w:uiPriority w:val="0"/>
    <w:rPr>
      <w:rFonts w:ascii="Tahoma" w:hAnsi="Tahoma"/>
      <w:sz w:val="24"/>
      <w:szCs w:val="30"/>
    </w:rPr>
  </w:style>
  <w:style w:type="paragraph" w:customStyle="1" w:styleId="206">
    <w:name w:val="_Style 1731"/>
    <w:next w:val="1"/>
    <w:qFormat/>
    <w:uiPriority w:val="0"/>
    <w:pPr>
      <w:widowControl w:val="0"/>
      <w:jc w:val="both"/>
    </w:pPr>
    <w:rPr>
      <w:rFonts w:ascii="仿宋_GB2312" w:hAnsi="Times New Roman" w:eastAsia="仿宋_GB2312" w:cs="Times New Roman"/>
      <w:kern w:val="2"/>
      <w:sz w:val="32"/>
      <w:szCs w:val="32"/>
      <w:lang w:val="en-US" w:eastAsia="zh-CN" w:bidi="ar-SA"/>
    </w:rPr>
  </w:style>
  <w:style w:type="paragraph" w:customStyle="1" w:styleId="207">
    <w:name w:val="Char Char"/>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208">
    <w:name w:val="默认段落字体 Para Char Char Char Char Char Char Char Char Char Char Char Char Char Char Char Char"/>
    <w:basedOn w:val="1"/>
    <w:qFormat/>
    <w:uiPriority w:val="0"/>
    <w:rPr>
      <w:rFonts w:ascii="Tahoma" w:hAnsi="Tahoma"/>
      <w:sz w:val="24"/>
    </w:rPr>
  </w:style>
  <w:style w:type="paragraph" w:customStyle="1" w:styleId="209">
    <w:name w:val="Char1 Char Char Char"/>
    <w:basedOn w:val="20"/>
    <w:qFormat/>
    <w:uiPriority w:val="0"/>
    <w:pPr>
      <w:spacing w:line="240" w:lineRule="auto"/>
      <w:ind w:firstLine="0" w:firstLineChars="0"/>
    </w:pPr>
    <w:rPr>
      <w:rFonts w:ascii="Tahoma" w:hAnsi="Tahoma"/>
    </w:rPr>
  </w:style>
  <w:style w:type="paragraph" w:customStyle="1" w:styleId="210">
    <w:name w:val="List Paragraph1"/>
    <w:basedOn w:val="1"/>
    <w:qFormat/>
    <w:uiPriority w:val="99"/>
    <w:pPr>
      <w:ind w:firstLine="420" w:firstLineChars="200"/>
    </w:pPr>
    <w:rPr>
      <w:rFonts w:ascii="Calibri" w:hAnsi="Calibri" w:eastAsia="宋体"/>
      <w:sz w:val="21"/>
      <w:szCs w:val="22"/>
    </w:rPr>
  </w:style>
  <w:style w:type="paragraph" w:customStyle="1" w:styleId="211">
    <w:name w:val="Text"/>
    <w:qFormat/>
    <w:uiPriority w:val="0"/>
    <w:pPr>
      <w:tabs>
        <w:tab w:val="left" w:pos="840"/>
        <w:tab w:val="left" w:pos="1260"/>
      </w:tabs>
      <w:adjustRightInd w:val="0"/>
      <w:snapToGrid w:val="0"/>
      <w:spacing w:beforeLines="75" w:afterLines="50" w:line="360" w:lineRule="auto"/>
      <w:ind w:left="473"/>
      <w:jc w:val="both"/>
    </w:pPr>
    <w:rPr>
      <w:rFonts w:ascii="宋体" w:hAnsi="宋体" w:eastAsia="宋体" w:cs="Times New Roman"/>
      <w:sz w:val="21"/>
      <w:szCs w:val="21"/>
      <w:lang w:val="en-US" w:eastAsia="zh-CN" w:bidi="ar-SA"/>
    </w:rPr>
  </w:style>
  <w:style w:type="paragraph" w:customStyle="1" w:styleId="212">
    <w:name w:val="标四"/>
    <w:next w:val="1"/>
    <w:qFormat/>
    <w:uiPriority w:val="0"/>
    <w:pPr>
      <w:tabs>
        <w:tab w:val="left" w:pos="420"/>
      </w:tabs>
      <w:spacing w:line="360" w:lineRule="auto"/>
      <w:ind w:left="420" w:hanging="420"/>
      <w:outlineLvl w:val="3"/>
    </w:pPr>
    <w:rPr>
      <w:rFonts w:ascii="仿宋_GB2312" w:hAnsi="Times New Roman" w:eastAsia="仿宋_GB2312" w:cs="Times New Roman"/>
      <w:kern w:val="2"/>
      <w:sz w:val="24"/>
      <w:szCs w:val="24"/>
      <w:lang w:val="en-US" w:eastAsia="zh-CN" w:bidi="ar-SA"/>
    </w:rPr>
  </w:style>
  <w:style w:type="paragraph" w:customStyle="1" w:styleId="213">
    <w:name w:val="p2"/>
    <w:basedOn w:val="1"/>
    <w:qFormat/>
    <w:uiPriority w:val="0"/>
    <w:pPr>
      <w:widowControl/>
      <w:spacing w:before="200" w:beforeLines="0" w:after="200" w:afterLines="0" w:line="360" w:lineRule="auto"/>
      <w:ind w:left="480" w:right="640" w:firstLine="560"/>
      <w:jc w:val="left"/>
    </w:pPr>
    <w:rPr>
      <w:rFonts w:ascii="宋体" w:cs="宋体"/>
      <w:kern w:val="0"/>
      <w:sz w:val="28"/>
      <w:szCs w:val="28"/>
    </w:rPr>
  </w:style>
  <w:style w:type="paragraph" w:customStyle="1" w:styleId="214">
    <w:name w:val="Char Char Char Char Char Char Char Char Char Char Char Char"/>
    <w:basedOn w:val="1"/>
    <w:qFormat/>
    <w:uiPriority w:val="0"/>
    <w:pPr>
      <w:numPr>
        <w:ilvl w:val="2"/>
        <w:numId w:val="3"/>
      </w:numPr>
      <w:spacing w:line="300" w:lineRule="auto"/>
      <w:ind w:left="0" w:firstLine="0"/>
    </w:pPr>
    <w:rPr>
      <w:rFonts w:ascii="宋体"/>
      <w:b/>
      <w:bCs/>
      <w:color w:val="000000"/>
      <w:spacing w:val="8"/>
      <w:kern w:val="0"/>
      <w:sz w:val="24"/>
      <w:szCs w:val="24"/>
    </w:rPr>
  </w:style>
  <w:style w:type="paragraph" w:customStyle="1" w:styleId="215">
    <w:name w:val="p0"/>
    <w:basedOn w:val="1"/>
    <w:qFormat/>
    <w:uiPriority w:val="0"/>
    <w:pPr>
      <w:widowControl/>
      <w:spacing w:before="100" w:beforeLines="0" w:beforeAutospacing="1" w:after="100" w:afterLines="0" w:afterAutospacing="1"/>
      <w:jc w:val="left"/>
    </w:pPr>
    <w:rPr>
      <w:rFonts w:ascii="宋体" w:cs="宋体"/>
      <w:kern w:val="0"/>
      <w:sz w:val="24"/>
      <w:szCs w:val="24"/>
    </w:rPr>
  </w:style>
  <w:style w:type="paragraph" w:styleId="216">
    <w:name w:val="List Paragraph"/>
    <w:basedOn w:val="1"/>
    <w:qFormat/>
    <w:uiPriority w:val="34"/>
    <w:pPr>
      <w:widowControl/>
      <w:ind w:left="720"/>
      <w:contextualSpacing/>
      <w:jc w:val="left"/>
    </w:pPr>
    <w:rPr>
      <w:rFonts w:ascii="Calibri" w:hAnsi="Calibri"/>
      <w:kern w:val="0"/>
      <w:sz w:val="24"/>
      <w:szCs w:val="24"/>
      <w:lang w:eastAsia="en-US" w:bidi="en-US"/>
    </w:rPr>
  </w:style>
  <w:style w:type="paragraph" w:customStyle="1" w:styleId="217">
    <w:name w:val="项目1"/>
    <w:basedOn w:val="1"/>
    <w:qFormat/>
    <w:uiPriority w:val="0"/>
    <w:pPr>
      <w:widowControl/>
      <w:tabs>
        <w:tab w:val="left" w:pos="720"/>
      </w:tabs>
      <w:autoSpaceDE w:val="0"/>
      <w:autoSpaceDN w:val="0"/>
      <w:adjustRightInd w:val="0"/>
      <w:spacing w:before="120" w:beforeLines="0" w:after="120" w:afterLines="0" w:line="300" w:lineRule="auto"/>
      <w:ind w:left="720" w:hanging="720"/>
      <w:jc w:val="left"/>
      <w:textAlignment w:val="bottom"/>
    </w:pPr>
    <w:rPr>
      <w:rFonts w:eastAsia="楷体_GB2312"/>
      <w:kern w:val="0"/>
      <w:sz w:val="24"/>
    </w:rPr>
  </w:style>
  <w:style w:type="paragraph" w:customStyle="1" w:styleId="218">
    <w:name w:val="图"/>
    <w:basedOn w:val="1"/>
    <w:qFormat/>
    <w:uiPriority w:val="0"/>
    <w:pPr>
      <w:keepNext/>
      <w:adjustRightInd w:val="0"/>
      <w:spacing w:before="60" w:after="60" w:line="300" w:lineRule="auto"/>
      <w:jc w:val="center"/>
      <w:textAlignment w:val="center"/>
    </w:pPr>
    <w:rPr>
      <w:rFonts w:ascii="Times New Roman" w:eastAsia="宋体"/>
      <w:snapToGrid w:val="0"/>
      <w:spacing w:val="20"/>
      <w:kern w:val="0"/>
      <w:sz w:val="24"/>
      <w:szCs w:val="20"/>
    </w:rPr>
  </w:style>
  <w:style w:type="paragraph" w:customStyle="1" w:styleId="219">
    <w:name w:val="正文缩进1"/>
    <w:basedOn w:val="1"/>
    <w:qFormat/>
    <w:uiPriority w:val="0"/>
    <w:pPr>
      <w:ind w:firstLine="420"/>
    </w:pPr>
    <w:rPr>
      <w:rFonts w:ascii="Times New Roman" w:eastAsia="宋体"/>
      <w:sz w:val="21"/>
      <w:szCs w:val="20"/>
    </w:rPr>
  </w:style>
  <w:style w:type="paragraph" w:customStyle="1" w:styleId="220">
    <w:name w:val="Char Char Char Char Char Char Char"/>
    <w:basedOn w:val="1"/>
    <w:qFormat/>
    <w:uiPriority w:val="0"/>
    <w:rPr>
      <w:szCs w:val="24"/>
    </w:rPr>
  </w:style>
  <w:style w:type="paragraph" w:customStyle="1" w:styleId="221">
    <w:name w:val="Normal_UserEntry"/>
    <w:basedOn w:val="1"/>
    <w:qFormat/>
    <w:uiPriority w:val="0"/>
    <w:pPr>
      <w:widowControl/>
      <w:jc w:val="left"/>
    </w:pPr>
    <w:rPr>
      <w:rFonts w:ascii="Futura Bk" w:hAnsi="Futura Bk"/>
      <w:color w:val="FF0000"/>
      <w:kern w:val="0"/>
      <w:sz w:val="20"/>
      <w:lang w:val="en-GB" w:eastAsia="en-US"/>
    </w:rPr>
  </w:style>
  <w:style w:type="paragraph" w:customStyle="1" w:styleId="222">
    <w:name w:val="Body text|1"/>
    <w:basedOn w:val="1"/>
    <w:qFormat/>
    <w:uiPriority w:val="0"/>
    <w:pPr>
      <w:spacing w:after="220" w:line="420" w:lineRule="auto"/>
      <w:ind w:firstLine="400"/>
      <w:jc w:val="left"/>
    </w:pPr>
    <w:rPr>
      <w:rFonts w:ascii="MingLiU" w:hAnsi="MingLiU" w:eastAsia="MingLiU" w:cs="MingLiU"/>
      <w:sz w:val="20"/>
      <w:szCs w:val="20"/>
      <w:lang w:val="zh-TW" w:eastAsia="zh-TW" w:bidi="zh-TW"/>
    </w:rPr>
  </w:style>
  <w:style w:type="paragraph" w:customStyle="1" w:styleId="223">
    <w:name w:val="*正文_0"/>
    <w:basedOn w:val="224"/>
    <w:next w:val="224"/>
    <w:qFormat/>
    <w:uiPriority w:val="0"/>
    <w:pPr>
      <w:widowControl/>
      <w:ind w:firstLine="482"/>
    </w:pPr>
    <w:rPr>
      <w:rFonts w:ascii="微软雅黑" w:hAnsi="微软雅黑" w:eastAsia="微软雅黑"/>
      <w:kern w:val="0"/>
      <w:szCs w:val="20"/>
    </w:rPr>
  </w:style>
  <w:style w:type="paragraph" w:customStyle="1" w:styleId="224">
    <w:name w:val="正文_1"/>
    <w:next w:val="2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5">
    <w:name w:val="正文文本_1"/>
    <w:basedOn w:val="224"/>
    <w:next w:val="226"/>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26">
    <w:name w:val="正文_1_0"/>
    <w:next w:val="2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Default_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28">
    <w:name w:val="样式 标题 1 + 四号 居中 段前: 12 磅 段后: 12 磅 行距: 单倍行距"/>
    <w:basedOn w:val="5"/>
    <w:qFormat/>
    <w:uiPriority w:val="0"/>
    <w:pPr>
      <w:keepLines/>
      <w:adjustRightInd w:val="0"/>
      <w:spacing w:before="240" w:beforeLines="0" w:after="240" w:afterLines="0"/>
      <w:jc w:val="center"/>
      <w:textAlignment w:val="baseline"/>
    </w:pPr>
    <w:rPr>
      <w:b/>
      <w:kern w:val="44"/>
      <w:sz w:val="28"/>
      <w:szCs w:val="20"/>
    </w:rPr>
  </w:style>
  <w:style w:type="paragraph" w:customStyle="1" w:styleId="229">
    <w:name w:val="默认段落字体 Para Char Char Char Char Char Char Char Char Char Char"/>
    <w:basedOn w:val="1"/>
    <w:qFormat/>
    <w:uiPriority w:val="0"/>
    <w:pPr>
      <w:tabs>
        <w:tab w:val="right" w:pos="-2120"/>
      </w:tabs>
      <w:snapToGrid w:val="0"/>
    </w:pPr>
    <w:rPr>
      <w:rFonts w:ascii="Tahoma" w:hAnsi="Tahoma"/>
      <w:spacing w:val="6"/>
      <w:sz w:val="24"/>
    </w:rPr>
  </w:style>
  <w:style w:type="paragraph" w:customStyle="1" w:styleId="230">
    <w:name w:val="正文加粗"/>
    <w:basedOn w:val="1"/>
    <w:qFormat/>
    <w:uiPriority w:val="0"/>
    <w:pPr>
      <w:widowControl/>
      <w:spacing w:line="360" w:lineRule="auto"/>
      <w:ind w:firstLine="200" w:firstLineChars="200"/>
      <w:jc w:val="left"/>
    </w:pPr>
    <w:rPr>
      <w:rFonts w:ascii="Arial" w:hAnsi="Arial"/>
      <w:b/>
      <w:kern w:val="0"/>
      <w:sz w:val="24"/>
    </w:rPr>
  </w:style>
  <w:style w:type="paragraph" w:customStyle="1" w:styleId="231">
    <w:name w:val="目录"/>
    <w:basedOn w:val="1"/>
    <w:next w:val="1"/>
    <w:qFormat/>
    <w:uiPriority w:val="0"/>
    <w:pPr>
      <w:adjustRightInd w:val="0"/>
      <w:spacing w:before="360" w:beforeLines="0" w:after="360" w:afterLines="0" w:line="300" w:lineRule="auto"/>
      <w:jc w:val="center"/>
      <w:textAlignment w:val="baseline"/>
    </w:pPr>
    <w:rPr>
      <w:rFonts w:ascii="宋体" w:hAnsi="宋体" w:eastAsia="黑体"/>
      <w:spacing w:val="20"/>
      <w:kern w:val="0"/>
    </w:rPr>
  </w:style>
  <w:style w:type="paragraph" w:customStyle="1" w:styleId="232">
    <w:name w:val="首行缩进:  2 字符 + 首行缩进:  2 字符 + 首行缩进:  2 字符"/>
    <w:basedOn w:val="1"/>
    <w:qFormat/>
    <w:uiPriority w:val="0"/>
    <w:pPr>
      <w:spacing w:before="40" w:beforeLines="0" w:line="400" w:lineRule="atLeast"/>
      <w:ind w:firstLine="200" w:firstLineChars="200"/>
    </w:pPr>
  </w:style>
  <w:style w:type="paragraph" w:customStyle="1" w:styleId="233">
    <w:name w:val="正文（标题4）"/>
    <w:basedOn w:val="1"/>
    <w:qFormat/>
    <w:uiPriority w:val="0"/>
    <w:pPr>
      <w:spacing w:line="360" w:lineRule="auto"/>
      <w:ind w:left="227" w:firstLine="200" w:firstLineChars="200"/>
    </w:pPr>
    <w:rPr>
      <w:sz w:val="24"/>
      <w:szCs w:val="24"/>
    </w:rPr>
  </w:style>
  <w:style w:type="paragraph" w:customStyle="1" w:styleId="234">
    <w:name w:val="默认段落字体 Para Char Char Char Char"/>
    <w:basedOn w:val="1"/>
    <w:qFormat/>
    <w:uiPriority w:val="0"/>
    <w:rPr>
      <w:szCs w:val="24"/>
    </w:rPr>
  </w:style>
  <w:style w:type="paragraph" w:customStyle="1" w:styleId="235">
    <w:name w:val="1 Char Char Char Char"/>
    <w:basedOn w:val="1"/>
    <w:qFormat/>
    <w:uiPriority w:val="0"/>
    <w:pPr>
      <w:tabs>
        <w:tab w:val="left" w:pos="360"/>
      </w:tabs>
    </w:pPr>
    <w:rPr>
      <w:sz w:val="24"/>
      <w:szCs w:val="24"/>
    </w:rPr>
  </w:style>
  <w:style w:type="paragraph" w:customStyle="1" w:styleId="236">
    <w:name w:val="公文标题 4"/>
    <w:basedOn w:val="237"/>
    <w:next w:val="1"/>
    <w:qFormat/>
    <w:uiPriority w:val="0"/>
    <w:pPr>
      <w:tabs>
        <w:tab w:val="left" w:pos="360"/>
      </w:tabs>
      <w:ind w:left="1599"/>
      <w:outlineLvl w:val="9"/>
    </w:pPr>
  </w:style>
  <w:style w:type="paragraph" w:customStyle="1" w:styleId="237">
    <w:name w:val="公文标题 3"/>
    <w:basedOn w:val="238"/>
    <w:next w:val="1"/>
    <w:qFormat/>
    <w:uiPriority w:val="0"/>
    <w:pPr>
      <w:tabs>
        <w:tab w:val="left" w:pos="360"/>
      </w:tabs>
      <w:ind w:left="-21"/>
      <w:outlineLvl w:val="2"/>
    </w:pPr>
  </w:style>
  <w:style w:type="paragraph" w:customStyle="1" w:styleId="238">
    <w:name w:val="公文标题 2"/>
    <w:basedOn w:val="239"/>
    <w:next w:val="1"/>
    <w:qFormat/>
    <w:uiPriority w:val="0"/>
    <w:pPr>
      <w:tabs>
        <w:tab w:val="left" w:pos="360"/>
      </w:tabs>
      <w:outlineLvl w:val="1"/>
    </w:pPr>
  </w:style>
  <w:style w:type="paragraph" w:customStyle="1" w:styleId="239">
    <w:name w:val="公文标题 1"/>
    <w:basedOn w:val="1"/>
    <w:next w:val="1"/>
    <w:qFormat/>
    <w:uiPriority w:val="0"/>
    <w:pPr>
      <w:tabs>
        <w:tab w:val="left" w:pos="360"/>
      </w:tabs>
      <w:spacing w:line="360" w:lineRule="auto"/>
      <w:ind w:firstLine="200"/>
      <w:outlineLvl w:val="0"/>
    </w:pPr>
    <w:rPr>
      <w:kern w:val="28"/>
      <w:sz w:val="28"/>
      <w:szCs w:val="24"/>
    </w:rPr>
  </w:style>
  <w:style w:type="paragraph" w:customStyle="1" w:styleId="240">
    <w:name w:val="表居中"/>
    <w:basedOn w:val="18"/>
    <w:qFormat/>
    <w:uiPriority w:val="0"/>
    <w:pPr>
      <w:spacing w:line="360" w:lineRule="auto"/>
      <w:ind w:firstLine="0"/>
      <w:jc w:val="center"/>
    </w:pPr>
    <w:rPr>
      <w:rFonts w:ascii="宋体" w:eastAsia="宋体"/>
      <w:kern w:val="0"/>
      <w:sz w:val="24"/>
      <w:szCs w:val="24"/>
    </w:rPr>
  </w:style>
  <w:style w:type="paragraph" w:customStyle="1" w:styleId="241">
    <w:name w:val="±íÏî"/>
    <w:basedOn w:val="1"/>
    <w:qFormat/>
    <w:uiPriority w:val="0"/>
    <w:pPr>
      <w:widowControl/>
      <w:overflowPunct w:val="0"/>
      <w:autoSpaceDE w:val="0"/>
      <w:autoSpaceDN w:val="0"/>
      <w:adjustRightInd w:val="0"/>
      <w:spacing w:line="300" w:lineRule="auto"/>
      <w:jc w:val="center"/>
      <w:textAlignment w:val="baseline"/>
    </w:pPr>
    <w:rPr>
      <w:kern w:val="0"/>
      <w:sz w:val="18"/>
    </w:rPr>
  </w:style>
  <w:style w:type="paragraph" w:customStyle="1" w:styleId="242">
    <w:name w:val="默认段落字体 Para Char"/>
    <w:basedOn w:val="1"/>
    <w:qFormat/>
    <w:uiPriority w:val="0"/>
    <w:pPr>
      <w:numPr>
        <w:ilvl w:val="0"/>
        <w:numId w:val="4"/>
      </w:numPr>
      <w:tabs>
        <w:tab w:val="left" w:pos="360"/>
        <w:tab w:val="clear" w:pos="420"/>
      </w:tabs>
    </w:pPr>
    <w:rPr>
      <w:sz w:val="24"/>
      <w:szCs w:val="24"/>
    </w:rPr>
  </w:style>
  <w:style w:type="paragraph" w:customStyle="1" w:styleId="243">
    <w:name w:val="*正文_1"/>
    <w:basedOn w:val="224"/>
    <w:next w:val="224"/>
    <w:qFormat/>
    <w:uiPriority w:val="0"/>
    <w:pPr>
      <w:widowControl/>
      <w:ind w:firstLine="482"/>
    </w:pPr>
    <w:rPr>
      <w:rFonts w:ascii="微软雅黑" w:hAnsi="微软雅黑" w:eastAsia="微软雅黑"/>
      <w:kern w:val="0"/>
      <w:szCs w:val="20"/>
    </w:rPr>
  </w:style>
  <w:style w:type="paragraph" w:customStyle="1" w:styleId="244">
    <w:name w:val="Char1 Char Char Char Char Char Char"/>
    <w:basedOn w:val="1"/>
    <w:qFormat/>
    <w:uiPriority w:val="0"/>
    <w:pPr>
      <w:numPr>
        <w:ilvl w:val="0"/>
        <w:numId w:val="5"/>
      </w:numPr>
      <w:ind w:left="0" w:firstLine="0"/>
    </w:pPr>
    <w:rPr>
      <w:rFonts w:ascii="Tahoma" w:hAnsi="Tahoma"/>
      <w:sz w:val="24"/>
    </w:rPr>
  </w:style>
  <w:style w:type="paragraph" w:customStyle="1" w:styleId="245">
    <w:name w:val="reader-word-layer"/>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246">
    <w:name w:val="style5"/>
    <w:basedOn w:val="1"/>
    <w:qFormat/>
    <w:uiPriority w:val="0"/>
    <w:pPr>
      <w:widowControl/>
      <w:spacing w:before="100" w:beforeLines="0" w:beforeAutospacing="1" w:after="100" w:afterLines="0" w:afterAutospacing="1"/>
      <w:jc w:val="left"/>
    </w:pPr>
    <w:rPr>
      <w:rFonts w:ascii="Arial" w:hAnsi="Arial" w:cs="Arial"/>
      <w:kern w:val="0"/>
      <w:sz w:val="20"/>
    </w:rPr>
  </w:style>
  <w:style w:type="paragraph" w:customStyle="1" w:styleId="247">
    <w:name w:val="表目录1"/>
    <w:basedOn w:val="1"/>
    <w:qFormat/>
    <w:uiPriority w:val="0"/>
    <w:pPr>
      <w:spacing w:line="300" w:lineRule="auto"/>
    </w:pPr>
    <w:rPr>
      <w:rFonts w:ascii="Tahoma" w:hAnsi="Tahoma"/>
      <w:sz w:val="24"/>
    </w:rPr>
  </w:style>
  <w:style w:type="paragraph" w:customStyle="1" w:styleId="248">
    <w:name w:val="Char4"/>
    <w:basedOn w:val="1"/>
    <w:qFormat/>
    <w:uiPriority w:val="0"/>
    <w:rPr>
      <w:b/>
    </w:rPr>
  </w:style>
  <w:style w:type="paragraph" w:customStyle="1" w:styleId="249">
    <w:name w:val="font5"/>
    <w:basedOn w:val="1"/>
    <w:qFormat/>
    <w:uiPriority w:val="0"/>
    <w:pPr>
      <w:widowControl/>
      <w:spacing w:before="100" w:beforeLines="0" w:beforeAutospacing="1" w:after="100" w:afterLines="0" w:afterAutospacing="1"/>
      <w:jc w:val="left"/>
    </w:pPr>
    <w:rPr>
      <w:rFonts w:hint="eastAsia" w:ascii="宋体" w:hAnsi="宋体"/>
      <w:kern w:val="0"/>
      <w:sz w:val="24"/>
      <w:szCs w:val="24"/>
    </w:rPr>
  </w:style>
  <w:style w:type="paragraph" w:customStyle="1" w:styleId="250">
    <w:name w:val="样式7"/>
    <w:basedOn w:val="1"/>
    <w:qFormat/>
    <w:uiPriority w:val="0"/>
    <w:pPr>
      <w:tabs>
        <w:tab w:val="left" w:pos="0"/>
      </w:tabs>
      <w:adjustRightInd w:val="0"/>
      <w:spacing w:before="156" w:beforeLines="50" w:after="156" w:afterLines="50" w:line="360" w:lineRule="auto"/>
      <w:ind w:firstLine="669"/>
      <w:textAlignment w:val="baseline"/>
    </w:pPr>
    <w:rPr>
      <w:rFonts w:ascii="宋体"/>
      <w:kern w:val="0"/>
      <w:sz w:val="28"/>
    </w:rPr>
  </w:style>
  <w:style w:type="paragraph" w:customStyle="1" w:styleId="251">
    <w:name w:val="Pa10"/>
    <w:basedOn w:val="1"/>
    <w:next w:val="1"/>
    <w:qFormat/>
    <w:uiPriority w:val="0"/>
    <w:pPr>
      <w:autoSpaceDE w:val="0"/>
      <w:autoSpaceDN w:val="0"/>
      <w:adjustRightInd w:val="0"/>
      <w:spacing w:line="141" w:lineRule="atLeast"/>
      <w:jc w:val="left"/>
    </w:pPr>
    <w:rPr>
      <w:rFonts w:ascii="FZHei-B01S" w:eastAsia="FZHei-B01S"/>
      <w:kern w:val="0"/>
      <w:sz w:val="24"/>
      <w:szCs w:val="24"/>
    </w:rPr>
  </w:style>
  <w:style w:type="paragraph" w:customStyle="1" w:styleId="252">
    <w:name w:val="封面**"/>
    <w:basedOn w:val="199"/>
    <w:qFormat/>
    <w:uiPriority w:val="0"/>
    <w:rPr>
      <w:rFonts w:eastAsia="Times New Roman"/>
      <w:sz w:val="24"/>
      <w:szCs w:val="24"/>
    </w:rPr>
  </w:style>
  <w:style w:type="paragraph" w:customStyle="1" w:styleId="253">
    <w:name w:val="封面上部"/>
    <w:basedOn w:val="1"/>
    <w:qFormat/>
    <w:uiPriority w:val="0"/>
    <w:pPr>
      <w:adjustRightInd w:val="0"/>
      <w:spacing w:line="440" w:lineRule="exact"/>
      <w:jc w:val="right"/>
      <w:textAlignment w:val="baseline"/>
    </w:pPr>
    <w:rPr>
      <w:rFonts w:ascii="宋体"/>
      <w:kern w:val="0"/>
      <w:sz w:val="24"/>
      <w:szCs w:val="24"/>
    </w:rPr>
  </w:style>
  <w:style w:type="paragraph" w:customStyle="1" w:styleId="254">
    <w:name w:val="Char Char Char Char1 Char Char"/>
    <w:basedOn w:val="1"/>
    <w:qFormat/>
    <w:uiPriority w:val="0"/>
    <w:pPr>
      <w:widowControl/>
      <w:spacing w:after="160" w:afterLines="0" w:line="240" w:lineRule="exact"/>
      <w:jc w:val="left"/>
    </w:pPr>
    <w:rPr>
      <w:rFonts w:ascii="Verdana" w:hAnsi="Verdana"/>
      <w:kern w:val="0"/>
      <w:lang w:eastAsia="en-US"/>
    </w:rPr>
  </w:style>
  <w:style w:type="paragraph" w:customStyle="1" w:styleId="255">
    <w:name w:val="安徽正文"/>
    <w:basedOn w:val="1"/>
    <w:qFormat/>
    <w:uiPriority w:val="0"/>
    <w:pPr>
      <w:snapToGrid w:val="0"/>
      <w:spacing w:line="312" w:lineRule="auto"/>
      <w:ind w:firstLine="454"/>
    </w:pPr>
    <w:rPr>
      <w:rFonts w:ascii="Century Gothic" w:hAnsi="Century Gothic" w:eastAsia="华康简宋"/>
      <w:smallCaps/>
      <w:snapToGrid w:val="0"/>
      <w:spacing w:val="8"/>
      <w:sz w:val="24"/>
    </w:rPr>
  </w:style>
  <w:style w:type="paragraph" w:customStyle="1" w:styleId="25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7">
    <w:name w:val="五号正文（标准）"/>
    <w:basedOn w:val="1"/>
    <w:qFormat/>
    <w:uiPriority w:val="0"/>
    <w:pPr>
      <w:numPr>
        <w:ilvl w:val="3"/>
        <w:numId w:val="6"/>
      </w:numPr>
      <w:spacing w:line="360" w:lineRule="auto"/>
      <w:ind w:left="0" w:firstLine="200" w:firstLineChars="200"/>
    </w:pPr>
    <w:rPr>
      <w:rFonts w:ascii="宋体"/>
      <w:sz w:val="24"/>
      <w:szCs w:val="24"/>
    </w:rPr>
  </w:style>
  <w:style w:type="paragraph" w:customStyle="1" w:styleId="258">
    <w:name w:val="表格文本"/>
    <w:basedOn w:val="1"/>
    <w:qFormat/>
    <w:uiPriority w:val="0"/>
    <w:pPr>
      <w:tabs>
        <w:tab w:val="decimal" w:pos="0"/>
      </w:tabs>
      <w:autoSpaceDE w:val="0"/>
      <w:autoSpaceDN w:val="0"/>
      <w:adjustRightInd w:val="0"/>
      <w:jc w:val="left"/>
    </w:pPr>
    <w:rPr>
      <w:rFonts w:ascii="Arial" w:hAnsi="Arial"/>
      <w:kern w:val="0"/>
      <w:szCs w:val="21"/>
    </w:rPr>
  </w:style>
  <w:style w:type="paragraph" w:customStyle="1" w:styleId="259">
    <w:name w:val="默认段落字体 Para Char Char Char Char Char Char Char"/>
    <w:basedOn w:val="1"/>
    <w:qFormat/>
    <w:uiPriority w:val="0"/>
    <w:rPr>
      <w:rFonts w:ascii="Tahoma" w:hAnsi="Tahoma"/>
      <w:sz w:val="24"/>
    </w:rPr>
  </w:style>
  <w:style w:type="paragraph" w:customStyle="1" w:styleId="260">
    <w:name w:val="默认段落字体 Para Char Char Char Char Char Char Char Char Char Char Char Char Char Char Char Char Char Char Char Char Char Char Char Char Char Char Char Char Char"/>
    <w:basedOn w:val="20"/>
    <w:qFormat/>
    <w:uiPriority w:val="0"/>
    <w:pPr>
      <w:spacing w:line="240" w:lineRule="auto"/>
      <w:ind w:firstLine="0" w:firstLineChars="0"/>
    </w:pPr>
    <w:rPr>
      <w:rFonts w:ascii="Tahoma" w:hAnsi="Tahoma"/>
    </w:rPr>
  </w:style>
  <w:style w:type="paragraph" w:customStyle="1" w:styleId="261">
    <w:name w:val="Char Char Char Char Char Char Char Char Char Char Char Char Char Char Char Char"/>
    <w:basedOn w:val="1"/>
    <w:qFormat/>
    <w:uiPriority w:val="0"/>
    <w:pPr>
      <w:tabs>
        <w:tab w:val="left" w:pos="360"/>
      </w:tabs>
    </w:pPr>
    <w:rPr>
      <w:sz w:val="24"/>
      <w:szCs w:val="24"/>
    </w:rPr>
  </w:style>
  <w:style w:type="paragraph" w:customStyle="1" w:styleId="262">
    <w:name w:val="Char Char1 Char Char Char Char Char Char Char Char Char Char Char Char Char Char Char"/>
    <w:basedOn w:val="1"/>
    <w:qFormat/>
    <w:uiPriority w:val="0"/>
    <w:pPr>
      <w:widowControl/>
      <w:spacing w:after="160" w:afterLines="0" w:line="240" w:lineRule="exact"/>
      <w:jc w:val="left"/>
    </w:pPr>
    <w:rPr>
      <w:rFonts w:ascii="Verdana" w:hAnsi="Verdana"/>
      <w:kern w:val="0"/>
      <w:sz w:val="20"/>
      <w:lang w:eastAsia="en-US"/>
    </w:rPr>
  </w:style>
  <w:style w:type="paragraph" w:customStyle="1" w:styleId="263">
    <w:name w:val="Option"/>
    <w:basedOn w:val="1"/>
    <w:qFormat/>
    <w:uiPriority w:val="0"/>
    <w:pPr>
      <w:widowControl/>
      <w:tabs>
        <w:tab w:val="left" w:pos="1080"/>
      </w:tabs>
      <w:ind w:left="1080" w:hanging="360"/>
      <w:jc w:val="left"/>
    </w:pPr>
    <w:rPr>
      <w:rFonts w:ascii="Arial" w:hAnsi="Arial"/>
      <w:color w:val="000000"/>
      <w:kern w:val="0"/>
      <w:sz w:val="22"/>
    </w:rPr>
  </w:style>
  <w:style w:type="paragraph" w:customStyle="1" w:styleId="264">
    <w:name w:val="Item Step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265">
    <w:name w:val="（1）项目编号"/>
    <w:basedOn w:val="266"/>
    <w:qFormat/>
    <w:uiPriority w:val="0"/>
    <w:pPr>
      <w:tabs>
        <w:tab w:val="left" w:pos="0"/>
        <w:tab w:val="left" w:pos="360"/>
        <w:tab w:val="left" w:pos="780"/>
      </w:tabs>
      <w:ind w:left="840" w:hanging="360"/>
    </w:pPr>
  </w:style>
  <w:style w:type="paragraph" w:customStyle="1" w:styleId="266">
    <w:name w:val="1、项目编号"/>
    <w:basedOn w:val="18"/>
    <w:qFormat/>
    <w:uiPriority w:val="0"/>
    <w:pPr>
      <w:tabs>
        <w:tab w:val="left" w:pos="0"/>
      </w:tabs>
      <w:spacing w:line="360" w:lineRule="auto"/>
      <w:ind w:left="420" w:hanging="420"/>
    </w:pPr>
    <w:rPr>
      <w:rFonts w:eastAsia="宋体"/>
      <w:sz w:val="24"/>
      <w:szCs w:val="24"/>
    </w:rPr>
  </w:style>
  <w:style w:type="paragraph" w:customStyle="1" w:styleId="267">
    <w:name w:val="样式 正文缩进表正文正文非缩进特点四号段1缩进ALT+Z标题4正文不缩进水上软件正文缩进（首行缩进两字）..."/>
    <w:basedOn w:val="18"/>
    <w:qFormat/>
    <w:uiPriority w:val="0"/>
    <w:pPr>
      <w:spacing w:line="360" w:lineRule="auto"/>
    </w:pPr>
    <w:rPr>
      <w:rFonts w:ascii="Arial" w:hAnsi="Arial" w:eastAsia="宋体" w:cs="宋体"/>
      <w:sz w:val="28"/>
      <w:szCs w:val="28"/>
    </w:rPr>
  </w:style>
  <w:style w:type="paragraph" w:customStyle="1" w:styleId="268">
    <w:name w:val="封面标题"/>
    <w:basedOn w:val="1"/>
    <w:qFormat/>
    <w:uiPriority w:val="0"/>
    <w:pPr>
      <w:widowControl/>
      <w:jc w:val="center"/>
    </w:pPr>
    <w:rPr>
      <w:rFonts w:ascii="黑体" w:hAnsi="Calibri" w:eastAsia="黑体"/>
      <w:kern w:val="0"/>
      <w:sz w:val="36"/>
      <w:szCs w:val="36"/>
      <w:lang w:eastAsia="en-US" w:bidi="en-US"/>
    </w:rPr>
  </w:style>
  <w:style w:type="paragraph" w:customStyle="1" w:styleId="269">
    <w:name w:val="表格列标题"/>
    <w:basedOn w:val="1"/>
    <w:qFormat/>
    <w:uiPriority w:val="0"/>
    <w:pPr>
      <w:autoSpaceDE w:val="0"/>
      <w:autoSpaceDN w:val="0"/>
      <w:adjustRightInd w:val="0"/>
      <w:jc w:val="center"/>
    </w:pPr>
    <w:rPr>
      <w:b/>
      <w:kern w:val="0"/>
    </w:rPr>
  </w:style>
  <w:style w:type="paragraph" w:customStyle="1" w:styleId="270">
    <w:name w:val="纯文本1"/>
    <w:basedOn w:val="1"/>
    <w:qFormat/>
    <w:uiPriority w:val="0"/>
    <w:pPr>
      <w:adjustRightInd w:val="0"/>
      <w:spacing w:line="312" w:lineRule="atLeast"/>
      <w:textAlignment w:val="baseline"/>
    </w:pPr>
    <w:rPr>
      <w:rFonts w:ascii="宋体"/>
      <w:kern w:val="0"/>
    </w:rPr>
  </w:style>
  <w:style w:type="paragraph" w:customStyle="1" w:styleId="271">
    <w:name w:val="Char1 Char Char Char1"/>
    <w:basedOn w:val="20"/>
    <w:qFormat/>
    <w:uiPriority w:val="0"/>
    <w:pPr>
      <w:spacing w:line="240" w:lineRule="auto"/>
      <w:ind w:firstLine="0" w:firstLineChars="0"/>
    </w:pPr>
    <w:rPr>
      <w:rFonts w:ascii="Tahoma" w:hAnsi="Tahoma"/>
    </w:rPr>
  </w:style>
  <w:style w:type="paragraph" w:customStyle="1" w:styleId="272">
    <w:name w:val="样式 标题 2PIM2H2Heading 2 HiddenHeading 2 CCBSheading 2Titre3..."/>
    <w:basedOn w:val="6"/>
    <w:qFormat/>
    <w:uiPriority w:val="0"/>
    <w:pPr>
      <w:tabs>
        <w:tab w:val="left" w:pos="840"/>
      </w:tabs>
      <w:adjustRightInd w:val="0"/>
      <w:spacing w:before="360" w:beforeLines="0" w:after="360" w:afterLines="0"/>
      <w:ind w:left="-171" w:leftChars="-171"/>
      <w:textAlignment w:val="baseline"/>
    </w:pPr>
    <w:rPr>
      <w:rFonts w:ascii="仿宋_GB2312" w:eastAsia="仿宋_GB2312"/>
      <w:b w:val="0"/>
      <w:bCs w:val="0"/>
      <w:i/>
      <w:iCs/>
    </w:rPr>
  </w:style>
  <w:style w:type="paragraph" w:customStyle="1" w:styleId="273">
    <w:name w:val="列表内容"/>
    <w:basedOn w:val="1"/>
    <w:next w:val="1"/>
    <w:qFormat/>
    <w:uiPriority w:val="0"/>
    <w:pPr>
      <w:widowControl/>
      <w:tabs>
        <w:tab w:val="left" w:pos="360"/>
      </w:tabs>
      <w:ind w:left="360" w:hanging="360"/>
      <w:jc w:val="left"/>
    </w:pPr>
    <w:rPr>
      <w:kern w:val="0"/>
      <w:sz w:val="18"/>
      <w:szCs w:val="24"/>
    </w:rPr>
  </w:style>
  <w:style w:type="paragraph" w:customStyle="1" w:styleId="274">
    <w:name w:val="样式 Verdana 首行缩进:  0.74 厘米"/>
    <w:basedOn w:val="1"/>
    <w:qFormat/>
    <w:uiPriority w:val="0"/>
    <w:pPr>
      <w:spacing w:line="360" w:lineRule="auto"/>
      <w:ind w:firstLine="420"/>
    </w:pPr>
    <w:rPr>
      <w:rFonts w:ascii="Verdana" w:hAnsi="Verdana" w:eastAsia="宋体" w:cs="宋体"/>
      <w:sz w:val="24"/>
      <w:szCs w:val="20"/>
    </w:rPr>
  </w:style>
  <w:style w:type="paragraph" w:customStyle="1" w:styleId="275">
    <w:name w:val="tableheading"/>
    <w:basedOn w:val="1"/>
    <w:qFormat/>
    <w:uiPriority w:val="0"/>
    <w:pPr>
      <w:widowControl/>
      <w:spacing w:before="100" w:beforeLines="0" w:beforeAutospacing="1" w:after="100" w:afterLines="0" w:afterAutospacing="1"/>
      <w:jc w:val="left"/>
    </w:pPr>
    <w:rPr>
      <w:rFonts w:ascii="宋体" w:cs="宋体"/>
      <w:kern w:val="0"/>
      <w:sz w:val="24"/>
      <w:szCs w:val="24"/>
    </w:rPr>
  </w:style>
  <w:style w:type="paragraph" w:customStyle="1" w:styleId="276">
    <w:name w:val="标准1 段落"/>
    <w:basedOn w:val="1"/>
    <w:qFormat/>
    <w:uiPriority w:val="0"/>
    <w:pPr>
      <w:tabs>
        <w:tab w:val="left" w:pos="360"/>
      </w:tabs>
      <w:spacing w:before="156" w:beforeLines="50" w:line="360" w:lineRule="auto"/>
      <w:ind w:left="360" w:hanging="360"/>
    </w:pPr>
    <w:rPr>
      <w:sz w:val="24"/>
      <w:szCs w:val="24"/>
    </w:rPr>
  </w:style>
  <w:style w:type="paragraph" w:customStyle="1" w:styleId="277">
    <w:name w:val="Char Char Char Char1"/>
    <w:basedOn w:val="1"/>
    <w:qFormat/>
    <w:uiPriority w:val="0"/>
    <w:pPr>
      <w:widowControl/>
      <w:snapToGrid w:val="0"/>
      <w:spacing w:after="160" w:afterLines="0" w:line="360" w:lineRule="auto"/>
      <w:jc w:val="left"/>
    </w:pPr>
    <w:rPr>
      <w:kern w:val="0"/>
      <w:sz w:val="24"/>
      <w:szCs w:val="24"/>
      <w:lang w:eastAsia="en-US"/>
    </w:rPr>
  </w:style>
  <w:style w:type="paragraph" w:customStyle="1" w:styleId="278">
    <w:name w:val="项目编号"/>
    <w:basedOn w:val="1"/>
    <w:qFormat/>
    <w:uiPriority w:val="0"/>
    <w:pPr>
      <w:tabs>
        <w:tab w:val="left" w:pos="840"/>
      </w:tabs>
      <w:spacing w:line="360" w:lineRule="auto"/>
      <w:ind w:left="840" w:hanging="840"/>
    </w:pPr>
    <w:rPr>
      <w:rFonts w:ascii="宋体"/>
      <w:sz w:val="24"/>
      <w:szCs w:val="24"/>
    </w:rPr>
  </w:style>
  <w:style w:type="paragraph" w:customStyle="1" w:styleId="279">
    <w:name w:val="封面下部"/>
    <w:basedOn w:val="1"/>
    <w:qFormat/>
    <w:uiPriority w:val="0"/>
    <w:pPr>
      <w:adjustRightInd w:val="0"/>
      <w:spacing w:line="520" w:lineRule="exact"/>
      <w:jc w:val="left"/>
      <w:textAlignment w:val="baseline"/>
    </w:pPr>
    <w:rPr>
      <w:rFonts w:ascii="宋体" w:eastAsia="黑体"/>
      <w:kern w:val="0"/>
    </w:rPr>
  </w:style>
  <w:style w:type="paragraph" w:customStyle="1" w:styleId="280">
    <w:name w:val="标书正文"/>
    <w:basedOn w:val="2"/>
    <w:qFormat/>
    <w:uiPriority w:val="0"/>
    <w:pPr>
      <w:widowControl/>
      <w:spacing w:before="156" w:beforeLines="50" w:after="156" w:afterLines="50" w:line="400" w:lineRule="exact"/>
      <w:ind w:firstLine="200" w:firstLineChars="200"/>
    </w:pPr>
    <w:rPr>
      <w:rFonts w:ascii="黑体" w:hAnsi="黑体" w:eastAsia="宋体"/>
      <w:kern w:val="0"/>
      <w:sz w:val="24"/>
      <w:szCs w:val="20"/>
    </w:rPr>
  </w:style>
  <w:style w:type="paragraph" w:customStyle="1" w:styleId="281">
    <w:name w:val="&quot;Table caption|1&quot;"/>
    <w:basedOn w:val="1"/>
    <w:qFormat/>
    <w:uiPriority w:val="0"/>
    <w:pPr>
      <w:shd w:val="clear" w:color="FFFFFF" w:fill="FFFFFF"/>
      <w:jc w:val="left"/>
    </w:pPr>
    <w:rPr>
      <w:rFonts w:ascii="MingLiU" w:hAnsi="MingLiU" w:eastAsia="MingLiU" w:cs="MingLiU"/>
      <w:color w:val="000000"/>
      <w:kern w:val="0"/>
      <w:sz w:val="19"/>
      <w:szCs w:val="19"/>
      <w:lang w:val="zh-TW" w:eastAsia="zh-TW" w:bidi="zh-TW"/>
    </w:rPr>
  </w:style>
  <w:style w:type="paragraph" w:customStyle="1" w:styleId="282">
    <w:name w:val="正文文字"/>
    <w:basedOn w:val="1"/>
    <w:qFormat/>
    <w:uiPriority w:val="0"/>
    <w:pPr>
      <w:adjustRightInd w:val="0"/>
      <w:snapToGrid w:val="0"/>
      <w:spacing w:line="360" w:lineRule="auto"/>
      <w:ind w:firstLine="200" w:firstLineChars="200"/>
    </w:pPr>
    <w:rPr>
      <w:rFonts w:ascii="宋体"/>
      <w:snapToGrid w:val="0"/>
      <w:kern w:val="0"/>
      <w:sz w:val="24"/>
      <w:szCs w:val="24"/>
    </w:rPr>
  </w:style>
  <w:style w:type="paragraph" w:customStyle="1" w:styleId="283">
    <w:name w:val="大标题"/>
    <w:basedOn w:val="1"/>
    <w:qFormat/>
    <w:uiPriority w:val="0"/>
    <w:pPr>
      <w:jc w:val="center"/>
    </w:pPr>
    <w:rPr>
      <w:rFonts w:ascii="Arial" w:hAnsi="Arial" w:eastAsia="宋体"/>
      <w:b/>
      <w:sz w:val="28"/>
      <w:szCs w:val="24"/>
    </w:rPr>
  </w:style>
  <w:style w:type="paragraph" w:customStyle="1" w:styleId="284">
    <w:name w:val="标二"/>
    <w:next w:val="1"/>
    <w:qFormat/>
    <w:uiPriority w:val="0"/>
    <w:pPr>
      <w:numPr>
        <w:ilvl w:val="0"/>
        <w:numId w:val="7"/>
      </w:numPr>
      <w:tabs>
        <w:tab w:val="left" w:pos="0"/>
        <w:tab w:val="clear" w:pos="420"/>
      </w:tabs>
      <w:ind w:left="493" w:hanging="567"/>
      <w:outlineLvl w:val="1"/>
    </w:pPr>
    <w:rPr>
      <w:rFonts w:ascii="黑体" w:hAnsi="Times New Roman" w:eastAsia="黑体" w:cs="Times New Roman"/>
      <w:b/>
      <w:bCs/>
      <w:kern w:val="2"/>
      <w:sz w:val="32"/>
      <w:szCs w:val="32"/>
      <w:lang w:val="en-US" w:eastAsia="zh-CN" w:bidi="ar-SA"/>
    </w:rPr>
  </w:style>
  <w:style w:type="paragraph" w:customStyle="1" w:styleId="285">
    <w:name w:val="Pa6"/>
    <w:basedOn w:val="1"/>
    <w:next w:val="1"/>
    <w:qFormat/>
    <w:uiPriority w:val="0"/>
    <w:pPr>
      <w:autoSpaceDE w:val="0"/>
      <w:autoSpaceDN w:val="0"/>
      <w:adjustRightInd w:val="0"/>
      <w:spacing w:line="141" w:lineRule="atLeast"/>
      <w:jc w:val="left"/>
    </w:pPr>
    <w:rPr>
      <w:rFonts w:ascii="Arial Unicode MS" w:eastAsia="Arial Unicode MS" w:cs="Arial Unicode MS"/>
      <w:kern w:val="0"/>
      <w:sz w:val="24"/>
      <w:szCs w:val="24"/>
    </w:rPr>
  </w:style>
  <w:style w:type="paragraph" w:customStyle="1" w:styleId="286">
    <w:name w:val="xl23"/>
    <w:basedOn w:val="1"/>
    <w:qFormat/>
    <w:uiPriority w:val="0"/>
    <w:pPr>
      <w:widowControl/>
      <w:spacing w:before="100" w:beforeLines="0" w:beforeAutospacing="1" w:after="100" w:afterLines="0" w:afterAutospacing="1" w:line="360" w:lineRule="auto"/>
    </w:pPr>
    <w:rPr>
      <w:kern w:val="0"/>
      <w:sz w:val="24"/>
      <w:szCs w:val="24"/>
    </w:rPr>
  </w:style>
  <w:style w:type="paragraph" w:customStyle="1" w:styleId="287">
    <w:name w:val="_Style 286"/>
    <w:basedOn w:val="5"/>
    <w:next w:val="1"/>
    <w:qFormat/>
    <w:uiPriority w:val="39"/>
    <w:pPr>
      <w:widowControl/>
      <w:spacing w:before="240" w:beforeLines="0" w:after="60" w:afterLines="0"/>
      <w:jc w:val="left"/>
      <w:outlineLvl w:val="9"/>
    </w:pPr>
    <w:rPr>
      <w:rFonts w:ascii="Cambria" w:hAnsi="Cambria"/>
      <w:b/>
      <w:bCs/>
      <w:kern w:val="32"/>
      <w:sz w:val="32"/>
      <w:szCs w:val="32"/>
      <w:lang w:eastAsia="en-US" w:bidi="en-US"/>
    </w:rPr>
  </w:style>
  <w:style w:type="paragraph" w:customStyle="1" w:styleId="288">
    <w:name w:val="文档标签"/>
    <w:basedOn w:val="1"/>
    <w:qFormat/>
    <w:uiPriority w:val="0"/>
    <w:pPr>
      <w:keepNext/>
      <w:keepLines/>
      <w:widowControl/>
      <w:overflowPunct w:val="0"/>
      <w:autoSpaceDE w:val="0"/>
      <w:autoSpaceDN w:val="0"/>
      <w:spacing w:before="420" w:beforeLines="0" w:line="600" w:lineRule="exact"/>
      <w:ind w:left="660" w:right="720"/>
      <w:jc w:val="left"/>
    </w:pPr>
    <w:rPr>
      <w:spacing w:val="-30"/>
      <w:kern w:val="28"/>
      <w:sz w:val="60"/>
    </w:rPr>
  </w:style>
  <w:style w:type="paragraph" w:customStyle="1" w:styleId="289">
    <w:name w:val="ZW"/>
    <w:basedOn w:val="1"/>
    <w:qFormat/>
    <w:uiPriority w:val="0"/>
    <w:pPr>
      <w:widowControl/>
      <w:topLinePunct/>
      <w:spacing w:line="360" w:lineRule="auto"/>
      <w:ind w:firstLine="425" w:firstLineChars="200"/>
    </w:pPr>
    <w:rPr>
      <w:spacing w:val="8"/>
      <w:sz w:val="24"/>
    </w:rPr>
  </w:style>
  <w:style w:type="paragraph" w:customStyle="1" w:styleId="290">
    <w:name w:val="Char"/>
    <w:basedOn w:val="1"/>
    <w:qFormat/>
    <w:uiPriority w:val="0"/>
    <w:rPr>
      <w:b/>
    </w:rPr>
  </w:style>
  <w:style w:type="paragraph" w:customStyle="1" w:styleId="291">
    <w:name w:val="Numbered list 2.3"/>
    <w:basedOn w:val="7"/>
    <w:next w:val="1"/>
    <w:qFormat/>
    <w:uiPriority w:val="0"/>
    <w:pPr>
      <w:keepLines w:val="0"/>
      <w:widowControl/>
      <w:tabs>
        <w:tab w:val="left" w:pos="360"/>
        <w:tab w:val="left" w:pos="705"/>
        <w:tab w:val="left" w:pos="1080"/>
      </w:tabs>
      <w:spacing w:before="240" w:beforeLines="0" w:after="60" w:afterLines="0" w:line="240" w:lineRule="auto"/>
      <w:ind w:left="720" w:hanging="720"/>
      <w:jc w:val="left"/>
    </w:pPr>
    <w:rPr>
      <w:rFonts w:ascii="Arial" w:hAnsi="Arial" w:eastAsia="宋体"/>
      <w:b w:val="0"/>
      <w:iCs/>
      <w:kern w:val="0"/>
      <w:sz w:val="28"/>
      <w:szCs w:val="24"/>
    </w:rPr>
  </w:style>
  <w:style w:type="paragraph" w:customStyle="1" w:styleId="292">
    <w:name w:val="列出段落1"/>
    <w:basedOn w:val="1"/>
    <w:qFormat/>
    <w:uiPriority w:val="0"/>
    <w:pPr>
      <w:widowControl/>
      <w:spacing w:line="300" w:lineRule="auto"/>
      <w:ind w:firstLine="200" w:firstLineChars="200"/>
    </w:pPr>
    <w:rPr>
      <w:rFonts w:ascii="Arial" w:hAnsi="Arial"/>
      <w:kern w:val="0"/>
      <w:sz w:val="18"/>
    </w:rPr>
  </w:style>
  <w:style w:type="paragraph" w:customStyle="1" w:styleId="293">
    <w:name w:val="NAP Normal"/>
    <w:basedOn w:val="1"/>
    <w:qFormat/>
    <w:uiPriority w:val="0"/>
    <w:pPr>
      <w:spacing w:line="240" w:lineRule="exact"/>
    </w:pPr>
    <w:rPr>
      <w:kern w:val="0"/>
      <w:sz w:val="22"/>
    </w:rPr>
  </w:style>
  <w:style w:type="paragraph" w:customStyle="1" w:styleId="294">
    <w:name w:val="样式1"/>
    <w:basedOn w:val="8"/>
    <w:qFormat/>
    <w:uiPriority w:val="0"/>
    <w:pPr>
      <w:spacing w:line="360" w:lineRule="auto"/>
    </w:pPr>
  </w:style>
  <w:style w:type="paragraph" w:customStyle="1" w:styleId="295">
    <w:name w:val="Char Char1"/>
    <w:basedOn w:val="1"/>
    <w:qFormat/>
    <w:uiPriority w:val="0"/>
    <w:pPr>
      <w:widowControl/>
      <w:spacing w:after="160" w:afterLines="0" w:line="240" w:lineRule="exact"/>
      <w:jc w:val="left"/>
    </w:pPr>
    <w:rPr>
      <w:sz w:val="24"/>
      <w:szCs w:val="24"/>
    </w:rPr>
  </w:style>
  <w:style w:type="paragraph" w:customStyle="1" w:styleId="296">
    <w:name w:val="Char2"/>
    <w:basedOn w:val="1"/>
    <w:qFormat/>
    <w:uiPriority w:val="0"/>
    <w:pPr>
      <w:tabs>
        <w:tab w:val="left" w:pos="360"/>
      </w:tabs>
    </w:pPr>
    <w:rPr>
      <w:sz w:val="24"/>
      <w:szCs w:val="24"/>
    </w:rPr>
  </w:style>
  <w:style w:type="paragraph" w:customStyle="1" w:styleId="297">
    <w:name w:val="Char1"/>
    <w:basedOn w:val="20"/>
    <w:qFormat/>
    <w:uiPriority w:val="0"/>
    <w:pPr>
      <w:spacing w:line="240" w:lineRule="auto"/>
      <w:ind w:firstLine="0" w:firstLineChars="0"/>
    </w:pPr>
    <w:rPr>
      <w:rFonts w:ascii="Tahoma" w:hAnsi="Tahoma"/>
    </w:rPr>
  </w:style>
  <w:style w:type="paragraph" w:customStyle="1" w:styleId="298">
    <w:name w:val="样式 三级条文 + 段前: 0.5 行 段后: 0.5 行"/>
    <w:basedOn w:val="1"/>
    <w:qFormat/>
    <w:uiPriority w:val="0"/>
    <w:pPr>
      <w:numPr>
        <w:ilvl w:val="2"/>
        <w:numId w:val="8"/>
      </w:numPr>
      <w:adjustRightInd w:val="0"/>
      <w:snapToGrid w:val="0"/>
      <w:spacing w:line="400" w:lineRule="exact"/>
    </w:pPr>
    <w:rPr>
      <w:rFonts w:ascii="Times New Roman" w:eastAsia="宋体"/>
      <w:sz w:val="24"/>
      <w:szCs w:val="24"/>
    </w:rPr>
  </w:style>
  <w:style w:type="paragraph" w:customStyle="1" w:styleId="299">
    <w:name w:val="a2"/>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30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1">
    <w:name w:val="资格信目录"/>
    <w:basedOn w:val="20"/>
    <w:qFormat/>
    <w:uiPriority w:val="0"/>
    <w:pPr>
      <w:spacing w:line="240" w:lineRule="auto"/>
      <w:ind w:firstLine="0" w:firstLineChars="0"/>
    </w:pPr>
    <w:rPr>
      <w:rFonts w:ascii="Tahoma" w:hAnsi="Tahoma"/>
      <w:sz w:val="32"/>
    </w:rPr>
  </w:style>
  <w:style w:type="paragraph" w:customStyle="1" w:styleId="30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304">
    <w:name w:val="_Style 181"/>
    <w:next w:val="1"/>
    <w:qFormat/>
    <w:uiPriority w:val="0"/>
    <w:pPr>
      <w:widowControl w:val="0"/>
      <w:jc w:val="both"/>
    </w:pPr>
    <w:rPr>
      <w:rFonts w:ascii="仿宋_GB2312" w:hAnsi="Times New Roman" w:eastAsia="仿宋_GB2312" w:cs="Times New Roman"/>
      <w:kern w:val="2"/>
      <w:sz w:val="32"/>
      <w:szCs w:val="32"/>
      <w:lang w:val="en-US" w:eastAsia="zh-CN" w:bidi="ar-SA"/>
    </w:rPr>
  </w:style>
  <w:style w:type="paragraph" w:customStyle="1" w:styleId="305">
    <w:name w:val="Char1 Char Char Char Char Char Char1"/>
    <w:basedOn w:val="1"/>
    <w:qFormat/>
    <w:uiPriority w:val="0"/>
    <w:rPr>
      <w:rFonts w:ascii="Tahoma" w:hAnsi="Tahoma"/>
      <w:sz w:val="24"/>
    </w:rPr>
  </w:style>
  <w:style w:type="paragraph" w:customStyle="1" w:styleId="306">
    <w:name w:val="tabletext"/>
    <w:basedOn w:val="1"/>
    <w:qFormat/>
    <w:uiPriority w:val="0"/>
    <w:pPr>
      <w:widowControl/>
      <w:spacing w:before="100" w:beforeLines="0" w:beforeAutospacing="1" w:after="100" w:afterLines="0" w:afterAutospacing="1"/>
      <w:jc w:val="left"/>
    </w:pPr>
    <w:rPr>
      <w:rFonts w:ascii="宋体" w:cs="宋体"/>
      <w:kern w:val="0"/>
      <w:sz w:val="24"/>
      <w:szCs w:val="24"/>
    </w:rPr>
  </w:style>
  <w:style w:type="paragraph" w:customStyle="1" w:styleId="307">
    <w:name w:val="文件正文版式"/>
    <w:basedOn w:val="1"/>
    <w:qFormat/>
    <w:uiPriority w:val="0"/>
    <w:pPr>
      <w:numPr>
        <w:ilvl w:val="0"/>
        <w:numId w:val="9"/>
      </w:numPr>
      <w:ind w:left="0" w:firstLine="0"/>
    </w:pPr>
    <w:rPr>
      <w:rFonts w:ascii="宋体"/>
      <w:b/>
    </w:rPr>
  </w:style>
  <w:style w:type="paragraph" w:customStyle="1" w:styleId="308">
    <w:name w:val="alta"/>
    <w:basedOn w:val="1"/>
    <w:qFormat/>
    <w:uiPriority w:val="0"/>
    <w:pPr>
      <w:widowControl/>
      <w:spacing w:before="100" w:beforeLines="0" w:beforeAutospacing="1" w:after="100" w:afterLines="0" w:afterAutospacing="1"/>
      <w:jc w:val="left"/>
    </w:pPr>
    <w:rPr>
      <w:rFonts w:ascii="宋体" w:cs="宋体"/>
      <w:kern w:val="0"/>
      <w:sz w:val="24"/>
      <w:szCs w:val="24"/>
    </w:rPr>
  </w:style>
  <w:style w:type="paragraph" w:customStyle="1" w:styleId="309">
    <w:name w:val="样式 标题 1h1H1Heading 0Section HeadHeader11st levell1第*部分第..."/>
    <w:basedOn w:val="1"/>
    <w:qFormat/>
    <w:uiPriority w:val="0"/>
    <w:pPr>
      <w:tabs>
        <w:tab w:val="left" w:pos="720"/>
      </w:tabs>
      <w:ind w:left="720" w:hanging="720"/>
    </w:pPr>
    <w:rPr>
      <w:szCs w:val="24"/>
    </w:rPr>
  </w:style>
  <w:style w:type="paragraph" w:customStyle="1" w:styleId="310">
    <w:name w:val="Char11"/>
    <w:basedOn w:val="20"/>
    <w:qFormat/>
    <w:uiPriority w:val="0"/>
    <w:pPr>
      <w:spacing w:line="240" w:lineRule="auto"/>
      <w:ind w:firstLine="0" w:firstLineChars="0"/>
    </w:pPr>
    <w:rPr>
      <w:rFonts w:ascii="Tahoma" w:hAnsi="Tahoma"/>
    </w:rPr>
  </w:style>
  <w:style w:type="paragraph" w:customStyle="1" w:styleId="311">
    <w:name w:val="List Paragraph2"/>
    <w:basedOn w:val="1"/>
    <w:qFormat/>
    <w:uiPriority w:val="0"/>
    <w:pPr>
      <w:ind w:firstLine="420" w:firstLineChars="200"/>
    </w:pPr>
    <w:rPr>
      <w:rFonts w:ascii="Calibri" w:hAnsi="Calibri" w:eastAsia="宋体"/>
      <w:sz w:val="21"/>
      <w:szCs w:val="22"/>
    </w:rPr>
  </w:style>
  <w:style w:type="paragraph" w:customStyle="1" w:styleId="312">
    <w:name w:val="WPSOffice手动目录 1"/>
    <w:qFormat/>
    <w:uiPriority w:val="0"/>
    <w:rPr>
      <w:rFonts w:ascii="Times New Roman" w:hAnsi="Times New Roman" w:eastAsia="宋体" w:cs="Times New Roman"/>
      <w:lang w:val="en-US" w:eastAsia="zh-CN" w:bidi="ar-SA"/>
    </w:rPr>
  </w:style>
  <w:style w:type="paragraph" w:customStyle="1" w:styleId="313">
    <w:name w:val="正文_6_0"/>
    <w:next w:val="3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4">
    <w:name w:val="正文文本_5"/>
    <w:basedOn w:val="313"/>
    <w:next w:val="313"/>
    <w:unhideWhenUsed/>
    <w:qFormat/>
    <w:uiPriority w:val="0"/>
    <w:pPr>
      <w:widowControl/>
      <w:adjustRightInd w:val="0"/>
      <w:spacing w:after="60" w:line="360" w:lineRule="atLeast"/>
      <w:ind w:left="72" w:leftChars="30" w:right="30" w:rightChars="30" w:firstLine="200" w:firstLineChars="200"/>
      <w:jc w:val="center"/>
    </w:pPr>
    <w:rPr>
      <w:rFonts w:ascii="Calibri" w:hAnsi="Calibri" w:eastAsia="宋体"/>
      <w:kern w:val="0"/>
      <w:sz w:val="20"/>
      <w:szCs w:val="20"/>
    </w:rPr>
  </w:style>
  <w:style w:type="paragraph" w:customStyle="1" w:styleId="315">
    <w:name w:val="正文_21_0"/>
    <w:next w:val="3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6">
    <w:name w:val="正文文本_18"/>
    <w:basedOn w:val="315"/>
    <w:next w:val="315"/>
    <w:qFormat/>
    <w:uiPriority w:val="0"/>
    <w:rPr>
      <w:rFonts w:eastAsia="仿宋_GB2312"/>
      <w:kern w:val="2"/>
      <w:sz w:val="28"/>
      <w:szCs w:val="30"/>
    </w:rPr>
  </w:style>
  <w:style w:type="paragraph" w:customStyle="1" w:styleId="317">
    <w:name w:val="_Style 2"/>
    <w:basedOn w:val="318"/>
    <w:qFormat/>
    <w:uiPriority w:val="99"/>
    <w:pPr>
      <w:ind w:firstLine="420" w:firstLineChars="200"/>
    </w:pPr>
    <w:rPr>
      <w:rFonts w:ascii="Calibri" w:hAnsi="Calibri"/>
    </w:rPr>
  </w:style>
  <w:style w:type="paragraph" w:customStyle="1" w:styleId="318">
    <w:name w:val="正文_0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9">
    <w:name w:val="BodyText"/>
    <w:basedOn w:val="1"/>
    <w:next w:val="1"/>
    <w:qFormat/>
    <w:uiPriority w:val="0"/>
    <w:pPr>
      <w:jc w:val="both"/>
      <w:textAlignment w:val="baseline"/>
    </w:pPr>
    <w:rPr>
      <w:rFonts w:ascii="Times New Roman" w:eastAsia="仿宋_GB2312"/>
      <w:kern w:val="2"/>
      <w:sz w:val="28"/>
      <w:szCs w:val="30"/>
      <w:lang w:val="en-US" w:eastAsia="zh-CN" w:bidi="ar-SA"/>
    </w:rPr>
  </w:style>
  <w:style w:type="table" w:customStyle="1" w:styleId="32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ngsoft\WPS%20Office\iWebOA_Blan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iWebOA_Blank</Template>
  <Company>CHINA</Company>
  <Pages>64</Pages>
  <Words>34622</Words>
  <Characters>36982</Characters>
  <Lines>274</Lines>
  <Paragraphs>77</Paragraphs>
  <TotalTime>0</TotalTime>
  <ScaleCrop>false</ScaleCrop>
  <LinksUpToDate>false</LinksUpToDate>
  <CharactersWithSpaces>38921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2016-09-07T14:13:00Z</dcterms:created>
  <dc:creator>USER</dc:creator>
  <cp:lastModifiedBy>宋贝贝</cp:lastModifiedBy>
  <cp:lastPrinted>2023-10-18T08:25:00Z</cp:lastPrinted>
  <dcterms:modified xsi:type="dcterms:W3CDTF">2023-10-23T09:23:19Z</dcterms:modified>
  <dc:title>洛阳市政府采购中心</dc:title>
  <cp:revision>541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294925F06AFE4D1C852864F01822E6C0_13</vt:lpwstr>
  </property>
</Properties>
</file>