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BF4D7">
      <w:pPr>
        <w:pStyle w:val="4"/>
        <w:spacing w:line="360" w:lineRule="auto"/>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洛宁县兴华镇虞西线改建项目</w:t>
      </w:r>
    </w:p>
    <w:p w14:paraId="6B150821">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eastAsia="zh-CN"/>
        </w:rPr>
        <w:t>竞争性磋商公告</w:t>
      </w:r>
    </w:p>
    <w:p w14:paraId="7CFF435A">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B7674CE">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洛宁县兴华镇虞西线改建项目</w:t>
      </w:r>
      <w:r>
        <w:rPr>
          <w:rFonts w:hint="eastAsia" w:ascii="宋体" w:hAnsi="宋体" w:eastAsia="宋体" w:cs="宋体"/>
          <w:color w:val="auto"/>
          <w:sz w:val="24"/>
          <w:szCs w:val="24"/>
          <w:highlight w:val="none"/>
        </w:rPr>
        <w:t>招标项目的潜在投标人应在洛阳市公共资源交易中心网（lyggzyjy.lv.gov.cn）获取招标文件，并于202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分（北京时间）前递交投标文件。</w:t>
      </w:r>
    </w:p>
    <w:p w14:paraId="47A1136A">
      <w:pPr>
        <w:pStyle w:val="17"/>
        <w:numPr>
          <w:ilvl w:val="0"/>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项目基本情况</w:t>
      </w:r>
    </w:p>
    <w:p w14:paraId="6706770A">
      <w:pPr>
        <w:pStyle w:val="17"/>
        <w:numPr>
          <w:ilvl w:val="0"/>
          <w:numId w:val="0"/>
        </w:num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洛宁竞磋-2025-33</w:t>
      </w:r>
    </w:p>
    <w:p w14:paraId="18862606">
      <w:pPr>
        <w:pStyle w:val="17"/>
        <w:numPr>
          <w:ilvl w:val="0"/>
          <w:numId w:val="0"/>
        </w:num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洛宁县兴华镇虞西线改建项目</w:t>
      </w:r>
    </w:p>
    <w:p w14:paraId="450ADE3B">
      <w:pPr>
        <w:pStyle w:val="1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0AC95CDB">
      <w:pPr>
        <w:pStyle w:val="1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eastAsia="zh-CN"/>
        </w:rPr>
        <w:t>1951393.44</w:t>
      </w:r>
      <w:r>
        <w:rPr>
          <w:rFonts w:hint="eastAsia" w:ascii="宋体" w:hAnsi="宋体" w:eastAsia="宋体" w:cs="宋体"/>
          <w:color w:val="auto"/>
          <w:sz w:val="24"/>
          <w:szCs w:val="24"/>
          <w:highlight w:val="none"/>
        </w:rPr>
        <w:t>元</w:t>
      </w:r>
    </w:p>
    <w:p w14:paraId="05B944C0">
      <w:pPr>
        <w:pStyle w:val="1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1951393.44</w:t>
      </w:r>
      <w:r>
        <w:rPr>
          <w:rFonts w:hint="eastAsia" w:ascii="宋体" w:hAnsi="宋体" w:eastAsia="宋体" w:cs="宋体"/>
          <w:color w:val="auto"/>
          <w:sz w:val="24"/>
          <w:szCs w:val="24"/>
          <w:highlight w:val="none"/>
        </w:rPr>
        <w:t>元</w:t>
      </w:r>
    </w:p>
    <w:tbl>
      <w:tblPr>
        <w:tblStyle w:val="2"/>
        <w:tblW w:w="579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7"/>
        <w:gridCol w:w="1572"/>
        <w:gridCol w:w="2272"/>
        <w:gridCol w:w="1296"/>
        <w:gridCol w:w="1308"/>
        <w:gridCol w:w="1306"/>
        <w:gridCol w:w="1306"/>
      </w:tblGrid>
      <w:tr w14:paraId="6B529C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blCellSpacing w:w="0" w:type="dxa"/>
          <w:jc w:val="center"/>
        </w:trPr>
        <w:tc>
          <w:tcPr>
            <w:tcW w:w="309" w:type="pct"/>
            <w:noWrap w:val="0"/>
            <w:vAlign w:val="center"/>
          </w:tcPr>
          <w:p w14:paraId="077F188C">
            <w:pPr>
              <w:pStyle w:val="10"/>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13" w:type="pct"/>
            <w:noWrap w:val="0"/>
            <w:vAlign w:val="center"/>
          </w:tcPr>
          <w:p w14:paraId="4608A949">
            <w:pPr>
              <w:pStyle w:val="10"/>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1176" w:type="pct"/>
            <w:noWrap w:val="0"/>
            <w:vAlign w:val="center"/>
          </w:tcPr>
          <w:p w14:paraId="594A3FA1">
            <w:pPr>
              <w:pStyle w:val="10"/>
              <w:widowControl/>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671" w:type="pct"/>
            <w:noWrap w:val="0"/>
            <w:vAlign w:val="center"/>
          </w:tcPr>
          <w:p w14:paraId="194A6C26">
            <w:pPr>
              <w:pStyle w:val="10"/>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677" w:type="pct"/>
            <w:noWrap w:val="0"/>
            <w:vAlign w:val="center"/>
          </w:tcPr>
          <w:p w14:paraId="60E1FFCF">
            <w:pPr>
              <w:pStyle w:val="10"/>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c>
          <w:tcPr>
            <w:tcW w:w="676" w:type="pct"/>
            <w:noWrap w:val="0"/>
            <w:vAlign w:val="center"/>
          </w:tcPr>
          <w:p w14:paraId="44250742">
            <w:pPr>
              <w:pStyle w:val="10"/>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676" w:type="pct"/>
            <w:noWrap w:val="0"/>
            <w:vAlign w:val="center"/>
          </w:tcPr>
          <w:p w14:paraId="6FA0042D">
            <w:pPr>
              <w:pStyle w:val="10"/>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采购预留金额（元）</w:t>
            </w:r>
          </w:p>
        </w:tc>
      </w:tr>
      <w:tr w14:paraId="002313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2" w:hRule="atLeast"/>
          <w:tblCellSpacing w:w="0" w:type="dxa"/>
          <w:jc w:val="center"/>
        </w:trPr>
        <w:tc>
          <w:tcPr>
            <w:tcW w:w="309" w:type="pct"/>
            <w:noWrap w:val="0"/>
            <w:vAlign w:val="center"/>
          </w:tcPr>
          <w:p w14:paraId="2E3F16AE">
            <w:pPr>
              <w:pStyle w:val="10"/>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13" w:type="pct"/>
            <w:noWrap w:val="0"/>
            <w:vAlign w:val="center"/>
          </w:tcPr>
          <w:p w14:paraId="45F6FE60">
            <w:pPr>
              <w:pStyle w:val="10"/>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洛宁政采磋商(2025)0034号-1</w:t>
            </w:r>
          </w:p>
        </w:tc>
        <w:tc>
          <w:tcPr>
            <w:tcW w:w="1176" w:type="pct"/>
            <w:noWrap w:val="0"/>
            <w:vAlign w:val="center"/>
          </w:tcPr>
          <w:p w14:paraId="1598884D">
            <w:pPr>
              <w:pStyle w:val="10"/>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洛宁县兴华镇虞西线改建项目</w:t>
            </w:r>
          </w:p>
        </w:tc>
        <w:tc>
          <w:tcPr>
            <w:tcW w:w="671" w:type="pct"/>
            <w:noWrap w:val="0"/>
            <w:vAlign w:val="center"/>
          </w:tcPr>
          <w:p w14:paraId="196B485C">
            <w:pPr>
              <w:pStyle w:val="18"/>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1951393.44</w:t>
            </w:r>
          </w:p>
        </w:tc>
        <w:tc>
          <w:tcPr>
            <w:tcW w:w="677" w:type="pct"/>
            <w:noWrap w:val="0"/>
            <w:vAlign w:val="center"/>
          </w:tcPr>
          <w:p w14:paraId="29C6D610">
            <w:pPr>
              <w:pStyle w:val="18"/>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1951393.44</w:t>
            </w:r>
          </w:p>
        </w:tc>
        <w:tc>
          <w:tcPr>
            <w:tcW w:w="676" w:type="pct"/>
            <w:noWrap w:val="0"/>
            <w:vAlign w:val="center"/>
          </w:tcPr>
          <w:p w14:paraId="24800E00">
            <w:pPr>
              <w:pStyle w:val="10"/>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tc>
        <w:tc>
          <w:tcPr>
            <w:tcW w:w="676" w:type="pct"/>
            <w:noWrap w:val="0"/>
            <w:vAlign w:val="center"/>
          </w:tcPr>
          <w:p w14:paraId="374AF347">
            <w:pPr>
              <w:pStyle w:val="10"/>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1951393.44</w:t>
            </w:r>
          </w:p>
        </w:tc>
      </w:tr>
    </w:tbl>
    <w:p w14:paraId="3EE6E52E">
      <w:pPr>
        <w:pStyle w:val="1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7E6B33F5">
      <w:pPr>
        <w:pStyle w:val="11"/>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5.1采购内容</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洛宁县兴华镇虞西线改建项目全长1.272公里，3.5cm细粒式沥青砼9622.848㎡、4cm中粒式沥青砼9824.448㎡、18cm水泥稳定碎石基10007.061㎡、18cm天然砂砾底基层3472㎡等；</w:t>
      </w:r>
    </w:p>
    <w:p w14:paraId="2F5625BF">
      <w:pPr>
        <w:pStyle w:val="11"/>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5.2资金来源：财政资金+自筹资金；</w:t>
      </w:r>
    </w:p>
    <w:p w14:paraId="61FC4F3B">
      <w:pPr>
        <w:pStyle w:val="11"/>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5.3标段划分：共一个标段；</w:t>
      </w:r>
    </w:p>
    <w:p w14:paraId="4AD462A0">
      <w:pPr>
        <w:pStyle w:val="11"/>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5.4工期：90日历天</w:t>
      </w:r>
    </w:p>
    <w:p w14:paraId="5A90ABF5">
      <w:pPr>
        <w:pStyle w:val="11"/>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5.5采购范围：磋商文件范围内的全部内容</w:t>
      </w:r>
    </w:p>
    <w:p w14:paraId="16B4B860">
      <w:pPr>
        <w:pStyle w:val="11"/>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5.6工程质量：符合国家质量验收备案合格标准</w:t>
      </w:r>
    </w:p>
    <w:p w14:paraId="2EAAC51D">
      <w:pPr>
        <w:pStyle w:val="11"/>
        <w:spacing w:line="360" w:lineRule="auto"/>
        <w:ind w:firstLine="240" w:firstLineChars="1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6、合同履行期限：90日历天</w:t>
      </w:r>
    </w:p>
    <w:p w14:paraId="6EE42011">
      <w:pPr>
        <w:pStyle w:val="11"/>
        <w:spacing w:line="360" w:lineRule="auto"/>
        <w:ind w:firstLine="240" w:firstLineChars="1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7、本项目是否接受联合体投标：否</w:t>
      </w:r>
    </w:p>
    <w:p w14:paraId="4D17E3A8">
      <w:pPr>
        <w:pStyle w:val="11"/>
        <w:spacing w:line="360" w:lineRule="auto"/>
        <w:ind w:firstLine="240" w:firstLineChars="1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8、是否接受进口产品：否</w:t>
      </w:r>
    </w:p>
    <w:p w14:paraId="445A822D">
      <w:pPr>
        <w:pStyle w:val="11"/>
        <w:spacing w:line="360" w:lineRule="auto"/>
        <w:ind w:firstLine="240" w:firstLineChars="1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9、是否专门面向中小企业：是</w:t>
      </w:r>
    </w:p>
    <w:p w14:paraId="0F97D424">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14:paraId="06C34888">
      <w:pPr>
        <w:pStyle w:val="10"/>
        <w:widowControl/>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满足《中华人民共和国政府采购法》第二十二条规定；</w:t>
      </w:r>
    </w:p>
    <w:p w14:paraId="5C5D9A65">
      <w:pPr>
        <w:pStyle w:val="10"/>
        <w:widowControl/>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落实政府采购政策需满足的资格要求：</w:t>
      </w:r>
      <w:r>
        <w:rPr>
          <w:rFonts w:hint="eastAsia" w:ascii="宋体" w:hAnsi="宋体" w:eastAsia="宋体" w:cs="宋体"/>
          <w:color w:val="auto"/>
          <w:kern w:val="2"/>
          <w:sz w:val="24"/>
          <w:szCs w:val="24"/>
          <w:highlight w:val="none"/>
          <w:lang w:val="en-US" w:eastAsia="zh-CN"/>
        </w:rPr>
        <w:t>（1）专门面向中小微（监狱、残疾人福利性单位）企业。（2）本项目执行支持采购节能环保产品，节约能源，保护环境，支持不发达、少数民族地区的企业，促进自主创新产业发展，支持脱贫攻坚等政府采购政策。</w:t>
      </w:r>
    </w:p>
    <w:p w14:paraId="64982122">
      <w:pPr>
        <w:pStyle w:val="10"/>
        <w:widowControl/>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本项目的特定资格要求：</w:t>
      </w:r>
    </w:p>
    <w:p w14:paraId="00DE7254">
      <w:pPr>
        <w:pStyle w:val="10"/>
        <w:widowControl/>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1、供应商具有有效的营业执照或事业单位登记证书；</w:t>
      </w:r>
    </w:p>
    <w:p w14:paraId="2EFF17F9">
      <w:pPr>
        <w:pStyle w:val="10"/>
        <w:widowControl/>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2、供应商具备</w:t>
      </w:r>
      <w:r>
        <w:rPr>
          <w:rFonts w:hint="eastAsia" w:ascii="宋体" w:hAnsi="宋体" w:eastAsia="宋体" w:cs="宋体"/>
          <w:color w:val="auto"/>
          <w:kern w:val="2"/>
          <w:sz w:val="24"/>
          <w:szCs w:val="24"/>
          <w:highlight w:val="none"/>
          <w:lang w:val="en-US" w:eastAsia="zh-CN"/>
        </w:rPr>
        <w:t>公路</w:t>
      </w:r>
      <w:r>
        <w:rPr>
          <w:rFonts w:hint="eastAsia" w:ascii="宋体" w:hAnsi="宋体" w:eastAsia="宋体" w:cs="宋体"/>
          <w:color w:val="auto"/>
          <w:kern w:val="2"/>
          <w:sz w:val="24"/>
          <w:szCs w:val="24"/>
          <w:highlight w:val="none"/>
        </w:rPr>
        <w:t>工程施工总承包叁级及以上资质，并具有有效的安全生产许可证；拟派项目经理须具备</w:t>
      </w:r>
      <w:r>
        <w:rPr>
          <w:rFonts w:hint="eastAsia" w:ascii="宋体" w:hAnsi="宋体" w:eastAsia="宋体" w:cs="宋体"/>
          <w:color w:val="auto"/>
          <w:kern w:val="2"/>
          <w:sz w:val="24"/>
          <w:szCs w:val="24"/>
          <w:highlight w:val="none"/>
          <w:lang w:val="en-US" w:eastAsia="zh-CN"/>
        </w:rPr>
        <w:t>公路</w:t>
      </w:r>
      <w:r>
        <w:rPr>
          <w:rFonts w:hint="eastAsia" w:ascii="宋体" w:hAnsi="宋体" w:eastAsia="宋体" w:cs="宋体"/>
          <w:color w:val="auto"/>
          <w:kern w:val="2"/>
          <w:sz w:val="24"/>
          <w:szCs w:val="24"/>
          <w:highlight w:val="none"/>
        </w:rPr>
        <w:t>工程专业贰级及以上注册建造师执业资格（不含临时）,具有有效的安全生产考核合格证；（须出具截止投标截止当日未在其他项目担任项目经理的承诺书）</w:t>
      </w:r>
    </w:p>
    <w:p w14:paraId="6CA46BD0">
      <w:pPr>
        <w:pStyle w:val="10"/>
        <w:widowControl/>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3.3</w:t>
      </w:r>
      <w:r>
        <w:rPr>
          <w:rFonts w:hint="eastAsia" w:ascii="宋体" w:hAnsi="宋体" w:eastAsia="宋体" w:cs="宋体"/>
          <w:color w:val="auto"/>
          <w:kern w:val="2"/>
          <w:sz w:val="24"/>
          <w:szCs w:val="24"/>
          <w:highlight w:val="none"/>
        </w:rPr>
        <w:t>、信用承诺函：供应商在投标时须提供符合《中华人民共和国政府采购法》第二十二条规定及其他相关承诺，以及违背承诺自愿承担相关责任的约定的承诺函（承诺函格式详见采购文件）</w:t>
      </w:r>
    </w:p>
    <w:p w14:paraId="2212D89F">
      <w:pPr>
        <w:pStyle w:val="10"/>
        <w:widowControl/>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注：采购人有权在签订合同前要求成交供应商提供相关证明材料以核实成交供应商承诺事项的真实性。</w:t>
      </w:r>
    </w:p>
    <w:p w14:paraId="2D5F4877">
      <w:pPr>
        <w:pStyle w:val="10"/>
        <w:widowControl/>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3.4</w:t>
      </w:r>
      <w:r>
        <w:rPr>
          <w:rFonts w:hint="eastAsia" w:ascii="宋体" w:hAnsi="宋体" w:eastAsia="宋体" w:cs="宋体"/>
          <w:color w:val="auto"/>
          <w:kern w:val="2"/>
          <w:sz w:val="24"/>
          <w:szCs w:val="24"/>
          <w:highlight w:val="none"/>
        </w:rPr>
        <w:t>、资格审查方式：资格后审。</w:t>
      </w:r>
    </w:p>
    <w:p w14:paraId="745E9B6E">
      <w:pPr>
        <w:pStyle w:val="10"/>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三、</w:t>
      </w:r>
      <w:bookmarkStart w:id="0" w:name="_Toc144974401"/>
      <w:bookmarkStart w:id="1" w:name="_Toc179715689"/>
      <w:bookmarkStart w:id="2" w:name="_Toc152047197"/>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w:t>
      </w:r>
    </w:p>
    <w:p w14:paraId="6876739A">
      <w:pPr>
        <w:pStyle w:val="22"/>
        <w:spacing w:before="0" w:beforeAutospacing="0" w:after="0" w:afterAutospacing="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1.时间：2025年06月06日至2025年06月12日，每天上午00：00至12:00，下午12:00至23:59（北京时间，法定节假日除外。）</w:t>
      </w:r>
    </w:p>
    <w:p w14:paraId="1490B6B6">
      <w:pPr>
        <w:pStyle w:val="22"/>
        <w:spacing w:before="0" w:beforeAutospacing="0" w:after="0" w:afterAutospacing="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2.地点：洛阳市公共资源交易中心网站（lyggzyjy.lv.gov.cn）</w:t>
      </w:r>
    </w:p>
    <w:p w14:paraId="11A1194E">
      <w:pPr>
        <w:pStyle w:val="22"/>
        <w:spacing w:before="0" w:beforeAutospacing="0" w:after="0" w:afterAutospacing="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洛阳市公共资源交易中心网站（http://61.54.85.189/tpbidder）上获取。请在“洛阳市公共资源交易平台（http://61.54.85.189/tpbidder）”进行用户注册，办理数字证书后下载招标（采购）文件。如投多个标段（包），则应就所投每个标段（包）分别下载。联合体投标的，由联合体牵头人完成招标（采购）文件下载。详见洛阳市公共资源交易中心网站—办事指南—办事流程—新交易平台使用手册。</w:t>
      </w:r>
    </w:p>
    <w:p w14:paraId="4A22F720">
      <w:pPr>
        <w:pStyle w:val="22"/>
        <w:spacing w:before="0" w:beforeAutospacing="0" w:after="0" w:afterAutospacing="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4.售价：0元</w:t>
      </w:r>
      <w:bookmarkEnd w:id="0"/>
      <w:bookmarkEnd w:id="1"/>
      <w:bookmarkEnd w:id="2"/>
      <w:bookmarkStart w:id="3" w:name="_Toc35393627"/>
      <w:bookmarkStart w:id="4" w:name="_Toc28359008"/>
      <w:bookmarkStart w:id="5" w:name="_Toc28359085"/>
      <w:bookmarkStart w:id="6" w:name="_Toc35393796"/>
    </w:p>
    <w:p w14:paraId="729B6544">
      <w:pPr>
        <w:pStyle w:val="22"/>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四、响应文件提交</w:t>
      </w:r>
    </w:p>
    <w:p w14:paraId="654E7BD2">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1.截止时间：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（北京时间）</w:t>
      </w:r>
    </w:p>
    <w:p w14:paraId="250B4BC9">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洛阳市公共资源交易中心网站（lyggzyjy.lv.gov.cn）。获取招标（采购）文件后，请下载并安装最新版本响应文件制作工具，制作电子投标（响应）文件，在投标截止时间前，上传加密的投标（响应）文件。供应商未在投标截止时间前完成上传的，视为逾期送达，洛阳市电子招投标交易平台将拒绝接收。</w:t>
      </w:r>
    </w:p>
    <w:p w14:paraId="1D87271D">
      <w:pPr>
        <w:pStyle w:val="22"/>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五、响应文件开启</w:t>
      </w:r>
    </w:p>
    <w:p w14:paraId="27E651E4">
      <w:pPr>
        <w:pStyle w:val="22"/>
        <w:spacing w:before="0" w:beforeAutospacing="0" w:after="0" w:afterAutospacing="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（北京时间）</w:t>
      </w:r>
    </w:p>
    <w:p w14:paraId="0868F78A">
      <w:pPr>
        <w:pStyle w:val="22"/>
        <w:spacing w:before="0" w:beforeAutospacing="0" w:after="0" w:afterAutospacing="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洛宁县公共资源交易中心开标二室（洛宁县永宁大道31号四楼）。本项目采用远程不见面交易的模式，开标当日，供应商无需到现场参加开标会议，应在响应截止时间前，登录“不见面开标大厅”（http://61.54.85.189/BidOpening），在线准时参加开标活动并进行投标（响应）文件解密等。因供应商原因未能解密或解密失败的将被拒绝。详见洛阳市公共资源交易中心网站-新系统入口或办事指南-必看！新交易平台使用手册。除电子投标（响应）文件外，响应时不再接受任何纸质文件、资料等。</w:t>
      </w:r>
    </w:p>
    <w:p w14:paraId="5640E318">
      <w:pPr>
        <w:pStyle w:val="22"/>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六、发布公告的媒介及公告期限</w:t>
      </w:r>
    </w:p>
    <w:p w14:paraId="1A4091DF">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本次招标公告在</w:t>
      </w:r>
      <w:bookmarkStart w:id="7" w:name="_GoBack"/>
      <w:bookmarkEnd w:id="7"/>
      <w:r>
        <w:rPr>
          <w:rFonts w:hint="eastAsia" w:ascii="宋体" w:hAnsi="宋体" w:eastAsia="宋体" w:cs="宋体"/>
          <w:color w:val="auto"/>
          <w:sz w:val="24"/>
          <w:szCs w:val="24"/>
          <w:highlight w:val="none"/>
          <w:lang w:val="en-US" w:eastAsia="zh-CN"/>
        </w:rPr>
        <w:t>《河南省政府采购网》、《洛阳市公共资源交易中心》网站上发布，招标公告期限为三个工作日。</w:t>
      </w:r>
    </w:p>
    <w:p w14:paraId="66A0E345">
      <w:pPr>
        <w:pStyle w:val="22"/>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七、其他补充事宜</w:t>
      </w:r>
    </w:p>
    <w:p w14:paraId="02852870">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1.供应商在参与本项目招标采购活动期间应及时关注本网站获取相关澄清或变更等信息。</w:t>
      </w:r>
    </w:p>
    <w:p w14:paraId="2347AD3A">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2.本项目采购人为洛宁县交通事业发展中心，系统中采购公告默认为洛宁县农村公路所请忽略。</w:t>
      </w:r>
    </w:p>
    <w:p w14:paraId="3F7D1E67">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3.监管部门、联系人和联系方式：</w:t>
      </w:r>
    </w:p>
    <w:p w14:paraId="16B9A79E">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监管部门：洛宁县财政局</w:t>
      </w:r>
    </w:p>
    <w:p w14:paraId="6F7D1729">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监管部门联系人：洛宁县财政局采购办</w:t>
      </w:r>
    </w:p>
    <w:p w14:paraId="79ABFF90">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监管部门联系方式：0379-66231378</w:t>
      </w:r>
    </w:p>
    <w:p w14:paraId="59E70B07">
      <w:pPr>
        <w:pStyle w:val="22"/>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八、对本次招标提出询问，请按以下方式联系。</w:t>
      </w:r>
      <w:bookmarkEnd w:id="3"/>
      <w:bookmarkEnd w:id="4"/>
      <w:bookmarkEnd w:id="5"/>
      <w:bookmarkEnd w:id="6"/>
    </w:p>
    <w:p w14:paraId="76EFAC94">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1C7BE1DC">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采购人：洛宁县交通事业发展中心</w:t>
      </w:r>
    </w:p>
    <w:p w14:paraId="2124B8EC">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  址：洛阳市洛宁县永宁大道87号 </w:t>
      </w:r>
    </w:p>
    <w:p w14:paraId="7A019316">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联系人：王女士  </w:t>
      </w:r>
    </w:p>
    <w:p w14:paraId="1F542BEC">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电  话：0379-66237673   </w:t>
      </w:r>
    </w:p>
    <w:p w14:paraId="11B53085">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2.采购代理机构信息（如有）</w:t>
      </w:r>
    </w:p>
    <w:p w14:paraId="73BBCD96">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称：中文达建设发展股份有限公司</w:t>
      </w:r>
    </w:p>
    <w:p w14:paraId="26D6CD84">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址：河南省郑州市郑东新区商都路100号1号楼2单元6层616号</w:t>
      </w:r>
    </w:p>
    <w:p w14:paraId="32128488">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联系人：董女士</w:t>
      </w:r>
    </w:p>
    <w:p w14:paraId="523FF912">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联系方式：13937987615</w:t>
      </w:r>
    </w:p>
    <w:p w14:paraId="070ED6B2">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361B026D">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联系人：董女士</w:t>
      </w:r>
    </w:p>
    <w:p w14:paraId="49F0BBF7">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联系方式：13937987615</w:t>
      </w:r>
    </w:p>
    <w:p w14:paraId="65029F8B">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p>
    <w:p w14:paraId="524E7E99">
      <w:pPr>
        <w:pStyle w:val="22"/>
        <w:shd w:val="clear" w:color="auto" w:fill="FFFFFF"/>
        <w:spacing w:before="0" w:beforeAutospacing="0" w:after="0" w:afterAutospacing="0" w:line="360" w:lineRule="auto"/>
        <w:ind w:firstLine="560"/>
        <w:jc w:val="both"/>
        <w:rPr>
          <w:rFonts w:hint="eastAsia" w:ascii="宋体" w:hAnsi="宋体" w:eastAsia="宋体" w:cs="宋体"/>
          <w:color w:val="auto"/>
          <w:sz w:val="24"/>
          <w:szCs w:val="24"/>
          <w:highlight w:val="none"/>
          <w:lang w:val="en-US" w:eastAsia="zh-CN"/>
        </w:rPr>
      </w:pPr>
    </w:p>
    <w:p w14:paraId="6B2DEC86">
      <w:pPr>
        <w:pStyle w:val="22"/>
        <w:shd w:val="clear" w:color="auto" w:fill="FFFFFF"/>
        <w:spacing w:before="0" w:beforeAutospacing="0" w:after="0" w:afterAutospacing="0" w:line="360" w:lineRule="auto"/>
        <w:ind w:firstLine="56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中文达建设发展股份有限公司</w:t>
      </w:r>
    </w:p>
    <w:p w14:paraId="44548D61">
      <w:pPr>
        <w:pStyle w:val="1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日</w:t>
      </w:r>
    </w:p>
    <w:p w14:paraId="1F6B211A">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F2F6A"/>
    <w:multiLevelType w:val="singleLevel"/>
    <w:tmpl w:val="732F2F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C6646"/>
    <w:rsid w:val="4B647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_0"/>
    <w:basedOn w:val="5"/>
    <w:next w:val="10"/>
    <w:qFormat/>
    <w:uiPriority w:val="0"/>
    <w:pPr>
      <w:widowControl/>
      <w:jc w:val="center"/>
      <w:outlineLvl w:val="0"/>
    </w:pPr>
    <w:rPr>
      <w:rFonts w:ascii="Cambria" w:hAnsi="Cambria" w:eastAsia="微软雅黑"/>
      <w:b/>
      <w:bCs/>
      <w:kern w:val="28"/>
      <w:sz w:val="44"/>
      <w:lang w:bidi="en-US"/>
    </w:rPr>
  </w:style>
  <w:style w:type="paragraph" w:customStyle="1" w:styleId="5">
    <w:name w:val="正文_1_0"/>
    <w:next w:val="6"/>
    <w:qFormat/>
    <w:uiPriority w:val="0"/>
    <w:pPr>
      <w:widowControl w:val="0"/>
      <w:jc w:val="both"/>
    </w:pPr>
    <w:rPr>
      <w:rFonts w:ascii="Calibri" w:hAnsi="Calibri" w:eastAsia="宋体" w:cs="Times New Roman"/>
      <w:lang w:eastAsia="en-US"/>
    </w:rPr>
  </w:style>
  <w:style w:type="paragraph" w:customStyle="1" w:styleId="6">
    <w:name w:val="正文文本_0_0"/>
    <w:basedOn w:val="7"/>
    <w:next w:val="9"/>
    <w:unhideWhenUsed/>
    <w:qFormat/>
    <w:uiPriority w:val="0"/>
    <w:pPr>
      <w:widowControl/>
      <w:adjustRightInd w:val="0"/>
      <w:spacing w:after="60" w:line="360" w:lineRule="atLeast"/>
      <w:ind w:left="72" w:leftChars="30" w:right="30" w:rightChars="30" w:firstLine="200" w:firstLineChars="200"/>
      <w:jc w:val="center"/>
    </w:pPr>
  </w:style>
  <w:style w:type="paragraph" w:customStyle="1" w:styleId="7">
    <w:name w:val="正文_2_0"/>
    <w:next w:val="8"/>
    <w:qFormat/>
    <w:uiPriority w:val="0"/>
    <w:pPr>
      <w:widowControl w:val="0"/>
      <w:jc w:val="both"/>
    </w:pPr>
    <w:rPr>
      <w:rFonts w:ascii="Times New Roman" w:hAnsi="Times New Roman" w:eastAsia="宋体" w:cs="Times New Roman"/>
      <w:lang w:eastAsia="en-US"/>
    </w:rPr>
  </w:style>
  <w:style w:type="paragraph" w:customStyle="1" w:styleId="8">
    <w:name w:val="标题 2_0"/>
    <w:basedOn w:val="5"/>
    <w:next w:val="7"/>
    <w:qFormat/>
    <w:uiPriority w:val="0"/>
    <w:pPr>
      <w:keepNext/>
      <w:keepLines/>
      <w:spacing w:before="260" w:after="260" w:line="416" w:lineRule="auto"/>
      <w:outlineLvl w:val="1"/>
    </w:pPr>
    <w:rPr>
      <w:rFonts w:ascii="Arial" w:hAnsi="Arial" w:eastAsia="黑体"/>
      <w:b/>
      <w:bCs/>
      <w:sz w:val="32"/>
      <w:szCs w:val="32"/>
      <w:lang w:eastAsia="en-US"/>
    </w:rPr>
  </w:style>
  <w:style w:type="paragraph" w:customStyle="1" w:styleId="9">
    <w:name w:val="Default_0_0_0"/>
    <w:next w:val="5"/>
    <w:qFormat/>
    <w:uiPriority w:val="0"/>
    <w:pPr>
      <w:widowControl w:val="0"/>
      <w:autoSpaceDE w:val="0"/>
      <w:autoSpaceDN w:val="0"/>
      <w:adjustRightInd w:val="0"/>
    </w:pPr>
    <w:rPr>
      <w:rFonts w:ascii="Times New Roman" w:hAnsi="Times New Roman" w:eastAsia="宋体" w:cs="Times New Roman"/>
      <w:color w:val="000000"/>
      <w:sz w:val="24"/>
      <w:szCs w:val="24"/>
      <w:lang w:eastAsia="en-US"/>
    </w:rPr>
  </w:style>
  <w:style w:type="paragraph" w:customStyle="1" w:styleId="10">
    <w:name w:val="正文_1_0_0"/>
    <w:next w:val="11"/>
    <w:qFormat/>
    <w:uiPriority w:val="0"/>
    <w:pPr>
      <w:widowControl w:val="0"/>
      <w:jc w:val="both"/>
    </w:pPr>
    <w:rPr>
      <w:rFonts w:ascii="Calibri" w:hAnsi="Calibri" w:eastAsia="宋体" w:cs="Times New Roman"/>
      <w:lang w:eastAsia="en-US"/>
    </w:rPr>
  </w:style>
  <w:style w:type="paragraph" w:customStyle="1" w:styleId="11">
    <w:name w:val="正文文本_1_0"/>
    <w:basedOn w:val="12"/>
    <w:next w:val="15"/>
    <w:qFormat/>
    <w:uiPriority w:val="0"/>
    <w:rPr>
      <w:rFonts w:eastAsia="仿宋_GB2312"/>
      <w:sz w:val="28"/>
      <w:szCs w:val="30"/>
    </w:rPr>
  </w:style>
  <w:style w:type="paragraph" w:customStyle="1" w:styleId="12">
    <w:name w:val="正文_1_0_1"/>
    <w:next w:val="13"/>
    <w:qFormat/>
    <w:uiPriority w:val="0"/>
    <w:pPr>
      <w:widowControl w:val="0"/>
      <w:jc w:val="both"/>
    </w:pPr>
    <w:rPr>
      <w:rFonts w:ascii="Calibri" w:hAnsi="Calibri" w:eastAsia="宋体" w:cs="Times New Roman"/>
    </w:rPr>
  </w:style>
  <w:style w:type="paragraph" w:customStyle="1" w:styleId="13">
    <w:name w:val="正文文本_1"/>
    <w:basedOn w:val="5"/>
    <w:next w:val="14"/>
    <w:qFormat/>
    <w:uiPriority w:val="0"/>
    <w:rPr>
      <w:rFonts w:eastAsia="仿宋_GB2312"/>
      <w:sz w:val="28"/>
      <w:szCs w:val="30"/>
    </w:rPr>
  </w:style>
  <w:style w:type="paragraph" w:customStyle="1" w:styleId="14">
    <w:name w:val="正文_1_1"/>
    <w:next w:val="6"/>
    <w:qFormat/>
    <w:uiPriority w:val="0"/>
    <w:pPr>
      <w:widowControl w:val="0"/>
      <w:jc w:val="both"/>
    </w:pPr>
    <w:rPr>
      <w:rFonts w:ascii="Calibri" w:hAnsi="Calibri" w:eastAsia="宋体" w:cs="Times New Roman"/>
      <w:kern w:val="2"/>
      <w:sz w:val="21"/>
      <w:szCs w:val="22"/>
      <w:lang w:eastAsia="en-US"/>
    </w:rPr>
  </w:style>
  <w:style w:type="paragraph" w:customStyle="1" w:styleId="15">
    <w:name w:val="正文文本 2_1_0"/>
    <w:basedOn w:val="16"/>
    <w:qFormat/>
    <w:uiPriority w:val="0"/>
    <w:pPr>
      <w:jc w:val="center"/>
      <w:outlineLvl w:val="0"/>
    </w:pPr>
    <w:rPr>
      <w:rFonts w:ascii="楷体_GB2312" w:eastAsia="仿宋_GB2312"/>
      <w:sz w:val="30"/>
    </w:rPr>
  </w:style>
  <w:style w:type="paragraph" w:customStyle="1" w:styleId="16">
    <w:name w:val="正文_3_0"/>
    <w:qFormat/>
    <w:uiPriority w:val="0"/>
    <w:pPr>
      <w:widowControl w:val="0"/>
      <w:jc w:val="both"/>
    </w:pPr>
    <w:rPr>
      <w:rFonts w:ascii="Calibri" w:hAnsi="Calibri" w:eastAsia="宋体" w:cs="Times New Roman"/>
      <w:kern w:val="2"/>
      <w:sz w:val="21"/>
      <w:szCs w:val="22"/>
      <w:lang w:eastAsia="en-US"/>
    </w:rPr>
  </w:style>
  <w:style w:type="paragraph" w:customStyle="1" w:styleId="17">
    <w:name w:val="Default_1_0"/>
    <w:next w:val="10"/>
    <w:qFormat/>
    <w:uiPriority w:val="0"/>
    <w:pPr>
      <w:widowControl w:val="0"/>
      <w:autoSpaceDE w:val="0"/>
      <w:autoSpaceDN w:val="0"/>
      <w:adjustRightInd w:val="0"/>
    </w:pPr>
    <w:rPr>
      <w:rFonts w:ascii="Calibri" w:hAnsi="Calibri" w:eastAsia="宋体" w:cs="Times New Roman"/>
      <w:color w:val="000000"/>
      <w:sz w:val="24"/>
      <w:szCs w:val="24"/>
      <w:lang w:eastAsia="en-US"/>
    </w:rPr>
  </w:style>
  <w:style w:type="paragraph" w:customStyle="1" w:styleId="18">
    <w:name w:val="正文_3_1"/>
    <w:next w:val="19"/>
    <w:qFormat/>
    <w:uiPriority w:val="0"/>
    <w:pPr>
      <w:widowControl w:val="0"/>
      <w:jc w:val="both"/>
    </w:pPr>
    <w:rPr>
      <w:rFonts w:ascii="Times New Roman" w:hAnsi="Times New Roman" w:eastAsia="宋体" w:cs="Times New Roman"/>
      <w:lang w:eastAsia="en-US"/>
    </w:rPr>
  </w:style>
  <w:style w:type="paragraph" w:customStyle="1" w:styleId="19">
    <w:name w:val="正文文本_2_0"/>
    <w:basedOn w:val="20"/>
    <w:next w:val="21"/>
    <w:qFormat/>
    <w:uiPriority w:val="0"/>
    <w:rPr>
      <w:rFonts w:eastAsia="仿宋_GB2312"/>
      <w:kern w:val="2"/>
      <w:sz w:val="28"/>
      <w:szCs w:val="30"/>
      <w:lang w:eastAsia="en-US"/>
    </w:rPr>
  </w:style>
  <w:style w:type="paragraph" w:customStyle="1" w:styleId="20">
    <w:name w:val="正文_2_0_0_0"/>
    <w:next w:val="19"/>
    <w:qFormat/>
    <w:uiPriority w:val="0"/>
    <w:pPr>
      <w:widowControl w:val="0"/>
      <w:jc w:val="both"/>
    </w:pPr>
    <w:rPr>
      <w:rFonts w:ascii="Times New Roman" w:hAnsi="Times New Roman" w:eastAsia="宋体" w:cs="Times New Roman"/>
      <w:lang w:eastAsia="en-US"/>
    </w:rPr>
  </w:style>
  <w:style w:type="paragraph" w:customStyle="1" w:styleId="21">
    <w:name w:val="正文文本 2_2"/>
    <w:basedOn w:val="7"/>
    <w:qFormat/>
    <w:uiPriority w:val="0"/>
    <w:pPr>
      <w:jc w:val="center"/>
      <w:outlineLvl w:val="0"/>
    </w:pPr>
    <w:rPr>
      <w:rFonts w:ascii="楷体_GB2312" w:eastAsia="仿宋_GB2312"/>
      <w:kern w:val="2"/>
      <w:sz w:val="30"/>
    </w:rPr>
  </w:style>
  <w:style w:type="paragraph" w:customStyle="1" w:styleId="22">
    <w:name w:val="普通(网站)_0"/>
    <w:basedOn w:val="23"/>
    <w:qFormat/>
    <w:uiPriority w:val="0"/>
    <w:pPr>
      <w:widowControl/>
      <w:spacing w:before="100" w:beforeAutospacing="1" w:after="100" w:afterAutospacing="1"/>
      <w:jc w:val="left"/>
    </w:pPr>
    <w:rPr>
      <w:rFonts w:ascii="宋体" w:hAnsi="宋体"/>
      <w:sz w:val="24"/>
      <w:szCs w:val="24"/>
    </w:rPr>
  </w:style>
  <w:style w:type="paragraph" w:customStyle="1" w:styleId="23">
    <w:name w:val="正文_1_2"/>
    <w:qFormat/>
    <w:uiPriority w:val="0"/>
    <w:pPr>
      <w:widowControl w:val="0"/>
      <w:jc w:val="both"/>
    </w:pPr>
    <w:rPr>
      <w:rFonts w:ascii="Times New Roman" w:hAnsi="Times New Roman" w:eastAsia="宋体" w:cs="Times New Roman"/>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1953</Words>
  <Characters>2326</Characters>
  <Lines>0</Lines>
  <Paragraphs>0</Paragraphs>
  <TotalTime>0</TotalTime>
  <ScaleCrop>false</ScaleCrop>
  <LinksUpToDate>false</LinksUpToDate>
  <CharactersWithSpaces>2338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2025-06-05T01:51:00Z</dcterms:created>
  <dc:creator>Administrator</dc:creator>
  <cp:lastModifiedBy>NTKO</cp:lastModifiedBy>
  <dcterms:modified xsi:type="dcterms:W3CDTF">2025-06-05T02:28:17Z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eyJoZGlkIjoiODAwNmVkODllYWQ4ZjJlZWVlOWU4YmFhZTRkYjQ3NTIiLCJ1c2VySWQiOiIxMDg1MDU4Nzk1In0=</vt:lpwstr>
  </property>
  <property fmtid="{D5CDD505-2E9C-101B-9397-08002B2CF9AE}" pid="4" name="ICV">
    <vt:lpwstr>31A5FE0E90AC47FEA88AB5C5F1FC8B7C_12</vt:lpwstr>
  </property>
</Properties>
</file>