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Theme="minorEastAsia" w:hAnsiTheme="minorEastAsia" w:eastAsiaTheme="minorEastAsia" w:cstheme="minorEastAsia"/>
          <w:b/>
          <w:bCs/>
          <w:color w:val="auto"/>
          <w:kern w:val="0"/>
          <w:sz w:val="52"/>
          <w:szCs w:val="52"/>
          <w:highlight w:val="none"/>
          <w:lang w:val="en-US" w:eastAsia="zh-CN" w:bidi="ar"/>
        </w:rPr>
      </w:pPr>
      <w:r>
        <w:rPr>
          <w:rFonts w:hint="eastAsia" w:asciiTheme="minorEastAsia" w:hAnsiTheme="minorEastAsia" w:eastAsiaTheme="minorEastAsia" w:cstheme="minorEastAsia"/>
          <w:b/>
          <w:bCs/>
          <w:color w:val="auto"/>
          <w:kern w:val="0"/>
          <w:sz w:val="52"/>
          <w:szCs w:val="52"/>
          <w:highlight w:val="none"/>
          <w:lang w:val="en-US" w:eastAsia="zh-CN" w:bidi="ar"/>
        </w:rPr>
        <w:t>凯东团结巷社区养老服务中心及区智慧养老平台工程</w:t>
      </w:r>
    </w:p>
    <w:p>
      <w:pPr>
        <w:pStyle w:val="27"/>
        <w:rPr>
          <w:rFonts w:hint="eastAsia"/>
          <w:color w:val="auto"/>
          <w:highlight w:val="none"/>
          <w:lang w:val="en-US" w:eastAsia="zh-CN"/>
        </w:rPr>
      </w:pPr>
    </w:p>
    <w:p>
      <w:pPr>
        <w:keepNext w:val="0"/>
        <w:keepLines w:val="0"/>
        <w:widowControl/>
        <w:suppressLineNumbers w:val="0"/>
        <w:jc w:val="center"/>
        <w:rPr>
          <w:rFonts w:hint="eastAsia" w:asciiTheme="minorEastAsia" w:hAnsiTheme="minorEastAsia" w:eastAsiaTheme="minorEastAsia" w:cstheme="minorEastAsia"/>
          <w:b/>
          <w:bCs/>
          <w:color w:val="auto"/>
          <w:kern w:val="0"/>
          <w:sz w:val="72"/>
          <w:szCs w:val="72"/>
          <w:highlight w:val="none"/>
          <w:lang w:val="en-US" w:eastAsia="zh-CN" w:bidi="ar"/>
        </w:rPr>
      </w:pPr>
      <w:r>
        <w:rPr>
          <w:rFonts w:hint="eastAsia" w:asciiTheme="minorEastAsia" w:hAnsiTheme="minorEastAsia" w:eastAsiaTheme="minorEastAsia" w:cstheme="minorEastAsia"/>
          <w:b/>
          <w:bCs/>
          <w:color w:val="auto"/>
          <w:kern w:val="0"/>
          <w:sz w:val="72"/>
          <w:szCs w:val="72"/>
          <w:highlight w:val="none"/>
          <w:lang w:val="en-US" w:eastAsia="zh-CN" w:bidi="ar"/>
        </w:rPr>
        <w:t>竞争性磋商文件</w:t>
      </w:r>
    </w:p>
    <w:p>
      <w:pPr>
        <w:keepNext w:val="0"/>
        <w:keepLines w:val="0"/>
        <w:widowControl/>
        <w:suppressLineNumbers w:val="0"/>
        <w:jc w:val="center"/>
        <w:rPr>
          <w:rFonts w:hint="eastAsia" w:asciiTheme="minorEastAsia" w:hAnsiTheme="minorEastAsia" w:eastAsiaTheme="minorEastAsia" w:cstheme="minorEastAsia"/>
          <w:b/>
          <w:bCs/>
          <w:color w:val="auto"/>
          <w:kern w:val="0"/>
          <w:sz w:val="84"/>
          <w:szCs w:val="84"/>
          <w:highlight w:val="none"/>
          <w:lang w:val="en-US" w:eastAsia="zh-CN" w:bidi="ar"/>
        </w:rPr>
      </w:pPr>
    </w:p>
    <w:p>
      <w:pPr>
        <w:keepNext w:val="0"/>
        <w:keepLines w:val="0"/>
        <w:widowControl/>
        <w:suppressLineNumbers w:val="0"/>
        <w:jc w:val="center"/>
        <w:rPr>
          <w:rFonts w:hint="eastAsia" w:asciiTheme="minorEastAsia" w:hAnsiTheme="minorEastAsia" w:eastAsiaTheme="minorEastAsia" w:cstheme="minorEastAsia"/>
          <w:b/>
          <w:bCs/>
          <w:color w:val="auto"/>
          <w:kern w:val="0"/>
          <w:sz w:val="84"/>
          <w:szCs w:val="84"/>
          <w:highlight w:val="none"/>
          <w:lang w:val="en-US" w:eastAsia="zh-CN" w:bidi="ar"/>
        </w:rPr>
      </w:pPr>
      <w:r>
        <w:rPr>
          <w:rFonts w:hint="eastAsia" w:ascii="宋体" w:hAnsi="宋体" w:eastAsia="宋体" w:cs="宋体"/>
          <w:color w:val="auto"/>
          <w:sz w:val="28"/>
          <w:szCs w:val="28"/>
          <w:highlight w:val="none"/>
          <w:lang w:eastAsia="zh-CN"/>
        </w:rPr>
        <w:drawing>
          <wp:inline distT="0" distB="0" distL="114300" distR="114300">
            <wp:extent cx="1796415" cy="2365375"/>
            <wp:effectExtent l="0" t="0" r="13335" b="1587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1796415" cy="2365375"/>
                    </a:xfrm>
                    <a:prstGeom prst="rect">
                      <a:avLst/>
                    </a:prstGeom>
                    <a:noFill/>
                    <a:ln>
                      <a:noFill/>
                    </a:ln>
                  </pic:spPr>
                </pic:pic>
              </a:graphicData>
            </a:graphic>
          </wp:inline>
        </w:drawing>
      </w:r>
    </w:p>
    <w:p>
      <w:pPr>
        <w:keepNext w:val="0"/>
        <w:keepLines w:val="0"/>
        <w:widowControl/>
        <w:suppressLineNumbers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kern w:val="0"/>
          <w:sz w:val="32"/>
          <w:szCs w:val="32"/>
          <w:highlight w:val="none"/>
          <w:lang w:val="en-US" w:eastAsia="zh-CN" w:bidi="ar"/>
        </w:rPr>
        <w:t xml:space="preserve">项目编号: 西工政采磋商(2023)0017号 </w:t>
      </w:r>
    </w:p>
    <w:p>
      <w:pPr>
        <w:keepNext w:val="0"/>
        <w:keepLines w:val="0"/>
        <w:widowControl/>
        <w:suppressLineNumbers w:val="0"/>
        <w:jc w:val="center"/>
        <w:rPr>
          <w:rFonts w:hint="default" w:asciiTheme="minorEastAsia" w:hAnsiTheme="minorEastAsia" w:eastAsiaTheme="minorEastAsia" w:cstheme="minorEastAsia"/>
          <w:b/>
          <w:bCs/>
          <w:color w:val="auto"/>
          <w:kern w:val="0"/>
          <w:sz w:val="32"/>
          <w:szCs w:val="32"/>
          <w:highlight w:val="none"/>
          <w:lang w:val="en-US" w:eastAsia="zh-CN" w:bidi="ar"/>
        </w:rPr>
      </w:pPr>
      <w:r>
        <w:rPr>
          <w:rFonts w:hint="eastAsia" w:asciiTheme="minorEastAsia" w:hAnsiTheme="minorEastAsia" w:eastAsiaTheme="minorEastAsia" w:cstheme="minorEastAsia"/>
          <w:b/>
          <w:bCs/>
          <w:color w:val="auto"/>
          <w:kern w:val="0"/>
          <w:sz w:val="32"/>
          <w:szCs w:val="32"/>
          <w:highlight w:val="none"/>
          <w:lang w:val="en-US" w:eastAsia="zh-CN" w:bidi="ar"/>
        </w:rPr>
        <w:t>政府采购管理部门备案编号：西工政采磋商-2023-7</w:t>
      </w:r>
    </w:p>
    <w:p>
      <w:pPr>
        <w:rPr>
          <w:rFonts w:hint="eastAsia"/>
          <w:color w:val="auto"/>
          <w:highlight w:val="none"/>
          <w:lang w:val="en-US" w:eastAsia="zh-CN"/>
        </w:rPr>
      </w:pPr>
    </w:p>
    <w:p>
      <w:pPr>
        <w:keepNext w:val="0"/>
        <w:keepLines w:val="0"/>
        <w:widowControl/>
        <w:suppressLineNumbers w:val="0"/>
        <w:jc w:val="center"/>
        <w:rPr>
          <w:rFonts w:hint="default" w:asciiTheme="minorEastAsia" w:hAnsiTheme="minorEastAsia" w:eastAsiaTheme="minorEastAsia" w:cstheme="minorEastAsia"/>
          <w:b/>
          <w:bCs/>
          <w:color w:val="auto"/>
          <w:kern w:val="0"/>
          <w:sz w:val="31"/>
          <w:szCs w:val="31"/>
          <w:highlight w:val="none"/>
          <w:lang w:val="en-US" w:eastAsia="zh-CN" w:bidi="ar"/>
        </w:rPr>
      </w:pPr>
      <w:r>
        <w:rPr>
          <w:rFonts w:hint="eastAsia" w:asciiTheme="minorEastAsia" w:hAnsiTheme="minorEastAsia" w:eastAsiaTheme="minorEastAsia" w:cstheme="minorEastAsia"/>
          <w:b/>
          <w:bCs/>
          <w:color w:val="auto"/>
          <w:kern w:val="0"/>
          <w:sz w:val="31"/>
          <w:szCs w:val="31"/>
          <w:highlight w:val="none"/>
          <w:lang w:val="en-US" w:eastAsia="zh-CN" w:bidi="ar"/>
        </w:rPr>
        <w:t>采 购 人：</w:t>
      </w:r>
      <w:r>
        <w:rPr>
          <w:rFonts w:hint="eastAsia" w:asciiTheme="minorEastAsia" w:hAnsiTheme="minorEastAsia" w:eastAsiaTheme="minorEastAsia" w:cstheme="minorEastAsia"/>
          <w:b/>
          <w:bCs/>
          <w:color w:val="auto"/>
          <w:kern w:val="0"/>
          <w:sz w:val="31"/>
          <w:szCs w:val="31"/>
          <w:highlight w:val="none"/>
          <w:lang w:val="en-US" w:eastAsia="zh-CN" w:bidi="ar"/>
        </w:rPr>
        <w:t>洛阳市西工区民政局</w:t>
      </w:r>
    </w:p>
    <w:p>
      <w:pPr>
        <w:keepNext w:val="0"/>
        <w:keepLines w:val="0"/>
        <w:widowControl/>
        <w:suppressLineNumbers w:val="0"/>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kern w:val="0"/>
          <w:sz w:val="31"/>
          <w:szCs w:val="31"/>
          <w:highlight w:val="none"/>
          <w:lang w:val="en-US" w:eastAsia="zh-CN" w:bidi="ar"/>
        </w:rPr>
        <w:t>采购代理机构：</w:t>
      </w:r>
      <w:r>
        <w:rPr>
          <w:rFonts w:hint="eastAsia" w:asciiTheme="minorEastAsia" w:hAnsiTheme="minorEastAsia" w:eastAsiaTheme="minorEastAsia" w:cstheme="minorEastAsia"/>
          <w:b/>
          <w:bCs/>
          <w:color w:val="auto"/>
          <w:kern w:val="0"/>
          <w:sz w:val="31"/>
          <w:szCs w:val="31"/>
          <w:highlight w:val="none"/>
          <w:lang w:val="en-US" w:eastAsia="zh-CN" w:bidi="ar"/>
        </w:rPr>
        <w:t>恒之宇工程集团有限公司</w:t>
      </w:r>
    </w:p>
    <w:p>
      <w:pPr>
        <w:keepNext w:val="0"/>
        <w:keepLines w:val="0"/>
        <w:widowControl/>
        <w:suppressLineNumbers w:val="0"/>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kern w:val="0"/>
          <w:sz w:val="31"/>
          <w:szCs w:val="31"/>
          <w:highlight w:val="none"/>
          <w:lang w:val="en-US" w:eastAsia="zh-CN" w:bidi="ar"/>
        </w:rPr>
        <w:t>日 期：二零二三年四月</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spacing w:before="0" w:line="504" w:lineRule="exact"/>
        <w:ind w:left="547" w:right="611" w:firstLine="0"/>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特  别  提 示</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1、投标文件的制作</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1投标人登录“洛阳市公共资源交易中心”网站，按要求下载“新点投标文件制作软件”。</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2投标人凭CA锁登录，并按网上提示自行下载招标文件。使用“新点投标文件制作软件”按要求制作电子投标文件。投标人在制作电子投标文件时，应按要求进行电子签章。投标人编辑电子投标文件时，根据招标文件要求用法定代表人CA锁和企业CA锁进行签章制作；最后一步生成电子投标文件（*.lytf格式和*.nlytf格式）时，只能用本单位的企业CA锁。联合体投标的，投标文件由联合体牵头人按上述规定进行签章。</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3加密的电子投标文件为“洛阳市公共资源交易中心”网站提供的“新点投标文件制作软件”制作生成的加密版投标文件。未加密的电子投标文件应与加密的电子投标文件为同时生成的版本。</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4投标文件格式所要求包含的全部资料应全部制作在投标文件内，严格按照本项目投标文件所有格式如实填写（不涉及的内容除外），不应存在漏项或缺项，否则将存在响应被否决的风险。</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5投标文件所附证明材料均为原件的扫描件（或照片），尺寸和清晰度应该能够在电脑上被阅读、识别和判断；若投标人未按要求提供证明材料或提供不清晰的扫描件（或照片）的，招标小组有权认定其投标文件未对招标文件有关要求进行响应，涉及资格性审查或符合性审查的将不予通过。</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2、投标文件的提交</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w:t>
      </w:r>
      <w:r>
        <w:rPr>
          <w:rFonts w:hint="eastAsia" w:asciiTheme="minorEastAsia" w:hAnsiTheme="minorEastAsia" w:eastAsiaTheme="minorEastAsia" w:cstheme="minorEastAsia"/>
          <w:color w:val="auto"/>
          <w:sz w:val="24"/>
          <w:szCs w:val="24"/>
          <w:highlight w:val="none"/>
        </w:rPr>
        <w:t>除电子投标文件外，不再接受任何纸质文件、资料等。</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投标人应在提交投标文件截止时间前上传加密的电子投标文件（*.lytf）到洛阳市电子招投标交易平台指定位置。上传时投标人须使用制作该投标文件的同一CA锁进行上传操作。请投标人在上传时认真检查上传投标文件是否完整、正确。投标人应充分考虑上传文件时的不可预见因素，未在提交投标文件截止时间前完成上传的，视为逾期送达，洛阳市电子招投标交易平台将拒绝接收。上传成功后将得到上传成功的确认。</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2.3</w:t>
      </w:r>
      <w:r>
        <w:rPr>
          <w:rFonts w:hint="eastAsia" w:asciiTheme="minorEastAsia" w:hAnsiTheme="minorEastAsia" w:eastAsiaTheme="minorEastAsia" w:cstheme="minorEastAsia"/>
          <w:color w:val="auto"/>
          <w:sz w:val="24"/>
          <w:szCs w:val="24"/>
          <w:highlight w:val="none"/>
        </w:rPr>
        <w:t>投标人因洛阳市电子招投标交易平台问题无法上传电子投标文件时，请在工作时间与交易中心联系。</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3、招标文件的澄清、修改</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招标文件的澄清、修改将在与招标公告同步的网站上发布“变更公告”，如需修改招标文件，则同时在洛阳市电子招投标交易平台发布“答疑文件”（答疑文件指修改后最新的招标文件）。对于各项目中已经成功下载招标文件的投标人，将通过第三方短信群发方式提醒投标人进行查询。各投标人须重新下载最新的“答疑文件”，并以此编制投标文件。如不以最新发布的“答疑文件”编制投标文件，造成投标无效的后果由投标人自己承担。</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w:t>
      </w:r>
      <w:r>
        <w:rPr>
          <w:rFonts w:hint="eastAsia" w:asciiTheme="minorEastAsia" w:hAnsiTheme="minorEastAsia" w:eastAsiaTheme="minorEastAsia" w:cstheme="minorEastAsia"/>
          <w:color w:val="auto"/>
          <w:sz w:val="24"/>
          <w:szCs w:val="24"/>
          <w:highlight w:val="none"/>
        </w:rPr>
        <w:t>因洛阳市电子招投标交易平台在开标前具有保密性，投标人在投标文件递交截止时间前须自行查看项目进展、变更通知、澄清及回复，因投标人未及时查看而造成的后果自负。</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4、开标</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4.1</w:t>
      </w:r>
      <w:r>
        <w:rPr>
          <w:rFonts w:hint="eastAsia" w:asciiTheme="minorEastAsia" w:hAnsiTheme="minorEastAsia" w:eastAsiaTheme="minorEastAsia" w:cstheme="minorEastAsia"/>
          <w:color w:val="auto"/>
          <w:sz w:val="24"/>
          <w:szCs w:val="24"/>
          <w:highlight w:val="none"/>
        </w:rPr>
        <w:t>本项目采用远程不见面交易的模式。开标当日，投标人无需到开标现场参加开标会议，投标人应当在投标截止时间前，登录远程开标大厅选择洛阳市公共资源电子招投标系统进行登录（网址为http://t.cn/A 6hu PROa），在线准时参加开标活动并进行投标文件解密等。因投标人原因未能解密、解密失败或解密超时的将被拒绝。</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2开标时，各投标人应在规定时间内对本单位的投标文件解密。开标时，招标代理机构将通过洛阳市电子招投标交易平台进行唱标。</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5、开标异常处理</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当出现以下情况时，应对未开标的中止电子开标，对原有资料及信息作出妥善保密处理，并在恢复正常后及时安排时间开标：</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5.1</w:t>
      </w:r>
      <w:r>
        <w:rPr>
          <w:rFonts w:hint="eastAsia" w:asciiTheme="minorEastAsia" w:hAnsiTheme="minorEastAsia" w:eastAsiaTheme="minorEastAsia" w:cstheme="minorEastAsia"/>
          <w:color w:val="auto"/>
          <w:sz w:val="24"/>
          <w:szCs w:val="24"/>
          <w:highlight w:val="none"/>
        </w:rPr>
        <w:t>服务器发生故障，无法访问或无法使用系统；</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5.2</w:t>
      </w:r>
      <w:r>
        <w:rPr>
          <w:rFonts w:hint="eastAsia" w:asciiTheme="minorEastAsia" w:hAnsiTheme="minorEastAsia" w:eastAsiaTheme="minorEastAsia" w:cstheme="minorEastAsia"/>
          <w:color w:val="auto"/>
          <w:sz w:val="24"/>
          <w:szCs w:val="24"/>
          <w:highlight w:val="none"/>
        </w:rPr>
        <w:t>软件或数据库出现错误，不能进行正常操作；</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5.3</w:t>
      </w:r>
      <w:r>
        <w:rPr>
          <w:rFonts w:hint="eastAsia" w:asciiTheme="minorEastAsia" w:hAnsiTheme="minorEastAsia" w:eastAsiaTheme="minorEastAsia" w:cstheme="minorEastAsia"/>
          <w:color w:val="auto"/>
          <w:sz w:val="24"/>
          <w:szCs w:val="24"/>
          <w:highlight w:val="none"/>
        </w:rPr>
        <w:t>发现有安全漏洞，有潜在的泄密危险；</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5.4</w:t>
      </w:r>
      <w:r>
        <w:rPr>
          <w:rFonts w:hint="eastAsia" w:asciiTheme="minorEastAsia" w:hAnsiTheme="minorEastAsia" w:eastAsiaTheme="minorEastAsia" w:cstheme="minorEastAsia"/>
          <w:color w:val="auto"/>
          <w:sz w:val="24"/>
          <w:szCs w:val="24"/>
          <w:highlight w:val="none"/>
        </w:rPr>
        <w:t>电事故且短时间内无法恢复供电；</w:t>
      </w:r>
    </w:p>
    <w:p>
      <w:pPr>
        <w:pStyle w:val="10"/>
        <w:spacing w:line="24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5.5</w:t>
      </w:r>
      <w:r>
        <w:rPr>
          <w:rFonts w:hint="eastAsia" w:asciiTheme="minorEastAsia" w:hAnsiTheme="minorEastAsia" w:eastAsiaTheme="minorEastAsia" w:cstheme="minorEastAsia"/>
          <w:color w:val="auto"/>
          <w:sz w:val="24"/>
          <w:szCs w:val="24"/>
          <w:highlight w:val="none"/>
        </w:rPr>
        <w:t>无法保证招投标过程正常进行的情形。</w:t>
      </w:r>
    </w:p>
    <w:p>
      <w:pPr>
        <w:rPr>
          <w:rFonts w:hint="eastAsia"/>
          <w:color w:val="auto"/>
          <w:sz w:val="24"/>
          <w:szCs w:val="24"/>
          <w:highlight w:val="none"/>
        </w:rPr>
      </w:pPr>
      <w:r>
        <w:rPr>
          <w:rFonts w:hint="eastAsia"/>
          <w:color w:val="auto"/>
          <w:sz w:val="24"/>
          <w:szCs w:val="24"/>
          <w:highlight w:val="none"/>
        </w:rPr>
        <w:br w:type="page"/>
      </w:r>
    </w:p>
    <w:p>
      <w:pPr>
        <w:pStyle w:val="3"/>
        <w:bidi w:val="0"/>
        <w:rPr>
          <w:color w:val="auto"/>
          <w:highlight w:val="none"/>
        </w:rPr>
      </w:pPr>
      <w:r>
        <w:rPr>
          <w:color w:val="auto"/>
          <w:highlight w:val="none"/>
          <w:lang w:val="en-US" w:eastAsia="zh-CN"/>
        </w:rPr>
        <w:t>第一章</w:t>
      </w:r>
      <w:r>
        <w:rPr>
          <w:rFonts w:hint="eastAsia"/>
          <w:color w:val="auto"/>
          <w:highlight w:val="none"/>
          <w:lang w:val="en-US" w:eastAsia="zh-CN"/>
        </w:rPr>
        <w:t>、</w:t>
      </w:r>
      <w:r>
        <w:rPr>
          <w:color w:val="auto"/>
          <w:highlight w:val="none"/>
          <w:lang w:val="en-US" w:eastAsia="zh-CN"/>
        </w:rPr>
        <w:t xml:space="preserve">采购公告 </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项目概况： </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cs="宋体"/>
          <w:color w:val="auto"/>
          <w:kern w:val="0"/>
          <w:sz w:val="24"/>
          <w:szCs w:val="24"/>
          <w:highlight w:val="none"/>
          <w:lang w:val="en-US" w:eastAsia="zh-CN" w:bidi="ar"/>
        </w:rPr>
        <w:t>凯东团结巷社区养老服务中心及区智慧养老平台工程</w:t>
      </w:r>
      <w:r>
        <w:rPr>
          <w:rFonts w:hint="eastAsia" w:ascii="宋体" w:hAnsi="宋体" w:eastAsia="宋体" w:cs="宋体"/>
          <w:color w:val="auto"/>
          <w:kern w:val="0"/>
          <w:sz w:val="24"/>
          <w:szCs w:val="24"/>
          <w:highlight w:val="none"/>
          <w:lang w:val="en-US" w:eastAsia="zh-CN" w:bidi="ar"/>
        </w:rPr>
        <w:t>的潜在投标人应在洛阳市公共资源交易中心网站（lyggzyjy.ly.gov.cn）获取</w:t>
      </w:r>
      <w:r>
        <w:rPr>
          <w:rFonts w:hint="eastAsia" w:ascii="宋体" w:hAnsi="宋体" w:eastAsia="宋体" w:cs="宋体"/>
          <w:color w:val="auto"/>
          <w:kern w:val="0"/>
          <w:sz w:val="24"/>
          <w:szCs w:val="24"/>
          <w:highlight w:val="none"/>
          <w:lang w:val="en-US" w:eastAsia="zh-CN" w:bidi="ar"/>
        </w:rPr>
        <w:t>招标文件，</w:t>
      </w:r>
      <w:r>
        <w:rPr>
          <w:rFonts w:hint="eastAsia" w:ascii="宋体" w:hAnsi="宋体" w:eastAsia="宋体" w:cs="宋体"/>
          <w:color w:val="auto"/>
          <w:kern w:val="0"/>
          <w:sz w:val="24"/>
          <w:szCs w:val="24"/>
          <w:highlight w:val="none"/>
          <w:lang w:val="en-US" w:eastAsia="zh-CN" w:bidi="ar"/>
        </w:rPr>
        <w:t>并</w:t>
      </w:r>
      <w:r>
        <w:rPr>
          <w:rFonts w:hint="eastAsia" w:ascii="宋体" w:hAnsi="宋体" w:eastAsia="宋体" w:cs="宋体"/>
          <w:color w:val="auto"/>
          <w:kern w:val="0"/>
          <w:sz w:val="24"/>
          <w:szCs w:val="24"/>
          <w:highlight w:val="none"/>
          <w:lang w:val="en-US" w:eastAsia="zh-CN" w:bidi="ar"/>
        </w:rPr>
        <w:t>于202</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月</w:t>
      </w:r>
      <w:r>
        <w:rPr>
          <w:rFonts w:hint="eastAsia" w:ascii="宋体" w:hAnsi="宋体" w:cs="宋体"/>
          <w:color w:val="auto"/>
          <w:kern w:val="0"/>
          <w:sz w:val="24"/>
          <w:szCs w:val="24"/>
          <w:highlight w:val="none"/>
          <w:lang w:val="en-US" w:eastAsia="zh-CN" w:bidi="ar"/>
        </w:rPr>
        <w:t>23</w:t>
      </w:r>
      <w:r>
        <w:rPr>
          <w:rFonts w:hint="eastAsia" w:ascii="宋体" w:hAnsi="宋体" w:eastAsia="宋体" w:cs="宋体"/>
          <w:color w:val="auto"/>
          <w:kern w:val="0"/>
          <w:sz w:val="24"/>
          <w:szCs w:val="24"/>
          <w:highlight w:val="none"/>
          <w:lang w:val="en-US" w:eastAsia="zh-CN" w:bidi="ar"/>
        </w:rPr>
        <w:t>日09时</w:t>
      </w:r>
      <w:r>
        <w:rPr>
          <w:rFonts w:hint="eastAsia" w:ascii="宋体" w:hAnsi="宋体" w:cs="宋体"/>
          <w:color w:val="auto"/>
          <w:kern w:val="0"/>
          <w:sz w:val="24"/>
          <w:szCs w:val="24"/>
          <w:highlight w:val="none"/>
          <w:lang w:val="en-US" w:eastAsia="zh-CN" w:bidi="ar"/>
        </w:rPr>
        <w:t>35</w:t>
      </w:r>
      <w:r>
        <w:rPr>
          <w:rFonts w:hint="eastAsia" w:ascii="宋体" w:hAnsi="宋体" w:eastAsia="宋体" w:cs="宋体"/>
          <w:color w:val="auto"/>
          <w:kern w:val="0"/>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（北京时间）前递交投标文件。</w:t>
      </w:r>
    </w:p>
    <w:p>
      <w:pPr>
        <w:keepNext w:val="0"/>
        <w:keepLines w:val="0"/>
        <w:pageBreakBefore w:val="0"/>
        <w:widowControl/>
        <w:suppressLineNumbers w:val="0"/>
        <w:kinsoku/>
        <w:wordWrap/>
        <w:overflowPunct/>
        <w:topLinePunct w:val="0"/>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一、项目基本情况</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项目编号：西工政采磋商(2023)0017号</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政府采购管理部门备案编号</w:t>
      </w:r>
      <w:r>
        <w:rPr>
          <w:rFonts w:hint="eastAsia" w:ascii="宋体" w:hAnsi="宋体" w:cs="宋体"/>
          <w:color w:val="auto"/>
          <w:kern w:val="0"/>
          <w:sz w:val="24"/>
          <w:szCs w:val="24"/>
          <w:highlight w:val="none"/>
          <w:lang w:val="en-US" w:eastAsia="zh-CN" w:bidi="ar"/>
        </w:rPr>
        <w:t>：西工政采磋商-2023-7</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2、项目名称：</w:t>
      </w:r>
      <w:r>
        <w:rPr>
          <w:rFonts w:hint="eastAsia" w:ascii="宋体" w:hAnsi="宋体" w:cs="宋体"/>
          <w:color w:val="auto"/>
          <w:kern w:val="0"/>
          <w:sz w:val="24"/>
          <w:szCs w:val="24"/>
          <w:highlight w:val="none"/>
          <w:lang w:val="en-US" w:eastAsia="zh-CN" w:bidi="ar"/>
        </w:rPr>
        <w:t>凯东团结巷社区养老服务中心及区智慧养老平台工程</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3、采购方式：</w:t>
      </w:r>
      <w:r>
        <w:rPr>
          <w:rFonts w:hint="eastAsia" w:ascii="宋体" w:hAnsi="宋体" w:eastAsia="宋体" w:cs="宋体"/>
          <w:color w:val="auto"/>
          <w:kern w:val="0"/>
          <w:sz w:val="24"/>
          <w:szCs w:val="24"/>
          <w:highlight w:val="none"/>
          <w:lang w:val="en-US" w:eastAsia="zh-CN" w:bidi="ar"/>
        </w:rPr>
        <w:t>竞争性磋商</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4、预算金额：</w:t>
      </w:r>
      <w:r>
        <w:rPr>
          <w:rFonts w:hint="eastAsia" w:ascii="宋体" w:hAnsi="宋体" w:cs="宋体"/>
          <w:color w:val="auto"/>
          <w:kern w:val="0"/>
          <w:sz w:val="24"/>
          <w:szCs w:val="24"/>
          <w:highlight w:val="none"/>
          <w:lang w:val="en-US" w:eastAsia="zh-CN" w:bidi="ar"/>
        </w:rPr>
        <w:t>2537543.87</w:t>
      </w:r>
      <w:r>
        <w:rPr>
          <w:rFonts w:hint="eastAsia" w:ascii="宋体" w:hAnsi="宋体" w:eastAsia="宋体" w:cs="宋体"/>
          <w:color w:val="auto"/>
          <w:kern w:val="0"/>
          <w:sz w:val="24"/>
          <w:szCs w:val="24"/>
          <w:highlight w:val="none"/>
          <w:lang w:val="en-US" w:eastAsia="zh-CN" w:bidi="ar"/>
        </w:rPr>
        <w:t xml:space="preserve">元 </w:t>
      </w:r>
    </w:p>
    <w:p>
      <w:pPr>
        <w:keepNext w:val="0"/>
        <w:keepLines w:val="0"/>
        <w:pageBreakBefore w:val="0"/>
        <w:widowControl/>
        <w:suppressLineNumbers w:val="0"/>
        <w:kinsoku/>
        <w:wordWrap/>
        <w:overflowPunct/>
        <w:topLinePunct w:val="0"/>
        <w:bidi w:val="0"/>
        <w:adjustRightInd/>
        <w:snapToGrid/>
        <w:ind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最高限价：</w:t>
      </w:r>
      <w:r>
        <w:rPr>
          <w:rFonts w:hint="eastAsia" w:ascii="宋体" w:hAnsi="宋体" w:cs="宋体"/>
          <w:color w:val="auto"/>
          <w:kern w:val="0"/>
          <w:sz w:val="24"/>
          <w:szCs w:val="24"/>
          <w:highlight w:val="none"/>
          <w:lang w:val="en-US" w:eastAsia="zh-CN" w:bidi="ar"/>
        </w:rPr>
        <w:t>2537543.87</w:t>
      </w:r>
      <w:r>
        <w:rPr>
          <w:rFonts w:hint="eastAsia" w:ascii="宋体" w:hAnsi="宋体" w:eastAsia="宋体" w:cs="宋体"/>
          <w:color w:val="auto"/>
          <w:kern w:val="0"/>
          <w:sz w:val="24"/>
          <w:szCs w:val="24"/>
          <w:highlight w:val="none"/>
          <w:lang w:val="en-US" w:eastAsia="zh-CN" w:bidi="ar"/>
        </w:rPr>
        <w:t>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Align w:val="center"/>
          </w:tcPr>
          <w:p>
            <w:pPr>
              <w:jc w:val="center"/>
              <w:rPr>
                <w:rFonts w:hint="eastAsia"/>
                <w:color w:val="auto"/>
                <w:sz w:val="24"/>
                <w:szCs w:val="24"/>
                <w:highlight w:val="none"/>
                <w:lang w:val="en-US" w:eastAsia="zh-CN"/>
              </w:rPr>
            </w:pPr>
            <w:r>
              <w:rPr>
                <w:rFonts w:hint="eastAsia"/>
                <w:color w:val="auto"/>
                <w:sz w:val="24"/>
                <w:szCs w:val="24"/>
                <w:highlight w:val="none"/>
                <w:lang w:val="en-US" w:eastAsia="zh-CN"/>
              </w:rPr>
              <w:t>序号</w:t>
            </w:r>
          </w:p>
        </w:tc>
        <w:tc>
          <w:tcPr>
            <w:tcW w:w="1971" w:type="dxa"/>
            <w:vAlign w:val="center"/>
          </w:tcPr>
          <w:p>
            <w:pPr>
              <w:jc w:val="center"/>
              <w:rPr>
                <w:rFonts w:hint="eastAsia"/>
                <w:color w:val="auto"/>
                <w:sz w:val="24"/>
                <w:szCs w:val="24"/>
                <w:highlight w:val="none"/>
                <w:lang w:val="en-US" w:eastAsia="zh-CN"/>
              </w:rPr>
            </w:pPr>
            <w:r>
              <w:rPr>
                <w:rFonts w:hint="eastAsia"/>
                <w:color w:val="auto"/>
                <w:sz w:val="24"/>
                <w:szCs w:val="24"/>
                <w:highlight w:val="none"/>
                <w:lang w:val="en-US" w:eastAsia="zh-CN"/>
              </w:rPr>
              <w:t>包号</w:t>
            </w:r>
          </w:p>
        </w:tc>
        <w:tc>
          <w:tcPr>
            <w:tcW w:w="1971" w:type="dxa"/>
            <w:vAlign w:val="center"/>
          </w:tcPr>
          <w:p>
            <w:pPr>
              <w:jc w:val="center"/>
              <w:rPr>
                <w:rFonts w:hint="eastAsia"/>
                <w:color w:val="auto"/>
                <w:sz w:val="24"/>
                <w:szCs w:val="24"/>
                <w:highlight w:val="none"/>
                <w:lang w:val="en-US" w:eastAsia="zh-CN"/>
              </w:rPr>
            </w:pPr>
            <w:r>
              <w:rPr>
                <w:rFonts w:hint="eastAsia"/>
                <w:color w:val="auto"/>
                <w:sz w:val="24"/>
                <w:szCs w:val="24"/>
                <w:highlight w:val="none"/>
                <w:lang w:val="en-US" w:eastAsia="zh-CN"/>
              </w:rPr>
              <w:t>包名称</w:t>
            </w:r>
          </w:p>
        </w:tc>
        <w:tc>
          <w:tcPr>
            <w:tcW w:w="1971" w:type="dxa"/>
            <w:vAlign w:val="center"/>
          </w:tcPr>
          <w:p>
            <w:pPr>
              <w:jc w:val="center"/>
              <w:rPr>
                <w:rFonts w:hint="eastAsia"/>
                <w:color w:val="auto"/>
                <w:sz w:val="24"/>
                <w:szCs w:val="24"/>
                <w:highlight w:val="none"/>
                <w:lang w:val="en-US" w:eastAsia="zh-CN"/>
              </w:rPr>
            </w:pPr>
            <w:r>
              <w:rPr>
                <w:rFonts w:hint="eastAsia"/>
                <w:color w:val="auto"/>
                <w:sz w:val="24"/>
                <w:szCs w:val="24"/>
                <w:highlight w:val="none"/>
                <w:lang w:val="en-US" w:eastAsia="zh-CN"/>
              </w:rPr>
              <w:t>包预算（元）</w:t>
            </w:r>
          </w:p>
        </w:tc>
        <w:tc>
          <w:tcPr>
            <w:tcW w:w="1971" w:type="dxa"/>
            <w:vAlign w:val="center"/>
          </w:tcPr>
          <w:p>
            <w:pPr>
              <w:jc w:val="center"/>
              <w:rPr>
                <w:rFonts w:hint="eastAsia"/>
                <w:color w:val="auto"/>
                <w:sz w:val="24"/>
                <w:szCs w:val="24"/>
                <w:highlight w:val="none"/>
                <w:lang w:val="en-US" w:eastAsia="zh-CN"/>
              </w:rPr>
            </w:pPr>
            <w:r>
              <w:rPr>
                <w:rFonts w:hint="eastAsia"/>
                <w:color w:val="auto"/>
                <w:sz w:val="24"/>
                <w:szCs w:val="24"/>
                <w:highlight w:val="none"/>
                <w:lang w:val="en-US"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Align w:val="center"/>
          </w:tcPr>
          <w:p>
            <w:pPr>
              <w:jc w:val="center"/>
              <w:rPr>
                <w:rFonts w:hint="eastAsia"/>
                <w:color w:val="auto"/>
                <w:sz w:val="24"/>
                <w:szCs w:val="24"/>
                <w:highlight w:val="none"/>
                <w:lang w:val="en-US" w:eastAsia="zh-CN"/>
              </w:rPr>
            </w:pPr>
            <w:r>
              <w:rPr>
                <w:rFonts w:hint="eastAsia"/>
                <w:color w:val="auto"/>
                <w:sz w:val="24"/>
                <w:szCs w:val="24"/>
                <w:highlight w:val="none"/>
                <w:lang w:val="en-US" w:eastAsia="zh-CN"/>
              </w:rPr>
              <w:t>1</w:t>
            </w:r>
          </w:p>
        </w:tc>
        <w:tc>
          <w:tcPr>
            <w:tcW w:w="1971" w:type="dxa"/>
            <w:vAlign w:val="center"/>
          </w:tcPr>
          <w:p>
            <w:pPr>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1包</w:t>
            </w:r>
          </w:p>
        </w:tc>
        <w:tc>
          <w:tcPr>
            <w:tcW w:w="1971" w:type="dxa"/>
            <w:vAlign w:val="center"/>
          </w:tcPr>
          <w:p>
            <w:pPr>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凯东团结巷社区养老服务中心及区智慧养老平台工程</w:t>
            </w:r>
            <w:r>
              <w:rPr>
                <w:rFonts w:hint="default" w:ascii="宋体" w:hAnsi="宋体" w:cs="宋体"/>
                <w:color w:val="auto"/>
                <w:kern w:val="0"/>
                <w:sz w:val="24"/>
                <w:szCs w:val="24"/>
                <w:highlight w:val="none"/>
                <w:lang w:val="en-US" w:eastAsia="zh-CN" w:bidi="ar"/>
              </w:rPr>
              <w:t xml:space="preserve"> </w:t>
            </w:r>
          </w:p>
        </w:tc>
        <w:tc>
          <w:tcPr>
            <w:tcW w:w="1971" w:type="dxa"/>
            <w:vAlign w:val="center"/>
          </w:tcPr>
          <w:p>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2537543.87</w:t>
            </w:r>
          </w:p>
        </w:tc>
        <w:tc>
          <w:tcPr>
            <w:tcW w:w="1971" w:type="dxa"/>
            <w:vAlign w:val="center"/>
          </w:tcPr>
          <w:p>
            <w:pPr>
              <w:jc w:val="center"/>
              <w:rPr>
                <w:rFonts w:hint="eastAsia"/>
                <w:color w:val="auto"/>
                <w:sz w:val="24"/>
                <w:szCs w:val="24"/>
                <w:highlight w:val="none"/>
              </w:rPr>
            </w:pPr>
            <w:r>
              <w:rPr>
                <w:rFonts w:hint="eastAsia"/>
                <w:color w:val="auto"/>
                <w:sz w:val="24"/>
                <w:szCs w:val="24"/>
                <w:highlight w:val="none"/>
                <w:lang w:val="en-US" w:eastAsia="zh-CN"/>
              </w:rPr>
              <w:t>2537543.87</w:t>
            </w:r>
          </w:p>
        </w:tc>
      </w:tr>
    </w:tbl>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5、采购需求（包括但不限于标的的名称、数量、简要技术需求或服务要求等） ： </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5.1项目概况：</w:t>
      </w:r>
      <w:r>
        <w:rPr>
          <w:rFonts w:hint="eastAsia" w:ascii="宋体" w:hAnsi="宋体" w:eastAsia="宋体" w:cs="宋体"/>
          <w:color w:val="auto"/>
          <w:kern w:val="0"/>
          <w:sz w:val="24"/>
          <w:szCs w:val="24"/>
          <w:highlight w:val="none"/>
          <w:lang w:val="en-US" w:eastAsia="zh-CN" w:bidi="ar"/>
        </w:rPr>
        <w:t>凯东团结巷社区养老服务中心及区智慧养老平台工程，地点位于洛阳市西工区。主要内容为：原墙体拆除和重砌、新建石膏板和铝扣板吊顶、天棚刷乳胶漆、块料楼地面和墙面、墙面贴壁布、新建门窗套、踢脚线、配电箱及灯具安装、配管配线、空调及风管安装、监控系统安装等工程。</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5.2项目地点：</w:t>
      </w:r>
      <w:r>
        <w:rPr>
          <w:rFonts w:hint="eastAsia" w:ascii="宋体" w:hAnsi="宋体" w:cs="宋体"/>
          <w:color w:val="auto"/>
          <w:kern w:val="0"/>
          <w:sz w:val="24"/>
          <w:szCs w:val="24"/>
          <w:highlight w:val="none"/>
          <w:lang w:val="en-US" w:eastAsia="zh-CN" w:bidi="ar"/>
        </w:rPr>
        <w:t>洛阳市西工区</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5.3标包划分：</w:t>
      </w:r>
      <w:r>
        <w:rPr>
          <w:rFonts w:hint="eastAsia" w:ascii="宋体" w:hAnsi="宋体" w:eastAsia="宋体" w:cs="宋体"/>
          <w:color w:val="auto"/>
          <w:kern w:val="0"/>
          <w:sz w:val="24"/>
          <w:szCs w:val="24"/>
          <w:highlight w:val="none"/>
          <w:lang w:val="en-US" w:eastAsia="zh-CN" w:bidi="ar"/>
        </w:rPr>
        <w:t>本项目共划分为</w:t>
      </w:r>
      <w:r>
        <w:rPr>
          <w:rFonts w:hint="eastAsia" w:ascii="宋体" w:hAnsi="宋体" w:cs="宋体"/>
          <w:color w:val="auto"/>
          <w:kern w:val="0"/>
          <w:sz w:val="24"/>
          <w:szCs w:val="24"/>
          <w:highlight w:val="none"/>
          <w:lang w:val="en-US" w:eastAsia="zh-CN" w:bidi="ar"/>
        </w:rPr>
        <w:t>一</w:t>
      </w:r>
      <w:r>
        <w:rPr>
          <w:rFonts w:hint="eastAsia" w:ascii="宋体" w:hAnsi="宋体" w:eastAsia="宋体" w:cs="宋体"/>
          <w:color w:val="auto"/>
          <w:kern w:val="0"/>
          <w:sz w:val="24"/>
          <w:szCs w:val="24"/>
          <w:highlight w:val="none"/>
          <w:lang w:val="en-US" w:eastAsia="zh-CN" w:bidi="ar"/>
        </w:rPr>
        <w:t>个包</w:t>
      </w:r>
    </w:p>
    <w:p>
      <w:pPr>
        <w:keepNext w:val="0"/>
        <w:keepLines w:val="0"/>
        <w:pageBreakBefore w:val="0"/>
        <w:kinsoku/>
        <w:wordWrap/>
        <w:overflowPunct/>
        <w:topLinePunct w:val="0"/>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5.4采购范围：本项目工程量清单、图纸范围内的全部内容。</w:t>
      </w:r>
    </w:p>
    <w:p>
      <w:pPr>
        <w:keepNext w:val="0"/>
        <w:keepLines w:val="0"/>
        <w:pageBreakBefore w:val="0"/>
        <w:kinsoku/>
        <w:wordWrap/>
        <w:overflowPunct/>
        <w:topLinePunct w:val="0"/>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5.5资金来源：财政资金</w:t>
      </w:r>
    </w:p>
    <w:p>
      <w:pPr>
        <w:keepNext w:val="0"/>
        <w:keepLines w:val="0"/>
        <w:pageBreakBefore w:val="0"/>
        <w:kinsoku/>
        <w:wordWrap/>
        <w:overflowPunct/>
        <w:topLinePunct w:val="0"/>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5.6质量标准：符合国家质量验收备案标准</w:t>
      </w:r>
    </w:p>
    <w:p>
      <w:pPr>
        <w:keepNext w:val="0"/>
        <w:keepLines w:val="0"/>
        <w:pageBreakBefore w:val="0"/>
        <w:kinsoku/>
        <w:wordWrap/>
        <w:overflowPunct/>
        <w:topLinePunct w:val="0"/>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安全目标：杜绝重伤、死亡事故</w:t>
      </w:r>
    </w:p>
    <w:p>
      <w:pPr>
        <w:keepNext w:val="0"/>
        <w:keepLines w:val="0"/>
        <w:pageBreakBefore w:val="0"/>
        <w:kinsoku/>
        <w:wordWrap/>
        <w:overflowPunct/>
        <w:topLinePunct w:val="0"/>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文明工地目标：市级文明工地</w:t>
      </w:r>
    </w:p>
    <w:p>
      <w:pPr>
        <w:keepNext w:val="0"/>
        <w:keepLines w:val="0"/>
        <w:pageBreakBefore w:val="0"/>
        <w:kinsoku/>
        <w:wordWrap/>
        <w:overflowPunct/>
        <w:topLinePunct w:val="0"/>
        <w:bidi w:val="0"/>
        <w:adjustRightInd/>
        <w:snapToGrid/>
        <w:ind w:left="480" w:leftChars="20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扬尘防治目标：做到“七个 100%，八个必须”。</w:t>
      </w:r>
    </w:p>
    <w:p>
      <w:pPr>
        <w:keepNext w:val="0"/>
        <w:keepLines w:val="0"/>
        <w:pageBreakBefore w:val="0"/>
        <w:kinsoku/>
        <w:wordWrap/>
        <w:overflowPunct/>
        <w:topLinePunct w:val="0"/>
        <w:bidi w:val="0"/>
        <w:adjustRightInd/>
        <w:snapToGrid/>
        <w:ind w:left="480" w:leftChars="20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5.10：工期</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日历天</w:t>
      </w:r>
    </w:p>
    <w:p>
      <w:pPr>
        <w:keepNext w:val="0"/>
        <w:keepLines w:val="0"/>
        <w:pageBreakBefore w:val="0"/>
        <w:kinsoku/>
        <w:wordWrap/>
        <w:overflowPunct/>
        <w:topLinePunct w:val="0"/>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6、合同履行期限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日历天</w:t>
      </w:r>
    </w:p>
    <w:p>
      <w:pPr>
        <w:keepNext w:val="0"/>
        <w:keepLines w:val="0"/>
        <w:pageBreakBefore w:val="0"/>
        <w:kinsoku/>
        <w:wordWrap/>
        <w:overflowPunct/>
        <w:topLinePunct w:val="0"/>
        <w:bidi w:val="0"/>
        <w:adjustRightInd/>
        <w:snapToGrid/>
        <w:ind w:left="480" w:leftChars="20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7、本项目是否接受联合体投标：否</w:t>
      </w:r>
    </w:p>
    <w:p>
      <w:pPr>
        <w:keepNext w:val="0"/>
        <w:keepLines w:val="0"/>
        <w:pageBreakBefore w:val="0"/>
        <w:kinsoku/>
        <w:wordWrap/>
        <w:overflowPunct/>
        <w:topLinePunct w:val="0"/>
        <w:bidi w:val="0"/>
        <w:adjustRightInd/>
        <w:snapToGrid/>
        <w:ind w:left="480" w:leftChars="20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8、是否接受进口产品：否</w:t>
      </w:r>
    </w:p>
    <w:p>
      <w:pPr>
        <w:keepNext w:val="0"/>
        <w:keepLines w:val="0"/>
        <w:pageBreakBefore w:val="0"/>
        <w:kinsoku/>
        <w:wordWrap/>
        <w:overflowPunct/>
        <w:topLinePunct w:val="0"/>
        <w:bidi w:val="0"/>
        <w:adjustRightInd/>
        <w:snapToGrid/>
        <w:ind w:left="480" w:leftChars="20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9、是否专门面向中小企业：是</w:t>
      </w:r>
    </w:p>
    <w:p>
      <w:pPr>
        <w:keepNext w:val="0"/>
        <w:keepLines w:val="0"/>
        <w:pageBreakBefore w:val="0"/>
        <w:kinsoku/>
        <w:wordWrap/>
        <w:overflowPunct/>
        <w:topLinePunct w:val="0"/>
        <w:bidi w:val="0"/>
        <w:adjustRightInd/>
        <w:snapToGrid/>
        <w:ind w:left="480" w:leftChars="200" w:firstLine="0" w:firstLine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二、申请人资格要求</w:t>
      </w:r>
    </w:p>
    <w:p>
      <w:pPr>
        <w:keepNext w:val="0"/>
        <w:keepLines w:val="0"/>
        <w:pageBreakBefore w:val="0"/>
        <w:kinsoku/>
        <w:wordWrap/>
        <w:overflowPunct/>
        <w:topLinePunct w:val="0"/>
        <w:bidi w:val="0"/>
        <w:adjustRightInd/>
        <w:snapToGrid/>
        <w:ind w:left="480" w:leftChars="20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keepNext w:val="0"/>
        <w:keepLines w:val="0"/>
        <w:pageBreakBefore w:val="0"/>
        <w:kinsoku/>
        <w:wordWrap/>
        <w:overflowPunct/>
        <w:topLinePunct w:val="0"/>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2、落实政府采购政策满足的资格要求：</w:t>
      </w:r>
    </w:p>
    <w:p>
      <w:pPr>
        <w:keepNext w:val="0"/>
        <w:keepLines w:val="0"/>
        <w:pageBreakBefore w:val="0"/>
        <w:kinsoku/>
        <w:wordWrap/>
        <w:overflowPunct/>
        <w:topLinePunct w:val="0"/>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rPr>
        <w:t>项目专门面向中小微</w:t>
      </w:r>
      <w:r>
        <w:rPr>
          <w:rFonts w:hint="eastAsia" w:ascii="宋体" w:hAnsi="宋体" w:eastAsia="宋体" w:cs="宋体"/>
          <w:color w:val="auto"/>
          <w:sz w:val="24"/>
          <w:szCs w:val="24"/>
          <w:highlight w:val="none"/>
        </w:rPr>
        <w:t>（监狱、残疾人福利性单位）企</w:t>
      </w:r>
      <w:r>
        <w:rPr>
          <w:rFonts w:hint="eastAsia" w:ascii="宋体" w:hAnsi="宋体" w:eastAsia="宋体" w:cs="宋体"/>
          <w:color w:val="auto"/>
          <w:sz w:val="24"/>
          <w:szCs w:val="24"/>
          <w:highlight w:val="none"/>
        </w:rPr>
        <w:t>业，优先使用节能环保产品，节约能源，保护环境，落实绿色建筑、绿色建材，扶持不发达、少数民族地区的企业，促进自主创新产业发展，支持脱贫攻坚等政府采购政策。</w:t>
      </w:r>
    </w:p>
    <w:p>
      <w:pPr>
        <w:keepNext w:val="0"/>
        <w:keepLines w:val="0"/>
        <w:pageBreakBefore w:val="0"/>
        <w:kinsoku/>
        <w:wordWrap/>
        <w:overflowPunct/>
        <w:topLinePunct w:val="0"/>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keepNext w:val="0"/>
        <w:keepLines w:val="0"/>
        <w:pageBreakBefore w:val="0"/>
        <w:kinsoku/>
        <w:wordWrap/>
        <w:overflowPunct/>
        <w:topLinePunct w:val="0"/>
        <w:bidi w:val="0"/>
        <w:adjustRightInd/>
        <w:snapToGrid/>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3.1、供应商具有独立承担民事责任的能力，须具有有效的营业执照或事业单位登记证书</w:t>
      </w:r>
      <w:r>
        <w:rPr>
          <w:rFonts w:hint="eastAsia" w:ascii="宋体" w:hAnsi="宋体" w:eastAsia="宋体" w:cs="宋体"/>
          <w:color w:val="auto"/>
          <w:sz w:val="24"/>
          <w:szCs w:val="24"/>
          <w:highlight w:val="none"/>
          <w:lang w:eastAsia="zh-CN"/>
        </w:rPr>
        <w:t>；具有建设行政主管部门颁发的</w:t>
      </w:r>
      <w:r>
        <w:rPr>
          <w:rFonts w:hint="eastAsia" w:ascii="宋体" w:hAnsi="宋体" w:eastAsia="宋体" w:cs="宋体"/>
          <w:color w:val="auto"/>
          <w:sz w:val="24"/>
          <w:szCs w:val="24"/>
          <w:highlight w:val="none"/>
          <w:lang w:eastAsia="zh-CN"/>
        </w:rPr>
        <w:t>建筑工程施工总承包叁级</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eastAsia="zh-CN"/>
        </w:rPr>
        <w:t>以上资质，具有有效的安全生产许可证。</w:t>
      </w:r>
    </w:p>
    <w:p>
      <w:pPr>
        <w:keepNext w:val="0"/>
        <w:keepLines w:val="0"/>
        <w:pageBreakBefore w:val="0"/>
        <w:kinsoku/>
        <w:wordWrap/>
        <w:overflowPunct/>
        <w:topLinePunct w:val="0"/>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kern w:val="0"/>
          <w:sz w:val="24"/>
          <w:szCs w:val="24"/>
          <w:highlight w:val="none"/>
          <w:lang w:val="en-US" w:eastAsia="zh-CN" w:bidi="ar"/>
        </w:rPr>
        <w:t>供应商人拟派项目经理须具备建筑工程专业二级及以上注册建造师执业资格证书（不含临时建造师），并具有有效的安全生产考核合格证且无其他在建工程（须提供无在建项目承诺书，格式自拟）</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3.3、根据洛财购[2021]11 号文件，</w:t>
      </w:r>
      <w:r>
        <w:rPr>
          <w:rFonts w:hint="eastAsia" w:ascii="宋体" w:hAnsi="宋体" w:eastAsia="宋体" w:cs="宋体"/>
          <w:color w:val="auto"/>
          <w:kern w:val="0"/>
          <w:sz w:val="24"/>
          <w:szCs w:val="24"/>
          <w:highlight w:val="none"/>
          <w:lang w:val="en-US" w:eastAsia="zh-CN" w:bidi="ar"/>
        </w:rPr>
        <w:t>投标人须按照文件要求在资格审查环节提供满足相应条件的书面承诺书，投标人在编制投标文件时，按照规定提供《洛阳市政府采购投标人信用承诺函》（详见投标文件格式），不再需要提供以下证明材料：</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1）符合国家相关规定的财务状况报告；</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2）依法缴纳税收的证明材料；</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3）依法缴纳社会保障资金的证明材料；</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4）具备履行政府采购合同所必需的设备和专业技术能力的证明材料；</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5）参加政府采购活动前三年内在经营活动中没有重大违法记录的证明材料；</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6）未被列入失信被执行人、重大税收违法案件当事人名单政府采购严重违法失信行为记录名单的证明材料。</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注：招标人有权在签订合同前要求中标人提供相关证明材料以核实中标人承诺事项的真实性。 </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3.4、本项目不接受联合体投标，单位负责人为同一人或者存在控股、管理关系的不同单位，不得同时对本项目投标。</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3.5、本次招标实行资格后审，资格审查的具体要求见招标文件。资格审查不合格的供应商响应文件将按无效标处理。</w:t>
      </w:r>
    </w:p>
    <w:p>
      <w:pPr>
        <w:keepNext w:val="0"/>
        <w:keepLines w:val="0"/>
        <w:pageBreakBefore w:val="0"/>
        <w:widowControl/>
        <w:suppressLineNumbers w:val="0"/>
        <w:kinsoku/>
        <w:wordWrap/>
        <w:overflowPunct/>
        <w:topLinePunct w:val="0"/>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三、获取招标文件 </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1.时间</w:t>
      </w:r>
      <w:r>
        <w:rPr>
          <w:rFonts w:hint="eastAsia" w:ascii="宋体" w:hAnsi="宋体" w:eastAsia="宋体" w:cs="宋体"/>
          <w:color w:val="auto"/>
          <w:kern w:val="0"/>
          <w:sz w:val="24"/>
          <w:szCs w:val="24"/>
          <w:highlight w:val="none"/>
          <w:lang w:val="en-US" w:eastAsia="zh-CN" w:bidi="ar"/>
        </w:rPr>
        <w:t>：202</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月</w:t>
      </w:r>
      <w:r>
        <w:rPr>
          <w:rFonts w:hint="eastAsia" w:ascii="宋体" w:hAnsi="宋体" w:cs="宋体"/>
          <w:color w:val="auto"/>
          <w:kern w:val="0"/>
          <w:sz w:val="24"/>
          <w:szCs w:val="24"/>
          <w:highlight w:val="none"/>
          <w:lang w:val="en-US" w:eastAsia="zh-CN" w:bidi="ar"/>
        </w:rPr>
        <w:t>13</w:t>
      </w:r>
      <w:r>
        <w:rPr>
          <w:rFonts w:hint="eastAsia" w:ascii="宋体" w:hAnsi="宋体" w:eastAsia="宋体" w:cs="宋体"/>
          <w:color w:val="auto"/>
          <w:kern w:val="0"/>
          <w:sz w:val="24"/>
          <w:szCs w:val="24"/>
          <w:highlight w:val="none"/>
          <w:lang w:val="en-US" w:eastAsia="zh-CN" w:bidi="ar"/>
        </w:rPr>
        <w:t>日至202</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月</w:t>
      </w:r>
      <w:r>
        <w:rPr>
          <w:rFonts w:hint="eastAsia" w:ascii="宋体" w:hAnsi="宋体" w:cs="宋体"/>
          <w:color w:val="auto"/>
          <w:kern w:val="0"/>
          <w:sz w:val="24"/>
          <w:szCs w:val="24"/>
          <w:highlight w:val="none"/>
          <w:lang w:val="en-US" w:eastAsia="zh-CN" w:bidi="ar"/>
        </w:rPr>
        <w:t>19</w:t>
      </w:r>
      <w:r>
        <w:rPr>
          <w:rFonts w:hint="eastAsia" w:ascii="宋体" w:hAnsi="宋体" w:eastAsia="宋体" w:cs="宋体"/>
          <w:color w:val="auto"/>
          <w:kern w:val="0"/>
          <w:sz w:val="24"/>
          <w:szCs w:val="24"/>
          <w:highlight w:val="none"/>
          <w:lang w:val="en-US" w:eastAsia="zh-CN" w:bidi="ar"/>
        </w:rPr>
        <w:t>日，</w:t>
      </w:r>
      <w:r>
        <w:rPr>
          <w:rFonts w:hint="eastAsia" w:ascii="宋体" w:hAnsi="宋体" w:eastAsia="宋体" w:cs="宋体"/>
          <w:color w:val="auto"/>
          <w:kern w:val="0"/>
          <w:sz w:val="24"/>
          <w:szCs w:val="24"/>
          <w:highlight w:val="none"/>
          <w:lang w:val="en-US" w:eastAsia="zh-CN" w:bidi="ar"/>
        </w:rPr>
        <w:t xml:space="preserve">每天上午至12:00，下午12:00至23:59（北京时间，法定节假日除外。） </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2.地点：洛阳市公共资源交易中心网站（lyggzyjy.ly.gov.cn） </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3.方式：洛阳市公共资源交易中心网站（lyggzyjy.ly.gov.cn）上获取。 </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请在“洛阳市电子招投标交易平台（http://lyggzyjy.ly.gov.cn/TPBidder）”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4.售价：0元 </w:t>
      </w:r>
    </w:p>
    <w:p>
      <w:pPr>
        <w:keepNext w:val="0"/>
        <w:keepLines w:val="0"/>
        <w:pageBreakBefore w:val="0"/>
        <w:widowControl/>
        <w:suppressLineNumbers w:val="0"/>
        <w:kinsoku/>
        <w:wordWrap/>
        <w:overflowPunct/>
        <w:topLinePunct w:val="0"/>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四</w:t>
      </w:r>
      <w:r>
        <w:rPr>
          <w:rFonts w:hint="eastAsia" w:ascii="宋体" w:hAnsi="宋体" w:eastAsia="宋体" w:cs="宋体"/>
          <w:b/>
          <w:bCs/>
          <w:color w:val="auto"/>
          <w:kern w:val="0"/>
          <w:sz w:val="24"/>
          <w:szCs w:val="24"/>
          <w:highlight w:val="none"/>
          <w:lang w:val="en-US" w:eastAsia="zh-CN" w:bidi="ar"/>
        </w:rPr>
        <w:t xml:space="preserve">、投标截止时间及地点 </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1.时间：</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02</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月</w:t>
      </w:r>
      <w:r>
        <w:rPr>
          <w:rFonts w:hint="eastAsia" w:ascii="宋体" w:hAnsi="宋体" w:cs="宋体"/>
          <w:color w:val="auto"/>
          <w:kern w:val="0"/>
          <w:sz w:val="24"/>
          <w:szCs w:val="24"/>
          <w:highlight w:val="none"/>
          <w:lang w:val="en-US" w:eastAsia="zh-CN" w:bidi="ar"/>
        </w:rPr>
        <w:t>23</w:t>
      </w:r>
      <w:r>
        <w:rPr>
          <w:rFonts w:hint="eastAsia" w:ascii="宋体" w:hAnsi="宋体" w:eastAsia="宋体" w:cs="宋体"/>
          <w:color w:val="auto"/>
          <w:kern w:val="0"/>
          <w:sz w:val="24"/>
          <w:szCs w:val="24"/>
          <w:highlight w:val="none"/>
          <w:lang w:val="en-US" w:eastAsia="zh-CN" w:bidi="ar"/>
        </w:rPr>
        <w:t>日</w:t>
      </w:r>
      <w:r>
        <w:rPr>
          <w:rFonts w:hint="eastAsia" w:ascii="宋体" w:hAnsi="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val="en-US" w:eastAsia="zh-CN" w:bidi="ar"/>
        </w:rPr>
        <w:t>时</w:t>
      </w:r>
      <w:r>
        <w:rPr>
          <w:rFonts w:hint="eastAsia" w:ascii="宋体" w:hAnsi="宋体" w:cs="宋体"/>
          <w:color w:val="auto"/>
          <w:kern w:val="0"/>
          <w:sz w:val="24"/>
          <w:szCs w:val="24"/>
          <w:highlight w:val="none"/>
          <w:lang w:val="en-US" w:eastAsia="zh-CN" w:bidi="ar"/>
        </w:rPr>
        <w:t>35</w:t>
      </w:r>
      <w:r>
        <w:rPr>
          <w:rFonts w:hint="eastAsia" w:ascii="宋体" w:hAnsi="宋体" w:eastAsia="宋体" w:cs="宋体"/>
          <w:color w:val="auto"/>
          <w:kern w:val="0"/>
          <w:sz w:val="24"/>
          <w:szCs w:val="24"/>
          <w:highlight w:val="none"/>
          <w:lang w:val="en-US" w:eastAsia="zh-CN" w:bidi="ar"/>
        </w:rPr>
        <w:t xml:space="preserve">分（北京时间） </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地点：洛阳市公共资源交易中心网站（lyggzyjy.ly.gov.cn）。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 </w:t>
      </w:r>
    </w:p>
    <w:p>
      <w:pPr>
        <w:keepNext w:val="0"/>
        <w:keepLines w:val="0"/>
        <w:pageBreakBefore w:val="0"/>
        <w:widowControl/>
        <w:suppressLineNumbers w:val="0"/>
        <w:kinsoku/>
        <w:wordWrap/>
        <w:overflowPunct/>
        <w:topLinePunct w:val="0"/>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五、开标时间及地点 </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时间：</w:t>
      </w:r>
      <w:r>
        <w:rPr>
          <w:rFonts w:hint="eastAsia" w:ascii="宋体" w:hAnsi="宋体" w:eastAsia="宋体" w:cs="宋体"/>
          <w:color w:val="auto"/>
          <w:kern w:val="0"/>
          <w:sz w:val="24"/>
          <w:szCs w:val="24"/>
          <w:highlight w:val="none"/>
          <w:lang w:val="en-US" w:eastAsia="zh-CN" w:bidi="ar"/>
        </w:rPr>
        <w:t>202</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月</w:t>
      </w:r>
      <w:r>
        <w:rPr>
          <w:rFonts w:hint="eastAsia" w:ascii="宋体" w:hAnsi="宋体" w:cs="宋体"/>
          <w:color w:val="auto"/>
          <w:kern w:val="0"/>
          <w:sz w:val="24"/>
          <w:szCs w:val="24"/>
          <w:highlight w:val="none"/>
          <w:lang w:val="en-US" w:eastAsia="zh-CN" w:bidi="ar"/>
        </w:rPr>
        <w:t>23</w:t>
      </w:r>
      <w:r>
        <w:rPr>
          <w:rFonts w:hint="eastAsia" w:ascii="宋体" w:hAnsi="宋体" w:eastAsia="宋体" w:cs="宋体"/>
          <w:color w:val="auto"/>
          <w:kern w:val="0"/>
          <w:sz w:val="24"/>
          <w:szCs w:val="24"/>
          <w:highlight w:val="none"/>
          <w:lang w:val="en-US" w:eastAsia="zh-CN" w:bidi="ar"/>
        </w:rPr>
        <w:t>日</w:t>
      </w:r>
      <w:r>
        <w:rPr>
          <w:rFonts w:hint="eastAsia" w:ascii="宋体" w:hAnsi="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val="en-US" w:eastAsia="zh-CN" w:bidi="ar"/>
        </w:rPr>
        <w:t>时</w:t>
      </w:r>
      <w:r>
        <w:rPr>
          <w:rFonts w:hint="eastAsia" w:ascii="宋体" w:hAnsi="宋体" w:cs="宋体"/>
          <w:color w:val="auto"/>
          <w:kern w:val="0"/>
          <w:sz w:val="24"/>
          <w:szCs w:val="24"/>
          <w:highlight w:val="none"/>
          <w:lang w:val="en-US" w:eastAsia="zh-CN" w:bidi="ar"/>
        </w:rPr>
        <w:t>35</w:t>
      </w:r>
      <w:r>
        <w:rPr>
          <w:rFonts w:hint="eastAsia" w:ascii="宋体" w:hAnsi="宋体" w:eastAsia="宋体" w:cs="宋体"/>
          <w:color w:val="auto"/>
          <w:kern w:val="0"/>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北京时间）</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地点：</w:t>
      </w:r>
      <w:r>
        <w:rPr>
          <w:rFonts w:hint="eastAsia" w:ascii="宋体" w:hAnsi="宋体" w:eastAsia="宋体" w:cs="宋体"/>
          <w:color w:val="auto"/>
          <w:kern w:val="0"/>
          <w:sz w:val="24"/>
          <w:szCs w:val="24"/>
          <w:highlight w:val="none"/>
          <w:lang w:val="en-US" w:eastAsia="zh-CN" w:bidi="ar"/>
        </w:rPr>
        <w:t>洛阳市公共资源交易</w:t>
      </w:r>
      <w:r>
        <w:rPr>
          <w:rFonts w:hint="eastAsia" w:ascii="宋体" w:hAnsi="宋体" w:eastAsia="宋体" w:cs="宋体"/>
          <w:color w:val="auto"/>
          <w:kern w:val="0"/>
          <w:sz w:val="24"/>
          <w:szCs w:val="24"/>
          <w:highlight w:val="none"/>
          <w:lang w:val="en-US" w:eastAsia="zh-CN" w:bidi="ar"/>
        </w:rPr>
        <w:t xml:space="preserve">中心开标 </w:t>
      </w:r>
      <w:r>
        <w:rPr>
          <w:rFonts w:hint="eastAsia" w:ascii="宋体" w:hAnsi="宋体" w:cs="宋体"/>
          <w:color w:val="auto"/>
          <w:kern w:val="0"/>
          <w:sz w:val="24"/>
          <w:szCs w:val="24"/>
          <w:highlight w:val="none"/>
          <w:lang w:val="en-US" w:eastAsia="zh-CN" w:bidi="ar"/>
        </w:rPr>
        <w:t>四</w:t>
      </w:r>
      <w:r>
        <w:rPr>
          <w:rFonts w:hint="eastAsia" w:ascii="宋体" w:hAnsi="宋体" w:eastAsia="宋体" w:cs="宋体"/>
          <w:color w:val="auto"/>
          <w:kern w:val="0"/>
          <w:sz w:val="24"/>
          <w:szCs w:val="24"/>
          <w:highlight w:val="none"/>
          <w:lang w:val="en-US" w:eastAsia="zh-CN" w:bidi="ar"/>
        </w:rPr>
        <w:t xml:space="preserve"> 室（</w:t>
      </w:r>
      <w:r>
        <w:rPr>
          <w:rFonts w:hint="eastAsia" w:ascii="宋体" w:hAnsi="宋体" w:eastAsia="宋体" w:cs="宋体"/>
          <w:color w:val="auto"/>
          <w:kern w:val="0"/>
          <w:sz w:val="24"/>
          <w:szCs w:val="24"/>
          <w:highlight w:val="none"/>
          <w:lang w:val="en-US" w:eastAsia="zh-CN" w:bidi="ar"/>
        </w:rPr>
        <w:t>洛龙区开元大道与永泰街交叉口西南角洛阳市民之家六楼）。</w:t>
      </w:r>
      <w:r>
        <w:rPr>
          <w:rFonts w:hint="eastAsia" w:ascii="宋体" w:hAnsi="宋体" w:eastAsia="宋体" w:cs="宋体"/>
          <w:color w:val="auto"/>
          <w:kern w:val="0"/>
          <w:sz w:val="24"/>
          <w:szCs w:val="24"/>
          <w:highlight w:val="none"/>
          <w:lang w:val="en-US" w:eastAsia="zh-CN" w:bidi="ar"/>
        </w:rPr>
        <w:t xml:space="preserve">本项目采用远程不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投标人）”。除电子投标（响应）文件外，投标时不再接受任何纸质文件、资料等。 </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b/>
          <w:bCs/>
          <w:color w:val="auto"/>
          <w:highlight w:val="none"/>
        </w:rPr>
      </w:pPr>
      <w:r>
        <w:rPr>
          <w:rFonts w:hint="eastAsia"/>
          <w:b/>
          <w:bCs/>
          <w:color w:val="auto"/>
          <w:highlight w:val="none"/>
          <w:lang w:val="en-US" w:eastAsia="zh-CN"/>
        </w:rPr>
        <w:t>六、</w:t>
      </w:r>
      <w:r>
        <w:rPr>
          <w:rFonts w:hint="eastAsia"/>
          <w:b/>
          <w:bCs/>
          <w:color w:val="auto"/>
          <w:highlight w:val="none"/>
        </w:rPr>
        <w:t>提出异议的渠道和方式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或者其他利害关系人认为招标投标活动不符合法律、法规和规章规定的,可以依法向招标人、招标代理机构提出异议。采用电子招标投标方式的，投标人或者其他利害关系人提出异议应当在规定时间内通过电子交易平台提出；质疑函的提交范本请参照洛建【2020】59号文。质疑函及授权委托书应按规定签字并加盖公章。</w:t>
      </w:r>
    </w:p>
    <w:p>
      <w:pPr>
        <w:keepNext w:val="0"/>
        <w:keepLines w:val="0"/>
        <w:pageBreakBefore w:val="0"/>
        <w:widowControl/>
        <w:suppressLineNumbers w:val="0"/>
        <w:kinsoku/>
        <w:wordWrap/>
        <w:overflowPunct/>
        <w:topLinePunct w:val="0"/>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bidi="ar"/>
        </w:rPr>
        <w:t>七</w:t>
      </w:r>
      <w:r>
        <w:rPr>
          <w:rFonts w:hint="eastAsia" w:ascii="宋体" w:hAnsi="宋体" w:eastAsia="宋体" w:cs="宋体"/>
          <w:b/>
          <w:bCs/>
          <w:color w:val="auto"/>
          <w:kern w:val="0"/>
          <w:sz w:val="24"/>
          <w:szCs w:val="24"/>
          <w:highlight w:val="none"/>
          <w:lang w:val="en-US" w:eastAsia="zh-CN" w:bidi="ar"/>
        </w:rPr>
        <w:t xml:space="preserve">、发布公告的媒介及招标公告期限 </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本次招标公告在</w:t>
      </w:r>
      <w:r>
        <w:rPr>
          <w:rFonts w:hint="eastAsia" w:ascii="宋体" w:hAnsi="宋体" w:eastAsia="宋体" w:cs="宋体"/>
          <w:color w:val="auto"/>
          <w:kern w:val="0"/>
          <w:sz w:val="24"/>
          <w:szCs w:val="24"/>
          <w:highlight w:val="none"/>
          <w:lang w:val="en-US" w:eastAsia="zh-CN" w:bidi="ar"/>
        </w:rPr>
        <w:t>《河南省（洛阳市）政府采购网》、《洛阳市公共资源交易中心网》、《中国招标投标公共服务平台》</w:t>
      </w:r>
      <w:r>
        <w:rPr>
          <w:rFonts w:hint="eastAsia" w:ascii="宋体" w:hAnsi="宋体" w:eastAsia="宋体" w:cs="宋体"/>
          <w:color w:val="auto"/>
          <w:kern w:val="0"/>
          <w:sz w:val="24"/>
          <w:szCs w:val="24"/>
          <w:highlight w:val="none"/>
          <w:lang w:val="en-US" w:eastAsia="zh-CN" w:bidi="ar"/>
        </w:rPr>
        <w:t>上发布。招标公</w:t>
      </w:r>
      <w:r>
        <w:rPr>
          <w:rFonts w:hint="eastAsia" w:ascii="宋体" w:hAnsi="宋体" w:eastAsia="宋体" w:cs="宋体"/>
          <w:color w:val="auto"/>
          <w:kern w:val="0"/>
          <w:sz w:val="24"/>
          <w:szCs w:val="24"/>
          <w:highlight w:val="none"/>
          <w:lang w:val="en-US" w:eastAsia="zh-CN" w:bidi="ar"/>
        </w:rPr>
        <w:t>告期限为五个工作</w:t>
      </w:r>
      <w:r>
        <w:rPr>
          <w:rFonts w:hint="eastAsia" w:ascii="宋体" w:hAnsi="宋体" w:eastAsia="宋体" w:cs="宋体"/>
          <w:color w:val="auto"/>
          <w:kern w:val="0"/>
          <w:sz w:val="24"/>
          <w:szCs w:val="24"/>
          <w:highlight w:val="none"/>
          <w:lang w:val="en-US" w:eastAsia="zh-CN" w:bidi="ar"/>
        </w:rPr>
        <w:t>日202</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月</w:t>
      </w:r>
      <w:r>
        <w:rPr>
          <w:rFonts w:hint="eastAsia" w:ascii="宋体" w:hAnsi="宋体" w:cs="宋体"/>
          <w:color w:val="auto"/>
          <w:kern w:val="0"/>
          <w:sz w:val="24"/>
          <w:szCs w:val="24"/>
          <w:highlight w:val="none"/>
          <w:lang w:val="en-US" w:eastAsia="zh-CN" w:bidi="ar"/>
        </w:rPr>
        <w:t>13</w:t>
      </w:r>
      <w:r>
        <w:rPr>
          <w:rFonts w:hint="eastAsia" w:ascii="宋体" w:hAnsi="宋体" w:eastAsia="宋体" w:cs="宋体"/>
          <w:color w:val="auto"/>
          <w:kern w:val="0"/>
          <w:sz w:val="24"/>
          <w:szCs w:val="24"/>
          <w:highlight w:val="none"/>
          <w:lang w:val="en-US" w:eastAsia="zh-CN" w:bidi="ar"/>
        </w:rPr>
        <w:t>日至202</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月</w:t>
      </w:r>
      <w:r>
        <w:rPr>
          <w:rFonts w:hint="eastAsia" w:ascii="宋体" w:hAnsi="宋体" w:cs="宋体"/>
          <w:color w:val="auto"/>
          <w:kern w:val="0"/>
          <w:sz w:val="24"/>
          <w:szCs w:val="24"/>
          <w:highlight w:val="none"/>
          <w:lang w:val="en-US" w:eastAsia="zh-CN" w:bidi="ar"/>
        </w:rPr>
        <w:t>19</w:t>
      </w:r>
      <w:r>
        <w:rPr>
          <w:rFonts w:hint="eastAsia" w:ascii="宋体" w:hAnsi="宋体" w:eastAsia="宋体" w:cs="宋体"/>
          <w:color w:val="auto"/>
          <w:kern w:val="0"/>
          <w:sz w:val="24"/>
          <w:szCs w:val="24"/>
          <w:highlight w:val="none"/>
          <w:lang w:val="en-US" w:eastAsia="zh-CN" w:bidi="ar"/>
        </w:rPr>
        <w:t xml:space="preserve">日 </w:t>
      </w:r>
    </w:p>
    <w:p>
      <w:pPr>
        <w:keepNext w:val="0"/>
        <w:keepLines w:val="0"/>
        <w:pageBreakBefore w:val="0"/>
        <w:widowControl/>
        <w:suppressLineNumbers w:val="0"/>
        <w:kinsoku/>
        <w:wordWrap/>
        <w:overflowPunct/>
        <w:topLinePunct w:val="0"/>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bidi="ar"/>
        </w:rPr>
        <w:t>八</w:t>
      </w:r>
      <w:r>
        <w:rPr>
          <w:rFonts w:hint="eastAsia" w:ascii="宋体" w:hAnsi="宋体" w:eastAsia="宋体" w:cs="宋体"/>
          <w:b/>
          <w:bCs/>
          <w:color w:val="auto"/>
          <w:kern w:val="0"/>
          <w:sz w:val="24"/>
          <w:szCs w:val="24"/>
          <w:highlight w:val="none"/>
          <w:lang w:val="en-US" w:eastAsia="zh-CN" w:bidi="ar"/>
        </w:rPr>
        <w:t xml:space="preserve">、其他补充事宜 </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1.供应商在参与本项目招标采购活动期间应及时关注上述网站获取相关澄清或变更等信息。</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2.本次代理服务费由成交人支付，按照洛阳市市级政府采购代理服务费支付标准执行收取。 </w:t>
      </w:r>
    </w:p>
    <w:p>
      <w:pPr>
        <w:keepNext w:val="0"/>
        <w:keepLines w:val="0"/>
        <w:pageBreakBefore w:val="0"/>
        <w:widowControl/>
        <w:suppressLineNumbers w:val="0"/>
        <w:kinsoku/>
        <w:wordWrap/>
        <w:overflowPunct/>
        <w:topLinePunct w:val="0"/>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bidi="ar"/>
        </w:rPr>
        <w:t>九</w:t>
      </w:r>
      <w:r>
        <w:rPr>
          <w:rFonts w:hint="eastAsia" w:ascii="宋体" w:hAnsi="宋体" w:eastAsia="宋体" w:cs="宋体"/>
          <w:b/>
          <w:bCs/>
          <w:color w:val="auto"/>
          <w:kern w:val="0"/>
          <w:sz w:val="24"/>
          <w:szCs w:val="24"/>
          <w:highlight w:val="none"/>
          <w:lang w:val="en-US" w:eastAsia="zh-CN" w:bidi="ar"/>
        </w:rPr>
        <w:t>、凡是对本次招标提出询问，请按照以下方式联系</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1.采购人信息 </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名称：</w:t>
      </w:r>
      <w:r>
        <w:rPr>
          <w:rFonts w:hint="eastAsia" w:ascii="宋体" w:hAnsi="宋体" w:cs="宋体"/>
          <w:color w:val="auto"/>
          <w:kern w:val="0"/>
          <w:sz w:val="24"/>
          <w:szCs w:val="24"/>
          <w:highlight w:val="none"/>
          <w:lang w:val="en-US" w:eastAsia="zh-CN" w:bidi="ar"/>
        </w:rPr>
        <w:t>洛阳市西工区民政局</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地 址：</w:t>
      </w:r>
      <w:r>
        <w:rPr>
          <w:rFonts w:hint="eastAsia" w:ascii="宋体" w:hAnsi="宋体" w:cs="宋体"/>
          <w:color w:val="auto"/>
          <w:kern w:val="0"/>
          <w:sz w:val="24"/>
          <w:szCs w:val="24"/>
          <w:highlight w:val="none"/>
          <w:lang w:val="en-US" w:eastAsia="zh-CN" w:bidi="ar"/>
        </w:rPr>
        <w:t>洛阳市西工区行署路3号院</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联 系 人：梁先生</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电 话：0379-63892603</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2.采购代理机构信息（如有）</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称：恒之宇工程集团有限公司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址：洛阳市洛龙区开元大道与长兴街交叉口瑞博大厦601</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孙先生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w:t>
      </w:r>
      <w:bookmarkStart w:id="0" w:name="_Toc28359010"/>
      <w:bookmarkStart w:id="1" w:name="_Toc28359087"/>
      <w:r>
        <w:rPr>
          <w:rFonts w:hint="eastAsia" w:ascii="宋体" w:hAnsi="宋体" w:cs="宋体"/>
          <w:color w:val="auto"/>
          <w:sz w:val="24"/>
          <w:szCs w:val="24"/>
          <w:highlight w:val="none"/>
          <w:lang w:val="en-US" w:eastAsia="zh-CN"/>
        </w:rPr>
        <w:t>18937989630</w:t>
      </w:r>
    </w:p>
    <w:bookmarkEnd w:id="0"/>
    <w:bookmarkEnd w:id="1"/>
    <w:p>
      <w:pPr>
        <w:pStyle w:val="28"/>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pPr>
        <w:pStyle w:val="28"/>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cs="宋体"/>
          <w:color w:val="auto"/>
          <w:sz w:val="24"/>
          <w:szCs w:val="24"/>
          <w:highlight w:val="none"/>
          <w:lang w:eastAsia="zh-CN"/>
        </w:rPr>
        <w:t>：</w:t>
      </w:r>
      <w:r>
        <w:rPr>
          <w:rFonts w:hint="eastAsia" w:cs="宋体"/>
          <w:color w:val="auto"/>
          <w:sz w:val="24"/>
          <w:szCs w:val="24"/>
          <w:highlight w:val="none"/>
          <w:lang w:val="en-US" w:eastAsia="zh-CN"/>
        </w:rPr>
        <w:t>孙先生</w:t>
      </w:r>
    </w:p>
    <w:p>
      <w:pPr>
        <w:pStyle w:val="28"/>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cs="宋体"/>
          <w:color w:val="auto"/>
          <w:sz w:val="24"/>
          <w:szCs w:val="24"/>
          <w:highlight w:val="none"/>
          <w:lang w:val="en-US" w:eastAsia="zh-CN"/>
        </w:rPr>
        <w:t>18937989630</w:t>
      </w:r>
    </w:p>
    <w:p>
      <w:pPr>
        <w:pStyle w:val="28"/>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4.监管部门、联系人和联系方式：</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监管部门：洛阳市西工区财政局</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监管部门联系人：洛阳市西工区财政局</w:t>
      </w:r>
    </w:p>
    <w:p>
      <w:pPr>
        <w:keepNext w:val="0"/>
        <w:keepLines w:val="0"/>
        <w:pageBreakBefore w:val="0"/>
        <w:widowControl/>
        <w:suppressLineNumbers w:val="0"/>
        <w:kinsoku/>
        <w:wordWrap/>
        <w:overflowPunct/>
        <w:topLinePunct w:val="0"/>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监管部门联系方式：0379-63892523</w:t>
      </w:r>
    </w:p>
    <w:p>
      <w:pPr>
        <w:rPr>
          <w:rFonts w:hint="eastAsia"/>
          <w:color w:val="auto"/>
          <w:highlight w:val="none"/>
          <w:lang w:val="en-US" w:eastAsia="zh-CN"/>
        </w:rPr>
      </w:pPr>
    </w:p>
    <w:p>
      <w:pPr>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2023年4月</w:t>
      </w:r>
    </w:p>
    <w:p>
      <w:pPr>
        <w:rPr>
          <w:rFonts w:hint="eastAsia"/>
          <w:color w:val="auto"/>
          <w:highlight w:val="none"/>
        </w:rPr>
      </w:pPr>
      <w:r>
        <w:rPr>
          <w:rFonts w:hint="eastAsia"/>
          <w:color w:val="auto"/>
          <w:highlight w:val="none"/>
        </w:rPr>
        <w:br w:type="page"/>
      </w:r>
      <w:bookmarkStart w:id="2" w:name="_GoBack"/>
      <w:bookmarkEnd w:id="2"/>
    </w:p>
    <w:p>
      <w:pPr>
        <w:pStyle w:val="3"/>
        <w:bidi w:val="0"/>
        <w:rPr>
          <w:rFonts w:hint="eastAsia"/>
          <w:color w:val="auto"/>
          <w:highlight w:val="none"/>
        </w:rPr>
      </w:pPr>
      <w:r>
        <w:rPr>
          <w:rFonts w:hint="eastAsia"/>
          <w:color w:val="auto"/>
          <w:highlight w:val="none"/>
        </w:rPr>
        <w:t>第二章</w:t>
      </w:r>
      <w:r>
        <w:rPr>
          <w:rFonts w:hint="eastAsia"/>
          <w:color w:val="auto"/>
          <w:highlight w:val="none"/>
          <w:lang w:eastAsia="zh-CN"/>
        </w:rPr>
        <w:t>、</w:t>
      </w:r>
      <w:r>
        <w:rPr>
          <w:rFonts w:hint="eastAsia"/>
          <w:color w:val="auto"/>
          <w:highlight w:val="none"/>
        </w:rPr>
        <w:t>供应商须知</w:t>
      </w:r>
    </w:p>
    <w:p>
      <w:pPr>
        <w:pStyle w:val="4"/>
        <w:bidi w:val="0"/>
        <w:rPr>
          <w:rFonts w:hint="eastAsia"/>
          <w:color w:val="auto"/>
          <w:highlight w:val="none"/>
        </w:rPr>
      </w:pPr>
      <w:r>
        <w:rPr>
          <w:rFonts w:hint="eastAsia"/>
          <w:color w:val="auto"/>
          <w:highlight w:val="none"/>
        </w:rPr>
        <w:t>供应商须知前附表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2983"/>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条款号</w:t>
            </w:r>
          </w:p>
        </w:tc>
        <w:tc>
          <w:tcPr>
            <w:tcW w:w="2983"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名称</w:t>
            </w:r>
          </w:p>
        </w:tc>
        <w:tc>
          <w:tcPr>
            <w:tcW w:w="5602" w:type="dxa"/>
          </w:tcPr>
          <w:p>
            <w:p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1.1.2</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采购人</w:t>
            </w:r>
          </w:p>
        </w:tc>
        <w:tc>
          <w:tcPr>
            <w:tcW w:w="5602" w:type="dxa"/>
          </w:tcPr>
          <w:p>
            <w:pPr>
              <w:keepNext w:val="0"/>
              <w:keepLines w:val="0"/>
              <w:pageBreakBefore w:val="0"/>
              <w:widowControl/>
              <w:suppressLineNumbers w:val="0"/>
              <w:kinsoku/>
              <w:wordWrap/>
              <w:overflowPunct/>
              <w:topLinePunct w:val="0"/>
              <w:bidi w:val="0"/>
              <w:adjustRightInd/>
              <w:snapToGrid/>
              <w:jc w:val="left"/>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名称：</w:t>
            </w:r>
            <w:r>
              <w:rPr>
                <w:rFonts w:hint="eastAsia" w:ascii="宋体" w:hAnsi="宋体" w:cs="宋体"/>
                <w:color w:val="auto"/>
                <w:sz w:val="24"/>
                <w:szCs w:val="24"/>
                <w:highlight w:val="none"/>
                <w:vertAlign w:val="baseline"/>
                <w:lang w:eastAsia="zh-CN"/>
              </w:rPr>
              <w:t>洛阳市西工区民政局</w:t>
            </w:r>
          </w:p>
          <w:p>
            <w:pPr>
              <w:keepNext w:val="0"/>
              <w:keepLines w:val="0"/>
              <w:pageBreakBefore w:val="0"/>
              <w:widowControl/>
              <w:suppressLineNumbers w:val="0"/>
              <w:kinsoku/>
              <w:wordWrap/>
              <w:overflowPunct/>
              <w:topLinePunct w:val="0"/>
              <w:bidi w:val="0"/>
              <w:adjustRightInd/>
              <w:snapToGrid/>
              <w:jc w:val="lef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地 址：</w:t>
            </w:r>
            <w:r>
              <w:rPr>
                <w:rFonts w:hint="eastAsia" w:ascii="宋体" w:hAnsi="宋体" w:cs="宋体"/>
                <w:color w:val="auto"/>
                <w:sz w:val="24"/>
                <w:szCs w:val="24"/>
                <w:highlight w:val="none"/>
                <w:vertAlign w:val="baseline"/>
                <w:lang w:eastAsia="zh-CN"/>
              </w:rPr>
              <w:t>洛阳市西工区行署路3号院</w:t>
            </w:r>
            <w:r>
              <w:rPr>
                <w:rFonts w:hint="eastAsia" w:ascii="宋体" w:hAnsi="宋体" w:eastAsia="宋体" w:cs="宋体"/>
                <w:color w:val="auto"/>
                <w:sz w:val="24"/>
                <w:szCs w:val="24"/>
                <w:highlight w:val="none"/>
                <w:vertAlign w:val="baseline"/>
              </w:rPr>
              <w:t xml:space="preserve"> </w:t>
            </w:r>
          </w:p>
          <w:p>
            <w:pPr>
              <w:keepNext w:val="0"/>
              <w:keepLines w:val="0"/>
              <w:pageBreakBefore w:val="0"/>
              <w:widowControl/>
              <w:suppressLineNumbers w:val="0"/>
              <w:kinsoku/>
              <w:wordWrap/>
              <w:overflowPunct/>
              <w:topLinePunct w:val="0"/>
              <w:bidi w:val="0"/>
              <w:adjustRightInd/>
              <w:snapToGrid/>
              <w:jc w:val="lef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联 系 人：梁先生</w:t>
            </w:r>
          </w:p>
          <w:p>
            <w:pPr>
              <w:keepNext w:val="0"/>
              <w:keepLines w:val="0"/>
              <w:pageBreakBefore w:val="0"/>
              <w:widowControl/>
              <w:suppressLineNumbers w:val="0"/>
              <w:kinsoku/>
              <w:wordWrap/>
              <w:overflowPunct/>
              <w:topLinePunct w:val="0"/>
              <w:bidi w:val="0"/>
              <w:adjustRightInd/>
              <w:snapToGrid/>
              <w:jc w:val="left"/>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电 话：0379-63892603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kern w:val="0"/>
                <w:sz w:val="24"/>
                <w:szCs w:val="24"/>
                <w:highlight w:val="none"/>
                <w:lang w:val="en-US" w:eastAsia="zh-CN" w:bidi="ar"/>
              </w:rPr>
              <w:t>1.1.3</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采购代理机构</w:t>
            </w:r>
          </w:p>
        </w:tc>
        <w:tc>
          <w:tcPr>
            <w:tcW w:w="5602" w:type="dxa"/>
          </w:tcPr>
          <w:p>
            <w:pPr>
              <w:bidi w:val="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名 称：恒之宇工程集团有限公司</w:t>
            </w:r>
          </w:p>
          <w:p>
            <w:pPr>
              <w:bidi w:val="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地 址：洛阳市洛龙区开元大道与长兴街交叉口瑞博大厦601</w:t>
            </w:r>
          </w:p>
          <w:p>
            <w:pP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rPr>
              <w:t>联系人：</w:t>
            </w:r>
            <w:r>
              <w:rPr>
                <w:rFonts w:hint="eastAsia" w:ascii="宋体" w:hAnsi="宋体" w:cs="宋体"/>
                <w:color w:val="auto"/>
                <w:sz w:val="24"/>
                <w:szCs w:val="24"/>
                <w:highlight w:val="none"/>
                <w:vertAlign w:val="baseline"/>
                <w:lang w:val="en-US" w:eastAsia="zh-CN"/>
              </w:rPr>
              <w:t>孙先生</w:t>
            </w:r>
          </w:p>
          <w:p>
            <w:pP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联系方式：</w:t>
            </w:r>
            <w:r>
              <w:rPr>
                <w:rFonts w:hint="eastAsia" w:ascii="宋体" w:hAnsi="宋体" w:cs="宋体"/>
                <w:color w:val="auto"/>
                <w:sz w:val="24"/>
                <w:szCs w:val="24"/>
                <w:highlight w:val="none"/>
                <w:vertAlign w:val="baseline"/>
                <w:lang w:eastAsia="zh-CN"/>
              </w:rPr>
              <w:t>18937989630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1.1.4</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采购项目名称</w:t>
            </w:r>
          </w:p>
        </w:tc>
        <w:tc>
          <w:tcPr>
            <w:tcW w:w="5602" w:type="dxa"/>
          </w:tcPr>
          <w:p>
            <w:pPr>
              <w:rPr>
                <w:rFonts w:hint="eastAsia" w:ascii="宋体" w:hAnsi="宋体" w:eastAsia="宋体" w:cs="宋体"/>
                <w:color w:val="auto"/>
                <w:sz w:val="24"/>
                <w:szCs w:val="24"/>
                <w:highlight w:val="none"/>
                <w:vertAlign w:val="baseline"/>
              </w:rPr>
            </w:pPr>
            <w:r>
              <w:rPr>
                <w:rFonts w:hint="eastAsia" w:ascii="宋体" w:hAnsi="宋体" w:cs="宋体"/>
                <w:color w:val="auto"/>
                <w:sz w:val="24"/>
                <w:szCs w:val="24"/>
                <w:highlight w:val="none"/>
                <w:vertAlign w:val="baseline"/>
                <w:lang w:val="en-US" w:eastAsia="zh-CN"/>
              </w:rPr>
              <w:t>凯东团结巷社区养老服务中心及区智慧养老平台工程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1.1.5</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落实政府采购政策要求</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本</w:t>
            </w:r>
            <w:r>
              <w:rPr>
                <w:rFonts w:hint="eastAsia" w:ascii="宋体" w:hAnsi="宋体" w:eastAsia="宋体" w:cs="宋体"/>
                <w:color w:val="auto"/>
                <w:sz w:val="24"/>
                <w:szCs w:val="24"/>
                <w:highlight w:val="none"/>
                <w:vertAlign w:val="baseline"/>
              </w:rPr>
              <w:t>项目专门面向中小微（监狱</w:t>
            </w:r>
            <w:r>
              <w:rPr>
                <w:rFonts w:hint="eastAsia" w:ascii="宋体" w:hAnsi="宋体" w:eastAsia="宋体" w:cs="宋体"/>
                <w:color w:val="auto"/>
                <w:sz w:val="24"/>
                <w:szCs w:val="24"/>
                <w:highlight w:val="none"/>
                <w:vertAlign w:val="baseline"/>
              </w:rPr>
              <w:t>、残疾人福利性单位）企业，优先使用节能环保产品，节约能源，保护环境，落实绿色建筑、绿色建材，扶持不发达、少数民族地区的企业，促进自主创新产业发展，支持脱贫攻坚等政府采购政策。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1.1.6</w:t>
            </w:r>
          </w:p>
        </w:tc>
        <w:tc>
          <w:tcPr>
            <w:tcW w:w="298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政府采购管理部门备案编号</w:t>
            </w:r>
          </w:p>
        </w:tc>
        <w:tc>
          <w:tcPr>
            <w:tcW w:w="5602" w:type="dxa"/>
          </w:tcPr>
          <w:p>
            <w:pPr>
              <w:keepNext w:val="0"/>
              <w:keepLines w:val="0"/>
              <w:widowControl/>
              <w:suppressLineNumbers w:val="0"/>
              <w:jc w:val="both"/>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西工政采磋商-2023-7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1.1.7</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项目编号</w:t>
            </w:r>
          </w:p>
        </w:tc>
        <w:tc>
          <w:tcPr>
            <w:tcW w:w="5602" w:type="dxa"/>
          </w:tcPr>
          <w:p>
            <w:pP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西工政采磋商(2023)0017号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1.1.8</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采购范围</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本项目工程量清单、图纸范围内的全部内容。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1.1.9</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采购包划分</w:t>
            </w:r>
          </w:p>
        </w:tc>
        <w:tc>
          <w:tcPr>
            <w:tcW w:w="5602" w:type="dxa"/>
          </w:tcPr>
          <w:p>
            <w:pPr>
              <w:rPr>
                <w:rFonts w:hint="eastAsia" w:ascii="宋体" w:hAnsi="宋体" w:eastAsia="宋体" w:cs="宋体"/>
                <w:color w:val="auto"/>
                <w:sz w:val="24"/>
                <w:szCs w:val="24"/>
                <w:highlight w:val="none"/>
                <w:vertAlign w:val="baseline"/>
              </w:rPr>
            </w:pPr>
            <w:r>
              <w:rPr>
                <w:rFonts w:hint="eastAsia" w:ascii="宋体" w:hAnsi="宋体" w:eastAsia="宋体" w:cs="宋体"/>
                <w:b/>
                <w:bCs/>
                <w:color w:val="auto"/>
                <w:sz w:val="24"/>
                <w:szCs w:val="24"/>
                <w:highlight w:val="none"/>
                <w:vertAlign w:val="baseline"/>
                <w:lang w:val="en-US" w:eastAsia="zh-CN"/>
              </w:rPr>
              <w:t>本项目共划分为</w:t>
            </w:r>
            <w:r>
              <w:rPr>
                <w:rFonts w:hint="eastAsia" w:ascii="宋体" w:hAnsi="宋体" w:cs="宋体"/>
                <w:b/>
                <w:bCs/>
                <w:color w:val="auto"/>
                <w:sz w:val="24"/>
                <w:szCs w:val="24"/>
                <w:highlight w:val="none"/>
                <w:vertAlign w:val="baseline"/>
                <w:lang w:val="en-US" w:eastAsia="zh-CN"/>
              </w:rPr>
              <w:t>一</w:t>
            </w:r>
            <w:r>
              <w:rPr>
                <w:rFonts w:hint="eastAsia" w:ascii="宋体" w:hAnsi="宋体" w:eastAsia="宋体" w:cs="宋体"/>
                <w:b/>
                <w:bCs/>
                <w:color w:val="auto"/>
                <w:sz w:val="24"/>
                <w:szCs w:val="24"/>
                <w:highlight w:val="none"/>
                <w:vertAlign w:val="baseline"/>
                <w:lang w:val="en-US" w:eastAsia="zh-CN"/>
              </w:rPr>
              <w:t>个包</w:t>
            </w:r>
            <w:r>
              <w:rPr>
                <w:rFonts w:hint="eastAsia" w:ascii="宋体" w:hAnsi="宋体" w:cs="宋体"/>
                <w:b/>
                <w:bCs/>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1.2.1</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资金来源</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1.2.2</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出资比例</w:t>
            </w:r>
          </w:p>
        </w:tc>
        <w:tc>
          <w:tcPr>
            <w:tcW w:w="5602" w:type="dxa"/>
          </w:tcPr>
          <w:p>
            <w:p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1.2.3</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资金落实情况</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1.2.4</w:t>
            </w:r>
          </w:p>
        </w:tc>
        <w:tc>
          <w:tcPr>
            <w:tcW w:w="298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付款方式</w:t>
            </w:r>
          </w:p>
        </w:tc>
        <w:tc>
          <w:tcPr>
            <w:tcW w:w="5602" w:type="dxa"/>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项目开工进场七个工作日内首次支付 70%，项目竣工验收合格后第二次支付20%,待财政审计结束后第三次支付剩余工程款。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1.3.1</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工期</w:t>
            </w:r>
          </w:p>
        </w:tc>
        <w:tc>
          <w:tcPr>
            <w:tcW w:w="5602" w:type="dxa"/>
          </w:tcPr>
          <w:p>
            <w:pP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60</w:t>
            </w:r>
            <w:r>
              <w:rPr>
                <w:rFonts w:hint="eastAsia" w:ascii="宋体" w:hAnsi="宋体" w:eastAsia="宋体" w:cs="宋体"/>
                <w:color w:val="auto"/>
                <w:sz w:val="24"/>
                <w:szCs w:val="24"/>
                <w:highlight w:val="none"/>
                <w:vertAlign w:val="baselin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1.3.2</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质量目标</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符合国家质量验收备案标准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1.3.3</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安全目标</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杜绝重伤、死亡事故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1.3.4</w:t>
            </w:r>
          </w:p>
        </w:tc>
        <w:tc>
          <w:tcPr>
            <w:tcW w:w="2983"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文明工地目标</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市级文明工地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1.3.5</w:t>
            </w:r>
          </w:p>
        </w:tc>
        <w:tc>
          <w:tcPr>
            <w:tcW w:w="2983"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扬尘防治目标</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做到“七个 100%，八个必须”。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1.3.6</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施工及验收规范</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按照现行的国家标准执行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1.3.7</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履约验收</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采购人根据国家有关规定、磋商文件、成交供应商的响应文件以及合同约定的内容和验收标准进行验收。验收情况作为支付价款的依据。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1.4.1</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供应商资格要求</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详见第一章“采购公告” </w:t>
            </w:r>
          </w:p>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b/>
                <w:bCs/>
                <w:color w:val="auto"/>
                <w:kern w:val="0"/>
                <w:sz w:val="24"/>
                <w:szCs w:val="24"/>
                <w:highlight w:val="none"/>
                <w:lang w:val="en-US" w:eastAsia="zh-CN" w:bidi="ar"/>
              </w:rPr>
              <w:t>供应商在响应时，须按照规定提供相关承诺函（详见响应文件格式），无需再提交承诺函中承诺的证明材料。采购人有权在签订合同前要求成交供应商提供相关证明材料以核实成交供应商承诺事项的真实性。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1.4.2</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是否接受联合体</w:t>
            </w:r>
          </w:p>
        </w:tc>
        <w:tc>
          <w:tcPr>
            <w:tcW w:w="5602" w:type="dxa"/>
          </w:tcPr>
          <w:p>
            <w:p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 xml:space="preserve"> 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1.4.3</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kern w:val="0"/>
                <w:sz w:val="24"/>
                <w:szCs w:val="24"/>
                <w:highlight w:val="none"/>
                <w:lang w:val="en-US" w:eastAsia="zh-CN" w:bidi="ar"/>
              </w:rPr>
              <w:t>供应商不得存在的其他情形</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（1）与采购人存在利害关系且可能影响采购公正性；</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（2）与本采购项目的其他供应商为同一个单位负责人；</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（3）与本采购项目的其他供应商存在直接控股、管理关系；</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（4）为本采购项目提供整体设计、规范编制或者项目管理、监理、检测等服务；</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（5）为本采购项目的采购代理机构或与采购代理机构同为一个法定代表人；</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被列入信用中国网站（www.creditchina.gov.cn）“失信被执行人”的，中国政府采购网(www.ccgp.gov.cn)“政府采购严重违法失信行为记录名单”的（指政府采购行政处罚有效期内），被列入中国执行信息公开网（http://zxgk.court.gov.cn/，也即全国法院失信被执行人名单信息公布与查询网）“失信被执行人”的 、 被 列 入 国 家 税 务 总 局 网 站www.chinatax.gov.cn/）——重大案件查询栏目“重大税收违法案件当事人名单”的。</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（7）因违法经营受到刑事处罚或者责令停产停业、吊销许可证或者执照、较大数额罚款等行政处罚；</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（8）进入清算程序，或被宣告破产，或其他丧失履约能力的情形；</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（9）在近三年内供应商有行贿犯罪行为的； </w:t>
            </w:r>
          </w:p>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（10）法律法规或供应商须知前附表规定的其他情形。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1.9.1</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踏勘现场</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 xml:space="preserve"> </w:t>
            </w:r>
            <w:r>
              <w:rPr>
                <w:rFonts w:hint="eastAsia" w:ascii="宋体" w:hAnsi="宋体" w:eastAsia="宋体" w:cs="宋体"/>
                <w:color w:val="auto"/>
                <w:kern w:val="0"/>
                <w:sz w:val="24"/>
                <w:szCs w:val="24"/>
                <w:highlight w:val="none"/>
                <w:lang w:val="en-US" w:eastAsia="zh-CN" w:bidi="ar"/>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1.10.1</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磋商预备会</w:t>
            </w:r>
          </w:p>
        </w:tc>
        <w:tc>
          <w:tcPr>
            <w:tcW w:w="5602" w:type="dxa"/>
          </w:tcPr>
          <w:p>
            <w:pP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 xml:space="preserve"> </w:t>
            </w:r>
            <w:r>
              <w:rPr>
                <w:rFonts w:hint="eastAsia" w:ascii="宋体" w:hAnsi="宋体" w:eastAsia="宋体" w:cs="宋体"/>
                <w:color w:val="auto"/>
                <w:kern w:val="0"/>
                <w:sz w:val="24"/>
                <w:szCs w:val="24"/>
                <w:highlight w:val="none"/>
                <w:lang w:val="en-US" w:eastAsia="zh-CN" w:bidi="ar"/>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1.10.2</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供应商在磋商预备会前提出问题</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时间：/</w:t>
            </w:r>
          </w:p>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1.11.1</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分包</w:t>
            </w:r>
          </w:p>
        </w:tc>
        <w:tc>
          <w:tcPr>
            <w:tcW w:w="5602" w:type="dxa"/>
          </w:tcPr>
          <w:p>
            <w:pP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 xml:space="preserve"> </w:t>
            </w:r>
            <w:r>
              <w:rPr>
                <w:rFonts w:hint="eastAsia" w:ascii="宋体" w:hAnsi="宋体" w:eastAsia="宋体" w:cs="宋体"/>
                <w:color w:val="auto"/>
                <w:kern w:val="0"/>
                <w:sz w:val="24"/>
                <w:szCs w:val="24"/>
                <w:highlight w:val="none"/>
                <w:lang w:val="en-US" w:eastAsia="zh-CN" w:bidi="ar"/>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1.12.1</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实质性要求和条件</w:t>
            </w:r>
          </w:p>
        </w:tc>
        <w:tc>
          <w:tcPr>
            <w:tcW w:w="5602" w:type="dxa"/>
          </w:tcPr>
          <w:p>
            <w:pPr>
              <w:keepNext w:val="0"/>
              <w:keepLines w:val="0"/>
              <w:widowControl/>
              <w:suppressLineNumbers w:val="0"/>
              <w:jc w:val="left"/>
              <w:rPr>
                <w:rFonts w:hint="default"/>
                <w:color w:val="auto"/>
                <w:highlight w:val="none"/>
                <w:lang w:val="en-US"/>
              </w:rPr>
            </w:pPr>
            <w:r>
              <w:rPr>
                <w:rFonts w:hint="eastAsia"/>
                <w:color w:val="auto"/>
                <w:highlight w:val="none"/>
                <w:lang w:val="en-US" w:eastAsia="zh-CN"/>
              </w:rPr>
              <w:t>工 期 ：/</w:t>
            </w:r>
          </w:p>
          <w:p>
            <w:pPr>
              <w:keepNext w:val="0"/>
              <w:keepLines w:val="0"/>
              <w:widowControl/>
              <w:suppressLineNumbers w:val="0"/>
              <w:jc w:val="left"/>
              <w:rPr>
                <w:rFonts w:hint="eastAsia"/>
                <w:color w:val="auto"/>
                <w:highlight w:val="none"/>
                <w:lang w:val="en-US" w:eastAsia="zh-CN"/>
              </w:rPr>
            </w:pPr>
            <w:r>
              <w:rPr>
                <w:rFonts w:hint="eastAsia"/>
                <w:color w:val="auto"/>
                <w:highlight w:val="none"/>
                <w:lang w:val="en-US" w:eastAsia="zh-CN"/>
              </w:rPr>
              <w:t>质量目标：/</w:t>
            </w:r>
          </w:p>
          <w:p>
            <w:pPr>
              <w:keepNext w:val="0"/>
              <w:keepLines w:val="0"/>
              <w:widowControl/>
              <w:suppressLineNumbers w:val="0"/>
              <w:jc w:val="left"/>
              <w:rPr>
                <w:rFonts w:hint="eastAsia"/>
                <w:color w:val="auto"/>
                <w:highlight w:val="none"/>
                <w:lang w:val="en-US" w:eastAsia="zh-CN"/>
              </w:rPr>
            </w:pPr>
            <w:r>
              <w:rPr>
                <w:rFonts w:hint="eastAsia"/>
                <w:color w:val="auto"/>
                <w:highlight w:val="none"/>
                <w:lang w:val="en-US" w:eastAsia="zh-CN"/>
              </w:rPr>
              <w:t>安全目标：/</w:t>
            </w:r>
          </w:p>
          <w:p>
            <w:pPr>
              <w:keepNext w:val="0"/>
              <w:keepLines w:val="0"/>
              <w:widowControl/>
              <w:suppressLineNumbers w:val="0"/>
              <w:jc w:val="left"/>
              <w:rPr>
                <w:rFonts w:hint="eastAsia"/>
                <w:color w:val="auto"/>
                <w:highlight w:val="none"/>
                <w:lang w:val="en-US" w:eastAsia="zh-CN"/>
              </w:rPr>
            </w:pPr>
            <w:r>
              <w:rPr>
                <w:rFonts w:hint="eastAsia"/>
                <w:color w:val="auto"/>
                <w:highlight w:val="none"/>
                <w:lang w:val="en-US" w:eastAsia="zh-CN"/>
              </w:rPr>
              <w:t>文明工地目标：/</w:t>
            </w:r>
          </w:p>
          <w:p>
            <w:pPr>
              <w:keepNext w:val="0"/>
              <w:keepLines w:val="0"/>
              <w:widowControl/>
              <w:suppressLineNumbers w:val="0"/>
              <w:jc w:val="left"/>
              <w:rPr>
                <w:rFonts w:hint="eastAsia"/>
                <w:color w:val="auto"/>
                <w:highlight w:val="none"/>
                <w:lang w:val="en-US" w:eastAsia="zh-CN"/>
              </w:rPr>
            </w:pPr>
            <w:r>
              <w:rPr>
                <w:rFonts w:hint="eastAsia"/>
                <w:color w:val="auto"/>
                <w:highlight w:val="none"/>
                <w:lang w:val="en-US" w:eastAsia="zh-CN"/>
              </w:rPr>
              <w:t xml:space="preserve">扬尘防治目标：/ </w:t>
            </w:r>
          </w:p>
          <w:p>
            <w:pPr>
              <w:pStyle w:val="27"/>
              <w:jc w:val="both"/>
              <w:rPr>
                <w:rFonts w:hint="eastAsia"/>
                <w:color w:val="auto"/>
                <w:highlight w:val="none"/>
              </w:rPr>
            </w:pPr>
            <w:r>
              <w:rPr>
                <w:rFonts w:hint="eastAsia"/>
                <w:color w:val="auto"/>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1.12.3</w:t>
            </w:r>
          </w:p>
        </w:tc>
        <w:tc>
          <w:tcPr>
            <w:tcW w:w="298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偏差</w:t>
            </w:r>
          </w:p>
        </w:tc>
        <w:tc>
          <w:tcPr>
            <w:tcW w:w="5602" w:type="dxa"/>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vertAlign w:val="baseline"/>
                <w:lang w:val="en-US"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 xml:space="preserve"> </w:t>
            </w:r>
            <w:r>
              <w:rPr>
                <w:rFonts w:hint="eastAsia" w:ascii="宋体" w:hAnsi="宋体" w:eastAsia="宋体" w:cs="宋体"/>
                <w:color w:val="auto"/>
                <w:kern w:val="0"/>
                <w:sz w:val="24"/>
                <w:szCs w:val="24"/>
                <w:highlight w:val="none"/>
                <w:lang w:val="en-US" w:eastAsia="zh-CN" w:bidi="ar"/>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2.1</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构成磋商文件的其他资料</w:t>
            </w:r>
          </w:p>
        </w:tc>
        <w:tc>
          <w:tcPr>
            <w:tcW w:w="5602" w:type="dxa"/>
          </w:tcPr>
          <w:p>
            <w:p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2.2.1</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供应商提出问题或要求澄清磋商文件的截止时间</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提交响应文件截止时间5日前，通过交易系统内向采购人或采购代理机构提交异议函(法定代表人签字并加盖单位公章)，委托他人提出异议的，需一并提交授权委托书和授权委托人身份证明，邮寄件、传真件不予受理。逾期未提交或未按照要求提交的异议函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2.2.2</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磋商文件澄清、修改发出的形式</w:t>
            </w:r>
          </w:p>
        </w:tc>
        <w:tc>
          <w:tcPr>
            <w:tcW w:w="5602" w:type="dxa"/>
          </w:tcPr>
          <w:p>
            <w:pPr>
              <w:keepNext w:val="0"/>
              <w:keepLines w:val="0"/>
              <w:widowControl/>
              <w:suppressLineNumbers w:val="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磋</w:t>
            </w:r>
            <w:r>
              <w:rPr>
                <w:rFonts w:hint="eastAsia" w:ascii="宋体" w:hAnsi="宋体" w:eastAsia="宋体" w:cs="宋体"/>
                <w:b w:val="0"/>
                <w:bCs w:val="0"/>
                <w:color w:val="auto"/>
                <w:sz w:val="24"/>
                <w:szCs w:val="24"/>
                <w:highlight w:val="none"/>
                <w:lang w:val="en-US" w:eastAsia="zh-CN"/>
              </w:rPr>
              <w:t>商文件的澄清、修改将在</w:t>
            </w:r>
            <w:r>
              <w:rPr>
                <w:rFonts w:hint="eastAsia" w:ascii="宋体" w:hAnsi="宋体" w:eastAsia="宋体" w:cs="宋体"/>
                <w:color w:val="auto"/>
                <w:kern w:val="0"/>
                <w:sz w:val="24"/>
                <w:szCs w:val="24"/>
                <w:highlight w:val="none"/>
                <w:lang w:val="en-US" w:eastAsia="zh-CN" w:bidi="ar"/>
              </w:rPr>
              <w:t>《河南省（洛阳市）政府采购网》、《洛阳市公共资源交易中心网》、《中国招标投标公共服务平台》</w:t>
            </w:r>
            <w:r>
              <w:rPr>
                <w:rFonts w:hint="eastAsia" w:ascii="宋体" w:hAnsi="宋体" w:eastAsia="宋体" w:cs="宋体"/>
                <w:b w:val="0"/>
                <w:bCs w:val="0"/>
                <w:color w:val="auto"/>
                <w:sz w:val="24"/>
                <w:szCs w:val="24"/>
                <w:highlight w:val="none"/>
                <w:lang w:val="en-US" w:eastAsia="zh-CN"/>
              </w:rPr>
              <w:t>上发布“变更公告”，如需修改磋商文件，则同时在</w:t>
            </w:r>
            <w:r>
              <w:rPr>
                <w:rFonts w:hint="eastAsia" w:ascii="宋体" w:hAnsi="宋体" w:eastAsia="宋体" w:cs="宋体"/>
                <w:color w:val="auto"/>
                <w:kern w:val="0"/>
                <w:sz w:val="24"/>
                <w:szCs w:val="24"/>
                <w:highlight w:val="none"/>
                <w:lang w:val="en-US" w:eastAsia="zh-CN" w:bidi="ar"/>
              </w:rPr>
              <w:t>《河南省（洛阳市）政府采购网》、《洛阳市公共资源交易中心网》、《中国招标投标公共服务平台》</w:t>
            </w:r>
            <w:r>
              <w:rPr>
                <w:rFonts w:hint="eastAsia" w:ascii="宋体" w:hAnsi="宋体" w:eastAsia="宋体" w:cs="宋体"/>
                <w:b w:val="0"/>
                <w:bCs w:val="0"/>
                <w:color w:val="auto"/>
                <w:sz w:val="24"/>
                <w:szCs w:val="24"/>
                <w:highlight w:val="none"/>
                <w:lang w:val="en-US" w:eastAsia="zh-CN"/>
              </w:rPr>
              <w:t>上发布“答疑文件”（答疑文件指修改后最新的磋商文件）。对于各项目中已经成功报名并下载磋商文件的供应商，将通过第三方短信群发方式提醒供应商</w:t>
            </w:r>
            <w:r>
              <w:rPr>
                <w:rFonts w:hint="eastAsia" w:ascii="宋体" w:hAnsi="宋体" w:eastAsia="宋体" w:cs="宋体"/>
                <w:b w:val="0"/>
                <w:bCs w:val="0"/>
                <w:color w:val="auto"/>
                <w:sz w:val="24"/>
                <w:szCs w:val="24"/>
                <w:highlight w:val="none"/>
                <w:lang w:val="en-US" w:eastAsia="zh-CN"/>
              </w:rPr>
              <w:t>进行查询。各供应商须重新下载最新的“答疑文件”，并以此编制响应文件。</w:t>
            </w:r>
          </w:p>
          <w:p>
            <w:pPr>
              <w:pStyle w:val="4"/>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如不以最新发布的“答疑文件”编制响应文件，造成响应无效的后果由供应商自己承担。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3.1.1</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构成响应文件的其他资料</w:t>
            </w:r>
          </w:p>
        </w:tc>
        <w:tc>
          <w:tcPr>
            <w:tcW w:w="5602" w:type="dxa"/>
          </w:tcPr>
          <w:p>
            <w:p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3.2.3</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报价方式</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3.2.4</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招标控制价</w:t>
            </w:r>
          </w:p>
        </w:tc>
        <w:tc>
          <w:tcPr>
            <w:tcW w:w="5602" w:type="dxa"/>
          </w:tcPr>
          <w:p>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招标控制价：</w:t>
            </w:r>
            <w:r>
              <w:rPr>
                <w:rFonts w:hint="eastAsia" w:ascii="宋体" w:hAnsi="宋体" w:cs="宋体"/>
                <w:b/>
                <w:bCs/>
                <w:color w:val="auto"/>
                <w:kern w:val="0"/>
                <w:sz w:val="24"/>
                <w:szCs w:val="24"/>
                <w:highlight w:val="none"/>
                <w:lang w:val="en-US" w:eastAsia="zh-CN" w:bidi="ar"/>
              </w:rPr>
              <w:t>2537543.87</w:t>
            </w:r>
            <w:r>
              <w:rPr>
                <w:rFonts w:hint="eastAsia" w:ascii="宋体" w:hAnsi="宋体" w:eastAsia="宋体" w:cs="宋体"/>
                <w:b/>
                <w:bCs/>
                <w:color w:val="auto"/>
                <w:kern w:val="0"/>
                <w:sz w:val="24"/>
                <w:szCs w:val="24"/>
                <w:highlight w:val="none"/>
                <w:lang w:val="en-US" w:eastAsia="zh-CN" w:bidi="ar"/>
              </w:rPr>
              <w:t>元</w:t>
            </w:r>
            <w:r>
              <w:rPr>
                <w:rFonts w:hint="eastAsia" w:ascii="宋体" w:hAnsi="宋体" w:cs="宋体"/>
                <w:b/>
                <w:bCs/>
                <w:color w:val="auto"/>
                <w:kern w:val="0"/>
                <w:sz w:val="24"/>
                <w:szCs w:val="24"/>
                <w:highlight w:val="none"/>
                <w:lang w:val="en-US" w:eastAsia="zh-CN" w:bidi="ar"/>
              </w:rPr>
              <w:t>；</w:t>
            </w:r>
          </w:p>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b/>
                <w:bCs/>
                <w:color w:val="auto"/>
                <w:kern w:val="0"/>
                <w:sz w:val="24"/>
                <w:szCs w:val="24"/>
                <w:highlight w:val="none"/>
                <w:lang w:val="en-US" w:eastAsia="zh-CN" w:bidi="ar"/>
              </w:rPr>
              <w:t xml:space="preserve">注：供应商的磋商报价不得高于招标控制价，否则，按废标处理。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3.3.1</w:t>
            </w:r>
          </w:p>
        </w:tc>
        <w:tc>
          <w:tcPr>
            <w:tcW w:w="2983" w:type="dxa"/>
            <w:vAlign w:val="center"/>
          </w:tcPr>
          <w:p>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响应文件有效期</w:t>
            </w:r>
          </w:p>
        </w:tc>
        <w:tc>
          <w:tcPr>
            <w:tcW w:w="5602" w:type="dxa"/>
          </w:tcPr>
          <w:p>
            <w:pP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提交响应文件截止时间后 90 天，有效期短于该期</w:t>
            </w:r>
          </w:p>
          <w:p>
            <w:pP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限的响应将被拒绝</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3.4.1</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磋商保证金</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本项目免收磋商保证金。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3.4.4</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其他可以不予退还磋商保证金的情形</w:t>
            </w:r>
          </w:p>
        </w:tc>
        <w:tc>
          <w:tcPr>
            <w:tcW w:w="5602" w:type="dxa"/>
          </w:tcPr>
          <w:p>
            <w:p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3.5.3</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资格审查资料的特殊要求</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 xml:space="preserve"> </w:t>
            </w:r>
            <w:r>
              <w:rPr>
                <w:rFonts w:hint="eastAsia" w:ascii="宋体" w:hAnsi="宋体" w:eastAsia="宋体" w:cs="宋体"/>
                <w:color w:val="auto"/>
                <w:kern w:val="0"/>
                <w:sz w:val="24"/>
                <w:szCs w:val="24"/>
                <w:highlight w:val="none"/>
                <w:lang w:val="en-US" w:eastAsia="zh-CN" w:bidi="ar"/>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3.6.1</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是否允许提交备选方案</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 xml:space="preserve"> </w:t>
            </w:r>
            <w:r>
              <w:rPr>
                <w:rFonts w:hint="eastAsia" w:ascii="宋体" w:hAnsi="宋体" w:eastAsia="宋体" w:cs="宋体"/>
                <w:color w:val="auto"/>
                <w:kern w:val="0"/>
                <w:sz w:val="24"/>
                <w:szCs w:val="24"/>
                <w:highlight w:val="none"/>
                <w:lang w:val="en-US" w:eastAsia="zh-CN" w:bidi="ar"/>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4.1.1</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提交响应文件截止时间</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4.1.2</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提交响应文件地点</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4.1.3</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响应文件份数及其他要求</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加密的电子响应文件一份（*.lytf 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4.1.5</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响应文件上传问题联系方式</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供应商因洛阳市电子招投标交易平台问题无法上传电子响应文件时，请在工作时间与交易中心联系。 </w:t>
            </w:r>
          </w:p>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 xml:space="preserve">联系方式：400-998-0000；0379-69921055。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4.1.6</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响应文件是否退还</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 xml:space="preserve">不退还。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5.1</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磋商开启时间和地点</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开启时间：同提交响应文件截止时间 </w:t>
            </w:r>
          </w:p>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开启地点：同提交响应文件地点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6.1.1</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磋商小组的组建</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磋商小组构成：3人 </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其中采购人代表</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人，评标专家</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 xml:space="preserve">人。 </w:t>
            </w:r>
          </w:p>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评标专家确定方式：经济、技术专家从河南省政府采购评标专家库中随机抽取确定。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6.3.2</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磋商小组推荐成交候选人的人数</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3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7.1.1</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是否授权磋商小组确定成交供应商</w:t>
            </w:r>
          </w:p>
        </w:tc>
        <w:tc>
          <w:tcPr>
            <w:tcW w:w="5602" w:type="dxa"/>
          </w:tcPr>
          <w:p>
            <w:p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7.1.2</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确定成交的原则</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评审结果按评审后得分由高到低的顺序排列确定第一名、第二名、第三名为成交候选人，并确定第一名为成交人。供应商得分相同的，按最终报价由低到高顺序排列。得分且最终报价相同的，按技术标得分由高到低的顺序排列。得分、报价、技术标均相等，则由磋商小组投票决定成交人及成交候选人排名</w:t>
            </w:r>
            <w:r>
              <w:rPr>
                <w:rFonts w:hint="eastAsia" w:ascii="宋体" w:hAnsi="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7.2</w:t>
            </w:r>
          </w:p>
        </w:tc>
        <w:tc>
          <w:tcPr>
            <w:tcW w:w="2983"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成交结果公布媒介及期限</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公布</w:t>
            </w:r>
            <w:r>
              <w:rPr>
                <w:rFonts w:hint="eastAsia" w:ascii="宋体" w:hAnsi="宋体" w:eastAsia="宋体" w:cs="宋体"/>
                <w:color w:val="auto"/>
                <w:kern w:val="0"/>
                <w:sz w:val="24"/>
                <w:szCs w:val="24"/>
                <w:highlight w:val="none"/>
                <w:lang w:val="en-US" w:eastAsia="zh-CN" w:bidi="ar"/>
              </w:rPr>
              <w:t>媒介：</w:t>
            </w:r>
            <w:r>
              <w:rPr>
                <w:rFonts w:hint="eastAsia" w:ascii="宋体" w:hAnsi="宋体" w:eastAsia="宋体" w:cs="宋体"/>
                <w:color w:val="auto"/>
                <w:kern w:val="0"/>
                <w:sz w:val="24"/>
                <w:szCs w:val="24"/>
                <w:highlight w:val="none"/>
                <w:lang w:val="en-US" w:eastAsia="zh-CN" w:bidi="ar"/>
              </w:rPr>
              <w:t>《河南省（洛阳市）政府采购网》、《洛阳市公共资源交易中心网》、《中国招标投标公共服务平台》</w:t>
            </w:r>
            <w:r>
              <w:rPr>
                <w:rFonts w:hint="eastAsia" w:ascii="宋体" w:hAnsi="宋体" w:eastAsia="宋体" w:cs="宋体"/>
                <w:color w:val="auto"/>
                <w:kern w:val="0"/>
                <w:sz w:val="24"/>
                <w:szCs w:val="24"/>
                <w:highlight w:val="none"/>
                <w:lang w:val="en-US" w:eastAsia="zh-CN" w:bidi="ar"/>
              </w:rPr>
              <w:t>上公布。</w:t>
            </w:r>
          </w:p>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公告期限：1 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7.4.1</w:t>
            </w:r>
          </w:p>
        </w:tc>
        <w:tc>
          <w:tcPr>
            <w:tcW w:w="298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履约保证金</w:t>
            </w:r>
          </w:p>
        </w:tc>
        <w:tc>
          <w:tcPr>
            <w:tcW w:w="5602" w:type="dxa"/>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8.5.2</w:t>
            </w:r>
          </w:p>
        </w:tc>
        <w:tc>
          <w:tcPr>
            <w:tcW w:w="2983" w:type="dxa"/>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质疑函的递交方式</w:t>
            </w:r>
          </w:p>
        </w:tc>
        <w:tc>
          <w:tcPr>
            <w:tcW w:w="5602" w:type="dxa"/>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质疑函应当通过交易系统递交；因情况特殊而邮寄</w:t>
            </w: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的，交邮前应通知采购人、采购代理机构。接受质</w:t>
            </w: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疑函的采购人、采购代理机构的联系部门、联系电</w:t>
            </w: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话和通讯地址详见本项目采购公告和供应商须知前</w:t>
            </w: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w:t>
            </w:r>
          </w:p>
        </w:tc>
        <w:tc>
          <w:tcPr>
            <w:tcW w:w="298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需要补充的其他内容</w:t>
            </w:r>
          </w:p>
        </w:tc>
        <w:tc>
          <w:tcPr>
            <w:tcW w:w="5602" w:type="dxa"/>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根据豫财办[2020]33 号文件要求，参加政府采购项目的中小微企业供应商，持中标(成交)通知书可向金融机构申请合同融资。详情请登录河南省政府采购网(http://www.hngp.gov.cn/)，进入网站飘窗或业务指南窗口了解金融机构提供的融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9.1</w:t>
            </w:r>
          </w:p>
        </w:tc>
        <w:tc>
          <w:tcPr>
            <w:tcW w:w="298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代理服务费</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本次采购代理服务费参考洛阳市市级政府采购代理服务费支付标准执行，由成交供应商支付。</w:t>
            </w: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此费用由供应商在响应报价中综合考虑。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9.2</w:t>
            </w:r>
          </w:p>
        </w:tc>
        <w:tc>
          <w:tcPr>
            <w:tcW w:w="298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供应商违法行为的处理</w:t>
            </w:r>
          </w:p>
        </w:tc>
        <w:tc>
          <w:tcPr>
            <w:tcW w:w="5602" w:type="dxa"/>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采购人若发现磋商小组推举的成交候选人及成交人有借用资质、串标围标、弄虚作假或其他违法行为谋取成交的，采购人将报请有关监督部门取消其成交候选人资格或成交资格，情节严重的，采购人将上报有关监督部门按相关法律法规处理。给采购人造成的损失还应当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9.3</w:t>
            </w:r>
          </w:p>
        </w:tc>
        <w:tc>
          <w:tcPr>
            <w:tcW w:w="298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响应文件中所附证明资料</w:t>
            </w:r>
          </w:p>
        </w:tc>
        <w:tc>
          <w:tcPr>
            <w:tcW w:w="5602" w:type="dxa"/>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响应文件中所附证明材料均为原件的扫描件，尺寸和清晰度应该能够在电脑上被阅读、识别和判断；若供应商未按要求提供证明材料或提供不清晰的扫描件的，磋商小组有权认定其响应文件未对磋商文件有关要求进行响应，涉及资格性审查或符合性审查的将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9.4</w:t>
            </w:r>
          </w:p>
        </w:tc>
        <w:tc>
          <w:tcPr>
            <w:tcW w:w="298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解释权</w:t>
            </w:r>
          </w:p>
        </w:tc>
        <w:tc>
          <w:tcPr>
            <w:tcW w:w="5602" w:type="dxa"/>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磋商阶段的规定，按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或采购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9.5</w:t>
            </w:r>
          </w:p>
        </w:tc>
        <w:tc>
          <w:tcPr>
            <w:tcW w:w="298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监督部门及电话</w:t>
            </w:r>
          </w:p>
        </w:tc>
        <w:tc>
          <w:tcPr>
            <w:tcW w:w="5602" w:type="dxa"/>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监管部门：洛阳市西工区财政局</w:t>
            </w: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监管部门联系人：洛阳市西工区财政局</w:t>
            </w: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监管部门联系方式：0379-63892523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9.6</w:t>
            </w:r>
          </w:p>
        </w:tc>
        <w:tc>
          <w:tcPr>
            <w:tcW w:w="298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其他</w:t>
            </w:r>
          </w:p>
        </w:tc>
        <w:tc>
          <w:tcPr>
            <w:tcW w:w="5602" w:type="dxa"/>
          </w:tcPr>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本项目采购标的所属行业：建筑业。 </w:t>
            </w: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划定标准为：中小微企业划分按照《工业和信息化部、国家统计局、国家发展和改革委员会、财政部关于印发&lt;中小企业划型标准规定&gt;的通知》（工信部联企业[2011]300 号）规定打的划分标准为依据。</w:t>
            </w:r>
          </w:p>
        </w:tc>
      </w:tr>
    </w:tbl>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1、总则</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1.1采购项目概况</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1.1.1根据</w:t>
      </w:r>
      <w:r>
        <w:rPr>
          <w:rFonts w:hint="eastAsia" w:ascii="宋体" w:hAnsi="宋体" w:eastAsia="宋体" w:cs="宋体"/>
          <w:color w:val="auto"/>
          <w:kern w:val="0"/>
          <w:sz w:val="24"/>
          <w:szCs w:val="24"/>
          <w:highlight w:val="none"/>
          <w:lang w:val="en-US" w:eastAsia="zh-CN" w:bidi="ar"/>
        </w:rPr>
        <w:t>《中华人民共和国政府采购法》、《中华人民共和国政府采购法实施条例》、《政府采购竞争性磋商采购方式管理暂行办法》等</w:t>
      </w:r>
      <w:r>
        <w:rPr>
          <w:rFonts w:hint="eastAsia" w:ascii="宋体" w:hAnsi="宋体" w:eastAsia="宋体" w:cs="宋体"/>
          <w:color w:val="auto"/>
          <w:kern w:val="0"/>
          <w:sz w:val="24"/>
          <w:szCs w:val="24"/>
          <w:highlight w:val="none"/>
          <w:lang w:val="en-US" w:eastAsia="zh-CN" w:bidi="ar"/>
        </w:rPr>
        <w:t>有关法律、法规和规章的规定，本采购项目已具备采购条件，现进行采购。</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1.1.2采购人：见供应商须知前附表。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1.1.3采购代理机构：见供应商须知前附表。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1.1.4采购项目名称：见供应商须知前附表。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1.1.5落实政府采购政策要求:见供应商须知前附表。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（1）根据《政府采购促进中小企业发展管理办法》（财库〔2020〕46号）的规定，供应商为小微企业的对所承担的工程的价格给予</w:t>
      </w:r>
      <w:r>
        <w:rPr>
          <w:rFonts w:hint="eastAsia" w:ascii="宋体" w:hAnsi="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val="en-US" w:eastAsia="zh-CN" w:bidi="ar"/>
        </w:rPr>
        <w:t>的扣除</w:t>
      </w:r>
      <w:r>
        <w:rPr>
          <w:rFonts w:hint="eastAsia" w:ascii="宋体" w:hAnsi="宋体" w:eastAsia="宋体" w:cs="宋体"/>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（2）根据财政部司法部《关于政府采购支持监狱企业发展有关问题的通知》（财库〔2014〕68号）规定，监狱企业视同小型、微型企业，享受评审中价格扣除等政府采购促进中小企业发展的政府采购政策。</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根据财政部民政部中国残疾人联合会《关于促进残疾人就业政府采购政策的通知》（财库〔2017〕141号）规定，残疾人福利性单位视同小型、微型企业，享受评审中价格扣除等政府采购促进中小企业发展的政府采购政策。</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（4）同一供应商（包括联合体），中小微企业产品、监狱企业产品、残疾人福利性单位产品价格扣除优惠只享受一次，不得重复享受。</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（5）根据洛阳市财政局关于贯彻落实《政府采购促进中小企业发展管理办法》的通知（洛财购（2021）1号），本项目为专门面向中小微企业的采购项目，评审中报价不再给予扣除。</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1.1.6政府采购管理部门备案编号:见供应商须知前附表。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1.1.7采购编号:见供应商须知前附表。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1.1.8采购范围:见供应商须知前附表。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1.1.9采购包划分:见供应商须知前附表。</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1.2采购项目的资金来源及付款方式</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1.2.1资金来源:见供应商须知前附表。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1.2.2出资比例：见供应商须知前附表。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1.2.3资金落实情况：见供应商须知前附表。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1.2.4付款方式:见供应商须知前附表，不接受该条件的响应将被否决。</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1.3工期、质量等</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1.3.1工期：见供应商须知前附表，不接受该条件的响应将被否决。</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1.3.2质量目标：见供应商须知前附表，不接受该条件的响应将被否决。</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1.3.3安全目标：见供应商须知前附表，不接受该条件的响应将被否决。</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1.3.4文明工地目标：见供应商须知前附表，不接受该条件的响应将被否决。</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1.3.5扬尘防治目标：见供应商须知前附表，不接受该条件的响应将被否决。</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1.3.6执行的施工及验收规范：见供应商须知前附表。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1.3.7履约验收：见供应商须知前附表。</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1.4供应商资格要求</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1.4.1供应商资格要求：供应商应当符合《政府采购法》第二十二条第一款规定的条件，具体见供应商须知前附表。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1.4.2供应商须知前附表规定接受联合体的，联合体除应符合本章第1.4.1项和供应商须知前附表的要求外，还应遵守以下规定：</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（1）联合体各方应按磋商文件提供的格式签订联合体协议书，明确联合体牵头人和各方权利义务，并承诺就成交项目向采购人承担连带责任；</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（2）两个以上的自然人、法人或者其他组织可以组成一个联合体，以一个供应商的身份共同参加政府采购。</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联合体各方均应当符合《政府采购法》第二十二条第一款规定的条件，根据采购项目的特殊要求规定供应商特定条件的，联合体各方中至少应当有一方符合采购公告规定的供应商资格条件。联合体中有同类资质的供应商按照联合体分工承担相同工作的，应当按照资质等级较低的供应商确定资质等级。</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（4）联合体各方不得再以自己名义单独或参加其他联合体在本采购项目中参与，否则各相关响应文件均无效。</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1.4.3供应商不得存在下列情形之一：</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（1）与采购人存在利害关系且可能影响采购公正性；</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（2）与本采购项目的其他供应商为同一个单位负责人；</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（3）与本采购项目的其他供应商存在直接控股、管理关系；</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（4）为本采购项目提供整体设计、规范编制或者项目管理、监理、检测等服务；</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（5）为本采购项目的采购代理机构或与采购代理机构同为一个法定代表人；</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被列入信用中国网站（www.creditchina.gov.cn）“失信被执行人”的，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当事人名单”的。</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（7）因违法经营受到刑事处罚或者责令停产停业、吊销许可证或者执照、较大数额罚款等行政处罚；</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（8）进入清算程序，或被宣告破产，或其他丧失履约能力的情形；</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（9）在近三年内供应商有行贿犯罪行为的；</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（10）法律法规或供应商须知前附表规定的其他情形。</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1.5费用承担</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供应商准备和参加采购活动发生的费用自理。</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1.6保密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参与采购活动的各方应对磋商文件和响应文件中的商业和技术等秘密保密，否则应承担相应的法律责任。</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1.7语言文字</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磋商文件、响应文件使用的语言文字为中文。专用术语使用外文的，应附有中文注释。</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1.8计量单位</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所有计量均采用中华人民共和国法定计量单位。</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1.9踏勘现场</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1.9.1供应商须知前附表规定组织踏勘现场的，采购人按供应商须知前附表规定的时间、地点组织供应商踏勘项目现场。部分供应商未按时参加踏勘现场的，不影响踏勘现场的正常进行。</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1.9.2供应商踏勘现场发生的费用自理。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1.9.3除采购人的原因外，供应商自行负责在踏勘现场中所发生的人员伤亡和财产损失。</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1.9.4采购人在踏勘现场中介绍的工程场地和相关的周边环境情况，供供应商在编制响应文件时参考，采购人不对供应商据此作出的判断和决策负责。</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1.9.5供应商成交后，不得以不完全了解现场情况为借口，而提出延长工期和提高工程造价等要求。</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1.10磋商预备会</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1.10.1供应商须知前附表规定召开磋商预备会的，采购人按供应商须知前附表规定的时间和地点召开磋商预备会，澄清供应商提出的问题。</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1.10.2供应商应按供应商须知前附表规定的时间和形式将提出的问题送达采购人，以便采购人在会议期间澄清。</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1.10.3磋商预备会后，采购人对供应商所提问题的澄清为磋商文件的组成部分。</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1.11分包</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1.11.1供应商拟在成交后将成交项目的非主体工程进行分包的，应符合供应商须知前附表规定的分包内容、分包金额和资质要求等限制性条件，除供应商须知前附表规定的非主体工程外，其他工作不得分包。</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1.11.2成交供应商不得向他人转让成交项目，接受分包的人不得再次分包。成交供应商应当就分包项目向采购人负责，接受分包的人就分包项目承担连带责任。</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1.12响应和偏差</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1.12.1响应文件应当对磋商文件的实质性要求和条件作出满足性或更有利于采购人的响应，否则，供应商的响应将被否决。实质性要求和条件见供应商须知前附表。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1.12.2供应商须知前附表规定了可以偏差的，偏差应当符合供应商须知前附表规定的偏差范围和幅度，超出的响应将被否决。</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2、磋商文件</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2.1磋商文件的组成</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本磋商文件包括：</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（1）采购公告；</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（2）供应商须知；</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（3）采购需求；</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（4）合同（样本）；</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（5）资格审查与评审办法</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（6）资格审查与评审标准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（7）响应文件格式；</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根据本章第1.9款、第2.2款对磋商文件所作的澄清、修改，构成磋商文件的组成部分。</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2.2磋商文件的澄清</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2.2.1供应商应仔细阅读和检查磋商文件的全部内容。如发现缺页或附件不全，应及时向采购代理机构提出，以便补齐。如有疑问，应按供应商须知前附表规定的时间和形式将提出的问题送达采购代理机构，要求对磋商文件予以澄清。</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2.2.2磋商文件的澄清、修改按供应商须知前附表规定的形式发出。澄清、修改发出的时间距提交响应文件截止时间不足5日的，并且修改内容可能影响响应文件编制的，将相应延长提交响应文件截止时间。</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2.2.3除非采购人认为确有必要答复，否则，采购人有权拒绝回复供应商在本章第2.2.1项规定的时间后的任何澄清要求。</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注：（1）竞争性磋商文件的澄清与修改将在与竞争性磋商公告同步的网站上发布“变 更公告”，如需修改竞争性磋商文件，则同时在洛阳市电子招投标交易平台发布“答疑 文件”（答疑文件指修改后最新的竞争性磋商文件）。对于各项目中已经成功报名并下 载竞争性磋商文件的供应商，将通过第三方短信群发方式提醒投标人进行查询。各供应商须重新下载最新的“答疑文件”，并以此编制响应文件。如不以最新发布的“答疑文件”编制响应文件，造成投标无效的后果由供应商自己承担。</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 （2）因洛阳市电子招投标交易平台在开标前具有保密性，供应商在响应文件递交截 止时间前须自行查看项目进展、变更通知、澄清及回复，因投标人未及时查看而造成的 后果自负。</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3、响应文件</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3.1响应文件的组成</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3.1.1响应文件应包括下列内容（详见磋商文件第七章“响应文件格式”）：</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（1）封面</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（2）响应函</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（3）法定代表人授权书</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（4）法人被授权人身份证扫描件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（5）资格证明材料</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（6）开标一览表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（7）报价一览表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（8）工程报价明细表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中</w:t>
      </w:r>
      <w:r>
        <w:rPr>
          <w:rFonts w:hint="eastAsia" w:ascii="宋体" w:hAnsi="宋体" w:eastAsia="宋体" w:cs="宋体"/>
          <w:color w:val="auto"/>
          <w:kern w:val="0"/>
          <w:sz w:val="24"/>
          <w:szCs w:val="24"/>
          <w:highlight w:val="none"/>
          <w:lang w:val="en-US" w:eastAsia="zh-CN" w:bidi="ar"/>
        </w:rPr>
        <w:t>小微企业声明函（供应商）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（10）残疾人福利性单位声明函</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（11）监狱企业证明文件</w:t>
      </w:r>
    </w:p>
    <w:p>
      <w:pPr>
        <w:pStyle w:val="27"/>
        <w:ind w:firstLine="48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12</w:t>
      </w:r>
      <w:r>
        <w:rPr>
          <w:rFonts w:hint="eastAsia"/>
          <w:color w:val="auto"/>
          <w:highlight w:val="none"/>
          <w:lang w:eastAsia="zh-CN"/>
        </w:rPr>
        <w:t>）</w:t>
      </w:r>
      <w:r>
        <w:rPr>
          <w:rFonts w:hint="eastAsia"/>
          <w:color w:val="auto"/>
          <w:highlight w:val="none"/>
        </w:rPr>
        <w:t>工程预算书</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）辅助资料表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）承诺书</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）施工组织设计</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）其他需要提供的资料</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val="en-US" w:eastAsia="zh-CN" w:bidi="ar"/>
        </w:rPr>
        <w:t>）参与评审打分的证书（证件）一览表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val="en-US" w:eastAsia="zh-CN" w:bidi="ar"/>
        </w:rPr>
        <w:t>）参与评审打分的证书（证件）扫描件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val="en-US" w:eastAsia="zh-CN" w:bidi="ar"/>
        </w:rPr>
        <w:t>）参与评审打分的合同业绩一览表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val="en-US" w:eastAsia="zh-CN" w:bidi="ar"/>
        </w:rPr>
        <w:t>）参与评审打分的合同业绩扫描件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供应商在评审过程中作出的符合法律法规和磋商文件规定的澄清确认，构成响应文件的组成部分。</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3.2报价</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3.2.1报价涉及货币的应为人民币，包括国家规定的增值税税金。供应商应按第七章“响应文件格式”的要求进行报价。</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3.2.2供应商应充分了解该项目的总体情况以及影响报价的其他要素。</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供应商应填写报价一览表、已标价工程量清单；其它表格与报价一览表不符，以报价一览表为准。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3.2.3本项目的报价方式见供应商须知前附表。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3.2.4采购人设有招标控制价的，供应商的报价不得超过招标控制价，招标控制价在供应商须知前附表中载明。</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3.2.5报价的其他要求见供应商须知前附表。</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3.2.6本次采购为竞争性磋商采购，允许符合要求的供应商在规定的时间提交最后报价。</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3.3响应文件有效期</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3.3.1除供应商须知前附表另有规定外，响应文件有效期为90天。</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3.3.2在响应文件有效期内，供应商撤销响应文件的，应承担磋商文件和法律规定的责任。</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3.3.3出现特殊情况需要延长响应文件有效期的，采购人以书面形式通知所有供应商延长响应文件有效期。供应商应予以书面答复，同意延长的，应相应延长其磋商保证金的有效期，但不得要求或被允许修改其响应文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供应商拒绝延长的，其响应失效，但供应商有权收回其磋商保证金。</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3.4磋商保证金</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本项目免收磋商保证金。</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3.5资格审查资料</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3.5.1根据第六章内容提供证明材料。</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3.5.2供应商须知前附表规定接受联合体的，联合体各方均应提供资格审查资料。</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3.5.3资格审查资料的特殊要求见供应商须知前附表。</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3.6备选方案</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3.6.1除供应商须知前附表规定允许外，供应商不得提交备选方案，否则其响应将被否决。</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3.6.2允许供应商提交备选方案的，只有成交供应商所提交的备选方案方可予以考虑。磋商小组认为成交供应商的备选方案优于其按照磋商文件要求编制的响应方案的，采购人可以接受该备选方案。</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3.6.3供应商提供两个或两个以上报价，或者在响应文件中提供一个报价，但同时提供两个或两个以上施工方案的，视为提供备选方案。</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3.7响应文件的制作</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3.7.1供应商登录“洛阳市公共资源交易中心”网站，按要求下载“新点投标文件制作软件”。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3.7.2供应商凭CA锁登录，并按网上提示自行下载磋商文件。使用“新点投标文件制作软件”按要求制作电子响应文件。供应商在制作电子响应文件时，应按要求进行电子签章。供应商编辑电子响应文件时，根据磋商文件要求用法定代表人CA锁和企业CA锁进行签章制作；最后一步生成电子响应文件（*.lytf格式和*.nlytf格式）时，只能用本单位的企业CA锁。联合体投标的，响应文件由联合体牵头人按上述规定进行签章。</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3.7.3加密的电子响应文件为“洛阳市公共资源交易中心”网站提供的“新点投标文件制作软件”制作生成的加密版响应文件。未加密的电子响应文件应与加密的电子响应文件为同时生成的版本。</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3.7.4磋商文件格式所要求包含的全部资料应全部制作在响应文件内，严格按照本项目磋商文件所有格式如实填写（不涉及的内容除外），不应存在漏项或缺项，否则将存在响应文件被否决的风险。</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3.7.5响应文件所附证明材料均为原件的扫描件（或照片），尺寸和清晰度应该能够在电脑上被阅读、识别和判断；若供应商未按要求提供证明材料或提供不清晰的扫描件（或照片）的，磋商小组有权认定其响应文件未对磋商文件有关要求进行响应，涉及资格审查性或符合性审查的将不予通过。</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4、响应文件提交</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4.1响应文件的密封和标记</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4.1.1响应文件的密封和标记的要求：见供应商须知前附表。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4.1.2未按要求密封和标记的响应文件，采购人将予以拒收。</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4.2响应文件的提交</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4.2.1供应商应在供应商须知前附表规定的提交响应文件截止时间前提交响应文件。不接受邮寄、电报、电话、传真等方式。除电子响应文件外，不再接受任何纸质文件、资料等。</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4.2.2供应商提交响应文件的地点：见供应商须知前附表。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4.2.3响应文件份数及其他要求：见供应商须知前附表。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4.2.4供应商应在提交响应文件截止时间前上传加密的电子响应文件（*.lytf）到洛阳市电子招投标交易平台指定位置。上传时供应商须使用制作该响应文件的同一CA锁进行上传操作。请供应商在上传时认真检查上传响应文件是否完整、正确。供应商应充分考虑上传文件时的不可预见因素，未在截止时间前完成上传的，视为逾期送达，洛阳市电子招投标交易平台将拒绝接收。上传成功后将得到上传成功的确认。</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4.2.5供应商因洛阳市电子招投标交易平台问题无法上传电子响应文件时，请在工作时间与交易中心联系。联系方式见供应商须知前附表。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4.2.6除供应商须知前附表另有规定外，供应商所提交的响应文件不予退还。</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4.3响应文件的修改与撤回</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4.3.1供应商在提交响应文件后可对其响应文件进行修改并重新上传响应文件或在洛阳市电子招投标交易平台上进行撤回响应文件的操作。</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4.3.2提交响应文件截止时间以后不得修改响应文件。</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5、磋商开启</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5.1磋商开启时间和地点</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采购人在本章第4.2.1项规定的提交响应文件截止时间和供应商须知前附表规定的地点开启磋商活动。</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5.2磋商开启规定</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5.2.1采购人在磋商文件规定的时间和地点开启磋商活动。本项目采用远程不见面交易的模式。开标当日，供应商无需到开标现场参加开标会议，供应商应当在投标截止时间前，登录不见面开标大厅选择洛阳市公共资源电子招投标系统进行登录（网址为http://www.lyggzyjy.cn），在线准时参加开标活动并进行投标文件解密等。</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5.2.2各供应商应在规定时间内对本单位的响应文件解密。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5.2.3本项目采用电子开评标，响应文件开启前必须通过UK上传响应文件电子版。因供应商自身原因而导致响应文件无法导入“洛阳市电子招投标交易平台”电子开标、评标系统，该投标视为无效投标，供应商自行承担由此导致的全部责任。</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6、磋商</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6.1磋商小组</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6.1.1评审由采购人依法组建的磋商小组负责。磋商小组由采购人代表以及评审专家组成。磋商小组成员人数以及评审专家的确定方式见供应商须知前附表。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6.1.2磋商小组成员有下列情形之一的，应当回避：</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（1）参加采购活动前3年内与供应商存在劳动关系；</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（2）参加采购活动前3年内担任供应商的董事、监事；</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（3）参加采购活动前3年内是供应商的控股股东或者实际控制人；</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（4）与供应商的法定代表人或者负责人有夫妻、直系血亲、三代以内旁系血亲或者近姻亲关系；</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（5）与供应商有其他可能影响政府采购活动公平、公正进行的关系。</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6.1.3评审过程中，磋商小组成员有回避事由、擅离职守或者因健康等原因不能继续评审的，采购人有权更换。被更换的磋商小组成员作出的评审结论无效，由更换后的磋商小组成员重新进行评审。</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6.2磋商程序</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6.2.1磋商小组对响应文件的有效性、完整性和响应程度进行资格性审查及符合性审查。</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6.2.2磋商小组所有成员集中与单一供应商分别进行磋商，并给予所有参加磋商的供应商平等的磋商机会。</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6.2.3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6.2.4供应商应当按照磋商文件的变动情况和磋商小组的要求重新提交响应文件（如果有），并由其法定代表人或其授权代表签字或者加盖公章。</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6.2.5磋商文件能够详细列明采购项目的技术、服务要求后，磋商小组要求所有实质性响应的供应商在规定时间内提交最后报价。通过资格性审查及符合性审查的供应商有均等的最后报价机会，供应商应在磋商小组规定的时间内完成报价。每一轮报价全部为书面形式，并须由供应商法定代表人或其委托代理人签字或者加盖公章，作为响应文件的一部分，对供应商具有约束力。在未对磋商文件作出实质性变动的情况下，供应商提交的最后报价不得高于其前一次报价。在磋商文件作出实质性变动但供应商的响应文件未作出相应实质性变动的情况下，该供应商提交的最后报价也不得高于其前一次报价。</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6.2.6最后报价是供应商响应文件的有效组成部分，未按要求进行最后报价的，其响应文件将被否决。</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6.2.7经磋商确定最终采购需求和提交最后报价的供应商后，由磋商小组采用综合评分法对提交最后报价的供应商的响应文件和最后报价进行综合评分。</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6.3评审原则</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6.3.1磋商小组按照第五章“评审办法”规定的方法、因素、标准和程序对供应商的响应文件进行评审。没有规定的方法、因素和标准，不得作为评审依据。未实质性响应磋商文件的响应文件按无效响应处理，磋商小组应当告知提交响应文件的供应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6.3.2评审完成后，磋商小组应当提交书面评审报告和成交候选人名单。磋商小组推荐成交候选人的人数见供应商须知前附表。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6.3.3本次磋商采用电子化评审，如“洛阳市电子招投标交易平台”系统出现故障，导致无法继续评审工作的，可暂停评审，对原有资料及信息作出妥善保密处理，待电子评标系统恢复正常之后组织评审。</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7、确定成交及合同授予</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7.1确定成交的原则</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7.1.1按照供应商须知前附表的规定，采购人或采购人授权的磋商小组依法确定成交供应商。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7.1.2按供应商须知前附表的规定的原则确定成交供应商。</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7.2成交结果</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自成交供应商确定之日起</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个工作日内，在供应商须知前附表规定的媒体上公告成交结果，磋商文件随成交结果同时公告。</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7.3成交通知</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由本项目代理机构通过交易系统向成交供应商发出电子《成交通知书》，成交供应商应在发布成交结果公告后的 1 个工作日内领取成交通知书，逾期未领的，视同第 1 个工作日内已领取。《成交通知书》对采购人和成交供应商均具有法律效力。</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7.4履约保证金</w:t>
      </w:r>
      <w:r>
        <w:rPr>
          <w:rFonts w:hint="eastAsia"/>
          <w:b/>
          <w:bCs/>
          <w:color w:val="auto"/>
          <w:highlight w:val="none"/>
          <w:lang w:val="en-US" w:eastAsia="zh-CN"/>
        </w:rPr>
        <w:t>（本项目不适用）</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7.5签订合同</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7.5.1采购人和成交供应商应当在成交通知书发出之</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个工作日</w:t>
      </w:r>
      <w:r>
        <w:rPr>
          <w:rFonts w:hint="eastAsia" w:ascii="宋体" w:hAnsi="宋体" w:eastAsia="宋体" w:cs="宋体"/>
          <w:color w:val="auto"/>
          <w:kern w:val="0"/>
          <w:sz w:val="24"/>
          <w:szCs w:val="24"/>
          <w:highlight w:val="none"/>
          <w:lang w:val="en-US" w:eastAsia="zh-CN" w:bidi="ar"/>
        </w:rPr>
        <w:t>内</w:t>
      </w:r>
      <w:r>
        <w:rPr>
          <w:rFonts w:hint="eastAsia" w:ascii="宋体" w:hAnsi="宋体" w:eastAsia="宋体" w:cs="宋体"/>
          <w:color w:val="auto"/>
          <w:kern w:val="0"/>
          <w:sz w:val="24"/>
          <w:szCs w:val="24"/>
          <w:highlight w:val="none"/>
          <w:lang w:val="en-US" w:eastAsia="zh-CN" w:bidi="ar"/>
        </w:rPr>
        <w:t>，根据磋商文件和成交供应商的响应文件签订合同</w:t>
      </w:r>
      <w:r>
        <w:rPr>
          <w:rFonts w:hint="eastAsia" w:ascii="宋体" w:hAnsi="宋体" w:cs="宋体"/>
          <w:color w:val="auto"/>
          <w:kern w:val="0"/>
          <w:sz w:val="24"/>
          <w:szCs w:val="24"/>
          <w:highlight w:val="none"/>
          <w:lang w:val="en-US" w:eastAsia="zh-CN" w:bidi="ar"/>
        </w:rPr>
        <w:t>（通过电子招标投标交易平台，以数据电文形式与中标人签订合同）</w:t>
      </w:r>
      <w:r>
        <w:rPr>
          <w:rFonts w:hint="eastAsia" w:ascii="宋体" w:hAnsi="宋体" w:eastAsia="宋体" w:cs="宋体"/>
          <w:color w:val="auto"/>
          <w:kern w:val="0"/>
          <w:sz w:val="24"/>
          <w:szCs w:val="24"/>
          <w:highlight w:val="none"/>
          <w:lang w:val="en-US" w:eastAsia="zh-CN" w:bidi="ar"/>
        </w:rPr>
        <w:t>。成交供应</w:t>
      </w:r>
      <w:r>
        <w:rPr>
          <w:rFonts w:hint="eastAsia" w:ascii="宋体" w:hAnsi="宋体" w:eastAsia="宋体" w:cs="宋体"/>
          <w:color w:val="auto"/>
          <w:kern w:val="0"/>
          <w:sz w:val="24"/>
          <w:szCs w:val="24"/>
          <w:highlight w:val="none"/>
          <w:lang w:val="en-US" w:eastAsia="zh-CN" w:bidi="ar"/>
        </w:rPr>
        <w:t>商无正当理由拒签合同，在签订合同时向采购人提出附加条件，或者不按照磋商文件要求提交履约保证金的，采购人有权取消其成交资格。</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7.5.2发出成交通知书后，采购人无正当理由拒签合同，或者在签订合同 时向成交供应商提出附加条件的，给成交供应商造成损失的，应当赔偿损失。</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7.5.3联合体成交的，联合体各方应当共同与采购人签订合同，就成交项目向采购人承担连带责任。</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8、纪律和监督</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8.1对采购人的纪律要求</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8.1.1不得以不合理的条件对供应商实行差别待遇或者歧视待遇，排斥其他供应商公平参与竞争；</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8.1.2不得与供应商或采购代理机构串通损害国家利益、社会公共利益或者他人合法权益；</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8.1.3不得诱导、干预或影响磋商小组依法依规评审，不得诱导、干预或影响评审专家依法依规独立评审；</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8.1.4不得泄漏采购活动中应当保密的情况和资料；</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8.1.5不得接受供应商或采购代理机构的贿赂，或获取其他不正当利益；</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8.1.6不得无正当理拒绝与成交供应商签订合同；</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8.1.7参与采购活动的相关人员与供应商有利害关系的应当回避；</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8.1.8采购过程中，不得有其他违法违规行为。</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8.2对供应商的纪律要求</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8.2.1不得以他人名义参加政府采购活动；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8.2.2供应商不得相互串通，不得与采购人、与采购代理机构串通；</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8.2.3不得向采购人或者磋商小组成员行贿，或提供其他不正当利益谋取成交；</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8.2.4不得弄虚作假骗取成交，不得虚假响应，不得恶意低价响应；</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8.2.5供应商不得以任何方式干扰、影响评审工作；</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8.2.6不得无正当理由放弃成交或成交后拒绝与采购人签订合同；</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8.2.7不得恶意诋毁其他供应商、采购人或采购代理机构；</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8.2.8在参与政府采购活动中，不得有其他违法违规行为。</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8.3对磋商小组成员的纪律要求</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8.3.1确定参与评审至评审结束前，不得私自接触供应商；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8.3.2不得与供应商或采购代理机构串通损害国家利益、社会公共利益或者他人合法权益；</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8.3.3不得接受供应商提出的与响应文件不一致的澄清和说明；</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8.3.4不得征询采购人的倾向性意见；</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8.3.5不得对主观评审因素协商评分；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8.3.6不得对客观评审因素评分不一致；</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8.3.7磋商小组成员不得接受供应商、采购人和采购代理机构等他人的贿赂或者其他不正当利益；</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8.3.8不得以不合理的条件对供应商实行差别待遇或者歧视待遇，排斥其他供应商公平参与竞争；</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8.3.9不得使用磋商文件没有规定的评审方法和评审标准进行评审；</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8.3.10不得诱导、干预或影响其他评审专家依法依规独立评审；</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8.3.11在评审活动中，磋商小组成员不得擅离职守，影响评审工作正常进行；</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8.3.12不得记录、复制或带走任何评审资料；</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8.3.13不得泄露评审过程中获悉的对响应文件的评审和比较、成交候选人的推荐情况以及与评审有关的应当保密的情况和资料；</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8.3.14磋商小组成员与供应商存在利害关系应当回避；</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8.3.15在参与政府采购评审活动中，不得有其他违法违规行为。</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8.4对与评审活动有关的工作人员的纪律要求</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8.4.1不得接受供应商、采购人和采购代理机构等他人的贿赂或者其他不正当利益；</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8.4.2不得与供应商、采购代理机构或评审专家串通损害国家利益、社会公共利益或者他人合法权益；</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8.4.3不得以不合理的条件对供应商实行差别待遇或者歧视待遇，排斥其他供应商公平参与竞争；</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8.4.4不得诱导、干预或影响磋商小组及其成员依法依规独立评审；</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8.4.5不得擅离职守，影响评审工作正常进行；</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8.4.6不得泄漏采购活动中应当保密的情况和资料；</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8.4.7与供应商有利害关系的应当回避；</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8.4.8在参与或服务政府采购活动中，不得有其他违法违规行为。</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8.5质疑和投诉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color w:val="auto"/>
          <w:highlight w:val="none"/>
          <w:lang w:val="en-US" w:eastAsia="zh-CN"/>
        </w:rPr>
      </w:pPr>
      <w:r>
        <w:rPr>
          <w:rFonts w:hint="eastAsia"/>
          <w:color w:val="auto"/>
          <w:highlight w:val="none"/>
          <w:lang w:val="en-US" w:eastAsia="zh-CN"/>
        </w:rPr>
        <w:t>8.5.1供应商认为本次采购活动的磋商文件、采购过程和成交结果使自己的权益受到损害的，在知道或应知其权益受到损害之日起 7 个工作日内有权在法定质疑期内，按规定的程序针对同一采购程序环节一次性实名向采购人、采购代理机构提出书面质疑。质疑函应采用中华人民共和国财政部制定的范本（见附件：质疑函范本）。质疑函及授权委托书应按规定签字并加盖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color w:val="auto"/>
          <w:highlight w:val="none"/>
          <w:lang w:val="en-US" w:eastAsia="zh-CN"/>
        </w:rPr>
      </w:pPr>
      <w:r>
        <w:rPr>
          <w:rFonts w:hint="eastAsia"/>
          <w:color w:val="auto"/>
          <w:highlight w:val="none"/>
          <w:lang w:val="en-US" w:eastAsia="zh-CN"/>
        </w:rPr>
        <w:t>8.5.2 质疑函的递交方式：见供应商须知前附表。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color w:val="auto"/>
          <w:highlight w:val="none"/>
          <w:lang w:val="en-US" w:eastAsia="zh-CN"/>
        </w:rPr>
      </w:pPr>
      <w:r>
        <w:rPr>
          <w:rFonts w:hint="eastAsia"/>
          <w:color w:val="auto"/>
          <w:highlight w:val="none"/>
          <w:lang w:val="en-US" w:eastAsia="zh-CN"/>
        </w:rPr>
        <w:t>8.5.3 对采购人、采购代理机构的答复不满意或者采购人、采购代理机构未在规定的时间内作出答复的，供应商可以在质疑答复期满后15个工作日内实名向（项目所属）同级政府采购监督管理部门投诉。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color w:val="auto"/>
          <w:highlight w:val="none"/>
          <w:lang w:val="en-US" w:eastAsia="zh-CN"/>
        </w:rPr>
      </w:pPr>
      <w:r>
        <w:rPr>
          <w:rFonts w:hint="eastAsia"/>
          <w:color w:val="auto"/>
          <w:highlight w:val="none"/>
          <w:lang w:val="en-US" w:eastAsia="zh-CN"/>
        </w:rPr>
        <w:t>8.5.4 质疑和投诉应有具体的质疑（投诉）事项和必要的证明材料或事实根据，供应商对其质疑和投诉内容的真实性及其来源的合法性承担法律责任。</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9、需要补充的其他内容</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需要补充的其他内容：见供应商须知前附表。</w:t>
      </w:r>
    </w:p>
    <w:p>
      <w:pPr>
        <w:rPr>
          <w:color w:val="auto"/>
          <w:highlight w:val="none"/>
          <w:lang w:val="en-US" w:eastAsia="zh-CN"/>
        </w:rPr>
      </w:pPr>
      <w:r>
        <w:rPr>
          <w:color w:val="auto"/>
          <w:highlight w:val="none"/>
          <w:lang w:val="en-US" w:eastAsia="zh-CN"/>
        </w:rPr>
        <w:br w:type="page"/>
      </w:r>
    </w:p>
    <w:p>
      <w:pPr>
        <w:pStyle w:val="3"/>
        <w:bidi w:val="0"/>
        <w:rPr>
          <w:color w:val="auto"/>
          <w:highlight w:val="none"/>
        </w:rPr>
      </w:pPr>
      <w:r>
        <w:rPr>
          <w:color w:val="auto"/>
          <w:highlight w:val="none"/>
          <w:lang w:val="en-US" w:eastAsia="zh-CN"/>
        </w:rPr>
        <w:t>第三章</w:t>
      </w:r>
      <w:r>
        <w:rPr>
          <w:rFonts w:hint="eastAsia"/>
          <w:color w:val="auto"/>
          <w:highlight w:val="none"/>
          <w:lang w:val="en-US" w:eastAsia="zh-CN"/>
        </w:rPr>
        <w:t>、</w:t>
      </w:r>
      <w:r>
        <w:rPr>
          <w:color w:val="auto"/>
          <w:highlight w:val="none"/>
          <w:lang w:val="en-US" w:eastAsia="zh-CN"/>
        </w:rPr>
        <w:t>采购需求</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一、项目概况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凯东团结巷社区养老服务中心及区智慧养老平台工程，地点位于洛阳市西工区。主要内容为：原墙体拆除和重砌、新建石膏板和铝扣板吊顶、天棚刷乳胶漆、块料楼地面和墙面、墙面贴壁布、新建门窗套、踢脚线、配电箱及灯具安装、配管配线、空调及风管安装、监控系统安装等工程。</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二、其他要求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1、工程竣工验收后，由成交供应商根据中标价（成交价）及变更签证所发生的费用编制已标价工程量清单，报采购人、财政部门审查确认后作为</w:t>
      </w:r>
      <w:r>
        <w:rPr>
          <w:rFonts w:hint="eastAsia" w:ascii="宋体" w:hAnsi="宋体" w:cs="宋体"/>
          <w:color w:val="auto"/>
          <w:kern w:val="0"/>
          <w:sz w:val="24"/>
          <w:szCs w:val="24"/>
          <w:highlight w:val="none"/>
          <w:lang w:val="en-US" w:eastAsia="zh-CN" w:bidi="ar"/>
        </w:rPr>
        <w:t>结算</w:t>
      </w:r>
      <w:r>
        <w:rPr>
          <w:rFonts w:hint="eastAsia" w:ascii="宋体" w:hAnsi="宋体" w:eastAsia="宋体" w:cs="宋体"/>
          <w:color w:val="auto"/>
          <w:kern w:val="0"/>
          <w:sz w:val="24"/>
          <w:szCs w:val="24"/>
          <w:highlight w:val="none"/>
          <w:lang w:val="en-US" w:eastAsia="zh-CN" w:bidi="ar"/>
        </w:rPr>
        <w:t xml:space="preserve">拨款依据。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2、因施工造成的垃圾，由成交供应商负责清理。施工所用水电由成交供应商自行解决，费用均包含在报价内，采购人不承担费用。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合同由采购人和成交供应商签订。合同签订后，成交供应商必须按要求派磋商时所报的项目负责人及施工现场管理的技术人员。在施工期间不经业主允许不得更换，否则业主有权单方面终止合同，由此造成的一切损失由成交供应商负责。 </w:t>
      </w:r>
    </w:p>
    <w:p>
      <w:pPr>
        <w:widowControl/>
        <w:ind w:left="240" w:leftChars="100" w:firstLine="240" w:firstLineChars="1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4、农民工工资保障金按照相关规定执行。 </w:t>
      </w:r>
    </w:p>
    <w:p>
      <w:pPr>
        <w:widowControl/>
        <w:ind w:firstLine="480" w:firstLineChars="200"/>
        <w:rPr>
          <w:rFonts w:ascii="宋体" w:hAnsi="宋体" w:cs="宋体"/>
          <w:color w:val="auto"/>
          <w:kern w:val="0"/>
          <w:highlight w:val="none"/>
        </w:rPr>
      </w:pP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.1按照洛阳市住房和城乡建设局《关于进一步规范农民工工资保障金和工程担保管理的通知》洛建【2019】78号执行；</w:t>
      </w:r>
    </w:p>
    <w:p>
      <w:pPr>
        <w:widowControl/>
        <w:ind w:firstLine="482" w:firstLineChars="200"/>
        <w:rPr>
          <w:rFonts w:ascii="宋体" w:hAnsi="宋体" w:cs="宋体"/>
          <w:b/>
          <w:color w:val="auto"/>
          <w:kern w:val="0"/>
          <w:highlight w:val="none"/>
        </w:rPr>
      </w:pPr>
      <w:r>
        <w:rPr>
          <w:rFonts w:hint="eastAsia" w:ascii="宋体" w:hAnsi="宋体" w:cs="宋体"/>
          <w:b/>
          <w:color w:val="auto"/>
          <w:kern w:val="0"/>
          <w:highlight w:val="none"/>
          <w:lang w:val="en-US" w:eastAsia="zh-CN"/>
        </w:rPr>
        <w:t>4</w:t>
      </w:r>
      <w:r>
        <w:rPr>
          <w:rFonts w:hint="eastAsia" w:ascii="宋体" w:hAnsi="宋体" w:cs="宋体"/>
          <w:b/>
          <w:color w:val="auto"/>
          <w:kern w:val="0"/>
          <w:highlight w:val="none"/>
        </w:rPr>
        <w:t xml:space="preserve">.2 施工单位（供应商）在参与竞标时，必须对农民工工资保障金的问题做出以下承诺： </w:t>
      </w:r>
    </w:p>
    <w:p>
      <w:pPr>
        <w:widowControl/>
        <w:ind w:firstLine="480" w:firstLineChars="200"/>
        <w:rPr>
          <w:rFonts w:ascii="宋体" w:hAnsi="宋体" w:cs="宋体"/>
          <w:color w:val="auto"/>
          <w:kern w:val="0"/>
          <w:highlight w:val="none"/>
        </w:rPr>
      </w:pPr>
      <w:r>
        <w:rPr>
          <w:rFonts w:hint="eastAsia" w:ascii="宋体" w:hAnsi="宋体" w:cs="宋体"/>
          <w:color w:val="auto"/>
          <w:kern w:val="0"/>
          <w:highlight w:val="none"/>
        </w:rPr>
        <w:t xml:space="preserve">一是施工单位（供应商）在竞标时必须在标书中如实反映其以前所承建工程中工资支付的情况，需特别注明截止开标之日止，是否存在拖欠或克扣农民工工资的行为； </w:t>
      </w:r>
    </w:p>
    <w:p>
      <w:pPr>
        <w:widowControl/>
        <w:ind w:firstLine="480" w:firstLineChars="200"/>
        <w:rPr>
          <w:rFonts w:ascii="宋体" w:hAnsi="宋体" w:cs="宋体"/>
          <w:color w:val="auto"/>
          <w:kern w:val="0"/>
          <w:highlight w:val="none"/>
        </w:rPr>
      </w:pPr>
      <w:r>
        <w:rPr>
          <w:rFonts w:hint="eastAsia" w:ascii="宋体" w:hAnsi="宋体" w:cs="宋体"/>
          <w:color w:val="auto"/>
          <w:kern w:val="0"/>
          <w:highlight w:val="none"/>
        </w:rPr>
        <w:t xml:space="preserve">二是施工单位（供应商）在竞标时必须在标书中承诺中标后能够及时、足额存入农民工工资保障金，并纳入洛阳建筑劳务实名制用工和工资支付管理系统； </w:t>
      </w:r>
    </w:p>
    <w:p>
      <w:pPr>
        <w:widowControl/>
        <w:ind w:firstLine="480" w:firstLineChars="200"/>
        <w:rPr>
          <w:rFonts w:ascii="宋体" w:hAnsi="宋体" w:cs="宋体"/>
          <w:color w:val="auto"/>
          <w:kern w:val="0"/>
          <w:highlight w:val="none"/>
        </w:rPr>
      </w:pPr>
      <w:r>
        <w:rPr>
          <w:rFonts w:hint="eastAsia" w:ascii="宋体" w:hAnsi="宋体" w:cs="宋体"/>
          <w:color w:val="auto"/>
          <w:kern w:val="0"/>
          <w:highlight w:val="none"/>
        </w:rPr>
        <w:t xml:space="preserve">三是施工单位（供应商）在竞标时必须在标书中承诺：一旦其承包的建筑工程项目中出现拖欠职工工资情况的，可由建设行政主管部门从工资保障金中先行划支。 </w:t>
      </w:r>
    </w:p>
    <w:p>
      <w:pPr>
        <w:widowControl/>
        <w:ind w:firstLine="480" w:firstLineChars="200"/>
        <w:rPr>
          <w:rFonts w:ascii="宋体" w:hAnsi="宋体" w:cs="宋体"/>
          <w:color w:val="auto"/>
          <w:kern w:val="0"/>
          <w:highlight w:val="none"/>
        </w:rPr>
      </w:pPr>
      <w:r>
        <w:rPr>
          <w:rFonts w:hint="eastAsia" w:ascii="宋体" w:hAnsi="宋体" w:cs="宋体"/>
          <w:color w:val="auto"/>
          <w:kern w:val="0"/>
          <w:highlight w:val="none"/>
        </w:rPr>
        <w:t xml:space="preserve">四是施工单位（供应商）在竞标时必须在标书中承诺：“根据《保障农民工工资支付条例》第二十六条、第二十七条的规定，施工总承包单位应当按照有关规定开设农民工工资专用账户，专项用于支付该工程建设项目农民工工资。银行流水转账备注为工资且没有对公转账记录。” </w:t>
      </w:r>
    </w:p>
    <w:p>
      <w:pPr>
        <w:widowControl/>
        <w:ind w:firstLine="482" w:firstLineChars="200"/>
        <w:rPr>
          <w:rFonts w:ascii="宋体" w:hAnsi="宋体" w:cs="宋体"/>
          <w:b/>
          <w:color w:val="auto"/>
          <w:kern w:val="0"/>
          <w:highlight w:val="none"/>
        </w:rPr>
      </w:pPr>
      <w:r>
        <w:rPr>
          <w:rFonts w:hint="eastAsia" w:ascii="宋体" w:hAnsi="宋体" w:cs="宋体"/>
          <w:b/>
          <w:color w:val="auto"/>
          <w:kern w:val="0"/>
          <w:highlight w:val="none"/>
        </w:rPr>
        <w:t xml:space="preserve">注：供应商提交的响应文件中未对上述农民工工资保障金规定进行承诺的，在评审时对其响应文件按照无效标处理。 </w:t>
      </w:r>
    </w:p>
    <w:p>
      <w:pPr>
        <w:keepNext w:val="0"/>
        <w:keepLines w:val="0"/>
        <w:pageBreakBefore w:val="0"/>
        <w:widowControl/>
        <w:suppressLineNumbers w:val="0"/>
        <w:kinsoku/>
        <w:wordWrap/>
        <w:overflowPunct/>
        <w:topLinePunct w:val="0"/>
        <w:autoSpaceDE/>
        <w:autoSpaceDN/>
        <w:bidi w:val="0"/>
        <w:adjustRightInd/>
        <w:snapToGrid/>
        <w:ind w:left="240" w:leftChars="100" w:firstLine="240" w:firstLineChars="1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5、控制扬尘、防止二次污染。 </w:t>
      </w:r>
    </w:p>
    <w:p>
      <w:pPr>
        <w:keepNext w:val="0"/>
        <w:keepLines w:val="0"/>
        <w:pageBreakBefore w:val="0"/>
        <w:widowControl/>
        <w:suppressLineNumbers w:val="0"/>
        <w:kinsoku/>
        <w:wordWrap/>
        <w:overflowPunct/>
        <w:topLinePunct w:val="0"/>
        <w:autoSpaceDE/>
        <w:autoSpaceDN/>
        <w:bidi w:val="0"/>
        <w:adjustRightInd/>
        <w:snapToGrid/>
        <w:ind w:left="240" w:leftChars="100" w:firstLine="240" w:firstLineChars="1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5.1在施工组织设计时应增加控制扬尘污染的内容，应有制度、有措施、有检查、有落实、有结果；做到“七个100%，八个必须”，对违反扬尘治理有关规定的，实施“ 七个一律”处罚。</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施工过程中要做到七个100%：施工工地100%围挡，散流体、裸地100%覆盖，出入车辆100%冲洗，施工现场地面100%硬化，散水降尘制度100%落实，散流体运输车辆100%密闭运输，监控检测设备安装100%。</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开工进场前要做到“八个必须”： 必须要做好门头、门柱; 必须设置五牌一图、扬尘治理责任牌;必须建立门卫制度; 工地出入口处必须硬化; 必须配置自动冲洗设备及洒水车; 工地四周围挡封闭必须连续设置; 必须并在围挡上方安装雾化喷淋设备;必须落实扬尘治理方案备案制度。</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七个一律”：工程施工期间，凡发现扬尘治理措施不落实、施工或拆除现场不达标的，一律曝光、一律记不良记录、一律停工整改、一律上限处罚、一律给予缓批资质、一律限制招标投标、一律通报给市（县）政府。待整改完成并验收合格后，方能重新开工。</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5.2凡发现扬尘治理措施不落实、施工现场不达标，造成二次污染的，将按照相关文件要求给予相应处罚。</w:t>
      </w:r>
      <w:r>
        <w:rPr>
          <w:rFonts w:hint="eastAsia" w:ascii="宋体" w:hAnsi="宋体" w:eastAsia="宋体" w:cs="宋体"/>
          <w:b/>
          <w:bCs/>
          <w:color w:val="auto"/>
          <w:kern w:val="0"/>
          <w:sz w:val="24"/>
          <w:szCs w:val="24"/>
          <w:highlight w:val="none"/>
          <w:lang w:val="en-US" w:eastAsia="zh-CN" w:bidi="ar"/>
        </w:rPr>
        <w:t xml:space="preserve"> </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三、工程量清单（另附） </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四、图纸（另附） </w:t>
      </w:r>
    </w:p>
    <w:p>
      <w:pPr>
        <w:rPr>
          <w:rFonts w:hint="eastAsia" w:ascii="宋体" w:hAnsi="宋体" w:eastAsia="宋体" w:cs="宋体"/>
          <w:color w:val="auto"/>
          <w:sz w:val="24"/>
          <w:szCs w:val="24"/>
          <w:highlight w:val="none"/>
        </w:rPr>
      </w:pPr>
    </w:p>
    <w:p>
      <w:pPr>
        <w:rPr>
          <w:rFonts w:hint="eastAsia"/>
          <w:color w:val="auto"/>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3"/>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第四章、合同(样本)</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双方应根据磋商文件、成交通知书、成交供应商的响应文件（包括澄清说明），以及与本项目采购相关的资料、图纸签订采购合同。所签订的合同不得背离磋商文件的实质性内容要求和响应文件的承诺。</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通用合同条款参照国家现行标准执行；专用合同条款由甲乙双方协商确定。</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《洛阳市市级政府采购支持中小微企业信用融资信用担保合作金融机构名单》下载地址：洛阳市政府采购网（http://luoyang.hngp.gov.cn/）首页“文件下载”栏。</w:t>
      </w:r>
    </w:p>
    <w:p>
      <w:pPr>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pStyle w:val="3"/>
        <w:bidi w:val="0"/>
        <w:rPr>
          <w:rFonts w:hint="eastAsia"/>
          <w:color w:val="auto"/>
          <w:highlight w:val="none"/>
        </w:rPr>
      </w:pPr>
      <w:r>
        <w:rPr>
          <w:rFonts w:hint="eastAsia"/>
          <w:color w:val="auto"/>
          <w:highlight w:val="none"/>
          <w:lang w:val="en-US" w:eastAsia="zh-CN"/>
        </w:rPr>
        <w:t>第五章、资格审查与评审办法</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1、评审方法</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次评审方法采用综合评分法。磋商小组对满足磋商文件实质性要求的响应文件，按照本章2.2款规定的评分标准进行打分，按得分由高到低顺序推荐成交候选人，或根据采购人授权直接确定成交供应商，但最后报价明显低于其他通过符合性审查供应商的报价，有可能影响产品质量或者不能诚信履约的除外。供应商得分相同的，按最后报价由低到高顺序排列。得分且最后报价相同的并列。</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2、评审标准</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2.1资格性审查与符合性审查标准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2.1.1资格性审查标准：见第六章。</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2.1.2符合性审查标准：见第六章。</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2.2分值构成与评分标准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2.2.1分值构成见评分标准。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2.2.2评分标准：具体评分标准见第六章。</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3、评审程序</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3.1资格性审查与符合性审查</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3.1.1磋商小组依据本章第2.1.1款和第2.1.2款规定的标准对响应文件进行审查。有一项不符合审查标准的，应当否决其响应文件。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3.1.2供应商有以下情形之一的，磋商小组应当否决其响应文件：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（1）响应文件没有对磋商文件的实质性要求和条件作出响应，或者对磋商文件的偏差超出磋商文件规定的偏差范围或最高项数；</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（2）有串通、弄虚作假、行贿等违法行为。</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3.1.3有下列情形之一的，视为供应商串通，其响应文件无效：</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（1）响应文件没有对磋商文件的实质性要求和条件作出响应，或者对磋商文件的偏差超出磋商文件规定的偏差范围或最高项数</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（2）有串通投标、弄虚作假、行贿等违法行为</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（3）不同供应商的响应文件由同一单位或者个人编制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（4）不同供应商委托同一单位或者个人办理投标事宜</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（5）不同供应商的响应文件载明的项目管理成员或者联系人员为同一人</w:t>
      </w:r>
    </w:p>
    <w:p>
      <w:pPr>
        <w:keepNext w:val="0"/>
        <w:keepLines w:val="0"/>
        <w:pageBreakBefore w:val="0"/>
        <w:widowControl/>
        <w:suppressLineNumbers w:val="0"/>
        <w:kinsoku/>
        <w:wordWrap/>
        <w:overflowPunct/>
        <w:topLinePunct w:val="0"/>
        <w:autoSpaceDE/>
        <w:autoSpaceDN/>
        <w:bidi w:val="0"/>
        <w:adjustRightInd/>
        <w:snapToGrid/>
        <w:ind w:left="480" w:leftChars="20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（6）不同供应商的响应文件异常一致或者投标报价呈规律性差异</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（7）不同供应商的响应文件相互混装</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3.1.4响应文件报价出现前后不一致的，磋商小组按以下原则要求供应商对报价进行修正，并要求供应商书面澄清确认。供应商拒不澄清确认的，磋商小组应当否决其响应文件：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（1）响应文件中报价一览表内容与响应文件中相应内容不一致的，以报价一览表为准；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（2）大写金额和小写金额不一致的，以大写金额为准；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（3）单价金额小数点或者百分比有明显错位的，以报价一览表的总价为准，并修改单价；</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（4）总价金额与按单价汇总金额不一致的，以单价金额计算结果为准。同时出现两种以上不一致的，按照前款规定的顺序修正。</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3.1.5磋商小组在评标过程中，发现有下列行为之一的，属于供应商之间串（围）标的行为：</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(1)借用他人资质进行多重身份投标，不同的两家（或两家以上）供应商出现相同联系人的；</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(2)同一供应商携带两家及以上企业资料参与投标的；</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(3)开标前已有反映，开标后发现各供应商的报价等与反映情况相吻合的；</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(4)供应商之间为谋取中标或者排斥特定供应商而联合采取行动的；</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(5)不同供应商的投标文件由同一单位或者个人编制；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(6)不同供应商的投标文件及其它材料等相互混装的；</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(7)不同供应商的投标文件的错漏之处非正常一致的；</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(8)不同供应商的投标文件载明的项目管理班子或其他成员存在相同人员的；</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(9)不同供应商的施工组织设计方案雷同的；</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(10)不同供应商的投标文件中列出的人工费、材料费、机械使用费、管理费及利润的价格构成部分或全部雷同的，不同供应商的投标报价或报价组成出现非正常一致，或呈现非正常规律性变化的；</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运用计算机硬件特征码识别技术、标书编制系统软证书识别技术、标书编制系统与计价软件特征码关联识别技术，发现不同供应商的投标文件出自同一台计算机的；通过电子评标系统雷同性分析技术，发现不同供应商的投标文件相互之间存在非正常雷同现象的；通过电子评标系统不平衡报价分析技术，发现不同供应商的投标文件相互之间存在过高报价或过低报价雷同的；</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(12)供应商之间事先约定中标者或相互约定抬高或者压低投标报价的；</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(13)属于同一法人组织、集团公司等组织成员的供应商，在投标中采取协同行动的；</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(14)法律法规规定或行政监管部门、资格评审委员会、磋商小组认定的供应商之间其他串（围）标的行为。</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3.2详细评审</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3.2.1磋商小组按本章第2.2款规定的量化因素和分值进行打分，取所有评委打分分数的算术平均值作为该供应商的各项得分。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3.2.2评分分值计算保留小数点后两位，小数点后第三位“四舍五入”。</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3.2.3磋商小组汇总供应商的各项得分，相加后为供应商最终得分。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3.2.4若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文件处理。</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3.3响应文件的澄清</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3.3.1在评审过程中，磋商小组可以书面形式要求供应商对响应文件中含义不明确、对同类问题表述不一致或者有明显文字和计算错误的内容作必要的澄清、说明或补正。澄清、说明或补正应以书面方式进行。磋商小组不接受供应商主动提出的澄清、说明或补正。</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3.3.2澄清、说明或补正不得超出响应文件的范围且不得改变响应文件的实质性内容，并构成响应文件的组成部分。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3.3.3磋商小组对供应商提交的澄清、说明或补正有疑问的，可以要求供应商进一步澄清、说明或补正，直至满足磋商小组的要求。</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3.4评审结果</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3.4.1磋商小组严格按照磋商文件的要求和条件进行评审和打分，评审结果按评审后得分由高到低的顺序排列。得分相同的，按最后报价由低到高顺序排列。得分且最后报价相同的并列。</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3.4.2磋商小组完成评审后，应当向采购人提交书面评审报告和成交候选人名单。</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4、评分标准说明</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4.1关于价格扣除和评审报价的说明</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4.1.1价格扣除</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供应商为小微企业的，对所承担的工程的价格给予</w:t>
      </w:r>
      <w:r>
        <w:rPr>
          <w:rFonts w:hint="eastAsia" w:ascii="宋体" w:hAnsi="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val="en-US" w:eastAsia="zh-CN" w:bidi="ar"/>
        </w:rPr>
        <w:t>的扣除，用扣除后的价格参与评审。参加采购活动的中小企业，应当按照《政府采购促进中小企业发展管理办法》（财库〔2020〕46号）的规定提供《中小企业声明函》供应商为联合体的，联合体各方均应为中小企业，否则不适用本款规定。</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财政部司法部《关于政府采购支持监狱企业发展有关问题的通知》（财库〔2014〕68号）规定，监狱企业视同小型、微型企业，享受评审中价格扣除等政府采购促进中小企业发展的政府采购政策。监狱企业参加政府采购活动时，应当提供由省级以上监狱管理局、戒毒管理局(含新疆生产建设兵团)出具的属于监狱企业的证明文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财政部民政部中国残疾人联合会《关于促进残疾人就业政府采购政策的通知》（财库〔2017〕141号）规定，残疾人福利性单位视同小型、微型企业，享受评审中价格扣除等政府采购促进中小企业发展的政府采购政策。残疾人福利性单位参加政府采购活动时，应当提供《残疾人福利性单位声明函》。</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同一供应商（包括联合体），中小微企业产品、监狱企业产品、残疾人福利性单位承担工程的价格扣除优惠只享受一次，不得重复享受。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auto"/>
          <w:sz w:val="24"/>
          <w:szCs w:val="24"/>
          <w:highlight w:val="none"/>
        </w:rPr>
      </w:pPr>
      <w:r>
        <w:rPr>
          <w:rFonts w:hint="eastAsia"/>
          <w:b/>
          <w:bCs/>
          <w:color w:val="auto"/>
          <w:sz w:val="24"/>
          <w:szCs w:val="24"/>
          <w:highlight w:val="none"/>
        </w:rPr>
        <w:t>本项目专门面向中小微（监狱、残疾人福利性单位）企业采购（监狱、残疾人福利性单位视同小型、微型企业），评审中价格将均不予扣除。</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4.1.2评审报价=最后报价</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4.2计分规则：</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（1）所有项内容（包括子项），每缺一项（子项）或不符合实际，该项（子项）的分值全部扣完；</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（2）施工组织设计评分，所有磋商小组成员根据本办法独立打分，算术平均后为供应商最终施工组织设计得分。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4.3业绩</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kern w:val="0"/>
          <w:sz w:val="24"/>
          <w:szCs w:val="24"/>
          <w:highlight w:val="none"/>
          <w:lang w:val="en-US" w:eastAsia="zh-CN" w:bidi="ar"/>
        </w:rPr>
        <w:t>业绩必须是类似工程的，且必须在响应文件中附扫描件，否则无效。中标公示截图发布媒介以中国招标投标公共服务平台，项目所在地省、市级电子招标投标公共服务平台，中国采购与招标网，县级或区级及以上政府采购网，县级及以上公共资源交易中心网中标公示（或公告）信息为准，否则不予加分</w:t>
      </w:r>
      <w:r>
        <w:rPr>
          <w:rFonts w:hint="eastAsia" w:asciiTheme="minorEastAsia" w:hAnsiTheme="minorEastAsia" w:eastAsiaTheme="minorEastAsia" w:cstheme="minorEastAsia"/>
          <w:color w:val="auto"/>
          <w:kern w:val="0"/>
          <w:sz w:val="24"/>
          <w:szCs w:val="24"/>
          <w:highlight w:val="none"/>
          <w:lang w:val="en-US" w:eastAsia="zh-CN" w:bidi="ar"/>
        </w:rPr>
        <w:t>。</w:t>
      </w:r>
    </w:p>
    <w:p>
      <w:pPr>
        <w:rPr>
          <w:rFonts w:hint="eastAsia"/>
          <w:color w:val="auto"/>
          <w:highlight w:val="none"/>
          <w:lang w:val="en-US" w:eastAsia="zh-CN"/>
        </w:rPr>
      </w:pPr>
    </w:p>
    <w:p>
      <w:pPr>
        <w:rPr>
          <w:rFonts w:hint="eastAsia"/>
          <w:color w:val="auto"/>
          <w:highlight w:val="none"/>
        </w:rPr>
      </w:pPr>
      <w:r>
        <w:rPr>
          <w:rFonts w:hint="eastAsia"/>
          <w:color w:val="auto"/>
          <w:highlight w:val="none"/>
        </w:rPr>
        <w:br w:type="page"/>
      </w:r>
    </w:p>
    <w:p>
      <w:pPr>
        <w:pStyle w:val="3"/>
        <w:bidi w:val="0"/>
        <w:rPr>
          <w:color w:val="auto"/>
          <w:highlight w:val="none"/>
        </w:rPr>
      </w:pPr>
      <w:r>
        <w:rPr>
          <w:color w:val="auto"/>
          <w:highlight w:val="none"/>
          <w:lang w:val="en-US" w:eastAsia="zh-CN"/>
        </w:rPr>
        <w:t>第六章</w:t>
      </w:r>
      <w:r>
        <w:rPr>
          <w:rFonts w:hint="eastAsia"/>
          <w:color w:val="auto"/>
          <w:highlight w:val="none"/>
          <w:lang w:val="en-US" w:eastAsia="zh-CN"/>
        </w:rPr>
        <w:t>、</w:t>
      </w:r>
      <w:r>
        <w:rPr>
          <w:color w:val="auto"/>
          <w:highlight w:val="none"/>
          <w:lang w:val="en-US" w:eastAsia="zh-CN"/>
        </w:rPr>
        <w:t>资格审查与评审标准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242"/>
        <w:gridCol w:w="1242"/>
        <w:gridCol w:w="1600"/>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Align w:val="center"/>
          </w:tcPr>
          <w:p>
            <w:pPr>
              <w:keepNext w:val="0"/>
              <w:keepLines w:val="0"/>
              <w:widowControl/>
              <w:suppressLineNumbers w:val="0"/>
              <w:jc w:val="center"/>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kern w:val="0"/>
                <w:sz w:val="24"/>
                <w:szCs w:val="24"/>
                <w:highlight w:val="none"/>
                <w:lang w:val="en-US" w:eastAsia="zh-CN" w:bidi="ar"/>
              </w:rPr>
              <w:t>初步条款</w:t>
            </w:r>
          </w:p>
        </w:tc>
        <w:tc>
          <w:tcPr>
            <w:tcW w:w="2484" w:type="dxa"/>
            <w:gridSpan w:val="2"/>
            <w:vAlign w:val="center"/>
          </w:tcPr>
          <w:p>
            <w:pPr>
              <w:keepNext w:val="0"/>
              <w:keepLines w:val="0"/>
              <w:widowControl/>
              <w:suppressLineNumbers w:val="0"/>
              <w:jc w:val="center"/>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kern w:val="0"/>
                <w:sz w:val="24"/>
                <w:szCs w:val="24"/>
                <w:highlight w:val="none"/>
                <w:lang w:val="en-US" w:eastAsia="zh-CN" w:bidi="ar"/>
              </w:rPr>
              <w:t>评分点名称</w:t>
            </w:r>
          </w:p>
        </w:tc>
        <w:tc>
          <w:tcPr>
            <w:tcW w:w="5785" w:type="dxa"/>
            <w:gridSpan w:val="2"/>
            <w:vAlign w:val="center"/>
          </w:tcPr>
          <w:p>
            <w:pPr>
              <w:keepNext w:val="0"/>
              <w:keepLines w:val="0"/>
              <w:widowControl/>
              <w:suppressLineNumbers w:val="0"/>
              <w:jc w:val="center"/>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kern w:val="0"/>
                <w:sz w:val="24"/>
                <w:szCs w:val="24"/>
                <w:highlight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Merge w:val="restart"/>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符合性评审</w:t>
            </w:r>
          </w:p>
        </w:tc>
        <w:tc>
          <w:tcPr>
            <w:tcW w:w="2484" w:type="dxa"/>
            <w:gridSpan w:val="2"/>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供应商名称</w:t>
            </w:r>
          </w:p>
        </w:tc>
        <w:tc>
          <w:tcPr>
            <w:tcW w:w="5785" w:type="dxa"/>
            <w:gridSpan w:val="2"/>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Merge w:val="continue"/>
            <w:vAlign w:val="center"/>
          </w:tcPr>
          <w:p>
            <w:pPr>
              <w:jc w:val="center"/>
              <w:rPr>
                <w:rFonts w:hint="eastAsia" w:ascii="宋体" w:hAnsi="宋体" w:eastAsia="宋体" w:cs="宋体"/>
                <w:color w:val="auto"/>
                <w:sz w:val="24"/>
                <w:szCs w:val="24"/>
                <w:highlight w:val="none"/>
                <w:vertAlign w:val="baseline"/>
              </w:rPr>
            </w:pPr>
          </w:p>
        </w:tc>
        <w:tc>
          <w:tcPr>
            <w:tcW w:w="2484" w:type="dxa"/>
            <w:gridSpan w:val="2"/>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响应文件签字盖章</w:t>
            </w:r>
          </w:p>
        </w:tc>
        <w:tc>
          <w:tcPr>
            <w:tcW w:w="5785" w:type="dxa"/>
            <w:gridSpan w:val="2"/>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符合本文件要求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Merge w:val="continue"/>
            <w:vAlign w:val="center"/>
          </w:tcPr>
          <w:p>
            <w:pPr>
              <w:jc w:val="center"/>
              <w:rPr>
                <w:rFonts w:hint="eastAsia" w:ascii="宋体" w:hAnsi="宋体" w:eastAsia="宋体" w:cs="宋体"/>
                <w:color w:val="auto"/>
                <w:sz w:val="24"/>
                <w:szCs w:val="24"/>
                <w:highlight w:val="none"/>
                <w:vertAlign w:val="baseline"/>
              </w:rPr>
            </w:pPr>
          </w:p>
        </w:tc>
        <w:tc>
          <w:tcPr>
            <w:tcW w:w="2484" w:type="dxa"/>
            <w:gridSpan w:val="2"/>
          </w:tcPr>
          <w:p>
            <w:p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报价</w:t>
            </w:r>
          </w:p>
        </w:tc>
        <w:tc>
          <w:tcPr>
            <w:tcW w:w="5785" w:type="dxa"/>
            <w:gridSpan w:val="2"/>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只能有一个有效报价，且未超过招标预算控制价，并按规定填报开标一览表、报价明细表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Merge w:val="continue"/>
            <w:vAlign w:val="center"/>
          </w:tcPr>
          <w:p>
            <w:pPr>
              <w:jc w:val="center"/>
              <w:rPr>
                <w:rFonts w:hint="eastAsia" w:ascii="宋体" w:hAnsi="宋体" w:eastAsia="宋体" w:cs="宋体"/>
                <w:color w:val="auto"/>
                <w:sz w:val="24"/>
                <w:szCs w:val="24"/>
                <w:highlight w:val="none"/>
                <w:vertAlign w:val="baseline"/>
              </w:rPr>
            </w:pPr>
          </w:p>
        </w:tc>
        <w:tc>
          <w:tcPr>
            <w:tcW w:w="2484" w:type="dxa"/>
            <w:gridSpan w:val="2"/>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响应文件有效期</w:t>
            </w:r>
          </w:p>
        </w:tc>
        <w:tc>
          <w:tcPr>
            <w:tcW w:w="5785" w:type="dxa"/>
            <w:gridSpan w:val="2"/>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Merge w:val="continue"/>
            <w:vAlign w:val="center"/>
          </w:tcPr>
          <w:p>
            <w:pPr>
              <w:jc w:val="center"/>
              <w:rPr>
                <w:rFonts w:hint="eastAsia" w:ascii="宋体" w:hAnsi="宋体" w:eastAsia="宋体" w:cs="宋体"/>
                <w:color w:val="auto"/>
                <w:sz w:val="24"/>
                <w:szCs w:val="24"/>
                <w:highlight w:val="none"/>
                <w:vertAlign w:val="baseline"/>
              </w:rPr>
            </w:pPr>
          </w:p>
        </w:tc>
        <w:tc>
          <w:tcPr>
            <w:tcW w:w="2484" w:type="dxa"/>
            <w:gridSpan w:val="2"/>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实质性要求和条件</w:t>
            </w:r>
          </w:p>
        </w:tc>
        <w:tc>
          <w:tcPr>
            <w:tcW w:w="5785" w:type="dxa"/>
            <w:gridSpan w:val="2"/>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Merge w:val="restart"/>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资格评审</w:t>
            </w:r>
          </w:p>
        </w:tc>
        <w:tc>
          <w:tcPr>
            <w:tcW w:w="2484" w:type="dxa"/>
            <w:gridSpan w:val="2"/>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营业执照</w:t>
            </w:r>
          </w:p>
        </w:tc>
        <w:tc>
          <w:tcPr>
            <w:tcW w:w="5785" w:type="dxa"/>
            <w:gridSpan w:val="2"/>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具有有效的营业执照或事业单位登记证书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Merge w:val="continue"/>
          </w:tcPr>
          <w:p>
            <w:pPr>
              <w:rPr>
                <w:rFonts w:hint="eastAsia" w:ascii="宋体" w:hAnsi="宋体" w:eastAsia="宋体" w:cs="宋体"/>
                <w:color w:val="auto"/>
                <w:sz w:val="24"/>
                <w:szCs w:val="24"/>
                <w:highlight w:val="none"/>
                <w:vertAlign w:val="baseline"/>
              </w:rPr>
            </w:pPr>
          </w:p>
        </w:tc>
        <w:tc>
          <w:tcPr>
            <w:tcW w:w="2484" w:type="dxa"/>
            <w:gridSpan w:val="2"/>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资质证书</w:t>
            </w:r>
          </w:p>
        </w:tc>
        <w:tc>
          <w:tcPr>
            <w:tcW w:w="5785" w:type="dxa"/>
            <w:gridSpan w:val="2"/>
            <w:vAlign w:val="top"/>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Merge w:val="continue"/>
          </w:tcPr>
          <w:p>
            <w:pPr>
              <w:rPr>
                <w:rFonts w:hint="eastAsia" w:ascii="宋体" w:hAnsi="宋体" w:eastAsia="宋体" w:cs="宋体"/>
                <w:color w:val="auto"/>
                <w:sz w:val="24"/>
                <w:szCs w:val="24"/>
                <w:highlight w:val="none"/>
                <w:vertAlign w:val="baseline"/>
              </w:rPr>
            </w:pPr>
          </w:p>
        </w:tc>
        <w:tc>
          <w:tcPr>
            <w:tcW w:w="2484" w:type="dxa"/>
            <w:gridSpan w:val="2"/>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安全生产许可证</w:t>
            </w:r>
          </w:p>
        </w:tc>
        <w:tc>
          <w:tcPr>
            <w:tcW w:w="5785" w:type="dxa"/>
            <w:gridSpan w:val="2"/>
          </w:tcPr>
          <w:p>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Merge w:val="continue"/>
          </w:tcPr>
          <w:p>
            <w:pPr>
              <w:rPr>
                <w:rFonts w:hint="eastAsia" w:ascii="宋体" w:hAnsi="宋体" w:eastAsia="宋体" w:cs="宋体"/>
                <w:color w:val="auto"/>
                <w:sz w:val="24"/>
                <w:szCs w:val="24"/>
                <w:highlight w:val="none"/>
                <w:vertAlign w:val="baseline"/>
              </w:rPr>
            </w:pPr>
          </w:p>
        </w:tc>
        <w:tc>
          <w:tcPr>
            <w:tcW w:w="2484" w:type="dxa"/>
            <w:gridSpan w:val="2"/>
            <w:vAlign w:val="top"/>
          </w:tcPr>
          <w:p>
            <w:pPr>
              <w:keepNext w:val="0"/>
              <w:keepLines w:val="0"/>
              <w:widowControl/>
              <w:suppressLineNumbers w:val="0"/>
              <w:ind w:firstLine="0" w:firstLineChars="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 xml:space="preserve">拟派项目经理 </w:t>
            </w:r>
          </w:p>
        </w:tc>
        <w:tc>
          <w:tcPr>
            <w:tcW w:w="5785" w:type="dxa"/>
            <w:gridSpan w:val="2"/>
            <w:vAlign w:val="top"/>
          </w:tcPr>
          <w:p>
            <w:pPr>
              <w:keepNext w:val="0"/>
              <w:keepLines w:val="0"/>
              <w:widowControl/>
              <w:suppressLineNumbers w:val="0"/>
              <w:ind w:firstLine="0" w:firstLineChars="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Merge w:val="continue"/>
          </w:tcPr>
          <w:p>
            <w:pPr>
              <w:rPr>
                <w:rFonts w:hint="eastAsia" w:ascii="宋体" w:hAnsi="宋体" w:eastAsia="宋体" w:cs="宋体"/>
                <w:color w:val="auto"/>
                <w:sz w:val="24"/>
                <w:szCs w:val="24"/>
                <w:highlight w:val="none"/>
                <w:vertAlign w:val="baseline"/>
              </w:rPr>
            </w:pPr>
          </w:p>
        </w:tc>
        <w:tc>
          <w:tcPr>
            <w:tcW w:w="2484" w:type="dxa"/>
            <w:gridSpan w:val="2"/>
            <w:vAlign w:val="top"/>
          </w:tcPr>
          <w:p>
            <w:pPr>
              <w:keepNext w:val="0"/>
              <w:keepLines w:val="0"/>
              <w:widowControl/>
              <w:suppressLineNumbers w:val="0"/>
              <w:ind w:firstLine="0" w:firstLineChars="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0"/>
                <w:sz w:val="24"/>
                <w:szCs w:val="24"/>
                <w:highlight w:val="none"/>
                <w:lang w:val="en-US" w:eastAsia="zh-CN" w:bidi="ar"/>
              </w:rPr>
              <w:t>洛阳市政府采购供应商信用承诺函</w:t>
            </w:r>
          </w:p>
        </w:tc>
        <w:tc>
          <w:tcPr>
            <w:tcW w:w="5785" w:type="dxa"/>
            <w:gridSpan w:val="2"/>
            <w:vAlign w:val="top"/>
          </w:tcPr>
          <w:p>
            <w:pPr>
              <w:keepNext w:val="0"/>
              <w:keepLines w:val="0"/>
              <w:widowControl/>
              <w:suppressLineNumbers w:val="0"/>
              <w:ind w:firstLine="0" w:firstLineChars="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0"/>
                <w:sz w:val="24"/>
                <w:szCs w:val="24"/>
                <w:highlight w:val="none"/>
                <w:lang w:val="en-US" w:eastAsia="zh-CN" w:bidi="ar"/>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Align w:val="center"/>
          </w:tcPr>
          <w:p>
            <w:pPr>
              <w:keepNext w:val="0"/>
              <w:keepLines w:val="0"/>
              <w:widowControl/>
              <w:suppressLineNumbers w:val="0"/>
              <w:jc w:val="center"/>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kern w:val="0"/>
                <w:sz w:val="24"/>
                <w:szCs w:val="24"/>
                <w:highlight w:val="none"/>
                <w:lang w:val="en-US" w:eastAsia="zh-CN" w:bidi="ar"/>
              </w:rPr>
              <w:t>详细条款</w:t>
            </w:r>
          </w:p>
        </w:tc>
        <w:tc>
          <w:tcPr>
            <w:tcW w:w="1242" w:type="dxa"/>
            <w:vAlign w:val="center"/>
          </w:tcPr>
          <w:p>
            <w:pPr>
              <w:keepNext w:val="0"/>
              <w:keepLines w:val="0"/>
              <w:widowControl/>
              <w:suppressLineNumbers w:val="0"/>
              <w:jc w:val="center"/>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kern w:val="0"/>
                <w:sz w:val="24"/>
                <w:szCs w:val="24"/>
                <w:highlight w:val="none"/>
                <w:lang w:val="en-US" w:eastAsia="zh-CN" w:bidi="ar"/>
              </w:rPr>
              <w:t>最低分</w:t>
            </w:r>
          </w:p>
        </w:tc>
        <w:tc>
          <w:tcPr>
            <w:tcW w:w="1242" w:type="dxa"/>
            <w:vAlign w:val="center"/>
          </w:tcPr>
          <w:p>
            <w:pPr>
              <w:keepNext w:val="0"/>
              <w:keepLines w:val="0"/>
              <w:widowControl/>
              <w:suppressLineNumbers w:val="0"/>
              <w:jc w:val="center"/>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kern w:val="0"/>
                <w:sz w:val="24"/>
                <w:szCs w:val="24"/>
                <w:highlight w:val="none"/>
                <w:lang w:val="en-US" w:eastAsia="zh-CN" w:bidi="ar"/>
              </w:rPr>
              <w:t>最高分</w:t>
            </w:r>
          </w:p>
        </w:tc>
        <w:tc>
          <w:tcPr>
            <w:tcW w:w="1600" w:type="dxa"/>
            <w:vAlign w:val="center"/>
          </w:tcPr>
          <w:p>
            <w:pPr>
              <w:keepNext w:val="0"/>
              <w:keepLines w:val="0"/>
              <w:widowControl/>
              <w:suppressLineNumbers w:val="0"/>
              <w:jc w:val="center"/>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kern w:val="0"/>
                <w:sz w:val="24"/>
                <w:szCs w:val="24"/>
                <w:highlight w:val="none"/>
                <w:lang w:val="en-US" w:eastAsia="zh-CN" w:bidi="ar"/>
              </w:rPr>
              <w:t>评分点名称</w:t>
            </w:r>
          </w:p>
        </w:tc>
        <w:tc>
          <w:tcPr>
            <w:tcW w:w="4185" w:type="dxa"/>
            <w:vAlign w:val="center"/>
          </w:tcPr>
          <w:p>
            <w:pPr>
              <w:keepNext w:val="0"/>
              <w:keepLines w:val="0"/>
              <w:widowControl/>
              <w:suppressLineNumbers w:val="0"/>
              <w:jc w:val="center"/>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kern w:val="0"/>
                <w:sz w:val="24"/>
                <w:szCs w:val="24"/>
                <w:highlight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经济标评分</w:t>
            </w:r>
            <w:r>
              <w:rPr>
                <w:rFonts w:hint="eastAsia" w:ascii="宋体" w:hAnsi="宋体" w:eastAsia="宋体" w:cs="宋体"/>
                <w:color w:val="auto"/>
                <w:sz w:val="24"/>
                <w:szCs w:val="24"/>
                <w:highlight w:val="none"/>
                <w:vertAlign w:val="baseline"/>
                <w:lang w:val="en-US" w:eastAsia="zh-CN"/>
              </w:rPr>
              <w:t>参数</w:t>
            </w:r>
          </w:p>
        </w:tc>
        <w:tc>
          <w:tcPr>
            <w:tcW w:w="1242" w:type="dxa"/>
            <w:vAlign w:val="center"/>
          </w:tcPr>
          <w:p>
            <w:pPr>
              <w:jc w:val="center"/>
              <w:rPr>
                <w:rFonts w:hint="eastAsia" w:ascii="宋体" w:hAnsi="宋体" w:eastAsia="宋体" w:cs="宋体"/>
                <w:color w:val="auto"/>
                <w:sz w:val="24"/>
                <w:szCs w:val="24"/>
                <w:highlight w:val="none"/>
                <w:vertAlign w:val="baseline"/>
              </w:rPr>
            </w:pPr>
          </w:p>
        </w:tc>
        <w:tc>
          <w:tcPr>
            <w:tcW w:w="1242" w:type="dxa"/>
            <w:vAlign w:val="center"/>
          </w:tcPr>
          <w:p>
            <w:pPr>
              <w:jc w:val="center"/>
              <w:rPr>
                <w:rFonts w:hint="default" w:ascii="宋体" w:hAnsi="宋体" w:eastAsia="宋体" w:cs="宋体"/>
                <w:color w:val="auto"/>
                <w:sz w:val="24"/>
                <w:szCs w:val="24"/>
                <w:highlight w:val="none"/>
                <w:vertAlign w:val="baseline"/>
                <w:lang w:val="en-US" w:eastAsia="zh-CN"/>
              </w:rPr>
            </w:pPr>
            <w:r>
              <w:rPr>
                <w:rFonts w:hint="eastAsia"/>
                <w:color w:val="auto"/>
                <w:highlight w:val="none"/>
                <w:vertAlign w:val="baseline"/>
                <w:lang w:val="en-US" w:eastAsia="zh-CN"/>
              </w:rPr>
              <w:t>30.00</w:t>
            </w:r>
          </w:p>
        </w:tc>
        <w:tc>
          <w:tcPr>
            <w:tcW w:w="1600" w:type="dxa"/>
            <w:vAlign w:val="center"/>
          </w:tcPr>
          <w:p>
            <w:pPr>
              <w:keepNext w:val="0"/>
              <w:keepLines w:val="0"/>
              <w:widowControl/>
              <w:suppressLineNumbers w:val="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投标报价</w:t>
            </w:r>
          </w:p>
        </w:tc>
        <w:tc>
          <w:tcPr>
            <w:tcW w:w="4185" w:type="dxa"/>
          </w:tcPr>
          <w:p>
            <w:pPr>
              <w:keepNext w:val="0"/>
              <w:keepLines w:val="0"/>
              <w:widowControl/>
              <w:suppressLineNumbers w:val="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价格分采用低价优先法计算，即满足磋商文件要求且磋商报价最低的报价为评审基准价，其价格分为满分。其他供应商的价格分统一按照下列公式计算：</w:t>
            </w:r>
          </w:p>
          <w:p>
            <w:pPr>
              <w:keepNext w:val="0"/>
              <w:keepLines w:val="0"/>
              <w:widowControl/>
              <w:suppressLineNumbers w:val="0"/>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磋商报价得分=(评审基准价／</w:t>
            </w:r>
            <w:r>
              <w:rPr>
                <w:rFonts w:hint="eastAsia" w:ascii="宋体" w:hAnsi="宋体" w:cs="宋体"/>
                <w:color w:val="auto"/>
                <w:kern w:val="0"/>
                <w:sz w:val="24"/>
                <w:szCs w:val="24"/>
                <w:highlight w:val="none"/>
                <w:lang w:val="en-US" w:eastAsia="zh-CN" w:bidi="ar"/>
              </w:rPr>
              <w:t>最后</w:t>
            </w:r>
            <w:r>
              <w:rPr>
                <w:rFonts w:hint="eastAsia" w:ascii="宋体" w:hAnsi="宋体" w:eastAsia="宋体" w:cs="宋体"/>
                <w:color w:val="auto"/>
                <w:kern w:val="0"/>
                <w:sz w:val="24"/>
                <w:szCs w:val="24"/>
                <w:highlight w:val="none"/>
                <w:lang w:val="en-US" w:eastAsia="zh-CN" w:bidi="ar"/>
              </w:rPr>
              <w:t>磋商报价)×</w:t>
            </w:r>
            <w:r>
              <w:rPr>
                <w:rFonts w:hint="eastAsia" w:ascii="宋体" w:hAnsi="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val="en-US" w:eastAsia="zh-CN" w:bidi="ar"/>
              </w:rPr>
              <w:t>，计算结果按四舍五入，保留两位小数。 在磋商过程中，磋商小组成员发现供应商的报价明显低于市场报价的，磋商小组成员应当对其质询。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Merge w:val="restart"/>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技术标评分</w:t>
            </w:r>
          </w:p>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参数</w:t>
            </w:r>
          </w:p>
          <w:p>
            <w:pPr>
              <w:jc w:val="center"/>
              <w:rPr>
                <w:rFonts w:hint="eastAsia" w:ascii="宋体" w:hAnsi="宋体" w:eastAsia="宋体" w:cs="宋体"/>
                <w:color w:val="auto"/>
                <w:sz w:val="24"/>
                <w:szCs w:val="24"/>
                <w:highlight w:val="none"/>
                <w:vertAlign w:val="baseline"/>
                <w:lang w:val="en-US" w:eastAsia="zh-CN"/>
              </w:rPr>
            </w:pPr>
          </w:p>
        </w:tc>
        <w:tc>
          <w:tcPr>
            <w:tcW w:w="1242"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0.00</w:t>
            </w:r>
          </w:p>
        </w:tc>
        <w:tc>
          <w:tcPr>
            <w:tcW w:w="1242"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50</w:t>
            </w:r>
            <w:r>
              <w:rPr>
                <w:rFonts w:hint="eastAsia" w:ascii="宋体" w:hAnsi="宋体" w:eastAsia="宋体" w:cs="宋体"/>
                <w:color w:val="auto"/>
                <w:sz w:val="24"/>
                <w:szCs w:val="24"/>
                <w:highlight w:val="none"/>
                <w:vertAlign w:val="baseline"/>
                <w:lang w:val="en-US" w:eastAsia="zh-CN"/>
              </w:rPr>
              <w:t>.00</w:t>
            </w:r>
          </w:p>
        </w:tc>
        <w:tc>
          <w:tcPr>
            <w:tcW w:w="1600"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施工组织设计</w:t>
            </w:r>
          </w:p>
        </w:tc>
        <w:tc>
          <w:tcPr>
            <w:tcW w:w="4185" w:type="dxa"/>
          </w:tcPr>
          <w:p>
            <w:pPr>
              <w:jc w:val="center"/>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Merge w:val="continue"/>
            <w:vAlign w:val="center"/>
          </w:tcPr>
          <w:p>
            <w:pPr>
              <w:jc w:val="center"/>
              <w:rPr>
                <w:rFonts w:hint="eastAsia" w:ascii="宋体" w:hAnsi="宋体" w:eastAsia="宋体" w:cs="宋体"/>
                <w:color w:val="auto"/>
                <w:sz w:val="24"/>
                <w:szCs w:val="24"/>
                <w:highlight w:val="none"/>
                <w:vertAlign w:val="baseline"/>
                <w:lang w:val="en-US" w:eastAsia="zh-CN"/>
              </w:rPr>
            </w:pPr>
          </w:p>
        </w:tc>
        <w:tc>
          <w:tcPr>
            <w:tcW w:w="1242"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0.00</w:t>
            </w:r>
          </w:p>
        </w:tc>
        <w:tc>
          <w:tcPr>
            <w:tcW w:w="1242"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3.00</w:t>
            </w:r>
          </w:p>
        </w:tc>
        <w:tc>
          <w:tcPr>
            <w:tcW w:w="1600"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内容完整性及编制水平</w:t>
            </w:r>
          </w:p>
        </w:tc>
        <w:tc>
          <w:tcPr>
            <w:tcW w:w="4185" w:type="dxa"/>
            <w:vAlign w:val="top"/>
          </w:tcPr>
          <w:p>
            <w:pPr>
              <w:jc w:val="both"/>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内容完整，</w:t>
            </w:r>
            <w:r>
              <w:rPr>
                <w:rFonts w:hint="eastAsia" w:ascii="宋体" w:hAnsi="宋体" w:cs="宋体"/>
                <w:color w:val="auto"/>
                <w:sz w:val="24"/>
                <w:szCs w:val="24"/>
                <w:highlight w:val="none"/>
                <w:vertAlign w:val="baseline"/>
                <w:lang w:val="en-US" w:eastAsia="zh-CN"/>
              </w:rPr>
              <w:t>描述准确且</w:t>
            </w:r>
            <w:r>
              <w:rPr>
                <w:rFonts w:hint="eastAsia" w:ascii="宋体" w:hAnsi="宋体" w:eastAsia="宋体" w:cs="宋体"/>
                <w:color w:val="auto"/>
                <w:sz w:val="24"/>
                <w:szCs w:val="24"/>
                <w:highlight w:val="none"/>
                <w:vertAlign w:val="baseline"/>
                <w:lang w:val="en-US" w:eastAsia="zh-CN"/>
              </w:rPr>
              <w:t>符合竞争性磋商文件要求</w:t>
            </w:r>
            <w:r>
              <w:rPr>
                <w:rFonts w:hint="eastAsia" w:ascii="宋体" w:hAnsi="宋体" w:cs="宋体"/>
                <w:color w:val="auto"/>
                <w:sz w:val="24"/>
                <w:szCs w:val="24"/>
                <w:highlight w:val="none"/>
                <w:vertAlign w:val="baseline"/>
                <w:lang w:val="en-US" w:eastAsia="zh-CN"/>
              </w:rPr>
              <w:t>的得3</w:t>
            </w:r>
            <w:r>
              <w:rPr>
                <w:rFonts w:hint="eastAsia" w:ascii="宋体" w:hAnsi="宋体" w:eastAsia="宋体" w:cs="宋体"/>
                <w:color w:val="auto"/>
                <w:sz w:val="24"/>
                <w:szCs w:val="24"/>
                <w:highlight w:val="none"/>
                <w:vertAlign w:val="baseline"/>
                <w:lang w:val="en-US" w:eastAsia="zh-CN"/>
              </w:rPr>
              <w:t>分</w:t>
            </w:r>
            <w:r>
              <w:rPr>
                <w:rFonts w:hint="eastAsia" w:ascii="宋体" w:hAnsi="宋体" w:cs="宋体"/>
                <w:color w:val="auto"/>
                <w:sz w:val="24"/>
                <w:szCs w:val="24"/>
                <w:highlight w:val="none"/>
                <w:vertAlign w:val="baseline"/>
                <w:lang w:val="en-US" w:eastAsia="zh-CN"/>
              </w:rPr>
              <w:t>，较好的得2分，一般的得1分，较差的得0分。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Merge w:val="continue"/>
            <w:vAlign w:val="center"/>
          </w:tcPr>
          <w:p>
            <w:pPr>
              <w:jc w:val="center"/>
              <w:rPr>
                <w:rFonts w:hint="eastAsia" w:ascii="宋体" w:hAnsi="宋体" w:eastAsia="宋体" w:cs="宋体"/>
                <w:color w:val="auto"/>
                <w:sz w:val="24"/>
                <w:szCs w:val="24"/>
                <w:highlight w:val="none"/>
                <w:vertAlign w:val="baseline"/>
                <w:lang w:val="en-US" w:eastAsia="zh-CN"/>
              </w:rPr>
            </w:pPr>
          </w:p>
        </w:tc>
        <w:tc>
          <w:tcPr>
            <w:tcW w:w="1242"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0.00</w:t>
            </w:r>
          </w:p>
        </w:tc>
        <w:tc>
          <w:tcPr>
            <w:tcW w:w="1242"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6.00</w:t>
            </w:r>
          </w:p>
        </w:tc>
        <w:tc>
          <w:tcPr>
            <w:tcW w:w="1600"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主要施工方案与技术措施</w:t>
            </w:r>
          </w:p>
        </w:tc>
        <w:tc>
          <w:tcPr>
            <w:tcW w:w="4185" w:type="dxa"/>
            <w:vAlign w:val="top"/>
          </w:tcPr>
          <w:p>
            <w:pPr>
              <w:jc w:val="both"/>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主要包含</w:t>
            </w:r>
            <w:r>
              <w:rPr>
                <w:rFonts w:hint="eastAsia" w:ascii="宋体" w:hAnsi="宋体" w:eastAsia="宋体" w:cs="宋体"/>
                <w:color w:val="auto"/>
                <w:sz w:val="24"/>
                <w:szCs w:val="24"/>
                <w:highlight w:val="none"/>
                <w:vertAlign w:val="baseline"/>
                <w:lang w:val="en-US" w:eastAsia="zh-CN"/>
              </w:rPr>
              <w:t>工程特点、施工重点与难点</w:t>
            </w:r>
            <w:r>
              <w:rPr>
                <w:rFonts w:hint="eastAsia" w:ascii="宋体" w:hAnsi="宋体" w:cs="宋体"/>
                <w:color w:val="auto"/>
                <w:sz w:val="24"/>
                <w:szCs w:val="24"/>
                <w:highlight w:val="none"/>
                <w:vertAlign w:val="baseline"/>
                <w:lang w:val="en-US" w:eastAsia="zh-CN"/>
              </w:rPr>
              <w:t>、施工条件</w:t>
            </w:r>
            <w:r>
              <w:rPr>
                <w:rFonts w:hint="eastAsia" w:ascii="宋体" w:hAnsi="宋体" w:eastAsia="宋体" w:cs="宋体"/>
                <w:color w:val="auto"/>
                <w:sz w:val="24"/>
                <w:szCs w:val="24"/>
                <w:highlight w:val="none"/>
                <w:vertAlign w:val="baseline"/>
                <w:lang w:val="en-US" w:eastAsia="zh-CN"/>
              </w:rPr>
              <w:t>及绿色施工总体安排合理，运用先进、合理的施工工艺、施工机械；对施工难点有先进和合理的建议。（内容详实、完整，针对性强得</w:t>
            </w:r>
            <w:r>
              <w:rPr>
                <w:rFonts w:hint="eastAsia" w:ascii="宋体" w:hAnsi="宋体" w:cs="宋体"/>
                <w:color w:val="auto"/>
                <w:sz w:val="24"/>
                <w:szCs w:val="24"/>
                <w:highlight w:val="none"/>
                <w:vertAlign w:val="baseline"/>
                <w:lang w:val="en-US" w:eastAsia="zh-CN"/>
              </w:rPr>
              <w:t>6</w:t>
            </w:r>
            <w:r>
              <w:rPr>
                <w:rFonts w:hint="eastAsia" w:ascii="宋体" w:hAnsi="宋体" w:eastAsia="宋体" w:cs="宋体"/>
                <w:color w:val="auto"/>
                <w:sz w:val="24"/>
                <w:szCs w:val="24"/>
                <w:highlight w:val="none"/>
                <w:vertAlign w:val="baseline"/>
                <w:lang w:val="en-US" w:eastAsia="zh-CN"/>
              </w:rPr>
              <w:t>分；内容较好的得</w:t>
            </w: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lang w:val="en-US" w:eastAsia="zh-CN"/>
              </w:rPr>
              <w:t>分；一般的得</w:t>
            </w:r>
            <w:r>
              <w:rPr>
                <w:rFonts w:hint="eastAsia" w:ascii="宋体" w:hAnsi="宋体" w:cs="宋体"/>
                <w:color w:val="auto"/>
                <w:sz w:val="24"/>
                <w:szCs w:val="24"/>
                <w:highlight w:val="none"/>
                <w:vertAlign w:val="baseline"/>
                <w:lang w:val="en-US" w:eastAsia="zh-CN"/>
              </w:rPr>
              <w:t>2分</w:t>
            </w:r>
            <w:r>
              <w:rPr>
                <w:rFonts w:hint="eastAsia" w:ascii="宋体" w:hAnsi="宋体" w:eastAsia="宋体" w:cs="宋体"/>
                <w:color w:val="auto"/>
                <w:sz w:val="24"/>
                <w:szCs w:val="24"/>
                <w:highlight w:val="none"/>
                <w:vertAlign w:val="baseline"/>
                <w:lang w:val="en-US" w:eastAsia="zh-CN"/>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Merge w:val="continue"/>
            <w:vAlign w:val="center"/>
          </w:tcPr>
          <w:p>
            <w:pPr>
              <w:jc w:val="center"/>
              <w:rPr>
                <w:rFonts w:hint="eastAsia" w:ascii="宋体" w:hAnsi="宋体" w:eastAsia="宋体" w:cs="宋体"/>
                <w:color w:val="auto"/>
                <w:sz w:val="24"/>
                <w:szCs w:val="24"/>
                <w:highlight w:val="none"/>
                <w:vertAlign w:val="baseline"/>
                <w:lang w:val="en-US" w:eastAsia="zh-CN"/>
              </w:rPr>
            </w:pPr>
          </w:p>
        </w:tc>
        <w:tc>
          <w:tcPr>
            <w:tcW w:w="1242"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0.00</w:t>
            </w:r>
          </w:p>
        </w:tc>
        <w:tc>
          <w:tcPr>
            <w:tcW w:w="1242"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6.00</w:t>
            </w:r>
          </w:p>
        </w:tc>
        <w:tc>
          <w:tcPr>
            <w:tcW w:w="1600"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质量管理体系与措施</w:t>
            </w:r>
          </w:p>
        </w:tc>
        <w:tc>
          <w:tcPr>
            <w:tcW w:w="4185" w:type="dxa"/>
            <w:vAlign w:val="top"/>
          </w:tcPr>
          <w:p>
            <w:pPr>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组织机构形式合理， 有完善的指挥系统、质量监控系统、联络协调系统，对项目提出先进、可行、具体的保证措施。主体结构质量保证措施完整得力、经 济、安全、切实可行。主体结构、装饰装修按照工程建设强制性标准和其他 技术标准施工，不得偷工减料</w:t>
            </w:r>
            <w:r>
              <w:rPr>
                <w:rFonts w:hint="eastAsia" w:ascii="宋体" w:hAnsi="宋体" w:cs="宋体"/>
                <w:color w:val="auto"/>
                <w:sz w:val="24"/>
                <w:szCs w:val="24"/>
                <w:highlight w:val="none"/>
                <w:vertAlign w:val="baseline"/>
                <w:lang w:val="en-US" w:eastAsia="zh-CN"/>
              </w:rPr>
              <w:t>（针对以上内容描述详实全面的</w:t>
            </w:r>
            <w:r>
              <w:rPr>
                <w:rFonts w:hint="eastAsia" w:ascii="宋体" w:hAnsi="宋体" w:eastAsia="宋体" w:cs="宋体"/>
                <w:color w:val="auto"/>
                <w:sz w:val="24"/>
                <w:szCs w:val="24"/>
                <w:highlight w:val="none"/>
                <w:vertAlign w:val="baseline"/>
                <w:lang w:val="en-US" w:eastAsia="zh-CN"/>
              </w:rPr>
              <w:t xml:space="preserve">得 6 分， </w:t>
            </w:r>
            <w:r>
              <w:rPr>
                <w:rFonts w:hint="eastAsia" w:ascii="宋体" w:hAnsi="宋体" w:cs="宋体"/>
                <w:color w:val="auto"/>
                <w:sz w:val="24"/>
                <w:szCs w:val="24"/>
                <w:highlight w:val="none"/>
                <w:vertAlign w:val="baseline"/>
                <w:lang w:val="en-US" w:eastAsia="zh-CN"/>
              </w:rPr>
              <w:t>较为完善的</w:t>
            </w:r>
            <w:r>
              <w:rPr>
                <w:rFonts w:hint="eastAsia" w:ascii="宋体" w:hAnsi="宋体" w:eastAsia="宋体" w:cs="宋体"/>
                <w:color w:val="auto"/>
                <w:sz w:val="24"/>
                <w:szCs w:val="24"/>
                <w:highlight w:val="none"/>
                <w:vertAlign w:val="baseline"/>
                <w:lang w:val="en-US" w:eastAsia="zh-CN"/>
              </w:rPr>
              <w:t>得</w:t>
            </w: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lang w:val="en-US" w:eastAsia="zh-CN"/>
              </w:rPr>
              <w:t xml:space="preserve"> 分， </w:t>
            </w:r>
            <w:r>
              <w:rPr>
                <w:rFonts w:hint="eastAsia" w:ascii="宋体" w:hAnsi="宋体" w:cs="宋体"/>
                <w:color w:val="auto"/>
                <w:sz w:val="24"/>
                <w:szCs w:val="24"/>
                <w:highlight w:val="none"/>
                <w:vertAlign w:val="baseline"/>
                <w:lang w:val="en-US" w:eastAsia="zh-CN"/>
              </w:rPr>
              <w:t>一般的得2分</w:t>
            </w:r>
            <w:r>
              <w:rPr>
                <w:rFonts w:hint="eastAsia" w:ascii="宋体" w:hAnsi="宋体" w:eastAsia="宋体" w:cs="宋体"/>
                <w:color w:val="auto"/>
                <w:sz w:val="24"/>
                <w:szCs w:val="24"/>
                <w:highlight w:val="none"/>
                <w:vertAlign w:val="baseline"/>
                <w:lang w:val="en-US" w:eastAsia="zh-CN"/>
              </w:rPr>
              <w:t>， 没有不得分。</w:t>
            </w:r>
            <w:r>
              <w:rPr>
                <w:rFonts w:hint="eastAsia" w:ascii="宋体" w:hAnsi="宋体" w:cs="宋体"/>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Merge w:val="continue"/>
            <w:vAlign w:val="center"/>
          </w:tcPr>
          <w:p>
            <w:pPr>
              <w:jc w:val="center"/>
              <w:rPr>
                <w:rFonts w:hint="eastAsia" w:ascii="宋体" w:hAnsi="宋体" w:eastAsia="宋体" w:cs="宋体"/>
                <w:color w:val="auto"/>
                <w:sz w:val="24"/>
                <w:szCs w:val="24"/>
                <w:highlight w:val="none"/>
                <w:vertAlign w:val="baseline"/>
                <w:lang w:val="en-US" w:eastAsia="zh-CN"/>
              </w:rPr>
            </w:pPr>
          </w:p>
        </w:tc>
        <w:tc>
          <w:tcPr>
            <w:tcW w:w="1242"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0.00</w:t>
            </w:r>
          </w:p>
        </w:tc>
        <w:tc>
          <w:tcPr>
            <w:tcW w:w="1242"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6.00</w:t>
            </w:r>
          </w:p>
        </w:tc>
        <w:tc>
          <w:tcPr>
            <w:tcW w:w="1600"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安全管理体系与措施</w:t>
            </w:r>
          </w:p>
        </w:tc>
        <w:tc>
          <w:tcPr>
            <w:tcW w:w="4185" w:type="dxa"/>
            <w:vAlign w:val="top"/>
          </w:tcPr>
          <w:p>
            <w:pPr>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施工安全生产保障体系健全，安全管理制度完善，安全管理目标具体，全员安全责任制明确，现场安全管理组织机 构、人员配备满足国家规定要求。根据 工程特点、周边环境和施工工艺，现场 重大危险源辨识全面，制定有项目危险 性较大的分部分项工程清单并明确有 相应的安全管理措施。安全技术方案措 施科学合理、先进可行</w:t>
            </w:r>
            <w:r>
              <w:rPr>
                <w:rFonts w:hint="eastAsia" w:ascii="宋体" w:hAnsi="宋体" w:cs="宋体"/>
                <w:color w:val="auto"/>
                <w:sz w:val="24"/>
                <w:szCs w:val="24"/>
                <w:highlight w:val="none"/>
                <w:vertAlign w:val="baseline"/>
                <w:lang w:val="en-US" w:eastAsia="zh-CN"/>
              </w:rPr>
              <w:t>（针对以上内容描述详实全面的</w:t>
            </w:r>
            <w:r>
              <w:rPr>
                <w:rFonts w:hint="eastAsia" w:ascii="宋体" w:hAnsi="宋体" w:eastAsia="宋体" w:cs="宋体"/>
                <w:color w:val="auto"/>
                <w:sz w:val="24"/>
                <w:szCs w:val="24"/>
                <w:highlight w:val="none"/>
                <w:vertAlign w:val="baseline"/>
                <w:lang w:val="en-US" w:eastAsia="zh-CN"/>
              </w:rPr>
              <w:t xml:space="preserve">得 6 分， </w:t>
            </w:r>
            <w:r>
              <w:rPr>
                <w:rFonts w:hint="eastAsia" w:ascii="宋体" w:hAnsi="宋体" w:cs="宋体"/>
                <w:color w:val="auto"/>
                <w:sz w:val="24"/>
                <w:szCs w:val="24"/>
                <w:highlight w:val="none"/>
                <w:vertAlign w:val="baseline"/>
                <w:lang w:val="en-US" w:eastAsia="zh-CN"/>
              </w:rPr>
              <w:t>较为完善的</w:t>
            </w:r>
            <w:r>
              <w:rPr>
                <w:rFonts w:hint="eastAsia" w:ascii="宋体" w:hAnsi="宋体" w:eastAsia="宋体" w:cs="宋体"/>
                <w:color w:val="auto"/>
                <w:sz w:val="24"/>
                <w:szCs w:val="24"/>
                <w:highlight w:val="none"/>
                <w:vertAlign w:val="baseline"/>
                <w:lang w:val="en-US" w:eastAsia="zh-CN"/>
              </w:rPr>
              <w:t>得</w:t>
            </w: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lang w:val="en-US" w:eastAsia="zh-CN"/>
              </w:rPr>
              <w:t xml:space="preserve"> 分，</w:t>
            </w:r>
            <w:r>
              <w:rPr>
                <w:rFonts w:hint="eastAsia" w:ascii="宋体" w:hAnsi="宋体" w:cs="宋体"/>
                <w:color w:val="auto"/>
                <w:sz w:val="24"/>
                <w:szCs w:val="24"/>
                <w:highlight w:val="none"/>
                <w:vertAlign w:val="baseline"/>
                <w:lang w:val="en-US" w:eastAsia="zh-CN"/>
              </w:rPr>
              <w:t>一般的得2分</w:t>
            </w:r>
            <w:r>
              <w:rPr>
                <w:rFonts w:hint="eastAsia" w:ascii="宋体" w:hAnsi="宋体" w:eastAsia="宋体" w:cs="宋体"/>
                <w:color w:val="auto"/>
                <w:sz w:val="24"/>
                <w:szCs w:val="24"/>
                <w:highlight w:val="none"/>
                <w:vertAlign w:val="baseline"/>
                <w:lang w:val="en-US" w:eastAsia="zh-CN"/>
              </w:rPr>
              <w:t>， 没有不得分。</w:t>
            </w:r>
            <w:r>
              <w:rPr>
                <w:rFonts w:hint="eastAsia" w:ascii="宋体" w:hAnsi="宋体" w:cs="宋体"/>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Merge w:val="continue"/>
            <w:vAlign w:val="center"/>
          </w:tcPr>
          <w:p>
            <w:pPr>
              <w:jc w:val="center"/>
              <w:rPr>
                <w:rFonts w:hint="eastAsia" w:ascii="宋体" w:hAnsi="宋体" w:eastAsia="宋体" w:cs="宋体"/>
                <w:color w:val="auto"/>
                <w:sz w:val="24"/>
                <w:szCs w:val="24"/>
                <w:highlight w:val="none"/>
                <w:vertAlign w:val="baseline"/>
                <w:lang w:val="en-US" w:eastAsia="zh-CN"/>
              </w:rPr>
            </w:pPr>
          </w:p>
        </w:tc>
        <w:tc>
          <w:tcPr>
            <w:tcW w:w="1242"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0.00</w:t>
            </w:r>
          </w:p>
        </w:tc>
        <w:tc>
          <w:tcPr>
            <w:tcW w:w="1242"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6.00</w:t>
            </w:r>
          </w:p>
        </w:tc>
        <w:tc>
          <w:tcPr>
            <w:tcW w:w="1600"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文明施工、环境 保护管理体系及 施工现场扬尘治 理措施</w:t>
            </w:r>
          </w:p>
        </w:tc>
        <w:tc>
          <w:tcPr>
            <w:tcW w:w="4185" w:type="dxa"/>
            <w:vAlign w:val="top"/>
          </w:tcPr>
          <w:p>
            <w:pPr>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创安全文明标准化工地目标明确，有针 对项目实际情况，科学可行的创建计划 和符合相关标准、规范、规程的创建保 证措施和安全文明措施费用投入使用 计划，现场施工区、生活区、办公区等 设置科学规范，符合有关文明施工、健 康卫生的规定。施工现场扬尘治理措施 符合相关的规定，防治方案科学、先进。 </w:t>
            </w:r>
            <w:r>
              <w:rPr>
                <w:rFonts w:hint="eastAsia" w:ascii="宋体" w:hAnsi="宋体" w:cs="宋体"/>
                <w:color w:val="auto"/>
                <w:sz w:val="24"/>
                <w:szCs w:val="24"/>
                <w:highlight w:val="none"/>
                <w:vertAlign w:val="baseline"/>
                <w:lang w:val="en-US" w:eastAsia="zh-CN"/>
              </w:rPr>
              <w:t>（针对以上内容描述详实全面的</w:t>
            </w:r>
            <w:r>
              <w:rPr>
                <w:rFonts w:hint="eastAsia" w:ascii="宋体" w:hAnsi="宋体" w:eastAsia="宋体" w:cs="宋体"/>
                <w:color w:val="auto"/>
                <w:sz w:val="24"/>
                <w:szCs w:val="24"/>
                <w:highlight w:val="none"/>
                <w:vertAlign w:val="baseline"/>
                <w:lang w:val="en-US" w:eastAsia="zh-CN"/>
              </w:rPr>
              <w:t xml:space="preserve">得 6 分， </w:t>
            </w:r>
            <w:r>
              <w:rPr>
                <w:rFonts w:hint="eastAsia" w:ascii="宋体" w:hAnsi="宋体" w:cs="宋体"/>
                <w:color w:val="auto"/>
                <w:sz w:val="24"/>
                <w:szCs w:val="24"/>
                <w:highlight w:val="none"/>
                <w:vertAlign w:val="baseline"/>
                <w:lang w:val="en-US" w:eastAsia="zh-CN"/>
              </w:rPr>
              <w:t>较为完善的</w:t>
            </w:r>
            <w:r>
              <w:rPr>
                <w:rFonts w:hint="eastAsia" w:ascii="宋体" w:hAnsi="宋体" w:eastAsia="宋体" w:cs="宋体"/>
                <w:color w:val="auto"/>
                <w:sz w:val="24"/>
                <w:szCs w:val="24"/>
                <w:highlight w:val="none"/>
                <w:vertAlign w:val="baseline"/>
                <w:lang w:val="en-US" w:eastAsia="zh-CN"/>
              </w:rPr>
              <w:t>得</w:t>
            </w: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lang w:val="en-US" w:eastAsia="zh-CN"/>
              </w:rPr>
              <w:t xml:space="preserve"> 分， </w:t>
            </w:r>
            <w:r>
              <w:rPr>
                <w:rFonts w:hint="eastAsia" w:ascii="宋体" w:hAnsi="宋体" w:cs="宋体"/>
                <w:color w:val="auto"/>
                <w:sz w:val="24"/>
                <w:szCs w:val="24"/>
                <w:highlight w:val="none"/>
                <w:vertAlign w:val="baseline"/>
                <w:lang w:val="en-US" w:eastAsia="zh-CN"/>
              </w:rPr>
              <w:t>一般的得2分</w:t>
            </w:r>
            <w:r>
              <w:rPr>
                <w:rFonts w:hint="eastAsia" w:ascii="宋体" w:hAnsi="宋体" w:eastAsia="宋体" w:cs="宋体"/>
                <w:color w:val="auto"/>
                <w:sz w:val="24"/>
                <w:szCs w:val="24"/>
                <w:highlight w:val="none"/>
                <w:vertAlign w:val="baseline"/>
                <w:lang w:val="en-US" w:eastAsia="zh-CN"/>
              </w:rPr>
              <w:t>， 没有不得分。</w:t>
            </w:r>
            <w:r>
              <w:rPr>
                <w:rFonts w:hint="eastAsia" w:ascii="宋体" w:hAnsi="宋体" w:cs="宋体"/>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Merge w:val="continue"/>
            <w:vAlign w:val="center"/>
          </w:tcPr>
          <w:p>
            <w:pPr>
              <w:jc w:val="center"/>
              <w:rPr>
                <w:rFonts w:hint="eastAsia" w:ascii="宋体" w:hAnsi="宋体" w:eastAsia="宋体" w:cs="宋体"/>
                <w:color w:val="auto"/>
                <w:sz w:val="24"/>
                <w:szCs w:val="24"/>
                <w:highlight w:val="none"/>
                <w:vertAlign w:val="baseline"/>
                <w:lang w:val="en-US" w:eastAsia="zh-CN"/>
              </w:rPr>
            </w:pPr>
          </w:p>
        </w:tc>
        <w:tc>
          <w:tcPr>
            <w:tcW w:w="1242"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0.00</w:t>
            </w:r>
          </w:p>
        </w:tc>
        <w:tc>
          <w:tcPr>
            <w:tcW w:w="1242"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6.00</w:t>
            </w:r>
          </w:p>
        </w:tc>
        <w:tc>
          <w:tcPr>
            <w:tcW w:w="1600"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工期保证措施</w:t>
            </w:r>
          </w:p>
        </w:tc>
        <w:tc>
          <w:tcPr>
            <w:tcW w:w="4185" w:type="dxa"/>
            <w:vAlign w:val="top"/>
          </w:tcPr>
          <w:p>
            <w:pPr>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定期落实计划实施、交叉、流水施工作 业方案；合理调配机械、材料、劳动力 方案；设计、建设、施工等紧密配合， 及时解决有关问题，有工期目标及奖惩 办法；有具体的违约责任承诺。</w:t>
            </w:r>
            <w:r>
              <w:rPr>
                <w:rFonts w:hint="eastAsia" w:ascii="宋体" w:hAnsi="宋体" w:cs="宋体"/>
                <w:color w:val="auto"/>
                <w:sz w:val="24"/>
                <w:szCs w:val="24"/>
                <w:highlight w:val="none"/>
                <w:vertAlign w:val="baseline"/>
                <w:lang w:val="en-US" w:eastAsia="zh-CN"/>
              </w:rPr>
              <w:t>（针对以上内容措施合理得当的</w:t>
            </w:r>
            <w:r>
              <w:rPr>
                <w:rFonts w:hint="eastAsia" w:ascii="宋体" w:hAnsi="宋体" w:eastAsia="宋体" w:cs="宋体"/>
                <w:color w:val="auto"/>
                <w:sz w:val="24"/>
                <w:szCs w:val="24"/>
                <w:highlight w:val="none"/>
                <w:vertAlign w:val="baseline"/>
                <w:lang w:val="en-US" w:eastAsia="zh-CN"/>
              </w:rPr>
              <w:t xml:space="preserve">得 6 分， </w:t>
            </w:r>
            <w:r>
              <w:rPr>
                <w:rFonts w:hint="eastAsia" w:ascii="宋体" w:hAnsi="宋体" w:cs="宋体"/>
                <w:color w:val="auto"/>
                <w:sz w:val="24"/>
                <w:szCs w:val="24"/>
                <w:highlight w:val="none"/>
                <w:vertAlign w:val="baseline"/>
                <w:lang w:val="en-US" w:eastAsia="zh-CN"/>
              </w:rPr>
              <w:t>较为完善的</w:t>
            </w:r>
            <w:r>
              <w:rPr>
                <w:rFonts w:hint="eastAsia" w:ascii="宋体" w:hAnsi="宋体" w:eastAsia="宋体" w:cs="宋体"/>
                <w:color w:val="auto"/>
                <w:sz w:val="24"/>
                <w:szCs w:val="24"/>
                <w:highlight w:val="none"/>
                <w:vertAlign w:val="baseline"/>
                <w:lang w:val="en-US" w:eastAsia="zh-CN"/>
              </w:rPr>
              <w:t>得</w:t>
            </w: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lang w:val="en-US" w:eastAsia="zh-CN"/>
              </w:rPr>
              <w:t xml:space="preserve"> 分， </w:t>
            </w:r>
            <w:r>
              <w:rPr>
                <w:rFonts w:hint="eastAsia" w:ascii="宋体" w:hAnsi="宋体" w:cs="宋体"/>
                <w:color w:val="auto"/>
                <w:sz w:val="24"/>
                <w:szCs w:val="24"/>
                <w:highlight w:val="none"/>
                <w:vertAlign w:val="baseline"/>
                <w:lang w:val="en-US" w:eastAsia="zh-CN"/>
              </w:rPr>
              <w:t>一般的得2分</w:t>
            </w:r>
            <w:r>
              <w:rPr>
                <w:rFonts w:hint="eastAsia" w:ascii="宋体" w:hAnsi="宋体" w:eastAsia="宋体" w:cs="宋体"/>
                <w:color w:val="auto"/>
                <w:sz w:val="24"/>
                <w:szCs w:val="24"/>
                <w:highlight w:val="none"/>
                <w:vertAlign w:val="baseline"/>
                <w:lang w:val="en-US" w:eastAsia="zh-CN"/>
              </w:rPr>
              <w:t>， 没有不得分。</w:t>
            </w:r>
            <w:r>
              <w:rPr>
                <w:rFonts w:hint="eastAsia" w:ascii="宋体" w:hAnsi="宋体" w:cs="宋体"/>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Merge w:val="continue"/>
            <w:vAlign w:val="center"/>
          </w:tcPr>
          <w:p>
            <w:pPr>
              <w:jc w:val="center"/>
              <w:rPr>
                <w:rFonts w:hint="eastAsia" w:ascii="宋体" w:hAnsi="宋体" w:eastAsia="宋体" w:cs="宋体"/>
                <w:color w:val="auto"/>
                <w:sz w:val="24"/>
                <w:szCs w:val="24"/>
                <w:highlight w:val="none"/>
                <w:vertAlign w:val="baseline"/>
                <w:lang w:val="en-US" w:eastAsia="zh-CN"/>
              </w:rPr>
            </w:pPr>
          </w:p>
        </w:tc>
        <w:tc>
          <w:tcPr>
            <w:tcW w:w="1242"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0.00</w:t>
            </w:r>
          </w:p>
        </w:tc>
        <w:tc>
          <w:tcPr>
            <w:tcW w:w="1242"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6.00</w:t>
            </w:r>
          </w:p>
        </w:tc>
        <w:tc>
          <w:tcPr>
            <w:tcW w:w="1600"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拟投入资源配备 计划</w:t>
            </w:r>
          </w:p>
        </w:tc>
        <w:tc>
          <w:tcPr>
            <w:tcW w:w="4185" w:type="dxa"/>
            <w:vAlign w:val="top"/>
          </w:tcPr>
          <w:p>
            <w:pPr>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1.机械：投入计划与进度计划呼应，采 用先进机械设备且配置合理、先进，满足安全技术规范和施工进度需要。</w:t>
            </w:r>
            <w:r>
              <w:rPr>
                <w:rFonts w:hint="eastAsia" w:ascii="宋体" w:hAnsi="宋体" w:cs="宋体"/>
                <w:color w:val="auto"/>
                <w:sz w:val="24"/>
                <w:szCs w:val="24"/>
                <w:highlight w:val="none"/>
                <w:vertAlign w:val="baseline"/>
                <w:lang w:val="en-US" w:eastAsia="zh-CN"/>
              </w:rPr>
              <w:t>合理得当</w:t>
            </w:r>
            <w:r>
              <w:rPr>
                <w:rFonts w:hint="eastAsia" w:ascii="宋体" w:hAnsi="宋体" w:eastAsia="宋体" w:cs="宋体"/>
                <w:color w:val="auto"/>
                <w:sz w:val="24"/>
                <w:szCs w:val="24"/>
                <w:highlight w:val="none"/>
                <w:vertAlign w:val="baseline"/>
                <w:lang w:val="en-US" w:eastAsia="zh-CN"/>
              </w:rPr>
              <w:t>的 得 2 分，</w:t>
            </w:r>
            <w:r>
              <w:rPr>
                <w:rFonts w:hint="eastAsia" w:ascii="宋体" w:hAnsi="宋体" w:cs="宋体"/>
                <w:color w:val="auto"/>
                <w:sz w:val="24"/>
                <w:szCs w:val="24"/>
                <w:highlight w:val="none"/>
                <w:vertAlign w:val="baseline"/>
                <w:lang w:val="en-US" w:eastAsia="zh-CN"/>
              </w:rPr>
              <w:t>较为合理</w:t>
            </w:r>
            <w:r>
              <w:rPr>
                <w:rFonts w:hint="eastAsia" w:ascii="宋体" w:hAnsi="宋体" w:eastAsia="宋体" w:cs="宋体"/>
                <w:color w:val="auto"/>
                <w:sz w:val="24"/>
                <w:szCs w:val="24"/>
                <w:highlight w:val="none"/>
                <w:vertAlign w:val="baseline"/>
                <w:lang w:val="en-US" w:eastAsia="zh-CN"/>
              </w:rPr>
              <w:t>的得 1 分，</w:t>
            </w:r>
            <w:r>
              <w:rPr>
                <w:rFonts w:hint="eastAsia" w:ascii="宋体" w:hAnsi="宋体" w:cs="宋体"/>
                <w:color w:val="auto"/>
                <w:sz w:val="24"/>
                <w:szCs w:val="24"/>
                <w:highlight w:val="none"/>
                <w:vertAlign w:val="baseline"/>
                <w:lang w:val="en-US" w:eastAsia="zh-CN"/>
              </w:rPr>
              <w:t>一般</w:t>
            </w:r>
            <w:r>
              <w:rPr>
                <w:rFonts w:hint="eastAsia" w:ascii="宋体" w:hAnsi="宋体" w:eastAsia="宋体" w:cs="宋体"/>
                <w:color w:val="auto"/>
                <w:sz w:val="24"/>
                <w:szCs w:val="24"/>
                <w:highlight w:val="none"/>
                <w:vertAlign w:val="baseline"/>
                <w:lang w:val="en-US" w:eastAsia="zh-CN"/>
              </w:rPr>
              <w:t>的得 0.5 分， 没有不得分。 2.劳动力：投入计划与 进度计划呼应，较好满足施工需要，调配投入计划合理、准确。</w:t>
            </w:r>
            <w:r>
              <w:rPr>
                <w:rFonts w:hint="eastAsia" w:ascii="宋体" w:hAnsi="宋体" w:cs="宋体"/>
                <w:color w:val="auto"/>
                <w:sz w:val="24"/>
                <w:szCs w:val="24"/>
                <w:highlight w:val="none"/>
                <w:vertAlign w:val="baseline"/>
                <w:lang w:val="en-US" w:eastAsia="zh-CN"/>
              </w:rPr>
              <w:t>合理得当</w:t>
            </w:r>
            <w:r>
              <w:rPr>
                <w:rFonts w:hint="eastAsia" w:ascii="宋体" w:hAnsi="宋体" w:eastAsia="宋体" w:cs="宋体"/>
                <w:color w:val="auto"/>
                <w:sz w:val="24"/>
                <w:szCs w:val="24"/>
                <w:highlight w:val="none"/>
                <w:vertAlign w:val="baseline"/>
                <w:lang w:val="en-US" w:eastAsia="zh-CN"/>
              </w:rPr>
              <w:t>的 得 2 分，</w:t>
            </w:r>
            <w:r>
              <w:rPr>
                <w:rFonts w:hint="eastAsia" w:ascii="宋体" w:hAnsi="宋体" w:cs="宋体"/>
                <w:color w:val="auto"/>
                <w:sz w:val="24"/>
                <w:szCs w:val="24"/>
                <w:highlight w:val="none"/>
                <w:vertAlign w:val="baseline"/>
                <w:lang w:val="en-US" w:eastAsia="zh-CN"/>
              </w:rPr>
              <w:t>较为合理</w:t>
            </w:r>
            <w:r>
              <w:rPr>
                <w:rFonts w:hint="eastAsia" w:ascii="宋体" w:hAnsi="宋体" w:eastAsia="宋体" w:cs="宋体"/>
                <w:color w:val="auto"/>
                <w:sz w:val="24"/>
                <w:szCs w:val="24"/>
                <w:highlight w:val="none"/>
                <w:vertAlign w:val="baseline"/>
                <w:lang w:val="en-US" w:eastAsia="zh-CN"/>
              </w:rPr>
              <w:t>的得 1 分，</w:t>
            </w:r>
            <w:r>
              <w:rPr>
                <w:rFonts w:hint="eastAsia" w:ascii="宋体" w:hAnsi="宋体" w:cs="宋体"/>
                <w:color w:val="auto"/>
                <w:sz w:val="24"/>
                <w:szCs w:val="24"/>
                <w:highlight w:val="none"/>
                <w:vertAlign w:val="baseline"/>
                <w:lang w:val="en-US" w:eastAsia="zh-CN"/>
              </w:rPr>
              <w:t>一般</w:t>
            </w:r>
            <w:r>
              <w:rPr>
                <w:rFonts w:hint="eastAsia" w:ascii="宋体" w:hAnsi="宋体" w:eastAsia="宋体" w:cs="宋体"/>
                <w:color w:val="auto"/>
                <w:sz w:val="24"/>
                <w:szCs w:val="24"/>
                <w:highlight w:val="none"/>
                <w:vertAlign w:val="baseline"/>
                <w:lang w:val="en-US" w:eastAsia="zh-CN"/>
              </w:rPr>
              <w:t>的得 0.5 分， 没有不得分。3.主要物资材料的组织和供应： 主要物资投入计划与进度计划呼应，较 好满足施工需要，调配投入计划合理、准确。</w:t>
            </w:r>
            <w:r>
              <w:rPr>
                <w:rFonts w:hint="eastAsia" w:ascii="宋体" w:hAnsi="宋体" w:cs="宋体"/>
                <w:color w:val="auto"/>
                <w:sz w:val="24"/>
                <w:szCs w:val="24"/>
                <w:highlight w:val="none"/>
                <w:vertAlign w:val="baseline"/>
                <w:lang w:val="en-US" w:eastAsia="zh-CN"/>
              </w:rPr>
              <w:t>合理得当</w:t>
            </w:r>
            <w:r>
              <w:rPr>
                <w:rFonts w:hint="eastAsia" w:ascii="宋体" w:hAnsi="宋体" w:eastAsia="宋体" w:cs="宋体"/>
                <w:color w:val="auto"/>
                <w:sz w:val="24"/>
                <w:szCs w:val="24"/>
                <w:highlight w:val="none"/>
                <w:vertAlign w:val="baseline"/>
                <w:lang w:val="en-US" w:eastAsia="zh-CN"/>
              </w:rPr>
              <w:t>的 得 2 分，</w:t>
            </w:r>
            <w:r>
              <w:rPr>
                <w:rFonts w:hint="eastAsia" w:ascii="宋体" w:hAnsi="宋体" w:cs="宋体"/>
                <w:color w:val="auto"/>
                <w:sz w:val="24"/>
                <w:szCs w:val="24"/>
                <w:highlight w:val="none"/>
                <w:vertAlign w:val="baseline"/>
                <w:lang w:val="en-US" w:eastAsia="zh-CN"/>
              </w:rPr>
              <w:t>较为合理</w:t>
            </w:r>
            <w:r>
              <w:rPr>
                <w:rFonts w:hint="eastAsia" w:ascii="宋体" w:hAnsi="宋体" w:eastAsia="宋体" w:cs="宋体"/>
                <w:color w:val="auto"/>
                <w:sz w:val="24"/>
                <w:szCs w:val="24"/>
                <w:highlight w:val="none"/>
                <w:vertAlign w:val="baseline"/>
                <w:lang w:val="en-US" w:eastAsia="zh-CN"/>
              </w:rPr>
              <w:t>的得1分，</w:t>
            </w:r>
            <w:r>
              <w:rPr>
                <w:rFonts w:hint="eastAsia" w:ascii="宋体" w:hAnsi="宋体" w:cs="宋体"/>
                <w:color w:val="auto"/>
                <w:sz w:val="24"/>
                <w:szCs w:val="24"/>
                <w:highlight w:val="none"/>
                <w:vertAlign w:val="baseline"/>
                <w:lang w:val="en-US" w:eastAsia="zh-CN"/>
              </w:rPr>
              <w:t>一般</w:t>
            </w:r>
            <w:r>
              <w:rPr>
                <w:rFonts w:hint="eastAsia" w:ascii="宋体" w:hAnsi="宋体" w:eastAsia="宋体" w:cs="宋体"/>
                <w:color w:val="auto"/>
                <w:sz w:val="24"/>
                <w:szCs w:val="24"/>
                <w:highlight w:val="none"/>
                <w:vertAlign w:val="baseline"/>
                <w:lang w:val="en-US" w:eastAsia="zh-CN"/>
              </w:rPr>
              <w:t>的得 0.5 分， 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Merge w:val="continue"/>
            <w:vAlign w:val="center"/>
          </w:tcPr>
          <w:p>
            <w:pPr>
              <w:jc w:val="center"/>
              <w:rPr>
                <w:rFonts w:hint="eastAsia" w:ascii="宋体" w:hAnsi="宋体" w:eastAsia="宋体" w:cs="宋体"/>
                <w:color w:val="auto"/>
                <w:sz w:val="24"/>
                <w:szCs w:val="24"/>
                <w:highlight w:val="none"/>
                <w:vertAlign w:val="baseline"/>
                <w:lang w:val="en-US" w:eastAsia="zh-CN"/>
              </w:rPr>
            </w:pPr>
          </w:p>
        </w:tc>
        <w:tc>
          <w:tcPr>
            <w:tcW w:w="1242"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0.00</w:t>
            </w:r>
          </w:p>
        </w:tc>
        <w:tc>
          <w:tcPr>
            <w:tcW w:w="1242"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lang w:val="en-US" w:eastAsia="zh-CN"/>
              </w:rPr>
              <w:t>.00</w:t>
            </w:r>
          </w:p>
        </w:tc>
        <w:tc>
          <w:tcPr>
            <w:tcW w:w="1600"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风险管理措施</w:t>
            </w:r>
          </w:p>
        </w:tc>
        <w:tc>
          <w:tcPr>
            <w:tcW w:w="4185" w:type="dxa"/>
            <w:vAlign w:val="top"/>
          </w:tcPr>
          <w:p>
            <w:pPr>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风险防控管理措施齐全，风险预控符合 规范要求，风险控制要点定位准确，各 阶段风险控制及应急措施得力</w:t>
            </w:r>
            <w:r>
              <w:rPr>
                <w:rFonts w:hint="eastAsia" w:ascii="宋体" w:hAnsi="宋体" w:cs="宋体"/>
                <w:color w:val="auto"/>
                <w:sz w:val="24"/>
                <w:szCs w:val="24"/>
                <w:highlight w:val="none"/>
                <w:vertAlign w:val="baseline"/>
                <w:lang w:val="en-US" w:eastAsia="zh-CN"/>
              </w:rPr>
              <w:t>且全面的</w:t>
            </w:r>
            <w:r>
              <w:rPr>
                <w:rFonts w:hint="eastAsia" w:ascii="宋体" w:hAnsi="宋体" w:eastAsia="宋体" w:cs="宋体"/>
                <w:color w:val="auto"/>
                <w:sz w:val="24"/>
                <w:szCs w:val="24"/>
                <w:highlight w:val="none"/>
                <w:vertAlign w:val="baseline"/>
                <w:lang w:val="en-US" w:eastAsia="zh-CN"/>
              </w:rPr>
              <w:t xml:space="preserve">得 </w:t>
            </w:r>
            <w:r>
              <w:rPr>
                <w:rFonts w:hint="eastAsia" w:ascii="宋体" w:hAnsi="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lang w:val="en-US" w:eastAsia="zh-CN"/>
              </w:rPr>
              <w:t>分，</w:t>
            </w:r>
            <w:r>
              <w:rPr>
                <w:rFonts w:hint="eastAsia" w:ascii="宋体" w:hAnsi="宋体" w:cs="宋体"/>
                <w:color w:val="auto"/>
                <w:sz w:val="24"/>
                <w:szCs w:val="24"/>
                <w:highlight w:val="none"/>
                <w:vertAlign w:val="baseline"/>
                <w:lang w:val="en-US" w:eastAsia="zh-CN"/>
              </w:rPr>
              <w:t>较好</w:t>
            </w:r>
            <w:r>
              <w:rPr>
                <w:rFonts w:hint="eastAsia" w:ascii="宋体" w:hAnsi="宋体" w:eastAsia="宋体" w:cs="宋体"/>
                <w:color w:val="auto"/>
                <w:sz w:val="24"/>
                <w:szCs w:val="24"/>
                <w:highlight w:val="none"/>
                <w:vertAlign w:val="baseline"/>
                <w:lang w:val="en-US" w:eastAsia="zh-CN"/>
              </w:rPr>
              <w:t xml:space="preserve">的得 </w:t>
            </w:r>
            <w:r>
              <w:rPr>
                <w:rFonts w:hint="eastAsia" w:ascii="宋体" w:hAnsi="宋体" w:cs="宋体"/>
                <w:color w:val="auto"/>
                <w:sz w:val="24"/>
                <w:szCs w:val="24"/>
                <w:highlight w:val="none"/>
                <w:vertAlign w:val="baseline"/>
                <w:lang w:val="en-US" w:eastAsia="zh-CN"/>
              </w:rPr>
              <w:t>3</w:t>
            </w:r>
            <w:r>
              <w:rPr>
                <w:rFonts w:hint="eastAsia" w:ascii="宋体" w:hAnsi="宋体" w:eastAsia="宋体" w:cs="宋体"/>
                <w:color w:val="auto"/>
                <w:sz w:val="24"/>
                <w:szCs w:val="24"/>
                <w:highlight w:val="none"/>
                <w:vertAlign w:val="baseline"/>
                <w:lang w:val="en-US" w:eastAsia="zh-CN"/>
              </w:rPr>
              <w:t xml:space="preserve"> 分，</w:t>
            </w:r>
            <w:r>
              <w:rPr>
                <w:rFonts w:hint="eastAsia" w:ascii="宋体" w:hAnsi="宋体" w:cs="宋体"/>
                <w:color w:val="auto"/>
                <w:sz w:val="24"/>
                <w:szCs w:val="24"/>
                <w:highlight w:val="none"/>
                <w:vertAlign w:val="baseline"/>
                <w:lang w:val="en-US" w:eastAsia="zh-CN"/>
              </w:rPr>
              <w:t>一般</w:t>
            </w:r>
            <w:r>
              <w:rPr>
                <w:rFonts w:hint="eastAsia" w:ascii="宋体" w:hAnsi="宋体" w:eastAsia="宋体" w:cs="宋体"/>
                <w:color w:val="auto"/>
                <w:sz w:val="24"/>
                <w:szCs w:val="24"/>
                <w:highlight w:val="none"/>
                <w:vertAlign w:val="baseline"/>
                <w:lang w:val="en-US" w:eastAsia="zh-CN"/>
              </w:rPr>
              <w:t>的得 1 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Merge w:val="continue"/>
            <w:vAlign w:val="center"/>
          </w:tcPr>
          <w:p>
            <w:pPr>
              <w:jc w:val="center"/>
              <w:rPr>
                <w:rFonts w:hint="eastAsia" w:ascii="宋体" w:hAnsi="宋体" w:eastAsia="宋体" w:cs="宋体"/>
                <w:color w:val="auto"/>
                <w:sz w:val="24"/>
                <w:szCs w:val="24"/>
                <w:highlight w:val="none"/>
                <w:vertAlign w:val="baseline"/>
                <w:lang w:val="en-US" w:eastAsia="zh-CN"/>
              </w:rPr>
            </w:pPr>
          </w:p>
        </w:tc>
        <w:tc>
          <w:tcPr>
            <w:tcW w:w="1242"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0.00</w:t>
            </w:r>
          </w:p>
        </w:tc>
        <w:tc>
          <w:tcPr>
            <w:tcW w:w="1242" w:type="dxa"/>
            <w:vAlign w:val="center"/>
          </w:tcPr>
          <w:p>
            <w:pPr>
              <w:ind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3</w:t>
            </w:r>
            <w:r>
              <w:rPr>
                <w:rFonts w:hint="eastAsia" w:ascii="宋体" w:hAnsi="宋体" w:eastAsia="宋体" w:cs="宋体"/>
                <w:color w:val="auto"/>
                <w:sz w:val="24"/>
                <w:szCs w:val="24"/>
                <w:highlight w:val="none"/>
                <w:vertAlign w:val="baseline"/>
                <w:lang w:val="en-US" w:eastAsia="zh-CN"/>
              </w:rPr>
              <w:t>.00</w:t>
            </w:r>
          </w:p>
        </w:tc>
        <w:tc>
          <w:tcPr>
            <w:tcW w:w="1600"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施工进度表或网络计划图</w:t>
            </w:r>
          </w:p>
        </w:tc>
        <w:tc>
          <w:tcPr>
            <w:tcW w:w="4185" w:type="dxa"/>
            <w:vAlign w:val="top"/>
          </w:tcPr>
          <w:p>
            <w:pPr>
              <w:jc w:val="both"/>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施工进度表，</w:t>
            </w:r>
            <w:r>
              <w:rPr>
                <w:rFonts w:hint="eastAsia" w:ascii="宋体" w:hAnsi="宋体" w:eastAsia="宋体" w:cs="宋体"/>
                <w:color w:val="auto"/>
                <w:sz w:val="24"/>
                <w:szCs w:val="24"/>
                <w:highlight w:val="none"/>
                <w:vertAlign w:val="baseline"/>
                <w:lang w:val="en-US" w:eastAsia="zh-CN"/>
              </w:rPr>
              <w:t>关键线路清晰、准确、完整、计划编制 合理、可行、满足竞争性磋商文件对工期的要求。</w:t>
            </w:r>
            <w:r>
              <w:rPr>
                <w:rFonts w:hint="eastAsia" w:ascii="宋体" w:hAnsi="宋体" w:cs="宋体"/>
                <w:color w:val="auto"/>
                <w:sz w:val="24"/>
                <w:szCs w:val="24"/>
                <w:highlight w:val="none"/>
                <w:vertAlign w:val="baseline"/>
                <w:lang w:val="en-US" w:eastAsia="zh-CN"/>
              </w:rPr>
              <w:t>合理得当</w:t>
            </w:r>
            <w:r>
              <w:rPr>
                <w:rFonts w:hint="eastAsia" w:ascii="宋体" w:hAnsi="宋体" w:eastAsia="宋体" w:cs="宋体"/>
                <w:color w:val="auto"/>
                <w:sz w:val="24"/>
                <w:szCs w:val="24"/>
                <w:highlight w:val="none"/>
                <w:vertAlign w:val="baseline"/>
                <w:lang w:val="en-US" w:eastAsia="zh-CN"/>
              </w:rPr>
              <w:t xml:space="preserve">的得 </w:t>
            </w:r>
            <w:r>
              <w:rPr>
                <w:rFonts w:hint="eastAsia" w:ascii="宋体" w:hAnsi="宋体" w:cs="宋体"/>
                <w:color w:val="auto"/>
                <w:sz w:val="24"/>
                <w:szCs w:val="24"/>
                <w:highlight w:val="none"/>
                <w:vertAlign w:val="baseline"/>
                <w:lang w:val="en-US" w:eastAsia="zh-CN"/>
              </w:rPr>
              <w:t>3</w:t>
            </w:r>
            <w:r>
              <w:rPr>
                <w:rFonts w:hint="eastAsia" w:ascii="宋体" w:hAnsi="宋体" w:eastAsia="宋体" w:cs="宋体"/>
                <w:color w:val="auto"/>
                <w:sz w:val="24"/>
                <w:szCs w:val="24"/>
                <w:highlight w:val="none"/>
                <w:vertAlign w:val="baseline"/>
                <w:lang w:val="en-US" w:eastAsia="zh-CN"/>
              </w:rPr>
              <w:t>分，</w:t>
            </w:r>
            <w:r>
              <w:rPr>
                <w:rFonts w:hint="eastAsia" w:ascii="宋体" w:hAnsi="宋体" w:cs="宋体"/>
                <w:color w:val="auto"/>
                <w:sz w:val="24"/>
                <w:szCs w:val="24"/>
                <w:highlight w:val="none"/>
                <w:vertAlign w:val="baseline"/>
                <w:lang w:val="en-US" w:eastAsia="zh-CN"/>
              </w:rPr>
              <w:t>较为周全的得2分，</w:t>
            </w:r>
            <w:r>
              <w:rPr>
                <w:rFonts w:hint="eastAsia" w:ascii="宋体" w:hAnsi="宋体" w:eastAsia="宋体" w:cs="宋体"/>
                <w:color w:val="auto"/>
                <w:sz w:val="24"/>
                <w:szCs w:val="24"/>
                <w:highlight w:val="none"/>
                <w:vertAlign w:val="baseline"/>
                <w:lang w:val="en-US" w:eastAsia="zh-CN"/>
              </w:rPr>
              <w:t>一般的得 1 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Merge w:val="continue"/>
            <w:vAlign w:val="center"/>
          </w:tcPr>
          <w:p>
            <w:pPr>
              <w:jc w:val="center"/>
              <w:rPr>
                <w:rFonts w:hint="eastAsia" w:ascii="宋体" w:hAnsi="宋体" w:eastAsia="宋体" w:cs="宋体"/>
                <w:color w:val="auto"/>
                <w:sz w:val="24"/>
                <w:szCs w:val="24"/>
                <w:highlight w:val="none"/>
                <w:vertAlign w:val="baseline"/>
                <w:lang w:val="en-US" w:eastAsia="zh-CN"/>
              </w:rPr>
            </w:pPr>
          </w:p>
        </w:tc>
        <w:tc>
          <w:tcPr>
            <w:tcW w:w="1242"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0.00</w:t>
            </w:r>
          </w:p>
        </w:tc>
        <w:tc>
          <w:tcPr>
            <w:tcW w:w="1242" w:type="dxa"/>
            <w:vAlign w:val="center"/>
          </w:tcPr>
          <w:p>
            <w:pPr>
              <w:ind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3.00</w:t>
            </w:r>
          </w:p>
        </w:tc>
        <w:tc>
          <w:tcPr>
            <w:tcW w:w="1600"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施工总平面图布置</w:t>
            </w:r>
          </w:p>
        </w:tc>
        <w:tc>
          <w:tcPr>
            <w:tcW w:w="4185" w:type="dxa"/>
            <w:vAlign w:val="top"/>
          </w:tcPr>
          <w:p>
            <w:pPr>
              <w:jc w:val="both"/>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总平面布置图</w:t>
            </w:r>
            <w:r>
              <w:rPr>
                <w:rFonts w:hint="eastAsia" w:ascii="宋体" w:hAnsi="宋体" w:eastAsia="宋体" w:cs="宋体"/>
                <w:color w:val="auto"/>
                <w:sz w:val="24"/>
                <w:szCs w:val="24"/>
                <w:highlight w:val="none"/>
                <w:vertAlign w:val="baseline"/>
                <w:lang w:val="en-US" w:eastAsia="zh-CN"/>
              </w:rPr>
              <w:t>总体布置有针对性、合理、能较好满足 施工需要，符合安全、文明施工要求； 材料堆放有序。</w:t>
            </w:r>
            <w:r>
              <w:rPr>
                <w:rFonts w:hint="eastAsia" w:ascii="宋体" w:hAnsi="宋体" w:cs="宋体"/>
                <w:color w:val="auto"/>
                <w:sz w:val="24"/>
                <w:szCs w:val="24"/>
                <w:highlight w:val="none"/>
                <w:vertAlign w:val="baseline"/>
                <w:lang w:val="en-US" w:eastAsia="zh-CN"/>
              </w:rPr>
              <w:t>合理得当</w:t>
            </w:r>
            <w:r>
              <w:rPr>
                <w:rFonts w:hint="eastAsia" w:ascii="宋体" w:hAnsi="宋体" w:eastAsia="宋体" w:cs="宋体"/>
                <w:color w:val="auto"/>
                <w:sz w:val="24"/>
                <w:szCs w:val="24"/>
                <w:highlight w:val="none"/>
                <w:vertAlign w:val="baseline"/>
                <w:lang w:val="en-US" w:eastAsia="zh-CN"/>
              </w:rPr>
              <w:t xml:space="preserve">的得 </w:t>
            </w:r>
            <w:r>
              <w:rPr>
                <w:rFonts w:hint="eastAsia" w:ascii="宋体" w:hAnsi="宋体" w:cs="宋体"/>
                <w:color w:val="auto"/>
                <w:sz w:val="24"/>
                <w:szCs w:val="24"/>
                <w:highlight w:val="none"/>
                <w:vertAlign w:val="baseline"/>
                <w:lang w:val="en-US" w:eastAsia="zh-CN"/>
              </w:rPr>
              <w:t>3</w:t>
            </w:r>
            <w:r>
              <w:rPr>
                <w:rFonts w:hint="eastAsia" w:ascii="宋体" w:hAnsi="宋体" w:eastAsia="宋体" w:cs="宋体"/>
                <w:color w:val="auto"/>
                <w:sz w:val="24"/>
                <w:szCs w:val="24"/>
                <w:highlight w:val="none"/>
                <w:vertAlign w:val="baseline"/>
                <w:lang w:val="en-US" w:eastAsia="zh-CN"/>
              </w:rPr>
              <w:t>分，</w:t>
            </w:r>
            <w:r>
              <w:rPr>
                <w:rFonts w:hint="eastAsia" w:ascii="宋体" w:hAnsi="宋体" w:cs="宋体"/>
                <w:color w:val="auto"/>
                <w:sz w:val="24"/>
                <w:szCs w:val="24"/>
                <w:highlight w:val="none"/>
                <w:vertAlign w:val="baseline"/>
                <w:lang w:val="en-US" w:eastAsia="zh-CN"/>
              </w:rPr>
              <w:t>较为周全的得2分，</w:t>
            </w:r>
            <w:r>
              <w:rPr>
                <w:rFonts w:hint="eastAsia" w:ascii="宋体" w:hAnsi="宋体" w:eastAsia="宋体" w:cs="宋体"/>
                <w:color w:val="auto"/>
                <w:sz w:val="24"/>
                <w:szCs w:val="24"/>
                <w:highlight w:val="none"/>
                <w:vertAlign w:val="baseline"/>
                <w:lang w:val="en-US" w:eastAsia="zh-CN"/>
              </w:rPr>
              <w:t>一般的得 1 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Merge w:val="restart"/>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综合标评分</w:t>
            </w:r>
          </w:p>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参数</w:t>
            </w:r>
          </w:p>
        </w:tc>
        <w:tc>
          <w:tcPr>
            <w:tcW w:w="1242"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0.00</w:t>
            </w:r>
          </w:p>
        </w:tc>
        <w:tc>
          <w:tcPr>
            <w:tcW w:w="1242" w:type="dxa"/>
            <w:vAlign w:val="center"/>
          </w:tcPr>
          <w:p>
            <w:pPr>
              <w:ind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lang w:val="en-US" w:eastAsia="zh-CN"/>
              </w:rPr>
              <w:t>.00</w:t>
            </w:r>
          </w:p>
        </w:tc>
        <w:tc>
          <w:tcPr>
            <w:tcW w:w="1600" w:type="dxa"/>
            <w:vAlign w:val="center"/>
          </w:tcPr>
          <w:p>
            <w:pPr>
              <w:ind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服务承诺</w:t>
            </w:r>
          </w:p>
        </w:tc>
        <w:tc>
          <w:tcPr>
            <w:tcW w:w="4185" w:type="dxa"/>
            <w:vAlign w:val="top"/>
          </w:tcPr>
          <w:p>
            <w:pPr>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①投标人保证施工质量、工期、安全的措施及承诺</w:t>
            </w:r>
            <w:r>
              <w:rPr>
                <w:rFonts w:hint="eastAsia" w:ascii="宋体" w:hAnsi="宋体" w:cs="宋体"/>
                <w:color w:val="auto"/>
                <w:sz w:val="24"/>
                <w:szCs w:val="24"/>
                <w:highlight w:val="none"/>
                <w:vertAlign w:val="baseline"/>
                <w:lang w:val="en-US" w:eastAsia="zh-CN"/>
              </w:rPr>
              <w:t>（详细完整的得3</w:t>
            </w:r>
            <w:r>
              <w:rPr>
                <w:rFonts w:hint="eastAsia" w:ascii="宋体" w:hAnsi="宋体" w:eastAsia="宋体" w:cs="宋体"/>
                <w:color w:val="auto"/>
                <w:sz w:val="24"/>
                <w:szCs w:val="24"/>
                <w:highlight w:val="none"/>
                <w:vertAlign w:val="baseline"/>
                <w:lang w:val="en-US" w:eastAsia="zh-CN"/>
              </w:rPr>
              <w:t>分</w:t>
            </w:r>
            <w:r>
              <w:rPr>
                <w:rFonts w:hint="eastAsia" w:ascii="宋体" w:hAnsi="宋体" w:cs="宋体"/>
                <w:color w:val="auto"/>
                <w:sz w:val="24"/>
                <w:szCs w:val="24"/>
                <w:highlight w:val="none"/>
                <w:vertAlign w:val="baseline"/>
                <w:lang w:val="en-US" w:eastAsia="zh-CN"/>
              </w:rPr>
              <w:t>，较为详细的得2分，一般的得1分，没有不得分）；</w:t>
            </w:r>
          </w:p>
          <w:p>
            <w:pPr>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②对有关内容的承诺、投标人优势等承诺</w:t>
            </w:r>
            <w:r>
              <w:rPr>
                <w:rFonts w:hint="eastAsia" w:ascii="宋体" w:hAnsi="宋体" w:cs="宋体"/>
                <w:color w:val="auto"/>
                <w:sz w:val="24"/>
                <w:szCs w:val="24"/>
                <w:highlight w:val="none"/>
                <w:vertAlign w:val="baseline"/>
                <w:lang w:val="en-US" w:eastAsia="zh-CN"/>
              </w:rPr>
              <w:t>（详细完整的得3</w:t>
            </w:r>
            <w:r>
              <w:rPr>
                <w:rFonts w:hint="eastAsia" w:ascii="宋体" w:hAnsi="宋体" w:eastAsia="宋体" w:cs="宋体"/>
                <w:color w:val="auto"/>
                <w:sz w:val="24"/>
                <w:szCs w:val="24"/>
                <w:highlight w:val="none"/>
                <w:vertAlign w:val="baseline"/>
                <w:lang w:val="en-US" w:eastAsia="zh-CN"/>
              </w:rPr>
              <w:t>分</w:t>
            </w:r>
            <w:r>
              <w:rPr>
                <w:rFonts w:hint="eastAsia" w:ascii="宋体" w:hAnsi="宋体" w:cs="宋体"/>
                <w:color w:val="auto"/>
                <w:sz w:val="24"/>
                <w:szCs w:val="24"/>
                <w:highlight w:val="none"/>
                <w:vertAlign w:val="baseline"/>
                <w:lang w:val="en-US" w:eastAsia="zh-CN"/>
              </w:rPr>
              <w:t>，较为详细的得2分，一般的得1分，没有不得分；</w:t>
            </w:r>
            <w:r>
              <w:rPr>
                <w:rFonts w:hint="eastAsia" w:ascii="宋体" w:hAnsi="宋体" w:eastAsia="宋体" w:cs="宋体"/>
                <w:color w:val="auto"/>
                <w:sz w:val="24"/>
                <w:szCs w:val="24"/>
                <w:highlight w:val="none"/>
                <w:vertAlign w:val="baseline"/>
                <w:lang w:val="en-US" w:eastAsia="zh-CN"/>
              </w:rPr>
              <w:t>。</w:t>
            </w:r>
          </w:p>
          <w:p>
            <w:pPr>
              <w:ind w:firstLine="0" w:firstLineChars="0"/>
              <w:jc w:val="both"/>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③</w:t>
            </w:r>
            <w:r>
              <w:rPr>
                <w:rFonts w:hint="eastAsia" w:ascii="宋体" w:hAnsi="宋体" w:eastAsia="宋体" w:cs="宋体"/>
                <w:color w:val="auto"/>
                <w:sz w:val="24"/>
                <w:szCs w:val="24"/>
                <w:highlight w:val="none"/>
                <w:vertAlign w:val="baseline"/>
                <w:lang w:val="en-US" w:eastAsia="zh-CN"/>
              </w:rPr>
              <w:t>应急处理方案等进行综合判断，</w:t>
            </w:r>
            <w:r>
              <w:rPr>
                <w:rFonts w:hint="eastAsia" w:ascii="宋体" w:hAnsi="宋体" w:cs="宋体"/>
                <w:color w:val="auto"/>
                <w:sz w:val="24"/>
                <w:szCs w:val="24"/>
                <w:highlight w:val="none"/>
                <w:vertAlign w:val="baseline"/>
                <w:lang w:val="en-US" w:eastAsia="zh-CN"/>
              </w:rPr>
              <w:t>（详细完整的得2</w:t>
            </w:r>
            <w:r>
              <w:rPr>
                <w:rFonts w:hint="eastAsia" w:ascii="宋体" w:hAnsi="宋体" w:eastAsia="宋体" w:cs="宋体"/>
                <w:color w:val="auto"/>
                <w:sz w:val="24"/>
                <w:szCs w:val="24"/>
                <w:highlight w:val="none"/>
                <w:vertAlign w:val="baseline"/>
                <w:lang w:val="en-US" w:eastAsia="zh-CN"/>
              </w:rPr>
              <w:t>分</w:t>
            </w:r>
            <w:r>
              <w:rPr>
                <w:rFonts w:hint="eastAsia" w:ascii="宋体" w:hAnsi="宋体" w:cs="宋体"/>
                <w:color w:val="auto"/>
                <w:sz w:val="24"/>
                <w:szCs w:val="24"/>
                <w:highlight w:val="none"/>
                <w:vertAlign w:val="baseline"/>
                <w:lang w:val="en-US" w:eastAsia="zh-CN"/>
              </w:rPr>
              <w:t>，较为详细的得1分，没有不得分）</w:t>
            </w:r>
            <w:r>
              <w:rPr>
                <w:rFonts w:hint="eastAsia" w:ascii="宋体" w:hAnsi="宋体" w:eastAsia="宋体" w:cs="宋体"/>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Merge w:val="continue"/>
            <w:vAlign w:val="center"/>
          </w:tcPr>
          <w:p>
            <w:pPr>
              <w:jc w:val="center"/>
              <w:rPr>
                <w:rFonts w:hint="eastAsia" w:ascii="宋体" w:hAnsi="宋体" w:eastAsia="宋体" w:cs="宋体"/>
                <w:color w:val="auto"/>
                <w:sz w:val="24"/>
                <w:szCs w:val="24"/>
                <w:highlight w:val="none"/>
                <w:vertAlign w:val="baseline"/>
                <w:lang w:val="en-US" w:eastAsia="zh-CN"/>
              </w:rPr>
            </w:pPr>
          </w:p>
        </w:tc>
        <w:tc>
          <w:tcPr>
            <w:tcW w:w="1242"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0.00</w:t>
            </w:r>
          </w:p>
        </w:tc>
        <w:tc>
          <w:tcPr>
            <w:tcW w:w="1242" w:type="dxa"/>
            <w:vAlign w:val="center"/>
          </w:tcPr>
          <w:p>
            <w:pPr>
              <w:ind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6</w:t>
            </w:r>
            <w:r>
              <w:rPr>
                <w:rFonts w:hint="eastAsia" w:ascii="宋体" w:hAnsi="宋体" w:eastAsia="宋体" w:cs="宋体"/>
                <w:color w:val="auto"/>
                <w:sz w:val="24"/>
                <w:szCs w:val="24"/>
                <w:highlight w:val="none"/>
                <w:vertAlign w:val="baseline"/>
                <w:lang w:val="en-US" w:eastAsia="zh-CN"/>
              </w:rPr>
              <w:t>.00</w:t>
            </w:r>
          </w:p>
        </w:tc>
        <w:tc>
          <w:tcPr>
            <w:tcW w:w="1600" w:type="dxa"/>
            <w:vAlign w:val="center"/>
          </w:tcPr>
          <w:p>
            <w:pPr>
              <w:ind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综合评价</w:t>
            </w:r>
          </w:p>
        </w:tc>
        <w:tc>
          <w:tcPr>
            <w:tcW w:w="4185" w:type="dxa"/>
            <w:vAlign w:val="top"/>
          </w:tcPr>
          <w:p>
            <w:pPr>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①根据投标文件编制情况及投标人企业综合实力等情况进行综合评价；</w:t>
            </w:r>
            <w:r>
              <w:rPr>
                <w:rFonts w:hint="eastAsia" w:ascii="宋体" w:hAnsi="宋体" w:cs="宋体"/>
                <w:color w:val="auto"/>
                <w:sz w:val="24"/>
                <w:szCs w:val="24"/>
                <w:highlight w:val="none"/>
                <w:vertAlign w:val="baseline"/>
                <w:lang w:val="en-US" w:eastAsia="zh-CN"/>
              </w:rPr>
              <w:t>（详细完整的得3</w:t>
            </w:r>
            <w:r>
              <w:rPr>
                <w:rFonts w:hint="eastAsia" w:ascii="宋体" w:hAnsi="宋体" w:eastAsia="宋体" w:cs="宋体"/>
                <w:color w:val="auto"/>
                <w:sz w:val="24"/>
                <w:szCs w:val="24"/>
                <w:highlight w:val="none"/>
                <w:vertAlign w:val="baseline"/>
                <w:lang w:val="en-US" w:eastAsia="zh-CN"/>
              </w:rPr>
              <w:t>分</w:t>
            </w:r>
            <w:r>
              <w:rPr>
                <w:rFonts w:hint="eastAsia" w:ascii="宋体" w:hAnsi="宋体" w:cs="宋体"/>
                <w:color w:val="auto"/>
                <w:sz w:val="24"/>
                <w:szCs w:val="24"/>
                <w:highlight w:val="none"/>
                <w:vertAlign w:val="baseline"/>
                <w:lang w:val="en-US" w:eastAsia="zh-CN"/>
              </w:rPr>
              <w:t>，较为详细的得2分，一般的得1分，没有不得分</w:t>
            </w:r>
            <w:r>
              <w:rPr>
                <w:rFonts w:hint="eastAsia" w:ascii="宋体" w:hAnsi="宋体" w:eastAsia="宋体" w:cs="宋体"/>
                <w:color w:val="auto"/>
                <w:sz w:val="24"/>
                <w:szCs w:val="24"/>
                <w:highlight w:val="none"/>
                <w:vertAlign w:val="baseline"/>
                <w:lang w:val="en-US" w:eastAsia="zh-CN"/>
              </w:rPr>
              <w:t>）</w:t>
            </w:r>
          </w:p>
          <w:p>
            <w:pPr>
              <w:ind w:firstLine="0" w:firstLineChars="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②地方周边关系协调能力、措施及其他优惠服务承诺；（</w:t>
            </w:r>
            <w:r>
              <w:rPr>
                <w:rFonts w:hint="eastAsia" w:ascii="宋体" w:hAnsi="宋体" w:cs="宋体"/>
                <w:color w:val="auto"/>
                <w:sz w:val="24"/>
                <w:szCs w:val="24"/>
                <w:highlight w:val="none"/>
                <w:vertAlign w:val="baseline"/>
                <w:lang w:val="en-US" w:eastAsia="zh-CN"/>
              </w:rPr>
              <w:t>详细完整的得3</w:t>
            </w:r>
            <w:r>
              <w:rPr>
                <w:rFonts w:hint="eastAsia" w:ascii="宋体" w:hAnsi="宋体" w:eastAsia="宋体" w:cs="宋体"/>
                <w:color w:val="auto"/>
                <w:sz w:val="24"/>
                <w:szCs w:val="24"/>
                <w:highlight w:val="none"/>
                <w:vertAlign w:val="baseline"/>
                <w:lang w:val="en-US" w:eastAsia="zh-CN"/>
              </w:rPr>
              <w:t>分</w:t>
            </w:r>
            <w:r>
              <w:rPr>
                <w:rFonts w:hint="eastAsia" w:ascii="宋体" w:hAnsi="宋体" w:cs="宋体"/>
                <w:color w:val="auto"/>
                <w:sz w:val="24"/>
                <w:szCs w:val="24"/>
                <w:highlight w:val="none"/>
                <w:vertAlign w:val="baseline"/>
                <w:lang w:val="en-US" w:eastAsia="zh-CN"/>
              </w:rPr>
              <w:t>，较为详细的得2分，一般的得1分，没有不得分</w:t>
            </w:r>
            <w:r>
              <w:rPr>
                <w:rFonts w:hint="eastAsia" w:ascii="宋体" w:hAnsi="宋体" w:eastAsia="宋体" w:cs="宋体"/>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业绩荣誉</w:t>
            </w:r>
          </w:p>
        </w:tc>
        <w:tc>
          <w:tcPr>
            <w:tcW w:w="1242"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0.00</w:t>
            </w:r>
          </w:p>
        </w:tc>
        <w:tc>
          <w:tcPr>
            <w:tcW w:w="1242"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6.00</w:t>
            </w:r>
          </w:p>
        </w:tc>
        <w:tc>
          <w:tcPr>
            <w:tcW w:w="1600"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业绩</w:t>
            </w:r>
          </w:p>
        </w:tc>
        <w:tc>
          <w:tcPr>
            <w:tcW w:w="4185" w:type="dxa"/>
            <w:vAlign w:val="top"/>
          </w:tcPr>
          <w:p>
            <w:pPr>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供应商20</w:t>
            </w:r>
            <w:r>
              <w:rPr>
                <w:rFonts w:hint="eastAsia" w:ascii="宋体" w:hAnsi="宋体" w:cs="宋体"/>
                <w:color w:val="auto"/>
                <w:sz w:val="24"/>
                <w:szCs w:val="24"/>
                <w:highlight w:val="none"/>
                <w:vertAlign w:val="baseline"/>
                <w:lang w:val="en-US" w:eastAsia="zh-CN"/>
              </w:rPr>
              <w:t>20</w:t>
            </w:r>
            <w:r>
              <w:rPr>
                <w:rFonts w:hint="eastAsia" w:ascii="宋体" w:hAnsi="宋体" w:eastAsia="宋体" w:cs="宋体"/>
                <w:color w:val="auto"/>
                <w:sz w:val="24"/>
                <w:szCs w:val="24"/>
                <w:highlight w:val="none"/>
                <w:vertAlign w:val="baseline"/>
                <w:lang w:val="en-US" w:eastAsia="zh-CN"/>
              </w:rPr>
              <w:t>年</w:t>
            </w:r>
            <w:r>
              <w:rPr>
                <w:rFonts w:hint="eastAsia" w:ascii="宋体" w:hAnsi="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lang w:val="en-US" w:eastAsia="zh-CN"/>
              </w:rPr>
              <w:t>月1日以来完成过的类似工程业绩，一项得2分，最多得6分。（响应文件中须提供提供</w:t>
            </w:r>
            <w:r>
              <w:rPr>
                <w:rFonts w:hint="eastAsia" w:ascii="宋体" w:hAnsi="宋体" w:eastAsia="宋体" w:cs="宋体"/>
                <w:color w:val="auto"/>
                <w:sz w:val="24"/>
                <w:szCs w:val="24"/>
                <w:highlight w:val="none"/>
                <w:vertAlign w:val="baseline"/>
                <w:lang w:val="en-US" w:eastAsia="zh-CN"/>
              </w:rPr>
              <w:t>中标通知书</w:t>
            </w: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中标结果网页截图、</w:t>
            </w:r>
            <w:r>
              <w:rPr>
                <w:rFonts w:hint="eastAsia" w:ascii="宋体" w:hAnsi="宋体" w:eastAsia="宋体" w:cs="宋体"/>
                <w:color w:val="auto"/>
                <w:sz w:val="24"/>
                <w:szCs w:val="24"/>
                <w:highlight w:val="none"/>
                <w:vertAlign w:val="baseline"/>
                <w:lang w:val="en-US" w:eastAsia="zh-CN"/>
              </w:rPr>
              <w:t>施工合同原件扫描件，并加盖单位公章。）</w:t>
            </w:r>
          </w:p>
        </w:tc>
      </w:tr>
    </w:tbl>
    <w:p>
      <w:pPr>
        <w:rPr>
          <w:rFonts w:hint="eastAsia"/>
          <w:color w:val="auto"/>
          <w:highlight w:val="none"/>
        </w:rPr>
      </w:pPr>
      <w:r>
        <w:rPr>
          <w:rFonts w:hint="eastAsia"/>
          <w:color w:val="auto"/>
          <w:highlight w:val="none"/>
        </w:rPr>
        <w:br w:type="page"/>
      </w:r>
    </w:p>
    <w:p>
      <w:pPr>
        <w:pStyle w:val="3"/>
        <w:bidi w:val="0"/>
        <w:rPr>
          <w:color w:val="auto"/>
          <w:highlight w:val="none"/>
        </w:rPr>
      </w:pPr>
      <w:r>
        <w:rPr>
          <w:color w:val="auto"/>
          <w:highlight w:val="none"/>
          <w:lang w:val="en-US" w:eastAsia="zh-CN"/>
        </w:rPr>
        <w:t>第七章</w:t>
      </w:r>
      <w:r>
        <w:rPr>
          <w:rFonts w:hint="eastAsia"/>
          <w:color w:val="auto"/>
          <w:highlight w:val="none"/>
          <w:lang w:val="en-US" w:eastAsia="zh-CN"/>
        </w:rPr>
        <w:t>、</w:t>
      </w:r>
      <w:r>
        <w:rPr>
          <w:color w:val="auto"/>
          <w:highlight w:val="none"/>
          <w:lang w:val="en-US" w:eastAsia="zh-CN"/>
        </w:rPr>
        <w:t>响应文件格式</w:t>
      </w:r>
    </w:p>
    <w:p>
      <w:pPr>
        <w:rPr>
          <w:rFonts w:hint="eastAsia"/>
          <w:color w:val="auto"/>
          <w:highlight w:val="none"/>
        </w:rPr>
      </w:pPr>
    </w:p>
    <w:p>
      <w:pPr>
        <w:rPr>
          <w:rFonts w:hint="eastAsia"/>
          <w:color w:val="auto"/>
          <w:highlight w:val="none"/>
        </w:rPr>
      </w:pPr>
      <w:r>
        <w:rPr>
          <w:rFonts w:hint="eastAsia"/>
          <w:color w:val="auto"/>
          <w:highlight w:val="none"/>
        </w:rPr>
        <w:br w:type="page"/>
      </w:r>
    </w:p>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目录</w:t>
      </w:r>
    </w:p>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一、封面 </w:t>
      </w:r>
    </w:p>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二、响应函 </w:t>
      </w:r>
    </w:p>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三、法定代表人授权书 </w:t>
      </w:r>
    </w:p>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四、法人被授权人身份证扫描件 </w:t>
      </w:r>
    </w:p>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五、资格证明材料 </w:t>
      </w:r>
    </w:p>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六、开标一览表 </w:t>
      </w:r>
    </w:p>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七、报价一览表 </w:t>
      </w:r>
    </w:p>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八、工程报价明细表 </w:t>
      </w:r>
    </w:p>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九、中小微企业声明函（供应商） </w:t>
      </w:r>
    </w:p>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十、残疾人福利性单位声明函 </w:t>
      </w:r>
    </w:p>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十一、监狱企业证明文件 </w:t>
      </w: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十二、</w:t>
      </w:r>
      <w:r>
        <w:rPr>
          <w:rFonts w:hint="eastAsia" w:ascii="宋体" w:hAnsi="宋体" w:cs="宋体"/>
          <w:color w:val="auto"/>
          <w:kern w:val="0"/>
          <w:sz w:val="24"/>
          <w:szCs w:val="24"/>
          <w:highlight w:val="none"/>
          <w:lang w:val="en-US" w:eastAsia="zh-CN" w:bidi="ar"/>
        </w:rPr>
        <w:t>工程预算书</w:t>
      </w:r>
    </w:p>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 十三、辅助资料表 </w:t>
      </w:r>
    </w:p>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十四、承诺书 </w:t>
      </w:r>
    </w:p>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十五、 施工组织设计</w:t>
      </w:r>
    </w:p>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十六、其他需要提供的资料 </w:t>
      </w:r>
    </w:p>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十七、参与评审打分的证书（证件）一览表</w:t>
      </w:r>
    </w:p>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十八、参与评审打分的证书（证件）扫描件 </w:t>
      </w:r>
    </w:p>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十九、参与评审打分的合同业绩一览表 </w:t>
      </w:r>
    </w:p>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二十、参与评审打分的合同业绩扫描件</w:t>
      </w:r>
    </w:p>
    <w:p>
      <w:pPr>
        <w:rPr>
          <w:rFonts w:hint="eastAsia"/>
          <w:color w:val="auto"/>
          <w:highlight w:val="none"/>
        </w:rPr>
      </w:pPr>
      <w:r>
        <w:rPr>
          <w:rFonts w:hint="eastAsia"/>
          <w:color w:val="auto"/>
          <w:highlight w:val="none"/>
        </w:rPr>
        <w:br w:type="page"/>
      </w:r>
    </w:p>
    <w:p>
      <w:pPr>
        <w:pStyle w:val="4"/>
        <w:bidi w:val="0"/>
        <w:rPr>
          <w:color w:val="auto"/>
          <w:highlight w:val="none"/>
        </w:rPr>
      </w:pPr>
      <w:r>
        <w:rPr>
          <w:color w:val="auto"/>
          <w:highlight w:val="none"/>
          <w:lang w:val="en-US" w:eastAsia="zh-CN"/>
        </w:rPr>
        <w:t xml:space="preserve">一、投标文件格式 </w:t>
      </w:r>
    </w:p>
    <w:p>
      <w:pPr>
        <w:rPr>
          <w:rFonts w:hint="eastAsia"/>
          <w:color w:val="auto"/>
          <w:highlight w:val="none"/>
        </w:rPr>
      </w:pPr>
    </w:p>
    <w:p>
      <w:pPr>
        <w:rPr>
          <w:rFonts w:hint="eastAsia"/>
          <w:color w:val="auto"/>
          <w:highlight w:val="none"/>
        </w:rPr>
      </w:pPr>
      <w:r>
        <w:rPr>
          <w:rFonts w:hint="eastAsia"/>
          <w:color w:val="auto"/>
          <w:highlight w:val="none"/>
        </w:rPr>
        <w:br w:type="page"/>
      </w:r>
    </w:p>
    <w:p>
      <w:pPr>
        <w:pStyle w:val="5"/>
        <w:bidi w:val="0"/>
        <w:rPr>
          <w:color w:val="auto"/>
          <w:highlight w:val="none"/>
          <w:lang w:val="en-US" w:eastAsia="zh-CN"/>
        </w:rPr>
      </w:pPr>
      <w:r>
        <w:rPr>
          <w:color w:val="auto"/>
          <w:highlight w:val="none"/>
          <w:lang w:val="en-US" w:eastAsia="zh-CN"/>
        </w:rPr>
        <w:t xml:space="preserve">一、封面 </w:t>
      </w:r>
    </w:p>
    <w:p>
      <w:pPr>
        <w:rPr>
          <w:color w:val="auto"/>
          <w:highlight w:val="none"/>
          <w:lang w:val="en-US" w:eastAsia="zh-CN"/>
        </w:rPr>
      </w:pPr>
    </w:p>
    <w:p>
      <w:pPr>
        <w:rPr>
          <w:color w:val="auto"/>
          <w:highlight w:val="none"/>
        </w:rPr>
      </w:pPr>
    </w:p>
    <w:p>
      <w:pPr>
        <w:keepNext w:val="0"/>
        <w:keepLines w:val="0"/>
        <w:widowControl/>
        <w:suppressLineNumbers w:val="0"/>
        <w:jc w:val="center"/>
        <w:rPr>
          <w:rFonts w:hint="eastAsia" w:ascii="宋体" w:hAnsi="宋体" w:eastAsia="宋体" w:cs="宋体"/>
          <w:b/>
          <w:bCs/>
          <w:color w:val="auto"/>
          <w:kern w:val="0"/>
          <w:sz w:val="84"/>
          <w:szCs w:val="84"/>
          <w:highlight w:val="none"/>
          <w:lang w:val="en-US" w:eastAsia="zh-CN" w:bidi="ar"/>
        </w:rPr>
      </w:pPr>
      <w:r>
        <w:rPr>
          <w:rFonts w:hint="eastAsia" w:ascii="宋体" w:hAnsi="宋体" w:eastAsia="宋体" w:cs="宋体"/>
          <w:b/>
          <w:bCs/>
          <w:color w:val="auto"/>
          <w:kern w:val="0"/>
          <w:sz w:val="84"/>
          <w:szCs w:val="84"/>
          <w:highlight w:val="none"/>
          <w:lang w:val="en-US" w:eastAsia="zh-CN" w:bidi="ar"/>
        </w:rPr>
        <w:t>响应文件</w:t>
      </w:r>
    </w:p>
    <w:p>
      <w:pPr>
        <w:rPr>
          <w:rFonts w:hint="eastAsia"/>
          <w:color w:val="auto"/>
          <w:highlight w:val="none"/>
          <w:lang w:val="en-US" w:eastAsia="zh-CN"/>
        </w:rPr>
      </w:pPr>
    </w:p>
    <w:p>
      <w:pPr>
        <w:rPr>
          <w:rFonts w:hint="eastAsia"/>
          <w:color w:val="auto"/>
          <w:highlight w:val="none"/>
          <w:lang w:val="en-US" w:eastAsia="zh-CN"/>
        </w:rPr>
      </w:pPr>
    </w:p>
    <w:p>
      <w:pPr>
        <w:keepNext w:val="0"/>
        <w:keepLines w:val="0"/>
        <w:widowControl/>
        <w:suppressLineNumbers w:val="0"/>
        <w:jc w:val="both"/>
        <w:rPr>
          <w:rFonts w:hint="eastAsia" w:ascii="宋体" w:hAnsi="宋体" w:eastAsia="宋体" w:cs="宋体"/>
          <w:color w:val="auto"/>
          <w:highlight w:val="none"/>
        </w:rPr>
      </w:pPr>
      <w:r>
        <w:rPr>
          <w:rFonts w:hint="eastAsia" w:ascii="宋体" w:hAnsi="宋体" w:eastAsia="宋体" w:cs="宋体"/>
          <w:color w:val="auto"/>
          <w:kern w:val="0"/>
          <w:sz w:val="30"/>
          <w:szCs w:val="30"/>
          <w:highlight w:val="none"/>
          <w:lang w:val="en-US" w:eastAsia="zh-CN" w:bidi="ar"/>
        </w:rPr>
        <w:t>项目名称：</w:t>
      </w:r>
    </w:p>
    <w:p>
      <w:pPr>
        <w:keepNext w:val="0"/>
        <w:keepLines w:val="0"/>
        <w:widowControl/>
        <w:suppressLineNumbers w:val="0"/>
        <w:jc w:val="both"/>
        <w:rPr>
          <w:rFonts w:hint="eastAsia" w:ascii="宋体" w:hAnsi="宋体" w:eastAsia="宋体" w:cs="宋体"/>
          <w:color w:val="auto"/>
          <w:kern w:val="0"/>
          <w:sz w:val="30"/>
          <w:szCs w:val="30"/>
          <w:highlight w:val="none"/>
          <w:lang w:val="en-US" w:eastAsia="zh-CN" w:bidi="ar"/>
        </w:rPr>
      </w:pPr>
      <w:r>
        <w:rPr>
          <w:rFonts w:hint="eastAsia" w:ascii="宋体" w:hAnsi="宋体" w:eastAsia="宋体" w:cs="宋体"/>
          <w:color w:val="auto"/>
          <w:kern w:val="0"/>
          <w:sz w:val="30"/>
          <w:szCs w:val="30"/>
          <w:highlight w:val="none"/>
          <w:lang w:val="en-US" w:eastAsia="zh-CN" w:bidi="ar"/>
        </w:rPr>
        <w:t>采购编号：</w:t>
      </w:r>
    </w:p>
    <w:p>
      <w:pPr>
        <w:pStyle w:val="27"/>
        <w:rPr>
          <w:rFonts w:hint="eastAsia"/>
          <w:color w:val="auto"/>
          <w:highlight w:val="none"/>
          <w:lang w:val="en-US" w:eastAsia="zh-CN"/>
        </w:rPr>
      </w:pPr>
    </w:p>
    <w:p>
      <w:pPr>
        <w:pStyle w:val="27"/>
        <w:rPr>
          <w:rFonts w:hint="eastAsia"/>
          <w:color w:val="auto"/>
          <w:highlight w:val="none"/>
          <w:lang w:val="en-US" w:eastAsia="zh-CN"/>
        </w:rPr>
      </w:pPr>
    </w:p>
    <w:p>
      <w:pPr>
        <w:pStyle w:val="27"/>
        <w:rPr>
          <w:rFonts w:hint="eastAsia"/>
          <w:color w:val="auto"/>
          <w:highlight w:val="none"/>
          <w:lang w:val="en-US" w:eastAsia="zh-CN"/>
        </w:rPr>
      </w:pPr>
    </w:p>
    <w:p>
      <w:pPr>
        <w:pStyle w:val="27"/>
        <w:rPr>
          <w:rFonts w:hint="eastAsia"/>
          <w:color w:val="auto"/>
          <w:highlight w:val="none"/>
          <w:lang w:val="en-US" w:eastAsia="zh-CN"/>
        </w:rPr>
      </w:pPr>
    </w:p>
    <w:p>
      <w:pPr>
        <w:pStyle w:val="27"/>
        <w:rPr>
          <w:rFonts w:hint="eastAsia"/>
          <w:color w:val="auto"/>
          <w:highlight w:val="none"/>
          <w:lang w:val="en-US" w:eastAsia="zh-CN"/>
        </w:rPr>
      </w:pPr>
    </w:p>
    <w:p>
      <w:pPr>
        <w:pStyle w:val="27"/>
        <w:rPr>
          <w:rFonts w:hint="eastAsia"/>
          <w:color w:val="auto"/>
          <w:highlight w:val="none"/>
        </w:rPr>
      </w:pPr>
    </w:p>
    <w:p>
      <w:pPr>
        <w:keepNext w:val="0"/>
        <w:keepLines w:val="0"/>
        <w:widowControl/>
        <w:suppressLineNumbers w:val="0"/>
        <w:jc w:val="both"/>
        <w:rPr>
          <w:rFonts w:hint="eastAsia" w:ascii="宋体" w:hAnsi="宋体" w:eastAsia="宋体" w:cs="宋体"/>
          <w:color w:val="auto"/>
          <w:highlight w:val="none"/>
        </w:rPr>
      </w:pPr>
      <w:r>
        <w:rPr>
          <w:rFonts w:hint="eastAsia" w:ascii="宋体" w:hAnsi="宋体" w:eastAsia="宋体" w:cs="宋体"/>
          <w:color w:val="auto"/>
          <w:kern w:val="0"/>
          <w:sz w:val="30"/>
          <w:szCs w:val="30"/>
          <w:highlight w:val="none"/>
          <w:lang w:val="en-US" w:eastAsia="zh-CN" w:bidi="ar"/>
        </w:rPr>
        <w:t>供应商名称：</w:t>
      </w:r>
    </w:p>
    <w:p>
      <w:pPr>
        <w:keepNext w:val="0"/>
        <w:keepLines w:val="0"/>
        <w:widowControl/>
        <w:suppressLineNumbers w:val="0"/>
        <w:jc w:val="both"/>
        <w:rPr>
          <w:rFonts w:hint="eastAsia" w:ascii="宋体" w:hAnsi="宋体" w:eastAsia="宋体" w:cs="宋体"/>
          <w:color w:val="auto"/>
          <w:highlight w:val="none"/>
        </w:rPr>
      </w:pPr>
      <w:r>
        <w:rPr>
          <w:rFonts w:hint="eastAsia" w:ascii="宋体" w:hAnsi="宋体" w:eastAsia="宋体" w:cs="宋体"/>
          <w:color w:val="auto"/>
          <w:kern w:val="0"/>
          <w:sz w:val="30"/>
          <w:szCs w:val="30"/>
          <w:highlight w:val="none"/>
          <w:lang w:val="en-US" w:eastAsia="zh-CN" w:bidi="ar"/>
        </w:rPr>
        <w:t>日期：</w:t>
      </w:r>
    </w:p>
    <w:p>
      <w:pPr>
        <w:pStyle w:val="5"/>
        <w:bidi w:val="0"/>
        <w:rPr>
          <w:color w:val="auto"/>
          <w:highlight w:val="none"/>
        </w:rPr>
      </w:pPr>
      <w:r>
        <w:rPr>
          <w:rFonts w:hint="eastAsia"/>
          <w:color w:val="auto"/>
          <w:highlight w:val="none"/>
        </w:rPr>
        <w:br w:type="page"/>
      </w:r>
      <w:r>
        <w:rPr>
          <w:rFonts w:hint="eastAsia" w:ascii="宋体" w:hAnsi="宋体" w:eastAsia="宋体" w:cs="宋体"/>
          <w:b/>
          <w:bCs/>
          <w:color w:val="auto"/>
          <w:kern w:val="0"/>
          <w:sz w:val="28"/>
          <w:szCs w:val="28"/>
          <w:highlight w:val="none"/>
          <w:lang w:val="en-US" w:eastAsia="zh-CN" w:bidi="ar"/>
        </w:rPr>
        <w:t xml:space="preserve">二、响应函 </w:t>
      </w:r>
    </w:p>
    <w:p>
      <w:pPr>
        <w:pStyle w:val="6"/>
        <w:bidi w:val="0"/>
        <w:rPr>
          <w:color w:val="auto"/>
          <w:highlight w:val="none"/>
        </w:rPr>
      </w:pPr>
      <w:r>
        <w:rPr>
          <w:color w:val="auto"/>
          <w:highlight w:val="none"/>
          <w:lang w:val="en-US" w:eastAsia="zh-CN"/>
        </w:rPr>
        <w:t>响应函</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致：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根据贵方采购编号为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的采购公告，我方签字代表经正式授权并代表供应商提交响应文件及相关资料，并对之负法律责任。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据此函，签字代表宣布同意如下：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1、依法依规、诚实守信、公平竞争参加本次采购活动。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2、我方保证投标文件中的所有资料均为真实、准确、完整、有效的，且不具有任何误导性，否则，我方承诺投标文件无效并自愿承担一切法律责任。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3、我方已认真仔细研究磋商（谈判）文件全部内容，包括修改文件以及全部参考资料和有关附件。我们完全理解并同意放弃对这方面有不明及误解的权力。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4、根据本工程磋商文件，我单位经考察现场并研究上述工程磋商（谈判）文件的采购需求、供应商须知、合同条款、图纸和其他有关文件后，我方愿意接受上述工程磋商（谈判）文件及采购需求、供应商须知、合同条款、图纸的条件承包上述工程的施工、竣工和保修（详见报价一览表），并接受本次采购的付款方式。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5、我方同意本响应文件在磋商（谈判）文件规定的有效期内对多方的约束力，并且随时可能按此响应文件成交。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6、本响应文件有效期为提交响应文件截止时间起 90 天。如果我方的行为符合本磋商（谈判）文件规定的磋商（谈判）保证金不予退还情形的，我方同意不退还我方提交的磋商（谈判）保证金。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7、除非另外达成协议并生效，成交通知书和响应文件将构成约束我们双方的合同内容。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8、如果我方为成交供应商，我方保证在接到采购人的通知后立刻开工，并在规定的工期内竣工并移交整个工程。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9、如果我方被确定为成交供应商，我方愿意按磋商（谈判）文件的规定交纳履约保证金。我方如无不可抗力，放弃成交资格，或者未履行磋商（谈判）文件、响应文件和合同条款的，一经查实，我方愿意赔偿由此而造成的一切损失，并同意接受按相关法律法规和磋商（谈判）文件的相关要求对我方进行的处罚。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10、我方同意提供按照贵方可能要求的与其磋商（谈判）有关的一切数据或资料，理解贵方不一定要接受最低价的响应文件或收到的任何响应文件。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11、我方在此声明，所提交的响应文件及有关资料内容完整、真实和准确，且不存在第二章“供应商须知”第 1.4.3 项规定的任何一种情形。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12、我方决不提供虚假资料谋取成交，决不采取不正当手段诋毁、排挤其他供应商，决不与采购人、采购代理机构或者其它供应商恶意串通，决不向采购人、代理机构工作人员和评委进行商业贿赂，决不拒绝相关监管部门的监督检查，不向相关监管部门提供虚假情况，如有违反政府采购法律法规的行为，无条件接受贵方及相关监管部门的依法依规处罚。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13、与本采购活动有关的一切正式函件往来请寄：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地址：</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邮政编码： </w:t>
      </w:r>
      <w:r>
        <w:rPr>
          <w:rFonts w:hint="eastAsia" w:ascii="宋体" w:hAnsi="宋体" w:eastAsia="宋体" w:cs="宋体"/>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电话：</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传真：</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电子信箱：</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供应商（企业电子章）：</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日期： </w:t>
      </w:r>
      <w:r>
        <w:rPr>
          <w:rFonts w:hint="eastAsia" w:ascii="宋体" w:hAnsi="宋体" w:eastAsia="宋体" w:cs="宋体"/>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本供应商承诺：以上地址等信息为邮寄函件的真实有效准确信息，收件人为法定代表人或供应商代表。如我方对往来函件拒收，邮寄方可视为已送达，由此造成的一切后果由本供应商承担。</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注：除可填报内容外，对本响应函内容的任何实质性修改将被视为非实质性响应，从而导致该响应文件被拒绝。</w:t>
      </w:r>
    </w:p>
    <w:p>
      <w:pPr>
        <w:rPr>
          <w:rFonts w:hint="eastAsia"/>
          <w:color w:val="auto"/>
          <w:highlight w:val="none"/>
        </w:rPr>
      </w:pPr>
    </w:p>
    <w:p>
      <w:pPr>
        <w:rPr>
          <w:rFonts w:hint="eastAsia"/>
          <w:color w:val="auto"/>
          <w:highlight w:val="none"/>
        </w:rPr>
      </w:pPr>
      <w:r>
        <w:rPr>
          <w:rFonts w:hint="eastAsia"/>
          <w:color w:val="auto"/>
          <w:highlight w:val="none"/>
        </w:rPr>
        <w:br w:type="page"/>
      </w:r>
    </w:p>
    <w:p>
      <w:pPr>
        <w:pStyle w:val="5"/>
        <w:bidi w:val="0"/>
        <w:rPr>
          <w:color w:val="auto"/>
          <w:highlight w:val="none"/>
        </w:rPr>
      </w:pPr>
      <w:r>
        <w:rPr>
          <w:color w:val="auto"/>
          <w:highlight w:val="none"/>
          <w:lang w:val="en-US" w:eastAsia="zh-CN"/>
        </w:rPr>
        <w:t xml:space="preserve">三、法定代表人授权书 </w:t>
      </w:r>
    </w:p>
    <w:p>
      <w:pPr>
        <w:pStyle w:val="5"/>
        <w:bidi w:val="0"/>
        <w:rPr>
          <w:color w:val="auto"/>
          <w:highlight w:val="none"/>
        </w:rPr>
      </w:pPr>
      <w:r>
        <w:rPr>
          <w:color w:val="auto"/>
          <w:highlight w:val="none"/>
          <w:lang w:val="en-US" w:eastAsia="zh-CN"/>
        </w:rPr>
        <w:t xml:space="preserve">附件 2：法定代表人授权书 </w:t>
      </w:r>
    </w:p>
    <w:p>
      <w:pPr>
        <w:pStyle w:val="6"/>
        <w:bidi w:val="0"/>
        <w:rPr>
          <w:color w:val="auto"/>
          <w:highlight w:val="none"/>
        </w:rPr>
      </w:pPr>
      <w:r>
        <w:rPr>
          <w:rFonts w:hint="eastAsia"/>
          <w:color w:val="auto"/>
          <w:highlight w:val="none"/>
          <w:lang w:val="en-US" w:eastAsia="zh-CN"/>
        </w:rPr>
        <w:t xml:space="preserve">法定代表人授权书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本人</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0"/>
          <w:sz w:val="24"/>
          <w:szCs w:val="24"/>
          <w:highlight w:val="none"/>
          <w:lang w:val="en-US" w:eastAsia="zh-CN" w:bidi="ar"/>
        </w:rPr>
        <w:t>（姓名）系</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0"/>
          <w:sz w:val="24"/>
          <w:szCs w:val="24"/>
          <w:highlight w:val="none"/>
          <w:lang w:val="en-US" w:eastAsia="zh-CN" w:bidi="ar"/>
        </w:rPr>
        <w:t>（供应商名称）的法定代表人，现授权委托本单位在职员工</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0"/>
          <w:sz w:val="24"/>
          <w:szCs w:val="24"/>
          <w:highlight w:val="none"/>
          <w:lang w:val="en-US" w:eastAsia="zh-CN" w:bidi="ar"/>
        </w:rPr>
        <w:t>（姓名，职务）（身份证号码：</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0"/>
          <w:sz w:val="24"/>
          <w:szCs w:val="24"/>
          <w:highlight w:val="none"/>
          <w:lang w:val="en-US" w:eastAsia="zh-CN" w:bidi="ar"/>
        </w:rPr>
        <w:t>、手机号码：</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0"/>
          <w:sz w:val="24"/>
          <w:szCs w:val="24"/>
          <w:highlight w:val="none"/>
          <w:lang w:val="en-US" w:eastAsia="zh-CN" w:bidi="ar"/>
        </w:rPr>
        <w:t>）作为供应商代表以我方的名义参加贵单位组织的</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0"/>
          <w:sz w:val="24"/>
          <w:szCs w:val="24"/>
          <w:highlight w:val="none"/>
          <w:lang w:val="en-US" w:eastAsia="zh-CN" w:bidi="ar"/>
        </w:rPr>
        <w:t>项目（采购编号：</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0"/>
          <w:sz w:val="24"/>
          <w:szCs w:val="24"/>
          <w:highlight w:val="none"/>
          <w:lang w:val="en-US" w:eastAsia="zh-CN" w:bidi="ar"/>
        </w:rPr>
        <w:t xml:space="preserve">）的采购活动，并代表我方全权处理一切与之有关的具体事务和签署相关文件，我均予以承认。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代理人无权转让委托权。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本授权书至响应文件有效期结束前始终有效。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特此声明。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供应商（企业电子章）： </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法定代表人（个人电子章）： </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日期：</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p>
    <w:p>
      <w:pPr>
        <w:rPr>
          <w:rFonts w:hint="eastAsia"/>
          <w:color w:val="auto"/>
          <w:highlight w:val="none"/>
        </w:rPr>
      </w:pPr>
      <w:r>
        <w:rPr>
          <w:rFonts w:hint="eastAsia"/>
          <w:color w:val="auto"/>
          <w:highlight w:val="none"/>
        </w:rPr>
        <w:br w:type="page"/>
      </w:r>
    </w:p>
    <w:p>
      <w:pPr>
        <w:pStyle w:val="5"/>
        <w:bidi w:val="0"/>
        <w:rPr>
          <w:color w:val="auto"/>
          <w:highlight w:val="none"/>
        </w:rPr>
      </w:pPr>
      <w:r>
        <w:rPr>
          <w:color w:val="auto"/>
          <w:highlight w:val="none"/>
          <w:lang w:val="en-US" w:eastAsia="zh-CN"/>
        </w:rPr>
        <w:t xml:space="preserve">四、法人被授权人身份证扫描件 </w:t>
      </w:r>
    </w:p>
    <w:p>
      <w:pPr>
        <w:pStyle w:val="6"/>
        <w:bidi w:val="0"/>
        <w:rPr>
          <w:color w:val="auto"/>
          <w:highlight w:val="none"/>
        </w:rPr>
      </w:pPr>
      <w:r>
        <w:rPr>
          <w:color w:val="auto"/>
          <w:highlight w:val="none"/>
          <w:lang w:val="en-US" w:eastAsia="zh-CN"/>
        </w:rPr>
        <w:t xml:space="preserve">附件3：法人被授权人身份证扫描件 </w:t>
      </w:r>
    </w:p>
    <w:p>
      <w:pPr>
        <w:keepNext w:val="0"/>
        <w:keepLines w:val="0"/>
        <w:widowControl/>
        <w:suppressLineNumbers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1、法定代表人身份证正面和反面扫描件 </w:t>
      </w:r>
    </w:p>
    <w:p>
      <w:pPr>
        <w:keepNext w:val="0"/>
        <w:keepLines w:val="0"/>
        <w:widowControl/>
        <w:suppressLineNumbers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2、供应商代表（被授权人）身份证正面和反面扫描件</w:t>
      </w:r>
    </w:p>
    <w:p>
      <w:pPr>
        <w:rPr>
          <w:rFonts w:hint="eastAsia"/>
          <w:color w:val="auto"/>
          <w:highlight w:val="none"/>
        </w:rPr>
      </w:pPr>
      <w:r>
        <w:rPr>
          <w:rFonts w:hint="eastAsia"/>
          <w:color w:val="auto"/>
          <w:highlight w:val="none"/>
        </w:rPr>
        <w:br w:type="page"/>
      </w:r>
    </w:p>
    <w:p>
      <w:pPr>
        <w:pStyle w:val="5"/>
        <w:bidi w:val="0"/>
        <w:rPr>
          <w:color w:val="auto"/>
          <w:highlight w:val="none"/>
        </w:rPr>
      </w:pPr>
      <w:r>
        <w:rPr>
          <w:color w:val="auto"/>
          <w:highlight w:val="none"/>
          <w:lang w:val="en-US" w:eastAsia="zh-CN"/>
        </w:rPr>
        <w:t xml:space="preserve">五、资格证明材料 </w:t>
      </w:r>
    </w:p>
    <w:p>
      <w:pPr>
        <w:pStyle w:val="6"/>
        <w:bidi w:val="0"/>
        <w:rPr>
          <w:color w:val="auto"/>
          <w:highlight w:val="none"/>
        </w:rPr>
      </w:pPr>
      <w:r>
        <w:rPr>
          <w:color w:val="auto"/>
          <w:highlight w:val="none"/>
          <w:lang w:val="en-US" w:eastAsia="zh-CN"/>
        </w:rPr>
        <w:t xml:space="preserve">附件5：资格证明材料 </w:t>
      </w:r>
    </w:p>
    <w:p>
      <w:pPr>
        <w:keepNext w:val="0"/>
        <w:keepLines w:val="0"/>
        <w:widowControl/>
        <w:suppressLineNumbers w:val="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包括但不限于营业执照、安全生产许可证、资质证书、</w:t>
      </w:r>
      <w:r>
        <w:rPr>
          <w:rFonts w:hint="eastAsia" w:ascii="宋体" w:hAnsi="宋体" w:eastAsia="宋体" w:cs="宋体"/>
          <w:color w:val="auto"/>
          <w:kern w:val="0"/>
          <w:sz w:val="24"/>
          <w:szCs w:val="24"/>
          <w:highlight w:val="none"/>
          <w:lang w:val="en-US" w:eastAsia="zh-CN" w:bidi="ar"/>
        </w:rPr>
        <w:t>注册建造师证书、安全生产考核合格证、</w:t>
      </w:r>
      <w:r>
        <w:rPr>
          <w:rFonts w:hint="eastAsia" w:asciiTheme="minorEastAsia" w:hAnsiTheme="minorEastAsia" w:eastAsiaTheme="minorEastAsia" w:cstheme="minorEastAsia"/>
          <w:color w:val="auto"/>
          <w:kern w:val="0"/>
          <w:sz w:val="24"/>
          <w:szCs w:val="24"/>
          <w:highlight w:val="none"/>
          <w:lang w:val="en-US" w:eastAsia="zh-CN" w:bidi="ar"/>
        </w:rPr>
        <w:t>信用承诺函等。</w:t>
      </w:r>
    </w:p>
    <w:p>
      <w:pPr>
        <w:keepNext w:val="0"/>
        <w:keepLines w:val="0"/>
        <w:widowControl/>
        <w:suppressLineNumbers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注：在响应文件中附扫描件（或照片）。</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pPr>
        <w:pStyle w:val="6"/>
        <w:bidi w:val="0"/>
        <w:rPr>
          <w:color w:val="auto"/>
          <w:highlight w:val="none"/>
        </w:rPr>
      </w:pPr>
      <w:r>
        <w:rPr>
          <w:color w:val="auto"/>
          <w:highlight w:val="none"/>
          <w:lang w:val="en-US" w:eastAsia="zh-CN"/>
        </w:rPr>
        <w:t xml:space="preserve">洛阳市政府采购供应商信用承诺函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 xml:space="preserve">   （采购人或采购代理机构）</w:t>
      </w:r>
      <w:r>
        <w:rPr>
          <w:rFonts w:hint="eastAsia" w:ascii="宋体" w:hAnsi="宋体" w:eastAsia="宋体" w:cs="宋体"/>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color w:val="auto"/>
          <w:highlight w:val="none"/>
          <w:lang w:val="en-US"/>
        </w:rPr>
      </w:pPr>
      <w:r>
        <w:rPr>
          <w:rFonts w:hint="eastAsia" w:ascii="宋体" w:hAnsi="宋体" w:eastAsia="宋体" w:cs="宋体"/>
          <w:color w:val="auto"/>
          <w:kern w:val="0"/>
          <w:sz w:val="24"/>
          <w:szCs w:val="24"/>
          <w:highlight w:val="none"/>
          <w:lang w:val="en-US" w:eastAsia="zh-CN" w:bidi="ar"/>
        </w:rPr>
        <w:t>单位名称（自然人姓名）：</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统一社会信用代码（身份证号码）：</w:t>
      </w:r>
      <w:r>
        <w:rPr>
          <w:rFonts w:hint="eastAsia" w:ascii="宋体" w:hAnsi="宋体" w:eastAsia="宋体" w:cs="宋体"/>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法定代表人（负责人）：</w:t>
      </w:r>
      <w:r>
        <w:rPr>
          <w:rFonts w:hint="eastAsia" w:ascii="宋体" w:hAnsi="宋体" w:eastAsia="宋体" w:cs="宋体"/>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联系地址和电话：</w:t>
      </w:r>
      <w:r>
        <w:rPr>
          <w:rFonts w:hint="eastAsia" w:ascii="宋体" w:hAnsi="宋体" w:eastAsia="宋体" w:cs="宋体"/>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为维护公平、公正、公开的政府采购市场秩序，树立诚实守信的政府采购供应商形象，我单位（本人）自愿作出以下承诺：</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（一）具有独立承担民事责任的能力；</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（二）具有良好的商业信誉和健全的财务会计制度；</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（三）具有履行合同所必需的设备和专业技术能力；</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（四）有依法缴纳税收和社会保障资金的良好记录；</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（五）参加政府采购活动前三年内，在经营活动中没有重大违法记录；</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（六）未被列入经营异常名录或者严重违法失信名单、失信被执行人、重大税收违法案件当事人名单、政府采购严重违法失信行为记录名单；</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（七）未被相关监管部门作出行政处罚且尚在处罚有效期内；</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（八）未曾作出虚假采购承诺；</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（九）符合法律、行政法规规定的其他条件。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rPr>
          <w:rFonts w:hint="eastAsia"/>
          <w:color w:val="auto"/>
          <w:highlight w:val="none"/>
          <w:lang w:val="en-US" w:eastAsia="zh-CN"/>
        </w:rPr>
      </w:pPr>
    </w:p>
    <w:p>
      <w:pPr>
        <w:rPr>
          <w:rFonts w:hint="eastAsia"/>
          <w:color w:val="auto"/>
          <w:highlight w:val="none"/>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供应商（电子章）：</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法定代表人或授权代表(签字或电子印章)：</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日期：年月日</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注：1.投标人须在投标文件中按此模板提供承诺函，未提供视为未实质性响应招标文件要求，按无效投标处理。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2.投标人的法定代表人或者授权代表的签字或盖章应真实、有效，如由授权代表签字或盖章的，应提供“法定代表人授权书”。</w:t>
      </w:r>
    </w:p>
    <w:p>
      <w:pPr>
        <w:rPr>
          <w:rFonts w:hint="eastAsia"/>
          <w:color w:val="auto"/>
          <w:highlight w:val="none"/>
        </w:rPr>
      </w:pPr>
      <w:r>
        <w:rPr>
          <w:rFonts w:hint="eastAsia"/>
          <w:color w:val="auto"/>
          <w:highlight w:val="none"/>
        </w:rPr>
        <w:br w:type="page"/>
      </w:r>
    </w:p>
    <w:p>
      <w:pPr>
        <w:pStyle w:val="5"/>
        <w:bidi w:val="0"/>
        <w:rPr>
          <w:color w:val="auto"/>
          <w:highlight w:val="none"/>
        </w:rPr>
      </w:pPr>
      <w:r>
        <w:rPr>
          <w:color w:val="auto"/>
          <w:highlight w:val="none"/>
          <w:lang w:val="en-US" w:eastAsia="zh-CN"/>
        </w:rPr>
        <w:t xml:space="preserve">六、开标一览表 </w:t>
      </w:r>
    </w:p>
    <w:p>
      <w:pPr>
        <w:pStyle w:val="6"/>
        <w:bidi w:val="0"/>
        <w:rPr>
          <w:color w:val="auto"/>
          <w:highlight w:val="none"/>
        </w:rPr>
      </w:pPr>
      <w:r>
        <w:rPr>
          <w:color w:val="auto"/>
          <w:highlight w:val="none"/>
          <w:lang w:val="en-US" w:eastAsia="zh-CN"/>
        </w:rPr>
        <w:t>开标一览表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pStyle w:val="4"/>
              <w:rPr>
                <w:rFonts w:hint="default" w:eastAsia="宋体"/>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投标报价</w:t>
            </w:r>
          </w:p>
        </w:tc>
        <w:tc>
          <w:tcPr>
            <w:tcW w:w="4927" w:type="dxa"/>
          </w:tcPr>
          <w:p>
            <w:pPr>
              <w:pStyle w:val="4"/>
              <w:rPr>
                <w:rFonts w:hint="eastAsia" w:eastAsia="宋体"/>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Pr>
          <w:p>
            <w:pPr>
              <w:pStyle w:val="4"/>
              <w:rPr>
                <w:rFonts w:hint="default" w:eastAsia="宋体"/>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项目负责人</w:t>
            </w:r>
          </w:p>
        </w:tc>
        <w:tc>
          <w:tcPr>
            <w:tcW w:w="4927" w:type="dxa"/>
          </w:tcPr>
          <w:p>
            <w:pPr>
              <w:pStyle w:val="4"/>
              <w:rPr>
                <w:rFonts w:hint="eastAsia"/>
                <w:b w:val="0"/>
                <w:bCs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pStyle w:val="4"/>
              <w:rPr>
                <w:rFonts w:hint="eastAsia" w:eastAsia="宋体"/>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工期</w:t>
            </w:r>
          </w:p>
        </w:tc>
        <w:tc>
          <w:tcPr>
            <w:tcW w:w="4927" w:type="dxa"/>
          </w:tcPr>
          <w:p>
            <w:pPr>
              <w:pStyle w:val="4"/>
              <w:rPr>
                <w:rFonts w:hint="eastAsia"/>
                <w:b w:val="0"/>
                <w:bCs w:val="0"/>
                <w:color w:val="auto"/>
                <w:sz w:val="24"/>
                <w:szCs w:val="24"/>
                <w:highlight w:val="none"/>
                <w:vertAlign w:val="baseline"/>
              </w:rPr>
            </w:pPr>
          </w:p>
        </w:tc>
      </w:tr>
    </w:tbl>
    <w:p>
      <w:pPr>
        <w:rPr>
          <w:rFonts w:hint="eastAsia"/>
          <w:color w:val="auto"/>
          <w:highlight w:val="none"/>
        </w:rPr>
      </w:pPr>
      <w:r>
        <w:rPr>
          <w:rFonts w:hint="eastAsia"/>
          <w:color w:val="auto"/>
          <w:highlight w:val="none"/>
        </w:rPr>
        <w:br w:type="page"/>
      </w:r>
    </w:p>
    <w:p>
      <w:pPr>
        <w:pStyle w:val="5"/>
        <w:bidi w:val="0"/>
        <w:rPr>
          <w:color w:val="auto"/>
          <w:highlight w:val="none"/>
        </w:rPr>
      </w:pPr>
      <w:r>
        <w:rPr>
          <w:color w:val="auto"/>
          <w:highlight w:val="none"/>
          <w:lang w:val="en-US" w:eastAsia="zh-CN"/>
        </w:rPr>
        <w:t>七、报价一览表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42"/>
        <w:gridCol w:w="5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42" w:type="dxa"/>
            <w:noWrap w:val="0"/>
            <w:vAlign w:val="center"/>
          </w:tcPr>
          <w:p>
            <w:pPr>
              <w:bidi w:val="0"/>
              <w:jc w:val="center"/>
              <w:rPr>
                <w:rFonts w:hint="eastAsia" w:ascii="宋体" w:hAnsi="宋体" w:eastAsia="宋体" w:cs="宋体"/>
                <w:color w:val="auto"/>
                <w:spacing w:val="14"/>
                <w:kern w:val="0"/>
                <w:sz w:val="18"/>
                <w:szCs w:val="18"/>
                <w:highlight w:val="none"/>
                <w:lang w:val="en-US" w:eastAsia="zh-CN" w:bidi="ar-SA"/>
              </w:rPr>
            </w:pPr>
            <w:r>
              <w:rPr>
                <w:rFonts w:hint="eastAsia" w:ascii="宋体" w:hAnsi="宋体" w:eastAsia="宋体" w:cs="宋体"/>
                <w:color w:val="auto"/>
                <w:spacing w:val="14"/>
                <w:kern w:val="0"/>
                <w:sz w:val="18"/>
                <w:szCs w:val="18"/>
                <w:highlight w:val="none"/>
                <w:lang w:val="en-US" w:eastAsia="zh-CN" w:bidi="ar-SA"/>
              </w:rPr>
              <w:t>供应商名称</w:t>
            </w:r>
          </w:p>
        </w:tc>
        <w:tc>
          <w:tcPr>
            <w:tcW w:w="5355" w:type="dxa"/>
            <w:noWrap w:val="0"/>
            <w:vAlign w:val="center"/>
          </w:tcPr>
          <w:p>
            <w:pPr>
              <w:bidi w:val="0"/>
              <w:jc w:val="center"/>
              <w:rPr>
                <w:rFonts w:hint="eastAsia" w:ascii="宋体" w:hAnsi="宋体" w:eastAsia="宋体" w:cs="宋体"/>
                <w:color w:val="auto"/>
                <w:spacing w:val="14"/>
                <w:kern w:val="0"/>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42" w:type="dxa"/>
            <w:noWrap w:val="0"/>
            <w:vAlign w:val="center"/>
          </w:tcPr>
          <w:p>
            <w:pPr>
              <w:bidi w:val="0"/>
              <w:jc w:val="center"/>
              <w:rPr>
                <w:rFonts w:hint="eastAsia" w:ascii="宋体" w:hAnsi="宋体" w:eastAsia="宋体" w:cs="宋体"/>
                <w:color w:val="auto"/>
                <w:spacing w:val="14"/>
                <w:kern w:val="0"/>
                <w:sz w:val="18"/>
                <w:szCs w:val="18"/>
                <w:highlight w:val="none"/>
                <w:lang w:val="en-US" w:eastAsia="zh-CN" w:bidi="ar-SA"/>
              </w:rPr>
            </w:pPr>
            <w:r>
              <w:rPr>
                <w:rFonts w:hint="eastAsia" w:ascii="宋体" w:hAnsi="宋体" w:eastAsia="宋体" w:cs="宋体"/>
                <w:color w:val="auto"/>
                <w:spacing w:val="14"/>
                <w:kern w:val="0"/>
                <w:sz w:val="18"/>
                <w:szCs w:val="18"/>
                <w:highlight w:val="none"/>
                <w:lang w:val="en-US" w:eastAsia="zh-CN" w:bidi="ar-SA"/>
              </w:rPr>
              <w:t>报价（含税金、规费、安全文明措施费）</w:t>
            </w:r>
          </w:p>
        </w:tc>
        <w:tc>
          <w:tcPr>
            <w:tcW w:w="5355" w:type="dxa"/>
            <w:noWrap w:val="0"/>
            <w:vAlign w:val="center"/>
          </w:tcPr>
          <w:p>
            <w:pPr>
              <w:bidi w:val="0"/>
              <w:jc w:val="center"/>
              <w:rPr>
                <w:rFonts w:hint="eastAsia" w:ascii="宋体" w:hAnsi="宋体" w:eastAsia="宋体" w:cs="宋体"/>
                <w:color w:val="auto"/>
                <w:spacing w:val="14"/>
                <w:kern w:val="0"/>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42" w:type="dxa"/>
            <w:noWrap w:val="0"/>
            <w:vAlign w:val="center"/>
          </w:tcPr>
          <w:p>
            <w:pPr>
              <w:bidi w:val="0"/>
              <w:jc w:val="center"/>
              <w:rPr>
                <w:rFonts w:hint="eastAsia" w:ascii="宋体" w:hAnsi="宋体" w:eastAsia="宋体" w:cs="宋体"/>
                <w:color w:val="auto"/>
                <w:spacing w:val="14"/>
                <w:kern w:val="0"/>
                <w:sz w:val="18"/>
                <w:szCs w:val="18"/>
                <w:highlight w:val="none"/>
                <w:lang w:val="en-US" w:eastAsia="zh-CN" w:bidi="ar-SA"/>
              </w:rPr>
            </w:pPr>
            <w:r>
              <w:rPr>
                <w:rFonts w:hint="eastAsia" w:ascii="宋体" w:hAnsi="宋体" w:eastAsia="宋体" w:cs="宋体"/>
                <w:color w:val="auto"/>
                <w:spacing w:val="14"/>
                <w:kern w:val="0"/>
                <w:sz w:val="18"/>
                <w:szCs w:val="18"/>
                <w:highlight w:val="none"/>
                <w:lang w:val="en-US" w:eastAsia="zh-CN" w:bidi="ar-SA"/>
              </w:rPr>
              <w:t>项目负责人及级别</w:t>
            </w:r>
          </w:p>
        </w:tc>
        <w:tc>
          <w:tcPr>
            <w:tcW w:w="5355" w:type="dxa"/>
            <w:noWrap w:val="0"/>
            <w:vAlign w:val="center"/>
          </w:tcPr>
          <w:p>
            <w:pPr>
              <w:bidi w:val="0"/>
              <w:jc w:val="center"/>
              <w:rPr>
                <w:rFonts w:hint="eastAsia" w:ascii="宋体" w:hAnsi="宋体" w:eastAsia="宋体" w:cs="宋体"/>
                <w:color w:val="auto"/>
                <w:spacing w:val="14"/>
                <w:kern w:val="0"/>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42" w:type="dxa"/>
            <w:noWrap w:val="0"/>
            <w:vAlign w:val="center"/>
          </w:tcPr>
          <w:p>
            <w:pPr>
              <w:bidi w:val="0"/>
              <w:jc w:val="center"/>
              <w:rPr>
                <w:rFonts w:hint="eastAsia" w:ascii="宋体" w:hAnsi="宋体" w:eastAsia="宋体" w:cs="宋体"/>
                <w:color w:val="auto"/>
                <w:spacing w:val="14"/>
                <w:kern w:val="0"/>
                <w:sz w:val="18"/>
                <w:szCs w:val="18"/>
                <w:highlight w:val="none"/>
                <w:lang w:val="en-US" w:eastAsia="zh-CN" w:bidi="ar-SA"/>
              </w:rPr>
            </w:pPr>
            <w:r>
              <w:rPr>
                <w:rFonts w:hint="eastAsia" w:ascii="宋体" w:hAnsi="宋体" w:eastAsia="宋体" w:cs="宋体"/>
                <w:color w:val="auto"/>
                <w:spacing w:val="14"/>
                <w:kern w:val="0"/>
                <w:sz w:val="18"/>
                <w:szCs w:val="18"/>
                <w:highlight w:val="none"/>
                <w:lang w:val="en-US" w:eastAsia="zh-CN" w:bidi="ar-SA"/>
              </w:rPr>
              <w:t>工期是否满足要求</w:t>
            </w:r>
          </w:p>
        </w:tc>
        <w:tc>
          <w:tcPr>
            <w:tcW w:w="5355" w:type="dxa"/>
            <w:noWrap w:val="0"/>
            <w:vAlign w:val="center"/>
          </w:tcPr>
          <w:p>
            <w:pPr>
              <w:bidi w:val="0"/>
              <w:jc w:val="center"/>
              <w:rPr>
                <w:rFonts w:hint="eastAsia" w:ascii="宋体" w:hAnsi="宋体" w:eastAsia="宋体" w:cs="宋体"/>
                <w:color w:val="auto"/>
                <w:spacing w:val="14"/>
                <w:kern w:val="0"/>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42" w:type="dxa"/>
            <w:noWrap w:val="0"/>
            <w:vAlign w:val="center"/>
          </w:tcPr>
          <w:p>
            <w:pPr>
              <w:bidi w:val="0"/>
              <w:jc w:val="center"/>
              <w:rPr>
                <w:rFonts w:hint="eastAsia" w:ascii="宋体" w:hAnsi="宋体" w:eastAsia="宋体" w:cs="宋体"/>
                <w:color w:val="auto"/>
                <w:spacing w:val="14"/>
                <w:kern w:val="0"/>
                <w:sz w:val="18"/>
                <w:szCs w:val="18"/>
                <w:highlight w:val="none"/>
                <w:lang w:val="en-US" w:eastAsia="zh-CN" w:bidi="ar-SA"/>
              </w:rPr>
            </w:pPr>
            <w:r>
              <w:rPr>
                <w:rFonts w:hint="eastAsia" w:ascii="宋体" w:hAnsi="宋体" w:eastAsia="宋体" w:cs="宋体"/>
                <w:color w:val="auto"/>
                <w:spacing w:val="14"/>
                <w:kern w:val="0"/>
                <w:sz w:val="18"/>
                <w:szCs w:val="18"/>
                <w:highlight w:val="none"/>
                <w:lang w:val="en-US" w:eastAsia="zh-CN" w:bidi="ar-SA"/>
              </w:rPr>
              <w:t>质量承诺</w:t>
            </w:r>
          </w:p>
        </w:tc>
        <w:tc>
          <w:tcPr>
            <w:tcW w:w="5355" w:type="dxa"/>
            <w:noWrap w:val="0"/>
            <w:vAlign w:val="center"/>
          </w:tcPr>
          <w:p>
            <w:pPr>
              <w:bidi w:val="0"/>
              <w:jc w:val="center"/>
              <w:rPr>
                <w:rFonts w:hint="eastAsia" w:ascii="宋体" w:hAnsi="宋体" w:eastAsia="宋体" w:cs="宋体"/>
                <w:color w:val="auto"/>
                <w:spacing w:val="14"/>
                <w:kern w:val="0"/>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42" w:type="dxa"/>
            <w:noWrap w:val="0"/>
            <w:vAlign w:val="center"/>
          </w:tcPr>
          <w:p>
            <w:pPr>
              <w:bidi w:val="0"/>
              <w:jc w:val="center"/>
              <w:rPr>
                <w:rFonts w:hint="eastAsia" w:ascii="宋体" w:hAnsi="宋体" w:eastAsia="宋体" w:cs="宋体"/>
                <w:color w:val="auto"/>
                <w:spacing w:val="14"/>
                <w:kern w:val="0"/>
                <w:sz w:val="18"/>
                <w:szCs w:val="18"/>
                <w:highlight w:val="none"/>
                <w:lang w:val="en-US" w:eastAsia="zh-CN" w:bidi="ar-SA"/>
              </w:rPr>
            </w:pPr>
            <w:r>
              <w:rPr>
                <w:rFonts w:hint="eastAsia" w:ascii="宋体" w:hAnsi="宋体" w:eastAsia="宋体" w:cs="宋体"/>
                <w:color w:val="auto"/>
                <w:spacing w:val="14"/>
                <w:kern w:val="0"/>
                <w:sz w:val="18"/>
                <w:szCs w:val="18"/>
                <w:highlight w:val="none"/>
                <w:lang w:val="en-US" w:eastAsia="zh-CN" w:bidi="ar-SA"/>
              </w:rPr>
              <w:t>安全目标</w:t>
            </w:r>
          </w:p>
        </w:tc>
        <w:tc>
          <w:tcPr>
            <w:tcW w:w="5355" w:type="dxa"/>
            <w:noWrap w:val="0"/>
            <w:vAlign w:val="center"/>
          </w:tcPr>
          <w:p>
            <w:pPr>
              <w:bidi w:val="0"/>
              <w:jc w:val="center"/>
              <w:rPr>
                <w:rFonts w:hint="eastAsia" w:ascii="宋体" w:hAnsi="宋体" w:eastAsia="宋体" w:cs="宋体"/>
                <w:color w:val="auto"/>
                <w:spacing w:val="14"/>
                <w:kern w:val="0"/>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42" w:type="dxa"/>
            <w:noWrap w:val="0"/>
            <w:vAlign w:val="center"/>
          </w:tcPr>
          <w:p>
            <w:pPr>
              <w:bidi w:val="0"/>
              <w:jc w:val="center"/>
              <w:rPr>
                <w:rFonts w:hint="default" w:ascii="宋体" w:hAnsi="宋体" w:eastAsia="宋体" w:cs="宋体"/>
                <w:color w:val="auto"/>
                <w:spacing w:val="14"/>
                <w:kern w:val="0"/>
                <w:sz w:val="18"/>
                <w:szCs w:val="18"/>
                <w:highlight w:val="none"/>
                <w:lang w:val="en-US" w:eastAsia="zh-CN" w:bidi="ar-SA"/>
              </w:rPr>
            </w:pPr>
            <w:r>
              <w:rPr>
                <w:rFonts w:hint="eastAsia" w:ascii="宋体" w:hAnsi="宋体" w:cs="宋体"/>
                <w:color w:val="auto"/>
                <w:spacing w:val="14"/>
                <w:kern w:val="0"/>
                <w:sz w:val="18"/>
                <w:szCs w:val="18"/>
                <w:highlight w:val="none"/>
                <w:lang w:val="en-US" w:eastAsia="zh-CN" w:bidi="ar-SA"/>
              </w:rPr>
              <w:t>文明工地目标</w:t>
            </w:r>
          </w:p>
        </w:tc>
        <w:tc>
          <w:tcPr>
            <w:tcW w:w="5355" w:type="dxa"/>
            <w:noWrap w:val="0"/>
            <w:vAlign w:val="center"/>
          </w:tcPr>
          <w:p>
            <w:pPr>
              <w:bidi w:val="0"/>
              <w:jc w:val="center"/>
              <w:rPr>
                <w:rFonts w:hint="eastAsia" w:ascii="宋体" w:hAnsi="宋体" w:eastAsia="宋体" w:cs="宋体"/>
                <w:color w:val="auto"/>
                <w:spacing w:val="14"/>
                <w:kern w:val="0"/>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42" w:type="dxa"/>
            <w:noWrap w:val="0"/>
            <w:vAlign w:val="center"/>
          </w:tcPr>
          <w:p>
            <w:pPr>
              <w:bidi w:val="0"/>
              <w:jc w:val="center"/>
              <w:rPr>
                <w:rFonts w:hint="eastAsia" w:ascii="宋体" w:hAnsi="宋体" w:eastAsia="宋体" w:cs="宋体"/>
                <w:color w:val="auto"/>
                <w:spacing w:val="14"/>
                <w:kern w:val="0"/>
                <w:sz w:val="18"/>
                <w:szCs w:val="18"/>
                <w:highlight w:val="none"/>
                <w:lang w:val="en-US" w:eastAsia="zh-CN" w:bidi="ar-SA"/>
              </w:rPr>
            </w:pPr>
            <w:r>
              <w:rPr>
                <w:rFonts w:hint="eastAsia" w:ascii="宋体" w:hAnsi="宋体" w:eastAsia="宋体" w:cs="宋体"/>
                <w:color w:val="auto"/>
                <w:spacing w:val="14"/>
                <w:kern w:val="0"/>
                <w:sz w:val="18"/>
                <w:szCs w:val="18"/>
                <w:highlight w:val="none"/>
                <w:lang w:val="en-US" w:eastAsia="zh-CN" w:bidi="ar-SA"/>
              </w:rPr>
              <w:t>扬尘防治目标</w:t>
            </w:r>
          </w:p>
        </w:tc>
        <w:tc>
          <w:tcPr>
            <w:tcW w:w="5355" w:type="dxa"/>
            <w:noWrap w:val="0"/>
            <w:vAlign w:val="center"/>
          </w:tcPr>
          <w:p>
            <w:pPr>
              <w:bidi w:val="0"/>
              <w:jc w:val="center"/>
              <w:rPr>
                <w:rFonts w:hint="default" w:ascii="宋体" w:hAnsi="宋体" w:eastAsia="宋体" w:cs="宋体"/>
                <w:color w:val="auto"/>
                <w:spacing w:val="14"/>
                <w:kern w:val="0"/>
                <w:sz w:val="18"/>
                <w:szCs w:val="18"/>
                <w:highlight w:val="none"/>
                <w:lang w:val="en-US" w:eastAsia="zh-CN" w:bidi="ar-SA"/>
              </w:rPr>
            </w:pPr>
          </w:p>
        </w:tc>
      </w:tr>
    </w:tbl>
    <w:tbl>
      <w:tblPr>
        <w:tblStyle w:val="12"/>
        <w:tblpPr w:leftFromText="180" w:rightFromText="180" w:vertAnchor="text" w:tblpY="138"/>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5758"/>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trPr>
        <w:tc>
          <w:tcPr>
            <w:tcW w:w="1187" w:type="dxa"/>
            <w:vMerge w:val="restart"/>
            <w:tcBorders>
              <w:right w:val="single" w:color="auto" w:sz="4" w:space="0"/>
            </w:tcBorders>
            <w:noWrap w:val="0"/>
            <w:vAlign w:val="center"/>
          </w:tcPr>
          <w:p>
            <w:pPr>
              <w:bidi w:val="0"/>
              <w:rPr>
                <w:rFonts w:hint="eastAsia" w:ascii="宋体" w:hAnsi="宋体" w:eastAsia="宋体" w:cs="宋体"/>
                <w:color w:val="auto"/>
                <w:spacing w:val="14"/>
                <w:kern w:val="0"/>
                <w:sz w:val="18"/>
                <w:szCs w:val="18"/>
                <w:highlight w:val="none"/>
                <w:lang w:val="en-US" w:eastAsia="zh-CN" w:bidi="ar-SA"/>
              </w:rPr>
            </w:pPr>
            <w:r>
              <w:rPr>
                <w:rFonts w:hint="eastAsia" w:ascii="宋体" w:hAnsi="宋体" w:eastAsia="宋体" w:cs="宋体"/>
                <w:color w:val="auto"/>
                <w:spacing w:val="14"/>
                <w:kern w:val="0"/>
                <w:sz w:val="18"/>
                <w:szCs w:val="18"/>
                <w:highlight w:val="none"/>
                <w:lang w:val="en-US" w:eastAsia="zh-CN" w:bidi="ar-SA"/>
              </w:rPr>
              <w:t>农民工工资保障金承诺</w:t>
            </w:r>
          </w:p>
        </w:tc>
        <w:tc>
          <w:tcPr>
            <w:tcW w:w="5758" w:type="dxa"/>
            <w:tcBorders>
              <w:bottom w:val="single" w:color="auto" w:sz="4" w:space="0"/>
              <w:right w:val="single" w:color="auto" w:sz="4" w:space="0"/>
            </w:tcBorders>
            <w:noWrap w:val="0"/>
            <w:vAlign w:val="center"/>
          </w:tcPr>
          <w:p>
            <w:pPr>
              <w:bidi w:val="0"/>
              <w:rPr>
                <w:rFonts w:hint="eastAsia" w:ascii="宋体" w:hAnsi="宋体" w:eastAsia="宋体" w:cs="宋体"/>
                <w:color w:val="auto"/>
                <w:spacing w:val="14"/>
                <w:kern w:val="0"/>
                <w:sz w:val="18"/>
                <w:szCs w:val="18"/>
                <w:highlight w:val="none"/>
                <w:lang w:val="en-US" w:eastAsia="zh-CN" w:bidi="ar-SA"/>
              </w:rPr>
            </w:pPr>
            <w:r>
              <w:rPr>
                <w:rFonts w:hint="eastAsia" w:ascii="宋体" w:hAnsi="宋体" w:eastAsia="宋体" w:cs="宋体"/>
                <w:color w:val="auto"/>
                <w:spacing w:val="14"/>
                <w:kern w:val="0"/>
                <w:sz w:val="18"/>
                <w:szCs w:val="18"/>
                <w:highlight w:val="none"/>
                <w:lang w:val="en-US" w:eastAsia="zh-CN" w:bidi="ar-SA"/>
              </w:rPr>
              <w:t>1、以前所建工程工资支付情况，是否存在拖欠或克扣</w:t>
            </w:r>
          </w:p>
        </w:tc>
        <w:tc>
          <w:tcPr>
            <w:tcW w:w="2269" w:type="dxa"/>
            <w:tcBorders>
              <w:bottom w:val="single" w:color="auto" w:sz="4" w:space="0"/>
              <w:right w:val="single" w:color="auto" w:sz="4" w:space="0"/>
            </w:tcBorders>
            <w:noWrap w:val="0"/>
            <w:vAlign w:val="top"/>
          </w:tcPr>
          <w:p>
            <w:pPr>
              <w:bidi w:val="0"/>
              <w:jc w:val="center"/>
              <w:rPr>
                <w:rFonts w:hint="eastAsia" w:ascii="宋体" w:hAnsi="宋体" w:eastAsia="宋体" w:cs="宋体"/>
                <w:color w:val="auto"/>
                <w:spacing w:val="14"/>
                <w:kern w:val="0"/>
                <w:sz w:val="18"/>
                <w:szCs w:val="18"/>
                <w:highlight w:val="none"/>
                <w:lang w:val="en-US" w:eastAsia="zh-CN" w:bidi="ar-SA"/>
              </w:rPr>
            </w:pPr>
            <w:r>
              <w:rPr>
                <w:rFonts w:hint="eastAsia" w:ascii="宋体" w:hAnsi="宋体" w:eastAsia="宋体" w:cs="宋体"/>
                <w:color w:val="auto"/>
                <w:spacing w:val="14"/>
                <w:kern w:val="0"/>
                <w:sz w:val="18"/>
                <w:szCs w:val="18"/>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trPr>
        <w:tc>
          <w:tcPr>
            <w:tcW w:w="1187" w:type="dxa"/>
            <w:vMerge w:val="continue"/>
            <w:tcBorders>
              <w:right w:val="single" w:color="auto" w:sz="4" w:space="0"/>
            </w:tcBorders>
            <w:noWrap w:val="0"/>
            <w:vAlign w:val="top"/>
          </w:tcPr>
          <w:p>
            <w:pPr>
              <w:bidi w:val="0"/>
              <w:rPr>
                <w:rFonts w:hint="eastAsia" w:ascii="宋体" w:hAnsi="宋体" w:eastAsia="宋体" w:cs="宋体"/>
                <w:color w:val="auto"/>
                <w:spacing w:val="14"/>
                <w:kern w:val="0"/>
                <w:sz w:val="18"/>
                <w:szCs w:val="18"/>
                <w:highlight w:val="none"/>
                <w:lang w:val="en-US" w:eastAsia="zh-CN" w:bidi="ar-SA"/>
              </w:rPr>
            </w:pPr>
          </w:p>
        </w:tc>
        <w:tc>
          <w:tcPr>
            <w:tcW w:w="5758" w:type="dxa"/>
            <w:tcBorders>
              <w:bottom w:val="single" w:color="auto" w:sz="4" w:space="0"/>
              <w:right w:val="single" w:color="auto" w:sz="4" w:space="0"/>
            </w:tcBorders>
            <w:noWrap w:val="0"/>
            <w:vAlign w:val="center"/>
          </w:tcPr>
          <w:p>
            <w:pPr>
              <w:bidi w:val="0"/>
              <w:rPr>
                <w:rFonts w:hint="eastAsia" w:ascii="宋体" w:hAnsi="宋体" w:eastAsia="宋体" w:cs="宋体"/>
                <w:color w:val="auto"/>
                <w:spacing w:val="14"/>
                <w:kern w:val="0"/>
                <w:sz w:val="18"/>
                <w:szCs w:val="18"/>
                <w:highlight w:val="none"/>
                <w:lang w:val="en-US" w:eastAsia="zh-CN" w:bidi="ar-SA"/>
              </w:rPr>
            </w:pPr>
            <w:r>
              <w:rPr>
                <w:rFonts w:hint="eastAsia" w:ascii="宋体" w:hAnsi="宋体" w:eastAsia="宋体" w:cs="宋体"/>
                <w:color w:val="auto"/>
                <w:spacing w:val="14"/>
                <w:kern w:val="0"/>
                <w:sz w:val="18"/>
                <w:szCs w:val="18"/>
                <w:highlight w:val="none"/>
                <w:lang w:val="en-US" w:eastAsia="zh-CN" w:bidi="ar-SA"/>
              </w:rPr>
              <w:t>2、成交后能否足额存入农民工工资保障金</w:t>
            </w:r>
          </w:p>
        </w:tc>
        <w:tc>
          <w:tcPr>
            <w:tcW w:w="2269" w:type="dxa"/>
            <w:tcBorders>
              <w:bottom w:val="single" w:color="auto" w:sz="4" w:space="0"/>
              <w:right w:val="single" w:color="auto" w:sz="4" w:space="0"/>
            </w:tcBorders>
            <w:noWrap w:val="0"/>
            <w:vAlign w:val="top"/>
          </w:tcPr>
          <w:p>
            <w:pPr>
              <w:bidi w:val="0"/>
              <w:jc w:val="center"/>
              <w:rPr>
                <w:rFonts w:hint="eastAsia" w:ascii="宋体" w:hAnsi="宋体" w:eastAsia="宋体" w:cs="宋体"/>
                <w:color w:val="auto"/>
                <w:spacing w:val="14"/>
                <w:kern w:val="0"/>
                <w:sz w:val="18"/>
                <w:szCs w:val="18"/>
                <w:highlight w:val="none"/>
                <w:lang w:val="en-US" w:eastAsia="zh-CN" w:bidi="ar-SA"/>
              </w:rPr>
            </w:pPr>
            <w:r>
              <w:rPr>
                <w:rFonts w:hint="eastAsia" w:ascii="宋体" w:hAnsi="宋体" w:eastAsia="宋体" w:cs="宋体"/>
                <w:color w:val="auto"/>
                <w:spacing w:val="14"/>
                <w:kern w:val="0"/>
                <w:sz w:val="18"/>
                <w:szCs w:val="18"/>
                <w:highlight w:val="none"/>
                <w:lang w:val="en-US" w:eastAsia="zh-CN" w:bidi="ar-SA"/>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87" w:type="dxa"/>
            <w:vMerge w:val="continue"/>
            <w:tcBorders>
              <w:right w:val="single" w:color="auto" w:sz="4" w:space="0"/>
            </w:tcBorders>
            <w:noWrap w:val="0"/>
            <w:vAlign w:val="top"/>
          </w:tcPr>
          <w:p>
            <w:pPr>
              <w:bidi w:val="0"/>
              <w:rPr>
                <w:rFonts w:hint="eastAsia" w:ascii="宋体" w:hAnsi="宋体" w:eastAsia="宋体" w:cs="宋体"/>
                <w:color w:val="auto"/>
                <w:spacing w:val="14"/>
                <w:kern w:val="0"/>
                <w:sz w:val="18"/>
                <w:szCs w:val="18"/>
                <w:highlight w:val="none"/>
                <w:lang w:val="en-US" w:eastAsia="zh-CN" w:bidi="ar-SA"/>
              </w:rPr>
            </w:pPr>
          </w:p>
        </w:tc>
        <w:tc>
          <w:tcPr>
            <w:tcW w:w="5758" w:type="dxa"/>
            <w:tcBorders>
              <w:bottom w:val="single" w:color="auto" w:sz="4" w:space="0"/>
              <w:right w:val="single" w:color="auto" w:sz="4" w:space="0"/>
            </w:tcBorders>
            <w:noWrap w:val="0"/>
            <w:vAlign w:val="center"/>
          </w:tcPr>
          <w:p>
            <w:pPr>
              <w:bidi w:val="0"/>
              <w:rPr>
                <w:rFonts w:hint="eastAsia" w:ascii="宋体" w:hAnsi="宋体" w:eastAsia="宋体" w:cs="宋体"/>
                <w:color w:val="auto"/>
                <w:spacing w:val="14"/>
                <w:kern w:val="0"/>
                <w:sz w:val="18"/>
                <w:szCs w:val="18"/>
                <w:highlight w:val="none"/>
                <w:lang w:val="en-US" w:eastAsia="zh-CN" w:bidi="ar-SA"/>
              </w:rPr>
            </w:pPr>
            <w:r>
              <w:rPr>
                <w:rFonts w:hint="eastAsia" w:ascii="宋体" w:hAnsi="宋体" w:eastAsia="宋体" w:cs="宋体"/>
                <w:color w:val="auto"/>
                <w:spacing w:val="14"/>
                <w:kern w:val="0"/>
                <w:sz w:val="18"/>
                <w:szCs w:val="18"/>
                <w:highlight w:val="none"/>
                <w:lang w:val="en-US" w:eastAsia="zh-CN" w:bidi="ar-SA"/>
              </w:rPr>
              <w:t>3、其承包的工程项目一旦出现拖欠职工工资，是否可由建设行政主管部门从工资保障金中先予划支</w:t>
            </w:r>
          </w:p>
        </w:tc>
        <w:tc>
          <w:tcPr>
            <w:tcW w:w="2269" w:type="dxa"/>
            <w:tcBorders>
              <w:bottom w:val="single" w:color="auto" w:sz="4" w:space="0"/>
              <w:right w:val="single" w:color="auto" w:sz="4" w:space="0"/>
            </w:tcBorders>
            <w:noWrap w:val="0"/>
            <w:vAlign w:val="center"/>
          </w:tcPr>
          <w:p>
            <w:pPr>
              <w:bidi w:val="0"/>
              <w:jc w:val="center"/>
              <w:rPr>
                <w:rFonts w:hint="eastAsia" w:ascii="宋体" w:hAnsi="宋体" w:eastAsia="宋体" w:cs="宋体"/>
                <w:color w:val="auto"/>
                <w:spacing w:val="14"/>
                <w:kern w:val="0"/>
                <w:sz w:val="18"/>
                <w:szCs w:val="18"/>
                <w:highlight w:val="none"/>
                <w:lang w:val="en-US" w:eastAsia="zh-CN" w:bidi="ar-SA"/>
              </w:rPr>
            </w:pPr>
            <w:r>
              <w:rPr>
                <w:rFonts w:hint="eastAsia" w:ascii="宋体" w:hAnsi="宋体" w:eastAsia="宋体" w:cs="宋体"/>
                <w:color w:val="auto"/>
                <w:spacing w:val="14"/>
                <w:kern w:val="0"/>
                <w:sz w:val="18"/>
                <w:szCs w:val="18"/>
                <w:highlight w:val="non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trPr>
        <w:tc>
          <w:tcPr>
            <w:tcW w:w="1187" w:type="dxa"/>
            <w:vMerge w:val="continue"/>
            <w:tcBorders>
              <w:bottom w:val="single" w:color="auto" w:sz="4" w:space="0"/>
              <w:right w:val="single" w:color="auto" w:sz="4" w:space="0"/>
            </w:tcBorders>
            <w:noWrap w:val="0"/>
            <w:vAlign w:val="top"/>
          </w:tcPr>
          <w:p>
            <w:pPr>
              <w:bidi w:val="0"/>
              <w:rPr>
                <w:rFonts w:hint="eastAsia" w:ascii="宋体" w:hAnsi="宋体" w:eastAsia="宋体" w:cs="宋体"/>
                <w:color w:val="auto"/>
                <w:spacing w:val="14"/>
                <w:kern w:val="0"/>
                <w:sz w:val="18"/>
                <w:szCs w:val="18"/>
                <w:highlight w:val="none"/>
                <w:lang w:val="en-US" w:eastAsia="zh-CN" w:bidi="ar-SA"/>
              </w:rPr>
            </w:pPr>
          </w:p>
        </w:tc>
        <w:tc>
          <w:tcPr>
            <w:tcW w:w="8027" w:type="dxa"/>
            <w:gridSpan w:val="2"/>
            <w:tcBorders>
              <w:bottom w:val="single" w:color="auto" w:sz="4" w:space="0"/>
              <w:right w:val="single" w:color="auto" w:sz="4" w:space="0"/>
            </w:tcBorders>
            <w:noWrap w:val="0"/>
            <w:vAlign w:val="center"/>
          </w:tcPr>
          <w:p>
            <w:pPr>
              <w:bidi w:val="0"/>
              <w:rPr>
                <w:rFonts w:hint="eastAsia" w:ascii="宋体" w:hAnsi="宋体" w:eastAsia="宋体" w:cs="宋体"/>
                <w:color w:val="auto"/>
                <w:spacing w:val="14"/>
                <w:kern w:val="0"/>
                <w:sz w:val="18"/>
                <w:szCs w:val="18"/>
                <w:highlight w:val="none"/>
                <w:lang w:val="en-US" w:eastAsia="zh-CN" w:bidi="ar-SA"/>
              </w:rPr>
            </w:pPr>
            <w:r>
              <w:rPr>
                <w:rFonts w:hint="eastAsia" w:ascii="宋体" w:hAnsi="宋体" w:eastAsia="宋体" w:cs="宋体"/>
                <w:color w:val="auto"/>
                <w:spacing w:val="14"/>
                <w:kern w:val="0"/>
                <w:sz w:val="18"/>
                <w:szCs w:val="18"/>
                <w:highlight w:val="none"/>
                <w:lang w:val="en-US" w:eastAsia="zh-CN" w:bidi="ar-SA"/>
              </w:rPr>
              <w:t>供应商提交的响应文件不具备以上承诺的，在资格审查时对其实行“一票否决”。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87" w:type="dxa"/>
            <w:tcBorders>
              <w:right w:val="single" w:color="auto" w:sz="4" w:space="0"/>
            </w:tcBorders>
            <w:noWrap w:val="0"/>
            <w:vAlign w:val="center"/>
          </w:tcPr>
          <w:p>
            <w:pPr>
              <w:bidi w:val="0"/>
              <w:rPr>
                <w:rFonts w:hint="eastAsia" w:ascii="宋体" w:hAnsi="宋体" w:eastAsia="宋体" w:cs="宋体"/>
                <w:color w:val="auto"/>
                <w:spacing w:val="14"/>
                <w:kern w:val="0"/>
                <w:sz w:val="18"/>
                <w:szCs w:val="18"/>
                <w:highlight w:val="none"/>
                <w:lang w:val="en-US" w:eastAsia="zh-CN" w:bidi="ar-SA"/>
              </w:rPr>
            </w:pPr>
            <w:r>
              <w:rPr>
                <w:rFonts w:hint="eastAsia" w:ascii="宋体" w:hAnsi="宋体" w:eastAsia="宋体" w:cs="宋体"/>
                <w:color w:val="auto"/>
                <w:spacing w:val="14"/>
                <w:kern w:val="0"/>
                <w:sz w:val="18"/>
                <w:szCs w:val="18"/>
                <w:highlight w:val="none"/>
                <w:lang w:val="en-US" w:eastAsia="zh-CN" w:bidi="ar-SA"/>
              </w:rPr>
              <w:t>其他承诺</w:t>
            </w:r>
          </w:p>
        </w:tc>
        <w:tc>
          <w:tcPr>
            <w:tcW w:w="8027" w:type="dxa"/>
            <w:gridSpan w:val="2"/>
            <w:tcBorders>
              <w:right w:val="single" w:color="auto" w:sz="4" w:space="0"/>
            </w:tcBorders>
            <w:noWrap w:val="0"/>
            <w:vAlign w:val="top"/>
          </w:tcPr>
          <w:p>
            <w:pPr>
              <w:bidi w:val="0"/>
              <w:rPr>
                <w:rFonts w:hint="eastAsia" w:ascii="宋体" w:hAnsi="宋体" w:eastAsia="宋体" w:cs="宋体"/>
                <w:color w:val="auto"/>
                <w:spacing w:val="14"/>
                <w:kern w:val="0"/>
                <w:sz w:val="18"/>
                <w:szCs w:val="18"/>
                <w:highlight w:val="none"/>
                <w:lang w:val="en-US" w:eastAsia="zh-CN" w:bidi="ar-SA"/>
              </w:rPr>
            </w:pPr>
            <w:r>
              <w:rPr>
                <w:rFonts w:hint="eastAsia" w:ascii="宋体" w:hAnsi="宋体" w:eastAsia="宋体" w:cs="宋体"/>
                <w:color w:val="auto"/>
                <w:spacing w:val="14"/>
                <w:kern w:val="0"/>
                <w:sz w:val="18"/>
                <w:szCs w:val="18"/>
                <w:highlight w:val="none"/>
                <w:lang w:val="en-US" w:eastAsia="zh-CN" w:bidi="ar-SA"/>
              </w:rPr>
              <w:t>1、不使用不符合施工图设计和施工技术规范要求的材料；</w:t>
            </w:r>
          </w:p>
          <w:p>
            <w:pPr>
              <w:bidi w:val="0"/>
              <w:rPr>
                <w:rFonts w:hint="eastAsia" w:ascii="宋体" w:hAnsi="宋体" w:eastAsia="宋体" w:cs="宋体"/>
                <w:color w:val="auto"/>
                <w:spacing w:val="14"/>
                <w:kern w:val="0"/>
                <w:sz w:val="18"/>
                <w:szCs w:val="18"/>
                <w:highlight w:val="none"/>
                <w:lang w:val="en-US" w:eastAsia="zh-CN" w:bidi="ar-SA"/>
              </w:rPr>
            </w:pPr>
            <w:r>
              <w:rPr>
                <w:rFonts w:hint="eastAsia" w:ascii="宋体" w:hAnsi="宋体" w:eastAsia="宋体" w:cs="宋体"/>
                <w:color w:val="auto"/>
                <w:spacing w:val="14"/>
                <w:kern w:val="0"/>
                <w:sz w:val="18"/>
                <w:szCs w:val="18"/>
                <w:highlight w:val="none"/>
                <w:lang w:val="en-US" w:eastAsia="zh-CN" w:bidi="ar-SA"/>
              </w:rPr>
              <w:t>2、不将承包项目分包给无相应资质的施工企业或无相应施工技术水平与经验的施工队伍；</w:t>
            </w:r>
          </w:p>
          <w:p>
            <w:pPr>
              <w:bidi w:val="0"/>
              <w:rPr>
                <w:rFonts w:hint="eastAsia" w:ascii="宋体" w:hAnsi="宋体" w:eastAsia="宋体" w:cs="宋体"/>
                <w:color w:val="auto"/>
                <w:spacing w:val="14"/>
                <w:kern w:val="0"/>
                <w:sz w:val="18"/>
                <w:szCs w:val="18"/>
                <w:highlight w:val="none"/>
                <w:lang w:val="en-US" w:eastAsia="zh-CN" w:bidi="ar-SA"/>
              </w:rPr>
            </w:pPr>
            <w:r>
              <w:rPr>
                <w:rFonts w:hint="eastAsia" w:ascii="宋体" w:hAnsi="宋体" w:eastAsia="宋体" w:cs="宋体"/>
                <w:color w:val="auto"/>
                <w:spacing w:val="14"/>
                <w:kern w:val="0"/>
                <w:sz w:val="18"/>
                <w:szCs w:val="18"/>
                <w:highlight w:val="none"/>
                <w:lang w:val="en-US" w:eastAsia="zh-CN" w:bidi="ar-SA"/>
              </w:rPr>
              <w:t>3、不以低于质量合格成本价报价。</w:t>
            </w:r>
          </w:p>
          <w:p>
            <w:pPr>
              <w:bidi w:val="0"/>
              <w:rPr>
                <w:rFonts w:hint="eastAsia" w:ascii="宋体" w:hAnsi="宋体" w:eastAsia="宋体" w:cs="宋体"/>
                <w:color w:val="auto"/>
                <w:spacing w:val="14"/>
                <w:kern w:val="0"/>
                <w:sz w:val="18"/>
                <w:szCs w:val="18"/>
                <w:highlight w:val="none"/>
                <w:lang w:val="en-US" w:eastAsia="zh-CN" w:bidi="ar-SA"/>
              </w:rPr>
            </w:pPr>
            <w:r>
              <w:rPr>
                <w:rFonts w:hint="eastAsia" w:ascii="宋体" w:hAnsi="宋体" w:eastAsia="宋体" w:cs="宋体"/>
                <w:color w:val="auto"/>
                <w:spacing w:val="14"/>
                <w:kern w:val="0"/>
                <w:sz w:val="18"/>
                <w:szCs w:val="18"/>
                <w:highlight w:val="none"/>
                <w:lang w:val="en-US" w:eastAsia="zh-CN" w:bidi="ar-SA"/>
              </w:rPr>
              <w:t>4、所报项目经理每周保证4天在工地现场；项目部组成人员每周应有5天在工地现场。</w:t>
            </w:r>
          </w:p>
        </w:tc>
      </w:tr>
    </w:tbl>
    <w:p>
      <w:pPr>
        <w:bidi w:val="0"/>
        <w:rPr>
          <w:rFonts w:hint="eastAsia" w:ascii="宋体" w:hAnsi="宋体" w:eastAsia="宋体" w:cs="宋体"/>
          <w:color w:val="auto"/>
          <w:spacing w:val="14"/>
          <w:kern w:val="0"/>
          <w:sz w:val="24"/>
          <w:szCs w:val="24"/>
          <w:highlight w:val="none"/>
          <w:lang w:val="en-US" w:eastAsia="zh-CN" w:bidi="ar-SA"/>
        </w:rPr>
      </w:pPr>
      <w:r>
        <w:rPr>
          <w:rFonts w:hint="eastAsia" w:ascii="宋体" w:hAnsi="宋体" w:eastAsia="宋体" w:cs="宋体"/>
          <w:color w:val="auto"/>
          <w:spacing w:val="14"/>
          <w:kern w:val="0"/>
          <w:sz w:val="24"/>
          <w:szCs w:val="24"/>
          <w:highlight w:val="none"/>
          <w:lang w:val="en-US" w:eastAsia="zh-CN" w:bidi="ar-SA"/>
        </w:rPr>
        <w:t>供应商（企业电子章）：</w:t>
      </w:r>
    </w:p>
    <w:p>
      <w:pPr>
        <w:rPr>
          <w:rFonts w:hint="eastAsia"/>
          <w:color w:val="auto"/>
          <w:highlight w:val="none"/>
        </w:rPr>
      </w:pPr>
      <w:r>
        <w:rPr>
          <w:rFonts w:hint="eastAsia"/>
          <w:color w:val="auto"/>
          <w:highlight w:val="none"/>
        </w:rPr>
        <w:br w:type="page"/>
      </w:r>
    </w:p>
    <w:p>
      <w:pPr>
        <w:keepNext w:val="0"/>
        <w:keepLines w:val="0"/>
        <w:widowControl/>
        <w:suppressLineNumbers w:val="0"/>
        <w:jc w:val="center"/>
        <w:rPr>
          <w:color w:val="auto"/>
          <w:highlight w:val="none"/>
        </w:rPr>
      </w:pPr>
      <w:r>
        <w:rPr>
          <w:rFonts w:hint="eastAsia" w:ascii="宋体" w:hAnsi="宋体" w:eastAsia="宋体" w:cs="宋体"/>
          <w:b/>
          <w:bCs/>
          <w:color w:val="auto"/>
          <w:kern w:val="0"/>
          <w:sz w:val="24"/>
          <w:szCs w:val="24"/>
          <w:highlight w:val="none"/>
          <w:lang w:val="en-US" w:eastAsia="zh-CN" w:bidi="ar"/>
        </w:rPr>
        <w:t>中小企业（监狱企业、残疾人福利性单位）说明</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1、投标人须在投标文件中提供《中小企业声明函》；如未按要求提供或相关内容表述不清的或内容不全的，将不予认可。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2、根据财政部、司法部发布的《关于政府采购支持监狱企业发展有关问题的通知》（财库〔2014〕68 号）规定，本项目在评审中对监狱企业视同小型、微型企业，享受价格扣除政策。监狱企业作为投标人须提供由省级以上监狱管理局、戒毒管理局(含新疆生产建设兵团)出具的属于监狱企业的证明文件的扫描件，否则不予认定。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根据财政部、民政部、中国残疾人联合会《关于促进残疾人就业政府采购政策的通知》（财库〔2017〕141号）规定，本项目在评审中对残疾人福利性单位视同小型、微型企业，享受价格扣除政策。残疾人福利性单位作为投标人须提供《残疾人福利性单位声明函》，否则不予认定。</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4、投标人对所报相关内容的真实性负责，采购代理机构有权将相关内容进行公示，因弄虚作假导致的后果由投标人自行承担。</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5、相关证明资料附后。</w:t>
      </w:r>
    </w:p>
    <w:p>
      <w:pPr>
        <w:rPr>
          <w:rFonts w:hint="eastAsia"/>
          <w:color w:val="auto"/>
          <w:highlight w:val="none"/>
        </w:rPr>
      </w:pPr>
      <w:r>
        <w:rPr>
          <w:rFonts w:hint="eastAsia"/>
          <w:color w:val="auto"/>
          <w:highlight w:val="none"/>
        </w:rPr>
        <w:br w:type="page"/>
      </w:r>
    </w:p>
    <w:p>
      <w:pPr>
        <w:pStyle w:val="5"/>
        <w:bidi w:val="0"/>
        <w:rPr>
          <w:rFonts w:hint="eastAsia"/>
          <w:color w:val="auto"/>
          <w:highlight w:val="none"/>
        </w:rPr>
      </w:pPr>
      <w:r>
        <w:rPr>
          <w:rFonts w:hint="eastAsia"/>
          <w:color w:val="auto"/>
          <w:highlight w:val="none"/>
        </w:rPr>
        <w:t>八、工程报价明细表</w:t>
      </w:r>
    </w:p>
    <w:p>
      <w:pPr>
        <w:rPr>
          <w:rFonts w:hint="eastAsia"/>
          <w:color w:val="auto"/>
          <w:highlight w:val="none"/>
        </w:rPr>
      </w:pPr>
    </w:p>
    <w:p>
      <w:pPr>
        <w:rPr>
          <w:rFonts w:hint="eastAsia"/>
          <w:color w:val="auto"/>
          <w:highlight w:val="none"/>
        </w:rPr>
      </w:pPr>
    </w:p>
    <w:p>
      <w:pPr>
        <w:rPr>
          <w:rFonts w:hint="eastAsia"/>
          <w:color w:val="auto"/>
          <w:highlight w:val="none"/>
        </w:rPr>
      </w:pPr>
      <w:r>
        <w:rPr>
          <w:rFonts w:hint="eastAsia"/>
          <w:color w:val="auto"/>
          <w:highlight w:val="none"/>
        </w:rPr>
        <w:br w:type="page"/>
      </w:r>
    </w:p>
    <w:p>
      <w:pPr>
        <w:pStyle w:val="5"/>
        <w:bidi w:val="0"/>
        <w:rPr>
          <w:rFonts w:hint="eastAsia"/>
          <w:color w:val="auto"/>
          <w:highlight w:val="none"/>
        </w:rPr>
      </w:pPr>
      <w:r>
        <w:rPr>
          <w:rFonts w:hint="eastAsia"/>
          <w:color w:val="auto"/>
          <w:highlight w:val="none"/>
        </w:rPr>
        <w:t xml:space="preserve">九、中小微企业声明函（供应商） </w:t>
      </w:r>
    </w:p>
    <w:p>
      <w:pPr>
        <w:jc w:val="center"/>
        <w:rPr>
          <w:rFonts w:hint="eastAsia"/>
          <w:color w:val="auto"/>
          <w:highlight w:val="none"/>
        </w:rPr>
      </w:pPr>
      <w:r>
        <w:rPr>
          <w:rFonts w:hint="eastAsia"/>
          <w:color w:val="auto"/>
          <w:highlight w:val="none"/>
        </w:rPr>
        <w:t>中小企业声明函（工程）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highlight w:val="none"/>
          <w:u w:val="single"/>
        </w:rPr>
        <w:t>（单位名称）</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highlight w:val="none"/>
          <w:u w:val="single"/>
        </w:rPr>
        <w:t>（项目名称）</w:t>
      </w:r>
      <w:r>
        <w:rPr>
          <w:rFonts w:hint="eastAsia" w:asciiTheme="minorEastAsia" w:hAnsiTheme="minorEastAsia" w:eastAsiaTheme="minorEastAsia" w:cstheme="minorEastAsia"/>
          <w:color w:val="auto"/>
          <w:highlight w:val="none"/>
        </w:rPr>
        <w:t>采购活动。工程的施工单位全部为符合政策要求的中小企业承接。相关企业的具体情况如下：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u w:val="single"/>
        </w:rPr>
        <w:t>（标的名称）</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（采购文件中明确的所属行业）</w:t>
      </w:r>
      <w:r>
        <w:rPr>
          <w:rFonts w:hint="eastAsia" w:asciiTheme="minorEastAsia" w:hAnsiTheme="minorEastAsia" w:eastAsiaTheme="minorEastAsia" w:cstheme="minorEastAsia"/>
          <w:color w:val="auto"/>
          <w:highlight w:val="none"/>
        </w:rPr>
        <w:t>：承建（承接）企业为</w:t>
      </w:r>
      <w:r>
        <w:rPr>
          <w:rFonts w:hint="eastAsia" w:asciiTheme="minorEastAsia" w:hAnsiTheme="minorEastAsia" w:eastAsiaTheme="minorEastAsia" w:cstheme="minorEastAsia"/>
          <w:color w:val="auto"/>
          <w:highlight w:val="none"/>
          <w:u w:val="single"/>
        </w:rPr>
        <w:t>（企业名称）</w:t>
      </w:r>
      <w:r>
        <w:rPr>
          <w:rFonts w:hint="eastAsia" w:asciiTheme="minorEastAsia" w:hAnsiTheme="minorEastAsia" w:eastAsiaTheme="minorEastAsia" w:cstheme="minorEastAsia"/>
          <w:color w:val="auto"/>
          <w:highlight w:val="none"/>
        </w:rPr>
        <w:t>，从业人员</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人，营业收入为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万元，资产总额为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 ，属于</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（中型企业、小型企业、微型企业）；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u w:val="single"/>
        </w:rPr>
        <w:t>（标的名称）</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（采购文件中明确的所属行业）</w:t>
      </w:r>
      <w:r>
        <w:rPr>
          <w:rFonts w:hint="eastAsia" w:asciiTheme="minorEastAsia" w:hAnsiTheme="minorEastAsia" w:eastAsiaTheme="minorEastAsia" w:cstheme="minorEastAsia"/>
          <w:color w:val="auto"/>
          <w:highlight w:val="none"/>
        </w:rPr>
        <w:t>：承建（承接）企业为</w:t>
      </w:r>
      <w:r>
        <w:rPr>
          <w:rFonts w:hint="eastAsia" w:asciiTheme="minorEastAsia" w:hAnsiTheme="minorEastAsia" w:eastAsiaTheme="minorEastAsia" w:cstheme="minorEastAsia"/>
          <w:color w:val="auto"/>
          <w:highlight w:val="none"/>
          <w:u w:val="single"/>
        </w:rPr>
        <w:t>（企业名称）</w:t>
      </w:r>
      <w:r>
        <w:rPr>
          <w:rFonts w:hint="eastAsia" w:asciiTheme="minorEastAsia" w:hAnsiTheme="minorEastAsia" w:eastAsiaTheme="minorEastAsia" w:cstheme="minorEastAsia"/>
          <w:color w:val="auto"/>
          <w:highlight w:val="none"/>
        </w:rPr>
        <w:t>，从业人员</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人，营业收入为</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万元，资产总额为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万元，属于</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（中型企业、小型企业、微型企业）；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以上企业，不属于大企业的分支机构，不存在控股股东为大企业的情形，也不存在与大企业的负责人为同一人的情形。</w:t>
      </w: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投标人（企业电子章）：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2、中小企业划分标准见工业和信息化部国家统计局国家发展和改革委员财政部《关于印发中小企业划型标准规定的通知》（工信部联企业〔2011〕300 号)。</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5"/>
        <w:bidi w:val="0"/>
        <w:rPr>
          <w:color w:val="auto"/>
          <w:highlight w:val="none"/>
        </w:rPr>
      </w:pPr>
      <w:r>
        <w:rPr>
          <w:color w:val="auto"/>
          <w:highlight w:val="none"/>
          <w:lang w:val="en-US" w:eastAsia="zh-CN"/>
        </w:rPr>
        <w:t xml:space="preserve">十、残疾人福利性单位声明函 </w:t>
      </w:r>
    </w:p>
    <w:p>
      <w:pPr>
        <w:pStyle w:val="6"/>
        <w:bidi w:val="0"/>
        <w:rPr>
          <w:color w:val="auto"/>
          <w:highlight w:val="none"/>
        </w:rPr>
      </w:pPr>
      <w:r>
        <w:rPr>
          <w:color w:val="auto"/>
          <w:highlight w:val="none"/>
          <w:lang w:val="en-US" w:eastAsia="zh-CN"/>
        </w:rPr>
        <w:t xml:space="preserve">附件6-2：残疾人福利性单位声明函 </w:t>
      </w:r>
    </w:p>
    <w:p>
      <w:pPr>
        <w:keepNext w:val="0"/>
        <w:keepLines w:val="0"/>
        <w:widowControl/>
        <w:suppressLineNumbers w:val="0"/>
        <w:jc w:val="center"/>
        <w:rPr>
          <w:color w:val="auto"/>
          <w:highlight w:val="none"/>
        </w:rPr>
      </w:pPr>
      <w:r>
        <w:rPr>
          <w:rFonts w:hint="eastAsia" w:ascii="宋体" w:hAnsi="宋体" w:eastAsia="宋体" w:cs="宋体"/>
          <w:b/>
          <w:bCs/>
          <w:color w:val="auto"/>
          <w:kern w:val="0"/>
          <w:sz w:val="24"/>
          <w:szCs w:val="24"/>
          <w:highlight w:val="none"/>
          <w:lang w:val="en-US" w:eastAsia="zh-CN" w:bidi="ar"/>
        </w:rPr>
        <w:t>残疾人福利性单位声明函</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号）的规定，本单位为符合条件的残疾人福利性单位，且本单位参加______单位的______项目采购活动，由本企业承担工程。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本单位对上述声明的真实性负责。如有虚假，将依法承担相应责任。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供应商（企业电子章）：</w:t>
      </w:r>
    </w:p>
    <w:p>
      <w:pPr>
        <w:rPr>
          <w:rFonts w:hint="eastAsia"/>
          <w:color w:val="auto"/>
          <w:highlight w:val="none"/>
        </w:rPr>
      </w:pPr>
    </w:p>
    <w:p>
      <w:pPr>
        <w:rPr>
          <w:rFonts w:hint="eastAsia"/>
          <w:color w:val="auto"/>
          <w:highlight w:val="none"/>
        </w:rPr>
      </w:pPr>
      <w:r>
        <w:rPr>
          <w:rFonts w:hint="eastAsia"/>
          <w:color w:val="auto"/>
          <w:highlight w:val="none"/>
        </w:rPr>
        <w:br w:type="page"/>
      </w:r>
    </w:p>
    <w:p>
      <w:pPr>
        <w:pStyle w:val="5"/>
        <w:bidi w:val="0"/>
        <w:rPr>
          <w:color w:val="auto"/>
          <w:highlight w:val="none"/>
        </w:rPr>
      </w:pPr>
      <w:r>
        <w:rPr>
          <w:color w:val="auto"/>
          <w:highlight w:val="none"/>
          <w:lang w:val="en-US" w:eastAsia="zh-CN"/>
        </w:rPr>
        <w:t xml:space="preserve">十一、监狱企业证明文件 </w:t>
      </w:r>
    </w:p>
    <w:p>
      <w:pPr>
        <w:pStyle w:val="6"/>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附件6-3：监狱企业证明文件 </w:t>
      </w:r>
    </w:p>
    <w:p>
      <w:pPr>
        <w:keepNext w:val="0"/>
        <w:keepLines w:val="0"/>
        <w:widowControl/>
        <w:suppressLineNumbers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监狱企业证明文件</w:t>
      </w:r>
    </w:p>
    <w:p>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（监狱企业参加政府采购活动时，应当提供由省级以上监狱管理局、戒毒管理局(含新疆生产建设兵团)出具的属于监狱企业的证明文件。 </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注：在响应文件中附扫描件</w:t>
      </w:r>
    </w:p>
    <w:p>
      <w:pPr>
        <w:rPr>
          <w:rFonts w:hint="eastAsia"/>
          <w:color w:val="auto"/>
          <w:highlight w:val="none"/>
        </w:rPr>
      </w:pPr>
      <w:r>
        <w:rPr>
          <w:rFonts w:hint="eastAsia"/>
          <w:color w:val="auto"/>
          <w:highlight w:val="none"/>
        </w:rPr>
        <w:br w:type="page"/>
      </w:r>
    </w:p>
    <w:p>
      <w:pPr>
        <w:pStyle w:val="5"/>
        <w:bidi w:val="0"/>
        <w:rPr>
          <w:color w:val="auto"/>
          <w:highlight w:val="none"/>
        </w:rPr>
      </w:pPr>
      <w:r>
        <w:rPr>
          <w:color w:val="auto"/>
          <w:highlight w:val="none"/>
        </w:rPr>
        <w:t>十二、工程预算书</w:t>
      </w:r>
    </w:p>
    <w:p>
      <w:pPr>
        <w:pStyle w:val="6"/>
        <w:bidi w:val="0"/>
        <w:rPr>
          <w:color w:val="auto"/>
          <w:highlight w:val="none"/>
        </w:rPr>
      </w:pPr>
      <w:r>
        <w:rPr>
          <w:color w:val="auto"/>
          <w:highlight w:val="none"/>
        </w:rPr>
        <w:t>工程预算书</w:t>
      </w:r>
    </w:p>
    <w:p>
      <w:pPr>
        <w:pStyle w:val="10"/>
        <w:spacing w:before="2"/>
        <w:rPr>
          <w:color w:val="auto"/>
          <w:sz w:val="22"/>
          <w:highlight w:val="none"/>
        </w:rPr>
      </w:pPr>
    </w:p>
    <w:p>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供应商依据磋商（谈判）文件及图纸要求自行填报, 须经注册造价师或造价员签章。 </w:t>
      </w:r>
    </w:p>
    <w:p>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注册造价师或造价员签章页附扫描件 </w:t>
      </w:r>
    </w:p>
    <w:p>
      <w:pPr>
        <w:keepNext w:val="0"/>
        <w:keepLines w:val="0"/>
        <w:widowControl/>
        <w:suppressLineNumbers w:val="0"/>
        <w:ind w:firstLine="482" w:firstLineChars="200"/>
        <w:jc w:val="left"/>
        <w:rPr>
          <w:color w:val="auto"/>
          <w:highlight w:val="none"/>
          <w:lang w:val="en-US" w:eastAsia="zh-CN"/>
        </w:rPr>
      </w:pPr>
      <w:r>
        <w:rPr>
          <w:rFonts w:hint="eastAsia" w:ascii="宋体" w:hAnsi="宋体" w:eastAsia="宋体" w:cs="宋体"/>
          <w:b/>
          <w:bCs/>
          <w:color w:val="auto"/>
          <w:kern w:val="0"/>
          <w:sz w:val="24"/>
          <w:szCs w:val="24"/>
          <w:highlight w:val="none"/>
          <w:lang w:val="en-US" w:eastAsia="zh-CN" w:bidi="ar"/>
        </w:rPr>
        <w:t>注：该工程预算书不作为资格性检查、符合性检查及否决响应文件的依据。</w:t>
      </w:r>
      <w:r>
        <w:rPr>
          <w:color w:val="auto"/>
          <w:highlight w:val="none"/>
          <w:lang w:val="en-US" w:eastAsia="zh-CN"/>
        </w:rPr>
        <w:br w:type="page"/>
      </w:r>
    </w:p>
    <w:p>
      <w:pPr>
        <w:pStyle w:val="5"/>
        <w:bidi w:val="0"/>
        <w:rPr>
          <w:color w:val="auto"/>
          <w:highlight w:val="none"/>
        </w:rPr>
      </w:pPr>
      <w:r>
        <w:rPr>
          <w:color w:val="auto"/>
          <w:highlight w:val="none"/>
          <w:lang w:val="en-US" w:eastAsia="zh-CN"/>
        </w:rPr>
        <w:t>十</w:t>
      </w:r>
      <w:r>
        <w:rPr>
          <w:rFonts w:hint="eastAsia"/>
          <w:color w:val="auto"/>
          <w:highlight w:val="none"/>
          <w:lang w:val="en-US" w:eastAsia="zh-CN"/>
        </w:rPr>
        <w:t>三</w:t>
      </w:r>
      <w:r>
        <w:rPr>
          <w:color w:val="auto"/>
          <w:highlight w:val="none"/>
          <w:lang w:val="en-US" w:eastAsia="zh-CN"/>
        </w:rPr>
        <w:t xml:space="preserve">、辅助资料表 </w:t>
      </w:r>
    </w:p>
    <w:p>
      <w:pPr>
        <w:pStyle w:val="6"/>
        <w:bidi w:val="0"/>
        <w:rPr>
          <w:color w:val="auto"/>
          <w:highlight w:val="none"/>
        </w:rPr>
      </w:pPr>
      <w:r>
        <w:rPr>
          <w:color w:val="auto"/>
          <w:highlight w:val="none"/>
          <w:lang w:val="en-US" w:eastAsia="zh-CN"/>
        </w:rPr>
        <w:t xml:space="preserve">附件8：辅助资料表 </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辅助资料表 </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一、响应本项目的优势 </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二、综合说明 </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三、项目负责人简历表（必须包含以下内容）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670"/>
        <w:gridCol w:w="1238"/>
        <w:gridCol w:w="653"/>
        <w:gridCol w:w="778"/>
        <w:gridCol w:w="954"/>
        <w:gridCol w:w="790"/>
        <w:gridCol w:w="1436"/>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21" w:type="dxa"/>
            <w:noWrap w:val="0"/>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姓名</w:t>
            </w:r>
          </w:p>
        </w:tc>
        <w:tc>
          <w:tcPr>
            <w:tcW w:w="1908" w:type="dxa"/>
            <w:gridSpan w:val="2"/>
            <w:noWrap w:val="0"/>
            <w:vAlign w:val="center"/>
          </w:tcPr>
          <w:p>
            <w:pPr>
              <w:rPr>
                <w:rFonts w:hint="eastAsia" w:ascii="宋体" w:hAnsi="宋体" w:eastAsia="宋体" w:cs="宋体"/>
                <w:color w:val="auto"/>
                <w:sz w:val="24"/>
                <w:szCs w:val="24"/>
                <w:highlight w:val="none"/>
                <w:lang w:val="en-US" w:eastAsia="zh-CN"/>
              </w:rPr>
            </w:pPr>
          </w:p>
        </w:tc>
        <w:tc>
          <w:tcPr>
            <w:tcW w:w="1431" w:type="dxa"/>
            <w:gridSpan w:val="2"/>
            <w:noWrap w:val="0"/>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性别</w:t>
            </w:r>
          </w:p>
        </w:tc>
        <w:tc>
          <w:tcPr>
            <w:tcW w:w="1744" w:type="dxa"/>
            <w:gridSpan w:val="2"/>
            <w:noWrap w:val="0"/>
            <w:vAlign w:val="center"/>
          </w:tcPr>
          <w:p>
            <w:pPr>
              <w:rPr>
                <w:rFonts w:hint="eastAsia" w:ascii="宋体" w:hAnsi="宋体" w:eastAsia="宋体" w:cs="宋体"/>
                <w:color w:val="auto"/>
                <w:sz w:val="24"/>
                <w:szCs w:val="24"/>
                <w:highlight w:val="none"/>
                <w:lang w:val="en-US" w:eastAsia="zh-CN"/>
              </w:rPr>
            </w:pPr>
          </w:p>
        </w:tc>
        <w:tc>
          <w:tcPr>
            <w:tcW w:w="1436" w:type="dxa"/>
            <w:noWrap w:val="0"/>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年龄</w:t>
            </w:r>
          </w:p>
        </w:tc>
        <w:tc>
          <w:tcPr>
            <w:tcW w:w="1716" w:type="dxa"/>
            <w:noWrap w:val="0"/>
            <w:vAlign w:val="top"/>
          </w:tcPr>
          <w:p>
            <w:pP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21" w:type="dxa"/>
            <w:noWrap w:val="0"/>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职务</w:t>
            </w:r>
          </w:p>
        </w:tc>
        <w:tc>
          <w:tcPr>
            <w:tcW w:w="1908" w:type="dxa"/>
            <w:gridSpan w:val="2"/>
            <w:noWrap w:val="0"/>
            <w:vAlign w:val="center"/>
          </w:tcPr>
          <w:p>
            <w:pPr>
              <w:rPr>
                <w:rFonts w:hint="eastAsia" w:ascii="宋体" w:hAnsi="宋体" w:eastAsia="宋体" w:cs="宋体"/>
                <w:color w:val="auto"/>
                <w:sz w:val="24"/>
                <w:szCs w:val="24"/>
                <w:highlight w:val="none"/>
                <w:lang w:val="en-US" w:eastAsia="zh-CN"/>
              </w:rPr>
            </w:pPr>
          </w:p>
        </w:tc>
        <w:tc>
          <w:tcPr>
            <w:tcW w:w="1431" w:type="dxa"/>
            <w:gridSpan w:val="2"/>
            <w:noWrap w:val="0"/>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职称</w:t>
            </w:r>
          </w:p>
        </w:tc>
        <w:tc>
          <w:tcPr>
            <w:tcW w:w="1744" w:type="dxa"/>
            <w:gridSpan w:val="2"/>
            <w:noWrap w:val="0"/>
            <w:vAlign w:val="center"/>
          </w:tcPr>
          <w:p>
            <w:pPr>
              <w:rPr>
                <w:rFonts w:hint="eastAsia" w:ascii="宋体" w:hAnsi="宋体" w:eastAsia="宋体" w:cs="宋体"/>
                <w:color w:val="auto"/>
                <w:sz w:val="24"/>
                <w:szCs w:val="24"/>
                <w:highlight w:val="none"/>
                <w:lang w:val="en-US" w:eastAsia="zh-CN"/>
              </w:rPr>
            </w:pPr>
          </w:p>
        </w:tc>
        <w:tc>
          <w:tcPr>
            <w:tcW w:w="1436" w:type="dxa"/>
            <w:noWrap w:val="0"/>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学历</w:t>
            </w:r>
          </w:p>
        </w:tc>
        <w:tc>
          <w:tcPr>
            <w:tcW w:w="1716" w:type="dxa"/>
            <w:noWrap w:val="0"/>
            <w:vAlign w:val="top"/>
          </w:tcPr>
          <w:p>
            <w:pP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3129" w:type="dxa"/>
            <w:gridSpan w:val="3"/>
            <w:noWrap w:val="0"/>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参加工作时间</w:t>
            </w:r>
          </w:p>
        </w:tc>
        <w:tc>
          <w:tcPr>
            <w:tcW w:w="6327" w:type="dxa"/>
            <w:gridSpan w:val="6"/>
            <w:noWrap w:val="0"/>
            <w:vAlign w:val="center"/>
          </w:tcPr>
          <w:p>
            <w:pP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9456" w:type="dxa"/>
            <w:gridSpan w:val="9"/>
            <w:noWrap w:val="0"/>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891" w:type="dxa"/>
            <w:gridSpan w:val="2"/>
            <w:noWrap w:val="0"/>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业主单位</w:t>
            </w:r>
          </w:p>
        </w:tc>
        <w:tc>
          <w:tcPr>
            <w:tcW w:w="1891" w:type="dxa"/>
            <w:gridSpan w:val="2"/>
            <w:noWrap w:val="0"/>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1732" w:type="dxa"/>
            <w:gridSpan w:val="2"/>
            <w:noWrap w:val="0"/>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项目规模</w:t>
            </w:r>
          </w:p>
        </w:tc>
        <w:tc>
          <w:tcPr>
            <w:tcW w:w="2226" w:type="dxa"/>
            <w:gridSpan w:val="2"/>
            <w:noWrap w:val="0"/>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履约期限</w:t>
            </w:r>
          </w:p>
        </w:tc>
        <w:tc>
          <w:tcPr>
            <w:tcW w:w="1716" w:type="dxa"/>
            <w:noWrap w:val="0"/>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trPr>
        <w:tc>
          <w:tcPr>
            <w:tcW w:w="1891" w:type="dxa"/>
            <w:gridSpan w:val="2"/>
            <w:noWrap w:val="0"/>
            <w:vAlign w:val="top"/>
          </w:tcPr>
          <w:p>
            <w:pPr>
              <w:rPr>
                <w:rFonts w:hint="eastAsia" w:ascii="宋体" w:hAnsi="宋体" w:eastAsia="宋体" w:cs="宋体"/>
                <w:color w:val="auto"/>
                <w:sz w:val="24"/>
                <w:szCs w:val="24"/>
                <w:highlight w:val="none"/>
              </w:rPr>
            </w:pPr>
          </w:p>
        </w:tc>
        <w:tc>
          <w:tcPr>
            <w:tcW w:w="1891" w:type="dxa"/>
            <w:gridSpan w:val="2"/>
            <w:noWrap w:val="0"/>
            <w:vAlign w:val="top"/>
          </w:tcPr>
          <w:p>
            <w:pPr>
              <w:rPr>
                <w:rFonts w:hint="eastAsia" w:ascii="宋体" w:hAnsi="宋体" w:eastAsia="宋体" w:cs="宋体"/>
                <w:color w:val="auto"/>
                <w:sz w:val="24"/>
                <w:szCs w:val="24"/>
                <w:highlight w:val="none"/>
              </w:rPr>
            </w:pPr>
          </w:p>
        </w:tc>
        <w:tc>
          <w:tcPr>
            <w:tcW w:w="1732" w:type="dxa"/>
            <w:gridSpan w:val="2"/>
            <w:noWrap w:val="0"/>
            <w:vAlign w:val="top"/>
          </w:tcPr>
          <w:p>
            <w:pPr>
              <w:rPr>
                <w:rFonts w:hint="eastAsia" w:ascii="宋体" w:hAnsi="宋体" w:eastAsia="宋体" w:cs="宋体"/>
                <w:color w:val="auto"/>
                <w:sz w:val="24"/>
                <w:szCs w:val="24"/>
                <w:highlight w:val="none"/>
              </w:rPr>
            </w:pPr>
          </w:p>
        </w:tc>
        <w:tc>
          <w:tcPr>
            <w:tcW w:w="2226" w:type="dxa"/>
            <w:gridSpan w:val="2"/>
            <w:noWrap w:val="0"/>
            <w:vAlign w:val="top"/>
          </w:tcPr>
          <w:p>
            <w:pPr>
              <w:rPr>
                <w:rFonts w:hint="eastAsia" w:ascii="宋体" w:hAnsi="宋体" w:eastAsia="宋体" w:cs="宋体"/>
                <w:color w:val="auto"/>
                <w:sz w:val="24"/>
                <w:szCs w:val="24"/>
                <w:highlight w:val="none"/>
              </w:rPr>
            </w:pPr>
          </w:p>
        </w:tc>
        <w:tc>
          <w:tcPr>
            <w:tcW w:w="1716"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trPr>
        <w:tc>
          <w:tcPr>
            <w:tcW w:w="1891" w:type="dxa"/>
            <w:gridSpan w:val="2"/>
            <w:noWrap w:val="0"/>
            <w:vAlign w:val="top"/>
          </w:tcPr>
          <w:p>
            <w:pPr>
              <w:rPr>
                <w:rFonts w:hint="eastAsia" w:ascii="宋体" w:hAnsi="宋体" w:eastAsia="宋体" w:cs="宋体"/>
                <w:color w:val="auto"/>
                <w:sz w:val="24"/>
                <w:szCs w:val="24"/>
                <w:highlight w:val="none"/>
              </w:rPr>
            </w:pPr>
          </w:p>
        </w:tc>
        <w:tc>
          <w:tcPr>
            <w:tcW w:w="1891" w:type="dxa"/>
            <w:gridSpan w:val="2"/>
            <w:noWrap w:val="0"/>
            <w:vAlign w:val="top"/>
          </w:tcPr>
          <w:p>
            <w:pPr>
              <w:rPr>
                <w:rFonts w:hint="eastAsia" w:ascii="宋体" w:hAnsi="宋体" w:eastAsia="宋体" w:cs="宋体"/>
                <w:color w:val="auto"/>
                <w:sz w:val="24"/>
                <w:szCs w:val="24"/>
                <w:highlight w:val="none"/>
              </w:rPr>
            </w:pPr>
          </w:p>
        </w:tc>
        <w:tc>
          <w:tcPr>
            <w:tcW w:w="1732" w:type="dxa"/>
            <w:gridSpan w:val="2"/>
            <w:noWrap w:val="0"/>
            <w:vAlign w:val="top"/>
          </w:tcPr>
          <w:p>
            <w:pPr>
              <w:rPr>
                <w:rFonts w:hint="eastAsia" w:ascii="宋体" w:hAnsi="宋体" w:eastAsia="宋体" w:cs="宋体"/>
                <w:color w:val="auto"/>
                <w:sz w:val="24"/>
                <w:szCs w:val="24"/>
                <w:highlight w:val="none"/>
              </w:rPr>
            </w:pPr>
          </w:p>
        </w:tc>
        <w:tc>
          <w:tcPr>
            <w:tcW w:w="2226" w:type="dxa"/>
            <w:gridSpan w:val="2"/>
            <w:noWrap w:val="0"/>
            <w:vAlign w:val="top"/>
          </w:tcPr>
          <w:p>
            <w:pPr>
              <w:rPr>
                <w:rFonts w:hint="eastAsia" w:ascii="宋体" w:hAnsi="宋体" w:eastAsia="宋体" w:cs="宋体"/>
                <w:color w:val="auto"/>
                <w:sz w:val="24"/>
                <w:szCs w:val="24"/>
                <w:highlight w:val="none"/>
              </w:rPr>
            </w:pPr>
          </w:p>
        </w:tc>
        <w:tc>
          <w:tcPr>
            <w:tcW w:w="1716"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trPr>
        <w:tc>
          <w:tcPr>
            <w:tcW w:w="1891" w:type="dxa"/>
            <w:gridSpan w:val="2"/>
            <w:noWrap w:val="0"/>
            <w:vAlign w:val="top"/>
          </w:tcPr>
          <w:p>
            <w:pPr>
              <w:rPr>
                <w:rFonts w:hint="eastAsia" w:ascii="宋体" w:hAnsi="宋体" w:eastAsia="宋体" w:cs="宋体"/>
                <w:color w:val="auto"/>
                <w:sz w:val="24"/>
                <w:szCs w:val="24"/>
                <w:highlight w:val="none"/>
              </w:rPr>
            </w:pPr>
          </w:p>
        </w:tc>
        <w:tc>
          <w:tcPr>
            <w:tcW w:w="1891" w:type="dxa"/>
            <w:gridSpan w:val="2"/>
            <w:noWrap w:val="0"/>
            <w:vAlign w:val="top"/>
          </w:tcPr>
          <w:p>
            <w:pPr>
              <w:rPr>
                <w:rFonts w:hint="eastAsia" w:ascii="宋体" w:hAnsi="宋体" w:eastAsia="宋体" w:cs="宋体"/>
                <w:color w:val="auto"/>
                <w:sz w:val="24"/>
                <w:szCs w:val="24"/>
                <w:highlight w:val="none"/>
              </w:rPr>
            </w:pPr>
          </w:p>
        </w:tc>
        <w:tc>
          <w:tcPr>
            <w:tcW w:w="1732" w:type="dxa"/>
            <w:gridSpan w:val="2"/>
            <w:noWrap w:val="0"/>
            <w:vAlign w:val="top"/>
          </w:tcPr>
          <w:p>
            <w:pPr>
              <w:rPr>
                <w:rFonts w:hint="eastAsia" w:ascii="宋体" w:hAnsi="宋体" w:eastAsia="宋体" w:cs="宋体"/>
                <w:color w:val="auto"/>
                <w:sz w:val="24"/>
                <w:szCs w:val="24"/>
                <w:highlight w:val="none"/>
              </w:rPr>
            </w:pPr>
          </w:p>
        </w:tc>
        <w:tc>
          <w:tcPr>
            <w:tcW w:w="2226" w:type="dxa"/>
            <w:gridSpan w:val="2"/>
            <w:noWrap w:val="0"/>
            <w:vAlign w:val="top"/>
          </w:tcPr>
          <w:p>
            <w:pPr>
              <w:rPr>
                <w:rFonts w:hint="eastAsia" w:ascii="宋体" w:hAnsi="宋体" w:eastAsia="宋体" w:cs="宋体"/>
                <w:color w:val="auto"/>
                <w:sz w:val="24"/>
                <w:szCs w:val="24"/>
                <w:highlight w:val="none"/>
              </w:rPr>
            </w:pPr>
          </w:p>
        </w:tc>
        <w:tc>
          <w:tcPr>
            <w:tcW w:w="1716"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trPr>
        <w:tc>
          <w:tcPr>
            <w:tcW w:w="1891" w:type="dxa"/>
            <w:gridSpan w:val="2"/>
            <w:noWrap w:val="0"/>
            <w:vAlign w:val="top"/>
          </w:tcPr>
          <w:p>
            <w:pPr>
              <w:rPr>
                <w:rFonts w:hint="eastAsia" w:ascii="宋体" w:hAnsi="宋体" w:eastAsia="宋体" w:cs="宋体"/>
                <w:color w:val="auto"/>
                <w:sz w:val="24"/>
                <w:szCs w:val="24"/>
                <w:highlight w:val="none"/>
              </w:rPr>
            </w:pPr>
          </w:p>
        </w:tc>
        <w:tc>
          <w:tcPr>
            <w:tcW w:w="1891" w:type="dxa"/>
            <w:gridSpan w:val="2"/>
            <w:noWrap w:val="0"/>
            <w:vAlign w:val="top"/>
          </w:tcPr>
          <w:p>
            <w:pPr>
              <w:rPr>
                <w:rFonts w:hint="eastAsia" w:ascii="宋体" w:hAnsi="宋体" w:eastAsia="宋体" w:cs="宋体"/>
                <w:color w:val="auto"/>
                <w:sz w:val="24"/>
                <w:szCs w:val="24"/>
                <w:highlight w:val="none"/>
              </w:rPr>
            </w:pPr>
          </w:p>
        </w:tc>
        <w:tc>
          <w:tcPr>
            <w:tcW w:w="1732" w:type="dxa"/>
            <w:gridSpan w:val="2"/>
            <w:noWrap w:val="0"/>
            <w:vAlign w:val="top"/>
          </w:tcPr>
          <w:p>
            <w:pPr>
              <w:rPr>
                <w:rFonts w:hint="eastAsia" w:ascii="宋体" w:hAnsi="宋体" w:eastAsia="宋体" w:cs="宋体"/>
                <w:color w:val="auto"/>
                <w:sz w:val="24"/>
                <w:szCs w:val="24"/>
                <w:highlight w:val="none"/>
              </w:rPr>
            </w:pPr>
          </w:p>
        </w:tc>
        <w:tc>
          <w:tcPr>
            <w:tcW w:w="2226" w:type="dxa"/>
            <w:gridSpan w:val="2"/>
            <w:noWrap w:val="0"/>
            <w:vAlign w:val="top"/>
          </w:tcPr>
          <w:p>
            <w:pPr>
              <w:rPr>
                <w:rFonts w:hint="eastAsia" w:ascii="宋体" w:hAnsi="宋体" w:eastAsia="宋体" w:cs="宋体"/>
                <w:color w:val="auto"/>
                <w:sz w:val="24"/>
                <w:szCs w:val="24"/>
                <w:highlight w:val="none"/>
              </w:rPr>
            </w:pPr>
          </w:p>
        </w:tc>
        <w:tc>
          <w:tcPr>
            <w:tcW w:w="1716"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trPr>
        <w:tc>
          <w:tcPr>
            <w:tcW w:w="1891" w:type="dxa"/>
            <w:gridSpan w:val="2"/>
            <w:noWrap w:val="0"/>
            <w:vAlign w:val="top"/>
          </w:tcPr>
          <w:p>
            <w:pPr>
              <w:rPr>
                <w:rFonts w:hint="eastAsia" w:ascii="宋体" w:hAnsi="宋体" w:eastAsia="宋体" w:cs="宋体"/>
                <w:color w:val="auto"/>
                <w:sz w:val="24"/>
                <w:szCs w:val="24"/>
                <w:highlight w:val="none"/>
              </w:rPr>
            </w:pPr>
          </w:p>
        </w:tc>
        <w:tc>
          <w:tcPr>
            <w:tcW w:w="1891" w:type="dxa"/>
            <w:gridSpan w:val="2"/>
            <w:noWrap w:val="0"/>
            <w:vAlign w:val="top"/>
          </w:tcPr>
          <w:p>
            <w:pPr>
              <w:rPr>
                <w:rFonts w:hint="eastAsia" w:ascii="宋体" w:hAnsi="宋体" w:eastAsia="宋体" w:cs="宋体"/>
                <w:color w:val="auto"/>
                <w:sz w:val="24"/>
                <w:szCs w:val="24"/>
                <w:highlight w:val="none"/>
              </w:rPr>
            </w:pPr>
          </w:p>
        </w:tc>
        <w:tc>
          <w:tcPr>
            <w:tcW w:w="1732" w:type="dxa"/>
            <w:gridSpan w:val="2"/>
            <w:noWrap w:val="0"/>
            <w:vAlign w:val="top"/>
          </w:tcPr>
          <w:p>
            <w:pPr>
              <w:rPr>
                <w:rFonts w:hint="eastAsia" w:ascii="宋体" w:hAnsi="宋体" w:eastAsia="宋体" w:cs="宋体"/>
                <w:color w:val="auto"/>
                <w:sz w:val="24"/>
                <w:szCs w:val="24"/>
                <w:highlight w:val="none"/>
              </w:rPr>
            </w:pPr>
          </w:p>
        </w:tc>
        <w:tc>
          <w:tcPr>
            <w:tcW w:w="2226" w:type="dxa"/>
            <w:gridSpan w:val="2"/>
            <w:noWrap w:val="0"/>
            <w:vAlign w:val="top"/>
          </w:tcPr>
          <w:p>
            <w:pPr>
              <w:rPr>
                <w:rFonts w:hint="eastAsia" w:ascii="宋体" w:hAnsi="宋体" w:eastAsia="宋体" w:cs="宋体"/>
                <w:color w:val="auto"/>
                <w:sz w:val="24"/>
                <w:szCs w:val="24"/>
                <w:highlight w:val="none"/>
              </w:rPr>
            </w:pPr>
          </w:p>
        </w:tc>
        <w:tc>
          <w:tcPr>
            <w:tcW w:w="1716"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trPr>
        <w:tc>
          <w:tcPr>
            <w:tcW w:w="1891" w:type="dxa"/>
            <w:gridSpan w:val="2"/>
            <w:noWrap w:val="0"/>
            <w:vAlign w:val="top"/>
          </w:tcPr>
          <w:p>
            <w:pPr>
              <w:rPr>
                <w:rFonts w:hint="eastAsia" w:ascii="宋体" w:hAnsi="宋体" w:eastAsia="宋体" w:cs="宋体"/>
                <w:color w:val="auto"/>
                <w:sz w:val="24"/>
                <w:szCs w:val="24"/>
                <w:highlight w:val="none"/>
              </w:rPr>
            </w:pPr>
          </w:p>
        </w:tc>
        <w:tc>
          <w:tcPr>
            <w:tcW w:w="1891" w:type="dxa"/>
            <w:gridSpan w:val="2"/>
            <w:noWrap w:val="0"/>
            <w:vAlign w:val="top"/>
          </w:tcPr>
          <w:p>
            <w:pPr>
              <w:rPr>
                <w:rFonts w:hint="eastAsia" w:ascii="宋体" w:hAnsi="宋体" w:eastAsia="宋体" w:cs="宋体"/>
                <w:color w:val="auto"/>
                <w:sz w:val="24"/>
                <w:szCs w:val="24"/>
                <w:highlight w:val="none"/>
              </w:rPr>
            </w:pPr>
          </w:p>
        </w:tc>
        <w:tc>
          <w:tcPr>
            <w:tcW w:w="1732" w:type="dxa"/>
            <w:gridSpan w:val="2"/>
            <w:noWrap w:val="0"/>
            <w:vAlign w:val="top"/>
          </w:tcPr>
          <w:p>
            <w:pPr>
              <w:rPr>
                <w:rFonts w:hint="eastAsia" w:ascii="宋体" w:hAnsi="宋体" w:eastAsia="宋体" w:cs="宋体"/>
                <w:color w:val="auto"/>
                <w:sz w:val="24"/>
                <w:szCs w:val="24"/>
                <w:highlight w:val="none"/>
              </w:rPr>
            </w:pPr>
          </w:p>
        </w:tc>
        <w:tc>
          <w:tcPr>
            <w:tcW w:w="2226" w:type="dxa"/>
            <w:gridSpan w:val="2"/>
            <w:noWrap w:val="0"/>
            <w:vAlign w:val="top"/>
          </w:tcPr>
          <w:p>
            <w:pPr>
              <w:rPr>
                <w:rFonts w:hint="eastAsia" w:ascii="宋体" w:hAnsi="宋体" w:eastAsia="宋体" w:cs="宋体"/>
                <w:color w:val="auto"/>
                <w:sz w:val="24"/>
                <w:szCs w:val="24"/>
                <w:highlight w:val="none"/>
              </w:rPr>
            </w:pPr>
          </w:p>
        </w:tc>
        <w:tc>
          <w:tcPr>
            <w:tcW w:w="1716" w:type="dxa"/>
            <w:noWrap w:val="0"/>
            <w:vAlign w:val="top"/>
          </w:tcPr>
          <w:p>
            <w:pPr>
              <w:rPr>
                <w:rFonts w:hint="eastAsia" w:ascii="宋体" w:hAnsi="宋体" w:eastAsia="宋体" w:cs="宋体"/>
                <w:color w:val="auto"/>
                <w:sz w:val="24"/>
                <w:szCs w:val="24"/>
                <w:highlight w:val="none"/>
              </w:rPr>
            </w:pPr>
          </w:p>
        </w:tc>
      </w:tr>
    </w:tbl>
    <w:p>
      <w:pPr>
        <w:rPr>
          <w:rFonts w:hint="eastAsia"/>
          <w:color w:val="auto"/>
          <w:highlight w:val="none"/>
        </w:rPr>
      </w:pPr>
      <w:r>
        <w:rPr>
          <w:rFonts w:hint="eastAsia"/>
          <w:color w:val="auto"/>
          <w:highlight w:val="none"/>
        </w:rPr>
        <w:br w:type="page"/>
      </w:r>
    </w:p>
    <w:p>
      <w:pPr>
        <w:jc w:val="center"/>
        <w:rPr>
          <w:rFonts w:hint="eastAsia"/>
          <w:b/>
          <w:bCs/>
          <w:color w:val="auto"/>
          <w:highlight w:val="none"/>
        </w:rPr>
      </w:pPr>
      <w:r>
        <w:rPr>
          <w:rFonts w:hint="eastAsia"/>
          <w:b/>
          <w:bCs/>
          <w:color w:val="auto"/>
          <w:highlight w:val="none"/>
          <w:lang w:val="en-US" w:eastAsia="zh-CN"/>
        </w:rPr>
        <w:t>拟参加本工程项目经理及其他现场管理技术人员一览表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549"/>
        <w:gridCol w:w="550"/>
        <w:gridCol w:w="825"/>
        <w:gridCol w:w="1100"/>
        <w:gridCol w:w="1564"/>
        <w:gridCol w:w="1487"/>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1213" w:type="dxa"/>
            <w:tcBorders>
              <w:bottom w:val="single" w:color="auto" w:sz="4" w:space="0"/>
            </w:tcBorders>
            <w:noWrap w:val="0"/>
            <w:vAlign w:val="center"/>
          </w:tcPr>
          <w:p>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549" w:type="dxa"/>
            <w:tcBorders>
              <w:bottom w:val="single" w:color="auto" w:sz="4" w:space="0"/>
            </w:tcBorders>
            <w:noWrap w:val="0"/>
            <w:vAlign w:val="center"/>
          </w:tcPr>
          <w:p>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550" w:type="dxa"/>
            <w:tcBorders>
              <w:bottom w:val="single" w:color="auto" w:sz="4" w:space="0"/>
            </w:tcBorders>
            <w:noWrap w:val="0"/>
            <w:vAlign w:val="center"/>
          </w:tcPr>
          <w:p>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825" w:type="dxa"/>
            <w:tcBorders>
              <w:bottom w:val="single" w:color="auto" w:sz="4" w:space="0"/>
            </w:tcBorders>
            <w:noWrap w:val="0"/>
            <w:vAlign w:val="center"/>
          </w:tcPr>
          <w:p>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100" w:type="dxa"/>
            <w:tcBorders>
              <w:bottom w:val="single" w:color="auto" w:sz="4" w:space="0"/>
            </w:tcBorders>
            <w:noWrap w:val="0"/>
            <w:vAlign w:val="center"/>
          </w:tcPr>
          <w:p>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w:t>
            </w:r>
          </w:p>
          <w:p>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564" w:type="dxa"/>
            <w:tcBorders>
              <w:bottom w:val="single" w:color="auto" w:sz="4" w:space="0"/>
            </w:tcBorders>
            <w:noWrap w:val="0"/>
            <w:vAlign w:val="center"/>
          </w:tcPr>
          <w:p>
            <w:pPr>
              <w:pStyle w:val="36"/>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何时从事</w:t>
            </w:r>
          </w:p>
          <w:p>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该专业工作</w:t>
            </w:r>
          </w:p>
        </w:tc>
        <w:tc>
          <w:tcPr>
            <w:tcW w:w="1487" w:type="dxa"/>
            <w:tcBorders>
              <w:bottom w:val="single" w:color="auto" w:sz="4" w:space="0"/>
            </w:tcBorders>
            <w:noWrap w:val="0"/>
            <w:vAlign w:val="center"/>
          </w:tcPr>
          <w:p>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801" w:type="dxa"/>
            <w:tcBorders>
              <w:bottom w:val="single" w:color="auto" w:sz="4" w:space="0"/>
            </w:tcBorders>
            <w:noWrap w:val="0"/>
            <w:vAlign w:val="center"/>
          </w:tcPr>
          <w:p>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13" w:type="dxa"/>
            <w:noWrap w:val="0"/>
            <w:vAlign w:val="center"/>
          </w:tcPr>
          <w:p>
            <w:pPr>
              <w:pStyle w:val="36"/>
              <w:rPr>
                <w:rFonts w:hint="eastAsia" w:ascii="宋体" w:hAnsi="宋体" w:eastAsia="宋体" w:cs="宋体"/>
                <w:color w:val="auto"/>
                <w:sz w:val="24"/>
                <w:szCs w:val="24"/>
                <w:highlight w:val="none"/>
              </w:rPr>
            </w:pPr>
          </w:p>
        </w:tc>
        <w:tc>
          <w:tcPr>
            <w:tcW w:w="549" w:type="dxa"/>
            <w:noWrap w:val="0"/>
            <w:vAlign w:val="center"/>
          </w:tcPr>
          <w:p>
            <w:pPr>
              <w:pStyle w:val="36"/>
              <w:rPr>
                <w:rFonts w:hint="eastAsia" w:ascii="宋体" w:hAnsi="宋体" w:eastAsia="宋体" w:cs="宋体"/>
                <w:color w:val="auto"/>
                <w:sz w:val="24"/>
                <w:szCs w:val="24"/>
                <w:highlight w:val="none"/>
              </w:rPr>
            </w:pPr>
          </w:p>
        </w:tc>
        <w:tc>
          <w:tcPr>
            <w:tcW w:w="550" w:type="dxa"/>
            <w:noWrap w:val="0"/>
            <w:vAlign w:val="center"/>
          </w:tcPr>
          <w:p>
            <w:pPr>
              <w:pStyle w:val="36"/>
              <w:rPr>
                <w:rFonts w:hint="eastAsia" w:ascii="宋体" w:hAnsi="宋体" w:eastAsia="宋体" w:cs="宋体"/>
                <w:color w:val="auto"/>
                <w:sz w:val="24"/>
                <w:szCs w:val="24"/>
                <w:highlight w:val="none"/>
              </w:rPr>
            </w:pPr>
          </w:p>
        </w:tc>
        <w:tc>
          <w:tcPr>
            <w:tcW w:w="825" w:type="dxa"/>
            <w:noWrap w:val="0"/>
            <w:vAlign w:val="center"/>
          </w:tcPr>
          <w:p>
            <w:pPr>
              <w:pStyle w:val="36"/>
              <w:rPr>
                <w:rFonts w:hint="eastAsia" w:ascii="宋体" w:hAnsi="宋体" w:eastAsia="宋体" w:cs="宋体"/>
                <w:color w:val="auto"/>
                <w:sz w:val="24"/>
                <w:szCs w:val="24"/>
                <w:highlight w:val="none"/>
              </w:rPr>
            </w:pPr>
          </w:p>
        </w:tc>
        <w:tc>
          <w:tcPr>
            <w:tcW w:w="1100" w:type="dxa"/>
            <w:noWrap w:val="0"/>
            <w:vAlign w:val="center"/>
          </w:tcPr>
          <w:p>
            <w:pPr>
              <w:pStyle w:val="36"/>
              <w:rPr>
                <w:rFonts w:hint="eastAsia" w:ascii="宋体" w:hAnsi="宋体" w:eastAsia="宋体" w:cs="宋体"/>
                <w:color w:val="auto"/>
                <w:sz w:val="24"/>
                <w:szCs w:val="24"/>
                <w:highlight w:val="none"/>
              </w:rPr>
            </w:pPr>
          </w:p>
        </w:tc>
        <w:tc>
          <w:tcPr>
            <w:tcW w:w="1564" w:type="dxa"/>
            <w:noWrap w:val="0"/>
            <w:vAlign w:val="center"/>
          </w:tcPr>
          <w:p>
            <w:pPr>
              <w:pStyle w:val="36"/>
              <w:rPr>
                <w:rFonts w:hint="eastAsia" w:ascii="宋体" w:hAnsi="宋体" w:eastAsia="宋体" w:cs="宋体"/>
                <w:color w:val="auto"/>
                <w:sz w:val="24"/>
                <w:szCs w:val="24"/>
                <w:highlight w:val="none"/>
              </w:rPr>
            </w:pPr>
          </w:p>
        </w:tc>
        <w:tc>
          <w:tcPr>
            <w:tcW w:w="1487" w:type="dxa"/>
            <w:noWrap w:val="0"/>
            <w:vAlign w:val="center"/>
          </w:tcPr>
          <w:p>
            <w:pPr>
              <w:pStyle w:val="36"/>
              <w:rPr>
                <w:rFonts w:hint="eastAsia" w:ascii="宋体" w:hAnsi="宋体" w:eastAsia="宋体" w:cs="宋体"/>
                <w:color w:val="auto"/>
                <w:sz w:val="24"/>
                <w:szCs w:val="24"/>
                <w:highlight w:val="none"/>
              </w:rPr>
            </w:pPr>
          </w:p>
        </w:tc>
        <w:tc>
          <w:tcPr>
            <w:tcW w:w="1801" w:type="dxa"/>
            <w:noWrap w:val="0"/>
            <w:vAlign w:val="center"/>
          </w:tcPr>
          <w:p>
            <w:pPr>
              <w:pStyle w:val="36"/>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13" w:type="dxa"/>
            <w:noWrap w:val="0"/>
            <w:vAlign w:val="center"/>
          </w:tcPr>
          <w:p>
            <w:pPr>
              <w:pStyle w:val="36"/>
              <w:rPr>
                <w:rFonts w:hint="eastAsia" w:ascii="宋体" w:hAnsi="宋体" w:eastAsia="宋体" w:cs="宋体"/>
                <w:color w:val="auto"/>
                <w:sz w:val="24"/>
                <w:szCs w:val="24"/>
                <w:highlight w:val="none"/>
              </w:rPr>
            </w:pPr>
          </w:p>
        </w:tc>
        <w:tc>
          <w:tcPr>
            <w:tcW w:w="549" w:type="dxa"/>
            <w:noWrap w:val="0"/>
            <w:vAlign w:val="center"/>
          </w:tcPr>
          <w:p>
            <w:pPr>
              <w:pStyle w:val="36"/>
              <w:rPr>
                <w:rFonts w:hint="eastAsia" w:ascii="宋体" w:hAnsi="宋体" w:eastAsia="宋体" w:cs="宋体"/>
                <w:color w:val="auto"/>
                <w:sz w:val="24"/>
                <w:szCs w:val="24"/>
                <w:highlight w:val="none"/>
              </w:rPr>
            </w:pPr>
          </w:p>
        </w:tc>
        <w:tc>
          <w:tcPr>
            <w:tcW w:w="550" w:type="dxa"/>
            <w:noWrap w:val="0"/>
            <w:vAlign w:val="center"/>
          </w:tcPr>
          <w:p>
            <w:pPr>
              <w:pStyle w:val="36"/>
              <w:rPr>
                <w:rFonts w:hint="eastAsia" w:ascii="宋体" w:hAnsi="宋体" w:eastAsia="宋体" w:cs="宋体"/>
                <w:color w:val="auto"/>
                <w:sz w:val="24"/>
                <w:szCs w:val="24"/>
                <w:highlight w:val="none"/>
              </w:rPr>
            </w:pPr>
          </w:p>
        </w:tc>
        <w:tc>
          <w:tcPr>
            <w:tcW w:w="825" w:type="dxa"/>
            <w:noWrap w:val="0"/>
            <w:vAlign w:val="center"/>
          </w:tcPr>
          <w:p>
            <w:pPr>
              <w:pStyle w:val="36"/>
              <w:rPr>
                <w:rFonts w:hint="eastAsia" w:ascii="宋体" w:hAnsi="宋体" w:eastAsia="宋体" w:cs="宋体"/>
                <w:color w:val="auto"/>
                <w:sz w:val="24"/>
                <w:szCs w:val="24"/>
                <w:highlight w:val="none"/>
              </w:rPr>
            </w:pPr>
          </w:p>
        </w:tc>
        <w:tc>
          <w:tcPr>
            <w:tcW w:w="1100" w:type="dxa"/>
            <w:noWrap w:val="0"/>
            <w:vAlign w:val="center"/>
          </w:tcPr>
          <w:p>
            <w:pPr>
              <w:pStyle w:val="36"/>
              <w:rPr>
                <w:rFonts w:hint="eastAsia" w:ascii="宋体" w:hAnsi="宋体" w:eastAsia="宋体" w:cs="宋体"/>
                <w:color w:val="auto"/>
                <w:sz w:val="24"/>
                <w:szCs w:val="24"/>
                <w:highlight w:val="none"/>
              </w:rPr>
            </w:pPr>
          </w:p>
        </w:tc>
        <w:tc>
          <w:tcPr>
            <w:tcW w:w="1564" w:type="dxa"/>
            <w:noWrap w:val="0"/>
            <w:vAlign w:val="center"/>
          </w:tcPr>
          <w:p>
            <w:pPr>
              <w:pStyle w:val="36"/>
              <w:rPr>
                <w:rFonts w:hint="eastAsia" w:ascii="宋体" w:hAnsi="宋体" w:eastAsia="宋体" w:cs="宋体"/>
                <w:color w:val="auto"/>
                <w:sz w:val="24"/>
                <w:szCs w:val="24"/>
                <w:highlight w:val="none"/>
              </w:rPr>
            </w:pPr>
          </w:p>
        </w:tc>
        <w:tc>
          <w:tcPr>
            <w:tcW w:w="1487" w:type="dxa"/>
            <w:noWrap w:val="0"/>
            <w:vAlign w:val="center"/>
          </w:tcPr>
          <w:p>
            <w:pPr>
              <w:pStyle w:val="36"/>
              <w:rPr>
                <w:rFonts w:hint="eastAsia" w:ascii="宋体" w:hAnsi="宋体" w:eastAsia="宋体" w:cs="宋体"/>
                <w:color w:val="auto"/>
                <w:sz w:val="24"/>
                <w:szCs w:val="24"/>
                <w:highlight w:val="none"/>
              </w:rPr>
            </w:pPr>
          </w:p>
        </w:tc>
        <w:tc>
          <w:tcPr>
            <w:tcW w:w="1801" w:type="dxa"/>
            <w:noWrap w:val="0"/>
            <w:vAlign w:val="center"/>
          </w:tcPr>
          <w:p>
            <w:pPr>
              <w:pStyle w:val="36"/>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13" w:type="dxa"/>
            <w:noWrap w:val="0"/>
            <w:vAlign w:val="center"/>
          </w:tcPr>
          <w:p>
            <w:pPr>
              <w:pStyle w:val="36"/>
              <w:rPr>
                <w:rFonts w:hint="eastAsia" w:ascii="宋体" w:hAnsi="宋体" w:eastAsia="宋体" w:cs="宋体"/>
                <w:color w:val="auto"/>
                <w:sz w:val="24"/>
                <w:szCs w:val="24"/>
                <w:highlight w:val="none"/>
              </w:rPr>
            </w:pPr>
          </w:p>
        </w:tc>
        <w:tc>
          <w:tcPr>
            <w:tcW w:w="549" w:type="dxa"/>
            <w:noWrap w:val="0"/>
            <w:vAlign w:val="center"/>
          </w:tcPr>
          <w:p>
            <w:pPr>
              <w:pStyle w:val="36"/>
              <w:rPr>
                <w:rFonts w:hint="eastAsia" w:ascii="宋体" w:hAnsi="宋体" w:eastAsia="宋体" w:cs="宋体"/>
                <w:color w:val="auto"/>
                <w:sz w:val="24"/>
                <w:szCs w:val="24"/>
                <w:highlight w:val="none"/>
              </w:rPr>
            </w:pPr>
          </w:p>
        </w:tc>
        <w:tc>
          <w:tcPr>
            <w:tcW w:w="550" w:type="dxa"/>
            <w:noWrap w:val="0"/>
            <w:vAlign w:val="center"/>
          </w:tcPr>
          <w:p>
            <w:pPr>
              <w:pStyle w:val="36"/>
              <w:rPr>
                <w:rFonts w:hint="eastAsia" w:ascii="宋体" w:hAnsi="宋体" w:eastAsia="宋体" w:cs="宋体"/>
                <w:color w:val="auto"/>
                <w:sz w:val="24"/>
                <w:szCs w:val="24"/>
                <w:highlight w:val="none"/>
              </w:rPr>
            </w:pPr>
          </w:p>
        </w:tc>
        <w:tc>
          <w:tcPr>
            <w:tcW w:w="825" w:type="dxa"/>
            <w:noWrap w:val="0"/>
            <w:vAlign w:val="top"/>
          </w:tcPr>
          <w:p>
            <w:pPr>
              <w:pStyle w:val="36"/>
              <w:rPr>
                <w:rFonts w:hint="eastAsia" w:ascii="宋体" w:hAnsi="宋体" w:eastAsia="宋体" w:cs="宋体"/>
                <w:color w:val="auto"/>
                <w:sz w:val="24"/>
                <w:szCs w:val="24"/>
                <w:highlight w:val="none"/>
              </w:rPr>
            </w:pPr>
          </w:p>
        </w:tc>
        <w:tc>
          <w:tcPr>
            <w:tcW w:w="1100" w:type="dxa"/>
            <w:noWrap w:val="0"/>
            <w:vAlign w:val="center"/>
          </w:tcPr>
          <w:p>
            <w:pPr>
              <w:pStyle w:val="36"/>
              <w:rPr>
                <w:rFonts w:hint="eastAsia" w:ascii="宋体" w:hAnsi="宋体" w:eastAsia="宋体" w:cs="宋体"/>
                <w:color w:val="auto"/>
                <w:sz w:val="24"/>
                <w:szCs w:val="24"/>
                <w:highlight w:val="none"/>
              </w:rPr>
            </w:pPr>
          </w:p>
        </w:tc>
        <w:tc>
          <w:tcPr>
            <w:tcW w:w="1564" w:type="dxa"/>
            <w:noWrap w:val="0"/>
            <w:vAlign w:val="center"/>
          </w:tcPr>
          <w:p>
            <w:pPr>
              <w:pStyle w:val="36"/>
              <w:rPr>
                <w:rFonts w:hint="eastAsia" w:ascii="宋体" w:hAnsi="宋体" w:eastAsia="宋体" w:cs="宋体"/>
                <w:color w:val="auto"/>
                <w:sz w:val="24"/>
                <w:szCs w:val="24"/>
                <w:highlight w:val="none"/>
              </w:rPr>
            </w:pPr>
          </w:p>
        </w:tc>
        <w:tc>
          <w:tcPr>
            <w:tcW w:w="1487" w:type="dxa"/>
            <w:noWrap w:val="0"/>
            <w:vAlign w:val="center"/>
          </w:tcPr>
          <w:p>
            <w:pPr>
              <w:pStyle w:val="36"/>
              <w:rPr>
                <w:rFonts w:hint="eastAsia" w:ascii="宋体" w:hAnsi="宋体" w:eastAsia="宋体" w:cs="宋体"/>
                <w:color w:val="auto"/>
                <w:sz w:val="24"/>
                <w:szCs w:val="24"/>
                <w:highlight w:val="none"/>
              </w:rPr>
            </w:pPr>
          </w:p>
        </w:tc>
        <w:tc>
          <w:tcPr>
            <w:tcW w:w="1801" w:type="dxa"/>
            <w:noWrap w:val="0"/>
            <w:vAlign w:val="center"/>
          </w:tcPr>
          <w:p>
            <w:pPr>
              <w:pStyle w:val="36"/>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13" w:type="dxa"/>
            <w:noWrap w:val="0"/>
            <w:vAlign w:val="center"/>
          </w:tcPr>
          <w:p>
            <w:pPr>
              <w:pStyle w:val="36"/>
              <w:rPr>
                <w:rFonts w:hint="eastAsia" w:ascii="宋体" w:hAnsi="宋体" w:eastAsia="宋体" w:cs="宋体"/>
                <w:color w:val="auto"/>
                <w:sz w:val="24"/>
                <w:szCs w:val="24"/>
                <w:highlight w:val="none"/>
              </w:rPr>
            </w:pPr>
          </w:p>
        </w:tc>
        <w:tc>
          <w:tcPr>
            <w:tcW w:w="549" w:type="dxa"/>
            <w:noWrap w:val="0"/>
            <w:vAlign w:val="center"/>
          </w:tcPr>
          <w:p>
            <w:pPr>
              <w:pStyle w:val="36"/>
              <w:rPr>
                <w:rFonts w:hint="eastAsia" w:ascii="宋体" w:hAnsi="宋体" w:eastAsia="宋体" w:cs="宋体"/>
                <w:color w:val="auto"/>
                <w:sz w:val="24"/>
                <w:szCs w:val="24"/>
                <w:highlight w:val="none"/>
              </w:rPr>
            </w:pPr>
          </w:p>
        </w:tc>
        <w:tc>
          <w:tcPr>
            <w:tcW w:w="550" w:type="dxa"/>
            <w:noWrap w:val="0"/>
            <w:vAlign w:val="center"/>
          </w:tcPr>
          <w:p>
            <w:pPr>
              <w:pStyle w:val="36"/>
              <w:rPr>
                <w:rFonts w:hint="eastAsia" w:ascii="宋体" w:hAnsi="宋体" w:eastAsia="宋体" w:cs="宋体"/>
                <w:color w:val="auto"/>
                <w:sz w:val="24"/>
                <w:szCs w:val="24"/>
                <w:highlight w:val="none"/>
              </w:rPr>
            </w:pPr>
          </w:p>
        </w:tc>
        <w:tc>
          <w:tcPr>
            <w:tcW w:w="825" w:type="dxa"/>
            <w:noWrap w:val="0"/>
            <w:vAlign w:val="top"/>
          </w:tcPr>
          <w:p>
            <w:pPr>
              <w:pStyle w:val="36"/>
              <w:rPr>
                <w:rFonts w:hint="eastAsia" w:ascii="宋体" w:hAnsi="宋体" w:eastAsia="宋体" w:cs="宋体"/>
                <w:color w:val="auto"/>
                <w:sz w:val="24"/>
                <w:szCs w:val="24"/>
                <w:highlight w:val="none"/>
              </w:rPr>
            </w:pPr>
          </w:p>
        </w:tc>
        <w:tc>
          <w:tcPr>
            <w:tcW w:w="1100" w:type="dxa"/>
            <w:noWrap w:val="0"/>
            <w:vAlign w:val="top"/>
          </w:tcPr>
          <w:p>
            <w:pPr>
              <w:pStyle w:val="36"/>
              <w:rPr>
                <w:rFonts w:hint="eastAsia" w:ascii="宋体" w:hAnsi="宋体" w:eastAsia="宋体" w:cs="宋体"/>
                <w:color w:val="auto"/>
                <w:sz w:val="24"/>
                <w:szCs w:val="24"/>
                <w:highlight w:val="none"/>
              </w:rPr>
            </w:pPr>
          </w:p>
        </w:tc>
        <w:tc>
          <w:tcPr>
            <w:tcW w:w="1564" w:type="dxa"/>
            <w:noWrap w:val="0"/>
            <w:vAlign w:val="center"/>
          </w:tcPr>
          <w:p>
            <w:pPr>
              <w:pStyle w:val="36"/>
              <w:rPr>
                <w:rFonts w:hint="eastAsia" w:ascii="宋体" w:hAnsi="宋体" w:eastAsia="宋体" w:cs="宋体"/>
                <w:color w:val="auto"/>
                <w:sz w:val="24"/>
                <w:szCs w:val="24"/>
                <w:highlight w:val="none"/>
              </w:rPr>
            </w:pPr>
          </w:p>
        </w:tc>
        <w:tc>
          <w:tcPr>
            <w:tcW w:w="1487" w:type="dxa"/>
            <w:noWrap w:val="0"/>
            <w:vAlign w:val="center"/>
          </w:tcPr>
          <w:p>
            <w:pPr>
              <w:pStyle w:val="36"/>
              <w:rPr>
                <w:rFonts w:hint="eastAsia" w:ascii="宋体" w:hAnsi="宋体" w:eastAsia="宋体" w:cs="宋体"/>
                <w:color w:val="auto"/>
                <w:sz w:val="24"/>
                <w:szCs w:val="24"/>
                <w:highlight w:val="none"/>
              </w:rPr>
            </w:pPr>
          </w:p>
        </w:tc>
        <w:tc>
          <w:tcPr>
            <w:tcW w:w="1801" w:type="dxa"/>
            <w:noWrap w:val="0"/>
            <w:vAlign w:val="center"/>
          </w:tcPr>
          <w:p>
            <w:pPr>
              <w:pStyle w:val="36"/>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13" w:type="dxa"/>
            <w:noWrap w:val="0"/>
            <w:vAlign w:val="center"/>
          </w:tcPr>
          <w:p>
            <w:pPr>
              <w:pStyle w:val="36"/>
              <w:rPr>
                <w:rFonts w:hint="eastAsia" w:ascii="宋体" w:hAnsi="宋体" w:eastAsia="宋体" w:cs="宋体"/>
                <w:color w:val="auto"/>
                <w:sz w:val="24"/>
                <w:szCs w:val="24"/>
                <w:highlight w:val="none"/>
              </w:rPr>
            </w:pPr>
          </w:p>
        </w:tc>
        <w:tc>
          <w:tcPr>
            <w:tcW w:w="549" w:type="dxa"/>
            <w:noWrap w:val="0"/>
            <w:vAlign w:val="center"/>
          </w:tcPr>
          <w:p>
            <w:pPr>
              <w:pStyle w:val="36"/>
              <w:rPr>
                <w:rFonts w:hint="eastAsia" w:ascii="宋体" w:hAnsi="宋体" w:eastAsia="宋体" w:cs="宋体"/>
                <w:color w:val="auto"/>
                <w:sz w:val="24"/>
                <w:szCs w:val="24"/>
                <w:highlight w:val="none"/>
              </w:rPr>
            </w:pPr>
          </w:p>
        </w:tc>
        <w:tc>
          <w:tcPr>
            <w:tcW w:w="550" w:type="dxa"/>
            <w:noWrap w:val="0"/>
            <w:vAlign w:val="center"/>
          </w:tcPr>
          <w:p>
            <w:pPr>
              <w:pStyle w:val="36"/>
              <w:rPr>
                <w:rFonts w:hint="eastAsia" w:ascii="宋体" w:hAnsi="宋体" w:eastAsia="宋体" w:cs="宋体"/>
                <w:color w:val="auto"/>
                <w:sz w:val="24"/>
                <w:szCs w:val="24"/>
                <w:highlight w:val="none"/>
              </w:rPr>
            </w:pPr>
          </w:p>
        </w:tc>
        <w:tc>
          <w:tcPr>
            <w:tcW w:w="825" w:type="dxa"/>
            <w:noWrap w:val="0"/>
            <w:vAlign w:val="center"/>
          </w:tcPr>
          <w:p>
            <w:pPr>
              <w:pStyle w:val="36"/>
              <w:rPr>
                <w:rFonts w:hint="eastAsia" w:ascii="宋体" w:hAnsi="宋体" w:eastAsia="宋体" w:cs="宋体"/>
                <w:color w:val="auto"/>
                <w:sz w:val="24"/>
                <w:szCs w:val="24"/>
                <w:highlight w:val="none"/>
              </w:rPr>
            </w:pPr>
          </w:p>
        </w:tc>
        <w:tc>
          <w:tcPr>
            <w:tcW w:w="1100" w:type="dxa"/>
            <w:noWrap w:val="0"/>
            <w:vAlign w:val="top"/>
          </w:tcPr>
          <w:p>
            <w:pPr>
              <w:pStyle w:val="36"/>
              <w:rPr>
                <w:rFonts w:hint="eastAsia" w:ascii="宋体" w:hAnsi="宋体" w:eastAsia="宋体" w:cs="宋体"/>
                <w:color w:val="auto"/>
                <w:sz w:val="24"/>
                <w:szCs w:val="24"/>
                <w:highlight w:val="none"/>
              </w:rPr>
            </w:pPr>
          </w:p>
        </w:tc>
        <w:tc>
          <w:tcPr>
            <w:tcW w:w="1564" w:type="dxa"/>
            <w:noWrap w:val="0"/>
            <w:vAlign w:val="center"/>
          </w:tcPr>
          <w:p>
            <w:pPr>
              <w:pStyle w:val="36"/>
              <w:rPr>
                <w:rFonts w:hint="eastAsia" w:ascii="宋体" w:hAnsi="宋体" w:eastAsia="宋体" w:cs="宋体"/>
                <w:color w:val="auto"/>
                <w:sz w:val="24"/>
                <w:szCs w:val="24"/>
                <w:highlight w:val="none"/>
              </w:rPr>
            </w:pPr>
          </w:p>
        </w:tc>
        <w:tc>
          <w:tcPr>
            <w:tcW w:w="1487" w:type="dxa"/>
            <w:noWrap w:val="0"/>
            <w:vAlign w:val="center"/>
          </w:tcPr>
          <w:p>
            <w:pPr>
              <w:pStyle w:val="36"/>
              <w:rPr>
                <w:rFonts w:hint="eastAsia" w:ascii="宋体" w:hAnsi="宋体" w:eastAsia="宋体" w:cs="宋体"/>
                <w:color w:val="auto"/>
                <w:sz w:val="24"/>
                <w:szCs w:val="24"/>
                <w:highlight w:val="none"/>
              </w:rPr>
            </w:pPr>
          </w:p>
        </w:tc>
        <w:tc>
          <w:tcPr>
            <w:tcW w:w="1801" w:type="dxa"/>
            <w:noWrap w:val="0"/>
            <w:vAlign w:val="center"/>
          </w:tcPr>
          <w:p>
            <w:pPr>
              <w:pStyle w:val="36"/>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13" w:type="dxa"/>
            <w:noWrap w:val="0"/>
            <w:vAlign w:val="center"/>
          </w:tcPr>
          <w:p>
            <w:pPr>
              <w:pStyle w:val="36"/>
              <w:rPr>
                <w:rFonts w:hint="eastAsia" w:ascii="宋体" w:hAnsi="宋体" w:eastAsia="宋体" w:cs="宋体"/>
                <w:color w:val="auto"/>
                <w:sz w:val="24"/>
                <w:szCs w:val="24"/>
                <w:highlight w:val="none"/>
              </w:rPr>
            </w:pPr>
          </w:p>
        </w:tc>
        <w:tc>
          <w:tcPr>
            <w:tcW w:w="549" w:type="dxa"/>
            <w:noWrap w:val="0"/>
            <w:vAlign w:val="center"/>
          </w:tcPr>
          <w:p>
            <w:pPr>
              <w:pStyle w:val="36"/>
              <w:rPr>
                <w:rFonts w:hint="eastAsia" w:ascii="宋体" w:hAnsi="宋体" w:eastAsia="宋体" w:cs="宋体"/>
                <w:color w:val="auto"/>
                <w:sz w:val="24"/>
                <w:szCs w:val="24"/>
                <w:highlight w:val="none"/>
              </w:rPr>
            </w:pPr>
          </w:p>
        </w:tc>
        <w:tc>
          <w:tcPr>
            <w:tcW w:w="550" w:type="dxa"/>
            <w:noWrap w:val="0"/>
            <w:vAlign w:val="center"/>
          </w:tcPr>
          <w:p>
            <w:pPr>
              <w:pStyle w:val="36"/>
              <w:rPr>
                <w:rFonts w:hint="eastAsia" w:ascii="宋体" w:hAnsi="宋体" w:eastAsia="宋体" w:cs="宋体"/>
                <w:color w:val="auto"/>
                <w:sz w:val="24"/>
                <w:szCs w:val="24"/>
                <w:highlight w:val="none"/>
              </w:rPr>
            </w:pPr>
          </w:p>
        </w:tc>
        <w:tc>
          <w:tcPr>
            <w:tcW w:w="825" w:type="dxa"/>
            <w:noWrap w:val="0"/>
            <w:vAlign w:val="center"/>
          </w:tcPr>
          <w:p>
            <w:pPr>
              <w:pStyle w:val="36"/>
              <w:rPr>
                <w:rFonts w:hint="eastAsia" w:ascii="宋体" w:hAnsi="宋体" w:eastAsia="宋体" w:cs="宋体"/>
                <w:color w:val="auto"/>
                <w:sz w:val="24"/>
                <w:szCs w:val="24"/>
                <w:highlight w:val="none"/>
              </w:rPr>
            </w:pPr>
          </w:p>
        </w:tc>
        <w:tc>
          <w:tcPr>
            <w:tcW w:w="1100" w:type="dxa"/>
            <w:noWrap w:val="0"/>
            <w:vAlign w:val="center"/>
          </w:tcPr>
          <w:p>
            <w:pPr>
              <w:pStyle w:val="36"/>
              <w:rPr>
                <w:rFonts w:hint="eastAsia" w:ascii="宋体" w:hAnsi="宋体" w:eastAsia="宋体" w:cs="宋体"/>
                <w:color w:val="auto"/>
                <w:sz w:val="24"/>
                <w:szCs w:val="24"/>
                <w:highlight w:val="none"/>
              </w:rPr>
            </w:pPr>
          </w:p>
        </w:tc>
        <w:tc>
          <w:tcPr>
            <w:tcW w:w="1564" w:type="dxa"/>
            <w:noWrap w:val="0"/>
            <w:vAlign w:val="center"/>
          </w:tcPr>
          <w:p>
            <w:pPr>
              <w:pStyle w:val="36"/>
              <w:rPr>
                <w:rFonts w:hint="eastAsia" w:ascii="宋体" w:hAnsi="宋体" w:eastAsia="宋体" w:cs="宋体"/>
                <w:color w:val="auto"/>
                <w:sz w:val="24"/>
                <w:szCs w:val="24"/>
                <w:highlight w:val="none"/>
              </w:rPr>
            </w:pPr>
          </w:p>
        </w:tc>
        <w:tc>
          <w:tcPr>
            <w:tcW w:w="1487" w:type="dxa"/>
            <w:noWrap w:val="0"/>
            <w:vAlign w:val="center"/>
          </w:tcPr>
          <w:p>
            <w:pPr>
              <w:pStyle w:val="36"/>
              <w:rPr>
                <w:rFonts w:hint="eastAsia" w:ascii="宋体" w:hAnsi="宋体" w:eastAsia="宋体" w:cs="宋体"/>
                <w:color w:val="auto"/>
                <w:sz w:val="24"/>
                <w:szCs w:val="24"/>
                <w:highlight w:val="none"/>
              </w:rPr>
            </w:pPr>
          </w:p>
        </w:tc>
        <w:tc>
          <w:tcPr>
            <w:tcW w:w="1801" w:type="dxa"/>
            <w:noWrap w:val="0"/>
            <w:vAlign w:val="center"/>
          </w:tcPr>
          <w:p>
            <w:pPr>
              <w:pStyle w:val="36"/>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13" w:type="dxa"/>
            <w:noWrap w:val="0"/>
            <w:vAlign w:val="center"/>
          </w:tcPr>
          <w:p>
            <w:pPr>
              <w:pStyle w:val="36"/>
              <w:rPr>
                <w:rFonts w:hint="eastAsia" w:ascii="宋体" w:hAnsi="宋体" w:eastAsia="宋体" w:cs="宋体"/>
                <w:color w:val="auto"/>
                <w:sz w:val="24"/>
                <w:szCs w:val="24"/>
                <w:highlight w:val="none"/>
              </w:rPr>
            </w:pPr>
          </w:p>
        </w:tc>
        <w:tc>
          <w:tcPr>
            <w:tcW w:w="549" w:type="dxa"/>
            <w:noWrap w:val="0"/>
            <w:vAlign w:val="center"/>
          </w:tcPr>
          <w:p>
            <w:pPr>
              <w:pStyle w:val="36"/>
              <w:rPr>
                <w:rFonts w:hint="eastAsia" w:ascii="宋体" w:hAnsi="宋体" w:eastAsia="宋体" w:cs="宋体"/>
                <w:color w:val="auto"/>
                <w:sz w:val="24"/>
                <w:szCs w:val="24"/>
                <w:highlight w:val="none"/>
              </w:rPr>
            </w:pPr>
          </w:p>
        </w:tc>
        <w:tc>
          <w:tcPr>
            <w:tcW w:w="550" w:type="dxa"/>
            <w:noWrap w:val="0"/>
            <w:vAlign w:val="center"/>
          </w:tcPr>
          <w:p>
            <w:pPr>
              <w:pStyle w:val="36"/>
              <w:rPr>
                <w:rFonts w:hint="eastAsia" w:ascii="宋体" w:hAnsi="宋体" w:eastAsia="宋体" w:cs="宋体"/>
                <w:color w:val="auto"/>
                <w:sz w:val="24"/>
                <w:szCs w:val="24"/>
                <w:highlight w:val="none"/>
              </w:rPr>
            </w:pPr>
          </w:p>
        </w:tc>
        <w:tc>
          <w:tcPr>
            <w:tcW w:w="825" w:type="dxa"/>
            <w:noWrap w:val="0"/>
            <w:vAlign w:val="center"/>
          </w:tcPr>
          <w:p>
            <w:pPr>
              <w:pStyle w:val="36"/>
              <w:rPr>
                <w:rFonts w:hint="eastAsia" w:ascii="宋体" w:hAnsi="宋体" w:eastAsia="宋体" w:cs="宋体"/>
                <w:color w:val="auto"/>
                <w:sz w:val="24"/>
                <w:szCs w:val="24"/>
                <w:highlight w:val="none"/>
              </w:rPr>
            </w:pPr>
          </w:p>
        </w:tc>
        <w:tc>
          <w:tcPr>
            <w:tcW w:w="1100" w:type="dxa"/>
            <w:noWrap w:val="0"/>
            <w:vAlign w:val="center"/>
          </w:tcPr>
          <w:p>
            <w:pPr>
              <w:pStyle w:val="36"/>
              <w:rPr>
                <w:rFonts w:hint="eastAsia" w:ascii="宋体" w:hAnsi="宋体" w:eastAsia="宋体" w:cs="宋体"/>
                <w:color w:val="auto"/>
                <w:sz w:val="24"/>
                <w:szCs w:val="24"/>
                <w:highlight w:val="none"/>
              </w:rPr>
            </w:pPr>
          </w:p>
        </w:tc>
        <w:tc>
          <w:tcPr>
            <w:tcW w:w="1564" w:type="dxa"/>
            <w:noWrap w:val="0"/>
            <w:vAlign w:val="center"/>
          </w:tcPr>
          <w:p>
            <w:pPr>
              <w:pStyle w:val="36"/>
              <w:rPr>
                <w:rFonts w:hint="eastAsia" w:ascii="宋体" w:hAnsi="宋体" w:eastAsia="宋体" w:cs="宋体"/>
                <w:color w:val="auto"/>
                <w:sz w:val="24"/>
                <w:szCs w:val="24"/>
                <w:highlight w:val="none"/>
              </w:rPr>
            </w:pPr>
          </w:p>
        </w:tc>
        <w:tc>
          <w:tcPr>
            <w:tcW w:w="1487" w:type="dxa"/>
            <w:noWrap w:val="0"/>
            <w:vAlign w:val="center"/>
          </w:tcPr>
          <w:p>
            <w:pPr>
              <w:pStyle w:val="36"/>
              <w:rPr>
                <w:rFonts w:hint="eastAsia" w:ascii="宋体" w:hAnsi="宋体" w:eastAsia="宋体" w:cs="宋体"/>
                <w:color w:val="auto"/>
                <w:sz w:val="24"/>
                <w:szCs w:val="24"/>
                <w:highlight w:val="none"/>
              </w:rPr>
            </w:pPr>
          </w:p>
        </w:tc>
        <w:tc>
          <w:tcPr>
            <w:tcW w:w="1801" w:type="dxa"/>
            <w:noWrap w:val="0"/>
            <w:vAlign w:val="center"/>
          </w:tcPr>
          <w:p>
            <w:pPr>
              <w:pStyle w:val="36"/>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13" w:type="dxa"/>
            <w:noWrap w:val="0"/>
            <w:vAlign w:val="center"/>
          </w:tcPr>
          <w:p>
            <w:pPr>
              <w:pStyle w:val="36"/>
              <w:rPr>
                <w:rFonts w:hint="eastAsia" w:ascii="宋体" w:hAnsi="宋体" w:eastAsia="宋体" w:cs="宋体"/>
                <w:color w:val="auto"/>
                <w:sz w:val="24"/>
                <w:szCs w:val="24"/>
                <w:highlight w:val="none"/>
              </w:rPr>
            </w:pPr>
          </w:p>
        </w:tc>
        <w:tc>
          <w:tcPr>
            <w:tcW w:w="549" w:type="dxa"/>
            <w:noWrap w:val="0"/>
            <w:vAlign w:val="center"/>
          </w:tcPr>
          <w:p>
            <w:pPr>
              <w:pStyle w:val="36"/>
              <w:rPr>
                <w:rFonts w:hint="eastAsia" w:ascii="宋体" w:hAnsi="宋体" w:eastAsia="宋体" w:cs="宋体"/>
                <w:color w:val="auto"/>
                <w:sz w:val="24"/>
                <w:szCs w:val="24"/>
                <w:highlight w:val="none"/>
              </w:rPr>
            </w:pPr>
          </w:p>
        </w:tc>
        <w:tc>
          <w:tcPr>
            <w:tcW w:w="550" w:type="dxa"/>
            <w:noWrap w:val="0"/>
            <w:vAlign w:val="center"/>
          </w:tcPr>
          <w:p>
            <w:pPr>
              <w:pStyle w:val="36"/>
              <w:rPr>
                <w:rFonts w:hint="eastAsia" w:ascii="宋体" w:hAnsi="宋体" w:eastAsia="宋体" w:cs="宋体"/>
                <w:color w:val="auto"/>
                <w:sz w:val="24"/>
                <w:szCs w:val="24"/>
                <w:highlight w:val="none"/>
              </w:rPr>
            </w:pPr>
          </w:p>
        </w:tc>
        <w:tc>
          <w:tcPr>
            <w:tcW w:w="825" w:type="dxa"/>
            <w:noWrap w:val="0"/>
            <w:vAlign w:val="center"/>
          </w:tcPr>
          <w:p>
            <w:pPr>
              <w:pStyle w:val="36"/>
              <w:rPr>
                <w:rFonts w:hint="eastAsia" w:ascii="宋体" w:hAnsi="宋体" w:eastAsia="宋体" w:cs="宋体"/>
                <w:color w:val="auto"/>
                <w:sz w:val="24"/>
                <w:szCs w:val="24"/>
                <w:highlight w:val="none"/>
              </w:rPr>
            </w:pPr>
          </w:p>
        </w:tc>
        <w:tc>
          <w:tcPr>
            <w:tcW w:w="1100" w:type="dxa"/>
            <w:noWrap w:val="0"/>
            <w:vAlign w:val="center"/>
          </w:tcPr>
          <w:p>
            <w:pPr>
              <w:pStyle w:val="36"/>
              <w:rPr>
                <w:rFonts w:hint="eastAsia" w:ascii="宋体" w:hAnsi="宋体" w:eastAsia="宋体" w:cs="宋体"/>
                <w:color w:val="auto"/>
                <w:sz w:val="24"/>
                <w:szCs w:val="24"/>
                <w:highlight w:val="none"/>
              </w:rPr>
            </w:pPr>
          </w:p>
        </w:tc>
        <w:tc>
          <w:tcPr>
            <w:tcW w:w="1564" w:type="dxa"/>
            <w:noWrap w:val="0"/>
            <w:vAlign w:val="center"/>
          </w:tcPr>
          <w:p>
            <w:pPr>
              <w:pStyle w:val="36"/>
              <w:rPr>
                <w:rFonts w:hint="eastAsia" w:ascii="宋体" w:hAnsi="宋体" w:eastAsia="宋体" w:cs="宋体"/>
                <w:color w:val="auto"/>
                <w:sz w:val="24"/>
                <w:szCs w:val="24"/>
                <w:highlight w:val="none"/>
              </w:rPr>
            </w:pPr>
          </w:p>
        </w:tc>
        <w:tc>
          <w:tcPr>
            <w:tcW w:w="1487" w:type="dxa"/>
            <w:noWrap w:val="0"/>
            <w:vAlign w:val="center"/>
          </w:tcPr>
          <w:p>
            <w:pPr>
              <w:pStyle w:val="36"/>
              <w:rPr>
                <w:rFonts w:hint="eastAsia" w:ascii="宋体" w:hAnsi="宋体" w:eastAsia="宋体" w:cs="宋体"/>
                <w:color w:val="auto"/>
                <w:sz w:val="24"/>
                <w:szCs w:val="24"/>
                <w:highlight w:val="none"/>
              </w:rPr>
            </w:pPr>
          </w:p>
        </w:tc>
        <w:tc>
          <w:tcPr>
            <w:tcW w:w="1801" w:type="dxa"/>
            <w:noWrap w:val="0"/>
            <w:vAlign w:val="center"/>
          </w:tcPr>
          <w:p>
            <w:pPr>
              <w:pStyle w:val="36"/>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13" w:type="dxa"/>
            <w:noWrap w:val="0"/>
            <w:vAlign w:val="center"/>
          </w:tcPr>
          <w:p>
            <w:pPr>
              <w:pStyle w:val="36"/>
              <w:rPr>
                <w:rFonts w:hint="eastAsia" w:ascii="宋体" w:hAnsi="宋体" w:eastAsia="宋体" w:cs="宋体"/>
                <w:color w:val="auto"/>
                <w:sz w:val="24"/>
                <w:szCs w:val="24"/>
                <w:highlight w:val="none"/>
              </w:rPr>
            </w:pPr>
          </w:p>
        </w:tc>
        <w:tc>
          <w:tcPr>
            <w:tcW w:w="549" w:type="dxa"/>
            <w:noWrap w:val="0"/>
            <w:vAlign w:val="center"/>
          </w:tcPr>
          <w:p>
            <w:pPr>
              <w:pStyle w:val="36"/>
              <w:rPr>
                <w:rFonts w:hint="eastAsia" w:ascii="宋体" w:hAnsi="宋体" w:eastAsia="宋体" w:cs="宋体"/>
                <w:color w:val="auto"/>
                <w:sz w:val="24"/>
                <w:szCs w:val="24"/>
                <w:highlight w:val="none"/>
              </w:rPr>
            </w:pPr>
          </w:p>
        </w:tc>
        <w:tc>
          <w:tcPr>
            <w:tcW w:w="550" w:type="dxa"/>
            <w:noWrap w:val="0"/>
            <w:vAlign w:val="center"/>
          </w:tcPr>
          <w:p>
            <w:pPr>
              <w:pStyle w:val="36"/>
              <w:rPr>
                <w:rFonts w:hint="eastAsia" w:ascii="宋体" w:hAnsi="宋体" w:eastAsia="宋体" w:cs="宋体"/>
                <w:color w:val="auto"/>
                <w:sz w:val="24"/>
                <w:szCs w:val="24"/>
                <w:highlight w:val="none"/>
              </w:rPr>
            </w:pPr>
          </w:p>
        </w:tc>
        <w:tc>
          <w:tcPr>
            <w:tcW w:w="825" w:type="dxa"/>
            <w:noWrap w:val="0"/>
            <w:vAlign w:val="top"/>
          </w:tcPr>
          <w:p>
            <w:pPr>
              <w:pStyle w:val="36"/>
              <w:rPr>
                <w:rFonts w:hint="eastAsia" w:ascii="宋体" w:hAnsi="宋体" w:eastAsia="宋体" w:cs="宋体"/>
                <w:color w:val="auto"/>
                <w:sz w:val="24"/>
                <w:szCs w:val="24"/>
                <w:highlight w:val="none"/>
              </w:rPr>
            </w:pPr>
          </w:p>
        </w:tc>
        <w:tc>
          <w:tcPr>
            <w:tcW w:w="1100" w:type="dxa"/>
            <w:noWrap w:val="0"/>
            <w:vAlign w:val="center"/>
          </w:tcPr>
          <w:p>
            <w:pPr>
              <w:pStyle w:val="36"/>
              <w:rPr>
                <w:rFonts w:hint="eastAsia" w:ascii="宋体" w:hAnsi="宋体" w:eastAsia="宋体" w:cs="宋体"/>
                <w:color w:val="auto"/>
                <w:sz w:val="24"/>
                <w:szCs w:val="24"/>
                <w:highlight w:val="none"/>
              </w:rPr>
            </w:pPr>
          </w:p>
        </w:tc>
        <w:tc>
          <w:tcPr>
            <w:tcW w:w="1564" w:type="dxa"/>
            <w:noWrap w:val="0"/>
            <w:vAlign w:val="center"/>
          </w:tcPr>
          <w:p>
            <w:pPr>
              <w:pStyle w:val="36"/>
              <w:rPr>
                <w:rFonts w:hint="eastAsia" w:ascii="宋体" w:hAnsi="宋体" w:eastAsia="宋体" w:cs="宋体"/>
                <w:color w:val="auto"/>
                <w:sz w:val="24"/>
                <w:szCs w:val="24"/>
                <w:highlight w:val="none"/>
              </w:rPr>
            </w:pPr>
          </w:p>
        </w:tc>
        <w:tc>
          <w:tcPr>
            <w:tcW w:w="1487" w:type="dxa"/>
            <w:noWrap w:val="0"/>
            <w:vAlign w:val="center"/>
          </w:tcPr>
          <w:p>
            <w:pPr>
              <w:pStyle w:val="36"/>
              <w:rPr>
                <w:rFonts w:hint="eastAsia" w:ascii="宋体" w:hAnsi="宋体" w:eastAsia="宋体" w:cs="宋体"/>
                <w:color w:val="auto"/>
                <w:sz w:val="24"/>
                <w:szCs w:val="24"/>
                <w:highlight w:val="none"/>
              </w:rPr>
            </w:pPr>
          </w:p>
        </w:tc>
        <w:tc>
          <w:tcPr>
            <w:tcW w:w="1801" w:type="dxa"/>
            <w:noWrap w:val="0"/>
            <w:vAlign w:val="center"/>
          </w:tcPr>
          <w:p>
            <w:pPr>
              <w:pStyle w:val="36"/>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13" w:type="dxa"/>
            <w:noWrap w:val="0"/>
            <w:vAlign w:val="center"/>
          </w:tcPr>
          <w:p>
            <w:pPr>
              <w:pStyle w:val="36"/>
              <w:rPr>
                <w:rFonts w:hint="eastAsia" w:ascii="宋体" w:hAnsi="宋体" w:eastAsia="宋体" w:cs="宋体"/>
                <w:color w:val="auto"/>
                <w:sz w:val="24"/>
                <w:szCs w:val="24"/>
                <w:highlight w:val="none"/>
              </w:rPr>
            </w:pPr>
          </w:p>
        </w:tc>
        <w:tc>
          <w:tcPr>
            <w:tcW w:w="549" w:type="dxa"/>
            <w:noWrap w:val="0"/>
            <w:vAlign w:val="center"/>
          </w:tcPr>
          <w:p>
            <w:pPr>
              <w:pStyle w:val="36"/>
              <w:rPr>
                <w:rFonts w:hint="eastAsia" w:ascii="宋体" w:hAnsi="宋体" w:eastAsia="宋体" w:cs="宋体"/>
                <w:color w:val="auto"/>
                <w:sz w:val="24"/>
                <w:szCs w:val="24"/>
                <w:highlight w:val="none"/>
              </w:rPr>
            </w:pPr>
          </w:p>
        </w:tc>
        <w:tc>
          <w:tcPr>
            <w:tcW w:w="550" w:type="dxa"/>
            <w:noWrap w:val="0"/>
            <w:vAlign w:val="center"/>
          </w:tcPr>
          <w:p>
            <w:pPr>
              <w:pStyle w:val="36"/>
              <w:rPr>
                <w:rFonts w:hint="eastAsia" w:ascii="宋体" w:hAnsi="宋体" w:eastAsia="宋体" w:cs="宋体"/>
                <w:color w:val="auto"/>
                <w:sz w:val="24"/>
                <w:szCs w:val="24"/>
                <w:highlight w:val="none"/>
              </w:rPr>
            </w:pPr>
          </w:p>
        </w:tc>
        <w:tc>
          <w:tcPr>
            <w:tcW w:w="825" w:type="dxa"/>
            <w:noWrap w:val="0"/>
            <w:vAlign w:val="top"/>
          </w:tcPr>
          <w:p>
            <w:pPr>
              <w:pStyle w:val="36"/>
              <w:rPr>
                <w:rFonts w:hint="eastAsia" w:ascii="宋体" w:hAnsi="宋体" w:eastAsia="宋体" w:cs="宋体"/>
                <w:color w:val="auto"/>
                <w:sz w:val="24"/>
                <w:szCs w:val="24"/>
                <w:highlight w:val="none"/>
              </w:rPr>
            </w:pPr>
          </w:p>
        </w:tc>
        <w:tc>
          <w:tcPr>
            <w:tcW w:w="1100" w:type="dxa"/>
            <w:noWrap w:val="0"/>
            <w:vAlign w:val="center"/>
          </w:tcPr>
          <w:p>
            <w:pPr>
              <w:pStyle w:val="36"/>
              <w:rPr>
                <w:rFonts w:hint="eastAsia" w:ascii="宋体" w:hAnsi="宋体" w:eastAsia="宋体" w:cs="宋体"/>
                <w:color w:val="auto"/>
                <w:sz w:val="24"/>
                <w:szCs w:val="24"/>
                <w:highlight w:val="none"/>
              </w:rPr>
            </w:pPr>
          </w:p>
        </w:tc>
        <w:tc>
          <w:tcPr>
            <w:tcW w:w="1564" w:type="dxa"/>
            <w:noWrap w:val="0"/>
            <w:vAlign w:val="center"/>
          </w:tcPr>
          <w:p>
            <w:pPr>
              <w:pStyle w:val="36"/>
              <w:rPr>
                <w:rFonts w:hint="eastAsia" w:ascii="宋体" w:hAnsi="宋体" w:eastAsia="宋体" w:cs="宋体"/>
                <w:color w:val="auto"/>
                <w:sz w:val="24"/>
                <w:szCs w:val="24"/>
                <w:highlight w:val="none"/>
              </w:rPr>
            </w:pPr>
          </w:p>
        </w:tc>
        <w:tc>
          <w:tcPr>
            <w:tcW w:w="1487" w:type="dxa"/>
            <w:noWrap w:val="0"/>
            <w:vAlign w:val="center"/>
          </w:tcPr>
          <w:p>
            <w:pPr>
              <w:pStyle w:val="36"/>
              <w:rPr>
                <w:rFonts w:hint="eastAsia" w:ascii="宋体" w:hAnsi="宋体" w:eastAsia="宋体" w:cs="宋体"/>
                <w:color w:val="auto"/>
                <w:sz w:val="24"/>
                <w:szCs w:val="24"/>
                <w:highlight w:val="none"/>
              </w:rPr>
            </w:pPr>
          </w:p>
        </w:tc>
        <w:tc>
          <w:tcPr>
            <w:tcW w:w="1801" w:type="dxa"/>
            <w:noWrap w:val="0"/>
            <w:vAlign w:val="center"/>
          </w:tcPr>
          <w:p>
            <w:pPr>
              <w:pStyle w:val="36"/>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13" w:type="dxa"/>
            <w:noWrap w:val="0"/>
            <w:vAlign w:val="center"/>
          </w:tcPr>
          <w:p>
            <w:pPr>
              <w:pStyle w:val="36"/>
              <w:rPr>
                <w:rFonts w:hint="eastAsia" w:ascii="宋体" w:hAnsi="宋体" w:eastAsia="宋体" w:cs="宋体"/>
                <w:color w:val="auto"/>
                <w:sz w:val="24"/>
                <w:szCs w:val="24"/>
                <w:highlight w:val="none"/>
              </w:rPr>
            </w:pPr>
          </w:p>
        </w:tc>
        <w:tc>
          <w:tcPr>
            <w:tcW w:w="549" w:type="dxa"/>
            <w:noWrap w:val="0"/>
            <w:vAlign w:val="center"/>
          </w:tcPr>
          <w:p>
            <w:pPr>
              <w:pStyle w:val="36"/>
              <w:rPr>
                <w:rFonts w:hint="eastAsia" w:ascii="宋体" w:hAnsi="宋体" w:eastAsia="宋体" w:cs="宋体"/>
                <w:color w:val="auto"/>
                <w:sz w:val="24"/>
                <w:szCs w:val="24"/>
                <w:highlight w:val="none"/>
              </w:rPr>
            </w:pPr>
          </w:p>
        </w:tc>
        <w:tc>
          <w:tcPr>
            <w:tcW w:w="550" w:type="dxa"/>
            <w:noWrap w:val="0"/>
            <w:vAlign w:val="center"/>
          </w:tcPr>
          <w:p>
            <w:pPr>
              <w:pStyle w:val="36"/>
              <w:rPr>
                <w:rFonts w:hint="eastAsia" w:ascii="宋体" w:hAnsi="宋体" w:eastAsia="宋体" w:cs="宋体"/>
                <w:color w:val="auto"/>
                <w:sz w:val="24"/>
                <w:szCs w:val="24"/>
                <w:highlight w:val="none"/>
              </w:rPr>
            </w:pPr>
          </w:p>
        </w:tc>
        <w:tc>
          <w:tcPr>
            <w:tcW w:w="825" w:type="dxa"/>
            <w:noWrap w:val="0"/>
            <w:vAlign w:val="center"/>
          </w:tcPr>
          <w:p>
            <w:pPr>
              <w:pStyle w:val="36"/>
              <w:rPr>
                <w:rFonts w:hint="eastAsia" w:ascii="宋体" w:hAnsi="宋体" w:eastAsia="宋体" w:cs="宋体"/>
                <w:color w:val="auto"/>
                <w:sz w:val="24"/>
                <w:szCs w:val="24"/>
                <w:highlight w:val="none"/>
              </w:rPr>
            </w:pPr>
          </w:p>
        </w:tc>
        <w:tc>
          <w:tcPr>
            <w:tcW w:w="1100" w:type="dxa"/>
            <w:noWrap w:val="0"/>
            <w:vAlign w:val="center"/>
          </w:tcPr>
          <w:p>
            <w:pPr>
              <w:pStyle w:val="36"/>
              <w:rPr>
                <w:rFonts w:hint="eastAsia" w:ascii="宋体" w:hAnsi="宋体" w:eastAsia="宋体" w:cs="宋体"/>
                <w:color w:val="auto"/>
                <w:sz w:val="24"/>
                <w:szCs w:val="24"/>
                <w:highlight w:val="none"/>
              </w:rPr>
            </w:pPr>
          </w:p>
        </w:tc>
        <w:tc>
          <w:tcPr>
            <w:tcW w:w="1564" w:type="dxa"/>
            <w:noWrap w:val="0"/>
            <w:vAlign w:val="center"/>
          </w:tcPr>
          <w:p>
            <w:pPr>
              <w:pStyle w:val="36"/>
              <w:rPr>
                <w:rFonts w:hint="eastAsia" w:ascii="宋体" w:hAnsi="宋体" w:eastAsia="宋体" w:cs="宋体"/>
                <w:color w:val="auto"/>
                <w:sz w:val="24"/>
                <w:szCs w:val="24"/>
                <w:highlight w:val="none"/>
              </w:rPr>
            </w:pPr>
          </w:p>
        </w:tc>
        <w:tc>
          <w:tcPr>
            <w:tcW w:w="1487" w:type="dxa"/>
            <w:noWrap w:val="0"/>
            <w:vAlign w:val="center"/>
          </w:tcPr>
          <w:p>
            <w:pPr>
              <w:pStyle w:val="36"/>
              <w:rPr>
                <w:rFonts w:hint="eastAsia" w:ascii="宋体" w:hAnsi="宋体" w:eastAsia="宋体" w:cs="宋体"/>
                <w:color w:val="auto"/>
                <w:sz w:val="24"/>
                <w:szCs w:val="24"/>
                <w:highlight w:val="none"/>
              </w:rPr>
            </w:pPr>
          </w:p>
        </w:tc>
        <w:tc>
          <w:tcPr>
            <w:tcW w:w="1801" w:type="dxa"/>
            <w:noWrap w:val="0"/>
            <w:vAlign w:val="center"/>
          </w:tcPr>
          <w:p>
            <w:pPr>
              <w:pStyle w:val="36"/>
              <w:rPr>
                <w:rFonts w:hint="eastAsia" w:ascii="宋体" w:hAnsi="宋体" w:eastAsia="宋体" w:cs="宋体"/>
                <w:color w:val="auto"/>
                <w:sz w:val="24"/>
                <w:szCs w:val="24"/>
                <w:highlight w:val="none"/>
              </w:rPr>
            </w:pPr>
          </w:p>
        </w:tc>
      </w:tr>
    </w:tbl>
    <w:p>
      <w:pPr>
        <w:rPr>
          <w:rFonts w:hint="eastAsia"/>
          <w:color w:val="auto"/>
          <w:highlight w:val="none"/>
        </w:rPr>
      </w:pPr>
      <w:r>
        <w:rPr>
          <w:rFonts w:hint="eastAsia"/>
          <w:color w:val="auto"/>
          <w:highlight w:val="none"/>
          <w:lang w:val="en-US" w:eastAsia="zh-CN"/>
        </w:rPr>
        <w:t xml:space="preserve">供应商（企业电子章）： </w:t>
      </w:r>
    </w:p>
    <w:p>
      <w:pPr>
        <w:rPr>
          <w:rFonts w:hint="eastAsia"/>
          <w:color w:val="auto"/>
          <w:highlight w:val="none"/>
          <w:lang w:val="en-US" w:eastAsia="zh-CN"/>
        </w:rPr>
      </w:pPr>
      <w:r>
        <w:rPr>
          <w:rFonts w:hint="eastAsia"/>
          <w:color w:val="auto"/>
          <w:highlight w:val="none"/>
          <w:lang w:val="en-US" w:eastAsia="zh-CN"/>
        </w:rPr>
        <w:t>注：职称、资格证书扫描件附后</w:t>
      </w:r>
    </w:p>
    <w:p>
      <w:pPr>
        <w:rPr>
          <w:rFonts w:hint="eastAsia"/>
          <w:color w:val="auto"/>
          <w:highlight w:val="none"/>
        </w:rPr>
      </w:pPr>
      <w:r>
        <w:rPr>
          <w:rFonts w:hint="eastAsia"/>
          <w:color w:val="auto"/>
          <w:highlight w:val="none"/>
        </w:rPr>
        <w:br w:type="page"/>
      </w:r>
    </w:p>
    <w:p>
      <w:pPr>
        <w:pStyle w:val="5"/>
        <w:bidi w:val="0"/>
        <w:rPr>
          <w:rFonts w:hint="eastAsia"/>
          <w:color w:val="auto"/>
          <w:highlight w:val="none"/>
        </w:rPr>
      </w:pPr>
      <w:r>
        <w:rPr>
          <w:rFonts w:hint="eastAsia"/>
          <w:color w:val="auto"/>
          <w:highlight w:val="none"/>
        </w:rPr>
        <w:t>十</w:t>
      </w:r>
      <w:r>
        <w:rPr>
          <w:rFonts w:hint="eastAsia"/>
          <w:color w:val="auto"/>
          <w:highlight w:val="none"/>
          <w:lang w:eastAsia="zh-CN"/>
        </w:rPr>
        <w:t>四</w:t>
      </w:r>
      <w:r>
        <w:rPr>
          <w:rFonts w:hint="eastAsia"/>
          <w:color w:val="auto"/>
          <w:highlight w:val="none"/>
        </w:rPr>
        <w:t xml:space="preserve">、承诺书 </w:t>
      </w:r>
    </w:p>
    <w:p>
      <w:pPr>
        <w:pStyle w:val="6"/>
        <w:bidi w:val="0"/>
        <w:rPr>
          <w:rFonts w:hint="eastAsia"/>
          <w:color w:val="auto"/>
          <w:highlight w:val="none"/>
        </w:rPr>
      </w:pPr>
      <w:r>
        <w:rPr>
          <w:rFonts w:hint="eastAsia"/>
          <w:color w:val="auto"/>
          <w:highlight w:val="none"/>
        </w:rPr>
        <w:t xml:space="preserve">附件9：承诺书 </w:t>
      </w:r>
    </w:p>
    <w:p>
      <w:pPr>
        <w:rPr>
          <w:rFonts w:hint="eastAsia"/>
          <w:color w:val="auto"/>
          <w:highlight w:val="none"/>
        </w:rPr>
      </w:pPr>
      <w:r>
        <w:rPr>
          <w:rFonts w:hint="eastAsia"/>
          <w:color w:val="auto"/>
          <w:highlight w:val="none"/>
        </w:rPr>
        <w:t>注：在响应文件中附扫描件</w:t>
      </w:r>
    </w:p>
    <w:p>
      <w:pPr>
        <w:jc w:val="center"/>
        <w:rPr>
          <w:rFonts w:hint="eastAsia"/>
          <w:b/>
          <w:bCs/>
          <w:color w:val="auto"/>
          <w:highlight w:val="none"/>
        </w:rPr>
      </w:pPr>
      <w:r>
        <w:rPr>
          <w:rFonts w:hint="eastAsia"/>
          <w:b/>
          <w:bCs/>
          <w:color w:val="auto"/>
          <w:highlight w:val="none"/>
        </w:rPr>
        <w:t>洛阳市建设工程廉洁自律承诺书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highlight w:val="none"/>
        </w:rPr>
      </w:pPr>
      <w:r>
        <w:rPr>
          <w:rFonts w:hint="eastAsia"/>
          <w:color w:val="auto"/>
          <w:highlight w:val="none"/>
        </w:rPr>
        <w:t>为切实加强工程建设领域的党风廉政建设，严格遵守廉洁从业的有关规定，有效预防和制止各种违法违纪行为和腐败问题的发生，确保把工程项目建设成为廉洁工程，促进经济社会又好又快地发展，作为本工程的供应商，特向市委、市政府做出如下庄严承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highlight w:val="none"/>
        </w:rPr>
      </w:pPr>
      <w:r>
        <w:rPr>
          <w:rFonts w:hint="eastAsia"/>
          <w:color w:val="auto"/>
          <w:highlight w:val="none"/>
        </w:rPr>
        <w:t>一、严格遵守党纪国法和各项政策规定，将廉政建设和廉洁从业的各项要求贯彻始终，廉洁自律，加强监督，保证将工程建成廉洁工程。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highlight w:val="none"/>
        </w:rPr>
      </w:pPr>
      <w:r>
        <w:rPr>
          <w:rFonts w:hint="eastAsia"/>
          <w:color w:val="auto"/>
          <w:highlight w:val="none"/>
        </w:rPr>
        <w:t>二、严格遵守职业道德，坚持公开、公证、公平的原则，依法合规参与竞争，努力推进诚信建设，决不从事任何不正当竞争和任何违法违纪行为。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highlight w:val="none"/>
        </w:rPr>
      </w:pPr>
      <w:r>
        <w:rPr>
          <w:rFonts w:hint="eastAsia"/>
          <w:color w:val="auto"/>
          <w:highlight w:val="none"/>
        </w:rPr>
        <w:t>三、建立并落实党风廉政建设和廉洁从业责任制，健全行之有效的规章制度，在工程报批立项、招标投标、资金运用、物资采购、设计变更、预算决算、质量认证、工程验收和设计、施工、监理过程中不以任何形式以权谋私、以工程谋私、索贿受贿，直接或变相行贿搞商业贿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highlight w:val="none"/>
        </w:rPr>
      </w:pPr>
      <w:r>
        <w:rPr>
          <w:rFonts w:hint="eastAsia"/>
          <w:color w:val="auto"/>
          <w:highlight w:val="none"/>
        </w:rPr>
        <w:t>四、建立工程质量监管保证体系。严格按照国家各项相关法规和技术规范从事设计、施工、监理，确保工程设计、施工组织、质量监理全部依法合规，争创优质工程。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highlight w:val="none"/>
        </w:rPr>
      </w:pPr>
      <w:r>
        <w:rPr>
          <w:rFonts w:hint="eastAsia"/>
          <w:color w:val="auto"/>
          <w:highlight w:val="none"/>
        </w:rPr>
        <w:t>五、建立安全生产监管保证体系。按照国家各项相关法律和技术规范，在工程建设中落实安全生产“三同时”要求，确保施工人员和其他相关人员生命及人身安全，杜绝各类安全事故的发生。</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highlight w:val="none"/>
        </w:rPr>
      </w:pPr>
      <w:r>
        <w:rPr>
          <w:rFonts w:hint="eastAsia"/>
          <w:color w:val="auto"/>
          <w:highlight w:val="none"/>
        </w:rPr>
        <w:t>六、遵守财经法规，厉行勤俭节约，杜绝铺张浪费，严格控制开支，最大限度地压缩工程费用，节约资金。</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highlight w:val="none"/>
        </w:rPr>
      </w:pPr>
      <w:r>
        <w:rPr>
          <w:rFonts w:hint="eastAsia"/>
          <w:color w:val="auto"/>
          <w:highlight w:val="none"/>
        </w:rPr>
        <w:t>七、定期不定期地对工程建设中的廉政建设和廉洁从业情况进行内部监督检查，同时主动接受外部有关部门依法依纪的监督检查，及时发现和整改存在的各种问题。</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highlight w:val="none"/>
        </w:rPr>
      </w:pPr>
      <w:r>
        <w:rPr>
          <w:rFonts w:hint="eastAsia"/>
          <w:color w:val="auto"/>
          <w:highlight w:val="none"/>
        </w:rPr>
        <w:t>八、如在工程建设中发生违法违纪行为和腐败问题，自愿接受党纪、政纪处理直至追究法律责任。</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highlight w:val="none"/>
        </w:rPr>
      </w:pPr>
      <w:r>
        <w:rPr>
          <w:rFonts w:hint="eastAsia"/>
          <w:color w:val="auto"/>
          <w:highlight w:val="none"/>
        </w:rPr>
        <w:t>承诺单位(公章)：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highlight w:val="none"/>
        </w:rPr>
      </w:pPr>
      <w:r>
        <w:rPr>
          <w:rFonts w:hint="eastAsia"/>
          <w:color w:val="auto"/>
          <w:highlight w:val="none"/>
        </w:rPr>
        <w:t>法定代表人（签字或盖章）：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highlight w:val="none"/>
        </w:rPr>
      </w:pPr>
      <w:r>
        <w:rPr>
          <w:rFonts w:hint="eastAsia"/>
          <w:color w:val="auto"/>
          <w:highlight w:val="none"/>
        </w:rPr>
        <w:t>授权委托人（签字或盖章）：</w:t>
      </w:r>
    </w:p>
    <w:p>
      <w:pPr>
        <w:ind w:firstLine="7200" w:firstLineChars="3000"/>
        <w:rPr>
          <w:rFonts w:hint="eastAsia" w:eastAsia="宋体"/>
          <w:color w:val="auto"/>
          <w:highlight w:val="none"/>
          <w:lang w:val="en-US" w:eastAsia="zh-CN"/>
        </w:rPr>
      </w:pPr>
      <w:r>
        <w:rPr>
          <w:rFonts w:hint="eastAsia"/>
          <w:color w:val="auto"/>
          <w:highlight w:val="none"/>
          <w:lang w:val="en-US" w:eastAsia="zh-CN"/>
        </w:rPr>
        <w:t>年  月  日</w:t>
      </w:r>
    </w:p>
    <w:p>
      <w:pPr>
        <w:rPr>
          <w:rFonts w:hint="eastAsia"/>
          <w:color w:val="auto"/>
          <w:highlight w:val="none"/>
        </w:rPr>
      </w:pPr>
      <w:r>
        <w:rPr>
          <w:rFonts w:hint="eastAsia"/>
          <w:color w:val="auto"/>
          <w:highlight w:val="none"/>
        </w:rPr>
        <w:br w:type="page"/>
      </w:r>
    </w:p>
    <w:p>
      <w:pPr>
        <w:keepNext w:val="0"/>
        <w:keepLines w:val="0"/>
        <w:widowControl/>
        <w:suppressLineNumbers w:val="0"/>
        <w:jc w:val="center"/>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洛阳市工程建设项目廉洁自律告知书</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为维护公平竞争的市场秩序,从源头上有效预防和制止违法违纪行为和腐败问题的发生,促进工程项目建设廉洁优质高效，现就有关事项告知如下：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1、严格遵守工程建设项目的法律、法规及规章制度。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2、严格遵守职业道德，坚持公开、公正、公平、诚信的原则；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3、严格执行工程建设项目合同文件，自觉按合同办事；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4、严格执行工程建设项目招标投标、物资采购、设计变更、质量认证、安全生产等各项规定；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5、严禁为了获取不正当的利益而损害国家利益、社会公共利益或者他人合法权益；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6、严禁向项目建设单位和相关职能部门及有关人员赠送礼金、有价证券、贵重物品或回扣、好处费、感谢费等，不直接或变相行贿搞商业贿赂；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7、加强内部监督，并自觉接受有关职能部门对工程建设情况的监督检查；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8、严格执行廉洁从业各项规定，并向市委、市政府作出廉洁自律承诺。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违反上述告知事项造成不良影响或严重后果的，按照国家有关法律法规予以处理；涉嫌犯罪的，移送司法机关依法追究刑事责任。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本人已认真阅读并充分理解以上条款，并代表所属单位严格遵守。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单位(公章)：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法定代表人（签字或盖章）：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sectPr>
          <w:pgSz w:w="11906" w:h="16838"/>
          <w:pgMar w:top="1134" w:right="1134" w:bottom="1134" w:left="1134" w:header="851" w:footer="992" w:gutter="0"/>
          <w:cols w:space="0" w:num="1"/>
          <w:rtlGutter w:val="0"/>
          <w:docGrid w:type="lines" w:linePitch="312" w:charSpace="0"/>
        </w:sectPr>
      </w:pPr>
      <w:r>
        <w:rPr>
          <w:rFonts w:hint="eastAsia" w:asciiTheme="minorEastAsia" w:hAnsiTheme="minorEastAsia" w:eastAsiaTheme="minorEastAsia" w:cstheme="minorEastAsia"/>
          <w:color w:val="auto"/>
          <w:kern w:val="0"/>
          <w:sz w:val="24"/>
          <w:szCs w:val="24"/>
          <w:highlight w:val="none"/>
          <w:lang w:val="en-US" w:eastAsia="zh-CN" w:bidi="ar"/>
        </w:rPr>
        <w:t>年 月 日</w:t>
      </w:r>
    </w:p>
    <w:p>
      <w:pPr>
        <w:jc w:val="center"/>
        <w:rPr>
          <w:rFonts w:ascii="仿宋_GB2312" w:hAnsi="Times New Roman" w:eastAsia="黑体"/>
          <w:color w:val="auto"/>
          <w:sz w:val="30"/>
          <w:szCs w:val="30"/>
          <w:highlight w:val="none"/>
        </w:rPr>
      </w:pPr>
      <w:r>
        <w:rPr>
          <w:rFonts w:hint="eastAsia" w:ascii="仿宋_GB2312" w:hAnsi="Times New Roman" w:eastAsia="黑体"/>
          <w:color w:val="auto"/>
          <w:sz w:val="30"/>
          <w:szCs w:val="30"/>
          <w:highlight w:val="none"/>
        </w:rPr>
        <w:t>项目经理（注册建造师）承诺书</w:t>
      </w:r>
    </w:p>
    <w:p>
      <w:pPr>
        <w:spacing w:line="440" w:lineRule="exact"/>
        <w:ind w:firstLine="456" w:firstLineChars="200"/>
        <w:rPr>
          <w:rFonts w:hint="eastAsia" w:ascii="仿宋" w:hAnsi="仿宋" w:eastAsia="仿宋"/>
          <w:color w:val="auto"/>
          <w:spacing w:val="14"/>
          <w:kern w:val="0"/>
          <w:sz w:val="20"/>
          <w:szCs w:val="21"/>
          <w:highlight w:val="none"/>
        </w:rPr>
      </w:pPr>
    </w:p>
    <w:p>
      <w:pPr>
        <w:spacing w:line="440" w:lineRule="exact"/>
        <w:ind w:firstLine="480" w:firstLineChars="200"/>
        <w:rPr>
          <w:rFonts w:ascii="仿宋_GB2312" w:hAnsi="宋体" w:eastAsia="仿宋_GB2312"/>
          <w:color w:val="auto"/>
          <w:sz w:val="24"/>
          <w:szCs w:val="32"/>
          <w:highlight w:val="none"/>
        </w:rPr>
      </w:pPr>
      <w:r>
        <w:rPr>
          <w:rFonts w:hint="eastAsia" w:ascii="仿宋_GB2312" w:hAnsi="宋体" w:eastAsia="仿宋_GB2312"/>
          <w:color w:val="auto"/>
          <w:sz w:val="24"/>
          <w:szCs w:val="32"/>
          <w:highlight w:val="none"/>
        </w:rPr>
        <w:t>我公司郑重承诺：</w:t>
      </w:r>
    </w:p>
    <w:p>
      <w:pPr>
        <w:spacing w:line="440" w:lineRule="exact"/>
        <w:ind w:firstLine="480" w:firstLineChars="200"/>
        <w:rPr>
          <w:rFonts w:ascii="仿宋_GB2312" w:hAnsi="宋体" w:eastAsia="仿宋_GB2312"/>
          <w:color w:val="auto"/>
          <w:sz w:val="24"/>
          <w:szCs w:val="32"/>
          <w:highlight w:val="none"/>
        </w:rPr>
      </w:pPr>
      <w:r>
        <w:rPr>
          <w:rFonts w:hint="eastAsia" w:ascii="仿宋_GB2312" w:hAnsi="宋体" w:eastAsia="仿宋_GB2312"/>
          <w:color w:val="auto"/>
          <w:sz w:val="24"/>
          <w:szCs w:val="32"/>
          <w:highlight w:val="none"/>
        </w:rPr>
        <w:t>在本项目的建设中，我公司保证做到：</w:t>
      </w:r>
    </w:p>
    <w:p>
      <w:pPr>
        <w:spacing w:line="440" w:lineRule="exact"/>
        <w:ind w:firstLine="480" w:firstLineChars="200"/>
        <w:rPr>
          <w:rFonts w:ascii="仿宋_GB2312" w:hAnsi="宋体" w:eastAsia="仿宋_GB2312"/>
          <w:color w:val="auto"/>
          <w:sz w:val="24"/>
          <w:szCs w:val="32"/>
          <w:highlight w:val="none"/>
        </w:rPr>
      </w:pPr>
      <w:r>
        <w:rPr>
          <w:rFonts w:hint="eastAsia" w:ascii="仿宋_GB2312" w:hAnsi="宋体" w:eastAsia="仿宋_GB2312"/>
          <w:color w:val="auto"/>
          <w:sz w:val="24"/>
          <w:szCs w:val="32"/>
          <w:highlight w:val="none"/>
        </w:rPr>
        <w:t>1、公平竞争参加本次采购活动。</w:t>
      </w:r>
    </w:p>
    <w:p>
      <w:pPr>
        <w:spacing w:line="440" w:lineRule="exact"/>
        <w:ind w:firstLine="480" w:firstLineChars="200"/>
        <w:rPr>
          <w:rFonts w:ascii="仿宋_GB2312" w:hAnsi="宋体" w:eastAsia="仿宋_GB2312"/>
          <w:color w:val="auto"/>
          <w:sz w:val="24"/>
          <w:szCs w:val="32"/>
          <w:highlight w:val="none"/>
        </w:rPr>
      </w:pPr>
      <w:r>
        <w:rPr>
          <w:rFonts w:hint="eastAsia" w:ascii="仿宋_GB2312" w:hAnsi="宋体" w:eastAsia="仿宋_GB2312"/>
          <w:color w:val="auto"/>
          <w:sz w:val="24"/>
          <w:szCs w:val="32"/>
          <w:highlight w:val="none"/>
        </w:rPr>
        <w:t>2、如果我公司为成交供应商，响应文件中拟派的项目经理（注册建造师）每周保证4天在工地现场，项目部其他组成人员保证在施工期间在现场进行施工管理，不经业主允许，不得更换项目经理（注册建造师）及管理人员，否则将扣除全部履约保证金，且业主有权单方面终止合同，由此造成的一切损失由我单位负责。</w:t>
      </w:r>
    </w:p>
    <w:p>
      <w:pPr>
        <w:spacing w:line="440" w:lineRule="exact"/>
        <w:ind w:firstLine="480" w:firstLineChars="200"/>
        <w:rPr>
          <w:rFonts w:hint="eastAsia" w:ascii="仿宋_GB2312" w:hAnsi="宋体" w:eastAsia="仿宋_GB2312"/>
          <w:color w:val="auto"/>
          <w:sz w:val="24"/>
          <w:szCs w:val="32"/>
          <w:highlight w:val="none"/>
        </w:rPr>
      </w:pPr>
    </w:p>
    <w:p>
      <w:pPr>
        <w:spacing w:line="440" w:lineRule="exact"/>
        <w:ind w:firstLine="480" w:firstLineChars="200"/>
        <w:rPr>
          <w:rFonts w:hint="eastAsia" w:ascii="仿宋_GB2312" w:hAnsi="宋体" w:eastAsia="仿宋_GB2312"/>
          <w:color w:val="auto"/>
          <w:sz w:val="24"/>
          <w:szCs w:val="32"/>
          <w:highlight w:val="none"/>
        </w:rPr>
      </w:pPr>
    </w:p>
    <w:p>
      <w:pPr>
        <w:spacing w:line="440" w:lineRule="exact"/>
        <w:ind w:firstLine="480" w:firstLineChars="200"/>
        <w:rPr>
          <w:rFonts w:hint="eastAsia" w:ascii="仿宋_GB2312" w:hAnsi="宋体" w:eastAsia="仿宋_GB2312"/>
          <w:color w:val="auto"/>
          <w:sz w:val="24"/>
          <w:szCs w:val="32"/>
          <w:highlight w:val="none"/>
        </w:rPr>
      </w:pPr>
      <w:r>
        <w:rPr>
          <w:rFonts w:hint="eastAsia" w:ascii="仿宋_GB2312" w:hAnsi="宋体" w:eastAsia="仿宋_GB2312"/>
          <w:color w:val="auto"/>
          <w:sz w:val="24"/>
          <w:szCs w:val="32"/>
          <w:highlight w:val="none"/>
        </w:rPr>
        <w:t>单位(公章)：</w:t>
      </w:r>
    </w:p>
    <w:p>
      <w:pPr>
        <w:spacing w:line="440" w:lineRule="exact"/>
        <w:ind w:firstLine="480" w:firstLineChars="200"/>
        <w:rPr>
          <w:rFonts w:ascii="仿宋_GB2312" w:hAnsi="宋体" w:eastAsia="仿宋_GB2312"/>
          <w:color w:val="auto"/>
          <w:sz w:val="24"/>
          <w:szCs w:val="32"/>
          <w:highlight w:val="none"/>
        </w:rPr>
      </w:pPr>
    </w:p>
    <w:p>
      <w:pPr>
        <w:spacing w:line="440" w:lineRule="exact"/>
        <w:ind w:firstLine="480" w:firstLineChars="200"/>
        <w:rPr>
          <w:rFonts w:ascii="仿宋_GB2312" w:hAnsi="宋体" w:eastAsia="仿宋_GB2312"/>
          <w:color w:val="auto"/>
          <w:sz w:val="24"/>
          <w:szCs w:val="32"/>
          <w:highlight w:val="none"/>
        </w:rPr>
      </w:pPr>
      <w:r>
        <w:rPr>
          <w:rFonts w:hint="eastAsia" w:ascii="仿宋_GB2312" w:hAnsi="宋体" w:eastAsia="仿宋_GB2312"/>
          <w:color w:val="auto"/>
          <w:sz w:val="24"/>
          <w:szCs w:val="32"/>
          <w:highlight w:val="none"/>
        </w:rPr>
        <w:t>法定代表人（签字或盖章）：</w:t>
      </w:r>
    </w:p>
    <w:p>
      <w:pPr>
        <w:spacing w:line="440" w:lineRule="exact"/>
        <w:ind w:firstLine="480" w:firstLineChars="200"/>
        <w:rPr>
          <w:rFonts w:ascii="仿宋_GB2312" w:hAnsi="宋体" w:eastAsia="仿宋_GB2312"/>
          <w:color w:val="auto"/>
          <w:sz w:val="24"/>
          <w:szCs w:val="32"/>
          <w:highlight w:val="none"/>
        </w:rPr>
      </w:pPr>
    </w:p>
    <w:p>
      <w:pPr>
        <w:spacing w:line="440" w:lineRule="exact"/>
        <w:ind w:firstLine="480" w:firstLineChars="200"/>
        <w:rPr>
          <w:rFonts w:ascii="仿宋_GB2312" w:hAnsi="宋体" w:eastAsia="仿宋_GB2312"/>
          <w:color w:val="auto"/>
          <w:sz w:val="24"/>
          <w:szCs w:val="32"/>
          <w:highlight w:val="none"/>
        </w:rPr>
      </w:pPr>
      <w:r>
        <w:rPr>
          <w:rFonts w:hint="eastAsia" w:ascii="仿宋_GB2312" w:hAnsi="宋体" w:eastAsia="仿宋_GB2312"/>
          <w:color w:val="auto"/>
          <w:sz w:val="24"/>
          <w:szCs w:val="32"/>
          <w:highlight w:val="none"/>
        </w:rPr>
        <w:t>授权委托人（签字或盖章）：</w:t>
      </w:r>
    </w:p>
    <w:p>
      <w:pPr>
        <w:spacing w:line="440" w:lineRule="exact"/>
        <w:ind w:firstLine="480" w:firstLineChars="200"/>
        <w:rPr>
          <w:rFonts w:ascii="仿宋_GB2312" w:hAnsi="宋体" w:eastAsia="仿宋_GB2312"/>
          <w:color w:val="auto"/>
          <w:sz w:val="24"/>
          <w:szCs w:val="32"/>
          <w:highlight w:val="none"/>
        </w:rPr>
      </w:pPr>
    </w:p>
    <w:p>
      <w:pPr>
        <w:spacing w:line="440" w:lineRule="exact"/>
        <w:ind w:firstLine="480" w:firstLineChars="200"/>
        <w:rPr>
          <w:rFonts w:ascii="仿宋_GB2312" w:hAnsi="宋体" w:eastAsia="仿宋_GB2312"/>
          <w:color w:val="auto"/>
          <w:sz w:val="24"/>
          <w:szCs w:val="32"/>
          <w:highlight w:val="none"/>
        </w:rPr>
      </w:pPr>
      <w:r>
        <w:rPr>
          <w:rFonts w:hint="eastAsia" w:ascii="仿宋_GB2312" w:hAnsi="宋体" w:eastAsia="仿宋_GB2312"/>
          <w:color w:val="auto"/>
          <w:sz w:val="24"/>
          <w:szCs w:val="32"/>
          <w:highlight w:val="none"/>
        </w:rPr>
        <w:t>项目经理（注册建造师）（签字或盖章）：</w:t>
      </w:r>
    </w:p>
    <w:p>
      <w:pPr>
        <w:spacing w:line="440" w:lineRule="exact"/>
        <w:ind w:firstLine="480" w:firstLineChars="200"/>
        <w:rPr>
          <w:rFonts w:ascii="仿宋_GB2312" w:hAnsi="宋体" w:eastAsia="仿宋_GB2312"/>
          <w:color w:val="auto"/>
          <w:sz w:val="24"/>
          <w:szCs w:val="32"/>
          <w:highlight w:val="none"/>
        </w:rPr>
      </w:pPr>
    </w:p>
    <w:p>
      <w:pPr>
        <w:spacing w:line="440" w:lineRule="exact"/>
        <w:ind w:firstLine="480" w:firstLineChars="200"/>
        <w:rPr>
          <w:rFonts w:ascii="仿宋_GB2312" w:hAnsi="宋体" w:eastAsia="仿宋_GB2312"/>
          <w:color w:val="auto"/>
          <w:sz w:val="24"/>
          <w:szCs w:val="32"/>
          <w:highlight w:val="none"/>
        </w:rPr>
      </w:pPr>
    </w:p>
    <w:p>
      <w:pPr>
        <w:spacing w:line="440" w:lineRule="exact"/>
        <w:ind w:firstLine="480" w:firstLineChars="200"/>
        <w:rPr>
          <w:rFonts w:ascii="仿宋_GB2312" w:hAnsi="宋体" w:eastAsia="仿宋_GB2312"/>
          <w:color w:val="auto"/>
          <w:sz w:val="24"/>
          <w:szCs w:val="32"/>
          <w:highlight w:val="none"/>
        </w:rPr>
      </w:pPr>
      <w:r>
        <w:rPr>
          <w:rFonts w:hint="eastAsia" w:ascii="仿宋_GB2312" w:hAnsi="宋体" w:eastAsia="仿宋_GB2312"/>
          <w:color w:val="auto"/>
          <w:sz w:val="24"/>
          <w:szCs w:val="32"/>
          <w:highlight w:val="none"/>
        </w:rPr>
        <w:t xml:space="preserve">                                      </w:t>
      </w:r>
    </w:p>
    <w:p>
      <w:pPr>
        <w:spacing w:line="440" w:lineRule="exact"/>
        <w:ind w:firstLine="480" w:firstLineChars="200"/>
        <w:rPr>
          <w:color w:val="auto"/>
          <w:highlight w:val="none"/>
        </w:rPr>
      </w:pPr>
      <w:r>
        <w:rPr>
          <w:rFonts w:hint="eastAsia" w:ascii="仿宋_GB2312" w:hAnsi="宋体" w:eastAsia="仿宋_GB2312"/>
          <w:color w:val="auto"/>
          <w:sz w:val="24"/>
          <w:szCs w:val="32"/>
          <w:highlight w:val="none"/>
        </w:rPr>
        <w:t xml:space="preserve">                                                      年 月  日</w:t>
      </w:r>
    </w:p>
    <w:p>
      <w:pPr>
        <w:rPr>
          <w:rFonts w:hint="eastAsia"/>
          <w:color w:val="auto"/>
          <w:highlight w:val="none"/>
        </w:rPr>
        <w:sectPr>
          <w:pgSz w:w="11906" w:h="16838"/>
          <w:pgMar w:top="1134" w:right="1134" w:bottom="1134" w:left="1134" w:header="851" w:footer="992" w:gutter="0"/>
          <w:cols w:space="0" w:num="1"/>
          <w:rtlGutter w:val="0"/>
          <w:docGrid w:type="lines" w:linePitch="312" w:charSpace="0"/>
        </w:sectPr>
      </w:pPr>
    </w:p>
    <w:p>
      <w:pPr>
        <w:pStyle w:val="5"/>
        <w:bidi w:val="0"/>
        <w:rPr>
          <w:color w:val="auto"/>
          <w:highlight w:val="none"/>
        </w:rPr>
      </w:pPr>
      <w:r>
        <w:rPr>
          <w:color w:val="auto"/>
          <w:highlight w:val="none"/>
          <w:lang w:val="en-US" w:eastAsia="zh-CN"/>
        </w:rPr>
        <w:t>十</w:t>
      </w:r>
      <w:r>
        <w:rPr>
          <w:rFonts w:hint="eastAsia"/>
          <w:color w:val="auto"/>
          <w:highlight w:val="none"/>
          <w:lang w:val="en-US" w:eastAsia="zh-CN"/>
        </w:rPr>
        <w:t>五</w:t>
      </w:r>
      <w:r>
        <w:rPr>
          <w:color w:val="auto"/>
          <w:highlight w:val="none"/>
          <w:lang w:val="en-US" w:eastAsia="zh-CN"/>
        </w:rPr>
        <w:t xml:space="preserve">、施工组织设计 </w:t>
      </w:r>
    </w:p>
    <w:p>
      <w:pPr>
        <w:pStyle w:val="6"/>
        <w:bidi w:val="0"/>
        <w:rPr>
          <w:color w:val="auto"/>
          <w:highlight w:val="none"/>
        </w:rPr>
      </w:pPr>
      <w:r>
        <w:rPr>
          <w:color w:val="auto"/>
          <w:highlight w:val="none"/>
          <w:lang w:val="en-US" w:eastAsia="zh-CN"/>
        </w:rPr>
        <w:t xml:space="preserve">附件10：施工组织设计 </w:t>
      </w:r>
    </w:p>
    <w:p>
      <w:pPr>
        <w:keepNext w:val="0"/>
        <w:keepLines w:val="0"/>
        <w:widowControl/>
        <w:suppressLineNumbers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施工组织设计</w:t>
      </w:r>
    </w:p>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供应商根据采购项目要求及自身情况自行填报</w:t>
      </w:r>
    </w:p>
    <w:p>
      <w:pPr>
        <w:rPr>
          <w:rFonts w:hint="eastAsia"/>
          <w:color w:val="auto"/>
          <w:highlight w:val="none"/>
        </w:rPr>
      </w:pPr>
      <w:r>
        <w:rPr>
          <w:rFonts w:hint="eastAsia"/>
          <w:color w:val="auto"/>
          <w:highlight w:val="none"/>
        </w:rPr>
        <w:br w:type="page"/>
      </w:r>
    </w:p>
    <w:p>
      <w:pPr>
        <w:pStyle w:val="5"/>
        <w:bidi w:val="0"/>
        <w:rPr>
          <w:color w:val="auto"/>
          <w:highlight w:val="none"/>
        </w:rPr>
      </w:pPr>
      <w:r>
        <w:rPr>
          <w:color w:val="auto"/>
          <w:highlight w:val="none"/>
          <w:lang w:val="en-US" w:eastAsia="zh-CN"/>
        </w:rPr>
        <w:t>十</w:t>
      </w:r>
      <w:r>
        <w:rPr>
          <w:rFonts w:hint="eastAsia"/>
          <w:color w:val="auto"/>
          <w:highlight w:val="none"/>
          <w:lang w:val="en-US" w:eastAsia="zh-CN"/>
        </w:rPr>
        <w:t>六</w:t>
      </w:r>
      <w:r>
        <w:rPr>
          <w:color w:val="auto"/>
          <w:highlight w:val="none"/>
          <w:lang w:val="en-US" w:eastAsia="zh-CN"/>
        </w:rPr>
        <w:t xml:space="preserve">、其他需要提供的资料 </w:t>
      </w:r>
    </w:p>
    <w:p>
      <w:pPr>
        <w:pStyle w:val="6"/>
        <w:bidi w:val="0"/>
        <w:rPr>
          <w:rFonts w:hint="eastAsia"/>
          <w:color w:val="auto"/>
          <w:highlight w:val="none"/>
          <w:lang w:val="en-US" w:eastAsia="zh-CN"/>
        </w:rPr>
      </w:pPr>
      <w:r>
        <w:rPr>
          <w:rFonts w:hint="eastAsia"/>
          <w:color w:val="auto"/>
          <w:highlight w:val="none"/>
          <w:lang w:val="en-US" w:eastAsia="zh-CN"/>
        </w:rPr>
        <w:t>附件11：其他需要提供的资料</w:t>
      </w:r>
    </w:p>
    <w:p>
      <w:pPr>
        <w:rPr>
          <w:rFonts w:hint="eastAsia"/>
          <w:color w:val="auto"/>
          <w:highlight w:val="none"/>
          <w:lang w:val="en-US" w:eastAsia="zh-CN"/>
        </w:rPr>
      </w:pPr>
    </w:p>
    <w:p>
      <w:pPr>
        <w:rPr>
          <w:rFonts w:hint="eastAsia"/>
          <w:color w:val="auto"/>
          <w:highlight w:val="none"/>
        </w:rPr>
      </w:pPr>
    </w:p>
    <w:p>
      <w:pPr>
        <w:keepNext w:val="0"/>
        <w:keepLines w:val="0"/>
        <w:widowControl/>
        <w:suppressLineNumbers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其他需要提供的资料供应商根据采购项目要求及自身情况自行填报</w:t>
      </w:r>
    </w:p>
    <w:p>
      <w:pPr>
        <w:rPr>
          <w:rFonts w:hint="eastAsia"/>
          <w:color w:val="auto"/>
          <w:highlight w:val="none"/>
        </w:rPr>
      </w:pPr>
      <w:r>
        <w:rPr>
          <w:rFonts w:hint="eastAsia"/>
          <w:color w:val="auto"/>
          <w:highlight w:val="none"/>
        </w:rPr>
        <w:br w:type="page"/>
      </w:r>
    </w:p>
    <w:p>
      <w:pPr>
        <w:pStyle w:val="5"/>
        <w:bidi w:val="0"/>
        <w:rPr>
          <w:color w:val="auto"/>
          <w:highlight w:val="none"/>
        </w:rPr>
      </w:pPr>
      <w:r>
        <w:rPr>
          <w:color w:val="auto"/>
          <w:highlight w:val="none"/>
          <w:lang w:val="en-US" w:eastAsia="zh-CN"/>
        </w:rPr>
        <w:t>十</w:t>
      </w:r>
      <w:r>
        <w:rPr>
          <w:rFonts w:hint="eastAsia"/>
          <w:color w:val="auto"/>
          <w:highlight w:val="none"/>
          <w:lang w:val="en-US" w:eastAsia="zh-CN"/>
        </w:rPr>
        <w:t>七</w:t>
      </w:r>
      <w:r>
        <w:rPr>
          <w:color w:val="auto"/>
          <w:highlight w:val="none"/>
          <w:lang w:val="en-US" w:eastAsia="zh-CN"/>
        </w:rPr>
        <w:t xml:space="preserve">、参与评审打分的证书（证件）一览表 </w:t>
      </w:r>
    </w:p>
    <w:p>
      <w:pPr>
        <w:pStyle w:val="6"/>
        <w:bidi w:val="0"/>
        <w:rPr>
          <w:color w:val="auto"/>
          <w:highlight w:val="none"/>
        </w:rPr>
      </w:pPr>
      <w:r>
        <w:rPr>
          <w:color w:val="auto"/>
          <w:highlight w:val="none"/>
          <w:lang w:val="en-US" w:eastAsia="zh-CN"/>
        </w:rPr>
        <w:t xml:space="preserve">附件12：参与评审打分的证书（证件）一览表 </w:t>
      </w:r>
    </w:p>
    <w:p>
      <w:pPr>
        <w:keepNext w:val="0"/>
        <w:keepLines w:val="0"/>
        <w:widowControl/>
        <w:suppressLineNumbers w:val="0"/>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参与评审打分的证书（证件）一览表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rPr>
                <w:rFonts w:hint="eastAsia" w:eastAsia="宋体"/>
                <w:color w:val="auto"/>
                <w:highlight w:val="none"/>
                <w:vertAlign w:val="baseline"/>
                <w:lang w:val="en-US" w:eastAsia="zh-CN"/>
              </w:rPr>
            </w:pPr>
            <w:r>
              <w:rPr>
                <w:rFonts w:hint="eastAsia"/>
                <w:color w:val="auto"/>
                <w:highlight w:val="none"/>
                <w:vertAlign w:val="baseline"/>
                <w:lang w:val="en-US" w:eastAsia="zh-CN"/>
              </w:rPr>
              <w:t>序号</w:t>
            </w:r>
          </w:p>
        </w:tc>
        <w:tc>
          <w:tcPr>
            <w:tcW w:w="1971"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证书（证件）名称</w:t>
            </w:r>
          </w:p>
        </w:tc>
        <w:tc>
          <w:tcPr>
            <w:tcW w:w="1971" w:type="dxa"/>
          </w:tcPr>
          <w:p>
            <w:pPr>
              <w:rPr>
                <w:rFonts w:hint="eastAsia" w:eastAsia="宋体"/>
                <w:color w:val="auto"/>
                <w:highlight w:val="none"/>
                <w:vertAlign w:val="baseline"/>
                <w:lang w:val="en-US" w:eastAsia="zh-CN"/>
              </w:rPr>
            </w:pPr>
            <w:r>
              <w:rPr>
                <w:rFonts w:hint="eastAsia"/>
                <w:color w:val="auto"/>
                <w:highlight w:val="none"/>
                <w:vertAlign w:val="baseline"/>
                <w:lang w:val="en-US" w:eastAsia="zh-CN"/>
              </w:rPr>
              <w:t>持证单位（人）</w:t>
            </w:r>
          </w:p>
        </w:tc>
        <w:tc>
          <w:tcPr>
            <w:tcW w:w="1971"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发证机构</w:t>
            </w:r>
          </w:p>
        </w:tc>
        <w:tc>
          <w:tcPr>
            <w:tcW w:w="1971"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rPr>
                <w:rFonts w:hint="eastAsia"/>
                <w:color w:val="auto"/>
                <w:highlight w:val="none"/>
                <w:vertAlign w:val="baseline"/>
              </w:rPr>
            </w:pPr>
          </w:p>
        </w:tc>
        <w:tc>
          <w:tcPr>
            <w:tcW w:w="1971" w:type="dxa"/>
          </w:tcPr>
          <w:p>
            <w:pPr>
              <w:rPr>
                <w:rFonts w:hint="eastAsia"/>
                <w:color w:val="auto"/>
                <w:highlight w:val="none"/>
                <w:vertAlign w:val="baseline"/>
              </w:rPr>
            </w:pPr>
          </w:p>
        </w:tc>
        <w:tc>
          <w:tcPr>
            <w:tcW w:w="1971" w:type="dxa"/>
          </w:tcPr>
          <w:p>
            <w:pPr>
              <w:rPr>
                <w:rFonts w:hint="eastAsia"/>
                <w:color w:val="auto"/>
                <w:highlight w:val="none"/>
                <w:vertAlign w:val="baseline"/>
              </w:rPr>
            </w:pPr>
          </w:p>
        </w:tc>
        <w:tc>
          <w:tcPr>
            <w:tcW w:w="1971" w:type="dxa"/>
          </w:tcPr>
          <w:p>
            <w:pPr>
              <w:rPr>
                <w:rFonts w:hint="eastAsia"/>
                <w:color w:val="auto"/>
                <w:highlight w:val="none"/>
                <w:vertAlign w:val="baseline"/>
              </w:rPr>
            </w:pPr>
          </w:p>
        </w:tc>
        <w:tc>
          <w:tcPr>
            <w:tcW w:w="1971"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rPr>
                <w:rFonts w:hint="eastAsia"/>
                <w:color w:val="auto"/>
                <w:highlight w:val="none"/>
                <w:vertAlign w:val="baseline"/>
              </w:rPr>
            </w:pPr>
          </w:p>
        </w:tc>
        <w:tc>
          <w:tcPr>
            <w:tcW w:w="1971" w:type="dxa"/>
          </w:tcPr>
          <w:p>
            <w:pPr>
              <w:rPr>
                <w:rFonts w:hint="eastAsia"/>
                <w:color w:val="auto"/>
                <w:highlight w:val="none"/>
                <w:vertAlign w:val="baseline"/>
              </w:rPr>
            </w:pPr>
          </w:p>
        </w:tc>
        <w:tc>
          <w:tcPr>
            <w:tcW w:w="1971" w:type="dxa"/>
          </w:tcPr>
          <w:p>
            <w:pPr>
              <w:rPr>
                <w:rFonts w:hint="eastAsia"/>
                <w:color w:val="auto"/>
                <w:highlight w:val="none"/>
                <w:vertAlign w:val="baseline"/>
              </w:rPr>
            </w:pPr>
          </w:p>
        </w:tc>
        <w:tc>
          <w:tcPr>
            <w:tcW w:w="1971" w:type="dxa"/>
          </w:tcPr>
          <w:p>
            <w:pPr>
              <w:rPr>
                <w:rFonts w:hint="eastAsia"/>
                <w:color w:val="auto"/>
                <w:highlight w:val="none"/>
                <w:vertAlign w:val="baseline"/>
              </w:rPr>
            </w:pPr>
          </w:p>
        </w:tc>
        <w:tc>
          <w:tcPr>
            <w:tcW w:w="1971"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rPr>
                <w:rFonts w:hint="eastAsia"/>
                <w:color w:val="auto"/>
                <w:highlight w:val="none"/>
                <w:vertAlign w:val="baseline"/>
              </w:rPr>
            </w:pPr>
          </w:p>
        </w:tc>
        <w:tc>
          <w:tcPr>
            <w:tcW w:w="1971" w:type="dxa"/>
          </w:tcPr>
          <w:p>
            <w:pPr>
              <w:rPr>
                <w:rFonts w:hint="eastAsia"/>
                <w:color w:val="auto"/>
                <w:highlight w:val="none"/>
                <w:vertAlign w:val="baseline"/>
              </w:rPr>
            </w:pPr>
          </w:p>
        </w:tc>
        <w:tc>
          <w:tcPr>
            <w:tcW w:w="1971" w:type="dxa"/>
          </w:tcPr>
          <w:p>
            <w:pPr>
              <w:rPr>
                <w:rFonts w:hint="eastAsia"/>
                <w:color w:val="auto"/>
                <w:highlight w:val="none"/>
                <w:vertAlign w:val="baseline"/>
              </w:rPr>
            </w:pPr>
          </w:p>
        </w:tc>
        <w:tc>
          <w:tcPr>
            <w:tcW w:w="1971" w:type="dxa"/>
          </w:tcPr>
          <w:p>
            <w:pPr>
              <w:rPr>
                <w:rFonts w:hint="eastAsia"/>
                <w:color w:val="auto"/>
                <w:highlight w:val="none"/>
                <w:vertAlign w:val="baseline"/>
              </w:rPr>
            </w:pPr>
          </w:p>
        </w:tc>
        <w:tc>
          <w:tcPr>
            <w:tcW w:w="1971"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rPr>
                <w:rFonts w:hint="eastAsia"/>
                <w:color w:val="auto"/>
                <w:highlight w:val="none"/>
                <w:vertAlign w:val="baseline"/>
              </w:rPr>
            </w:pPr>
          </w:p>
        </w:tc>
        <w:tc>
          <w:tcPr>
            <w:tcW w:w="1971" w:type="dxa"/>
          </w:tcPr>
          <w:p>
            <w:pPr>
              <w:rPr>
                <w:rFonts w:hint="eastAsia"/>
                <w:color w:val="auto"/>
                <w:highlight w:val="none"/>
                <w:vertAlign w:val="baseline"/>
              </w:rPr>
            </w:pPr>
          </w:p>
        </w:tc>
        <w:tc>
          <w:tcPr>
            <w:tcW w:w="1971" w:type="dxa"/>
          </w:tcPr>
          <w:p>
            <w:pPr>
              <w:rPr>
                <w:rFonts w:hint="eastAsia"/>
                <w:color w:val="auto"/>
                <w:highlight w:val="none"/>
                <w:vertAlign w:val="baseline"/>
              </w:rPr>
            </w:pPr>
          </w:p>
        </w:tc>
        <w:tc>
          <w:tcPr>
            <w:tcW w:w="1971" w:type="dxa"/>
          </w:tcPr>
          <w:p>
            <w:pPr>
              <w:rPr>
                <w:rFonts w:hint="eastAsia"/>
                <w:color w:val="auto"/>
                <w:highlight w:val="none"/>
                <w:vertAlign w:val="baseline"/>
              </w:rPr>
            </w:pPr>
          </w:p>
        </w:tc>
        <w:tc>
          <w:tcPr>
            <w:tcW w:w="1971"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rPr>
                <w:rFonts w:hint="eastAsia"/>
                <w:color w:val="auto"/>
                <w:highlight w:val="none"/>
                <w:vertAlign w:val="baseline"/>
              </w:rPr>
            </w:pPr>
          </w:p>
        </w:tc>
        <w:tc>
          <w:tcPr>
            <w:tcW w:w="1971" w:type="dxa"/>
          </w:tcPr>
          <w:p>
            <w:pPr>
              <w:rPr>
                <w:rFonts w:hint="eastAsia"/>
                <w:color w:val="auto"/>
                <w:highlight w:val="none"/>
                <w:vertAlign w:val="baseline"/>
              </w:rPr>
            </w:pPr>
          </w:p>
        </w:tc>
        <w:tc>
          <w:tcPr>
            <w:tcW w:w="1971" w:type="dxa"/>
          </w:tcPr>
          <w:p>
            <w:pPr>
              <w:rPr>
                <w:rFonts w:hint="eastAsia"/>
                <w:color w:val="auto"/>
                <w:highlight w:val="none"/>
                <w:vertAlign w:val="baseline"/>
              </w:rPr>
            </w:pPr>
          </w:p>
        </w:tc>
        <w:tc>
          <w:tcPr>
            <w:tcW w:w="1971" w:type="dxa"/>
          </w:tcPr>
          <w:p>
            <w:pPr>
              <w:rPr>
                <w:rFonts w:hint="eastAsia"/>
                <w:color w:val="auto"/>
                <w:highlight w:val="none"/>
                <w:vertAlign w:val="baseline"/>
              </w:rPr>
            </w:pPr>
          </w:p>
        </w:tc>
        <w:tc>
          <w:tcPr>
            <w:tcW w:w="1971"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rPr>
                <w:rFonts w:hint="eastAsia"/>
                <w:color w:val="auto"/>
                <w:highlight w:val="none"/>
                <w:vertAlign w:val="baseline"/>
              </w:rPr>
            </w:pPr>
          </w:p>
        </w:tc>
        <w:tc>
          <w:tcPr>
            <w:tcW w:w="1971" w:type="dxa"/>
          </w:tcPr>
          <w:p>
            <w:pPr>
              <w:rPr>
                <w:rFonts w:hint="eastAsia"/>
                <w:color w:val="auto"/>
                <w:highlight w:val="none"/>
                <w:vertAlign w:val="baseline"/>
              </w:rPr>
            </w:pPr>
          </w:p>
        </w:tc>
        <w:tc>
          <w:tcPr>
            <w:tcW w:w="1971" w:type="dxa"/>
          </w:tcPr>
          <w:p>
            <w:pPr>
              <w:rPr>
                <w:rFonts w:hint="eastAsia"/>
                <w:color w:val="auto"/>
                <w:highlight w:val="none"/>
                <w:vertAlign w:val="baseline"/>
              </w:rPr>
            </w:pPr>
          </w:p>
        </w:tc>
        <w:tc>
          <w:tcPr>
            <w:tcW w:w="1971" w:type="dxa"/>
          </w:tcPr>
          <w:p>
            <w:pPr>
              <w:rPr>
                <w:rFonts w:hint="eastAsia"/>
                <w:color w:val="auto"/>
                <w:highlight w:val="none"/>
                <w:vertAlign w:val="baseline"/>
              </w:rPr>
            </w:pPr>
          </w:p>
        </w:tc>
        <w:tc>
          <w:tcPr>
            <w:tcW w:w="1971" w:type="dxa"/>
          </w:tcPr>
          <w:p>
            <w:pPr>
              <w:rPr>
                <w:rFonts w:hint="eastAsia"/>
                <w:color w:val="auto"/>
                <w:highlight w:val="none"/>
                <w:vertAlign w:val="baseline"/>
              </w:rPr>
            </w:pPr>
          </w:p>
        </w:tc>
      </w:tr>
    </w:tbl>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供应商（企业电子章）：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注：1.供应商可根据需要自行增减表格行数。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2.供应商对所报相关内容的真实性负责，采购代理机构有权将相关内容进行公示，因弄虚作假导致的后果由供应商自行承担。</w:t>
      </w:r>
    </w:p>
    <w:p>
      <w:pPr>
        <w:rPr>
          <w:rFonts w:hint="eastAsia"/>
          <w:color w:val="auto"/>
          <w:highlight w:val="none"/>
        </w:rPr>
      </w:pPr>
      <w:r>
        <w:rPr>
          <w:rFonts w:hint="eastAsia"/>
          <w:color w:val="auto"/>
          <w:highlight w:val="none"/>
        </w:rPr>
        <w:br w:type="page"/>
      </w:r>
    </w:p>
    <w:p>
      <w:pPr>
        <w:pStyle w:val="5"/>
        <w:bidi w:val="0"/>
        <w:rPr>
          <w:rFonts w:hint="eastAsia"/>
          <w:color w:val="auto"/>
          <w:highlight w:val="none"/>
        </w:rPr>
      </w:pPr>
      <w:r>
        <w:rPr>
          <w:rFonts w:hint="eastAsia"/>
          <w:color w:val="auto"/>
          <w:highlight w:val="none"/>
        </w:rPr>
        <w:t>十</w:t>
      </w:r>
      <w:r>
        <w:rPr>
          <w:rFonts w:hint="eastAsia"/>
          <w:color w:val="auto"/>
          <w:highlight w:val="none"/>
          <w:lang w:eastAsia="zh-CN"/>
        </w:rPr>
        <w:t>八</w:t>
      </w:r>
      <w:r>
        <w:rPr>
          <w:rFonts w:hint="eastAsia"/>
          <w:color w:val="auto"/>
          <w:highlight w:val="none"/>
        </w:rPr>
        <w:t xml:space="preserve">、参与评审打分的证书（证件）扫描件 </w:t>
      </w:r>
    </w:p>
    <w:p>
      <w:pPr>
        <w:pStyle w:val="6"/>
        <w:bidi w:val="0"/>
        <w:rPr>
          <w:rFonts w:hint="eastAsia"/>
          <w:color w:val="auto"/>
          <w:highlight w:val="none"/>
        </w:rPr>
      </w:pPr>
      <w:r>
        <w:rPr>
          <w:rFonts w:hint="eastAsia"/>
          <w:color w:val="auto"/>
          <w:highlight w:val="none"/>
        </w:rPr>
        <w:t>附件12-1：参与评审打分的证书（证件）扫描件</w:t>
      </w:r>
    </w:p>
    <w:p>
      <w:pPr>
        <w:rPr>
          <w:rFonts w:hint="eastAsia"/>
          <w:color w:val="auto"/>
          <w:highlight w:val="none"/>
        </w:rPr>
      </w:pPr>
      <w:r>
        <w:rPr>
          <w:rFonts w:hint="eastAsia"/>
          <w:color w:val="auto"/>
          <w:highlight w:val="none"/>
        </w:rPr>
        <w:br w:type="page"/>
      </w:r>
    </w:p>
    <w:p>
      <w:pPr>
        <w:pStyle w:val="5"/>
        <w:bidi w:val="0"/>
        <w:rPr>
          <w:color w:val="auto"/>
          <w:highlight w:val="none"/>
        </w:rPr>
      </w:pPr>
      <w:r>
        <w:rPr>
          <w:color w:val="auto"/>
          <w:highlight w:val="none"/>
          <w:lang w:val="en-US" w:eastAsia="zh-CN"/>
        </w:rPr>
        <w:t>十</w:t>
      </w:r>
      <w:r>
        <w:rPr>
          <w:rFonts w:hint="eastAsia"/>
          <w:color w:val="auto"/>
          <w:highlight w:val="none"/>
          <w:lang w:val="en-US" w:eastAsia="zh-CN"/>
        </w:rPr>
        <w:t>九</w:t>
      </w:r>
      <w:r>
        <w:rPr>
          <w:color w:val="auto"/>
          <w:highlight w:val="none"/>
          <w:lang w:val="en-US" w:eastAsia="zh-CN"/>
        </w:rPr>
        <w:t xml:space="preserve">、参与评审打分的合同业绩一览表 </w:t>
      </w:r>
    </w:p>
    <w:p>
      <w:pPr>
        <w:pStyle w:val="6"/>
        <w:bidi w:val="0"/>
        <w:rPr>
          <w:color w:val="auto"/>
          <w:highlight w:val="none"/>
        </w:rPr>
      </w:pPr>
      <w:r>
        <w:rPr>
          <w:color w:val="auto"/>
          <w:highlight w:val="none"/>
          <w:lang w:val="en-US" w:eastAsia="zh-CN"/>
        </w:rPr>
        <w:t xml:space="preserve">附件13：参与评审打分的合同业绩一览表 </w:t>
      </w:r>
    </w:p>
    <w:p>
      <w:pPr>
        <w:keepNext w:val="0"/>
        <w:keepLines w:val="0"/>
        <w:widowControl/>
        <w:suppressLineNumbers w:val="0"/>
        <w:jc w:val="center"/>
        <w:rPr>
          <w:color w:val="auto"/>
          <w:highlight w:val="none"/>
        </w:rPr>
      </w:pPr>
      <w:r>
        <w:rPr>
          <w:rFonts w:hint="eastAsia" w:asciiTheme="minorEastAsia" w:hAnsiTheme="minorEastAsia" w:eastAsiaTheme="minorEastAsia" w:cstheme="minorEastAsia"/>
          <w:color w:val="auto"/>
          <w:kern w:val="0"/>
          <w:sz w:val="24"/>
          <w:szCs w:val="24"/>
          <w:highlight w:val="none"/>
          <w:lang w:val="en-US" w:eastAsia="zh-CN" w:bidi="ar"/>
        </w:rPr>
        <w:t>参与评审打分的合同业绩一览表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jc w:val="center"/>
              <w:rPr>
                <w:rFonts w:hint="eastAsia"/>
                <w:color w:val="auto"/>
                <w:highlight w:val="none"/>
                <w:lang w:val="en-US" w:eastAsia="zh-CN"/>
              </w:rPr>
            </w:pPr>
            <w:r>
              <w:rPr>
                <w:rFonts w:hint="eastAsia"/>
                <w:color w:val="auto"/>
                <w:highlight w:val="none"/>
                <w:lang w:val="en-US" w:eastAsia="zh-CN"/>
              </w:rPr>
              <w:t>序号</w:t>
            </w:r>
          </w:p>
        </w:tc>
        <w:tc>
          <w:tcPr>
            <w:tcW w:w="1971" w:type="dxa"/>
            <w:vAlign w:val="center"/>
          </w:tcPr>
          <w:p>
            <w:pPr>
              <w:jc w:val="center"/>
              <w:rPr>
                <w:rFonts w:hint="default"/>
                <w:color w:val="auto"/>
                <w:highlight w:val="none"/>
                <w:lang w:val="en-US" w:eastAsia="zh-CN"/>
              </w:rPr>
            </w:pPr>
            <w:r>
              <w:rPr>
                <w:rFonts w:hint="eastAsia"/>
                <w:color w:val="auto"/>
                <w:highlight w:val="none"/>
                <w:lang w:val="en-US" w:eastAsia="zh-CN"/>
              </w:rPr>
              <w:t>项目名称</w:t>
            </w:r>
          </w:p>
        </w:tc>
        <w:tc>
          <w:tcPr>
            <w:tcW w:w="1971" w:type="dxa"/>
            <w:vAlign w:val="center"/>
          </w:tcPr>
          <w:p>
            <w:pPr>
              <w:jc w:val="center"/>
              <w:rPr>
                <w:rFonts w:hint="default"/>
                <w:color w:val="auto"/>
                <w:highlight w:val="none"/>
                <w:lang w:val="en-US" w:eastAsia="zh-CN"/>
              </w:rPr>
            </w:pPr>
            <w:r>
              <w:rPr>
                <w:rFonts w:hint="eastAsia"/>
                <w:color w:val="auto"/>
                <w:highlight w:val="none"/>
                <w:lang w:val="en-US" w:eastAsia="zh-CN"/>
              </w:rPr>
              <w:t>采购单位（甲方）名称</w:t>
            </w:r>
          </w:p>
        </w:tc>
        <w:tc>
          <w:tcPr>
            <w:tcW w:w="1971" w:type="dxa"/>
            <w:vAlign w:val="center"/>
          </w:tcPr>
          <w:p>
            <w:pPr>
              <w:jc w:val="center"/>
              <w:rPr>
                <w:rFonts w:hint="default"/>
                <w:color w:val="auto"/>
                <w:highlight w:val="none"/>
                <w:lang w:val="en-US" w:eastAsia="zh-CN"/>
              </w:rPr>
            </w:pPr>
            <w:r>
              <w:rPr>
                <w:rFonts w:hint="eastAsia"/>
                <w:color w:val="auto"/>
                <w:highlight w:val="none"/>
                <w:lang w:val="en-US" w:eastAsia="zh-CN"/>
              </w:rPr>
              <w:t>合同金额（元）</w:t>
            </w:r>
          </w:p>
        </w:tc>
        <w:tc>
          <w:tcPr>
            <w:tcW w:w="1971" w:type="dxa"/>
            <w:vAlign w:val="center"/>
          </w:tcPr>
          <w:p>
            <w:pPr>
              <w:jc w:val="center"/>
              <w:rPr>
                <w:rFonts w:hint="default"/>
                <w:color w:val="auto"/>
                <w:highlight w:val="none"/>
                <w:lang w:val="en-US" w:eastAsia="zh-CN"/>
              </w:rPr>
            </w:pPr>
            <w:r>
              <w:rPr>
                <w:rFonts w:hint="eastAsia"/>
                <w:color w:val="auto"/>
                <w:highlight w:val="none"/>
                <w:lang w:val="en-US" w:eastAsia="zh-CN"/>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c>
          <w:tcPr>
            <w:tcW w:w="1971" w:type="dxa"/>
            <w:vAlign w:val="center"/>
          </w:tcPr>
          <w:p>
            <w:pPr>
              <w:jc w:val="center"/>
              <w:rPr>
                <w:rFonts w:hint="eastAsia"/>
                <w:color w:val="auto"/>
                <w:highlight w:val="none"/>
              </w:rPr>
            </w:pPr>
          </w:p>
        </w:tc>
      </w:tr>
    </w:tbl>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供应商（企业电子章）：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注：1.供应商可根据需要自行增减表格行数。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2.供应商对所报相关内容的真实性负责，采购代理机构有权将相关内容进行公示，因弄虚作假导致的后果由供应商自行承担</w:t>
      </w:r>
    </w:p>
    <w:p>
      <w:pPr>
        <w:rPr>
          <w:rFonts w:hint="eastAsia"/>
          <w:color w:val="auto"/>
          <w:highlight w:val="none"/>
        </w:rPr>
      </w:pPr>
      <w:r>
        <w:rPr>
          <w:rFonts w:hint="eastAsia"/>
          <w:color w:val="auto"/>
          <w:highlight w:val="none"/>
        </w:rPr>
        <w:br w:type="page"/>
      </w:r>
    </w:p>
    <w:p>
      <w:pPr>
        <w:pStyle w:val="5"/>
        <w:bidi w:val="0"/>
        <w:rPr>
          <w:color w:val="auto"/>
          <w:highlight w:val="none"/>
        </w:rPr>
      </w:pPr>
      <w:r>
        <w:rPr>
          <w:rFonts w:hint="eastAsia"/>
          <w:color w:val="auto"/>
          <w:highlight w:val="none"/>
          <w:lang w:val="en-US" w:eastAsia="zh-CN"/>
        </w:rPr>
        <w:t>二十</w:t>
      </w:r>
      <w:r>
        <w:rPr>
          <w:color w:val="auto"/>
          <w:highlight w:val="none"/>
          <w:lang w:val="en-US" w:eastAsia="zh-CN"/>
        </w:rPr>
        <w:t xml:space="preserve">、参与评审打分的合同业绩扫描件 </w:t>
      </w:r>
    </w:p>
    <w:p>
      <w:pPr>
        <w:pStyle w:val="6"/>
        <w:bidi w:val="0"/>
        <w:rPr>
          <w:color w:val="auto"/>
          <w:highlight w:val="none"/>
        </w:rPr>
      </w:pPr>
      <w:r>
        <w:rPr>
          <w:color w:val="auto"/>
          <w:highlight w:val="none"/>
          <w:lang w:val="en-US" w:eastAsia="zh-CN"/>
        </w:rPr>
        <w:t xml:space="preserve">附件13-1：参与评审打分的合同业绩扫描件 </w:t>
      </w:r>
    </w:p>
    <w:p>
      <w:pPr>
        <w:rPr>
          <w:rFonts w:hint="eastAsia"/>
          <w:color w:val="auto"/>
          <w:highlight w:val="none"/>
        </w:rPr>
      </w:pPr>
    </w:p>
    <w:sectPr>
      <w:pgSz w:w="11906" w:h="16838"/>
      <w:pgMar w:top="1134" w:right="1134" w:bottom="1134" w:left="1134"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74A54"/>
    <w:multiLevelType w:val="multilevel"/>
    <w:tmpl w:val="0E574A54"/>
    <w:lvl w:ilvl="0" w:tentative="0">
      <w:start w:val="1"/>
      <w:numFmt w:val="japaneseCounting"/>
      <w:pStyle w:val="37"/>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YjUxOTFkOWJmNmEyNmZjOGE5ZmYyYjY2NzJmYjAifQ=="/>
  </w:docVars>
  <w:rsids>
    <w:rsidRoot w:val="00000000"/>
    <w:rsid w:val="00A603A0"/>
    <w:rsid w:val="01465D03"/>
    <w:rsid w:val="02E24F3D"/>
    <w:rsid w:val="03B6552F"/>
    <w:rsid w:val="052C561A"/>
    <w:rsid w:val="056B5B75"/>
    <w:rsid w:val="058C67B7"/>
    <w:rsid w:val="05E81B1B"/>
    <w:rsid w:val="060E64A4"/>
    <w:rsid w:val="06B21733"/>
    <w:rsid w:val="08310327"/>
    <w:rsid w:val="08876CC3"/>
    <w:rsid w:val="08FA5050"/>
    <w:rsid w:val="09CF5A8B"/>
    <w:rsid w:val="0B9451BC"/>
    <w:rsid w:val="0F5460E9"/>
    <w:rsid w:val="103B6DA9"/>
    <w:rsid w:val="1394482A"/>
    <w:rsid w:val="140E18E9"/>
    <w:rsid w:val="14D30DA4"/>
    <w:rsid w:val="152C692B"/>
    <w:rsid w:val="180254B6"/>
    <w:rsid w:val="186565B6"/>
    <w:rsid w:val="199832E0"/>
    <w:rsid w:val="19C16FF8"/>
    <w:rsid w:val="19D00F99"/>
    <w:rsid w:val="1A471926"/>
    <w:rsid w:val="1B753DEE"/>
    <w:rsid w:val="1C1C38B1"/>
    <w:rsid w:val="1CC21DD9"/>
    <w:rsid w:val="1D6E17A5"/>
    <w:rsid w:val="1DA954F8"/>
    <w:rsid w:val="1DDD47AE"/>
    <w:rsid w:val="1E032333"/>
    <w:rsid w:val="1F2F3E68"/>
    <w:rsid w:val="1FEC6E5D"/>
    <w:rsid w:val="20670E5A"/>
    <w:rsid w:val="211A5C35"/>
    <w:rsid w:val="21620A23"/>
    <w:rsid w:val="217E28FF"/>
    <w:rsid w:val="22634F91"/>
    <w:rsid w:val="229A7345"/>
    <w:rsid w:val="22EA27AB"/>
    <w:rsid w:val="23250FAF"/>
    <w:rsid w:val="239365A3"/>
    <w:rsid w:val="245C4D3E"/>
    <w:rsid w:val="259316EC"/>
    <w:rsid w:val="275B1B8F"/>
    <w:rsid w:val="279146D4"/>
    <w:rsid w:val="27FC3295"/>
    <w:rsid w:val="2A12719A"/>
    <w:rsid w:val="2BF22B88"/>
    <w:rsid w:val="2D9A5EF0"/>
    <w:rsid w:val="2F972DDE"/>
    <w:rsid w:val="2FD76136"/>
    <w:rsid w:val="30552859"/>
    <w:rsid w:val="30E806CA"/>
    <w:rsid w:val="315E303E"/>
    <w:rsid w:val="33124525"/>
    <w:rsid w:val="335C4122"/>
    <w:rsid w:val="33F13990"/>
    <w:rsid w:val="34717E76"/>
    <w:rsid w:val="34C8051E"/>
    <w:rsid w:val="35243857"/>
    <w:rsid w:val="35270760"/>
    <w:rsid w:val="35C850E8"/>
    <w:rsid w:val="362D4D6F"/>
    <w:rsid w:val="36455CEE"/>
    <w:rsid w:val="36485BB9"/>
    <w:rsid w:val="39932A31"/>
    <w:rsid w:val="3A686CE9"/>
    <w:rsid w:val="3ACC4A2B"/>
    <w:rsid w:val="3BD24562"/>
    <w:rsid w:val="3C5A6DE9"/>
    <w:rsid w:val="3D340110"/>
    <w:rsid w:val="3D55095C"/>
    <w:rsid w:val="3EC538ED"/>
    <w:rsid w:val="3FAF4197"/>
    <w:rsid w:val="40165F59"/>
    <w:rsid w:val="404249F6"/>
    <w:rsid w:val="419323FC"/>
    <w:rsid w:val="42E027D6"/>
    <w:rsid w:val="450264EE"/>
    <w:rsid w:val="45D01082"/>
    <w:rsid w:val="49BC3715"/>
    <w:rsid w:val="49C15D0C"/>
    <w:rsid w:val="4A3051FE"/>
    <w:rsid w:val="4C4209CA"/>
    <w:rsid w:val="4C5A32C4"/>
    <w:rsid w:val="4CCB645F"/>
    <w:rsid w:val="4D7736A6"/>
    <w:rsid w:val="4DB500C2"/>
    <w:rsid w:val="4EC25DDD"/>
    <w:rsid w:val="4FB02057"/>
    <w:rsid w:val="4FB9255D"/>
    <w:rsid w:val="4FFD3287"/>
    <w:rsid w:val="51B03B5F"/>
    <w:rsid w:val="52671212"/>
    <w:rsid w:val="52F8472E"/>
    <w:rsid w:val="53F01738"/>
    <w:rsid w:val="563446C2"/>
    <w:rsid w:val="58CD521C"/>
    <w:rsid w:val="58F42582"/>
    <w:rsid w:val="59912DDB"/>
    <w:rsid w:val="59BE7035"/>
    <w:rsid w:val="5C485F6B"/>
    <w:rsid w:val="5C600613"/>
    <w:rsid w:val="5C9424BA"/>
    <w:rsid w:val="5D4F6791"/>
    <w:rsid w:val="5DD96249"/>
    <w:rsid w:val="5FAD1573"/>
    <w:rsid w:val="60A056E7"/>
    <w:rsid w:val="60E83E71"/>
    <w:rsid w:val="611B5F96"/>
    <w:rsid w:val="63CA105E"/>
    <w:rsid w:val="63F4493C"/>
    <w:rsid w:val="65D84BDD"/>
    <w:rsid w:val="66434366"/>
    <w:rsid w:val="6740764D"/>
    <w:rsid w:val="67723988"/>
    <w:rsid w:val="6776292C"/>
    <w:rsid w:val="68AB46DA"/>
    <w:rsid w:val="6AF223D6"/>
    <w:rsid w:val="6C332B69"/>
    <w:rsid w:val="6D0761F4"/>
    <w:rsid w:val="6D252DD1"/>
    <w:rsid w:val="6DD0342A"/>
    <w:rsid w:val="6EC1096F"/>
    <w:rsid w:val="6EFD3651"/>
    <w:rsid w:val="6F3B38F4"/>
    <w:rsid w:val="70BF74C3"/>
    <w:rsid w:val="71751E4E"/>
    <w:rsid w:val="71ED182C"/>
    <w:rsid w:val="72695CF0"/>
    <w:rsid w:val="73602BF8"/>
    <w:rsid w:val="73832920"/>
    <w:rsid w:val="74C420AA"/>
    <w:rsid w:val="74D116DC"/>
    <w:rsid w:val="76AC20B1"/>
    <w:rsid w:val="76C75932"/>
    <w:rsid w:val="7705267F"/>
    <w:rsid w:val="77B91110"/>
    <w:rsid w:val="78647AE4"/>
    <w:rsid w:val="798C15FC"/>
    <w:rsid w:val="7A7A2E91"/>
    <w:rsid w:val="7A9D1EBD"/>
    <w:rsid w:val="7AAF401F"/>
    <w:rsid w:val="7D334195"/>
    <w:rsid w:val="7DA27D7F"/>
    <w:rsid w:val="7DD605E9"/>
    <w:rsid w:val="7DD862F4"/>
    <w:rsid w:val="7E8135A0"/>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20" w:after="120" w:line="360" w:lineRule="auto"/>
      <w:ind w:firstLine="0" w:firstLineChars="0"/>
      <w:jc w:val="left"/>
    </w:pPr>
    <w:rPr>
      <w:rFonts w:eastAsia="宋体" w:asciiTheme="minorAscii" w:hAnsiTheme="minorAscii" w:cstheme="minorBidi"/>
      <w:kern w:val="2"/>
      <w:sz w:val="24"/>
      <w:szCs w:val="24"/>
      <w:lang w:val="en-US" w:eastAsia="zh-CN" w:bidi="ar-SA"/>
    </w:rPr>
  </w:style>
  <w:style w:type="paragraph" w:styleId="3">
    <w:name w:val="heading 1"/>
    <w:basedOn w:val="1"/>
    <w:next w:val="1"/>
    <w:qFormat/>
    <w:uiPriority w:val="0"/>
    <w:pPr>
      <w:spacing w:line="360" w:lineRule="auto"/>
      <w:ind w:left="0"/>
      <w:jc w:val="center"/>
      <w:outlineLvl w:val="0"/>
    </w:pPr>
    <w:rPr>
      <w:rFonts w:ascii="微软雅黑" w:hAnsi="微软雅黑" w:eastAsia="宋体" w:cs="微软雅黑"/>
      <w:b/>
      <w:bCs/>
      <w:sz w:val="32"/>
      <w:szCs w:val="36"/>
      <w:lang w:val="zh-CN" w:bidi="zh-CN"/>
    </w:rPr>
  </w:style>
  <w:style w:type="paragraph" w:styleId="4">
    <w:name w:val="heading 2"/>
    <w:basedOn w:val="1"/>
    <w:next w:val="1"/>
    <w:unhideWhenUsed/>
    <w:qFormat/>
    <w:uiPriority w:val="0"/>
    <w:pPr>
      <w:spacing w:line="360" w:lineRule="auto"/>
      <w:ind w:left="0"/>
      <w:jc w:val="center"/>
      <w:outlineLvl w:val="1"/>
    </w:pPr>
    <w:rPr>
      <w:rFonts w:ascii="微软雅黑" w:hAnsi="微软雅黑" w:eastAsia="宋体" w:cs="微软雅黑"/>
      <w:b/>
      <w:bCs/>
      <w:sz w:val="30"/>
      <w:szCs w:val="24"/>
      <w:lang w:val="zh-CN" w:bidi="zh-CN"/>
    </w:rPr>
  </w:style>
  <w:style w:type="paragraph" w:styleId="5">
    <w:name w:val="heading 3"/>
    <w:basedOn w:val="1"/>
    <w:next w:val="1"/>
    <w:unhideWhenUsed/>
    <w:qFormat/>
    <w:uiPriority w:val="0"/>
    <w:pPr>
      <w:keepNext/>
      <w:keepLines/>
      <w:spacing w:before="260" w:beforeLines="0" w:beforeAutospacing="0" w:after="260" w:afterLines="0" w:afterAutospacing="0" w:line="360" w:lineRule="auto"/>
      <w:jc w:val="center"/>
      <w:outlineLvl w:val="2"/>
    </w:pPr>
    <w:rPr>
      <w:rFonts w:ascii="宋体" w:hAnsi="宋体" w:eastAsia="宋体" w:cs="宋体"/>
      <w:b/>
      <w:sz w:val="28"/>
      <w:szCs w:val="22"/>
      <w:lang w:val="zh-CN" w:bidi="zh-CN"/>
    </w:rPr>
  </w:style>
  <w:style w:type="paragraph" w:styleId="6">
    <w:name w:val="heading 4"/>
    <w:basedOn w:val="1"/>
    <w:next w:val="1"/>
    <w:unhideWhenUsed/>
    <w:qFormat/>
    <w:uiPriority w:val="0"/>
    <w:pPr>
      <w:keepNext/>
      <w:keepLines/>
      <w:spacing w:before="280" w:beforeLines="0" w:beforeAutospacing="0" w:after="290" w:afterLines="0" w:afterAutospacing="0" w:line="360" w:lineRule="auto"/>
      <w:jc w:val="center"/>
      <w:outlineLvl w:val="3"/>
    </w:pPr>
    <w:rPr>
      <w:rFonts w:ascii="Arial" w:hAnsi="Arial" w:eastAsia="宋体" w:cs="宋体"/>
      <w:b/>
      <w:sz w:val="24"/>
      <w:szCs w:val="22"/>
      <w:lang w:val="zh-CN" w:bidi="zh-CN"/>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jc w:val="center"/>
      <w:outlineLvl w:val="4"/>
    </w:pPr>
    <w:rPr>
      <w:rFonts w:eastAsia="宋体" w:asciiTheme="minorAscii" w:hAnsiTheme="minorAscii"/>
      <w:b/>
      <w:sz w:val="24"/>
    </w:rPr>
  </w:style>
  <w:style w:type="paragraph" w:styleId="8">
    <w:name w:val="heading 6"/>
    <w:basedOn w:val="1"/>
    <w:next w:val="1"/>
    <w:semiHidden/>
    <w:unhideWhenUsed/>
    <w:qFormat/>
    <w:uiPriority w:val="0"/>
    <w:pPr>
      <w:keepNext/>
      <w:keepLines/>
      <w:spacing w:before="240" w:beforeLines="0" w:beforeAutospacing="0" w:after="64" w:afterLines="0" w:afterAutospacing="0" w:line="317" w:lineRule="auto"/>
      <w:jc w:val="center"/>
      <w:outlineLvl w:val="5"/>
    </w:pPr>
    <w:rPr>
      <w:rFonts w:ascii="Arial" w:hAnsi="Arial" w:eastAsia="宋体"/>
      <w:b/>
      <w:sz w:val="24"/>
    </w:rPr>
  </w:style>
  <w:style w:type="paragraph" w:styleId="9">
    <w:name w:val="heading 7"/>
    <w:basedOn w:val="1"/>
    <w:next w:val="1"/>
    <w:qFormat/>
    <w:uiPriority w:val="1"/>
    <w:pPr>
      <w:ind w:left="398"/>
      <w:outlineLvl w:val="7"/>
    </w:pPr>
    <w:rPr>
      <w:rFonts w:ascii="宋体" w:hAnsi="宋体" w:eastAsia="宋体" w:cs="宋体"/>
      <w:b/>
      <w:bCs/>
      <w:sz w:val="24"/>
      <w:szCs w:val="24"/>
      <w:lang w:val="zh-CN" w:eastAsia="zh-CN" w:bidi="zh-CN"/>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0">
    <w:name w:val="Body Text"/>
    <w:basedOn w:val="1"/>
    <w:qFormat/>
    <w:uiPriority w:val="1"/>
    <w:rPr>
      <w:rFonts w:ascii="宋体" w:hAnsi="宋体" w:eastAsia="宋体" w:cs="宋体"/>
      <w:sz w:val="21"/>
      <w:szCs w:val="21"/>
      <w:lang w:val="zh-CN" w:eastAsia="zh-CN" w:bidi="zh-CN"/>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style>
  <w:style w:type="character" w:styleId="16">
    <w:name w:val="FollowedHyperlink"/>
    <w:basedOn w:val="14"/>
    <w:qFormat/>
    <w:uiPriority w:val="0"/>
    <w:rPr>
      <w:color w:val="800080"/>
      <w:u w:val="none"/>
    </w:rPr>
  </w:style>
  <w:style w:type="character" w:styleId="17">
    <w:name w:val="Emphasis"/>
    <w:basedOn w:val="14"/>
    <w:qFormat/>
    <w:uiPriority w:val="0"/>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hint="default"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ascii="monospace" w:hAnsi="monospace" w:eastAsia="monospace" w:cs="monospace"/>
    </w:rPr>
  </w:style>
  <w:style w:type="paragraph" w:customStyle="1" w:styleId="27">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普通(网站)_0"/>
    <w:basedOn w:val="29"/>
    <w:qFormat/>
    <w:uiPriority w:val="0"/>
    <w:pPr>
      <w:widowControl/>
      <w:spacing w:before="100" w:beforeLines="0" w:beforeAutospacing="1" w:after="100" w:afterLines="0" w:afterAutospacing="1"/>
      <w:jc w:val="left"/>
    </w:pPr>
    <w:rPr>
      <w:rFonts w:ascii="宋体" w:hAnsi="宋体"/>
      <w:kern w:val="0"/>
      <w:sz w:val="24"/>
      <w:szCs w:val="24"/>
    </w:rPr>
  </w:style>
  <w:style w:type="paragraph" w:customStyle="1" w:styleId="29">
    <w:name w:val="正文_1_0"/>
    <w:next w:val="30"/>
    <w:qFormat/>
    <w:uiPriority w:val="0"/>
    <w:pPr>
      <w:widowControl w:val="0"/>
      <w:jc w:val="both"/>
    </w:pPr>
    <w:rPr>
      <w:rFonts w:ascii="Times New Roman" w:hAnsi="Times New Roman" w:eastAsia="宋体" w:cs="Times New Roman"/>
      <w:lang w:val="en-US" w:eastAsia="zh-CN" w:bidi="ar-SA"/>
    </w:rPr>
  </w:style>
  <w:style w:type="paragraph" w:customStyle="1" w:styleId="30">
    <w:name w:val="正文文本_1"/>
    <w:basedOn w:val="29"/>
    <w:next w:val="31"/>
    <w:qFormat/>
    <w:uiPriority w:val="0"/>
    <w:rPr>
      <w:rFonts w:eastAsia="仿宋_GB2312"/>
      <w:kern w:val="2"/>
      <w:sz w:val="28"/>
      <w:szCs w:val="30"/>
    </w:rPr>
  </w:style>
  <w:style w:type="paragraph" w:customStyle="1" w:styleId="31">
    <w:name w:val="正文文本 2_1"/>
    <w:basedOn w:val="29"/>
    <w:next w:val="30"/>
    <w:qFormat/>
    <w:uiPriority w:val="0"/>
    <w:pPr>
      <w:jc w:val="center"/>
      <w:outlineLvl w:val="0"/>
    </w:pPr>
    <w:rPr>
      <w:rFonts w:ascii="楷体_GB2312" w:eastAsia="仿宋_GB2312"/>
      <w:kern w:val="2"/>
      <w:sz w:val="30"/>
    </w:rPr>
  </w:style>
  <w:style w:type="paragraph" w:customStyle="1" w:styleId="32">
    <w:name w:val="*正文_0_0"/>
    <w:basedOn w:val="33"/>
    <w:next w:val="33"/>
    <w:qFormat/>
    <w:uiPriority w:val="0"/>
    <w:pPr>
      <w:widowControl/>
      <w:ind w:firstLine="482"/>
    </w:pPr>
    <w:rPr>
      <w:rFonts w:ascii="微软雅黑" w:hAnsi="微软雅黑" w:eastAsia="微软雅黑"/>
      <w:sz w:val="21"/>
    </w:rPr>
  </w:style>
  <w:style w:type="paragraph" w:customStyle="1" w:styleId="33">
    <w:name w:val="正文_1_0_1"/>
    <w:next w:val="34"/>
    <w:qFormat/>
    <w:uiPriority w:val="0"/>
    <w:pPr>
      <w:widowControl w:val="0"/>
      <w:jc w:val="both"/>
    </w:pPr>
    <w:rPr>
      <w:rFonts w:ascii="Calibri" w:hAnsi="Calibri" w:eastAsia="宋体" w:cs="Times New Roman"/>
      <w:lang w:val="en-US" w:eastAsia="zh-CN" w:bidi="ar-SA"/>
    </w:rPr>
  </w:style>
  <w:style w:type="paragraph" w:customStyle="1" w:styleId="34">
    <w:name w:val="正文文本_1_1"/>
    <w:basedOn w:val="33"/>
    <w:next w:val="35"/>
    <w:qFormat/>
    <w:uiPriority w:val="0"/>
    <w:rPr>
      <w:rFonts w:ascii="Calibri" w:hAnsi="Calibri" w:eastAsia="仿宋_GB2312"/>
      <w:kern w:val="2"/>
      <w:sz w:val="28"/>
      <w:szCs w:val="30"/>
    </w:rPr>
  </w:style>
  <w:style w:type="paragraph" w:customStyle="1" w:styleId="35">
    <w:name w:val="正文文本 2_1_1"/>
    <w:basedOn w:val="33"/>
    <w:qFormat/>
    <w:uiPriority w:val="0"/>
    <w:pPr>
      <w:jc w:val="center"/>
      <w:outlineLvl w:val="0"/>
    </w:pPr>
    <w:rPr>
      <w:rFonts w:ascii="楷体_GB2312" w:hAnsi="Calibri" w:eastAsia="仿宋_GB2312"/>
      <w:kern w:val="2"/>
      <w:sz w:val="30"/>
    </w:rPr>
  </w:style>
  <w:style w:type="paragraph" w:customStyle="1" w:styleId="3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条款节部分"/>
    <w:basedOn w:val="1"/>
    <w:qFormat/>
    <w:uiPriority w:val="0"/>
    <w:pPr>
      <w:numPr>
        <w:ilvl w:val="0"/>
        <w:numId w:val="1"/>
      </w:numPr>
    </w:pPr>
    <w:rPr>
      <w:rFonts w:eastAsia="仿宋_GB2312"/>
      <w:sz w:val="32"/>
      <w:szCs w:val="32"/>
    </w:rPr>
  </w:style>
  <w:style w:type="character" w:customStyle="1" w:styleId="38">
    <w:name w:val="明显强调"/>
    <w:qFormat/>
    <w:uiPriority w:val="21"/>
    <w:rPr>
      <w:rFonts w:eastAsia="仿宋_GB2312"/>
      <w:bCs/>
      <w:iCs/>
      <w:color w:val="auto"/>
      <w:sz w:val="32"/>
    </w:rPr>
  </w:style>
  <w:style w:type="paragraph" w:customStyle="1" w:styleId="39">
    <w:name w:val="*正文"/>
    <w:basedOn w:val="1"/>
    <w:next w:val="1"/>
    <w:qFormat/>
    <w:uiPriority w:val="0"/>
    <w:pPr>
      <w:widowControl/>
      <w:ind w:firstLine="482"/>
    </w:pPr>
    <w:rPr>
      <w:rFonts w:ascii="微软雅黑" w:hAnsi="微软雅黑" w:eastAsia="微软雅黑"/>
      <w:sz w:val="21"/>
    </w:rPr>
  </w:style>
  <w:style w:type="paragraph" w:customStyle="1" w:styleId="40">
    <w:name w:val="Table Paragraph"/>
    <w:basedOn w:val="1"/>
    <w:qFormat/>
    <w:uiPriority w:val="1"/>
    <w:rPr>
      <w:rFonts w:ascii="宋体" w:hAnsi="宋体" w:eastAsia="宋体" w:cs="宋体"/>
      <w:lang w:val="zh-CN" w:eastAsia="zh-CN" w:bidi="zh-CN"/>
    </w:rPr>
  </w:style>
  <w:style w:type="paragraph" w:customStyle="1" w:styleId="41">
    <w:name w:val="*正文_1_0"/>
    <w:basedOn w:val="42"/>
    <w:next w:val="42"/>
    <w:qFormat/>
    <w:uiPriority w:val="0"/>
    <w:pPr>
      <w:widowControl/>
      <w:ind w:firstLine="482"/>
    </w:pPr>
    <w:rPr>
      <w:rFonts w:ascii="微软雅黑" w:hAnsi="微软雅黑" w:eastAsia="微软雅黑"/>
      <w:sz w:val="21"/>
    </w:rPr>
  </w:style>
  <w:style w:type="paragraph" w:customStyle="1" w:styleId="42">
    <w:name w:val="正文_1_0_0"/>
    <w:next w:val="43"/>
    <w:qFormat/>
    <w:uiPriority w:val="0"/>
    <w:pPr>
      <w:widowControl w:val="0"/>
      <w:jc w:val="both"/>
    </w:pPr>
    <w:rPr>
      <w:rFonts w:ascii="Times New Roman" w:hAnsi="Times New Roman" w:eastAsia="宋体" w:cs="Times New Roman"/>
      <w:lang w:val="en-US" w:eastAsia="zh-CN" w:bidi="ar-SA"/>
    </w:rPr>
  </w:style>
  <w:style w:type="paragraph" w:customStyle="1" w:styleId="43">
    <w:name w:val="Default_1_0"/>
    <w:next w:val="4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4">
    <w:name w:val="大标题_1_0"/>
    <w:basedOn w:val="42"/>
    <w:next w:val="45"/>
    <w:qFormat/>
    <w:uiPriority w:val="0"/>
    <w:pPr>
      <w:jc w:val="center"/>
    </w:pPr>
    <w:rPr>
      <w:rFonts w:ascii="Arial" w:hAnsi="Arial" w:eastAsia="宋体"/>
      <w:b/>
      <w:sz w:val="28"/>
      <w:szCs w:val="24"/>
    </w:rPr>
  </w:style>
  <w:style w:type="paragraph" w:customStyle="1" w:styleId="45">
    <w:name w:val="正文首行缩进 2_1_0"/>
    <w:basedOn w:val="46"/>
    <w:next w:val="47"/>
    <w:qFormat/>
    <w:uiPriority w:val="0"/>
    <w:pPr>
      <w:spacing w:after="120" w:afterLines="0" w:line="240" w:lineRule="auto"/>
      <w:ind w:left="200" w:leftChars="200" w:firstLine="200" w:firstLineChars="200"/>
    </w:pPr>
  </w:style>
  <w:style w:type="paragraph" w:customStyle="1" w:styleId="46">
    <w:name w:val="正文文本缩进_1_0"/>
    <w:basedOn w:val="42"/>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47">
    <w:name w:val="正文_1_1"/>
    <w:next w:val="45"/>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29696</Words>
  <Characters>31715</Characters>
  <Lines>0</Lines>
  <Paragraphs>0</Paragraphs>
  <TotalTime>40</TotalTime>
  <ScaleCrop>false</ScaleCrop>
  <LinksUpToDate>false</LinksUpToDate>
  <CharactersWithSpaces>32514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2021-05-17T02:32:00Z</dcterms:created>
  <dc:creator>lenovo</dc:creator>
  <cp:lastModifiedBy>七夜</cp:lastModifiedBy>
  <dcterms:modified xsi:type="dcterms:W3CDTF">2023-04-12T03:52:45Z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27FAC6397DCD4191A4DD69642401401C_13</vt:lpwstr>
  </property>
</Properties>
</file>